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66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jc w:val="center"/>
        <w:rPr>
          <w:rFonts w:hint="eastAsia" w:ascii="宋体" w:hAnsi="宋体" w:eastAsia="宋体" w:cs="宋体"/>
          <w:b/>
          <w:bCs/>
          <w:color w:val="000000" w:themeColor="text1"/>
          <w:sz w:val="56"/>
          <w:szCs w:val="21"/>
        </w:rPr>
      </w:pPr>
      <w:r>
        <w:rPr>
          <w:rFonts w:hint="eastAsia" w:ascii="宋体" w:hAnsi="宋体" w:eastAsia="宋体" w:cs="宋体"/>
          <w:b/>
          <w:bCs/>
          <w:color w:val="000000" w:themeColor="text1"/>
          <w:spacing w:val="20"/>
          <w:sz w:val="56"/>
          <w:szCs w:val="21"/>
        </w:rPr>
        <w:t xml:space="preserve">无锡市滨湖区公共资源交易中心</w:t>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t xml:space="preserve">（全流程电子化）</w:t>
      </w:r>
      <w:r/>
    </w:p>
    <w:p>
      <w:pPr>
        <w:rPr>
          <w:rFonts w:hint="eastAsia" w:ascii="宋体" w:hAnsi="宋体" w:eastAsia="宋体" w:cs="宋体"/>
          <w:b/>
          <w:bCs/>
          <w:color w:val="000000" w:themeColor="text1"/>
          <w:sz w:val="44"/>
          <w:szCs w:val="44"/>
        </w:rPr>
      </w:pPr>
      <w:r>
        <w:rPr>
          <w:rFonts w:hint="eastAsia" w:ascii="宋体" w:hAnsi="宋体" w:eastAsia="宋体" w:cs="宋体"/>
          <w:b/>
          <w:bCs/>
          <w:color w:val="000000" w:themeColor="text1"/>
          <w:sz w:val="44"/>
          <w:szCs w:val="44"/>
        </w:rPr>
      </w:r>
      <w:r>
        <w:rPr>
          <w:rFonts w:hint="eastAsia" w:ascii="宋体" w:hAnsi="宋体" w:eastAsia="宋体" w:cs="宋体"/>
          <w:b/>
          <w:bCs/>
          <w:color w:val="000000" w:themeColor="text1"/>
          <w:sz w:val="44"/>
          <w:szCs w:val="44"/>
        </w:rPr>
      </w:r>
      <w:r/>
    </w:p>
    <w:p>
      <w:pPr>
        <w:rPr>
          <w:rFonts w:hint="eastAsia" w:ascii="宋体" w:hAnsi="宋体" w:eastAsia="宋体" w:cs="宋体"/>
          <w:b/>
          <w:bCs/>
          <w:color w:val="000000" w:themeColor="text1"/>
          <w:sz w:val="44"/>
          <w:szCs w:val="44"/>
        </w:rPr>
      </w:pPr>
      <w:r>
        <w:rPr>
          <w:rFonts w:hint="eastAsia" w:ascii="宋体" w:hAnsi="宋体" w:eastAsia="宋体" w:cs="宋体"/>
          <w:b/>
          <w:bCs/>
          <w:color w:val="000000" w:themeColor="text1"/>
          <w:sz w:val="44"/>
          <w:szCs w:val="44"/>
        </w:rPr>
      </w:r>
      <w:r/>
    </w:p>
    <w:p>
      <w:pPr>
        <w:rPr>
          <w:rFonts w:hint="eastAsia" w:ascii="宋体" w:hAnsi="宋体" w:eastAsia="宋体" w:cs="宋体"/>
          <w:b/>
          <w:bCs/>
          <w:color w:val="000000" w:themeColor="text1"/>
          <w:sz w:val="40"/>
          <w:szCs w:val="40"/>
        </w:rPr>
      </w:pPr>
      <w:r>
        <w:rPr>
          <w:rFonts w:hint="eastAsia" w:ascii="宋体" w:hAnsi="宋体" w:eastAsia="宋体" w:cs="宋体"/>
          <w:b/>
          <w:bCs/>
          <w:color w:val="000000" w:themeColor="text1"/>
          <w:sz w:val="40"/>
          <w:szCs w:val="40"/>
        </w:rPr>
      </w:r>
      <w:r/>
    </w:p>
    <w:p>
      <w:pPr>
        <w:jc w:val="center"/>
        <w:rPr>
          <w:rFonts w:hint="eastAsia" w:ascii="宋体" w:hAnsi="宋体" w:eastAsia="宋体" w:cs="宋体"/>
          <w:b/>
          <w:bCs/>
          <w:color w:val="000000" w:themeColor="text1"/>
          <w:spacing w:val="20"/>
          <w:sz w:val="52"/>
          <w:szCs w:val="52"/>
        </w:rPr>
      </w:pPr>
      <w:r>
        <w:rPr>
          <w:rFonts w:hint="eastAsia" w:ascii="宋体" w:hAnsi="宋体" w:eastAsia="宋体" w:cs="宋体"/>
          <w:b/>
          <w:bCs/>
          <w:color w:val="000000" w:themeColor="text1"/>
          <w:spacing w:val="20"/>
          <w:sz w:val="52"/>
          <w:szCs w:val="52"/>
        </w:rPr>
        <w:t xml:space="preserve">公开</w:t>
      </w:r>
      <w:r/>
    </w:p>
    <w:p>
      <w:pPr>
        <w:jc w:val="center"/>
        <w:rPr>
          <w:rFonts w:hint="eastAsia" w:ascii="宋体" w:hAnsi="宋体" w:eastAsia="宋体" w:cs="宋体"/>
          <w:b/>
          <w:bCs/>
          <w:color w:val="000000" w:themeColor="text1"/>
          <w:spacing w:val="20"/>
          <w:sz w:val="52"/>
          <w:szCs w:val="52"/>
        </w:rPr>
      </w:pPr>
      <w:r>
        <w:rPr>
          <w:rFonts w:hint="eastAsia" w:ascii="宋体" w:hAnsi="宋体" w:eastAsia="宋体" w:cs="宋体"/>
          <w:b/>
          <w:color w:val="000000" w:themeColor="text1"/>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197485</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9.0pt,15.5pt" fillcolor="#FFFFFF" strokecolor="#000000"/>
            </w:pict>
          </mc:Fallback>
        </mc:AlternateContent>
      </w:r>
      <w:r>
        <w:rPr>
          <w:rFonts w:hint="eastAsia" w:ascii="宋体" w:hAnsi="宋体" w:eastAsia="宋体" w:cs="宋体"/>
          <w:b/>
          <w:bCs/>
          <w:color w:val="000000" w:themeColor="text1"/>
          <w:spacing w:val="20"/>
          <w:sz w:val="52"/>
          <w:szCs w:val="52"/>
        </w:rPr>
        <w:t xml:space="preserve">招标文件</w:t>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tabs>
          <w:tab w:val="left" w:pos="9921" w:leader="none"/>
        </w:tabs>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r>
      <w:r>
        <w:rPr>
          <w:rFonts w:hint="eastAsia" w:ascii="宋体" w:hAnsi="宋体" w:eastAsia="宋体" w:cs="宋体"/>
          <w:bCs/>
          <w:color w:val="000000" w:themeColor="text1"/>
          <w:sz w:val="24"/>
          <w:szCs w:val="24"/>
        </w:rPr>
      </w:r>
      <w:r/>
    </w:p>
    <w:p>
      <w:pPr>
        <w:jc w:val="center"/>
        <w:tabs>
          <w:tab w:val="left" w:pos="99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hint="eastAsia" w:ascii="宋体" w:hAnsi="宋体" w:eastAsia="宋体" w:cs="宋体"/>
          <w:color w:val="000000" w:themeColor="text1"/>
          <w:sz w:val="24"/>
          <w:szCs w:val="24"/>
        </w:rPr>
      </w:r>
      <w:r/>
    </w:p>
    <w:p>
      <w:pPr>
        <w:jc w:val="center"/>
        <w:tabs>
          <w:tab w:val="left" w:pos="99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hint="eastAsia" w:ascii="宋体" w:hAnsi="宋体" w:eastAsia="宋体" w:cs="宋体"/>
          <w:color w:val="000000" w:themeColor="text1"/>
          <w:sz w:val="24"/>
          <w:szCs w:val="24"/>
        </w:rPr>
      </w:r>
      <w:r/>
    </w:p>
    <w:p>
      <w:pPr>
        <w:jc w:val="left"/>
        <w:tabs>
          <w:tab w:val="left" w:pos="99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hint="eastAsia" w:ascii="宋体" w:hAnsi="宋体" w:eastAsia="宋体" w:cs="宋体"/>
          <w:color w:val="000000" w:themeColor="text1"/>
          <w:sz w:val="24"/>
          <w:szCs w:val="24"/>
        </w:rPr>
      </w:r>
      <w:r/>
    </w:p>
    <w:p>
      <w:pPr>
        <w:jc w:val="left"/>
        <w:tabs>
          <w:tab w:val="left" w:pos="9921" w:leader="none"/>
        </w:tabs>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t xml:space="preserve">采购项目编号： JSZC-320211-JZCG-G2024-0068</w:t>
      </w:r>
      <w:r/>
    </w:p>
    <w:p>
      <w:pPr>
        <w:jc w:val="left"/>
        <w:spacing w:line="360" w:lineRule="auto"/>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t xml:space="preserve">采购项目名称：无锡市滨湖区建设工程智慧监管平台 </w:t>
      </w:r>
      <w:r/>
    </w:p>
    <w:p>
      <w:pPr>
        <w:jc w:val="left"/>
        <w:spacing w:line="360" w:lineRule="auto"/>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t xml:space="preserve">集中采购机构：无锡市滨湖区公共资源交易中心</w:t>
      </w:r>
      <w:r/>
    </w:p>
    <w:p>
      <w:pP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8"/>
        </w:rPr>
      </w:r>
      <w:r>
        <w:rPr>
          <w:rFonts w:hint="eastAsia" w:ascii="宋体" w:hAnsi="宋体" w:eastAsia="宋体" w:cs="宋体"/>
          <w:bCs/>
          <w:color w:val="000000" w:themeColor="text1"/>
          <w:sz w:val="28"/>
          <w:szCs w:val="28"/>
        </w:rPr>
      </w:r>
      <w:r/>
    </w:p>
    <w:p>
      <w:pP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44"/>
          <w:szCs w:val="44"/>
        </w:rPr>
      </w:pPr>
      <w:r>
        <w:rPr>
          <w:rFonts w:hint="eastAsia" w:ascii="宋体" w:hAnsi="宋体" w:eastAsia="宋体" w:cs="宋体"/>
          <w:bCs/>
          <w:color w:val="000000" w:themeColor="text1"/>
          <w:sz w:val="44"/>
          <w:szCs w:val="44"/>
        </w:rPr>
        <w:t xml:space="preserve">二○二四年</w:t>
      </w:r>
      <w:r>
        <w:rPr>
          <w:rFonts w:hint="eastAsia" w:ascii="宋体" w:hAnsi="宋体" w:eastAsia="宋体" w:cs="宋体"/>
          <w:bCs/>
          <w:color w:val="000000" w:themeColor="text1"/>
          <w:sz w:val="44"/>
          <w:szCs w:val="44"/>
          <w:lang w:val="en-US" w:eastAsia="zh-CN"/>
        </w:rPr>
        <w:t xml:space="preserve">十一</w:t>
      </w:r>
      <w:r>
        <w:rPr>
          <w:rFonts w:hint="eastAsia" w:ascii="宋体" w:hAnsi="宋体" w:eastAsia="宋体" w:cs="宋体"/>
          <w:bCs/>
          <w:color w:val="000000" w:themeColor="text1"/>
          <w:sz w:val="44"/>
          <w:szCs w:val="44"/>
        </w:rPr>
        <w:t xml:space="preserve">月</w:t>
      </w:r>
      <w:r/>
    </w:p>
    <w:p>
      <w:pPr>
        <w:jc w:val="both"/>
        <w:rPr>
          <w:rStyle w:val="768"/>
          <w:rFonts w:hint="eastAsia" w:ascii="宋体" w:hAnsi="宋体" w:eastAsia="宋体" w:cs="宋体"/>
          <w:bCs/>
          <w:color w:val="000000" w:themeColor="text1"/>
          <w:sz w:val="24"/>
          <w:szCs w:val="24"/>
          <w:u w:val="none"/>
        </w:rPr>
      </w:pPr>
      <w:r>
        <w:rPr>
          <w:rFonts w:hint="eastAsia" w:ascii="宋体" w:hAnsi="宋体" w:eastAsia="宋体" w:cs="宋体"/>
          <w:bCs/>
          <w:color w:val="000000" w:themeColor="text1"/>
          <w:sz w:val="24"/>
          <w:szCs w:val="24"/>
          <w:u w:val="none"/>
        </w:rPr>
      </w:r>
      <w:r/>
    </w:p>
    <w:p>
      <w:pPr>
        <w:pStyle w:val="1104"/>
        <w:ind w:firstLine="0"/>
        <w:jc w:val="center"/>
        <w:rPr>
          <w:rFonts w:hint="eastAsia" w:ascii="宋体" w:hAnsi="宋体" w:eastAsia="宋体" w:cs="宋体"/>
          <w:sz w:val="36"/>
          <w:szCs w:val="36"/>
        </w:rPr>
      </w:pPr>
      <w:r>
        <w:rPr>
          <w:rFonts w:hint="eastAsia" w:ascii="宋体" w:hAnsi="宋体" w:eastAsia="宋体" w:cs="宋体"/>
          <w:sz w:val="36"/>
          <w:szCs w:val="36"/>
        </w:rPr>
        <w:t xml:space="preserve">总  目  录</w:t>
      </w:r>
      <w:r/>
    </w:p>
    <w:p>
      <w:pPr>
        <w:jc w:val="center"/>
        <w:spacing w:line="480" w:lineRule="auto"/>
        <w:rPr>
          <w:rFonts w:hint="eastAsia" w:ascii="宋体" w:hAnsi="宋体" w:eastAsia="宋体" w:cs="宋体"/>
          <w:sz w:val="24"/>
          <w:szCs w:val="24"/>
        </w:rPr>
        <w:outlineLvl w:val="0"/>
      </w:pPr>
      <w:r>
        <w:rPr>
          <w:rFonts w:hint="eastAsia" w:ascii="宋体" w:hAnsi="宋体" w:eastAsia="宋体" w:cs="宋体"/>
          <w:sz w:val="24"/>
          <w:szCs w:val="24"/>
        </w:rPr>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投标邀请</w:t>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投标人须知</w:t>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合同文本</w:t>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采购需求</w:t>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评标方法与评标标准</w:t>
      </w:r>
      <w:r/>
    </w:p>
    <w:p>
      <w:pPr>
        <w:numPr>
          <w:ilvl w:val="0"/>
          <w:numId w:val="5"/>
        </w:numPr>
        <w:spacing w:line="720" w:lineRule="auto"/>
        <w:rPr>
          <w:rFonts w:hint="eastAsia" w:ascii="宋体" w:hAnsi="宋体" w:eastAsia="宋体" w:cs="宋体"/>
          <w:sz w:val="30"/>
          <w:szCs w:val="30"/>
        </w:rPr>
        <w:outlineLvl w:val="0"/>
      </w:pPr>
      <w:r>
        <w:rPr>
          <w:rFonts w:hint="eastAsia" w:ascii="宋体" w:hAnsi="宋体" w:eastAsia="宋体" w:cs="宋体"/>
          <w:sz w:val="30"/>
          <w:szCs w:val="30"/>
        </w:rPr>
        <w:t xml:space="preserve">投标文件内容与格式</w:t>
      </w:r>
      <w:r/>
    </w:p>
    <w:p>
      <w:pPr>
        <w:spacing w:line="72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
          <w:bCs/>
          <w:color w:val="000000" w:themeColor="text1"/>
          <w:sz w:val="24"/>
          <w:szCs w:val="24"/>
        </w:rPr>
      </w:pPr>
      <w:r/>
      <w:bookmarkStart w:id="0" w:name="报价方须知前附表"/>
      <w:r/>
      <w:bookmarkEnd w:id="0"/>
      <w:r/>
      <w:r/>
    </w:p>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jc w:val="cente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p>
    <w:p>
      <w:pPr>
        <w:jc w:val="cente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一．投标邀请函</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我中心受</w:t>
      </w:r>
      <w:r>
        <w:rPr>
          <w:rFonts w:hint="eastAsia" w:ascii="宋体" w:hAnsi="宋体" w:eastAsia="宋体" w:cs="宋体"/>
          <w:bCs/>
          <w:sz w:val="24"/>
          <w:szCs w:val="24"/>
        </w:rPr>
        <w:t xml:space="preserve">无锡市滨湖区审计局</w:t>
      </w:r>
      <w:r>
        <w:rPr>
          <w:rFonts w:hint="eastAsia" w:ascii="宋体" w:hAnsi="宋体" w:eastAsia="宋体" w:cs="宋体"/>
          <w:bCs/>
          <w:color w:val="000000"/>
          <w:sz w:val="24"/>
          <w:szCs w:val="24"/>
        </w:rPr>
        <w:t xml:space="preserve">的委托，对</w:t>
      </w:r>
      <w:r>
        <w:rPr>
          <w:rFonts w:hint="eastAsia" w:ascii="宋体" w:hAnsi="宋体" w:eastAsia="宋体" w:cs="宋体"/>
          <w:bCs/>
          <w:sz w:val="24"/>
          <w:szCs w:val="24"/>
        </w:rPr>
        <w:t xml:space="preserve">无锡市滨湖区建设工程智慧监管平台</w:t>
      </w:r>
      <w:r>
        <w:rPr>
          <w:rFonts w:hint="eastAsia" w:ascii="宋体" w:hAnsi="宋体" w:eastAsia="宋体" w:cs="宋体"/>
          <w:bCs/>
          <w:color w:val="000000"/>
          <w:sz w:val="24"/>
          <w:szCs w:val="24"/>
        </w:rPr>
        <w:t xml:space="preserve">进行</w:t>
      </w:r>
      <w:r>
        <w:rPr>
          <w:rFonts w:hint="eastAsia" w:ascii="宋体" w:hAnsi="宋体" w:eastAsia="宋体" w:cs="宋体"/>
          <w:bCs/>
          <w:color w:val="000000" w:themeColor="text1"/>
          <w:sz w:val="24"/>
          <w:szCs w:val="24"/>
        </w:rPr>
        <w:t xml:space="preserve">公开招标采购</w:t>
      </w:r>
      <w:r>
        <w:rPr>
          <w:rFonts w:hint="eastAsia" w:ascii="宋体" w:hAnsi="宋体" w:eastAsia="宋体" w:cs="宋体"/>
          <w:bCs/>
          <w:color w:val="000000"/>
          <w:sz w:val="24"/>
          <w:szCs w:val="24"/>
        </w:rPr>
        <w:t xml:space="preserve">，欢迎符合相关条件的供应商参加投标。</w:t>
      </w:r>
      <w:r/>
    </w:p>
    <w:p>
      <w:pPr>
        <w:ind w:firstLine="480"/>
        <w:spacing w:line="500" w:lineRule="exact"/>
        <w:rPr>
          <w:rFonts w:hint="eastAsia"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500" w:lineRule="exact"/>
        <w:rPr>
          <w:rFonts w:hint="eastAsia"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无锡市滨湖区建设工程智慧监管平台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0000ff"/>
          <w:sz w:val="24"/>
          <w:szCs w:val="24"/>
        </w:rPr>
        <w:t xml:space="preserve">2024年</w:t>
      </w:r>
      <w:r>
        <w:rPr>
          <w:rFonts w:hint="eastAsia" w:ascii="宋体" w:hAnsi="宋体" w:eastAsia="宋体" w:cs="宋体"/>
          <w:b/>
          <w:bCs/>
          <w:color w:val="0000ff"/>
          <w:sz w:val="24"/>
          <w:szCs w:val="24"/>
          <w:lang w:val="en-US" w:eastAsia="zh-CN"/>
        </w:rPr>
        <w:t xml:space="preserve">12</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lang w:val="en-US" w:eastAsia="zh-CN"/>
        </w:rPr>
        <w:t xml:space="preserve">11</w:t>
      </w:r>
      <w:r>
        <w:rPr>
          <w:rFonts w:hint="eastAsia" w:ascii="宋体" w:hAnsi="宋体" w:eastAsia="宋体" w:cs="宋体"/>
          <w:b/>
          <w:bCs/>
          <w:color w:val="0000ff"/>
          <w:sz w:val="24"/>
          <w:szCs w:val="24"/>
        </w:rPr>
        <w:t xml:space="preserve">日09点30分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w:t>
      </w:r>
      <w:r>
        <w:rPr>
          <w:rFonts w:hint="eastAsia" w:ascii="宋体" w:hAnsi="宋体" w:eastAsia="宋体" w:cs="宋体"/>
          <w:b/>
          <w:color w:val="000000" w:themeColor="text1"/>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1.项目名称：无锡市滨湖区建设工程智慧监管平台</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2.项目编号：JSZC-320211-JZCG-G2024-0068</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lang w:val="en-US" w:eastAsia="zh-CN"/>
        </w:rPr>
        <w:t xml:space="preserve">271.63</w:t>
      </w:r>
      <w:r>
        <w:rPr>
          <w:rFonts w:hint="eastAsia" w:ascii="宋体" w:hAnsi="宋体" w:eastAsia="宋体" w:cs="宋体"/>
          <w:color w:val="000000" w:themeColor="text1"/>
          <w:sz w:val="24"/>
          <w:szCs w:val="24"/>
        </w:rPr>
        <w:t xml:space="preserve">万元；</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4.项目</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262.75</w:t>
      </w:r>
      <w:r>
        <w:rPr>
          <w:rFonts w:hint="eastAsia" w:ascii="宋体" w:hAnsi="宋体" w:eastAsia="宋体" w:cs="宋体"/>
          <w:color w:val="000000" w:themeColor="text1"/>
          <w:sz w:val="24"/>
          <w:szCs w:val="24"/>
        </w:rPr>
        <w:t xml:space="preserve">万</w:t>
      </w:r>
      <w:r>
        <w:rPr>
          <w:rFonts w:hint="eastAsia" w:ascii="宋体" w:hAnsi="宋体" w:eastAsia="宋体" w:cs="宋体"/>
          <w:color w:val="000000"/>
          <w:sz w:val="24"/>
          <w:szCs w:val="24"/>
        </w:rPr>
        <w:t xml:space="preserve">元。</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rPr>
          <w:rFonts w:hint="eastAsia" w:ascii="宋体" w:hAnsi="宋体" w:eastAsia="宋体" w:cs="宋体"/>
          <w:sz w:val="24"/>
          <w:szCs w:val="24"/>
        </w:rPr>
        <w:t xml:space="preserve">详见招标文件</w:t>
      </w:r>
      <w:r>
        <w:rPr>
          <w:rFonts w:hint="eastAsia" w:ascii="宋体" w:hAnsi="宋体" w:eastAsia="宋体" w:cs="宋体"/>
          <w:b/>
          <w:bCs/>
          <w:sz w:val="24"/>
          <w:szCs w:val="24"/>
        </w:rPr>
        <w:t xml:space="preserve">第四章《采购需求》</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sz w:val="24"/>
          <w:szCs w:val="24"/>
        </w:rPr>
        <w:t xml:space="preserve"> 合同履行期限：</w:t>
      </w:r>
      <w:r>
        <w:rPr>
          <w:rFonts w:hint="eastAsia" w:ascii="宋体" w:hAnsi="宋体" w:eastAsia="宋体" w:cs="宋体"/>
          <w:sz w:val="24"/>
          <w:szCs w:val="24"/>
        </w:rPr>
        <w:t xml:space="preserve">详见招标文件第四章</w:t>
      </w:r>
      <w:r>
        <w:rPr>
          <w:rFonts w:hint="eastAsia" w:ascii="宋体" w:hAnsi="宋体" w:eastAsia="宋体" w:cs="宋体"/>
          <w:b/>
          <w:bCs/>
          <w:sz w:val="24"/>
          <w:szCs w:val="24"/>
        </w:rPr>
        <w:t xml:space="preserve">《采购需求》</w:t>
      </w:r>
      <w:r>
        <w:rPr>
          <w:rFonts w:hint="eastAsia" w:ascii="宋体" w:hAnsi="宋体" w:eastAsia="宋体" w:cs="宋体"/>
          <w:color w:val="000000" w:themeColor="text1"/>
          <w:sz w:val="24"/>
          <w:szCs w:val="24"/>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 本项目是否专门面向中小微企业：</w:t>
      </w:r>
      <w:r>
        <w:rPr>
          <w:rFonts w:hint="eastAsia" w:ascii="宋体" w:hAnsi="宋体" w:eastAsia="宋体" w:cs="宋体"/>
          <w:b/>
          <w:color w:val="000000" w:themeColor="text1"/>
          <w:sz w:val="24"/>
          <w:szCs w:val="24"/>
          <w:lang w:val="en-US" w:eastAsia="zh-CN"/>
        </w:rPr>
        <w:t xml:space="preserve">否</w:t>
      </w:r>
      <w:r>
        <w:rPr>
          <w:rFonts w:hint="eastAsia" w:ascii="宋体" w:hAnsi="宋体" w:eastAsia="宋体" w:cs="宋体"/>
          <w:color w:val="000000" w:themeColor="text1"/>
          <w:sz w:val="24"/>
          <w:szCs w:val="24"/>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 本项目的所属行业：</w:t>
      </w:r>
      <w:r>
        <w:rPr>
          <w:rFonts w:hint="eastAsia" w:ascii="宋体" w:hAnsi="宋体" w:eastAsia="宋体" w:cs="宋体"/>
          <w:sz w:val="24"/>
          <w:szCs w:val="24"/>
        </w:rPr>
        <w:t xml:space="preserve">软件和信息技术服务业</w:t>
      </w:r>
      <w:r>
        <w:rPr>
          <w:rFonts w:hint="eastAsia" w:ascii="宋体" w:hAnsi="宋体" w:eastAsia="宋体" w:cs="宋体"/>
          <w:color w:val="000000" w:themeColor="text1"/>
          <w:sz w:val="24"/>
          <w:szCs w:val="24"/>
        </w:rPr>
        <w:t xml:space="preserve">。</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color w:val="000000" w:themeColor="text1"/>
          <w:sz w:val="24"/>
          <w:szCs w:val="24"/>
        </w:rPr>
        <w:t xml:space="preserve">9. 本项目</w:t>
      </w:r>
      <w:r>
        <w:rPr>
          <w:rFonts w:hint="eastAsia" w:ascii="宋体" w:hAnsi="宋体" w:eastAsia="宋体" w:cs="宋体"/>
          <w:b/>
          <w:bCs/>
          <w:color w:val="000000" w:themeColor="text1"/>
          <w:sz w:val="24"/>
          <w:szCs w:val="24"/>
          <w:u w:val="single"/>
        </w:rPr>
        <w:t xml:space="preserve">不接受 </w:t>
      </w:r>
      <w:r>
        <w:rPr>
          <w:rFonts w:hint="eastAsia" w:ascii="宋体" w:hAnsi="宋体" w:eastAsia="宋体" w:cs="宋体"/>
          <w:color w:val="000000" w:themeColor="text1"/>
          <w:sz w:val="24"/>
          <w:szCs w:val="24"/>
        </w:rPr>
        <w:t xml:space="preserve">联合投标。</w:t>
      </w:r>
      <w:r/>
    </w:p>
    <w:p>
      <w:pPr>
        <w:ind w:firstLine="480"/>
        <w:jc w:val="left"/>
        <w:spacing w:line="360" w:lineRule="auto"/>
        <w:shd w:val="clear" w:color="auto" w:fill="ffffff"/>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（二）投标人资格要求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2.1中小企业政策：</w:t>
      </w:r>
      <w:r>
        <w:rPr>
          <w:rFonts w:hint="eastAsia" w:ascii="宋体" w:hAnsi="宋体" w:eastAsia="宋体" w:cs="宋体"/>
          <w:sz w:val="24"/>
          <w:szCs w:val="24"/>
          <w:lang w:val="en-US" w:eastAsia="zh-CN"/>
        </w:rPr>
        <w:t xml:space="preserve">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ind w:firstLine="480"/>
        <w:jc w:val="left"/>
        <w:spacing w:line="360" w:lineRule="auto"/>
        <w:shd w:val="clear" w:color="auto" w:fill="ffffff"/>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（三）获取采购文件的时间期限</w:t>
      </w:r>
      <w:r/>
    </w:p>
    <w:p>
      <w:pPr>
        <w:ind w:firstLine="54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2.地点：</w:t>
      </w:r>
      <w:r>
        <w:rPr>
          <w:rFonts w:hint="eastAsia" w:ascii="宋体" w:hAnsi="宋体" w:eastAsia="宋体" w:cs="宋体"/>
          <w:color w:val="000000"/>
          <w:sz w:val="24"/>
          <w:szCs w:val="24"/>
        </w:rPr>
        <w:t xml:space="preserve">“江苏省政府采购（苏采云）平台”。</w:t>
      </w:r>
      <w:r/>
    </w:p>
    <w:p>
      <w:pPr>
        <w:ind w:firstLine="540"/>
        <w:spacing w:line="500" w:lineRule="exact"/>
        <w:rPr>
          <w:rStyle w:val="771"/>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3.方式：请有投标意向的供应商在招标文件有效获取期内及时至</w:t>
      </w:r>
      <w:r>
        <w:rPr>
          <w:rFonts w:hint="eastAsia" w:ascii="宋体" w:hAnsi="宋体" w:eastAsia="宋体" w:cs="宋体"/>
          <w:color w:val="000000"/>
          <w:sz w:val="24"/>
          <w:szCs w:val="24"/>
        </w:rPr>
        <w:t xml:space="preserve">“江苏省政府采购（苏采云）平台”获取。</w:t>
      </w:r>
      <w:r>
        <w:rPr>
          <w:rFonts w:hint="eastAsia" w:ascii="宋体" w:hAnsi="宋体" w:eastAsia="宋体" w:cs="宋体"/>
          <w:bCs/>
          <w:color w:val="000000"/>
          <w:sz w:val="24"/>
          <w:szCs w:val="24"/>
        </w:rPr>
        <w:t xml:space="preserve">在招标文件有效获取期限内，从</w:t>
      </w:r>
      <w:r>
        <w:rPr>
          <w:rFonts w:hint="eastAsia" w:ascii="宋体" w:hAnsi="宋体" w:eastAsia="宋体" w:cs="宋体"/>
          <w:color w:val="000000"/>
          <w:sz w:val="24"/>
          <w:szCs w:val="24"/>
        </w:rPr>
        <w:t xml:space="preserve">“江苏省政府采购（苏采云）平台”获取的</w:t>
      </w:r>
      <w:r>
        <w:rPr>
          <w:rFonts w:hint="eastAsia" w:ascii="宋体" w:hAnsi="宋体" w:eastAsia="宋体" w:cs="宋体"/>
          <w:bCs/>
          <w:color w:val="000000"/>
          <w:sz w:val="24"/>
          <w:szCs w:val="24"/>
        </w:rPr>
        <w:t xml:space="preserve">招标文件，视为依法获取的招标文件。</w:t>
      </w:r>
      <w:r/>
    </w:p>
    <w:p>
      <w:pPr>
        <w:ind w:firstLine="540"/>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4.售价：本项目招标文件免费。</w:t>
      </w:r>
      <w:r/>
    </w:p>
    <w:p>
      <w:pPr>
        <w:ind w:firstLine="480"/>
        <w:jc w:val="left"/>
        <w:spacing w:line="356" w:lineRule="auto"/>
        <w:shd w:val="clear" w:color="auto" w:fill="ffffff"/>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1.时间：</w:t>
      </w:r>
      <w:r>
        <w:rPr>
          <w:rFonts w:hint="eastAsia" w:ascii="宋体" w:hAnsi="宋体" w:eastAsia="宋体" w:cs="宋体"/>
          <w:b/>
          <w:bCs/>
          <w:color w:val="0000ff"/>
          <w:sz w:val="24"/>
          <w:szCs w:val="24"/>
        </w:rPr>
        <w:t xml:space="preserve">2024年</w:t>
      </w:r>
      <w:r>
        <w:rPr>
          <w:rFonts w:hint="eastAsia" w:ascii="宋体" w:hAnsi="宋体" w:eastAsia="宋体" w:cs="宋体"/>
          <w:b/>
          <w:bCs/>
          <w:color w:val="0000ff"/>
          <w:sz w:val="24"/>
          <w:szCs w:val="24"/>
          <w:lang w:val="en-US" w:eastAsia="zh-CN"/>
        </w:rPr>
        <w:t xml:space="preserve">12</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lang w:val="en-US" w:eastAsia="zh-CN"/>
        </w:rPr>
        <w:t xml:space="preserve">11</w:t>
      </w:r>
      <w:r>
        <w:rPr>
          <w:rFonts w:hint="eastAsia" w:ascii="宋体" w:hAnsi="宋体" w:eastAsia="宋体" w:cs="宋体"/>
          <w:b/>
          <w:bCs/>
          <w:color w:val="0000ff"/>
          <w:sz w:val="24"/>
          <w:szCs w:val="24"/>
        </w:rPr>
        <w:t xml:space="preserve">日9点30分</w:t>
      </w:r>
      <w:r>
        <w:rPr>
          <w:rFonts w:hint="eastAsia" w:ascii="宋体" w:hAnsi="宋体" w:eastAsia="宋体" w:cs="宋体"/>
          <w:bCs/>
          <w:sz w:val="24"/>
          <w:szCs w:val="24"/>
        </w:rPr>
        <w:t xml:space="preserve">（北京时间），截止时间后上传的任何投标文件恕不接受。</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2.地点：</w:t>
      </w:r>
      <w:r>
        <w:rPr>
          <w:rFonts w:hint="eastAsia" w:ascii="宋体" w:hAnsi="宋体" w:eastAsia="宋体" w:cs="宋体"/>
          <w:sz w:val="24"/>
          <w:szCs w:val="24"/>
        </w:rPr>
        <w:t xml:space="preserve">“江苏省政府采购（苏采云）平台”网上开标大厅。</w:t>
      </w:r>
      <w:r/>
    </w:p>
    <w:p>
      <w:pPr>
        <w:pStyle w:val="855"/>
        <w:ind w:firstLine="452"/>
        <w:keepLines w:val="0"/>
        <w:keepNext w:val="0"/>
        <w:spacing w:before="0" w:after="0" w:line="500" w:lineRule="exact"/>
        <w:rPr>
          <w:rFonts w:hint="eastAsia" w:ascii="宋体" w:hAnsi="宋体" w:eastAsia="宋体" w:cs="宋体"/>
          <w:bCs w:val="0"/>
          <w:color w:val="000000" w:themeColor="text1"/>
          <w:sz w:val="24"/>
          <w:szCs w:val="24"/>
          <w:lang w:eastAsia="zh-CN"/>
        </w:rPr>
      </w:pPr>
      <w:r>
        <w:rPr>
          <w:rFonts w:hint="eastAsia" w:ascii="宋体" w:hAnsi="宋体" w:eastAsia="宋体" w:cs="宋体"/>
          <w:bCs w:val="0"/>
          <w:color w:val="000000" w:themeColor="text1"/>
          <w:sz w:val="24"/>
          <w:szCs w:val="24"/>
          <w:lang w:eastAsia="zh-CN"/>
        </w:rPr>
        <w:t xml:space="preserve">（五）公告期限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（招标公告及招标文件公告期限）自本公告发布之日起5个工作日。</w:t>
      </w:r>
      <w:r/>
    </w:p>
    <w:p>
      <w:pPr>
        <w:ind w:firstLine="48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0"/>
        <w:spacing w:line="356" w:lineRule="auto"/>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szCs w:val="24"/>
        </w:rPr>
        <w:t xml:space="preserve">（七）</w:t>
      </w:r>
      <w:r>
        <w:rPr>
          <w:rFonts w:hint="eastAsia" w:ascii="宋体" w:hAnsi="宋体" w:eastAsia="宋体" w:cs="宋体"/>
          <w:b/>
          <w:bCs/>
          <w:color w:val="000000" w:themeColor="text1"/>
          <w:sz w:val="24"/>
          <w:szCs w:val="24"/>
        </w:rPr>
        <w:t xml:space="preserve">本次招标联系方式</w:t>
      </w:r>
      <w:r/>
    </w:p>
    <w:p>
      <w:pPr>
        <w:ind w:firstLine="480"/>
        <w:spacing w:line="35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1.集中采购机构：</w:t>
      </w:r>
      <w:r/>
    </w:p>
    <w:p>
      <w:pPr>
        <w:ind w:firstLine="480"/>
        <w:spacing w:line="35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名称：无锡市滨湖区公共资源交易中心</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项目联系人：姚坤  徐鹏飞 </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电话：0510-81173539              传真：0510-81173514</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 无锡市滨湖区隐秀路152号   </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2.采购人：</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名称：无锡市滨湖区审计局</w:t>
      </w:r>
      <w:r/>
    </w:p>
    <w:p>
      <w:pPr>
        <w:ind w:firstLine="480"/>
        <w:jc w:val="left"/>
        <w:spacing w:line="356"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联系人：朱恩杰</w:t>
      </w:r>
      <w:r/>
    </w:p>
    <w:p>
      <w:pPr>
        <w:ind w:firstLine="480"/>
        <w:jc w:val="left"/>
        <w:spacing w:line="356"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联系电话：18961784958</w:t>
      </w:r>
      <w:r>
        <w:rPr>
          <w:rFonts w:hint="eastAsia" w:ascii="宋体" w:hAnsi="宋体" w:eastAsia="宋体" w:cs="宋体"/>
          <w:color w:val="000000" w:themeColor="text1"/>
          <w:sz w:val="24"/>
          <w:szCs w:val="24"/>
          <w:lang w:val="en-US" w:eastAsia="zh-CN"/>
        </w:rPr>
        <w:t xml:space="preserve"> 0510-81178931</w:t>
      </w:r>
      <w:r/>
    </w:p>
    <w:p>
      <w:pPr>
        <w:ind w:firstLine="480"/>
        <w:jc w:val="left"/>
        <w:spacing w:line="356" w:lineRule="auto"/>
        <w:shd w:val="clear" w:color="auto" w:fill="ffffff"/>
        <w:widowControl/>
        <w:rPr>
          <w:rFonts w:hint="eastAsia" w:ascii="宋体" w:hAnsi="宋体" w:eastAsia="宋体" w:cs="宋体"/>
          <w:sz w:val="24"/>
          <w:szCs w:val="24"/>
        </w:rPr>
      </w:pPr>
      <w:r>
        <w:rPr>
          <w:rFonts w:hint="eastAsia" w:ascii="宋体" w:hAnsi="宋体" w:eastAsia="宋体" w:cs="宋体"/>
          <w:color w:val="000000" w:themeColor="text1"/>
          <w:sz w:val="24"/>
          <w:szCs w:val="24"/>
        </w:rPr>
        <w:t xml:space="preserve">联系地址：</w:t>
      </w:r>
      <w:r>
        <w:rPr>
          <w:rFonts w:hint="eastAsia" w:ascii="宋体" w:hAnsi="宋体" w:eastAsia="宋体" w:cs="宋体"/>
          <w:color w:val="000000" w:themeColor="text1"/>
          <w:sz w:val="24"/>
          <w:szCs w:val="24"/>
          <w:lang w:val="en-US" w:eastAsia="zh-CN"/>
        </w:rPr>
        <w:t xml:space="preserve">无锡市滨湖区</w:t>
      </w:r>
      <w:r>
        <w:rPr>
          <w:rFonts w:hint="eastAsia" w:ascii="宋体" w:hAnsi="宋体" w:eastAsia="宋体" w:cs="宋体"/>
          <w:color w:val="000000" w:themeColor="text1"/>
          <w:sz w:val="24"/>
          <w:szCs w:val="24"/>
        </w:rPr>
        <w:t xml:space="preserve">金城西路500号</w:t>
      </w:r>
      <w:r/>
    </w:p>
    <w:p>
      <w:pPr>
        <w:ind w:firstLine="480"/>
        <w:jc w:val="left"/>
        <w:spacing w:line="356" w:lineRule="auto"/>
        <w:shd w:val="clear" w:color="auto" w:fill="ffffff"/>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（1）访问“无锡政府采购网”点击“江苏省政府采购（苏采云）平台”</w:t>
      </w:r>
      <w:r>
        <w:rPr>
          <w:rFonts w:hint="eastAsia" w:ascii="宋体" w:hAnsi="宋体" w:eastAsia="宋体" w:cs="宋体"/>
          <w:bCs/>
          <w:color w:val="000000"/>
          <w:sz w:val="24"/>
          <w:szCs w:val="24"/>
        </w:rPr>
        <w:t xml:space="preserve">（以下简称“苏采云”系统）</w:t>
      </w:r>
      <w:r>
        <w:rPr>
          <w:rFonts w:hint="eastAsia" w:ascii="宋体" w:hAnsi="宋体" w:eastAsia="宋体" w:cs="宋体"/>
          <w:color w:val="000000"/>
          <w:sz w:val="24"/>
          <w:szCs w:val="24"/>
        </w:rPr>
        <w:t xml:space="preserve">选择供应商版块，点击“用户注册”按钮，进行账号注册，注册完成后需在</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（2）办理“意源”CA数字证书和“方正”电子签章（办理地址：无锡市滨湖区观山路199号12号楼二楼9号、10号窗口），办理指南链接：http://jsxcmm.com/help/help.html。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“苏采云”系统账号登录</w:t>
      </w:r>
      <w:r>
        <w:rPr>
          <w:rFonts w:hint="eastAsia" w:ascii="宋体" w:hAnsi="宋体" w:eastAsia="宋体" w:cs="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2.完成</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账号注册的供应商方可在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中进行CA绑定。登录</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"http://cz.wuxi.gov.cn/doc/2023/10/11/4080287.shtml" \t "_blank"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“苏采云”系统供应商操作手册</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供应商可在项目招标公告附件中查看公开招标文件，如确定参加本次采购活动，必须在</w:t>
      </w:r>
      <w:r>
        <w:rPr>
          <w:rFonts w:hint="eastAsia" w:ascii="宋体" w:hAnsi="宋体" w:eastAsia="宋体" w:cs="宋体"/>
          <w:bCs/>
          <w:color w:val="000000"/>
          <w:sz w:val="24"/>
          <w:szCs w:val="24"/>
        </w:rPr>
        <w:t xml:space="preserve">招标文件提供期限</w:t>
      </w:r>
      <w:r>
        <w:rPr>
          <w:rFonts w:hint="eastAsia" w:ascii="宋体" w:hAnsi="宋体" w:eastAsia="宋体" w:cs="宋体"/>
          <w:color w:val="000000"/>
          <w:sz w:val="24"/>
          <w:szCs w:val="24"/>
        </w:rPr>
        <w:t xml:space="preserve">内从</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（三）有关本次采购的事项若存在变动或修改，敬请及时关注无锡市滨湖区公共资源交易中心在“无锡政府采购网”“江苏政府采购网”发布的更正公告。</w:t>
      </w:r>
      <w:r/>
    </w:p>
    <w:p>
      <w:pPr>
        <w:ind w:firstLine="480"/>
        <w:spacing w:line="500" w:lineRule="exact"/>
        <w:tabs>
          <w:tab w:val="left" w:pos="900" w:leader="none"/>
        </w:tabs>
        <w:rPr>
          <w:rFonts w:hint="eastAsia" w:ascii="宋体" w:hAnsi="宋体" w:eastAsia="宋体" w:cs="宋体"/>
          <w:bCs/>
          <w:color w:val="000000"/>
          <w:sz w:val="24"/>
          <w:szCs w:val="24"/>
          <w:shd w:val="clear" w:color="ffffff" w:fill="d9d9d9"/>
        </w:rPr>
      </w:pPr>
      <w:r>
        <w:rPr>
          <w:rFonts w:hint="eastAsia" w:ascii="宋体" w:hAnsi="宋体" w:eastAsia="宋体" w:cs="宋体"/>
          <w:bCs/>
          <w:color w:val="000000"/>
          <w:sz w:val="24"/>
          <w:szCs w:val="24"/>
        </w:rPr>
        <w:t xml:space="preserve">（四）本次采购不收取投标保证金。</w:t>
      </w:r>
      <w:r/>
    </w:p>
    <w:p>
      <w:pPr>
        <w:ind w:firstLine="480"/>
        <w:jc w:val="left"/>
        <w:spacing w:line="356"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（五）其他事项</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1）纸质投标文件：本项目为不见面开标，报价人无需递交纸质投标文件至现场，</w:t>
      </w:r>
      <w:r>
        <w:rPr>
          <w:rFonts w:hint="eastAsia" w:ascii="宋体" w:hAnsi="宋体" w:eastAsia="宋体" w:cs="宋体"/>
          <w:b/>
          <w:sz w:val="24"/>
          <w:szCs w:val="24"/>
        </w:rPr>
        <w:t xml:space="preserve">中标后中标供应商向集中采购机构提供与电子投标文件完全一致的纸质投标文件（2份：一正、一副）。</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2）供应商请仔细阅读供应商注册流程和招标文件中关于电子开评标等相关事项，如有问题可发送邮件或电话咨询。</w:t>
      </w:r>
      <w:bookmarkStart w:id="1" w:name="_Toc120614211"/>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widowControl/>
        <w:rPr>
          <w:rFonts w:hint="eastAsia" w:ascii="宋体" w:hAnsi="宋体" w:eastAsia="宋体" w:cs="宋体"/>
          <w:b/>
          <w:bCs/>
          <w:color w:val="000000" w:themeColor="text1"/>
          <w:sz w:val="28"/>
          <w:szCs w:val="28"/>
        </w:rPr>
      </w:pPr>
      <w:r>
        <w:rPr>
          <w:rFonts w:hint="eastAsia" w:ascii="宋体" w:hAnsi="宋体" w:eastAsia="宋体" w:cs="宋体"/>
          <w:b/>
          <w:bCs/>
          <w:sz w:val="28"/>
          <w:szCs w:val="28"/>
        </w:rPr>
        <w:t xml:space="preserve">第二章  </w:t>
      </w:r>
      <w:bookmarkEnd w:id="1"/>
      <w:r/>
      <w:bookmarkStart w:id="2" w:name="_Toc513029202"/>
      <w:r/>
      <w:bookmarkStart w:id="3" w:name="_Toc120614213"/>
      <w:r/>
      <w:bookmarkStart w:id="4" w:name="_Toc20823274"/>
      <w:r/>
      <w:bookmarkStart w:id="5" w:name="_Toc16938518"/>
      <w:r>
        <w:rPr>
          <w:rFonts w:hint="eastAsia" w:ascii="宋体" w:hAnsi="宋体" w:eastAsia="宋体" w:cs="宋体"/>
          <w:b/>
          <w:bCs/>
          <w:sz w:val="28"/>
          <w:szCs w:val="28"/>
        </w:rPr>
        <w:t xml:space="preserve">投标人须知</w:t>
      </w:r>
      <w:bookmarkEnd w:id="2"/>
      <w:r/>
      <w:bookmarkEnd w:id="3"/>
      <w:r/>
      <w:bookmarkEnd w:id="4"/>
      <w:r/>
      <w:bookmarkEnd w:id="5"/>
      <w:r/>
      <w:r/>
    </w:p>
    <w:p>
      <w:pPr>
        <w:pStyle w:val="855"/>
        <w:ind w:firstLine="452"/>
        <w:keepLines w:val="0"/>
        <w:keepNext w:val="0"/>
        <w:spacing w:before="0" w:after="0" w:line="500" w:lineRule="exact"/>
        <w:rPr>
          <w:rFonts w:hint="eastAsia" w:ascii="宋体" w:hAnsi="宋体" w:eastAsia="宋体" w:cs="宋体"/>
          <w:b/>
          <w:bCs/>
          <w:sz w:val="28"/>
          <w:szCs w:val="28"/>
          <w:lang w:eastAsia="zh-CN"/>
        </w:rPr>
      </w:pPr>
      <w:r/>
      <w:bookmarkStart w:id="6" w:name="_Toc20823275"/>
      <w:r/>
      <w:bookmarkStart w:id="7" w:name="_Toc513029203"/>
      <w:r/>
      <w:bookmarkStart w:id="8" w:name="_Toc120614214"/>
      <w:r/>
      <w:bookmarkStart w:id="9" w:name="_Toc16938519"/>
      <w:r>
        <w:rPr>
          <w:rFonts w:hint="eastAsia" w:ascii="宋体" w:hAnsi="宋体" w:eastAsia="宋体" w:cs="宋体"/>
          <w:b/>
          <w:bCs/>
          <w:sz w:val="28"/>
          <w:szCs w:val="28"/>
          <w:lang w:eastAsia="zh-CN"/>
        </w:rPr>
        <w:t xml:space="preserve">一、总则</w:t>
      </w:r>
      <w:bookmarkEnd w:id="6"/>
      <w:r/>
      <w:bookmarkEnd w:id="7"/>
      <w:r/>
      <w:bookmarkEnd w:id="8"/>
      <w:r/>
      <w:bookmarkEnd w:id="9"/>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cs="宋体"/>
          <w:bCs w:val="0"/>
          <w:sz w:val="24"/>
          <w:szCs w:val="24"/>
          <w:lang w:eastAsia="zh-CN"/>
        </w:rPr>
        <w:t xml:space="preserve">1.招标方式</w:t>
      </w:r>
      <w:bookmarkEnd w:id="11"/>
      <w:r/>
      <w:bookmarkEnd w:id="12"/>
      <w:r/>
      <w:bookmarkEnd w:id="13"/>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4" w:name="_Toc513029205"/>
      <w:r/>
      <w:bookmarkStart w:id="15" w:name="_Toc16938521"/>
      <w:r/>
      <w:bookmarkStart w:id="16" w:name="_Toc20823277"/>
      <w:r>
        <w:rPr>
          <w:rFonts w:hint="eastAsia" w:ascii="宋体" w:hAnsi="宋体" w:eastAsia="宋体" w:cs="宋体"/>
          <w:bCs w:val="0"/>
          <w:sz w:val="24"/>
          <w:szCs w:val="24"/>
          <w:lang w:eastAsia="zh-CN"/>
        </w:rPr>
        <w:t xml:space="preserve">2.</w:t>
      </w:r>
      <w:bookmarkEnd w:id="14"/>
      <w:r/>
      <w:bookmarkEnd w:id="15"/>
      <w:r/>
      <w:bookmarkEnd w:id="16"/>
      <w:r>
        <w:rPr>
          <w:rFonts w:hint="eastAsia" w:ascii="宋体" w:hAnsi="宋体" w:eastAsia="宋体" w:cs="宋体"/>
          <w:bCs w:val="0"/>
          <w:sz w:val="24"/>
          <w:szCs w:val="24"/>
          <w:lang w:eastAsia="zh-CN"/>
        </w:rPr>
        <w:t xml:space="preserve">采购人、采购代理机构、投标人、联合体</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7" w:name="_Toc16938522"/>
      <w:r/>
      <w:bookmarkStart w:id="18" w:name="_Toc513029206"/>
      <w:r/>
      <w:bookmarkStart w:id="19" w:name="_Toc20823278"/>
      <w:r>
        <w:rPr>
          <w:rFonts w:hint="eastAsia" w:ascii="宋体" w:hAnsi="宋体" w:eastAsia="宋体" w:cs="宋体"/>
          <w:bCs w:val="0"/>
          <w:sz w:val="24"/>
          <w:szCs w:val="24"/>
          <w:lang w:eastAsia="zh-CN"/>
        </w:rPr>
        <w:t xml:space="preserve">3.适用法律</w:t>
      </w:r>
      <w:bookmarkEnd w:id="17"/>
      <w:r/>
      <w:bookmarkEnd w:id="18"/>
      <w:r/>
      <w:bookmarkEnd w:id="19"/>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20" w:name="_Toc16938523"/>
      <w:r/>
      <w:bookmarkStart w:id="21" w:name="_Toc513029207"/>
      <w:r/>
      <w:bookmarkStart w:id="22" w:name="_Toc462564067"/>
      <w:r/>
      <w:bookmarkStart w:id="23" w:name="_Toc20823279"/>
      <w:r>
        <w:rPr>
          <w:rFonts w:hint="eastAsia" w:ascii="宋体" w:hAnsi="宋体" w:eastAsia="宋体" w:cs="宋体"/>
          <w:bCs w:val="0"/>
          <w:sz w:val="24"/>
          <w:szCs w:val="24"/>
          <w:lang w:eastAsia="zh-CN"/>
        </w:rPr>
        <w:t xml:space="preserve">4.投标费用</w:t>
      </w:r>
      <w:bookmarkEnd w:id="20"/>
      <w:r/>
      <w:bookmarkEnd w:id="21"/>
      <w:r/>
      <w:bookmarkEnd w:id="22"/>
      <w:r/>
      <w:bookmarkEnd w:id="23"/>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4.2本次招标标书工本费、中标服务费、招标文件均免费。</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5.招标文件的约束力</w:t>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投标人一旦参加本项目采购活动，即被认为接受了本招标文件的规定和约束。</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24" w:name="_Toc16938525"/>
      <w:r/>
      <w:bookmarkStart w:id="25" w:name="_Toc20823281"/>
      <w:r/>
      <w:bookmarkStart w:id="26" w:name="_Toc120614215"/>
      <w:r/>
      <w:bookmarkStart w:id="27" w:name="_Toc513029209"/>
      <w:r>
        <w:rPr>
          <w:rFonts w:hint="eastAsia" w:ascii="宋体" w:hAnsi="宋体" w:eastAsia="宋体" w:cs="宋体"/>
          <w:sz w:val="24"/>
          <w:szCs w:val="24"/>
          <w:lang w:eastAsia="zh-CN"/>
        </w:rPr>
        <w:t xml:space="preserve">二、招标文件</w:t>
      </w:r>
      <w:bookmarkEnd w:id="24"/>
      <w:r/>
      <w:bookmarkEnd w:id="25"/>
      <w:r/>
      <w:bookmarkEnd w:id="26"/>
      <w:r/>
      <w:bookmarkEnd w:id="27"/>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28" w:name="_Toc16938526"/>
      <w:r/>
      <w:bookmarkStart w:id="29" w:name="_Toc513029210"/>
      <w:r/>
      <w:bookmarkStart w:id="30" w:name="_Toc20823282"/>
      <w:r>
        <w:rPr>
          <w:rFonts w:hint="eastAsia" w:ascii="宋体" w:hAnsi="宋体" w:eastAsia="宋体" w:cs="宋体"/>
          <w:bCs w:val="0"/>
          <w:sz w:val="24"/>
          <w:szCs w:val="24"/>
          <w:lang w:eastAsia="zh-CN"/>
        </w:rPr>
        <w:t xml:space="preserve">6.招标文件构成</w:t>
      </w:r>
      <w:bookmarkEnd w:id="28"/>
      <w:r/>
      <w:bookmarkEnd w:id="29"/>
      <w:r/>
      <w:bookmarkEnd w:id="30"/>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招标文件由以下部分组成：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（6）投标文件内容与格式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31" w:name="_Toc16938527"/>
      <w:r/>
      <w:bookmarkStart w:id="32" w:name="_Toc513029211"/>
      <w:r/>
      <w:bookmarkStart w:id="33" w:name="_Toc20823283"/>
      <w:r/>
      <w:bookmarkStart w:id="34" w:name="_Toc462564070"/>
      <w:r>
        <w:rPr>
          <w:rFonts w:hint="eastAsia" w:ascii="宋体" w:hAnsi="宋体" w:eastAsia="宋体" w:cs="宋体"/>
          <w:bCs w:val="0"/>
          <w:sz w:val="24"/>
          <w:szCs w:val="24"/>
          <w:lang w:eastAsia="zh-CN"/>
        </w:rPr>
        <w:t xml:space="preserve">7.招标文件的澄清</w:t>
      </w:r>
      <w:bookmarkEnd w:id="31"/>
      <w:r/>
      <w:bookmarkEnd w:id="32"/>
      <w:r/>
      <w:bookmarkEnd w:id="33"/>
      <w:r/>
      <w:bookmarkEnd w:id="34"/>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35" w:name="_Toc16938528"/>
      <w:r/>
      <w:bookmarkStart w:id="36" w:name="_Toc20823284"/>
      <w:r/>
      <w:bookmarkStart w:id="37" w:name="_Toc462564071"/>
      <w:r/>
      <w:bookmarkStart w:id="38" w:name="_Toc513029212"/>
      <w:r>
        <w:rPr>
          <w:rFonts w:hint="eastAsia" w:ascii="宋体" w:hAnsi="宋体" w:eastAsia="宋体" w:cs="宋体"/>
          <w:bCs w:val="0"/>
          <w:sz w:val="24"/>
          <w:szCs w:val="24"/>
          <w:lang w:eastAsia="zh-CN"/>
        </w:rPr>
        <w:t xml:space="preserve">8.招标文件的修改</w:t>
      </w:r>
      <w:bookmarkEnd w:id="35"/>
      <w:r/>
      <w:bookmarkEnd w:id="36"/>
      <w:r/>
      <w:bookmarkEnd w:id="37"/>
      <w:r/>
      <w:bookmarkEnd w:id="38"/>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rPr>
        <w:t xml:space="preserve">登录</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或</w:t>
      </w:r>
      <w:r>
        <w:rPr>
          <w:rFonts w:hint="eastAsia" w:ascii="宋体" w:hAnsi="宋体" w:eastAsia="宋体" w:cs="宋体"/>
          <w:bCs/>
          <w:sz w:val="24"/>
          <w:szCs w:val="24"/>
        </w:rPr>
        <w:t xml:space="preserve">关注原招标公告媒体上发布的更正公告</w:t>
      </w:r>
      <w:r>
        <w:rPr>
          <w:rFonts w:hint="eastAsia" w:ascii="宋体" w:hAnsi="宋体" w:eastAsia="宋体" w:cs="宋体"/>
          <w:sz w:val="24"/>
          <w:szCs w:val="24"/>
        </w:rPr>
        <w:t xml:space="preserve">。</w:t>
      </w:r>
      <w:r>
        <w:rPr>
          <w:rFonts w:hint="eastAsia" w:ascii="宋体" w:hAnsi="宋体" w:eastAsia="宋体" w:cs="宋体"/>
          <w:bCs/>
          <w:sz w:val="24"/>
          <w:szCs w:val="24"/>
        </w:rPr>
        <w:t xml:space="preserve">因投标人未尽注意义务，未及时更新上传投标文件</w:t>
      </w:r>
      <w:r>
        <w:rPr>
          <w:rFonts w:hint="eastAsia" w:ascii="宋体" w:hAnsi="宋体" w:eastAsia="宋体" w:cs="宋体"/>
          <w:sz w:val="24"/>
          <w:szCs w:val="24"/>
        </w:rPr>
        <w:t xml:space="preserve">或未</w:t>
      </w:r>
      <w:r>
        <w:rPr>
          <w:rFonts w:hint="eastAsia" w:ascii="宋体" w:hAnsi="宋体" w:eastAsia="宋体" w:cs="宋体"/>
          <w:bCs/>
          <w:sz w:val="24"/>
          <w:szCs w:val="24"/>
        </w:rPr>
        <w:t xml:space="preserve">全面地关注更正公告导致其提交的投标材料不符合本项目相关招标要求，而造成的损失及风险（包括但不限于未中标）由投标人自行承担。</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39" w:name="_Toc462564072"/>
      <w:r/>
      <w:bookmarkStart w:id="40" w:name="_Toc16938529"/>
      <w:r/>
      <w:bookmarkStart w:id="41" w:name="_Toc120614216"/>
      <w:r/>
      <w:bookmarkStart w:id="42" w:name="_Toc20823285"/>
      <w:r/>
      <w:bookmarkStart w:id="43" w:name="_Toc513029213"/>
      <w:r>
        <w:rPr>
          <w:rFonts w:hint="eastAsia" w:ascii="宋体" w:hAnsi="宋体" w:eastAsia="宋体" w:cs="宋体"/>
          <w:sz w:val="24"/>
          <w:szCs w:val="24"/>
          <w:lang w:eastAsia="zh-CN"/>
        </w:rPr>
        <w:t xml:space="preserve">三、投标文件的编制</w:t>
      </w:r>
      <w:bookmarkEnd w:id="39"/>
      <w:r/>
      <w:bookmarkEnd w:id="40"/>
      <w:r/>
      <w:bookmarkEnd w:id="41"/>
      <w:r/>
      <w:bookmarkEnd w:id="42"/>
      <w:r/>
      <w:bookmarkEnd w:id="43"/>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44" w:name="_Toc513029214"/>
      <w:r/>
      <w:bookmarkStart w:id="45" w:name="_Toc20823286"/>
      <w:r/>
      <w:bookmarkStart w:id="46" w:name="_Toc462564073"/>
      <w:r/>
      <w:bookmarkStart w:id="47" w:name="_Toc16938530"/>
      <w:r>
        <w:rPr>
          <w:rFonts w:hint="eastAsia" w:ascii="宋体" w:hAnsi="宋体" w:eastAsia="宋体" w:cs="宋体"/>
          <w:bCs w:val="0"/>
          <w:sz w:val="24"/>
          <w:szCs w:val="24"/>
          <w:lang w:eastAsia="zh-CN"/>
        </w:rPr>
        <w:t xml:space="preserve">9.投标文件的语言及度量衡单位</w:t>
      </w:r>
      <w:bookmarkEnd w:id="44"/>
      <w:r/>
      <w:bookmarkEnd w:id="45"/>
      <w:r/>
      <w:bookmarkEnd w:id="46"/>
      <w:r/>
      <w:bookmarkEnd w:id="47"/>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投标人提交的投标文件以及投标人与交易中心就有关投标的所有来往通知、函件和文件均应使用</w:t>
      </w:r>
      <w:r>
        <w:rPr>
          <w:rFonts w:hint="eastAsia" w:ascii="宋体" w:hAnsi="宋体" w:eastAsia="宋体" w:cs="宋体"/>
          <w:bCs/>
          <w:sz w:val="24"/>
          <w:szCs w:val="24"/>
        </w:rPr>
        <w:t xml:space="preserve">简体中文（规格、型号辅助符号例外）</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48" w:name="_Toc462564074"/>
      <w:r/>
      <w:bookmarkStart w:id="49" w:name="_Toc20823287"/>
      <w:r/>
      <w:bookmarkStart w:id="50" w:name="_Toc16938531"/>
      <w:r/>
      <w:bookmarkStart w:id="51" w:name="_Toc513029215"/>
      <w:r>
        <w:rPr>
          <w:rFonts w:hint="eastAsia" w:ascii="宋体" w:hAnsi="宋体" w:eastAsia="宋体" w:cs="宋体"/>
          <w:bCs w:val="0"/>
          <w:sz w:val="24"/>
          <w:szCs w:val="24"/>
          <w:lang w:eastAsia="zh-CN"/>
        </w:rPr>
        <w:t xml:space="preserve">10.投标文件构成</w:t>
      </w:r>
      <w:bookmarkEnd w:id="48"/>
      <w:r/>
      <w:bookmarkEnd w:id="49"/>
      <w:r/>
      <w:bookmarkEnd w:id="50"/>
      <w:r/>
      <w:bookmarkEnd w:id="51"/>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10.3如标书制作工具中格式和内容与招标文件不一致的，请以招标文件为准。</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52" w:name="_Hlt26670360"/>
      <w:r/>
      <w:bookmarkEnd w:id="52"/>
      <w:r/>
      <w:bookmarkStart w:id="53" w:name="_Hlt26954838"/>
      <w:r/>
      <w:bookmarkEnd w:id="53"/>
      <w:r/>
      <w:bookmarkStart w:id="54" w:name="_Hlt26668975"/>
      <w:r/>
      <w:bookmarkEnd w:id="54"/>
      <w:r/>
      <w:bookmarkStart w:id="55" w:name="_Toc49090509"/>
      <w:r/>
      <w:bookmarkStart w:id="56" w:name="_Toc14577357"/>
      <w:r/>
      <w:bookmarkStart w:id="57" w:name="_Toc513029219"/>
      <w:r/>
      <w:bookmarkStart w:id="58" w:name="_Toc49090507"/>
      <w:r/>
      <w:bookmarkStart w:id="59" w:name="_Toc513029216"/>
      <w:r/>
      <w:bookmarkStart w:id="60" w:name="_Toc14577354"/>
      <w:r>
        <w:rPr>
          <w:rFonts w:hint="eastAsia" w:ascii="宋体" w:hAnsi="宋体" w:eastAsia="宋体" w:cs="宋体"/>
          <w:bCs w:val="0"/>
          <w:sz w:val="24"/>
          <w:szCs w:val="24"/>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500" w:lineRule="exact"/>
        <w:rPr>
          <w:rFonts w:hint="eastAsia" w:ascii="宋体" w:hAnsi="宋体" w:eastAsia="宋体" w:cs="宋体"/>
          <w:bCs/>
          <w:sz w:val="24"/>
          <w:szCs w:val="24"/>
        </w:rPr>
      </w:pPr>
      <w:r/>
      <w:bookmarkStart w:id="61" w:name="_Toc14577355"/>
      <w:r/>
      <w:bookmarkStart w:id="62" w:name="_Toc49090508"/>
      <w:r>
        <w:rPr>
          <w:rFonts w:hint="eastAsia" w:ascii="宋体" w:hAnsi="宋体" w:eastAsia="宋体" w:cs="宋体"/>
          <w:bCs/>
          <w:sz w:val="24"/>
          <w:szCs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63" w:name="_Toc49090510"/>
      <w:r/>
      <w:bookmarkStart w:id="64" w:name="_Toc14577359"/>
      <w:r>
        <w:rPr>
          <w:rFonts w:hint="eastAsia" w:ascii="宋体" w:hAnsi="宋体" w:eastAsia="宋体" w:cs="宋体"/>
          <w:bCs w:val="0"/>
          <w:sz w:val="24"/>
          <w:szCs w:val="24"/>
          <w:lang w:eastAsia="zh-CN"/>
        </w:rPr>
        <w:t xml:space="preserve">12.投标函、承诺书和开标一览表</w:t>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13.</w:t>
      </w:r>
      <w:bookmarkEnd w:id="61"/>
      <w:r/>
      <w:bookmarkEnd w:id="62"/>
      <w:r>
        <w:rPr>
          <w:rFonts w:hint="eastAsia" w:ascii="宋体" w:hAnsi="宋体" w:eastAsia="宋体" w:cs="宋体"/>
          <w:bCs w:val="0"/>
          <w:sz w:val="24"/>
          <w:szCs w:val="24"/>
          <w:lang w:eastAsia="zh-CN"/>
        </w:rPr>
        <w:t xml:space="preserve">分项报价表</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投</w:t>
      </w:r>
      <w:bookmarkStart w:id="65" w:name="_Hlt26954840"/>
      <w:r/>
      <w:bookmarkEnd w:id="65"/>
      <w:r>
        <w:rPr>
          <w:rFonts w:hint="eastAsia" w:ascii="宋体" w:hAnsi="宋体" w:eastAsia="宋体" w:cs="宋体"/>
          <w:sz w:val="24"/>
          <w:szCs w:val="24"/>
        </w:rPr>
        <w:t xml:space="preserve">标人应按照招标文件规定格式填报</w:t>
      </w:r>
      <w:bookmarkStart w:id="66" w:name="_Hlt26670399"/>
      <w:r/>
      <w:bookmarkEnd w:id="66"/>
      <w:r>
        <w:rPr>
          <w:rFonts w:hint="eastAsia" w:ascii="宋体" w:hAnsi="宋体" w:eastAsia="宋体" w:cs="宋体"/>
          <w:sz w:val="24"/>
          <w:szCs w:val="24"/>
        </w:rPr>
        <w:t xml:space="preserve">分项报价表。</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13.2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67" w:name="_Hlt26670425"/>
      <w:r/>
      <w:bookmarkEnd w:id="67"/>
      <w:r/>
      <w:bookmarkStart w:id="68" w:name="_Hlt26670403"/>
      <w:r/>
      <w:bookmarkEnd w:id="68"/>
      <w:r/>
      <w:bookmarkStart w:id="69" w:name="_Hlt26670486"/>
      <w:r/>
      <w:bookmarkEnd w:id="69"/>
      <w:r/>
      <w:bookmarkStart w:id="70" w:name="_Hlt26668983"/>
      <w:r/>
      <w:bookmarkEnd w:id="70"/>
      <w:r/>
      <w:bookmarkStart w:id="71" w:name="_Hlt26954848"/>
      <w:r/>
      <w:bookmarkEnd w:id="71"/>
      <w:r/>
      <w:bookmarkStart w:id="72" w:name="_Hlt26670482"/>
      <w:r/>
      <w:bookmarkEnd w:id="72"/>
      <w:r/>
      <w:bookmarkStart w:id="73" w:name="_Hlt26954844"/>
      <w:r/>
      <w:bookmarkEnd w:id="73"/>
      <w:r/>
      <w:bookmarkStart w:id="74" w:name="_Hlt26954846"/>
      <w:r/>
      <w:bookmarkEnd w:id="74"/>
      <w:r/>
      <w:bookmarkStart w:id="75" w:name="_Hlt26954842"/>
      <w:r/>
      <w:bookmarkEnd w:id="75"/>
      <w:r/>
      <w:bookmarkStart w:id="76" w:name="_Hlt26954731"/>
      <w:r/>
      <w:bookmarkEnd w:id="76"/>
      <w:r>
        <w:rPr>
          <w:rFonts w:hint="eastAsia" w:ascii="宋体" w:hAnsi="宋体" w:eastAsia="宋体" w:cs="宋体"/>
          <w:bCs w:val="0"/>
          <w:sz w:val="24"/>
          <w:szCs w:val="24"/>
          <w:lang w:eastAsia="zh-CN"/>
        </w:rPr>
        <w:t xml:space="preserve">14.投标偏离表</w:t>
      </w:r>
      <w:r/>
    </w:p>
    <w:p>
      <w:pPr>
        <w:ind w:firstLine="480"/>
        <w:spacing w:line="500" w:lineRule="exact"/>
        <w:tabs>
          <w:tab w:val="left" w:pos="1035" w:leader="none"/>
        </w:tabs>
        <w:rPr>
          <w:rFonts w:hint="eastAsia" w:ascii="宋体" w:hAnsi="宋体" w:eastAsia="宋体" w:cs="宋体"/>
          <w:sz w:val="24"/>
          <w:szCs w:val="24"/>
          <w:lang w:val="zh-CN"/>
        </w:rPr>
      </w:pPr>
      <w:r>
        <w:rPr>
          <w:rFonts w:hint="eastAsia" w:ascii="宋体" w:hAnsi="宋体" w:eastAsia="宋体" w:cs="宋体"/>
          <w:sz w:val="24"/>
          <w:szCs w:val="24"/>
        </w:rPr>
        <w:t xml:space="preserve">14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投标人可在投标文件中提供认为需要的其他技术文件或说明。</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77" w:name="_Hlt26670489"/>
      <w:r/>
      <w:bookmarkEnd w:id="77"/>
      <w:r/>
      <w:bookmarkStart w:id="78" w:name="_Hlt26954734"/>
      <w:r/>
      <w:bookmarkEnd w:id="78"/>
      <w:r/>
      <w:bookmarkStart w:id="79" w:name="_Hlt26954850"/>
      <w:r/>
      <w:bookmarkEnd w:id="79"/>
      <w:r/>
      <w:bookmarkStart w:id="80" w:name="_Toc49090511"/>
      <w:r/>
      <w:bookmarkStart w:id="81" w:name="_Toc14577360"/>
      <w:r>
        <w:rPr>
          <w:rFonts w:hint="eastAsia" w:ascii="宋体" w:hAnsi="宋体" w:eastAsia="宋体" w:cs="宋体"/>
          <w:bCs w:val="0"/>
          <w:sz w:val="24"/>
          <w:szCs w:val="24"/>
          <w:lang w:eastAsia="zh-CN"/>
        </w:rPr>
        <w:t xml:space="preserve">15.投标有效期</w:t>
      </w:r>
      <w:bookmarkEnd w:id="80"/>
      <w:r/>
      <w:bookmarkEnd w:id="81"/>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投标有效期为招标文件规定的开标之日后</w:t>
      </w:r>
      <w:r>
        <w:rPr>
          <w:rFonts w:hint="eastAsia" w:ascii="宋体" w:hAnsi="宋体" w:eastAsia="宋体" w:cs="宋体"/>
          <w:sz w:val="24"/>
          <w:szCs w:val="24"/>
        </w:rPr>
        <w:t xml:space="preserve">九十（90）天</w:t>
      </w:r>
      <w:r>
        <w:rPr>
          <w:rFonts w:hint="eastAsia" w:ascii="宋体" w:hAnsi="宋体" w:eastAsia="宋体" w:cs="宋体"/>
          <w:bCs/>
          <w:sz w:val="24"/>
          <w:szCs w:val="24"/>
        </w:rPr>
        <w:t xml:space="preserve">。投标有效期比规定短的将被视为未实质性响应招标文件而予以拒绝。</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16.投标有效期的延长</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82" w:name="_Hlt26954739"/>
      <w:r/>
      <w:bookmarkEnd w:id="82"/>
      <w:r/>
      <w:bookmarkStart w:id="83" w:name="_Hlt26954852"/>
      <w:r/>
      <w:bookmarkEnd w:id="83"/>
      <w:r/>
      <w:bookmarkStart w:id="84" w:name="_Toc20823296"/>
      <w:r/>
      <w:bookmarkStart w:id="85" w:name="_Toc513029224"/>
      <w:r/>
      <w:bookmarkStart w:id="86" w:name="_Toc120614217"/>
      <w:r/>
      <w:bookmarkStart w:id="87" w:name="_Toc16938540"/>
      <w:r>
        <w:rPr>
          <w:rFonts w:hint="eastAsia" w:ascii="宋体" w:hAnsi="宋体" w:eastAsia="宋体" w:cs="宋体"/>
          <w:sz w:val="24"/>
          <w:szCs w:val="24"/>
          <w:lang w:eastAsia="zh-CN"/>
        </w:rPr>
        <w:t xml:space="preserve">四、投标文件的递交</w:t>
      </w:r>
      <w:bookmarkEnd w:id="84"/>
      <w:r/>
      <w:bookmarkEnd w:id="85"/>
      <w:r/>
      <w:bookmarkEnd w:id="86"/>
      <w:r/>
      <w:bookmarkEnd w:id="87"/>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88" w:name="_Toc20823297"/>
      <w:r/>
      <w:bookmarkStart w:id="89" w:name="_Toc462564084"/>
      <w:r/>
      <w:bookmarkStart w:id="90" w:name="_Toc16938541"/>
      <w:r/>
      <w:bookmarkStart w:id="91" w:name="_Toc513029225"/>
      <w:r>
        <w:rPr>
          <w:rFonts w:hint="eastAsia" w:ascii="宋体" w:hAnsi="宋体" w:eastAsia="宋体" w:cs="宋体"/>
          <w:bCs w:val="0"/>
          <w:sz w:val="24"/>
          <w:szCs w:val="24"/>
          <w:lang w:eastAsia="zh-CN"/>
        </w:rPr>
        <w:t xml:space="preserve">17.投标文件</w:t>
      </w:r>
      <w:bookmarkEnd w:id="88"/>
      <w:r/>
      <w:bookmarkEnd w:id="89"/>
      <w:r/>
      <w:bookmarkEnd w:id="90"/>
      <w:r/>
      <w:bookmarkEnd w:id="91"/>
      <w:r>
        <w:rPr>
          <w:rFonts w:hint="eastAsia" w:ascii="宋体" w:hAnsi="宋体" w:eastAsia="宋体" w:cs="宋体"/>
          <w:bCs w:val="0"/>
          <w:sz w:val="24"/>
          <w:szCs w:val="24"/>
          <w:lang w:eastAsia="zh-CN"/>
        </w:rPr>
        <w:t xml:space="preserve">的递交</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电子投标文件的递交</w:t>
      </w:r>
      <w:r/>
    </w:p>
    <w:p>
      <w:pPr>
        <w:pStyle w:val="1118"/>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bookmarkStart w:id="92" w:name="_Toc16938542"/>
      <w:r/>
      <w:bookmarkStart w:id="93" w:name="_Toc20823298"/>
      <w:r/>
      <w:bookmarkStart w:id="94" w:name="_Toc513029226"/>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18.投标截止</w:t>
      </w:r>
      <w:bookmarkEnd w:id="92"/>
      <w:r/>
      <w:bookmarkEnd w:id="93"/>
      <w:r/>
      <w:bookmarkEnd w:id="94"/>
      <w:r>
        <w:rPr>
          <w:rFonts w:hint="eastAsia" w:ascii="宋体" w:hAnsi="宋体" w:eastAsia="宋体" w:cs="宋体"/>
          <w:bCs w:val="0"/>
          <w:sz w:val="24"/>
          <w:szCs w:val="24"/>
          <w:lang w:eastAsia="zh-CN"/>
        </w:rPr>
        <w:t xml:space="preserve">时间</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18.1</w:t>
      </w:r>
      <w:r>
        <w:rPr>
          <w:rFonts w:hint="eastAsia" w:ascii="宋体" w:hAnsi="宋体" w:eastAsia="宋体" w:cs="宋体"/>
          <w:bCs/>
          <w:sz w:val="24"/>
          <w:szCs w:val="24"/>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18.2</w:t>
      </w:r>
      <w:r>
        <w:rPr>
          <w:rFonts w:hint="eastAsia" w:ascii="宋体" w:hAnsi="宋体" w:eastAsia="宋体" w:cs="宋体"/>
          <w:bCs/>
          <w:sz w:val="24"/>
          <w:szCs w:val="24"/>
        </w:rPr>
        <w:t xml:space="preserve">交易中心可以按照规定，通过更正公告修改投标截止时间，投标人的所有权利和义务以及投标人受制的截止时间均应以延长后新的截止时间为准。</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95" w:name="_Toc513029227"/>
      <w:r/>
      <w:bookmarkStart w:id="96" w:name="_Toc16938543"/>
      <w:r/>
      <w:bookmarkStart w:id="97" w:name="_Toc20823299"/>
      <w:r>
        <w:rPr>
          <w:rFonts w:hint="eastAsia" w:ascii="宋体" w:hAnsi="宋体" w:eastAsia="宋体" w:cs="宋体"/>
          <w:bCs w:val="0"/>
          <w:sz w:val="24"/>
          <w:szCs w:val="24"/>
          <w:lang w:eastAsia="zh-CN"/>
        </w:rPr>
        <w:t xml:space="preserve">19.投标文件</w:t>
      </w:r>
      <w:bookmarkEnd w:id="95"/>
      <w:r/>
      <w:bookmarkEnd w:id="96"/>
      <w:r/>
      <w:bookmarkEnd w:id="97"/>
      <w:r>
        <w:rPr>
          <w:rFonts w:hint="eastAsia" w:ascii="宋体" w:hAnsi="宋体" w:eastAsia="宋体" w:cs="宋体"/>
          <w:bCs w:val="0"/>
          <w:sz w:val="24"/>
          <w:szCs w:val="24"/>
          <w:lang w:eastAsia="zh-CN"/>
        </w:rPr>
        <w:t xml:space="preserve">的拒收</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19.1</w:t>
      </w:r>
      <w:r>
        <w:rPr>
          <w:rFonts w:hint="eastAsia" w:ascii="宋体" w:hAnsi="宋体" w:eastAsia="宋体" w:cs="宋体"/>
          <w:bCs/>
          <w:sz w:val="24"/>
          <w:szCs w:val="24"/>
        </w:rPr>
        <w:t xml:space="preserve">交易中心拒绝接收在其规定的投标截止时间后上传的任何投标文件。</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98" w:name="_Toc513029228"/>
      <w:r/>
      <w:bookmarkStart w:id="99" w:name="_Toc20823300"/>
      <w:r/>
      <w:bookmarkStart w:id="100" w:name="_Toc16938544"/>
      <w:r>
        <w:rPr>
          <w:rFonts w:hint="eastAsia" w:ascii="宋体" w:hAnsi="宋体" w:eastAsia="宋体" w:cs="宋体"/>
          <w:bCs w:val="0"/>
          <w:sz w:val="24"/>
          <w:szCs w:val="24"/>
          <w:lang w:eastAsia="zh-CN"/>
        </w:rPr>
        <w:t xml:space="preserve">20.投标文件的撤回和修改</w:t>
      </w:r>
      <w:bookmarkEnd w:id="98"/>
      <w:r/>
      <w:bookmarkEnd w:id="99"/>
      <w:r/>
      <w:bookmarkEnd w:id="100"/>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20.2.2</w:t>
      </w:r>
      <w:r>
        <w:rPr>
          <w:rFonts w:hint="eastAsia" w:ascii="宋体" w:hAnsi="宋体" w:eastAsia="宋体" w:cs="宋体"/>
          <w:bCs/>
          <w:sz w:val="24"/>
          <w:szCs w:val="24"/>
        </w:rPr>
        <w:t xml:space="preserve">在投标截止时间之后，投标人不得对其电子投标文件作任何修改。</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20.3</w:t>
      </w:r>
      <w:r>
        <w:rPr>
          <w:rFonts w:hint="eastAsia" w:ascii="宋体" w:hAnsi="宋体" w:eastAsia="宋体" w:cs="宋体"/>
          <w:bCs/>
          <w:sz w:val="24"/>
          <w:szCs w:val="24"/>
        </w:rPr>
        <w:t xml:space="preserve">在投标截止时间至招标文件中规定的投标有效期满之间的这段时间内，投标人不得撤回其投标。</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101" w:name="_Toc20823301"/>
      <w:r/>
      <w:bookmarkStart w:id="102" w:name="_Toc513029229"/>
      <w:r/>
      <w:bookmarkStart w:id="103" w:name="_Toc16938545"/>
      <w:r/>
      <w:bookmarkStart w:id="104" w:name="_Toc120614218"/>
      <w:r>
        <w:rPr>
          <w:rFonts w:hint="eastAsia" w:ascii="宋体" w:hAnsi="宋体" w:eastAsia="宋体" w:cs="宋体"/>
          <w:sz w:val="24"/>
          <w:szCs w:val="24"/>
          <w:lang w:eastAsia="zh-CN"/>
        </w:rPr>
        <w:t xml:space="preserve">五、开标与评标</w:t>
      </w:r>
      <w:bookmarkEnd w:id="101"/>
      <w:r/>
      <w:bookmarkEnd w:id="102"/>
      <w:r/>
      <w:bookmarkEnd w:id="103"/>
      <w:r/>
      <w:bookmarkEnd w:id="104"/>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05" w:name="_Toc513029230"/>
      <w:r/>
      <w:bookmarkStart w:id="106" w:name="_Toc20823302"/>
      <w:r/>
      <w:bookmarkStart w:id="107" w:name="_Toc16938546"/>
      <w:r>
        <w:rPr>
          <w:rFonts w:hint="eastAsia" w:ascii="宋体" w:hAnsi="宋体" w:eastAsia="宋体" w:cs="宋体"/>
          <w:bCs w:val="0"/>
          <w:sz w:val="24"/>
          <w:szCs w:val="24"/>
          <w:lang w:eastAsia="zh-CN"/>
        </w:rPr>
        <w:t xml:space="preserve">21.开标</w:t>
      </w:r>
      <w:bookmarkEnd w:id="105"/>
      <w:r/>
      <w:bookmarkEnd w:id="106"/>
      <w:r/>
      <w:bookmarkEnd w:id="107"/>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交易中心将在招标公告中规定的时间和地点组织公开开标</w:t>
      </w:r>
      <w:r>
        <w:rPr>
          <w:rFonts w:hint="eastAsia" w:ascii="宋体" w:hAnsi="宋体" w:eastAsia="宋体" w:cs="宋体"/>
          <w:sz w:val="24"/>
          <w:szCs w:val="24"/>
        </w:rPr>
        <w:t xml:space="preserve">。投标人应当按照《操作手册》规定，参加开标活动和在</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规定的时间内对投标文件进行解密。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21.2开标仪式由交易中心组织。</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将自动对项目进行开标，并宣布各投标人名称和投标价格。</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21.3投标人在开标过程中涉及的投标文件解密、开标结果确认等工作，应按照《操作手册》规定执行。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中《开标记录表》宣布后5分钟内未提出的，视同认可开标结果。</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08" w:name="_Toc16938547"/>
      <w:r/>
      <w:bookmarkStart w:id="109" w:name="_Toc513029231"/>
      <w:r/>
      <w:bookmarkStart w:id="110" w:name="_Toc20823303"/>
      <w:r>
        <w:rPr>
          <w:rFonts w:hint="eastAsia" w:ascii="宋体" w:hAnsi="宋体" w:eastAsia="宋体" w:cs="宋体"/>
          <w:bCs w:val="0"/>
          <w:sz w:val="24"/>
          <w:szCs w:val="24"/>
          <w:lang w:eastAsia="zh-CN"/>
        </w:rPr>
        <w:t xml:space="preserve">22.评标委员会</w:t>
      </w:r>
      <w:r/>
    </w:p>
    <w:p>
      <w:pPr>
        <w:ind w:firstLine="480"/>
        <w:spacing w:line="500" w:lineRule="exact"/>
        <w:rPr>
          <w:rFonts w:hint="eastAsia" w:ascii="宋体" w:hAnsi="宋体" w:eastAsia="宋体" w:cs="宋体"/>
          <w:b/>
          <w:sz w:val="24"/>
          <w:szCs w:val="24"/>
        </w:rPr>
      </w:pPr>
      <w:r>
        <w:rPr>
          <w:rFonts w:hint="eastAsia" w:ascii="宋体" w:hAnsi="宋体" w:eastAsia="宋体" w:cs="宋体"/>
          <w:sz w:val="24"/>
          <w:szCs w:val="24"/>
        </w:rPr>
        <w:t xml:space="preserve">22.1开标后，交易中心将立即组织评标委员会（以下简称评委会）进行评标。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22.2评委会依法组建，且人员构成符合政府采购有关规定。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23.评标过程的保密与公正</w:t>
      </w:r>
      <w:bookmarkEnd w:id="108"/>
      <w:r/>
      <w:bookmarkEnd w:id="109"/>
      <w:r/>
      <w:bookmarkEnd w:id="110"/>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23.1</w:t>
      </w:r>
      <w:r>
        <w:rPr>
          <w:rFonts w:hint="eastAsia" w:ascii="宋体" w:hAnsi="宋体" w:eastAsia="宋体" w:cs="宋体"/>
          <w:bCs/>
          <w:sz w:val="24"/>
          <w:szCs w:val="24"/>
        </w:rPr>
        <w:t xml:space="preserve">凡是与审查、澄清、评价和比较投标的有关资料以及投标建议等，采购人、评委、交易中心均不得向投标人或与评标无关的其他人员透露。</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23.3交易中心和评标委员会不向未中标的投标人解释未中标原因，也不公布评标过程中的相关细节。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23.4采用综合评分法的项目，未中标的投标人可于中标结果公告发布后通过</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查看自己的评审得分及排序情况。</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11" w:name="_Toc513029232"/>
      <w:r/>
      <w:bookmarkStart w:id="112" w:name="_Toc20823304"/>
      <w:r/>
      <w:bookmarkStart w:id="113" w:name="_Toc16938548"/>
      <w:r>
        <w:rPr>
          <w:rFonts w:hint="eastAsia" w:ascii="宋体" w:hAnsi="宋体" w:eastAsia="宋体" w:cs="宋体"/>
          <w:bCs w:val="0"/>
          <w:sz w:val="24"/>
          <w:szCs w:val="24"/>
          <w:lang w:eastAsia="zh-CN"/>
        </w:rPr>
        <w:t xml:space="preserve">24.投标文件的澄清</w:t>
      </w:r>
      <w:bookmarkEnd w:id="111"/>
      <w:r/>
      <w:bookmarkEnd w:id="112"/>
      <w:r/>
      <w:bookmarkEnd w:id="113"/>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向供应商发出“澄清要求函”，接到“澄清要求函”的投标人应当按照要求在</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24.3接到评委会澄清、说明和补正要求的投标人如未按规定及时作出澄清、说明和补正，其风险由投标人自行承担。</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14" w:name="_Toc16938549"/>
      <w:r/>
      <w:bookmarkStart w:id="115" w:name="_Toc513029233"/>
      <w:r/>
      <w:bookmarkStart w:id="116" w:name="_Toc20823305"/>
      <w:r>
        <w:rPr>
          <w:rFonts w:hint="eastAsia" w:ascii="宋体" w:hAnsi="宋体" w:eastAsia="宋体" w:cs="宋体"/>
          <w:bCs w:val="0"/>
          <w:sz w:val="24"/>
          <w:szCs w:val="24"/>
          <w:lang w:eastAsia="zh-CN"/>
        </w:rPr>
        <w:t xml:space="preserve">25.对投标文件的初审</w:t>
      </w:r>
      <w:bookmarkEnd w:id="114"/>
      <w:r/>
      <w:bookmarkEnd w:id="115"/>
      <w:r/>
      <w:bookmarkEnd w:id="116"/>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25.1</w:t>
      </w:r>
      <w:r>
        <w:rPr>
          <w:rFonts w:hint="eastAsia" w:ascii="宋体" w:hAnsi="宋体" w:eastAsia="宋体" w:cs="宋体"/>
          <w:bCs/>
          <w:sz w:val="24"/>
          <w:szCs w:val="24"/>
        </w:rPr>
        <w:t xml:space="preserve">投标文件初审分为资格审查和符合性审查。</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采购人在进行资格审查的同时，将通过“信用中国”网站（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sz w:val="24"/>
          <w:szCs w:val="24"/>
        </w:rPr>
        <w:t xml:space="preserve">中国政府采购网（www.ccgp.gov.cn）</w:t>
      </w:r>
      <w:r>
        <w:rPr>
          <w:rFonts w:hint="eastAsia" w:ascii="宋体" w:hAnsi="宋体" w:eastAsia="宋体" w:cs="宋体"/>
          <w:bCs/>
          <w:sz w:val="24"/>
          <w:szCs w:val="24"/>
        </w:rPr>
        <w:t xml:space="preserve">查询投标供应商在投标截止时间之前，是否被列入</w:t>
      </w:r>
      <w:r>
        <w:rPr>
          <w:rFonts w:hint="eastAsia" w:ascii="宋体" w:hAnsi="宋体" w:eastAsia="宋体" w:cs="宋体"/>
          <w:sz w:val="24"/>
          <w:szCs w:val="24"/>
        </w:rPr>
        <w:t xml:space="preserve">失信被执行人、重大税收违法案件当事人名单、政府采购严重违法失信行为记录名单，</w:t>
      </w:r>
      <w:r>
        <w:rPr>
          <w:rFonts w:hint="eastAsia" w:ascii="宋体" w:hAnsi="宋体" w:eastAsia="宋体" w:cs="宋体"/>
          <w:bCs/>
          <w:sz w:val="24"/>
          <w:szCs w:val="24"/>
        </w:rPr>
        <w:t xml:space="preserve">以确定投标供应商是否具备投标资格。</w:t>
      </w:r>
      <w:r>
        <w:rPr>
          <w:rFonts w:hint="eastAsia" w:ascii="宋体" w:hAnsi="宋体" w:eastAsia="宋体" w:cs="宋体"/>
          <w:sz w:val="24"/>
          <w:szCs w:val="24"/>
        </w:rPr>
        <w:t xml:space="preserve">查询结果留存并归档。</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25.4</w:t>
      </w:r>
      <w:r>
        <w:rPr>
          <w:rFonts w:hint="eastAsia" w:ascii="宋体" w:hAnsi="宋体" w:eastAsia="宋体" w:cs="宋体"/>
          <w:bCs/>
          <w:sz w:val="24"/>
          <w:szCs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25.5</w:t>
      </w:r>
      <w:r>
        <w:rPr>
          <w:rFonts w:hint="eastAsia" w:ascii="宋体" w:hAnsi="宋体" w:eastAsia="宋体" w:cs="宋体"/>
          <w:bCs/>
          <w:sz w:val="24"/>
          <w:szCs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szCs w:val="24"/>
        </w:rPr>
      </w:pPr>
      <w:r/>
      <w:bookmarkStart w:id="117" w:name="_Toc513029234"/>
      <w:r/>
      <w:bookmarkStart w:id="118" w:name="_Toc20823306"/>
      <w:r/>
      <w:bookmarkStart w:id="119" w:name="_Toc16938550"/>
      <w:r>
        <w:rPr>
          <w:rFonts w:hint="eastAsia" w:ascii="宋体" w:hAnsi="宋体" w:eastAsia="宋体" w:cs="宋体"/>
          <w:sz w:val="24"/>
          <w:szCs w:val="24"/>
        </w:rPr>
        <w:t xml:space="preserve">25.6投标人在开、评标全过程中应保持通讯畅通，及时登录</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查阅、答复相关信息，并安排专人随时接受与代理机构及评标委员会的相关询问。</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26</w:t>
      </w:r>
      <w:bookmarkEnd w:id="117"/>
      <w:r/>
      <w:bookmarkEnd w:id="118"/>
      <w:r/>
      <w:bookmarkEnd w:id="119"/>
      <w:r>
        <w:rPr>
          <w:rFonts w:hint="eastAsia" w:ascii="宋体" w:hAnsi="宋体" w:eastAsia="宋体" w:cs="宋体"/>
          <w:bCs w:val="0"/>
          <w:sz w:val="24"/>
          <w:szCs w:val="24"/>
          <w:lang w:eastAsia="zh-CN"/>
        </w:rPr>
        <w:t xml:space="preserve">.无效投标条款和废标条款</w:t>
      </w:r>
      <w:r/>
    </w:p>
    <w:p>
      <w:pPr>
        <w:ind w:left="479"/>
        <w:spacing w:line="500" w:lineRule="exact"/>
        <w:rPr>
          <w:rFonts w:hint="eastAsia" w:ascii="宋体" w:hAnsi="宋体" w:eastAsia="宋体" w:cs="宋体"/>
          <w:bCs/>
          <w:sz w:val="24"/>
          <w:szCs w:val="24"/>
        </w:rPr>
      </w:pPr>
      <w:r/>
      <w:bookmarkStart w:id="120" w:name="_Toc20823307"/>
      <w:r/>
      <w:bookmarkStart w:id="121" w:name="_Toc16938551"/>
      <w:r/>
      <w:bookmarkStart w:id="122" w:name="_Toc513029235"/>
      <w:r>
        <w:rPr>
          <w:rFonts w:hint="eastAsia" w:ascii="宋体" w:hAnsi="宋体" w:eastAsia="宋体" w:cs="宋体"/>
          <w:bCs/>
          <w:sz w:val="24"/>
          <w:szCs w:val="24"/>
        </w:rPr>
        <w:t xml:space="preserve">26.1无效投标条款</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w:t>
      </w:r>
      <w:r>
        <w:rPr>
          <w:rFonts w:hint="eastAsia" w:ascii="宋体" w:hAnsi="宋体" w:eastAsia="宋体" w:cs="宋体"/>
          <w:sz w:val="24"/>
          <w:szCs w:val="24"/>
        </w:rPr>
        <w:t xml:space="preserve">未按《“苏采云”系统供应商操作手册》进行正确操作的。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26.1.4投标人的电子投标文件未按招标文件要求签章的。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26.1.7同一投标人提交两种（含两种）以上不同的投标报价的。</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26.1.8投标人被“信用中国”网站（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）、中国政府采购网（www.ccgp.gov.cn）列入失信被执行人或重大税收违法案件当事人名单或政府采购严重违法失信行为记录名单的。</w:t>
      </w:r>
      <w:r>
        <w:rPr>
          <w:rFonts w:hint="eastAsia" w:ascii="宋体" w:hAnsi="宋体" w:eastAsia="宋体" w:cs="宋体"/>
          <w:bCs/>
          <w:sz w:val="24"/>
          <w:szCs w:val="24"/>
        </w:rPr>
        <w:t xml:space="preserve">或查询“信用中国”网站、</w:t>
      </w:r>
      <w:r>
        <w:rPr>
          <w:rFonts w:hint="eastAsia" w:ascii="宋体" w:hAnsi="宋体" w:eastAsia="宋体" w:cs="宋体"/>
          <w:sz w:val="24"/>
          <w:szCs w:val="24"/>
        </w:rPr>
        <w:t xml:space="preserve">中国政府采购网</w:t>
      </w:r>
      <w:r>
        <w:rPr>
          <w:rFonts w:hint="eastAsia" w:ascii="宋体" w:hAnsi="宋体" w:eastAsia="宋体" w:cs="宋体"/>
          <w:bCs/>
          <w:sz w:val="24"/>
          <w:szCs w:val="24"/>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26.1.9投标文件未按招标文件规定的内容和要求填写的。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26.1.10投标人的项目（标项、标段、分包）投标总价超过本项目（本采购包、本标项、本标段）预算或最高限价的。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26.1.11未通过符合性审查的。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26.1.12投标文件含有采购人不能接受的附加条件的。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26.1.14投标文件中有招标文件未允许提供的选择性内容。</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26.1.15不同投标人委托同一单位或者个人办理投标事宜的。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26.1.16不同投标人的单位负责人为同一人或者存在直接控股、管理关系的。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26.1.20提供虚假材料的（包括工商营业执照、财务报表、资格证明文件等）。</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26.1.21除单一来源采购项目外，为采购项目提供整体设计、规范编制或者项目管理、监理、检测等服务的。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shd w:val="clear" w:color="ffffff" w:fill="d9d9d9"/>
        </w:rPr>
      </w:pPr>
      <w:r>
        <w:rPr>
          <w:rFonts w:hint="eastAsia" w:ascii="宋体" w:hAnsi="宋体" w:eastAsia="宋体" w:cs="宋体"/>
          <w:bCs/>
          <w:sz w:val="24"/>
          <w:szCs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eastAsia="宋体" w:cs="宋体"/>
          <w:sz w:val="24"/>
          <w:szCs w:val="24"/>
        </w:rPr>
        <w:t xml:space="preserve">（或</w:t>
      </w:r>
      <w:r>
        <w:rPr>
          <w:rFonts w:hint="eastAsia" w:ascii="宋体" w:hAnsi="宋体" w:eastAsia="宋体" w:cs="宋体"/>
          <w:bCs/>
          <w:sz w:val="24"/>
          <w:szCs w:val="24"/>
        </w:rPr>
        <w:t xml:space="preserve">在评标现场</w:t>
      </w:r>
      <w:r>
        <w:rPr>
          <w:rFonts w:hint="eastAsia" w:ascii="宋体" w:hAnsi="宋体" w:eastAsia="宋体" w:cs="宋体"/>
          <w:sz w:val="24"/>
          <w:szCs w:val="24"/>
        </w:rPr>
        <w:t xml:space="preserve">）给定的</w:t>
      </w:r>
      <w:r>
        <w:rPr>
          <w:rFonts w:hint="eastAsia" w:ascii="宋体" w:hAnsi="宋体" w:eastAsia="宋体" w:cs="宋体"/>
          <w:bCs/>
          <w:sz w:val="24"/>
          <w:szCs w:val="24"/>
        </w:rPr>
        <w:t xml:space="preserve">合理时间内提供说明（必要时评标委员会可要求投标人提交相关证明材料）证明其报价合理性的，评标委员会应当将其作为无效投标处理。</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26.1.24其他法律法规及本招标文件规定的属无效投标的情形。</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26.2废标条款</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26.2.1符合专业条件的供应商或者对招标文件做实质响应的供应商不足三家的。26.2.2出现影响采购公正的违法、违规行为的。</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26.2.3因重大变故，采购任务取消的。</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26.2.4评标委员会认定招标文件存在歧义、重大缺陷导致评审工作无法进行。</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26.2.5 因“苏采云”系统故障原因造成开标不成功的；</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26.2.6投标人的报价均超过采购预算，采购人不能支付的。</w:t>
      </w:r>
      <w:r/>
    </w:p>
    <w:p>
      <w:pPr>
        <w:ind w:left="479"/>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26.3 投标截止时间结束后参加投标的供应商不足三家的处理：</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26.3.1如出现投标截止时间结束后参加投标的供应商或者在评标期间对招标文件做出实质响应的供应商不足三家情况，按政府采购相关规定执行。</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123" w:name="_Toc120614219"/>
      <w:r>
        <w:rPr>
          <w:rFonts w:hint="eastAsia" w:ascii="宋体" w:hAnsi="宋体" w:eastAsia="宋体" w:cs="宋体"/>
          <w:sz w:val="24"/>
          <w:szCs w:val="24"/>
          <w:lang w:eastAsia="zh-CN"/>
        </w:rPr>
        <w:t xml:space="preserve">六、</w:t>
      </w:r>
      <w:bookmarkEnd w:id="120"/>
      <w:r/>
      <w:bookmarkEnd w:id="121"/>
      <w:r/>
      <w:bookmarkEnd w:id="122"/>
      <w:r>
        <w:rPr>
          <w:rFonts w:hint="eastAsia" w:ascii="宋体" w:hAnsi="宋体" w:eastAsia="宋体" w:cs="宋体"/>
          <w:sz w:val="24"/>
          <w:szCs w:val="24"/>
          <w:lang w:eastAsia="zh-CN"/>
        </w:rPr>
        <w:t xml:space="preserve">定标</w:t>
      </w:r>
      <w:bookmarkEnd w:id="123"/>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24" w:name="_Toc513029238"/>
      <w:r/>
      <w:bookmarkStart w:id="125" w:name="_Toc16938554"/>
      <w:r/>
      <w:bookmarkStart w:id="126" w:name="_Toc20823310"/>
      <w:r>
        <w:rPr>
          <w:rFonts w:hint="eastAsia" w:ascii="宋体" w:hAnsi="宋体" w:eastAsia="宋体" w:cs="宋体"/>
          <w:bCs w:val="0"/>
          <w:sz w:val="24"/>
          <w:szCs w:val="24"/>
          <w:lang w:eastAsia="zh-CN"/>
        </w:rPr>
        <w:t xml:space="preserve">27</w:t>
      </w:r>
      <w:bookmarkEnd w:id="124"/>
      <w:r>
        <w:rPr>
          <w:rFonts w:hint="eastAsia" w:ascii="宋体" w:hAnsi="宋体" w:eastAsia="宋体" w:cs="宋体"/>
          <w:bCs w:val="0"/>
          <w:sz w:val="24"/>
          <w:szCs w:val="24"/>
          <w:lang w:eastAsia="zh-CN"/>
        </w:rPr>
        <w:t xml:space="preserve">.确定</w:t>
      </w:r>
      <w:bookmarkEnd w:id="125"/>
      <w:r/>
      <w:bookmarkEnd w:id="126"/>
      <w:r>
        <w:rPr>
          <w:rFonts w:hint="eastAsia" w:ascii="宋体" w:hAnsi="宋体" w:eastAsia="宋体" w:cs="宋体"/>
          <w:bCs w:val="0"/>
          <w:sz w:val="24"/>
          <w:szCs w:val="24"/>
          <w:lang w:eastAsia="zh-CN"/>
        </w:rPr>
        <w:t xml:space="preserve">中标单位</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sz w:val="24"/>
          <w:szCs w:val="24"/>
        </w:rPr>
        <w:t xml:space="preserve">第五章规定</w:t>
      </w:r>
      <w:r>
        <w:rPr>
          <w:rFonts w:hint="eastAsia" w:ascii="宋体" w:hAnsi="宋体" w:eastAsia="宋体" w:cs="宋体"/>
          <w:bCs/>
          <w:sz w:val="24"/>
          <w:szCs w:val="24"/>
        </w:rPr>
        <w:t xml:space="preserve">。</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27.3</w:t>
      </w:r>
      <w:r>
        <w:rPr>
          <w:rFonts w:hint="eastAsia" w:ascii="宋体" w:hAnsi="宋体" w:eastAsia="宋体" w:cs="宋体"/>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27.4中标无效的确认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27.4.2向采购人、交易中心行贿或者提供其他不正当利益的。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00" w:lineRule="exact"/>
        <w:rPr>
          <w:rFonts w:hint="eastAsia" w:ascii="宋体" w:hAnsi="宋体" w:eastAsia="宋体" w:cs="宋体"/>
          <w:sz w:val="24"/>
          <w:szCs w:val="24"/>
        </w:rPr>
      </w:pPr>
      <w:r/>
      <w:bookmarkStart w:id="127" w:name="_Toc200451960"/>
      <w:r>
        <w:rPr>
          <w:rFonts w:hint="eastAsia" w:ascii="宋体" w:hAnsi="宋体" w:eastAsia="宋体" w:cs="宋体"/>
          <w:sz w:val="24"/>
          <w:szCs w:val="24"/>
        </w:rPr>
        <w:t xml:space="preserve">27.4.6</w:t>
      </w:r>
      <w:r>
        <w:rPr>
          <w:rFonts w:hint="eastAsia" w:ascii="宋体" w:hAnsi="宋体" w:eastAsia="宋体" w:cs="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27.4.7</w:t>
      </w:r>
      <w:r>
        <w:rPr>
          <w:rFonts w:hint="eastAsia" w:ascii="宋体" w:hAnsi="宋体" w:eastAsia="宋体" w:cs="宋体"/>
          <w:bCs/>
          <w:sz w:val="24"/>
          <w:szCs w:val="24"/>
        </w:rPr>
        <w:t xml:space="preserve">拒绝有关部门监督检查或者提供虚假情况的。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28.质疑处理</w:t>
      </w:r>
      <w:bookmarkEnd w:id="127"/>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w:t>
      </w:r>
      <w:r>
        <w:rPr>
          <w:rFonts w:hint="eastAsia" w:ascii="宋体" w:hAnsi="宋体" w:eastAsia="宋体" w:cs="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w:t>
      </w:r>
      <w:r>
        <w:rPr>
          <w:rFonts w:hint="eastAsia" w:ascii="宋体" w:hAnsi="宋体" w:eastAsia="宋体" w:cs="宋体"/>
          <w:bCs/>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shd w:val="clear" w:color="ffffff" w:fill="d9d9d9"/>
        </w:rPr>
      </w:pPr>
      <w:r>
        <w:rPr>
          <w:rFonts w:hint="eastAsia" w:ascii="宋体" w:hAnsi="宋体" w:eastAsia="宋体" w:cs="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采购人、交易中心联系人、联系方式、通信地址见招标文件第一章。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w:t>
      </w:r>
      <w:r>
        <w:rPr>
          <w:rFonts w:hint="eastAsia" w:ascii="宋体" w:hAnsi="宋体" w:eastAsia="宋体" w:cs="宋体"/>
          <w:bCs/>
          <w:sz w:val="24"/>
          <w:szCs w:val="24"/>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rPr>
        <w:t xml:space="preserve">一经查实，交易中心有权依据政府采购的有关规定，报请政府采购监管部门对该供应商进行相应的行政处罚和记录该供应商的失信信息。</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29.中标通知书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29.l中标结果确定后，交易中心将向中标人发出中标通知书。请中标人在中标结果公告届满之日起30日内，使用CA数字证书登录</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及时下载中标通知书。因系统存储空间有限，自中标结果公告届满之日起30日后，</w:t>
      </w:r>
      <w:r>
        <w:rPr>
          <w:rFonts w:hint="eastAsia" w:ascii="宋体" w:hAnsi="宋体" w:eastAsia="宋体" w:cs="宋体"/>
          <w:bCs/>
          <w:sz w:val="24"/>
          <w:szCs w:val="24"/>
        </w:rPr>
        <w:t xml:space="preserve">“苏采云”系统</w:t>
      </w:r>
      <w:r>
        <w:rPr>
          <w:rFonts w:hint="eastAsia" w:ascii="宋体" w:hAnsi="宋体" w:eastAsia="宋体" w:cs="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55"/>
        <w:ind w:firstLine="452"/>
        <w:keepLines w:val="0"/>
        <w:keepNext w:val="0"/>
        <w:spacing w:before="0" w:after="0" w:line="500" w:lineRule="exact"/>
        <w:rPr>
          <w:rFonts w:hint="eastAsia" w:ascii="宋体" w:hAnsi="宋体" w:eastAsia="宋体" w:cs="宋体"/>
          <w:sz w:val="24"/>
          <w:szCs w:val="24"/>
          <w:lang w:eastAsia="zh-CN"/>
        </w:rPr>
      </w:pPr>
      <w:r/>
      <w:bookmarkStart w:id="128" w:name="_Toc120614220"/>
      <w:r/>
      <w:bookmarkStart w:id="129" w:name="_Toc513029236"/>
      <w:r/>
      <w:bookmarkStart w:id="130" w:name="_Toc16938552"/>
      <w:r/>
      <w:bookmarkStart w:id="131" w:name="_Toc20823308"/>
      <w:r>
        <w:rPr>
          <w:rFonts w:hint="eastAsia" w:ascii="宋体" w:hAnsi="宋体" w:eastAsia="宋体" w:cs="宋体"/>
          <w:sz w:val="24"/>
          <w:szCs w:val="24"/>
          <w:lang w:eastAsia="zh-CN"/>
        </w:rPr>
        <w:t xml:space="preserve">七、授予合同</w:t>
      </w:r>
      <w:bookmarkEnd w:id="128"/>
      <w:r/>
      <w:bookmarkEnd w:id="129"/>
      <w:r/>
      <w:bookmarkEnd w:id="130"/>
      <w:r/>
      <w:bookmarkEnd w:id="131"/>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bookmarkStart w:id="132" w:name="_Toc20823309"/>
      <w:r/>
      <w:bookmarkStart w:id="133" w:name="_Toc16938553"/>
      <w:r/>
      <w:bookmarkStart w:id="134" w:name="_Toc513029237"/>
      <w:r>
        <w:rPr>
          <w:rFonts w:hint="eastAsia" w:ascii="宋体" w:hAnsi="宋体" w:eastAsia="宋体" w:cs="宋体"/>
          <w:bCs w:val="0"/>
          <w:sz w:val="24"/>
          <w:szCs w:val="24"/>
          <w:lang w:eastAsia="zh-CN"/>
        </w:rPr>
        <w:t xml:space="preserve">30.签订合同</w:t>
      </w:r>
      <w:r/>
    </w:p>
    <w:p>
      <w:pPr>
        <w:ind w:firstLine="48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32"/>
        <w:ind w:firstLine="422"/>
        <w:keepLines w:val="0"/>
        <w:keepNext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lang w:eastAsia="zh-CN"/>
        </w:rPr>
        <w:t xml:space="preserve">31.服务（包含与服务相关的货物）的追加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29"/>
        <w:jc w:val="center"/>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29"/>
        <w:jc w:val="center"/>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29"/>
        <w:jc w:val="center"/>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132"/>
      <w:r/>
      <w:bookmarkEnd w:id="133"/>
      <w:r/>
      <w:bookmarkEnd w:id="134"/>
      <w:r/>
      <w:r/>
    </w:p>
    <w:p>
      <w:pPr>
        <w:pStyle w:val="1029"/>
        <w:ind w:firstLine="0"/>
        <w:spacing w:line="500" w:lineRule="exact"/>
        <w:rPr>
          <w:rFonts w:hint="eastAsia" w:ascii="宋体" w:hAnsi="宋体" w:eastAsia="宋体" w:cs="宋体"/>
          <w:bCs/>
          <w:sz w:val="24"/>
          <w:szCs w:val="24"/>
          <w:lang w:eastAsia="zh-CN"/>
        </w:rPr>
      </w:pPr>
      <w:r/>
      <w:bookmarkStart w:id="135" w:name="_Toc20823314"/>
      <w:r/>
      <w:bookmarkStart w:id="136" w:name="_Toc513029242"/>
      <w:r/>
      <w:bookmarkStart w:id="137" w:name="_Toc120614221"/>
      <w:r/>
      <w:bookmarkStart w:id="138" w:name="_Toc16938558"/>
      <w:r/>
      <w:bookmarkStart w:id="139" w:name="_Toc479757207"/>
      <w:r/>
      <w:r/>
    </w:p>
    <w:p>
      <w:pPr>
        <w:pStyle w:val="1029"/>
        <w:ind w:firstLine="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pStyle w:val="1029"/>
        <w:ind w:firstLine="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br w:type="page" w:clear="all"/>
      </w:r>
      <w:r/>
    </w:p>
    <w:p>
      <w:pPr>
        <w:pStyle w:val="1029"/>
        <w:ind w:firstLine="0"/>
        <w:jc w:val="center"/>
        <w:spacing w:line="500" w:lineRule="exact"/>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 xml:space="preserve">第三章  合同</w:t>
      </w:r>
      <w:bookmarkEnd w:id="135"/>
      <w:r/>
      <w:bookmarkEnd w:id="136"/>
      <w:r/>
      <w:bookmarkEnd w:id="137"/>
      <w:r/>
      <w:bookmarkEnd w:id="138"/>
      <w:r/>
      <w:bookmarkEnd w:id="139"/>
      <w:r>
        <w:rPr>
          <w:rFonts w:hint="eastAsia" w:ascii="宋体" w:hAnsi="宋体" w:eastAsia="宋体" w:cs="宋体"/>
          <w:b/>
          <w:bCs w:val="0"/>
          <w:sz w:val="28"/>
          <w:szCs w:val="28"/>
          <w:lang w:eastAsia="zh-CN"/>
        </w:rPr>
        <w:t xml:space="preserve">文本</w:t>
      </w:r>
      <w:r/>
    </w:p>
    <w:p>
      <w:pPr>
        <w:ind w:firstLine="480"/>
        <w:spacing w:line="400" w:lineRule="exact"/>
        <w:rPr>
          <w:rFonts w:hint="eastAsia" w:ascii="宋体" w:hAnsi="宋体" w:eastAsia="宋体" w:cs="宋体"/>
          <w:bCs/>
          <w:sz w:val="24"/>
          <w:szCs w:val="24"/>
        </w:rPr>
      </w:pPr>
      <w:r/>
      <w:bookmarkStart w:id="140" w:name="_Toc513029243"/>
      <w:r/>
      <w:bookmarkStart w:id="141" w:name="_Toc20823315"/>
      <w:r/>
      <w:bookmarkStart w:id="142" w:name="_Toc16938559"/>
      <w:r>
        <w:rPr>
          <w:rFonts w:hint="eastAsia" w:ascii="宋体" w:hAnsi="宋体" w:eastAsia="宋体" w:cs="宋体"/>
          <w:bCs/>
          <w:sz w:val="24"/>
          <w:szCs w:val="24"/>
        </w:rPr>
        <w:t xml:space="preserve">以下为中标后签订本项目合同的通用条款，中标人不得提出实质性的修改。</w:t>
      </w:r>
      <w:r/>
    </w:p>
    <w:p>
      <w:pPr>
        <w:jc w:val="center"/>
        <w:spacing w:line="400" w:lineRule="exact"/>
        <w:rPr>
          <w:rFonts w:hint="eastAsia" w:ascii="宋体" w:hAnsi="宋体" w:eastAsia="宋体" w:cs="宋体"/>
          <w:b/>
          <w:bCs/>
          <w:sz w:val="24"/>
          <w:szCs w:val="24"/>
        </w:rPr>
        <w:outlineLvl w:val="0"/>
      </w:pPr>
      <w:r>
        <w:rPr>
          <w:rFonts w:hint="eastAsia" w:ascii="宋体" w:hAnsi="宋体" w:eastAsia="宋体" w:cs="宋体"/>
          <w:b/>
          <w:sz w:val="24"/>
          <w:szCs w:val="24"/>
        </w:rPr>
        <w:t xml:space="preserve">江苏省政府采购合同（服务）（合同编号）</w:t>
      </w:r>
      <w:r/>
    </w:p>
    <w:p>
      <w:pPr>
        <w:pStyle w:val="1061"/>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                                       项目编号：</w:t>
      </w:r>
      <w:r/>
    </w:p>
    <w:p>
      <w:pPr>
        <w:pStyle w:val="1061"/>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甲方：（买方、需方、采购人）_________</w:t>
      </w:r>
      <w:r/>
    </w:p>
    <w:p>
      <w:pPr>
        <w:pStyle w:val="1061"/>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乙方：（卖方、供方、供应商）_________</w:t>
      </w:r>
      <w:r/>
    </w:p>
    <w:p>
      <w:pPr>
        <w:pStyle w:val="1061"/>
        <w:spacing w:line="40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甲、乙双方根据无锡市滨湖区公共资源交易中心项目公开招标的结果，签署本合同。</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一、合同内容</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标的名称：</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1.2标的质量：</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标的数量（规模）：</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履行时间（期限）：</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履行地点：</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1.6履行方式：</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二、合同金额</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2.1本合同金额为（大写）： ____________元（______元）人民币或其他币种。</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三、技术资料</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3.1乙方应按招标文件规定的时间向甲方提供服务（包含与服务相关的货物）的有关技术资料。</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四、知识产权</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61"/>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（注：采购项目如涉及采购标的的知识产权归属、处理的，如订购、设计、定制开发的信息化建设项目等，应当约定知识产权的归属和处理方式）</w:t>
      </w:r>
      <w:r/>
    </w:p>
    <w:p>
      <w:pPr>
        <w:pStyle w:val="1061"/>
        <w:ind w:firstLine="482"/>
        <w:spacing w:line="400" w:lineRule="exact"/>
        <w:rPr>
          <w:rFonts w:hint="eastAsia" w:ascii="宋体" w:hAnsi="宋体" w:eastAsia="宋体" w:cs="宋体"/>
          <w:sz w:val="24"/>
          <w:szCs w:val="24"/>
          <w:u w:val="single"/>
          <w:lang w:eastAsia="zh-CN"/>
        </w:rPr>
      </w:pPr>
      <w:r>
        <w:rPr>
          <w:rFonts w:hint="eastAsia" w:ascii="宋体" w:hAnsi="宋体" w:eastAsia="宋体" w:cs="宋体"/>
          <w:b/>
          <w:sz w:val="24"/>
          <w:szCs w:val="24"/>
          <w:lang w:eastAsia="zh-CN"/>
        </w:rPr>
        <w:t xml:space="preserve">五、产权担保</w:t>
      </w:r>
      <w:r/>
    </w:p>
    <w:p>
      <w:pPr>
        <w:pStyle w:val="1061"/>
        <w:ind w:firstLine="48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5.1 乙方保证所交付的服务（包含与服务相关的货物）的所有权完全属于乙方且无任何抵押、查封等产权瑕疵。</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六、履约保证金</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6.1乙方交纳人民币__元作为本合同的履约保证金。（不得超过合同金额的10%）</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6.2合同履行结束后，甲方应及时退还交纳的履约保证金。</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6.2.1履约保证金退还方式：</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6.2.2履约保证金退还时间：</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6.2.3履约保证金退还条件：</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6.2.4履约保证金不予退还的情形：</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八、合同款项支付</w:t>
      </w:r>
      <w:r/>
    </w:p>
    <w:p>
      <w:pPr>
        <w:ind w:firstLine="482"/>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.1合同款项的支付方式及进度安排</w:t>
      </w:r>
      <w:r/>
    </w:p>
    <w:p>
      <w:pPr>
        <w:ind w:firstLine="482"/>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.1.1合同签订后一个月内，支付至合同金额的30%。</w:t>
      </w:r>
      <w:r/>
    </w:p>
    <w:p>
      <w:pPr>
        <w:ind w:firstLine="482"/>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.1.2通过项目整体竣工验收后，支付至合同金额的90%。</w:t>
      </w:r>
      <w:r/>
    </w:p>
    <w:p>
      <w:pPr>
        <w:ind w:firstLine="482"/>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.1.4尾款支付时间：3年免费维保期结束后一个月内按审定价付清尾款。</w:t>
      </w:r>
      <w:r/>
    </w:p>
    <w:p>
      <w:pPr>
        <w:ind w:firstLine="482"/>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.1.5项目结算审计参照无锡市市级政务信息化建设及运行维护项目预算支出标准（2024 修订版）进行。</w:t>
      </w:r>
      <w:r/>
    </w:p>
    <w:p>
      <w:pPr>
        <w:ind w:firstLine="482"/>
        <w:spacing w:line="400" w:lineRule="exact"/>
        <w:rPr>
          <w:rFonts w:hint="eastAsia" w:ascii="宋体" w:hAnsi="宋体" w:eastAsia="宋体" w:cs="宋体"/>
          <w:b/>
          <w:sz w:val="24"/>
          <w:szCs w:val="24"/>
        </w:rPr>
      </w:pPr>
      <w:r>
        <w:rPr>
          <w:rFonts w:hint="eastAsia" w:ascii="宋体" w:hAnsi="宋体" w:eastAsia="宋体" w:cs="宋体"/>
          <w:bCs/>
          <w:sz w:val="24"/>
          <w:szCs w:val="24"/>
          <w:lang w:eastAsia="zh-CN"/>
        </w:rPr>
        <w:t xml:space="preserve">中标供应商在每次收到货款之前，应出具符合国家现行相关税务政策有效发票。</w:t>
      </w:r>
      <w:r>
        <w:rPr>
          <w:rFonts w:hint="eastAsia" w:ascii="宋体" w:hAnsi="宋体" w:eastAsia="宋体" w:cs="宋体"/>
          <w:b/>
          <w:sz w:val="24"/>
          <w:szCs w:val="24"/>
        </w:rPr>
        <w:t xml:space="preserve">九、税费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十、项目验收</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10.1 甲方依法组织履约验收工作。</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10.3 对于实际使用人和甲方分离的项目，甲方邀请实际使用人参与验收。</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10.4 如有必要，甲方邀请参加本项目的其他供应商或第三方专业机构及专家参与验收，相关意见将作为验收书的参考资料。</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十一、违约责任</w:t>
      </w:r>
      <w:r/>
    </w:p>
    <w:p>
      <w:pPr>
        <w:pStyle w:val="1061"/>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 甲方无正当理由拒绝接受乙方提供服务或服务成果，甲方向乙方偿付拒绝接受服务合同价款总值千分之六的违约金。</w:t>
      </w:r>
      <w:r/>
    </w:p>
    <w:p>
      <w:pPr>
        <w:pStyle w:val="1061"/>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 甲方无故逾期验收和办理合同款项支付手续的，甲方应按逾期付款总额每日万分之二向乙方支付违约金。</w:t>
      </w:r>
      <w:r/>
    </w:p>
    <w:p>
      <w:pPr>
        <w:pStyle w:val="1061"/>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 乙方逾期提供服务或成果的，乙方应按逾期提供服务合同总额每日万分之二向甲方支付违约金，由甲方有权从待付合同款项中扣除。逾期超过约定日期10个工作日不能提供服务或交付服务成果的，甲方可解除本合同。乙方因逾期提供服务或因其他违约行为导致甲方解除合同的，乙方应退还已收取的全部款项并向甲方支付合同价款总额20%的违约金，如造成甲方损失超过违约金的，超出部分由乙方继续承担赔偿责任。 </w:t>
      </w:r>
      <w:r/>
    </w:p>
    <w:p>
      <w:pPr>
        <w:pStyle w:val="1061"/>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 乙方所提供服务的标准不符合合同规定及招标文件规定标准的，甲方有权拒绝接受服务，并可单方面解除合同。</w:t>
      </w:r>
      <w:r/>
    </w:p>
    <w:p>
      <w:pPr>
        <w:pStyle w:val="1061"/>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因采购人原因(包括采购人自身原因以及政策变动、规划调整等外部原因)导致变更、中止或终止政府采购合同的，双方按《中华人民共和国民法典》规定的承担违约责任的方式协商解决，结果以书面形式签订补充协议，且补充协议与本合同具有同等效力。</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十二、不可抗力事件处理</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12.1 在合同有效期内，任何一方因不可抗力事件导致不能履行合同，则合同履行期可延长，其延长期与不可抗力影响期相同。</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12.2不可抗力事件发生后，应立即通知对方，并寄送有关权威机构出具的证明。</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12.3 不可抗力事件延续120天以上，双方应通过友好协商，确定是否继续履行合同。</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十三、解决争议的方法</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13.1双方在签订、履行合同中所发生的一切争议，应通过友好协商解决。如协商不成，由甲方住所地人民法院管辖。</w:t>
      </w:r>
      <w:r/>
    </w:p>
    <w:p>
      <w:pPr>
        <w:pStyle w:val="1061"/>
        <w:ind w:firstLine="482"/>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十四、合同生效及其他</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 合同经双方法定代表人或授权委托代表人签字并加盖单位公章后生效。</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14.2本合同未尽事宜，遵照《民法典》《政府采购法》有关条文执行。</w:t>
      </w:r>
      <w:r/>
    </w:p>
    <w:p>
      <w:pPr>
        <w:pStyle w:val="1061"/>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14.3 本合同正本一式两份，具有同等法律效力，甲方、乙方各执一份。</w:t>
      </w:r>
      <w:r/>
    </w:p>
    <w:p>
      <w:pPr>
        <w:pStyle w:val="1061"/>
        <w:ind w:left="480" w:hanging="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pStyle w:val="1061"/>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pStyle w:val="1061"/>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法定代表人或授权代表：        法定代表人或授权代表：</w:t>
      </w:r>
      <w:r/>
    </w:p>
    <w:p>
      <w:pPr>
        <w:pStyle w:val="1061"/>
        <w:ind w:firstLine="24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联系电话：                    联系电话：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签订日期：年月日</w:t>
      </w:r>
      <w:r/>
    </w:p>
    <w:p>
      <w:pPr>
        <w:ind w:firstLine="480"/>
        <w:jc w:val="center"/>
        <w:spacing w:line="288" w:lineRule="auto"/>
        <w:rPr>
          <w:rFonts w:hint="eastAsia" w:ascii="宋体" w:hAnsi="宋体" w:eastAsia="宋体" w:cs="宋体"/>
          <w:sz w:val="24"/>
          <w:szCs w:val="24"/>
        </w:rPr>
      </w:pPr>
      <w:r>
        <w:rPr>
          <w:rFonts w:hint="eastAsia" w:ascii="宋体" w:hAnsi="宋体" w:eastAsia="宋体" w:cs="宋体"/>
          <w:bCs/>
          <w:sz w:val="24"/>
          <w:szCs w:val="24"/>
        </w:rPr>
        <w:br w:type="page" w:clear="all"/>
      </w:r>
      <w:bookmarkEnd w:id="140"/>
      <w:r/>
      <w:bookmarkEnd w:id="141"/>
      <w:r/>
      <w:bookmarkEnd w:id="142"/>
      <w:r/>
      <w:bookmarkStart w:id="143" w:name="_Hlt16619369"/>
      <w:r/>
      <w:bookmarkEnd w:id="143"/>
      <w:r/>
      <w:bookmarkStart w:id="144" w:name="_Hlt16619350"/>
      <w:r/>
      <w:bookmarkStart w:id="145" w:name="_Toc16938590"/>
      <w:r/>
      <w:bookmarkStart w:id="146" w:name="_Toc20823346"/>
      <w:r/>
      <w:bookmarkStart w:id="147" w:name="_Toc120614244"/>
      <w:r>
        <w:rPr>
          <w:rFonts w:hint="eastAsia" w:ascii="宋体" w:hAnsi="宋体" w:eastAsia="宋体" w:cs="宋体"/>
          <w:b/>
          <w:bCs w:val="0"/>
          <w:sz w:val="32"/>
          <w:szCs w:val="32"/>
        </w:rPr>
        <w:t xml:space="preserve">第</w:t>
      </w:r>
      <w:bookmarkEnd w:id="144"/>
      <w:r>
        <w:rPr>
          <w:rFonts w:hint="eastAsia" w:ascii="宋体" w:hAnsi="宋体" w:eastAsia="宋体" w:cs="宋体"/>
          <w:b/>
          <w:bCs w:val="0"/>
          <w:sz w:val="32"/>
          <w:szCs w:val="32"/>
        </w:rPr>
        <w:t xml:space="preserve">四章 采购需求</w:t>
      </w:r>
      <w:bookmarkEnd w:id="145"/>
      <w:r/>
      <w:bookmarkEnd w:id="146"/>
      <w:r/>
      <w:bookmarkEnd w:id="147"/>
      <w:r/>
      <w:r/>
    </w:p>
    <w:p>
      <w:pPr>
        <w:ind w:firstLine="602"/>
        <w:spacing w:line="360" w:lineRule="auto"/>
        <w:rPr>
          <w:rFonts w:hint="eastAsia" w:ascii="宋体" w:hAnsi="宋体" w:eastAsia="宋体" w:cs="宋体"/>
          <w:b/>
          <w:sz w:val="24"/>
          <w:szCs w:val="24"/>
        </w:rPr>
      </w:pPr>
      <w:r/>
      <w:bookmarkStart w:id="148" w:name="_Toc26554093"/>
      <w:r/>
      <w:bookmarkStart w:id="149" w:name="_Toc49090575"/>
      <w:r>
        <w:rPr>
          <w:rFonts w:hint="eastAsia" w:ascii="宋体" w:hAnsi="宋体" w:eastAsia="宋体" w:cs="宋体"/>
          <w:b/>
          <w:sz w:val="24"/>
          <w:szCs w:val="24"/>
        </w:rPr>
        <w:t xml:space="preserve">第一部分  项目技术要求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投标人所投内容必须满足以下要求，不得有负偏离：</w:t>
      </w:r>
      <w:r/>
    </w:p>
    <w:p>
      <w:pPr>
        <w:ind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一、采购标的需实现的功能或者目标，以及为落实政府采购政策需满足的要求；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为持续推进信息化建设，加大力度压降政府建设项目投资，滨湖区审计局计划新建无锡市滨湖区建设工程智慧监管平台，实现四大建设目标：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1.1促规范，实现工程投资估、概、预、结、审全过程监管，通过审计业务全过程的痕迹化管理，规范业务流程，明晰各方责任，提升管理质量。</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1.2提效率，建立各部门协同的业务系统，通过信息化工具开展公开透明、便捷高效的审计工作提高审计效率，打造高效便捷的工作体系。</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1.3强智能，实现对审计大数据的归集及分析,为建立审计指标库和审计标准体系提供支持，通过大数据赋能智慧审计，数字化手段提升审计效率及质量，节约政府建设项目投资成本。</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1.4可拓展，系统考虑全区项目信息化建设的系统性、便捷性、保密性，实现系统的持续改进和完善。</w:t>
      </w:r>
      <w:r/>
    </w:p>
    <w:p>
      <w:pPr>
        <w:ind w:firstLine="480"/>
        <w:jc w:val="both"/>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二、采购标的需执行</w:t>
      </w:r>
      <w:r>
        <w:rPr>
          <w:rFonts w:hint="eastAsia" w:ascii="宋体" w:hAnsi="宋体" w:eastAsia="宋体" w:cs="宋体"/>
          <w:b/>
          <w:bCs/>
          <w:sz w:val="24"/>
          <w:szCs w:val="24"/>
          <w:lang w:val="en-US" w:eastAsia="zh-CN" w:bidi="ar-SA"/>
        </w:rPr>
        <w:t xml:space="preserve">的国家相关标准、行业标准、地方标准或者</w:t>
      </w:r>
      <w:r>
        <w:rPr>
          <w:rFonts w:hint="eastAsia" w:ascii="宋体" w:hAnsi="宋体" w:eastAsia="宋体" w:cs="宋体"/>
          <w:b/>
          <w:bCs/>
          <w:sz w:val="24"/>
          <w:szCs w:val="24"/>
          <w:highlight w:val="none"/>
          <w:lang w:val="en-US" w:eastAsia="zh-CN" w:bidi="ar-SA"/>
        </w:rPr>
        <w:t xml:space="preserve">其他标准、规范； </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2.1《中华人民共和国审计法》</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2.2《中华人民共和国招标投标法》</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2.3《工程建设项目施工招标投标办法》</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2.4《中华人民共和国审计法实施条例》</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2.5《国务院关于加强审计工作的意见》（国发〔2014〕48号）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2.6《国务院办公厅关于印发政务信息系统整合共享实施方案的通知》（国办发[2017]39号）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2.7《“互联网+政务服务”技术体系建设指南》（国办函[2016]108号）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2.8《国家电子政务工程建设项目管理办法》（中华人民共和国发展和改革委员会令第55号）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2.9《国家发改委：印发“十三五”国家政务信息化工程建设规划的通知》（发改高技[2017]1449号）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2.10《国家信息化领导小组关于我国电子政务建设指导意见》（中办发[2002]17号）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2.11《审计署关于印发政府投资项目审计规定的通知》（审投发〔2010〕173号）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2.12《审计署关于进一步完善和规范投资审计工作的意见》（审投发〔2017〕30号）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2.13《国家电子政务工程建设项目初步设计方案和投资概算报告编制要求》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2.14《国家电子专网网络与信息安全管理暂行办法》（外网办[2015]）</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2.15《信息安全等级保护管理办法》（公通字〔2007〕43号）</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2.16《信息系统等级保护安全设计技术要求》（GB/T25070-2010）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2.17《计算机信息系统安全保护等级划分准则》（GB17859-1999）</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2.18《信息安全技术网络安全等级保护基本要求》（GB/T22239-2019）</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2.19《信息安全技术网络基础安全技术要求》（GB/T 20270-2006）</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2.20《信息安全技术操作系统安全技术要求》（GB/T 20272-2019）</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2.21《信息安全技术 数据库管理系统安全技术要求》（GB/T20273-2019）</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2.22《信息安全技术信息系统安全管理要求》（GB/T 20269-2006）</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2.23《信息安全技</w:t>
      </w:r>
      <w:r>
        <w:rPr>
          <w:rFonts w:hint="eastAsia" w:ascii="宋体" w:hAnsi="宋体" w:eastAsia="宋体" w:cs="宋体"/>
          <w:sz w:val="24"/>
          <w:szCs w:val="24"/>
          <w:highlight w:val="none"/>
          <w:lang w:eastAsia="zh-CN"/>
        </w:rPr>
        <w:t xml:space="preserve">术信息系统安全工程管理要求》（GB/T 20282-2006）</w:t>
      </w:r>
      <w:r/>
    </w:p>
    <w:p>
      <w:pPr>
        <w:ind w:firstLine="480"/>
        <w:jc w:val="both"/>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lang w:val="en-US" w:eastAsia="zh-CN" w:bidi="ar-SA"/>
        </w:rPr>
        <w:t xml:space="preserve">三、采购标的需满足的质量、安全、技术规格、物理特性等要</w:t>
      </w:r>
      <w:r>
        <w:rPr>
          <w:rFonts w:hint="eastAsia" w:ascii="宋体" w:hAnsi="宋体" w:eastAsia="宋体" w:cs="宋体"/>
          <w:b/>
          <w:bCs/>
          <w:sz w:val="24"/>
          <w:szCs w:val="24"/>
          <w:highlight w:val="none"/>
          <w:lang w:val="en-US" w:eastAsia="zh-CN" w:bidi="ar-SA"/>
        </w:rPr>
        <w:t xml:space="preserve">求； </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3.1智慧审计看板</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慧审计看板以“预警分析”为目的，实时显示政府投资项目数据，实现数据动态化监控，通过智慧审计看板展现审计监督项目数量、项目总金额、项目状态等内容，运用图形化直观的方式让使用者动态掌握政府投资项目整体情况，辅助使用者科学决策。对整体项目情况信息通过图表的形式进行可视化展现，包括但不限于审计监督项目数量、项目总金额、项目状态等。</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3.2智慧审计系统</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慧审计系统支持大数据技术，对数据中心及指标管理系统中处理的大量项目数据进行深度分析后进行应用。要求该系统能够从庞杂的数据中提炼出具有高度价值的信息，不仅提升了数据处理的效率与准确性，还为审计人员提供了全面而精准的数据支持。</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慧审计系统能辅助使用者能够迅速而有效地复核协审单位提交的计价成果文件，并从中准确识别出可能存在的问题点或异常情况，系统支持在短时间内完成原本需要大量人工投入才能完成的任务，实现审计工作的整体效能的提高。</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3.2.1人材机合理性审计</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方便审计人员咨询材料价格，审计系统支持与第三方材料数据对接，审计人员可以在审计系统随时查看材料市价场与信息价，减少审计人员材料咨询成本，提高对材料价审计效率；同时也支持搭建历史材料库和内部材料库，帮助审计人员将历史项目的材料数据以及工作过程中积累的材料数据进行统一管理和应用。</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3.2.2综合单价合理性审计</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平台能通过对历史项目清单综合单价数据的自动归类整理，采用综合单价大数据技术，根据智能匹配算法对待审核项目的综合单价进行对比审核。</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3.2.3四算对比</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通过添加相同项目不同阶段的的计价文件（如预算、中标、结算、审计成果文件）或可参考的不同项目计价文件进行对比，智能匹配单位工程，智能分析对比不同文件的清单增减项以及差异项，匹配完成的清单项计算出增减工程量偏差值、偏差率，计算出综合单价偏差值、偏差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3.2.4指标审计</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支持利用造价指标进行初步审计和审计疑点的判断标准，通过指标对比提醒审计人员寻找价格偏高的原因。平台能运用造价指标用来进行辅助审计，支持造价指标+大数据智能分析技术相结合实现智慧指标审计。</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3.3业务系统</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业务系统可实现包括项目管理、标底复核、跟踪审计、结算审计、审计费用等几大模块，实现工程项目监督管理的全流程线上作业功能。</w:t>
      </w:r>
      <w:r/>
    </w:p>
    <w:p>
      <w:pPr>
        <w:numPr>
          <w:ilvl w:val="0"/>
          <w:numId w:val="0"/>
        </w:num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块链技术要求：在项目审批流程中支持使用区块链技术来加密工程项目的变更日志，以提高流程的透明度、安全性和不可篡改性。要求在将变更日志添加到区块链之前，使用加密算法（如AES）对数据进行加密，确保敏感信息的安全。</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3.4指标管理系统</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指标管理系统</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通过上传造价成果文件数据，利用信息技术对工程进行多维度的分析和处理，输出工程指标，</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通过对同类工程指标进行综合指标计算，形成不同类型的综合指标，应用到指标审计工作中，系统</w:t>
      </w:r>
      <w:r>
        <w:rPr>
          <w:rFonts w:hint="eastAsia" w:ascii="宋体" w:hAnsi="宋体" w:eastAsia="宋体" w:cs="宋体"/>
          <w:sz w:val="24"/>
          <w:szCs w:val="24"/>
          <w:highlight w:val="none"/>
          <w:lang w:val="en-US" w:eastAsia="zh-CN"/>
        </w:rPr>
        <w:t xml:space="preserve">可实现</w:t>
      </w:r>
      <w:r>
        <w:rPr>
          <w:rFonts w:hint="eastAsia" w:ascii="宋体" w:hAnsi="宋体" w:eastAsia="宋体" w:cs="宋体"/>
          <w:sz w:val="24"/>
          <w:szCs w:val="24"/>
          <w:highlight w:val="none"/>
        </w:rPr>
        <w:t xml:space="preserve">包括项目指标库、典型项目库、综合指标、指标规则配置等模块功能。</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数据中心</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数据中心</w:t>
      </w:r>
      <w:r>
        <w:rPr>
          <w:rFonts w:hint="eastAsia" w:ascii="宋体" w:hAnsi="宋体" w:eastAsia="宋体" w:cs="宋体"/>
          <w:sz w:val="24"/>
          <w:szCs w:val="24"/>
          <w:highlight w:val="none"/>
          <w:lang w:val="en-US" w:eastAsia="zh-CN"/>
        </w:rPr>
        <w:t xml:space="preserve">实现</w:t>
      </w:r>
      <w:r>
        <w:rPr>
          <w:rFonts w:hint="eastAsia" w:ascii="宋体" w:hAnsi="宋体" w:eastAsia="宋体" w:cs="宋体"/>
          <w:sz w:val="24"/>
          <w:szCs w:val="24"/>
          <w:highlight w:val="none"/>
        </w:rPr>
        <w:t xml:space="preserve">为智慧审计及造价指标提供相关数据，包括工程造价数据库、历史清单库、历史材料库、信息价库、市场价库、测定价库、内部材价库</w:t>
      </w:r>
      <w:r>
        <w:rPr>
          <w:rFonts w:hint="eastAsia" w:ascii="宋体" w:hAnsi="宋体" w:eastAsia="宋体" w:cs="宋体"/>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设置管理</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设置管理为了保障平台应用，</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提供的管理平台的功能模块；包括用户登陆、管理、权限配置；包括组织机构、功能权限、日志管理等平台辅助功能。</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3.7历史数据治理要求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支持历史项目造价文件数据的解析，可实现数据的自动化清洗、分析与入库，提升数据处理的效率。系统支持按照不同业态类型的标准化的造价指标分析模板，能够精准地进行历史项目指标对比、分析。系统通过建立系统化、规范化的数据治理流程，减少因人工操作导致的误差，提高数据的可靠性。</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3.8数据对接要求</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支持与大数据局、财政局、住建局、交易中心等政府职能部门实现无缝数据对接，并在获得相关许可后，自动采集造价数据，如建设项目的标底价、合同价以及项目名称、开始时间、结束时间等基本信息和项目预算等XML格式文件。</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3.9详细功能</w:t>
      </w:r>
      <w:r/>
    </w:p>
    <w:tbl>
      <w:tblPr>
        <w:tblStyle w:val="72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034"/>
        <w:gridCol w:w="1186"/>
        <w:gridCol w:w="6318"/>
      </w:tblGrid>
      <w:tr>
        <w:trPr>
          <w:trHeight w:val="682"/>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分项名称</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功能说明</w:t>
            </w:r>
            <w:r/>
          </w:p>
        </w:tc>
      </w:tr>
      <w:tr>
        <w:trPr>
          <w:trHeight w:val="127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智慧审计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看板</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数据大屏</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数据大屏实现审计数据的动态监控和可视化，展示部门审计监督项目汇总、建设单位项目立项分布，以及年度项目的送审、在审、预警、延期和审结数量。同时，涵盖民生项目、基础设施和公共服务等类别的分布，并提供年度在审总投资额、累计审定金额和送审金额等财务数据。</w:t>
            </w:r>
            <w:r/>
          </w:p>
        </w:tc>
      </w:tr>
      <w:tr>
        <w:trPr>
          <w:trHeight w:val="76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智慧审计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人材机合理性审计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通过信息价、市场价、内部材料价、历史材料价等数据进行匹配，对审计项目的人材机数据进行合理性审计，通过偏差值、偏差率计算，发现疑点数据并生成审计报告。</w:t>
            </w:r>
            <w:r/>
          </w:p>
        </w:tc>
      </w:tr>
      <w:tr>
        <w:trPr>
          <w:trHeight w:val="76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综合单价合理性审计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按照实际审计需求，设置工程量清单数据的对比审计的审计规则，通过匹配数据及设置审计的条件，计算出对比数据，按照审计规则，筛选疑点数据并生成审计报告。</w:t>
            </w:r>
            <w:r/>
          </w:p>
        </w:tc>
      </w:tr>
      <w:tr>
        <w:trPr>
          <w:trHeight w:val="127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四算对比</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审计文件对比时，选择至少两个计价文件，设置文件匹配、清单匹配和疑点筛选规则，确定基准与对比文件。对数据进行清洗匹配，提取相同清单的综合单价、工程量和综合合价数据，计算偏差量和偏差率。根据审计规则筛选疑点数据，可备注或忽略，提升审计精准度与效率。</w:t>
            </w:r>
            <w:r/>
          </w:p>
        </w:tc>
      </w:tr>
      <w:tr>
        <w:trPr>
          <w:trHeight w:val="102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指标审计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解析审计工程数据，计算费用指标、经济指标、含量指标及主要工料机指标。设置匹配条件，精准匹配指标库内数据，调用综合和典型指标的费用、经济、含量及主要工料机指标，逐项进行匹配，并计算当前工程数据与这些指标的偏差值。</w:t>
            </w:r>
            <w:r/>
          </w:p>
        </w:tc>
      </w:tr>
      <w:tr>
        <w:trPr>
          <w:trHeight w:val="153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指标管理</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项目指标库</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从工程造价数据库选择工程文件上传入库，依据指标分析标准进行合法性校验。项目数据信息按时间列表展示，支持条件查询和导出。用户可查看并手动调整项目、单项及单位的概况信息。通过解析基础数据，计算并可视化工程的费用、经济、工程量及主要材料指标，供用户分析。项目的各层级指标数据支持导出为Excel格式，方便查看与分析。</w:t>
            </w:r>
            <w:r/>
          </w:p>
        </w:tc>
      </w:tr>
      <w:tr>
        <w:trPr>
          <w:trHeight w:val="51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典型项目库</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基于单个项目指标的分析，通过人工选出符合条件的具有典型指导意义的典型项目，从而进行单独管理。</w:t>
            </w:r>
            <w:r/>
          </w:p>
        </w:tc>
      </w:tr>
      <w:tr>
        <w:trPr>
          <w:trHeight w:val="127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综合指标</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从典型项目库筛选相同特征的项目或单项工程作为综合指标样本，创建并生成统计周期内的综合指标任务列表。基于样本数据，分别计算项目、单项和单位层级的费用、经济、含量及主要工料指标报表。完成的综合指标报表可导出为Excel文件，便于查看、发布或业务操作。</w:t>
            </w:r>
            <w:r/>
          </w:p>
        </w:tc>
      </w:tr>
      <w:tr>
        <w:trPr>
          <w:trHeight w:val="178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2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数据中心</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该系统通过自动接入和人工导入两种方式采集造价项目成果文件，解析清洗后形成造价数据库，作为审计项目造价数据管理的基础，为用户提供集中查询服务。系统以造价项目库为核心，建立多层次管理体系。通过存档已审定项目的计价文件和评审的材料价格，自动生成分部分项清单库和人材机库，并对接市场信息价、市场价和测定价库，辅助评审人材机价格的合理性。系统还支持新增或导入材料询价数据，提升评审效率。</w:t>
            </w:r>
            <w:r/>
          </w:p>
        </w:tc>
      </w:tr>
      <w:tr>
        <w:trPr>
          <w:trHeight w:val="51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业务系统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首页</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对站内通知公告、待办事项、通知讯息等内容进行集中展示，方便登录用户及时做出响应。</w:t>
            </w:r>
            <w:r/>
          </w:p>
        </w:tc>
      </w:tr>
      <w:tr>
        <w:trPr>
          <w:trHeight w:val="51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公共模块</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管理与个人相关的数据信息，包括个人资料、账号密码、日程安排、待办以及工作流信息</w:t>
            </w:r>
            <w:r/>
          </w:p>
        </w:tc>
      </w:tr>
      <w:tr>
        <w:trPr>
          <w:trHeight w:val="102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立项批文</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建设项目进行立项申报管理，用户可在系统中登记项目的立项信息，支持立项项目的多条件查询，支持目批文详情的查询。支持项目立项关键信息的调整，可查看立项调整列表、立项调整登记信息以及调整详情信息。</w:t>
            </w:r>
            <w:r/>
          </w:p>
        </w:tc>
      </w:tr>
      <w:tr>
        <w:trPr>
          <w:trHeight w:val="76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项目比选管理</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在审计局发出比选邀请后，候选的协审单位会收到比选邀请确认待办，协审单位选择相应的专职人员，并且上传签字盖章后的比选确认函附件。</w:t>
            </w:r>
            <w:r/>
          </w:p>
        </w:tc>
      </w:tr>
      <w:tr>
        <w:trPr>
          <w:trHeight w:val="204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标底复核</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单位按审计管理要求上报立项项目信息和资料，提交后按审计流程进行数据流转。标底项目申报完成后，系统发送协审人员安排待办，审标单位按专业安排人员并提交标底审查成果，由审计局决定是否复核。协审人员安排通过后，系统推送成果提交待办。复核结果出具后，系统发送满意度调查至建设单位，填写反馈。协审单位按《锡滨审发[2019]19号》考核管理，入库审批通过后方可参与协审。系统集中管理考核文件，并支持标底成果文件的查询与协审费用登记。</w:t>
            </w:r>
            <w:r/>
          </w:p>
        </w:tc>
      </w:tr>
      <w:tr>
        <w:trPr>
          <w:trHeight w:val="306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跟踪审计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单位申报跟踪审计项目，填写项目信息并提交审计局审核，项目必须关联立项批文或无立项说明。跟踪项目分为跟踪审计和全过程审计两类。申报后，审计局安排跟踪单位，招投标项目直接安排中标单位，抽签项目则根据结果安排。跟踪单位需在7个工作日内签订审计委托合同并上传至系统，其他合同如施工、监理合同也由跟踪单位上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全过程审计由审计局上传签订的委托合同，跟踪单位需在5个工作日内录入专业人员信息，并提交协审方案。跟踪过程中，项目会议、重大问题报告、开工报告、月报等均需按时上报，支持打卡记录、变更签证等数据的管理与查询。跟踪审计完成后，跟踪单位出具审计报告，提交审计局审核，通过后系统进行考核。项目信息、进度、月报等均可在系统中查看与管理。</w:t>
            </w:r>
            <w:r/>
          </w:p>
        </w:tc>
      </w:tr>
      <w:tr>
        <w:trPr>
          <w:trHeight w:val="51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结算审计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单位申报结算审计工程项目，提交审计局审核。审核通过后，审计局统一组织打包抽签；审核不通过则退回重修。申报内容包括项目基本信息和单位工程信息。结算项目分为三类：①全过程审计项目，直接延续到结算；②立项金额1亿以下项目，默认不复审；③立项金额超1亿项目，默认复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通过后，生成待办事项供审计局人员安排协审单位，并记录考核基准时间。若项目有跟踪单位，一般由其实施结算审计；如为年度招标项目，则由中标协审单位负责。协审单位需在7个工作日内与建设单位签订委托协议并上传合同扫描件，逾期扣分。协审单位需在5个工作日内录入专业人员配备信息，并提交协审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现场勘查在协议签订后7个工作日内完成，勘查信息和对账情况需及时登记。协审单位和施工单位的对账资料也需上传，初审单位提交初审报告并登记审核结果。若项目需复审，审计局安排复审单位，协审单位需定期填写复审日报。完成审计后，提交正式报告并进行满意度调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结算审计费用按招投标或协议确定，所有相关数据和文件集中管理，用户可通过系统查询。发现重大问题的单位需登记并送审计局确认。同时，若协审单位需延期，需提交申请，审核通过后系统扣除延期天数。</w:t>
            </w:r>
            <w:r/>
          </w:p>
        </w:tc>
      </w:tr>
      <w:tr>
        <w:trPr>
          <w:trHeight w:val="76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审计费用登记</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系统内可对结算复审项目和全过程审计项目的费用进行编制和登记。用户可以查看已登记的费用，并通过点击项目名称跳转至项目详情查看窗口。</w:t>
            </w:r>
            <w:r/>
          </w:p>
        </w:tc>
      </w:tr>
      <w:tr>
        <w:trPr>
          <w:trHeight w:val="59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数据查询</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提供全面的立项项目信息查看功能，用户可以浏览所有立项项目列表，查看立项批文及相关数据，包括关联的标的、跟踪和结算项目信息。所有项目查询支持多维度筛选和详细文件展示，便于快速定位特定项目并导出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此外，用户可以汇总协审单位的中标情况，按设定条件筛选数据，支持导出至Excel。年度和月度项目完成情况统计工具允许用户按需查询并导出报表，便于分析和报告制作。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系统还提供跟踪审计项目的现场人员签到统计，显示协审单位的排队顺序及详细信息，基于评分进行排名。标底项目查询功能同样支持多维度筛选和详细展示，帮助用户快速获取项目信息。</w:t>
            </w:r>
            <w:r/>
          </w:p>
        </w:tc>
      </w:tr>
      <w:tr>
        <w:trPr>
          <w:trHeight w:val="102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跟踪审计</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跟踪审计人员每周上传现场收集的项目数据至系统，进行统一管理。审计人员可根据项目名称或编码查询和复核上传的数据。同时，系统提供详细的跟踪项目完成情况统计功能，用户可以按需查询特定时间段的跟踪审计项目并查看详细信息。</w:t>
            </w:r>
            <w:r/>
          </w:p>
        </w:tc>
      </w:tr>
      <w:tr>
        <w:trPr>
          <w:trHeight w:val="102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费用查询</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对所有结算项目的初审和复审费用信息进行统一管理，用户可根据查询条件筛选符合条件的项目数据，并查看详细的工程和结算信息。同时，所有全过程审计项目的费用信息也可统一管理和查看，支持条件筛选和详细信息查看。</w:t>
            </w:r>
            <w:r/>
          </w:p>
        </w:tc>
      </w:tr>
      <w:tr>
        <w:trPr>
          <w:trHeight w:val="102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消息系统</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为机关内部提供消息收发服务，用于用户之间传递各类电子文档。涵盖了消息收发的主要功能。</w:t>
            </w:r>
            <w:r/>
          </w:p>
        </w:tc>
      </w:tr>
      <w:tr>
        <w:trPr>
          <w:trHeight w:val="2805"/>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数据对接</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项目进入实施库后，相关信息（如项目名</w:t>
            </w:r>
            <w:r>
              <w:rPr>
                <w:rFonts w:hint="eastAsia" w:ascii="宋体" w:hAnsi="宋体" w:eastAsia="宋体" w:cs="宋体"/>
                <w:i w:val="0"/>
                <w:iCs w:val="0"/>
                <w:color w:val="000000"/>
                <w:sz w:val="24"/>
                <w:szCs w:val="24"/>
                <w:u w:val="none"/>
                <w:lang w:val="en-US" w:eastAsia="zh-CN" w:bidi="ar"/>
              </w:rPr>
              <w:t xml:space="preserve">称、年度、类型、总投资额、建筑类型和主管部门）可通过接口传送至审计局，便于提前统筹安排审核力量。同时，审计管理系统可对接行政审批局，实时获取项目立项信息（批复文号、名称、类型和总投资额），确保审计局快速跟进项目进展。经审定的最高限价数据将推送至公共资源交易中心，作为后续招投标的标底。交易中心在发布招标公告后，可接入并获取相关文件，招投标结束后则传输中标数据及电子投标文件。财政局审核竣工财务决算报告后，接入项目决算数据以完成项目闭环。此外，系统还提供各类数据统计分析报表，支持项目审图和招标文件备案的数据接入。</w:t>
            </w:r>
            <w:r/>
          </w:p>
        </w:tc>
      </w:tr>
      <w:tr>
        <w:trPr>
          <w:trHeight w:val="45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区块链</w:t>
            </w:r>
            <w:r/>
          </w:p>
        </w:tc>
        <w:tc>
          <w:tcPr>
            <w:tcBorders>
              <w:top w:val="single" w:color="000000" w:sz="4" w:space="0"/>
              <w:left w:val="single" w:color="000000" w:sz="4" w:space="0"/>
              <w:bottom w:val="single" w:color="000000" w:sz="4" w:space="0"/>
              <w:right w:val="single" w:color="000000" w:sz="4" w:space="0"/>
            </w:tcBorders>
            <w:tcW w:w="3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业务数据上链</w:t>
            </w:r>
            <w:r/>
          </w:p>
        </w:tc>
      </w:tr>
    </w:tbl>
    <w:p>
      <w:pPr>
        <w:numPr>
          <w:ilvl w:val="0"/>
          <w:numId w:val="0"/>
        </w:numPr>
        <w:ind w:firstLine="42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四、项目管理要求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根据项目建设的具体内容和整体工期要求，中标人应有完善的项目实施方案，包括：项目实施与管理方法、项目计划、组织架构、人员管理、质量管理、进度管理、项目管理制度、文档管理、风险管理等。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中标人应有针对滨湖区建设工程智慧监管平台项目的质量保证体系和组织，并应制订好质量保证计划，列出项目实施过程中质量监督和保证执行的措施，记录质量保证活动，并保存和维护这些记录。</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4.1人员要求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为保障项目按质、按量、按时及有序实施，中标人应对滨湖区建设工程智慧监管平台项目建立一个完善和稳定的项目团队、管理机构及执行流程。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项目组织结构：中标人应为满足滨湖区</w:t>
      </w:r>
      <w:r>
        <w:rPr>
          <w:rFonts w:hint="eastAsia" w:ascii="宋体" w:hAnsi="宋体" w:eastAsia="宋体" w:cs="宋体"/>
          <w:sz w:val="24"/>
          <w:szCs w:val="24"/>
          <w:highlight w:val="none"/>
          <w:lang w:val="en-US" w:eastAsia="zh-CN"/>
        </w:rPr>
        <w:t xml:space="preserve">建设工程智慧监管平台项目实施需要，拟成立的滨湖区建设工程智慧监管平台项目实施团队的管理组织机构，构成方面应配备包括不限于如下几类人员：项目经理、产品经理、系统架构师、需求分析师、软件工程师、数据治理人员、驻场保障人员、系统测试人员等。并附上参加滨湖区建设工程智慧监管平台项目的主要管理、技术人员一览表，主要人员个人简历表，并承诺项目周期内实施人员的稳定性，项目核心人员不发生变动，如有变动，中标方需提前30天向招标方提出申请并经过招标方同意。（列表清单式标明每个项目内容实施人员数量，且标明实施期间驻场人员数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在项目实施过程中出现资源、进度、质量协调控制不力的情况，招标人有权要求更换相关项目人员，中标人必须予以配合，并确保不影响项目建设的进度和质量。中标人在项目实施过程中出现资源、进度、质量协调控制不力的情况，招标人有权要求更换相关项目人员，中标人必须予以配合，并确保不影响项目建设的进度和质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4.2测试要求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在实施过程中必须制定系统的整体测试方案，保证各系统连接正确，数据传送正常，测试方案要明确测试关键点，分单元测试、整体测试等。测试方法应包括功能测试、性能测试、系统测试等。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整个系统测试内容必须包括功能要求、可靠性、安全性、可扩充性、可维护性、移植性、整体性能、与其他平台接口等。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五、建设周期</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滨湖区建设工程智慧监管平台项目总体建设周期为12个月，如投标单位的项目实施周期不能满足招标文件要求的，作无效投标处理。各功能模块建设完成后进行项目初步验收，项目初步验收结束后进行3个月的试运行，试运行结束后完成项目终验，项目验收完毕后进入免费运维期。</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分两个阶段建设，阶段一指智慧审计看板、智慧审计子系统、指标管理子系统、数据中心、系统设置五个子系统的建设；阶段二指业务子系统的建设。阶段一建设周期为3个月，阶段二建设周期为9个月，两阶段合计建设周期12个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免费运维期：3年。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5.1项目交付要求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中标供应商应在合同签订生效后向采购方提交具体的项目交付说明、交付计划、交付物标准说明等。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中标供应商在本平台正式运行前必须提供以光盘为介质的所有定制开发系统源代码，包括标准二次开发接口、运行所必须的附加软件、与应用软件有关的电子文档等。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软件开发过程中，中标供应商应按照软件开发要求形成全面详尽的技术资料，包括可运行的程序、过程文档以及最终技术文档，以确保技术资料的一致性和完整性，在项目正式运行前提交完整的与应用系统相关的文档。所交付的文档至少包括：系统需求分析、概要设计、详细设计、数据库设计、测试报告、使用说明书/用户手册等。各种文档应当以光盘和书面两种形式交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具体交付内容及清单，招标方案未尽事宜以甲方需求为准。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5.2知识产权及涉密管理要求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5.2.1中标人应保证在滨湖区建设工程智慧监管平台项目中使用的任何产品和服务（包括部分使用），不会产生因第三方提出侵犯其专利权、商标权或其它知识产权而引起的法律和经济纠纷，如因专利权、商标权或其它知识产权而引起法律和经济纠纷，由中标人承担所有相关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5.2.2滨湖区建设工程智慧监管平台项目在实施过程中定制化软件产生的知识成果及知识产权归采购人拥有，如涉及硬件设备产权，归采购人所有。本项目委托开发产生的知识产权、项目成果由采购方拥有，但中标人必须根据采购方的需求配合完成相关软件著作权申请。中标方对其在签订本合同之前已经拥有的知识产权保留所有权。采购方在本合同履行期间及履行完毕后，对中标方使用于本合同的前述相关知识产权享有免费使用权，采购方可以根据需要使用、复制、翻译、修改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5.2.3中标人如在项目实施过程中采用自有知识成果，中标人需提供开发接口和开发手册等技术文档，并承诺提供相应的技术支持。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5.2.4滨湖区建设工程智慧监管平台项目产生和承载的数据资源归采购人所有，未经采购人书面同意，中标人不可将数据资源用于滨湖区建设工程智慧监管平台项目之外，包括数据复制、加工、共享、应用和提供给第三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5.2.5中标人采购的与滨湖区建设工程智慧监管平台项目有关的第三方商品化软件授权使用人应注册为“无锡市滨湖区审计局”。</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5.2.6所有参与本次项目的人员应签订正式保密协议，并在工作中坚持保密原则，中标人严格规范执行各项保密制度，对在项目招标、建设、质保各阶段取得采购人各类信息进行保密管理，杜绝任何泄密事件的发生。</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（1）软件安装、调试服务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请中标人提交相应的软件安装和调试方案建议，包括详细的工作表和工作内容，如各种系统环境（至少包括开发环境、测试环境和生产运行环境）的应用软件、数据库的安装，软件程序问题的解决方案等。同时，中标人应负责在前述方案中列明环境的安装和调试步骤，并保证软件能够正常运行，安装调试需通过招标人、监理方和中标人验收认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（2）软件系统维护服务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中标人需要根据招标人的组织结构状况提供多个维修点地址、主要联系人及维护电话供选择。中标人可以在满足需求的基础上，提供相应的软件维护方案。中标人提供的维护和故障排除帮助均以中文形式表达。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请在提供的维护方案中说明下列信息：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定制程序方面的软件维护；</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估计预防维护服务的频率及持续时间；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需求修改的响应速度应满足；</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数据库层面的需改应满足在两个工作日完成；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一般性程序调整（不改变原系统设计）应在一周内完成；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系统设计和框架性调整另外商定。</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（3）系统升级服务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请中标人提供系统版本升级管理方案，根据实际情况说明以下问题：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在版本管理方面，应将所有现有版本进一步更新的信息和二周以内准备推出的新系统版本的信息通知招标人，并在接到招标人请求起一月内供并安装更新版本； 应说明支持以前版本的政策，例如：中标人发布新版本后，原有老版本的用户若未作出相应升级或在作出相应升级之前，中标人是否会继续供对老版本的支持服务； </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若无声明任何新版本升级和安装费用支出应被视作已包括在投标总价中；升级实现方式，例如是远程还是现场技术支持。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六、培训要求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6.1中标人应负责对用户进行全面的技术培训（培训费用包含在总报价中），使用户能独立进行日常维护管理和简易故障处理等工作，以便用户所使用的软件产品能够正常、安全地运行。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6.2中标人的培训对象为系统管理员和系统使用人员，中标人需提供培训教材。培训采用三种培训方式：项目培训（集中授课培训）、实践培训、现场培训。</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七、验收与审计要求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7.1验收方案由采购人最终确定，验收工作由采购人和监理单位共同负责，中标供应商配合。在验收时中标供应商自行组织验收测试所需的测试用例和人员，并在采购人和监理的监查下进行测试和验收，提交系统功能验收结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7.2中标供应商应当根据采购方要求向采购方提供必要的技术资料和技术支持。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7.3中标供应商应当负责在项目整体验收前将系统的全部各种相关的系统软件，各阶段开发文档，以及有关产品和系统说明书、安装手册、技术文件、测试报告等文档汇集成册交付给采购方。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7.4采购人与监理对中标供应商提供的相关验收材料会审通过后，通知中标供应商现场验收的时间及安排。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7.5各项功能和性能指标满足要求，可进行最终验收。具体要求如下：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软件开发建设验收条件：（1）项目全部建设内容，已按合同全部建成，能满足运行的需要；（2）完成第三方软件测评；（3）试运行无重大缺陷、无重大故障且试运行期</w:t>
      </w:r>
      <w:r>
        <w:rPr>
          <w:rFonts w:hint="eastAsia" w:ascii="宋体" w:hAnsi="宋体" w:eastAsia="宋体" w:cs="宋体"/>
          <w:sz w:val="24"/>
          <w:szCs w:val="24"/>
          <w:highlight w:val="none"/>
          <w:lang w:val="en-US" w:eastAsia="zh-CN"/>
        </w:rPr>
        <w:t xml:space="preserve">间产生的所有问题都已得到解决；（4） 供第三方安全测评报告；（5）项目文件资料齐全，并符合相关规定。验收标准及要求：双方签署最终验收文件时，中标人应提交规范、完整验收文档，提交的文档包含但不限于以下内容：项目需求分析报告、概要设计说明书、数据流程图、详细设计说明书、程序按照维护手册、使用手册、软件维护手册、系统上线实施手册、系统测试计划、测试报告、数据备份方案、系统字典说明，技术手册、配置管理及维护的全面资料，以及所有与采购人、设备、系统等相关联的说明、表格等资料文档，并有责任按照甲方要求整理、装订、归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中标人在交付能够高效稳定运行的应用系统之外，应按照“项目文档要求”交项目文档，同时中标人需要提供定制软件开发的所有源代码，源代码须有详细的注释。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（1）系统试运行期间中标供应商有专人跟踪并提供跟踪日志，如系统质量等指标达不到要求，应继续完善，其试运行期顺延。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（2）满足国家、省、市、区有关部门的验收要求。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（3）相关文档齐全、规范，包括开发文档（需求、设计）、系统安装配置手册、操作手册文档等，参照国家相关标准执行。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7.6项目终验后进行最终审计，审计按照相关审计规程及技术标准执行。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项目文档要求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项目验收后，中标单位需供详细的技术开发文档、使用说明书、维护手册等文档资料。供日常维护、应急维护方案以及二次开发所需要的源代码及技术支持工具。</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项目文档包括但不限于以下文档：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7.6.1设计阶段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（1）项目建议书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（2）项目需求分析报告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（3）技术设计方案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（4）软件开发标准规范文件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（5）数据流向方案设计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（6）功能性设计方案，包含各个应用功能模块的功能设计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（7）ICT 基础设施设计，包括计算服务资源、网络资源，存储资源等 ICT 基础设施资源规划设计。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7.6.2实施阶段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（1）硬件及设备需提供货物清单，包含货物证书及相关文档：产品出厂证、合格证、目录、图纸、操作手册、使用说明、维护手册或服务指南；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（2）软件平台需接受采购方指定的第三方权威机构进行测评（含软件测评、性能测评、安全测评）。</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（3）概要设计说明书、详细设计说明书、程序按照维护手册、使用手册、软件维护手册、系统上线实施手册、数据备份方案、系统字典说明，技术手册、配置管理及维护的全面资料。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（4）项目概要设计书：包括《界面设计说明书》、《数据库设计说明书》以及流程、处理逻辑及涉及数据库表字段变化说明。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（5）安装、测试报告：包括《安装报告》、《测试计划》、《测试用例》、《功能/性能测试报告》等。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（6）培训文档：包括《培训方案》、《培训记录》、《培训签到表》等。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（7）项目报告：《项目周/月/季报》、《项目阶段总结报告》、《试运行/上线报告》、验收报告等其他归档材料。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7.6.3运维阶段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（1）维护手册：《用户手册》、《程序安装维护手册》、《数据库维护文档》《售后服务规范》、《系统安装维护手册》、《页面维护文档》、《非页面维护文档》等。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（2）《运维服务记录》、《运维报告》等。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八、售后服务要求</w:t>
      </w:r>
      <w:r>
        <w:rPr>
          <w:rFonts w:hint="eastAsia" w:ascii="宋体" w:hAnsi="宋体" w:eastAsia="宋体" w:cs="宋体"/>
          <w:sz w:val="24"/>
          <w:szCs w:val="24"/>
          <w:highlight w:val="none"/>
          <w:lang w:val="en-US" w:eastAsia="zh-CN"/>
        </w:rPr>
        <w:tab/>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中标人必须为滨湖区建设工程智慧监管平台项目提供相应的技术支持和售后服务，具体要求如下：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（1）软件项目内容免费运维服务期从项目通过终验后起三年，硬件部分为五年。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运维期内中标人必须派人员（不少于五人）常驻本地进行现场维护。驻场服务时间要求：以采购方工作时间为准。当中标人技术人员有变动时，中标人必须提前一个月以上告知采购人，并将更换的技术人员的技术资质报采购人审核，经采购人审核通过后才可更换技术人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（3）中标人应保证系统正常运行，定期提供运维报告。出现网络信息安全等问题，应及时提供处理及修复服务。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（4）故障响应及处理：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故障响应时间：提供全年的7*24小时响应服务（包括节假日）。在非工作时间内出现故障的响应为1小时以内。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故障恢复时间：系统出现异常或故障时，中标人须积极查找原因，并承诺2小时内响应，4小时内提供解决方案。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故障报告及全年正常运行时间：故障发生24小时内向采购人提供故障报告；故障解决三日内提供故障分析报告；保证系统全年正常运行率99.0％（不可抗力因素除外）。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（6）中标人须定期优化系统，当系统运行效率下降时，负责及时查清下降原因并及时解决。</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九、其他要求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9.1投标报价要求：本项目为交钥匙工程。投标人必须对以上全部采购内容及相关服务进行报价，报价中应包含设备（产品）采购、安装到位、软件开发部署、测试、系统安装集成、免费维护费用、验收合格、相关培训等伴随服务等全部明细内容，并将与本项目有关的其他所有费用全部计入投标报价，采购人不再承担其他任何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9.2本项目实施周期为合同签订后12个月内完成，请投标单位根据用户方需求自报项目实施周期，并制作详细实施周期及施工组织方案、人员安排等质量、安全、工期保障措施，以确保项目按期完工。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（1）投标总报价包括满足本项目要求的所有产品及其配件、包装、运杂、安装调试及售后服务等从项目中标起到项目正式交付以及质保期内所发生的一切费用。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（2）通过中国海关报关验放进入中国境内且产自关境外的产品不在本项目的报价范围。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（3）本项目中有信息安全产品的，必须选择经国家认证的信息安全产品，并提供由中国信息安全认证中心颁发的有效认证证书复印件。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（4）本项目中有政府强制采购节能产品的，只能选择财政部、国家发展改革委公布的现行《节能产品政府采购清单》中的产品进行报价。</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（5）投标人必须在满足招标文件要求的基础上进行报价，如有技术偏离请于投标偏离表中说明。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（6）本项目合同履行地点为无锡市，具体地点以合同规定地点为准。</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10.1合同款项的支付方式及进度安排</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10.1.1合同签订后一个月内，支付至合同金额的30%。</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10.1.2通过项目整体竣工验收后，支付至合同金额的90%。</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10.1.4尾款支付时间：3年免费维保期结束后一个月内按审定价付清尾款。</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10.1.5项目结算审计参照无锡市市级政务信息化建设及运行维护项目预算支出标准（2024 修订版）进行。</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中标供应商在每次收到货款之前，应出具符合国家现行相关税务政策有效发票。</w:t>
      </w:r>
      <w:r/>
    </w:p>
    <w:p>
      <w:pPr>
        <w:numPr>
          <w:ilvl w:val="0"/>
          <w:numId w:val="6"/>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rPr>
          <w:rFonts w:hint="eastAsia" w:ascii="宋体" w:hAnsi="宋体" w:eastAsia="宋体" w:cs="宋体"/>
          <w:b/>
          <w:sz w:val="28"/>
          <w:szCs w:val="28"/>
        </w:rPr>
      </w:pPr>
      <w:r>
        <w:rPr>
          <w:rFonts w:hint="eastAsia" w:ascii="宋体" w:hAnsi="宋体" w:eastAsia="宋体" w:cs="宋体"/>
          <w:b/>
          <w:sz w:val="28"/>
          <w:szCs w:val="28"/>
        </w:rPr>
        <w:t xml:space="preserve">  第二部分  有关说明</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投标总报价包括满足本项目服务要求的从项目中标起到项目正式交付以及服务期内所发生的一切费用。</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通过中国海关报关验放进入中国境内且产自境外的产品不在本项目的报价范围。</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采购人指定地点</w:t>
      </w:r>
      <w:r>
        <w:rPr>
          <w:rFonts w:hint="eastAsia" w:ascii="宋体" w:hAnsi="宋体" w:eastAsia="宋体" w:cs="宋体"/>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
          <w:bCs/>
          <w:sz w:val="24"/>
          <w:szCs w:val="24"/>
        </w:rPr>
      </w:pPr>
      <w:r>
        <w:rPr>
          <w:rFonts w:hint="eastAsia" w:ascii="宋体" w:hAnsi="宋体" w:eastAsia="宋体" w:cs="宋体"/>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宋体"/>
          <w:bCs/>
          <w:sz w:val="24"/>
          <w:szCs w:val="24"/>
        </w:rPr>
        <w:br w:type="page" w:clear="all"/>
      </w:r>
      <w:r>
        <w:rPr>
          <w:rFonts w:hint="eastAsia" w:ascii="宋体" w:hAnsi="宋体" w:eastAsia="宋体" w:cs="宋体"/>
          <w:b/>
          <w:sz w:val="28"/>
          <w:szCs w:val="28"/>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中标、成交供应商可以采用电子履约保函形式，具体操作可登录江苏政府采购网的保险保函模块进行办理。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bCs w:val="0"/>
          <w:sz w:val="28"/>
          <w:szCs w:val="28"/>
        </w:rPr>
      </w:pPr>
      <w:r>
        <w:rPr>
          <w:rFonts w:hint="eastAsia" w:ascii="宋体" w:hAnsi="宋体" w:eastAsia="宋体" w:cs="宋体"/>
          <w:bCs/>
          <w:sz w:val="24"/>
          <w:szCs w:val="24"/>
        </w:rPr>
        <w:br w:type="page" w:clear="all"/>
      </w:r>
      <w:bookmarkStart w:id="150" w:name="_Toc120614281"/>
      <w:r>
        <w:rPr>
          <w:rFonts w:hint="eastAsia" w:ascii="宋体" w:hAnsi="宋体" w:eastAsia="宋体" w:cs="宋体"/>
          <w:b/>
          <w:bCs w:val="0"/>
          <w:sz w:val="28"/>
          <w:szCs w:val="28"/>
        </w:rPr>
        <w:t xml:space="preserve">第五章  评标方法与评标标准</w:t>
      </w:r>
      <w:r/>
    </w:p>
    <w:p>
      <w:pPr>
        <w:pStyle w:val="1104"/>
        <w:ind w:firstLine="602"/>
        <w:spacing w:before="0" w:after="0"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第一部分评标方法</w:t>
      </w:r>
      <w:r/>
    </w:p>
    <w:p>
      <w:pPr>
        <w:pStyle w:val="1104"/>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投标人通过初审的，方可进入比较与评价程序。</w:t>
      </w:r>
      <w:r/>
    </w:p>
    <w:p>
      <w:pPr>
        <w:pStyle w:val="1104"/>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比较与评价采用综合评分法。</w:t>
      </w:r>
      <w:r/>
    </w:p>
    <w:p>
      <w:pPr>
        <w:pStyle w:val="1104"/>
        <w:spacing w:before="0" w:after="0" w:line="500" w:lineRule="exact"/>
        <w:rPr>
          <w:rStyle w:val="1098"/>
          <w:rFonts w:hint="eastAsia" w:ascii="宋体" w:hAnsi="宋体" w:eastAsia="宋体" w:cs="宋体"/>
          <w:sz w:val="24"/>
          <w:szCs w:val="24"/>
        </w:rPr>
      </w:pPr>
      <w:r>
        <w:rPr>
          <w:rFonts w:hint="eastAsia" w:ascii="宋体" w:hAnsi="宋体" w:eastAsia="宋体" w:cs="宋体"/>
          <w:bCs/>
          <w:sz w:val="24"/>
          <w:szCs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04"/>
        <w:spacing w:before="0" w:after="0" w:line="500" w:lineRule="exact"/>
        <w:rPr>
          <w:rFonts w:hint="eastAsia" w:ascii="宋体" w:hAnsi="宋体" w:eastAsia="宋体" w:cs="宋体"/>
          <w:sz w:val="24"/>
          <w:szCs w:val="24"/>
          <w:shd w:val="clear" w:color="ffffff" w:fill="d9d9d9"/>
        </w:rPr>
      </w:pPr>
      <w:r>
        <w:rPr>
          <w:rFonts w:hint="eastAsia" w:ascii="宋体" w:hAnsi="宋体" w:eastAsia="宋体" w:cs="宋体"/>
          <w:bCs/>
          <w:sz w:val="24"/>
          <w:szCs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widowControl/>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1104"/>
        <w:ind w:firstLine="56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第二部分评标标准</w:t>
      </w:r>
      <w:r/>
    </w:p>
    <w:p>
      <w:pPr>
        <w:pStyle w:val="1104"/>
        <w:ind w:firstLine="562"/>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一、落实政府采购政策的价格调整</w:t>
      </w:r>
      <w:r/>
    </w:p>
    <w:p>
      <w:pPr>
        <w:ind w:firstLine="482"/>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小微型企业价格扣除：</w:t>
      </w:r>
      <w:r>
        <w:rPr>
          <w:rFonts w:hint="eastAsia" w:ascii="宋体" w:hAnsi="宋体" w:eastAsia="宋体" w:cs="宋体"/>
          <w:b/>
          <w:bCs/>
          <w:sz w:val="24"/>
          <w:szCs w:val="24"/>
          <w:lang w:val="en-US" w:eastAsia="zh-CN"/>
        </w:rPr>
        <w:t xml:space="preserve">本项目部</w:t>
      </w:r>
      <w:r>
        <w:rPr>
          <w:rFonts w:hint="eastAsia" w:ascii="宋体" w:hAnsi="宋体" w:eastAsia="宋体" w:cs="宋体"/>
          <w:b/>
          <w:bCs/>
          <w:sz w:val="24"/>
          <w:szCs w:val="24"/>
        </w:rPr>
        <w:t xml:space="preserve">专门面向中小/小微企业</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做价格扣除。</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000000"/>
          <w:sz w:val="24"/>
          <w:szCs w:val="24"/>
          <w:lang w:eastAsia="zh-CN"/>
        </w:rPr>
        <w:t xml:space="preserve">〔2014〕68号</w:t>
      </w:r>
      <w:r>
        <w:rPr>
          <w:rFonts w:hint="eastAsia" w:ascii="宋体" w:hAnsi="宋体" w:eastAsia="宋体" w:cs="宋体"/>
          <w:bCs/>
          <w:color w:val="000000"/>
          <w:sz w:val="24"/>
          <w:szCs w:val="24"/>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4.残疾人福利单位、监狱企业属于小型、微型企业的，不重复享受政策。</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jc w:val="left"/>
        <w:widowControl/>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1104"/>
        <w:ind w:firstLine="360"/>
        <w:spacing w:before="0" w:after="0"/>
        <w:rPr>
          <w:rFonts w:hint="eastAsia" w:ascii="宋体" w:hAnsi="宋体" w:eastAsia="宋体" w:cs="宋体"/>
          <w:b/>
          <w:sz w:val="24"/>
          <w:szCs w:val="24"/>
        </w:rPr>
      </w:pPr>
      <w:r>
        <w:rPr>
          <w:rFonts w:hint="eastAsia" w:ascii="宋体" w:hAnsi="宋体" w:eastAsia="宋体" w:cs="宋体"/>
          <w:b/>
          <w:sz w:val="24"/>
          <w:szCs w:val="24"/>
        </w:rPr>
        <w:t xml:space="preserve">二、评分标准</w:t>
      </w:r>
      <w:r/>
    </w:p>
    <w:p>
      <w:pPr>
        <w:ind w:firstLine="120"/>
        <w:spacing w:line="360" w:lineRule="auto"/>
        <w:rPr>
          <w:rFonts w:hint="eastAsia" w:ascii="宋体" w:hAnsi="宋体" w:eastAsia="宋体" w:cs="宋体"/>
          <w:sz w:val="24"/>
          <w:szCs w:val="24"/>
        </w:rPr>
      </w:pPr>
      <w:r/>
      <w:bookmarkStart w:id="151" w:name="_Hlk165208115"/>
      <w:r>
        <w:rPr>
          <w:rFonts w:hint="eastAsia" w:ascii="宋体" w:hAnsi="宋体" w:eastAsia="宋体" w:cs="宋体"/>
          <w:sz w:val="24"/>
          <w:szCs w:val="24"/>
        </w:rPr>
        <w:t xml:space="preserve">（一）评分项目及总分（总分100分）</w:t>
      </w:r>
      <w:r/>
    </w:p>
    <w:p>
      <w:pPr>
        <w:ind w:firstLine="715"/>
        <w:spacing w:line="360" w:lineRule="auto"/>
        <w:rPr>
          <w:rFonts w:hint="eastAsia" w:ascii="宋体" w:hAnsi="宋体" w:eastAsia="宋体" w:cs="宋体"/>
          <w:b/>
          <w:sz w:val="24"/>
          <w:szCs w:val="24"/>
        </w:rPr>
      </w:pPr>
      <w:r/>
      <w:bookmarkStart w:id="152" w:name="_Hlk165208094"/>
      <w:r>
        <w:rPr>
          <w:rFonts w:hint="eastAsia" w:ascii="宋体" w:hAnsi="宋体" w:eastAsia="宋体" w:cs="宋体"/>
          <w:b/>
          <w:sz w:val="24"/>
          <w:szCs w:val="24"/>
        </w:rPr>
        <w:t xml:space="preserve">1、报价                       </w:t>
      </w:r>
      <w:r>
        <w:rPr>
          <w:rFonts w:hint="eastAsia" w:ascii="宋体" w:hAnsi="宋体" w:eastAsia="宋体" w:cs="宋体"/>
          <w:b/>
          <w:sz w:val="24"/>
          <w:szCs w:val="24"/>
          <w:lang w:val="en-US" w:eastAsia="zh-CN"/>
        </w:rPr>
        <w:t xml:space="preserve">23</w:t>
      </w:r>
      <w:r>
        <w:rPr>
          <w:rFonts w:hint="eastAsia" w:ascii="宋体" w:hAnsi="宋体" w:eastAsia="宋体" w:cs="宋体"/>
          <w:b/>
          <w:sz w:val="24"/>
          <w:szCs w:val="24"/>
        </w:rPr>
        <w:t xml:space="preserve">分</w:t>
      </w:r>
      <w:r/>
    </w:p>
    <w:p>
      <w:pPr>
        <w:ind w:firstLine="720"/>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2、报价供应商综合情况</w:t>
      </w:r>
      <w:r>
        <w:rPr>
          <w:rFonts w:hint="eastAsia" w:ascii="宋体" w:hAnsi="宋体" w:eastAsia="宋体" w:cs="宋体"/>
          <w:b/>
          <w:bCs/>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22</w:t>
      </w:r>
      <w:r>
        <w:rPr>
          <w:rFonts w:hint="eastAsia" w:ascii="宋体" w:hAnsi="宋体" w:eastAsia="宋体" w:cs="宋体"/>
          <w:b/>
          <w:sz w:val="24"/>
          <w:szCs w:val="24"/>
        </w:rPr>
        <w:t xml:space="preserve">分</w:t>
      </w:r>
      <w:r/>
    </w:p>
    <w:p>
      <w:pPr>
        <w:ind w:firstLine="71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bCs/>
          <w:sz w:val="24"/>
          <w:szCs w:val="24"/>
        </w:rPr>
        <w:t xml:space="preserve">服务方案                   5</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bookmarkEnd w:id="152"/>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（二）各项目评分标准</w:t>
      </w:r>
      <w:bookmarkEnd w:id="151"/>
      <w:r/>
      <w:r/>
    </w:p>
    <w:p>
      <w:pPr>
        <w:pStyle w:val="1104"/>
        <w:ind w:firstLine="420"/>
        <w:spacing w:before="0" w:after="0"/>
        <w:rPr>
          <w:rFonts w:hint="eastAsia" w:ascii="宋体" w:hAnsi="宋体" w:eastAsia="宋体" w:cs="宋体"/>
          <w:b/>
          <w:bCs/>
          <w:sz w:val="24"/>
          <w:szCs w:val="24"/>
        </w:rPr>
      </w:pPr>
      <w:r>
        <w:rPr>
          <w:rFonts w:hint="eastAsia" w:ascii="宋体" w:hAnsi="宋体" w:eastAsia="宋体" w:cs="宋体"/>
          <w:bCs/>
          <w:sz w:val="24"/>
          <w:szCs w:val="24"/>
        </w:rPr>
        <w:t xml:space="preserve">1.</w:t>
      </w:r>
      <w:r>
        <w:rPr>
          <w:rFonts w:hint="eastAsia" w:ascii="宋体" w:hAnsi="宋体" w:eastAsia="宋体" w:cs="宋体"/>
          <w:b/>
          <w:bCs/>
          <w:sz w:val="24"/>
          <w:szCs w:val="24"/>
        </w:rPr>
        <w:t xml:space="preserve">价格（2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ind w:firstLine="480"/>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投标报价得分=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评标基准价／投标报价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×价格权值×100。</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关于价格扣除详见本章第二部分“一、落实政府采购政策的价格调整”。</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2.投标人综合情况（</w:t>
      </w:r>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（1）业绩（</w:t>
      </w:r>
      <w:r>
        <w:rPr>
          <w:rFonts w:hint="eastAsia" w:ascii="宋体" w:hAnsi="宋体" w:eastAsia="宋体" w:cs="宋体"/>
          <w:b/>
          <w:sz w:val="24"/>
          <w:szCs w:val="24"/>
          <w:lang w:val="en-US" w:eastAsia="zh-CN"/>
        </w:rPr>
        <w:t xml:space="preserve">10</w:t>
      </w:r>
      <w:r>
        <w:rPr>
          <w:rFonts w:hint="eastAsia" w:ascii="宋体" w:hAnsi="宋体" w:eastAsia="宋体" w:cs="宋体"/>
          <w:b/>
          <w:sz w:val="24"/>
          <w:szCs w:val="24"/>
        </w:rPr>
        <w:t xml:space="preserve">分）：</w:t>
      </w:r>
      <w:r>
        <w:rPr>
          <w:rFonts w:hint="eastAsia" w:ascii="宋体" w:hAnsi="宋体" w:eastAsia="宋体" w:cs="宋体"/>
          <w:sz w:val="24"/>
          <w:szCs w:val="24"/>
        </w:rPr>
        <w:t xml:space="preserve">投标人自2021年1月1日以来承担过同类项目</w:t>
      </w: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rPr>
        <w:t xml:space="preserve">的，有一个得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时间以合同签订日期为准，须提供合同关键页（首页、合同金额页、合同双方单位名称盖章页等）</w:t>
      </w:r>
      <w:r>
        <w:rPr>
          <w:rFonts w:hint="eastAsia" w:ascii="宋体" w:hAnsi="宋体" w:eastAsia="宋体" w:cs="宋体"/>
          <w:b/>
          <w:sz w:val="24"/>
          <w:szCs w:val="24"/>
          <w:lang w:val="en-US" w:eastAsia="zh-CN"/>
        </w:rPr>
        <w:t xml:space="preserve">原件</w:t>
      </w:r>
      <w:r>
        <w:rPr>
          <w:rFonts w:hint="eastAsia" w:ascii="宋体" w:hAnsi="宋体" w:eastAsia="宋体" w:cs="宋体"/>
          <w:b/>
          <w:sz w:val="24"/>
          <w:szCs w:val="24"/>
        </w:rPr>
        <w:t xml:space="preserve">扫描并上传系统内，不提供不得分）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lang w:val="en-US" w:eastAsia="zh-CN"/>
        </w:rPr>
        <w:t xml:space="preserve">软件著作权</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分）：</w:t>
      </w:r>
      <w:r>
        <w:rPr>
          <w:rFonts w:hint="eastAsia" w:ascii="宋体" w:hAnsi="宋体" w:eastAsia="宋体" w:cs="宋体"/>
          <w:sz w:val="24"/>
          <w:szCs w:val="24"/>
        </w:rPr>
        <w:t xml:space="preserve">投标人具有</w:t>
      </w:r>
      <w:r>
        <w:rPr>
          <w:rFonts w:hint="eastAsia" w:ascii="宋体" w:hAnsi="宋体" w:eastAsia="宋体" w:cs="宋体"/>
          <w:b w:val="0"/>
          <w:bCs w:val="0"/>
          <w:sz w:val="24"/>
          <w:szCs w:val="24"/>
          <w:highlight w:val="none"/>
        </w:rPr>
        <w:t xml:space="preserve">数据库/指数指标/软件产品且拥有自主知识产权</w:t>
      </w:r>
      <w:r>
        <w:rPr>
          <w:rFonts w:hint="eastAsia" w:ascii="宋体" w:hAnsi="宋体" w:eastAsia="宋体" w:cs="宋体"/>
          <w:b w:val="0"/>
          <w:bCs w:val="0"/>
          <w:sz w:val="24"/>
          <w:szCs w:val="24"/>
          <w:highlight w:val="none"/>
          <w:lang w:val="en-US" w:eastAsia="zh-CN"/>
        </w:rPr>
        <w:t xml:space="preserve">的</w:t>
      </w:r>
      <w:r>
        <w:rPr>
          <w:rFonts w:hint="eastAsia" w:ascii="宋体" w:hAnsi="宋体" w:eastAsia="宋体" w:cs="宋体"/>
          <w:sz w:val="24"/>
          <w:szCs w:val="24"/>
        </w:rPr>
        <w:t xml:space="preserve">，有一个得1分，最高得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b/>
          <w:sz w:val="24"/>
          <w:szCs w:val="24"/>
        </w:rPr>
        <w:t xml:space="preserve">（须提供证书原件扫描并上传系统内，不提供不得分。）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（3）资质认证（</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分）：须提供有效期内的相关证书原件扫描并上传系统内，不提供不得分。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具有有效期内的信息系统建设和服务能力等级证书，CS4级及以上的，得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分；CS</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以下</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具有有效期内的</w:t>
      </w:r>
      <w:r>
        <w:rPr>
          <w:rFonts w:hint="eastAsia" w:ascii="宋体" w:hAnsi="宋体" w:eastAsia="宋体" w:cs="宋体"/>
          <w:sz w:val="24"/>
          <w:szCs w:val="24"/>
          <w:highlight w:val="none"/>
        </w:rPr>
        <w:t xml:space="preserve">能力成熟度模型集成</w:t>
      </w:r>
      <w:r>
        <w:rPr>
          <w:rFonts w:hint="eastAsia" w:ascii="宋体" w:hAnsi="宋体" w:eastAsia="宋体" w:cs="宋体"/>
          <w:sz w:val="24"/>
          <w:szCs w:val="24"/>
          <w:highlight w:val="none"/>
          <w:lang w:val="en-US" w:eastAsia="zh-CN"/>
        </w:rPr>
        <w:t xml:space="preserve">认证“量化级(</w:t>
      </w:r>
      <w:r>
        <w:rPr>
          <w:rFonts w:hint="eastAsia" w:ascii="宋体" w:hAnsi="宋体" w:eastAsia="宋体" w:cs="宋体"/>
          <w:sz w:val="24"/>
          <w:szCs w:val="24"/>
          <w:highlight w:val="none"/>
        </w:rPr>
        <w:t xml:space="preserve">CMMI</w:t>
      </w:r>
      <w:r>
        <w:rPr>
          <w:rFonts w:hint="eastAsia" w:ascii="宋体" w:hAnsi="宋体" w:eastAsia="宋体" w:cs="宋体"/>
          <w:sz w:val="24"/>
          <w:szCs w:val="24"/>
          <w:highlight w:val="none"/>
          <w:lang w:val="en-US" w:eastAsia="zh-CN"/>
        </w:rPr>
        <w:t xml:space="preserve">4)”及以上等级证书得2分</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量化级(</w:t>
      </w:r>
      <w:r>
        <w:rPr>
          <w:rFonts w:hint="eastAsia" w:ascii="宋体" w:hAnsi="宋体" w:eastAsia="宋体" w:cs="宋体"/>
          <w:sz w:val="24"/>
          <w:szCs w:val="24"/>
          <w:highlight w:val="none"/>
        </w:rPr>
        <w:t xml:space="preserve">CMMI</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rPr>
        <w:t xml:space="preserve">以下的，得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分，不提供不得分。</w:t>
      </w:r>
      <w:r/>
    </w:p>
    <w:p>
      <w:pPr>
        <w:ind w:firstLine="480"/>
        <w:spacing w:line="360" w:lineRule="auto"/>
        <w:rPr>
          <w:rFonts w:hint="eastAsia" w:ascii="宋体" w:hAnsi="宋体" w:eastAsia="宋体" w:cs="宋体"/>
          <w:b/>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项目人员配置（</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rPr>
          <w:rFonts w:hint="eastAsia" w:ascii="宋体" w:hAnsi="宋体" w:eastAsia="宋体" w:cs="宋体"/>
          <w:b/>
          <w:sz w:val="24"/>
          <w:szCs w:val="24"/>
        </w:rPr>
        <w:t xml:space="preserve">以投标人填列的《项目人员配置考察表》及按评分要求提供证明材料（人员证书原件和投标人为其缴纳的近三个月中任意一个月份（不含投标当月)的社保缴纳证明材料原件并签章上传系统中，否则不得分）。</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项目组成员具备一级造价师的，有一人得2分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rPr>
        <w:t xml:space="preserve">二级造价师的，有一人得1分，最高得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同时具备一级造价师及二级造价师</w:t>
      </w:r>
      <w:bookmarkStart w:id="163" w:name="_GoBack"/>
      <w:r/>
      <w:bookmarkEnd w:id="163"/>
      <w:r>
        <w:rPr>
          <w:rFonts w:hint="eastAsia" w:ascii="宋体" w:hAnsi="宋体" w:eastAsia="宋体" w:cs="宋体"/>
          <w:b/>
          <w:bCs/>
          <w:sz w:val="24"/>
          <w:szCs w:val="24"/>
          <w:highlight w:val="none"/>
          <w:lang w:val="en-US" w:eastAsia="zh-CN"/>
        </w:rPr>
        <w:t xml:space="preserve">的以一级造价师为准</w:t>
      </w:r>
      <w:r>
        <w:rPr>
          <w:rFonts w:hint="eastAsia" w:ascii="宋体" w:hAnsi="宋体" w:eastAsia="宋体" w:cs="宋体"/>
          <w:b/>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项目组成员具备架构设计师证书的，</w:t>
      </w:r>
      <w:r>
        <w:rPr>
          <w:rFonts w:hint="eastAsia" w:ascii="宋体" w:hAnsi="宋体" w:eastAsia="宋体" w:cs="宋体"/>
          <w:sz w:val="24"/>
          <w:szCs w:val="24"/>
          <w:highlight w:val="none"/>
          <w:lang w:val="en-US" w:eastAsia="zh-CN"/>
        </w:rPr>
        <w:t xml:space="preserve">有一人得1分，最高得2分</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．服务方案（5</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分）：</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业务需求理解及偏离情况</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rPr>
          <w:rFonts w:hint="eastAsia" w:ascii="宋体" w:hAnsi="宋体" w:eastAsia="宋体" w:cs="宋体"/>
          <w:b/>
          <w:bCs/>
          <w:color w:val="000000"/>
          <w:sz w:val="24"/>
          <w:szCs w:val="24"/>
        </w:rPr>
        <w:t xml:space="preserve">本项主要考察投标人对</w:t>
      </w:r>
      <w:r>
        <w:rPr>
          <w:rFonts w:hint="eastAsia" w:ascii="宋体" w:hAnsi="宋体" w:eastAsia="宋体" w:cs="宋体"/>
          <w:b/>
          <w:bCs/>
          <w:color w:val="000000"/>
          <w:sz w:val="24"/>
          <w:szCs w:val="24"/>
          <w:lang w:val="en-US" w:eastAsia="zh-CN"/>
        </w:rPr>
        <w:t xml:space="preserve">本项目业务需求的理解及偏离情况，需</w:t>
      </w:r>
      <w:r>
        <w:rPr>
          <w:rFonts w:hint="eastAsia" w:ascii="宋体" w:hAnsi="宋体" w:eastAsia="宋体" w:cs="宋体"/>
          <w:b/>
          <w:bCs/>
          <w:color w:val="000000"/>
          <w:sz w:val="24"/>
          <w:szCs w:val="24"/>
        </w:rPr>
        <w:t xml:space="preserve">包括①</w:t>
      </w:r>
      <w:r>
        <w:rPr>
          <w:rFonts w:hint="eastAsia" w:ascii="宋体" w:hAnsi="宋体" w:eastAsia="宋体" w:cs="宋体"/>
          <w:b/>
          <w:bCs/>
          <w:sz w:val="24"/>
          <w:szCs w:val="24"/>
          <w:highlight w:val="none"/>
          <w:lang w:eastAsia="zh-CN"/>
        </w:rPr>
        <w:t xml:space="preserve">系统现状</w:t>
      </w:r>
      <w:r>
        <w:rPr>
          <w:rFonts w:hint="eastAsia" w:ascii="宋体" w:hAnsi="宋体" w:eastAsia="宋体" w:cs="宋体"/>
          <w:b/>
          <w:bCs/>
          <w:color w:val="000000"/>
          <w:sz w:val="24"/>
          <w:szCs w:val="24"/>
        </w:rPr>
        <w:t xml:space="preserve">②</w:t>
      </w:r>
      <w:r>
        <w:rPr>
          <w:rFonts w:hint="eastAsia" w:ascii="宋体" w:hAnsi="宋体" w:eastAsia="宋体" w:cs="宋体"/>
          <w:b/>
          <w:bCs/>
          <w:sz w:val="24"/>
          <w:szCs w:val="24"/>
          <w:highlight w:val="none"/>
          <w:lang w:eastAsia="zh-CN"/>
        </w:rPr>
        <w:t xml:space="preserve">应用环境</w:t>
      </w:r>
      <w:r>
        <w:rPr>
          <w:rFonts w:hint="eastAsia" w:ascii="宋体" w:hAnsi="宋体" w:eastAsia="宋体" w:cs="宋体"/>
          <w:b/>
          <w:bCs/>
          <w:color w:val="000000"/>
          <w:sz w:val="24"/>
          <w:szCs w:val="24"/>
        </w:rPr>
        <w:t xml:space="preserve">③</w:t>
      </w:r>
      <w:r>
        <w:rPr>
          <w:rFonts w:hint="eastAsia" w:ascii="宋体" w:hAnsi="宋体" w:eastAsia="宋体" w:cs="宋体"/>
          <w:b/>
          <w:bCs/>
          <w:sz w:val="24"/>
          <w:szCs w:val="24"/>
          <w:highlight w:val="none"/>
          <w:lang w:eastAsia="zh-CN"/>
        </w:rPr>
        <w:t xml:space="preserve">使用人员</w:t>
      </w:r>
      <w:r>
        <w:rPr>
          <w:rFonts w:hint="eastAsia" w:ascii="宋体" w:hAnsi="宋体" w:eastAsia="宋体" w:cs="宋体"/>
          <w:b/>
          <w:bCs/>
          <w:sz w:val="24"/>
          <w:szCs w:val="24"/>
          <w:highlight w:val="none"/>
          <w:lang w:val="en-US" w:eastAsia="zh-CN"/>
        </w:rPr>
        <w:t xml:space="preserve">④</w:t>
      </w:r>
      <w:r>
        <w:rPr>
          <w:rFonts w:hint="eastAsia" w:ascii="宋体" w:hAnsi="宋体" w:eastAsia="宋体" w:cs="宋体"/>
          <w:b/>
          <w:bCs/>
          <w:sz w:val="24"/>
          <w:szCs w:val="24"/>
          <w:highlight w:val="none"/>
          <w:lang w:eastAsia="zh-CN"/>
        </w:rPr>
        <w:t xml:space="preserve">功能需求</w:t>
      </w:r>
      <w:r>
        <w:rPr>
          <w:rFonts w:hint="eastAsia" w:ascii="宋体" w:hAnsi="宋体" w:eastAsia="宋体" w:cs="宋体"/>
          <w:b/>
          <w:bCs/>
          <w:color w:val="000000"/>
          <w:sz w:val="24"/>
          <w:szCs w:val="24"/>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须针对每条内容进行阐述，阐述内容须满足采购需求。需求贴合度高且内容表达清晰，针对性强，理解程度高，方案合理的，该条得2分；内容较完整、具体，具有一定的针对性，理解程度一般，方案一般的，该条</w:t>
      </w:r>
      <w:r>
        <w:rPr>
          <w:rFonts w:hint="eastAsia" w:ascii="宋体" w:hAnsi="宋体" w:eastAsia="宋体" w:cs="宋体"/>
          <w:sz w:val="24"/>
          <w:szCs w:val="24"/>
        </w:rPr>
        <w:t xml:space="preserve">得1分</w:t>
      </w:r>
      <w:r>
        <w:rPr>
          <w:rFonts w:hint="eastAsia" w:ascii="宋体" w:hAnsi="宋体" w:eastAsia="宋体" w:cs="宋体"/>
          <w:color w:val="000000"/>
          <w:sz w:val="24"/>
          <w:szCs w:val="24"/>
        </w:rPr>
        <w:t xml:space="preserve">；内容简单，针对性不强，理解程度差，方案不合理的，该条得0.5分，每缺少一条内容或内容存在不能满足采购需求，或存在逻辑错误、前后矛盾，或存在违反现行相关规范的，该条不得分。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b/>
          <w:sz w:val="24"/>
          <w:szCs w:val="24"/>
          <w:lang w:eastAsia="zh-CN"/>
        </w:rPr>
        <w:t xml:space="preserve">产品结构设计完整度（</w:t>
      </w:r>
      <w:r>
        <w:rPr>
          <w:rFonts w:hint="eastAsia" w:ascii="宋体" w:hAnsi="宋体" w:eastAsia="宋体" w:cs="宋体"/>
          <w:b/>
          <w:color w:val="000000"/>
          <w:sz w:val="24"/>
          <w:szCs w:val="24"/>
        </w:rPr>
        <w:t xml:space="preserve">8分）</w:t>
      </w:r>
      <w:r>
        <w:rPr>
          <w:rFonts w:hint="eastAsia" w:ascii="宋体" w:hAnsi="宋体" w:eastAsia="宋体" w:cs="宋体"/>
          <w:b/>
          <w:bCs/>
          <w:color w:val="000000"/>
          <w:sz w:val="24"/>
          <w:szCs w:val="24"/>
        </w:rPr>
        <w:t xml:space="preserve">本项主要考察投标人</w:t>
      </w:r>
      <w:r>
        <w:rPr>
          <w:rFonts w:hint="eastAsia" w:ascii="宋体" w:hAnsi="宋体" w:eastAsia="宋体" w:cs="宋体"/>
          <w:b/>
          <w:bCs/>
          <w:color w:val="000000"/>
          <w:sz w:val="24"/>
          <w:szCs w:val="24"/>
          <w:lang w:val="en-US" w:eastAsia="zh-CN"/>
        </w:rPr>
        <w:t xml:space="preserve">对本项目产品结构的设计</w:t>
      </w:r>
      <w:r>
        <w:rPr>
          <w:rFonts w:hint="eastAsia" w:ascii="宋体" w:hAnsi="宋体" w:eastAsia="宋体" w:cs="宋体"/>
          <w:b/>
          <w:bCs/>
          <w:color w:val="000000"/>
          <w:sz w:val="24"/>
          <w:szCs w:val="24"/>
        </w:rPr>
        <w:t xml:space="preserve">。需包括①</w:t>
      </w:r>
      <w:r>
        <w:rPr>
          <w:rFonts w:hint="eastAsia" w:ascii="宋体" w:hAnsi="宋体" w:eastAsia="宋体" w:cs="宋体"/>
          <w:b/>
          <w:bCs/>
          <w:sz w:val="24"/>
          <w:szCs w:val="24"/>
          <w:highlight w:val="none"/>
        </w:rPr>
        <w:t xml:space="preserve">产品架构设计</w:t>
      </w:r>
      <w:r>
        <w:rPr>
          <w:rFonts w:hint="eastAsia" w:ascii="宋体" w:hAnsi="宋体" w:eastAsia="宋体" w:cs="宋体"/>
          <w:b/>
          <w:bCs/>
          <w:color w:val="000000"/>
          <w:sz w:val="24"/>
          <w:szCs w:val="24"/>
        </w:rPr>
        <w:t xml:space="preserve">；②</w:t>
      </w:r>
      <w:r>
        <w:rPr>
          <w:rFonts w:hint="eastAsia" w:ascii="宋体" w:hAnsi="宋体" w:eastAsia="宋体" w:cs="宋体"/>
          <w:b/>
          <w:bCs/>
          <w:sz w:val="24"/>
          <w:szCs w:val="24"/>
          <w:highlight w:val="none"/>
        </w:rPr>
        <w:t xml:space="preserve">业务流程设计</w:t>
      </w:r>
      <w:r>
        <w:rPr>
          <w:rFonts w:hint="eastAsia" w:ascii="宋体" w:hAnsi="宋体" w:eastAsia="宋体" w:cs="宋体"/>
          <w:b/>
          <w:bCs/>
          <w:color w:val="000000"/>
          <w:sz w:val="24"/>
          <w:szCs w:val="24"/>
        </w:rPr>
        <w:t xml:space="preserve">；③</w:t>
      </w:r>
      <w:r>
        <w:rPr>
          <w:rFonts w:hint="eastAsia" w:ascii="宋体" w:hAnsi="宋体" w:eastAsia="宋体" w:cs="宋体"/>
          <w:b/>
          <w:bCs/>
          <w:sz w:val="24"/>
          <w:szCs w:val="24"/>
          <w:highlight w:val="none"/>
        </w:rPr>
        <w:t xml:space="preserve">功能设计</w:t>
      </w:r>
      <w:r>
        <w:rPr>
          <w:rFonts w:hint="eastAsia" w:ascii="宋体" w:hAnsi="宋体" w:eastAsia="宋体" w:cs="宋体"/>
          <w:b/>
          <w:bCs/>
          <w:color w:val="000000"/>
          <w:sz w:val="24"/>
          <w:szCs w:val="24"/>
        </w:rPr>
        <w:t xml:space="preserve">；④</w:t>
      </w:r>
      <w:r>
        <w:rPr>
          <w:rFonts w:hint="eastAsia" w:ascii="宋体" w:hAnsi="宋体" w:eastAsia="宋体" w:cs="宋体"/>
          <w:b/>
          <w:bCs/>
          <w:sz w:val="24"/>
          <w:szCs w:val="24"/>
          <w:highlight w:val="none"/>
        </w:rPr>
        <w:t xml:space="preserve">扩展能力设计</w:t>
      </w:r>
      <w:r>
        <w:rPr>
          <w:rFonts w:hint="eastAsia" w:ascii="宋体" w:hAnsi="宋体" w:eastAsia="宋体" w:cs="宋体"/>
          <w:b/>
          <w:bCs/>
          <w:color w:val="000000"/>
          <w:sz w:val="24"/>
          <w:szCs w:val="24"/>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须针对每条内容进行阐述，阐述内容须满足采购需求。需求贴合度高且内容表达清晰，针对性强，该条得2分；内容较完整、具体，具有一定的针对性，该条得1分；内容简单，针对性不强，该条得0.5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eastAsia="zh-CN"/>
        </w:rPr>
        <w:t xml:space="preserve">总体技术方案</w:t>
      </w: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分）</w:t>
      </w:r>
      <w:bookmarkStart w:id="153" w:name="_Hlk180574557"/>
      <w:r>
        <w:rPr>
          <w:rFonts w:hint="eastAsia" w:ascii="宋体" w:hAnsi="宋体" w:eastAsia="宋体" w:cs="宋体"/>
          <w:b/>
          <w:bCs/>
          <w:color w:val="000000"/>
          <w:sz w:val="24"/>
          <w:szCs w:val="24"/>
        </w:rPr>
        <w:t xml:space="preserve">本项主要考察投标人</w:t>
      </w:r>
      <w:r>
        <w:rPr>
          <w:rFonts w:hint="eastAsia" w:ascii="宋体" w:hAnsi="宋体" w:eastAsia="宋体" w:cs="宋体"/>
          <w:b/>
          <w:bCs/>
          <w:color w:val="000000"/>
          <w:sz w:val="24"/>
          <w:szCs w:val="24"/>
          <w:lang w:val="en-US" w:eastAsia="zh-CN"/>
        </w:rPr>
        <w:t xml:space="preserve">的总体技术方案</w:t>
      </w:r>
      <w:r>
        <w:rPr>
          <w:rFonts w:hint="eastAsia" w:ascii="宋体" w:hAnsi="宋体" w:eastAsia="宋体" w:cs="宋体"/>
          <w:b/>
          <w:bCs/>
          <w:color w:val="000000"/>
          <w:sz w:val="24"/>
          <w:szCs w:val="24"/>
        </w:rPr>
        <w:t xml:space="preserve">。</w:t>
      </w:r>
      <w:bookmarkEnd w:id="153"/>
      <w:r>
        <w:rPr>
          <w:rFonts w:hint="eastAsia" w:ascii="宋体" w:hAnsi="宋体" w:eastAsia="宋体" w:cs="宋体"/>
          <w:b/>
          <w:bCs/>
          <w:color w:val="000000"/>
          <w:sz w:val="24"/>
          <w:szCs w:val="24"/>
        </w:rPr>
        <w:t xml:space="preserve">需包括</w:t>
      </w:r>
      <w:r>
        <w:rPr>
          <w:rFonts w:hint="eastAsia" w:ascii="宋体" w:hAnsi="宋体" w:eastAsia="宋体" w:cs="宋体"/>
          <w:b/>
          <w:bCs/>
          <w:sz w:val="24"/>
          <w:szCs w:val="24"/>
          <w:highlight w:val="none"/>
        </w:rPr>
        <w:t xml:space="preserve">①技术方案完整性，包含整套技术方案、使用主流技术、充分考虑性能要求、充分利用现有资源等内容。②技术方案合理性，包含有升级扩展设计、系统稳定性设计、兼容性设计、易用性设计等内容。③技术方案策略合理性，包含技术路线、体系架构、产品选型、标准规范等内容。④技术方案详细设计，包含技术架构设计、业务模型设计、数据库设计、软硬件平台设计等内容</w:t>
      </w:r>
      <w:r>
        <w:rPr>
          <w:rFonts w:hint="eastAsia" w:ascii="宋体" w:hAnsi="宋体" w:eastAsia="宋体" w:cs="宋体"/>
          <w:b/>
          <w:bCs/>
          <w:color w:val="000000"/>
          <w:sz w:val="24"/>
          <w:szCs w:val="24"/>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供应商须针对每条内容进行阐述，阐述内容须满足采购需求。需求贴合度高且内容表达清晰，针对性强，该条得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分；内容较完整、具体，具有一定的针对性，该条得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分；内容简单，针对性不强，该条得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lang w:val="en-US" w:eastAsia="zh-CN"/>
        </w:rPr>
        <w:t xml:space="preserve">项目组织实施方案</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6分）</w:t>
      </w:r>
      <w:r>
        <w:rPr>
          <w:rFonts w:hint="eastAsia" w:ascii="宋体" w:hAnsi="宋体" w:eastAsia="宋体" w:cs="宋体"/>
          <w:b/>
          <w:bCs/>
          <w:color w:val="000000"/>
          <w:sz w:val="24"/>
          <w:szCs w:val="24"/>
        </w:rPr>
        <w:t xml:space="preserve">本项主要考察投标人</w:t>
      </w:r>
      <w:r>
        <w:rPr>
          <w:rFonts w:hint="eastAsia" w:ascii="宋体" w:hAnsi="宋体" w:eastAsia="宋体" w:cs="宋体"/>
          <w:b/>
          <w:bCs/>
          <w:color w:val="000000"/>
          <w:sz w:val="24"/>
          <w:szCs w:val="24"/>
          <w:lang w:val="en-US" w:eastAsia="zh-CN"/>
        </w:rPr>
        <w:t xml:space="preserve">针对本项目的项目组织实施方案</w:t>
      </w:r>
      <w:r>
        <w:rPr>
          <w:rFonts w:hint="eastAsia" w:ascii="宋体" w:hAnsi="宋体" w:eastAsia="宋体" w:cs="宋体"/>
          <w:b/>
          <w:bCs/>
          <w:color w:val="000000"/>
          <w:sz w:val="24"/>
          <w:szCs w:val="24"/>
        </w:rPr>
        <w:t xml:space="preserve">，需包括：①进度与范围控制；②质量保证与风险控制；③配置与文档管理；④人员控制和计划建议；⑤实施目标；⑥实施工作内容及采取方法；⑦进度安排；⑧组织形式与支持方案。</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须针对每条内容进行阐述，阐述内容须满足采购需求贴合度高且内容表达清晰，针对性强，该条得2分；内容较完整、具体，具有一定的针对性，该条得1分；内容简单，针对性不强，该条得0.5分，每缺少一条内容或内容存在不能满足采购需求，或存在逻辑错误、前后矛盾，或存在违反现行相关规范的，该条不得分。</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sz w:val="24"/>
          <w:szCs w:val="24"/>
          <w:highlight w:val="none"/>
          <w:lang w:val="en-US" w:eastAsia="zh-CN"/>
        </w:rPr>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lang w:val="en-US" w:eastAsia="zh-CN"/>
        </w:rPr>
        <w:t xml:space="preserve">售后</w:t>
      </w:r>
      <w:r>
        <w:rPr>
          <w:rFonts w:hint="eastAsia" w:ascii="宋体" w:hAnsi="宋体" w:eastAsia="宋体" w:cs="宋体"/>
          <w:b/>
          <w:color w:val="000000"/>
          <w:sz w:val="24"/>
          <w:szCs w:val="24"/>
        </w:rPr>
        <w:t xml:space="preserve">服务方案（</w:t>
      </w:r>
      <w:r>
        <w:rPr>
          <w:rFonts w:hint="eastAsia" w:ascii="宋体" w:hAnsi="宋体" w:eastAsia="宋体" w:cs="宋体"/>
          <w:b/>
          <w:color w:val="000000"/>
          <w:sz w:val="24"/>
          <w:szCs w:val="24"/>
          <w:lang w:val="en-US" w:eastAsia="zh-CN"/>
        </w:rPr>
        <w:t xml:space="preserve">7</w:t>
      </w:r>
      <w:r>
        <w:rPr>
          <w:rFonts w:hint="eastAsia" w:ascii="宋体" w:hAnsi="宋体" w:eastAsia="宋体" w:cs="宋体"/>
          <w:b/>
          <w:color w:val="000000"/>
          <w:sz w:val="24"/>
          <w:szCs w:val="24"/>
        </w:rPr>
        <w:t xml:space="preserve">分）</w:t>
      </w:r>
      <w:r>
        <w:rPr>
          <w:rFonts w:hint="eastAsia" w:ascii="宋体" w:hAnsi="宋体" w:eastAsia="宋体" w:cs="宋体"/>
          <w:b/>
          <w:bCs/>
          <w:sz w:val="24"/>
          <w:szCs w:val="24"/>
          <w:highlight w:val="none"/>
          <w:lang w:val="en-US" w:eastAsia="zh-CN"/>
        </w:rPr>
        <w:t xml:space="preserve">对售后服务计划、售后服务管理流程、售后服务监督及保障机制、售后服务团队配置、售后服务响应时效（能提供快速的售后服务响应）、售后服务保密承诺、本地化服务能力（派员驻场、驻场说明等）等内容进行评价。</w:t>
      </w:r>
      <w:r/>
    </w:p>
    <w:p>
      <w:pPr>
        <w:ind w:firstLine="480"/>
        <w:keepLines w:val="0"/>
        <w:keepNext w:val="0"/>
        <w:pageBreakBefore w:val="0"/>
        <w:spacing w:line="360" w:lineRule="auto"/>
        <w:widowControl w:val="off"/>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须针对每条内容进行阐述，阐述内容须满足采购需求。需求贴合度高且内容表达清晰，针对性强，该条得7分；内容较完整、具体，具有一定的针对性，该条得4分；内容简单，针对性不强，该条得1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tabs>
          <w:tab w:val="left" w:pos="945" w:leader="none"/>
          <w:tab w:val="left" w:pos="1155" w:leader="none"/>
          <w:tab w:val="left" w:pos="3823" w:leader="none"/>
        </w:tabs>
        <w:rPr>
          <w:rFonts w:hint="eastAsia" w:ascii="宋体" w:hAnsi="宋体" w:eastAsia="宋体" w:cs="宋体"/>
          <w:sz w:val="24"/>
          <w:szCs w:val="24"/>
        </w:rPr>
      </w:pPr>
      <w:r>
        <w:rPr>
          <w:rFonts w:hint="eastAsia" w:ascii="宋体" w:hAnsi="宋体" w:eastAsia="宋体" w:cs="宋体"/>
          <w:sz w:val="24"/>
          <w:szCs w:val="24"/>
        </w:rPr>
      </w:r>
      <w:r/>
    </w:p>
    <w:p>
      <w:pPr>
        <w:spacing w:line="8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8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10"/>
        <w:spacing w:line="8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b/>
          <w:bCs w:val="0"/>
          <w:sz w:val="28"/>
          <w:szCs w:val="28"/>
        </w:rPr>
      </w:pPr>
      <w:r>
        <w:rPr>
          <w:rFonts w:hint="eastAsia" w:ascii="宋体" w:hAnsi="宋体" w:eastAsia="宋体" w:cs="宋体"/>
          <w:sz w:val="24"/>
          <w:szCs w:val="24"/>
        </w:rPr>
        <w:br w:type="page" w:clear="all"/>
      </w:r>
      <w:r>
        <w:rPr>
          <w:rFonts w:hint="eastAsia" w:ascii="宋体" w:hAnsi="宋体" w:eastAsia="宋体" w:cs="宋体"/>
          <w:b/>
          <w:bCs w:val="0"/>
          <w:sz w:val="28"/>
          <w:szCs w:val="28"/>
        </w:rPr>
        <w:t xml:space="preserve">第六章  </w:t>
      </w:r>
      <w:bookmarkEnd w:id="148"/>
      <w:r/>
      <w:bookmarkEnd w:id="149"/>
      <w:r/>
      <w:bookmarkEnd w:id="150"/>
      <w:r>
        <w:rPr>
          <w:rFonts w:hint="eastAsia" w:ascii="宋体" w:hAnsi="宋体" w:eastAsia="宋体" w:cs="宋体"/>
          <w:b/>
          <w:bCs w:val="0"/>
          <w:sz w:val="28"/>
          <w:szCs w:val="28"/>
        </w:rPr>
        <w:t xml:space="preserve">投标文件内容与格式</w:t>
      </w:r>
      <w:r/>
    </w:p>
    <w:p>
      <w:pPr>
        <w:pStyle w:val="1104"/>
        <w:ind w:firstLine="602"/>
        <w:spacing w:before="0" w:after="0" w:line="500" w:lineRule="exact"/>
        <w:rPr>
          <w:rFonts w:hint="eastAsia" w:ascii="宋体" w:hAnsi="宋体" w:eastAsia="宋体" w:cs="宋体"/>
          <w:b/>
          <w:bCs w:val="0"/>
          <w:sz w:val="28"/>
          <w:szCs w:val="28"/>
        </w:rPr>
      </w:pPr>
      <w:r/>
      <w:bookmarkStart w:id="154" w:name="_Hlt26671244"/>
      <w:r/>
      <w:bookmarkEnd w:id="154"/>
      <w:r/>
      <w:bookmarkStart w:id="155" w:name="_Hlt26955039"/>
      <w:r/>
      <w:bookmarkEnd w:id="155"/>
      <w:r>
        <w:rPr>
          <w:rFonts w:hint="eastAsia" w:ascii="宋体" w:hAnsi="宋体" w:eastAsia="宋体" w:cs="宋体"/>
          <w:b/>
          <w:bCs w:val="0"/>
          <w:sz w:val="28"/>
          <w:szCs w:val="28"/>
        </w:rPr>
        <w:t xml:space="preserve">第一部分投标文件内容</w:t>
      </w:r>
      <w:r/>
    </w:p>
    <w:p>
      <w:pPr>
        <w:pStyle w:val="1104"/>
        <w:ind w:firstLine="0"/>
        <w:spacing w:before="0" w:after="0"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一、资格证明文件</w:t>
      </w:r>
      <w:r/>
    </w:p>
    <w:tbl>
      <w:tblPr>
        <w:tblStyle w:val="728"/>
        <w:tblW w:w="98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6348"/>
        <w:gridCol w:w="2583"/>
      </w:tblGrid>
      <w:tr>
        <w:trPr>
          <w:jc w:val="center"/>
          <w:trHeight w:val="404"/>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6348" w:type="dxa"/>
            <w:vAlign w:val="center"/>
            <w:textDirection w:val="lrTb"/>
            <w:noWrap w:val="false"/>
          </w:tcPr>
          <w:p>
            <w:pPr>
              <w:pStyle w:val="1104"/>
              <w:jc w:val="center"/>
              <w:spacing w:before="0" w:after="0" w:line="240" w:lineRule="auto"/>
              <w:rPr>
                <w:rFonts w:hint="eastAsia" w:ascii="宋体" w:hAnsi="宋体" w:eastAsia="宋体" w:cs="宋体"/>
                <w:b/>
                <w:sz w:val="24"/>
                <w:szCs w:val="24"/>
              </w:rPr>
            </w:pPr>
            <w:r>
              <w:rPr>
                <w:rFonts w:hint="eastAsia" w:ascii="宋体" w:hAnsi="宋体" w:eastAsia="宋体" w:cs="宋体"/>
                <w:b/>
                <w:sz w:val="24"/>
                <w:szCs w:val="24"/>
              </w:rPr>
              <w:t xml:space="preserve">评审项及评审要求</w:t>
            </w:r>
            <w:r/>
          </w:p>
        </w:tc>
        <w:tc>
          <w:tcPr>
            <w:tcW w:w="2583" w:type="dxa"/>
            <w:vAlign w:val="center"/>
            <w:textDirection w:val="lrTb"/>
            <w:noWrap w:val="false"/>
          </w:tcPr>
          <w:p>
            <w:pPr>
              <w:pStyle w:val="1104"/>
              <w:ind w:firstLine="0"/>
              <w:jc w:val="center"/>
              <w:spacing w:before="0" w:after="0" w:line="240" w:lineRule="auto"/>
              <w:rPr>
                <w:rFonts w:hint="eastAsia" w:ascii="宋体" w:hAnsi="宋体" w:eastAsia="宋体" w:cs="宋体"/>
                <w:b/>
                <w:sz w:val="24"/>
                <w:szCs w:val="24"/>
              </w:rPr>
            </w:pPr>
            <w:r>
              <w:rPr>
                <w:rFonts w:hint="eastAsia" w:ascii="宋体" w:hAnsi="宋体" w:eastAsia="宋体" w:cs="宋体"/>
                <w:b/>
                <w:sz w:val="24"/>
                <w:szCs w:val="24"/>
              </w:rPr>
              <w:t xml:space="preserve">审查因素</w:t>
            </w:r>
            <w:r/>
          </w:p>
        </w:tc>
      </w:tr>
      <w:tr>
        <w:trPr>
          <w:cantSplit/>
          <w:jc w:val="center"/>
          <w:trHeight w:val="1335"/>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583" w:type="dxa"/>
            <w:vAlign w:val="center"/>
            <w:vMerge w:val="restart"/>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满足《中华人民共和国政府采购法》第二十二条规定</w:t>
            </w:r>
            <w:r/>
          </w:p>
        </w:tc>
      </w:tr>
      <w:tr>
        <w:trPr>
          <w:cantSplit/>
          <w:jc w:val="center"/>
          <w:trHeight w:val="812"/>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《授权委托书》（给定格式；投标人如是自然人情形的，可不提供）。</w:t>
            </w:r>
            <w:r/>
          </w:p>
        </w:tc>
        <w:tc>
          <w:tcPr>
            <w:tcW w:w="2583" w:type="dxa"/>
            <w:vAlign w:val="center"/>
            <w:vMerge w:val="continue"/>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684"/>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eastAsia="宋体" w:cs="宋体"/>
                <w:sz w:val="24"/>
                <w:szCs w:val="24"/>
              </w:rPr>
              <w:t xml:space="preserve">。</w:t>
            </w:r>
            <w:r/>
          </w:p>
        </w:tc>
        <w:tc>
          <w:tcPr>
            <w:tcW w:w="2583" w:type="dxa"/>
            <w:vAlign w:val="center"/>
            <w:vMerge w:val="continue"/>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63"/>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投标人近一年中任意一个月份（不含投标当月）的依法缴纳税收的相关材料（提供相关主管部门证明或银行代扣证明）。</w:t>
            </w:r>
            <w:r/>
          </w:p>
        </w:tc>
        <w:tc>
          <w:tcPr>
            <w:tcW w:w="2583" w:type="dxa"/>
            <w:vAlign w:val="center"/>
            <w:vMerge w:val="continue"/>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023"/>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投标人近一年中任意一个月份（不含投标当月）的依法缴纳社会保障资金的相关材料（提供相关主管部门证明或银行代扣证明）。</w:t>
            </w:r>
            <w:r/>
          </w:p>
        </w:tc>
        <w:tc>
          <w:tcPr>
            <w:tcW w:w="2583" w:type="dxa"/>
            <w:vAlign w:val="center"/>
            <w:vMerge w:val="continue"/>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705"/>
        </w:trPr>
        <w:tc>
          <w:tcPr>
            <w:tcBorders>
              <w:bottom w:val="single" w:color="000000" w:sz="4" w:space="0"/>
            </w:tcBorders>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bottom w:val="single" w:color="000000" w:sz="4" w:space="0"/>
            </w:tcBorders>
            <w:tcW w:w="6348" w:type="dxa"/>
            <w:vAlign w:val="center"/>
            <w:textDirection w:val="lrTb"/>
            <w:noWrap w:val="false"/>
          </w:tcPr>
          <w:p>
            <w:pPr>
              <w:pStyle w:val="1104"/>
              <w:ind w:firstLine="0"/>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《资格声明函》（给定格式）。</w:t>
            </w:r>
            <w:r/>
          </w:p>
        </w:tc>
        <w:tc>
          <w:tcPr>
            <w:tcW w:w="2583" w:type="dxa"/>
            <w:vAlign w:val="center"/>
            <w:vMerge w:val="continue"/>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00"/>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6348" w:type="dxa"/>
            <w:vAlign w:val="center"/>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满足中小企业政策的证明文件（如有中小企业政策要求的）。</w:t>
            </w:r>
            <w:r/>
          </w:p>
        </w:tc>
        <w:tc>
          <w:tcPr>
            <w:tcW w:w="2583" w:type="dxa"/>
            <w:vAlign w:val="center"/>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落实政府采购政策需满足的资格要求，详见第一章《投标邀请》</w:t>
            </w:r>
            <w:r/>
          </w:p>
        </w:tc>
      </w:tr>
      <w:tr>
        <w:trPr>
          <w:jc w:val="center"/>
          <w:trHeight w:val="726"/>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6348" w:type="dxa"/>
            <w:vAlign w:val="center"/>
            <w:textDirection w:val="lrTb"/>
            <w:noWrap w:val="false"/>
          </w:tcPr>
          <w:p>
            <w:pPr>
              <w:pStyle w:val="1104"/>
              <w:ind w:firstLine="0"/>
              <w:jc w:val="both"/>
              <w:spacing w:before="0" w:after="0" w:line="240" w:lineRule="auto"/>
              <w:rPr>
                <w:rFonts w:hint="eastAsia" w:ascii="宋体" w:hAnsi="宋体" w:eastAsia="宋体" w:cs="宋体"/>
                <w:bCs/>
                <w:sz w:val="24"/>
                <w:szCs w:val="24"/>
              </w:rPr>
            </w:pPr>
            <w:r>
              <w:rPr>
                <w:rFonts w:hint="eastAsia" w:ascii="宋体" w:hAnsi="宋体" w:eastAsia="宋体" w:cs="宋体"/>
                <w:bCs/>
                <w:sz w:val="24"/>
                <w:szCs w:val="24"/>
              </w:rPr>
              <w:t xml:space="preserve">本项目要求的特定资格证明</w:t>
            </w:r>
            <w:r>
              <w:rPr>
                <w:rFonts w:hint="eastAsia" w:ascii="宋体" w:hAnsi="宋体" w:eastAsia="宋体" w:cs="宋体"/>
                <w:sz w:val="24"/>
                <w:szCs w:val="24"/>
              </w:rPr>
              <w:t xml:space="preserve">文件（</w:t>
            </w:r>
            <w:r>
              <w:rPr>
                <w:rFonts w:hint="eastAsia" w:ascii="宋体" w:hAnsi="宋体" w:eastAsia="宋体" w:cs="宋体"/>
                <w:bCs/>
                <w:sz w:val="24"/>
                <w:szCs w:val="24"/>
              </w:rPr>
              <w:t xml:space="preserve">如有</w:t>
            </w:r>
            <w:r>
              <w:rPr>
                <w:rFonts w:hint="eastAsia" w:ascii="宋体" w:hAnsi="宋体" w:eastAsia="宋体" w:cs="宋体"/>
                <w:sz w:val="24"/>
                <w:szCs w:val="24"/>
              </w:rPr>
              <w:t xml:space="preserve">特定资格要求的）。</w:t>
            </w:r>
            <w:r/>
          </w:p>
        </w:tc>
        <w:tc>
          <w:tcPr>
            <w:tcW w:w="2583" w:type="dxa"/>
            <w:vAlign w:val="center"/>
            <w:textDirection w:val="lrTb"/>
            <w:noWrap w:val="false"/>
          </w:tcPr>
          <w:p>
            <w:pPr>
              <w:pStyle w:val="1104"/>
              <w:ind w:firstLine="0"/>
              <w:spacing w:before="0" w:after="0" w:line="240" w:lineRule="auto"/>
              <w:rPr>
                <w:rFonts w:hint="eastAsia" w:ascii="宋体" w:hAnsi="宋体" w:eastAsia="宋体" w:cs="宋体"/>
                <w:bCs/>
                <w:sz w:val="24"/>
                <w:szCs w:val="24"/>
              </w:rPr>
            </w:pPr>
            <w:r>
              <w:rPr>
                <w:rFonts w:hint="eastAsia" w:ascii="宋体" w:hAnsi="宋体" w:eastAsia="宋体" w:cs="宋体"/>
                <w:sz w:val="24"/>
                <w:szCs w:val="24"/>
              </w:rPr>
              <w:t xml:space="preserve">特定资格要求，详见第一章《投标邀请》</w:t>
            </w:r>
            <w:r/>
          </w:p>
        </w:tc>
      </w:tr>
      <w:tr>
        <w:trPr>
          <w:jc w:val="center"/>
          <w:trHeight w:val="632"/>
        </w:trPr>
        <w:tc>
          <w:tcPr>
            <w:tcW w:w="891" w:type="dxa"/>
            <w:vAlign w:val="center"/>
            <w:textDirection w:val="lrTb"/>
            <w:noWrap w:val="false"/>
          </w:tcPr>
          <w:p>
            <w:pPr>
              <w:pStyle w:val="1104"/>
              <w:ind w:firstLine="0"/>
              <w:jc w:val="center"/>
              <w:spacing w:before="0" w:after="0" w:line="240" w:lineRule="auto"/>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gridSpan w:val="2"/>
            <w:tcW w:w="8931" w:type="dxa"/>
            <w:vAlign w:val="center"/>
            <w:textDirection w:val="lrTb"/>
            <w:noWrap w:val="false"/>
          </w:tcPr>
          <w:p>
            <w:pPr>
              <w:pStyle w:val="1104"/>
              <w:ind w:firstLine="0"/>
              <w:spacing w:before="0" w:after="0" w:line="240" w:lineRule="auto"/>
              <w:rPr>
                <w:rFonts w:hint="eastAsia" w:ascii="宋体" w:hAnsi="宋体" w:eastAsia="宋体" w:cs="宋体"/>
                <w:sz w:val="24"/>
                <w:szCs w:val="24"/>
              </w:rPr>
            </w:pPr>
            <w:r>
              <w:rPr>
                <w:rFonts w:hint="eastAsia" w:ascii="宋体" w:hAnsi="宋体" w:eastAsia="宋体" w:cs="宋体"/>
                <w:bCs/>
                <w:sz w:val="24"/>
                <w:szCs w:val="24"/>
              </w:rPr>
              <w:t xml:space="preserve">《联合体协议》（</w:t>
            </w:r>
            <w:r>
              <w:rPr>
                <w:rFonts w:hint="eastAsia" w:ascii="宋体" w:hAnsi="宋体" w:eastAsia="宋体" w:cs="宋体"/>
                <w:sz w:val="24"/>
                <w:szCs w:val="24"/>
              </w:rPr>
              <w:t xml:space="preserve">如接受联合体投标且投标人为联合体时须提供</w:t>
            </w:r>
            <w:r>
              <w:rPr>
                <w:rFonts w:hint="eastAsia" w:ascii="宋体" w:hAnsi="宋体" w:eastAsia="宋体" w:cs="宋体"/>
                <w:bCs/>
                <w:sz w:val="24"/>
                <w:szCs w:val="24"/>
              </w:rPr>
              <w:t xml:space="preserve">，格式自拟）。</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9"/>
        </w:num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上述资格证明文件第8项，如本项目有特定资格要求的（详见第一章《投标邀请》），须提供相应的特定资格证明文件。</w:t>
      </w:r>
      <w:r/>
    </w:p>
    <w:p>
      <w:pPr>
        <w:numPr>
          <w:ilvl w:val="0"/>
          <w:numId w:val="9"/>
        </w:num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如项目接受联合体投标且投标人为联合体时，上述资格证明文件中：第2、6项可由联合体主体单位（即联合体牵头人）代表联合体提供；第1、3、4、5、7（如有要求）、8（如有要求）项，联合体各方均须提供。</w:t>
      </w:r>
      <w:r/>
    </w:p>
    <w:p>
      <w:pPr>
        <w:rPr>
          <w:rFonts w:hint="eastAsia" w:ascii="宋体" w:hAnsi="宋体" w:eastAsia="宋体" w:cs="宋体"/>
          <w:b/>
          <w:sz w:val="28"/>
          <w:szCs w:val="28"/>
        </w:rPr>
      </w:pPr>
      <w:r>
        <w:rPr>
          <w:rFonts w:hint="eastAsia" w:ascii="宋体" w:hAnsi="宋体" w:eastAsia="宋体" w:cs="宋体"/>
          <w:sz w:val="24"/>
          <w:szCs w:val="24"/>
        </w:rPr>
        <w:br w:type="page" w:clear="all"/>
      </w:r>
      <w:r>
        <w:rPr>
          <w:rFonts w:hint="eastAsia" w:ascii="宋体" w:hAnsi="宋体" w:eastAsia="宋体" w:cs="宋体"/>
          <w:b/>
          <w:sz w:val="28"/>
          <w:szCs w:val="28"/>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color w:val="000000"/>
          <w:sz w:val="28"/>
          <w:szCs w:val="28"/>
        </w:rPr>
        <w:t xml:space="preserve">（一）符合性证明文件</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center"/>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评审项目及评审要求</w:t>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1104"/>
              <w:ind w:firstLine="0"/>
              <w:jc w:val="center"/>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审查因素</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投标函（给定格式）</w:t>
            </w:r>
            <w:r/>
          </w:p>
        </w:tc>
        <w:tc>
          <w:tcPr>
            <w:tcBorders>
              <w:top w:val="none" w:color="000000" w:sz="4" w:space="0"/>
              <w:left w:val="single" w:color="000000" w:sz="4" w:space="0"/>
              <w:right w:val="single" w:color="000000" w:sz="4" w:space="0"/>
            </w:tcBorders>
            <w:tcW w:w="1979" w:type="dxa"/>
            <w:vAlign w:val="center"/>
            <w:vMerge w:val="restart"/>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承诺书（给定格式）</w:t>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项目人员配置考察表（给定格式）</w:t>
            </w:r>
            <w:r/>
          </w:p>
        </w:tc>
        <w:tc>
          <w:tcPr>
            <w:tcBorders>
              <w:left w:val="single" w:color="000000" w:sz="4" w:space="0"/>
              <w:bottom w:val="single" w:color="000000" w:sz="4" w:space="0"/>
              <w:right w:val="single" w:color="000000" w:sz="4" w:space="0"/>
            </w:tcBorders>
            <w:tcW w:w="1979" w:type="dxa"/>
            <w:vAlign w:val="center"/>
            <w:vMerge w:val="continue"/>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开标一览表（给定格式）</w:t>
            </w:r>
            <w:r/>
          </w:p>
        </w:tc>
        <w:tc>
          <w:tcPr>
            <w:tcBorders>
              <w:top w:val="non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分项报价表（给定格式）</w:t>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投标偏离表（给定格式）</w:t>
            </w:r>
            <w:r/>
          </w:p>
        </w:tc>
        <w:tc>
          <w:tcPr>
            <w:tcBorders>
              <w:top w:val="none" w:color="000000" w:sz="4" w:space="0"/>
              <w:left w:val="single" w:color="000000" w:sz="4" w:space="0"/>
              <w:bottom w:val="single" w:color="000000" w:sz="4" w:space="0"/>
              <w:right w:val="single" w:color="000000" w:sz="4" w:space="0"/>
            </w:tcBorders>
            <w:tcW w:w="1979" w:type="dxa"/>
            <w:vAlign w:val="center"/>
            <w:vMerge w:val="restart"/>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04"/>
              <w:ind w:firstLine="0"/>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04"/>
              <w:ind w:firstLine="0"/>
              <w:jc w:val="both"/>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《采购需求》中要求提供的证明材料（如有）</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numPr>
          <w:ilvl w:val="0"/>
          <w:numId w:val="10"/>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项，《采购需求》中如有要求提供证明材料的，须按要求提供，否则投标文件无效。</w:t>
      </w:r>
      <w:r/>
    </w:p>
    <w:p>
      <w:pPr>
        <w:numPr>
          <w:ilvl w:val="0"/>
          <w:numId w:val="10"/>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如项目接受联合体投标，且投标人为联合体时，上述符合性证明文件及其他证明文件第1～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项可由联合体主体单位（即联合体牵头人）代表联合体提供。第</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项按《采购需求》中的相应要求（如有）进行提供。</w:t>
      </w:r>
      <w:r/>
    </w:p>
    <w:p>
      <w:pPr>
        <w:ind w:left="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（二）其他证明文件</w:t>
      </w:r>
      <w:r/>
    </w:p>
    <w:p>
      <w:pPr>
        <w:ind w:left="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1.《评标方法与评标标准》中涉及的证明文件。</w:t>
      </w:r>
      <w:r/>
    </w:p>
    <w:p>
      <w:pPr>
        <w:ind w:left="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2.投标人认为如有其他应附的文件可自拟并自行添加。</w:t>
      </w:r>
      <w:r/>
    </w:p>
    <w:p>
      <w:pPr>
        <w:ind w:firstLine="480"/>
        <w:spacing w:line="360" w:lineRule="auto"/>
        <w:rPr>
          <w:rFonts w:hint="eastAsia" w:ascii="宋体" w:hAnsi="宋体" w:eastAsia="宋体" w:cs="宋体"/>
          <w:b/>
          <w:sz w:val="30"/>
          <w:szCs w:val="30"/>
        </w:rPr>
      </w:pPr>
      <w:r>
        <w:rPr>
          <w:rFonts w:hint="eastAsia" w:ascii="宋体" w:hAnsi="宋体" w:eastAsia="宋体" w:cs="宋体"/>
          <w:sz w:val="24"/>
          <w:szCs w:val="24"/>
        </w:rPr>
        <w:br w:type="page" w:clear="all"/>
      </w:r>
      <w:r>
        <w:rPr>
          <w:rFonts w:hint="eastAsia" w:ascii="宋体" w:hAnsi="宋体" w:eastAsia="宋体" w:cs="宋体"/>
          <w:b/>
          <w:sz w:val="30"/>
          <w:szCs w:val="30"/>
        </w:rPr>
        <w:t xml:space="preserve">第二部分投标文件格式</w:t>
      </w:r>
      <w:r/>
    </w:p>
    <w:p>
      <w:pPr>
        <w:pStyle w:val="1104"/>
        <w:ind w:firstLine="0"/>
        <w:spacing w:before="0" w:after="0"/>
        <w:rPr>
          <w:rFonts w:hint="eastAsia" w:ascii="宋体" w:hAnsi="宋体" w:eastAsia="宋体" w:cs="宋体"/>
          <w:b/>
          <w:sz w:val="30"/>
          <w:szCs w:val="30"/>
        </w:rPr>
      </w:pPr>
      <w:r>
        <w:rPr>
          <w:rFonts w:hint="eastAsia" w:ascii="宋体" w:hAnsi="宋体" w:eastAsia="宋体" w:cs="宋体"/>
          <w:b/>
          <w:sz w:val="30"/>
          <w:szCs w:val="30"/>
        </w:rPr>
        <w:t xml:space="preserve">一、封面格式（参考格式）：</w:t>
      </w:r>
      <w:r/>
    </w:p>
    <w:p>
      <w:pPr>
        <w:jc w:val="left"/>
        <w:widowControl/>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r>
      <w:r/>
    </w:p>
    <w:p>
      <w:pPr>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r>
      <w:r/>
    </w:p>
    <w:p>
      <w:pPr>
        <w:rPr>
          <w:rFonts w:hint="eastAsia" w:ascii="宋体" w:hAnsi="宋体" w:eastAsia="宋体" w:cs="宋体"/>
          <w:bCs/>
          <w:color w:val="000000" w:themeColor="text1"/>
          <w:sz w:val="32"/>
          <w:szCs w:val="32"/>
        </w:rPr>
      </w:pPr>
      <w:r>
        <w:rPr>
          <w:rFonts w:hint="eastAsia" w:ascii="宋体" w:hAnsi="宋体" w:eastAsia="宋体" w:cs="宋体"/>
          <w:bCs/>
          <w:color w:val="000000" w:themeColor="text1"/>
          <w:sz w:val="32"/>
          <w:szCs w:val="32"/>
        </w:rPr>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t xml:space="preserve">投</w:t>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t xml:space="preserve">标</w:t>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t xml:space="preserve">文</w:t>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r>
      <w:r/>
    </w:p>
    <w:p>
      <w:pPr>
        <w:jc w:val="center"/>
        <w:rPr>
          <w:rFonts w:hint="eastAsia" w:ascii="宋体" w:hAnsi="宋体" w:eastAsia="宋体" w:cs="宋体"/>
          <w:bCs/>
          <w:color w:val="000000" w:themeColor="text1"/>
          <w:sz w:val="48"/>
          <w:szCs w:val="48"/>
        </w:rPr>
      </w:pPr>
      <w:r>
        <w:rPr>
          <w:rFonts w:hint="eastAsia" w:ascii="宋体" w:hAnsi="宋体" w:eastAsia="宋体" w:cs="宋体"/>
          <w:bCs/>
          <w:color w:val="000000" w:themeColor="text1"/>
          <w:sz w:val="48"/>
          <w:szCs w:val="48"/>
        </w:rPr>
        <w:t xml:space="preserve">件</w:t>
      </w:r>
      <w:r/>
    </w:p>
    <w:p>
      <w:pPr>
        <w:rPr>
          <w:rFonts w:hint="eastAsia" w:ascii="宋体" w:hAnsi="宋体" w:eastAsia="宋体" w:cs="宋体"/>
          <w:color w:val="000000" w:themeColor="text1"/>
          <w:sz w:val="48"/>
          <w:szCs w:val="48"/>
        </w:rPr>
      </w:pPr>
      <w:r>
        <w:rPr>
          <w:rFonts w:hint="eastAsia" w:ascii="宋体" w:hAnsi="宋体" w:eastAsia="宋体" w:cs="宋体"/>
          <w:bCs/>
          <w:color w:val="000000" w:themeColor="text1"/>
          <w:sz w:val="48"/>
          <w:szCs w:val="48"/>
        </w:rPr>
      </w:r>
      <w:r>
        <w:rPr>
          <w:rFonts w:hint="eastAsia" w:ascii="宋体" w:hAnsi="宋体" w:eastAsia="宋体" w:cs="宋体"/>
          <w:bCs/>
          <w:color w:val="000000" w:themeColor="text1"/>
          <w:sz w:val="48"/>
          <w:szCs w:val="48"/>
        </w:rPr>
      </w:r>
      <w:r/>
    </w:p>
    <w:p>
      <w:pPr>
        <w:rPr>
          <w:rFonts w:hint="eastAsia" w:ascii="宋体" w:hAnsi="宋体" w:eastAsia="宋体" w:cs="宋体"/>
          <w:color w:val="000000" w:themeColor="text1"/>
          <w:sz w:val="48"/>
          <w:szCs w:val="48"/>
        </w:rPr>
      </w:pPr>
      <w:r>
        <w:rPr>
          <w:rFonts w:hint="eastAsia" w:ascii="宋体" w:hAnsi="宋体" w:eastAsia="宋体" w:cs="宋体"/>
          <w:color w:val="000000" w:themeColor="text1"/>
          <w:sz w:val="48"/>
          <w:szCs w:val="48"/>
        </w:rPr>
      </w:r>
      <w:r>
        <w:rPr>
          <w:rFonts w:hint="eastAsia" w:ascii="宋体" w:hAnsi="宋体" w:eastAsia="宋体" w:cs="宋体"/>
          <w:color w:val="000000" w:themeColor="text1"/>
          <w:sz w:val="48"/>
          <w:szCs w:val="48"/>
        </w:rPr>
      </w:r>
      <w:r/>
    </w:p>
    <w:p>
      <w:pPr>
        <w:rPr>
          <w:rFonts w:hint="eastAsia" w:ascii="宋体" w:hAnsi="宋体" w:eastAsia="宋体" w:cs="宋体"/>
          <w:color w:val="000000" w:themeColor="text1"/>
          <w:sz w:val="48"/>
          <w:szCs w:val="48"/>
        </w:rPr>
      </w:pPr>
      <w:r>
        <w:rPr>
          <w:rFonts w:hint="eastAsia" w:ascii="宋体" w:hAnsi="宋体" w:eastAsia="宋体" w:cs="宋体"/>
          <w:bCs/>
          <w:color w:val="000000" w:themeColor="text1"/>
          <w:sz w:val="48"/>
          <w:szCs w:val="48"/>
        </w:rPr>
      </w:r>
      <w:r/>
    </w:p>
    <w:p>
      <w:pPr>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r>
      <w:r/>
    </w:p>
    <w:p>
      <w:pPr>
        <w:ind w:firstLine="2715"/>
        <w:spacing w:line="360" w:lineRule="auto"/>
        <w:rPr>
          <w:rFonts w:hint="eastAsia" w:ascii="宋体" w:hAnsi="宋体" w:eastAsia="宋体" w:cs="宋体"/>
          <w:bCs/>
          <w:color w:val="000000" w:themeColor="text1"/>
          <w:sz w:val="28"/>
          <w:szCs w:val="28"/>
        </w:rPr>
      </w:pPr>
      <w:r/>
      <w:bookmarkStart w:id="156" w:name="_Hlk165208193"/>
      <w:r>
        <w:rPr>
          <w:rFonts w:hint="eastAsia" w:ascii="宋体" w:hAnsi="宋体" w:eastAsia="宋体" w:cs="宋体"/>
          <w:bCs/>
          <w:color w:val="000000" w:themeColor="text1"/>
          <w:sz w:val="28"/>
          <w:szCs w:val="28"/>
        </w:rPr>
        <w:t xml:space="preserve">采购项目编号： </w:t>
      </w:r>
      <w:r/>
    </w:p>
    <w:p>
      <w:pPr>
        <w:ind w:firstLine="2703"/>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采购项目名称： </w:t>
      </w:r>
      <w:r/>
    </w:p>
    <w:p>
      <w:pPr>
        <w:ind w:firstLine="2703"/>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投标人： </w:t>
      </w:r>
      <w:r/>
    </w:p>
    <w:p>
      <w:pPr>
        <w:jc w:val="center"/>
        <w:rPr>
          <w:rFonts w:hint="eastAsia" w:ascii="宋体" w:hAnsi="宋体" w:eastAsia="宋体" w:cs="宋体"/>
          <w:color w:val="000000" w:themeColor="text1"/>
          <w:sz w:val="32"/>
          <w:szCs w:val="32"/>
        </w:rPr>
      </w:pPr>
      <w:r>
        <w:rPr>
          <w:rFonts w:hint="eastAsia" w:ascii="宋体" w:hAnsi="宋体" w:eastAsia="宋体" w:cs="宋体"/>
          <w:bCs/>
          <w:color w:val="000000" w:themeColor="text1"/>
          <w:sz w:val="32"/>
          <w:szCs w:val="32"/>
        </w:rPr>
      </w:r>
      <w:r>
        <w:rPr>
          <w:rFonts w:hint="eastAsia" w:ascii="宋体" w:hAnsi="宋体" w:eastAsia="宋体" w:cs="宋体"/>
          <w:bCs/>
          <w:color w:val="000000" w:themeColor="text1"/>
          <w:sz w:val="32"/>
          <w:szCs w:val="32"/>
        </w:rPr>
      </w:r>
      <w:r/>
    </w:p>
    <w:p>
      <w:pPr>
        <w:jc w:val="center"/>
        <w:rPr>
          <w:rFonts w:hint="eastAsia" w:ascii="宋体" w:hAnsi="宋体" w:eastAsia="宋体" w:cs="宋体"/>
          <w:color w:val="000000" w:themeColor="text1"/>
          <w:sz w:val="32"/>
          <w:szCs w:val="32"/>
        </w:rPr>
      </w:pPr>
      <w:r>
        <w:rPr>
          <w:rFonts w:hint="eastAsia" w:ascii="宋体" w:hAnsi="宋体" w:eastAsia="宋体" w:cs="宋体"/>
          <w:bCs/>
          <w:color w:val="000000" w:themeColor="text1"/>
          <w:sz w:val="32"/>
          <w:szCs w:val="32"/>
        </w:rPr>
      </w:r>
      <w:r/>
    </w:p>
    <w:p>
      <w:pPr>
        <w:jc w:val="center"/>
        <w:rPr>
          <w:rFonts w:hint="eastAsia" w:ascii="宋体" w:hAnsi="宋体" w:eastAsia="宋体" w:cs="宋体"/>
          <w:bCs/>
          <w:color w:val="000000" w:themeColor="text1"/>
          <w:sz w:val="36"/>
          <w:szCs w:val="36"/>
        </w:rPr>
      </w:pPr>
      <w:r>
        <w:rPr>
          <w:rFonts w:hint="eastAsia" w:ascii="宋体" w:hAnsi="宋体" w:eastAsia="宋体" w:cs="宋体"/>
          <w:bCs/>
          <w:color w:val="000000" w:themeColor="text1"/>
          <w:sz w:val="36"/>
          <w:szCs w:val="36"/>
        </w:rPr>
      </w:r>
      <w:r/>
    </w:p>
    <w:p>
      <w:pPr>
        <w:jc w:val="center"/>
        <w:rPr>
          <w:rFonts w:hint="eastAsia" w:ascii="宋体" w:hAnsi="宋体" w:eastAsia="宋体" w:cs="宋体"/>
          <w:bCs/>
          <w:color w:val="000000" w:themeColor="text1"/>
          <w:sz w:val="36"/>
          <w:szCs w:val="36"/>
        </w:rPr>
        <w:outlineLvl w:val="0"/>
      </w:pPr>
      <w:r>
        <w:rPr>
          <w:rFonts w:hint="eastAsia" w:ascii="宋体" w:hAnsi="宋体" w:eastAsia="宋体" w:cs="宋体"/>
          <w:bCs/>
          <w:color w:val="000000" w:themeColor="text1"/>
          <w:sz w:val="36"/>
          <w:szCs w:val="36"/>
        </w:rPr>
        <w:t xml:space="preserve">20   年   月</w:t>
      </w:r>
      <w:bookmarkEnd w:id="156"/>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二、授权委托书（给定格式）：</w:t>
      </w:r>
      <w:r/>
    </w:p>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360" w:lineRule="auto"/>
        <w:rPr>
          <w:rFonts w:hint="eastAsia" w:ascii="宋体" w:hAnsi="宋体" w:eastAsia="宋体" w:cs="宋体"/>
          <w:sz w:val="24"/>
          <w:szCs w:val="24"/>
          <w:shd w:val="clear" w:color="ffffff" w:fill="d9d9d9"/>
        </w:rPr>
        <w:outlineLvl w:val="0"/>
      </w:pPr>
      <w:r>
        <w:rPr>
          <w:rFonts w:hint="eastAsia" w:ascii="宋体" w:hAnsi="宋体" w:eastAsia="宋体" w:cs="宋体"/>
          <w:bCs/>
          <w:sz w:val="24"/>
          <w:szCs w:val="24"/>
        </w:rPr>
        <w:t xml:space="preserve">授权委托书</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我公司（单位）针对</w:t>
      </w:r>
      <w:r>
        <w:rPr>
          <w:rFonts w:hint="eastAsia" w:ascii="宋体" w:hAnsi="宋体" w:eastAsia="宋体" w:cs="宋体"/>
          <w:bCs/>
          <w:sz w:val="24"/>
          <w:szCs w:val="24"/>
        </w:rPr>
        <w:t xml:space="preserve">编号</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项目，兹授权：</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被授权人的姓名：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被授权人的身份证号码：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为我方合法代理人，以本单位名义全权处理</w:t>
      </w:r>
      <w:r>
        <w:rPr>
          <w:rFonts w:hint="eastAsia" w:ascii="宋体" w:hAnsi="宋体" w:eastAsia="宋体" w:cs="宋体"/>
          <w:bCs/>
          <w:sz w:val="24"/>
          <w:szCs w:val="24"/>
        </w:rPr>
        <w:t xml:space="preserve">针对本次项目的投标、参与开标、评标、签约等具体工作，并签署全部有关的文件、协议及合同以及其他</w:t>
      </w:r>
      <w:r>
        <w:rPr>
          <w:rFonts w:hint="eastAsia" w:ascii="宋体" w:hAnsi="宋体" w:eastAsia="宋体" w:cs="宋体"/>
          <w:sz w:val="24"/>
          <w:szCs w:val="24"/>
        </w:rPr>
        <w:t xml:space="preserve">一切与该项目采购有关的事务。</w:t>
      </w:r>
      <w:r/>
    </w:p>
    <w:p>
      <w:pPr>
        <w:pStyle w:val="1103"/>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本授权委托书自授权之日起生效，</w:t>
      </w:r>
      <w:r>
        <w:rPr>
          <w:rFonts w:hint="eastAsia" w:ascii="宋体" w:hAnsi="宋体" w:eastAsia="宋体" w:cs="宋体"/>
          <w:bCs/>
          <w:sz w:val="24"/>
          <w:szCs w:val="24"/>
        </w:rPr>
        <w:t xml:space="preserve">在撤销授权的书面通知送达你处以前，本授权书一直有效，被授权人签署的所有文件（在</w:t>
      </w:r>
      <w:r>
        <w:rPr>
          <w:rFonts w:hint="eastAsia" w:ascii="宋体" w:hAnsi="宋体" w:eastAsia="宋体" w:cs="宋体"/>
          <w:sz w:val="24"/>
          <w:szCs w:val="24"/>
        </w:rPr>
        <w:t xml:space="preserve">授权委托</w:t>
      </w:r>
      <w:r>
        <w:rPr>
          <w:rFonts w:hint="eastAsia" w:ascii="宋体" w:hAnsi="宋体" w:eastAsia="宋体" w:cs="宋体"/>
          <w:bCs/>
          <w:sz w:val="24"/>
          <w:szCs w:val="24"/>
        </w:rPr>
        <w:t xml:space="preserve">书有效期内签署的）不因授权的撤销而失效。</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03"/>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投标人名称</w:t>
      </w:r>
      <w:r>
        <w:rPr>
          <w:rFonts w:hint="eastAsia" w:ascii="宋体" w:hAnsi="宋体" w:eastAsia="宋体" w:cs="宋体"/>
          <w:bCs/>
          <w:sz w:val="24"/>
          <w:szCs w:val="24"/>
        </w:rPr>
        <w:t xml:space="preserve">（盖章）</w:t>
      </w:r>
      <w:r>
        <w:rPr>
          <w:rFonts w:hint="eastAsia" w:ascii="宋体" w:hAnsi="宋体" w:eastAsia="宋体" w:cs="宋体"/>
          <w:sz w:val="24"/>
          <w:szCs w:val="24"/>
        </w:rPr>
        <w:t xml:space="preserve">：</w:t>
      </w:r>
      <w:r/>
    </w:p>
    <w:p>
      <w:pPr>
        <w:pStyle w:val="1103"/>
        <w:ind w:firstLine="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03"/>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被授权人签字或盖章：</w:t>
      </w:r>
      <w:r/>
    </w:p>
    <w:p>
      <w:pPr>
        <w:pStyle w:val="1103"/>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103"/>
        <w:ind w:firstLine="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（被授权人身份证原件扫描件附后）</w:t>
      </w:r>
      <w:r/>
    </w:p>
    <w:p>
      <w:pPr>
        <w:pStyle w:val="1103"/>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1103"/>
        <w:numPr>
          <w:ilvl w:val="0"/>
          <w:numId w:val="11"/>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若投标人为事业单位或其他组织或分支机构（仅限招标文件注明允许分支机构投标情形的），则法定代表人处的签字人可为单位负责人。</w:t>
      </w:r>
      <w:r/>
    </w:p>
    <w:p>
      <w:pPr>
        <w:pStyle w:val="1103"/>
        <w:numPr>
          <w:ilvl w:val="0"/>
          <w:numId w:val="11"/>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当被授权人为法定代表人（或上述情况的单位负责人）时，只需在法定代表人处签字即可。</w:t>
      </w:r>
      <w:r/>
    </w:p>
    <w:p>
      <w:pPr>
        <w:pStyle w:val="1103"/>
        <w:numPr>
          <w:ilvl w:val="0"/>
          <w:numId w:val="11"/>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供应商为自然人情形的，可不提供本《授权委托书》。</w:t>
      </w:r>
      <w:r/>
    </w:p>
    <w:p>
      <w:pPr>
        <w:pStyle w:val="1103"/>
        <w:numPr>
          <w:ilvl w:val="0"/>
          <w:numId w:val="11"/>
        </w:num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103"/>
        <w:ind w:firstLine="0"/>
        <w:spacing w:line="360" w:lineRule="auto"/>
        <w:rPr>
          <w:rFonts w:hint="eastAsia" w:ascii="宋体" w:hAnsi="宋体" w:eastAsia="宋体" w:cs="宋体"/>
          <w:b/>
          <w:bCs w:val="0"/>
          <w:sz w:val="28"/>
          <w:szCs w:val="28"/>
        </w:rPr>
      </w:pPr>
      <w:r>
        <w:rPr>
          <w:rFonts w:hint="eastAsia" w:ascii="宋体" w:hAnsi="宋体" w:eastAsia="宋体" w:cs="宋体"/>
          <w:bCs/>
          <w:sz w:val="24"/>
          <w:szCs w:val="24"/>
        </w:rPr>
        <w:br w:type="page" w:clear="all"/>
      </w:r>
      <w:r>
        <w:rPr>
          <w:rFonts w:hint="eastAsia" w:ascii="宋体" w:hAnsi="宋体" w:eastAsia="宋体" w:cs="宋体"/>
          <w:b/>
          <w:bCs w:val="0"/>
          <w:sz w:val="28"/>
          <w:szCs w:val="28"/>
        </w:rPr>
        <w:t xml:space="preserve">三、资格声明函（给定格式）：</w:t>
      </w:r>
      <w:r/>
    </w:p>
    <w:p>
      <w:pPr>
        <w:jc w:val="center"/>
        <w:rPr>
          <w:rFonts w:hint="eastAsia" w:ascii="宋体" w:hAnsi="宋体" w:eastAsia="宋体" w:cs="宋体"/>
          <w:bCs/>
          <w:sz w:val="24"/>
          <w:szCs w:val="24"/>
        </w:rPr>
        <w:outlineLvl w:val="0"/>
      </w:pPr>
      <w:r/>
      <w:bookmarkStart w:id="157" w:name="报价方关于资格的声明函（格式）"/>
      <w:r/>
      <w:bookmarkEnd w:id="157"/>
      <w:r>
        <w:rPr>
          <w:rFonts w:hint="eastAsia" w:ascii="宋体" w:hAnsi="宋体" w:eastAsia="宋体" w:cs="宋体"/>
          <w:b/>
          <w:bCs w:val="0"/>
          <w:sz w:val="28"/>
          <w:szCs w:val="28"/>
        </w:rPr>
        <w:t xml:space="preserve">资格声明函</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无锡市滨湖区公共资源交易中心：</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我公司（单位）针对本次项目编号</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进行投标，并做如下声明</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440" w:lineRule="exact"/>
        <w:rPr>
          <w:rFonts w:hint="eastAsia" w:ascii="宋体" w:hAnsi="宋体" w:eastAsia="宋体" w:cs="宋体"/>
          <w:b/>
          <w:sz w:val="24"/>
          <w:szCs w:val="24"/>
        </w:rPr>
      </w:pPr>
      <w:r>
        <w:rPr>
          <w:rFonts w:hint="eastAsia" w:ascii="宋体" w:hAnsi="宋体" w:eastAsia="宋体" w:cs="宋体"/>
          <w:bCs/>
          <w:sz w:val="24"/>
          <w:szCs w:val="24"/>
        </w:rPr>
        <w:br w:type="page" w:clear="all"/>
      </w:r>
      <w:r>
        <w:rPr>
          <w:rFonts w:hint="eastAsia" w:ascii="宋体" w:hAnsi="宋体" w:eastAsia="宋体" w:cs="宋体"/>
          <w:b/>
          <w:sz w:val="24"/>
          <w:szCs w:val="24"/>
        </w:rPr>
        <w:t xml:space="preserve">四、中小企业声明函（给定格式）： </w:t>
      </w:r>
      <w:r/>
    </w:p>
    <w:p>
      <w:pPr>
        <w:ind w:firstLine="56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中小企业声明函（服务）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 xml:space="preserve">（联合体）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，从业人员人，营业收入为万元，资产总额为万元，属于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，从业人员人，营业收入为万元，资产总额为万元，属于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五、残疾人福利性单位声明函（给定格式）：</w:t>
      </w:r>
      <w:r/>
    </w:p>
    <w:p>
      <w:pPr>
        <w:ind w:firstLine="482"/>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rPr>
      </w:r>
      <w:r/>
    </w:p>
    <w:p>
      <w:pPr>
        <w:jc w:val="center"/>
        <w:rPr>
          <w:rFonts w:hint="eastAsia" w:ascii="宋体" w:hAnsi="宋体" w:eastAsia="宋体" w:cs="宋体"/>
          <w:b/>
          <w:bCs w:val="0"/>
          <w:sz w:val="28"/>
          <w:szCs w:val="28"/>
        </w:rPr>
      </w:pPr>
      <w:r>
        <w:rPr>
          <w:rFonts w:hint="eastAsia" w:ascii="宋体" w:hAnsi="宋体" w:eastAsia="宋体" w:cs="宋体"/>
          <w:b/>
          <w:bCs w:val="0"/>
          <w:sz w:val="28"/>
          <w:szCs w:val="28"/>
        </w:rPr>
        <w:t xml:space="preserve">残疾人福利性单位声明函</w:t>
      </w:r>
      <w:r/>
    </w:p>
    <w:p>
      <w:pPr>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hint="eastAsia" w:ascii="宋体" w:hAnsi="宋体" w:eastAsia="宋体" w:cs="宋体"/>
          <w:b/>
          <w:bCs w:val="0"/>
          <w:sz w:val="28"/>
          <w:szCs w:val="28"/>
        </w:rPr>
      </w:pPr>
      <w:r>
        <w:rPr>
          <w:rFonts w:hint="eastAsia" w:ascii="宋体" w:hAnsi="宋体" w:eastAsia="宋体" w:cs="宋体"/>
          <w:bCs/>
          <w:sz w:val="24"/>
          <w:szCs w:val="24"/>
        </w:rPr>
        <w:br w:type="page" w:clear="all"/>
      </w:r>
      <w:r>
        <w:rPr>
          <w:rFonts w:hint="eastAsia" w:ascii="宋体" w:hAnsi="宋体" w:eastAsia="宋体" w:cs="宋体"/>
          <w:b/>
          <w:bCs w:val="0"/>
          <w:sz w:val="28"/>
          <w:szCs w:val="28"/>
        </w:rPr>
        <w:t xml:space="preserve">六、投标函（给定格式）：</w:t>
      </w:r>
      <w:r/>
    </w:p>
    <w:p>
      <w:pPr>
        <w:jc w:val="center"/>
        <w:spacing w:line="4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投标函</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致无锡市滨湖区公共资源交易中心：</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我方收到贵方编号</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96"/>
          <w:rFonts w:hint="eastAsia" w:ascii="宋体" w:hAnsi="宋体" w:eastAsia="宋体" w:cs="宋体"/>
          <w:bCs/>
          <w:sz w:val="24"/>
          <w:szCs w:val="24"/>
        </w:rPr>
      </w:pPr>
      <w:r>
        <w:rPr>
          <w:rFonts w:hint="eastAsia" w:ascii="宋体" w:hAnsi="宋体" w:eastAsia="宋体" w:cs="宋体"/>
          <w:bCs/>
          <w:sz w:val="24"/>
          <w:szCs w:val="24"/>
        </w:rPr>
        <w:t xml:space="preserve">我方愿意提供无锡市滨湖区公共资源交易中心在招标文件中要求的文件、资料。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我方同意按照招标文件中的规定，从规定的开标日期起遵循本投标文件，并在规定的投标有效期期满之前均具有约束力。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电话：</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；传真：</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；邮编：</w:t>
      </w:r>
      <w:r>
        <w:rPr>
          <w:rFonts w:hint="eastAsia" w:ascii="宋体" w:hAnsi="宋体" w:eastAsia="宋体" w:cs="宋体"/>
          <w:bCs/>
          <w:sz w:val="24"/>
          <w:szCs w:val="24"/>
          <w:u w:val="single"/>
          <w:lang w:val="en-US" w:eastAsia="zh-CN"/>
        </w:rPr>
        <w:t xml:space="preserve">                  </w:t>
      </w:r>
      <w:r/>
    </w:p>
    <w:p>
      <w:pPr>
        <w:ind w:firstLine="48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通讯地址：</w:t>
      </w:r>
      <w:r>
        <w:rPr>
          <w:rFonts w:hint="eastAsia" w:ascii="宋体" w:hAnsi="宋体" w:eastAsia="宋体" w:cs="宋体"/>
          <w:bCs/>
          <w:sz w:val="24"/>
          <w:szCs w:val="24"/>
          <w:u w:val="single"/>
          <w:lang w:val="en-US" w:eastAsia="zh-CN"/>
        </w:rPr>
        <w:t xml:space="preserve">                                                  </w:t>
      </w:r>
      <w:r/>
    </w:p>
    <w:p>
      <w:pP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jc w:val="right"/>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hint="eastAsia" w:ascii="宋体" w:hAnsi="宋体" w:eastAsia="宋体" w:cs="宋体"/>
          <w:b/>
          <w:sz w:val="24"/>
          <w:szCs w:val="24"/>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七、承诺书（给定格式）：</w:t>
      </w:r>
      <w:r/>
    </w:p>
    <w:p>
      <w:pPr>
        <w:jc w:val="cente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承诺书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（投标人名称）针对本项目</w:t>
      </w:r>
      <w:r>
        <w:rPr>
          <w:rFonts w:hint="eastAsia" w:ascii="宋体" w:hAnsi="宋体" w:eastAsia="宋体" w:cs="宋体"/>
          <w:bCs/>
          <w:sz w:val="24"/>
          <w:szCs w:val="24"/>
        </w:rPr>
        <w:t xml:space="preserve">编号</w:t>
      </w:r>
      <w:r>
        <w:rPr>
          <w:rFonts w:hint="eastAsia" w:ascii="宋体" w:hAnsi="宋体" w:eastAsia="宋体" w:cs="宋体"/>
          <w:bCs/>
          <w:sz w:val="24"/>
          <w:szCs w:val="24"/>
          <w:u w:val="single"/>
          <w:lang w:val="en-US" w:eastAsia="zh-CN"/>
        </w:rPr>
        <w:t xml:space="preserve">                      </w:t>
      </w:r>
      <w:r>
        <w:rPr>
          <w:rFonts w:hint="eastAsia" w:ascii="宋体" w:hAnsi="宋体" w:eastAsia="宋体" w:cs="宋体"/>
          <w:sz w:val="24"/>
          <w:szCs w:val="24"/>
        </w:rPr>
        <w:t xml:space="preserve">在此承诺：</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对本项目所提供的货物均为原厂全新合格品，提供的服务符合招标文件要求。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rPr>
        <w:t xml:space="preserve">本公司（单位）将所投产品符合相关要求和标准。在满足</w:t>
      </w:r>
      <w:r>
        <w:rPr>
          <w:rFonts w:hint="eastAsia" w:ascii="宋体" w:hAnsi="宋体" w:eastAsia="宋体" w:cs="宋体"/>
          <w:sz w:val="24"/>
          <w:szCs w:val="24"/>
        </w:rPr>
        <w:t xml:space="preserve">《需求标准》的前提下，如招标文件中对七种软硬件有其他要求的，</w:t>
      </w:r>
      <w:r>
        <w:rPr>
          <w:rFonts w:hint="eastAsia" w:ascii="宋体" w:hAnsi="宋体" w:eastAsia="宋体" w:cs="宋体"/>
          <w:bCs/>
          <w:sz w:val="24"/>
          <w:szCs w:val="24"/>
        </w:rPr>
        <w:t xml:space="preserve">本公司（单位）所投产品将</w:t>
      </w:r>
      <w:r>
        <w:rPr>
          <w:rFonts w:hint="eastAsia" w:ascii="宋体" w:hAnsi="宋体" w:eastAsia="宋体" w:cs="宋体"/>
          <w:sz w:val="24"/>
          <w:szCs w:val="24"/>
        </w:rPr>
        <w:t xml:space="preserve">满足招标文件要求。如采购人在</w:t>
      </w:r>
      <w:r>
        <w:rPr>
          <w:rFonts w:hint="eastAsia" w:ascii="宋体" w:hAnsi="宋体" w:eastAsia="宋体" w:cs="宋体"/>
          <w:bCs/>
          <w:sz w:val="24"/>
          <w:szCs w:val="24"/>
        </w:rPr>
        <w:t xml:space="preserve">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……（投标人如有其他承诺的可在此处添加）</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ind w:firstLine="372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投标人名称（盖章）：</w:t>
      </w:r>
      <w:r>
        <w:rPr>
          <w:rFonts w:hint="eastAsia" w:ascii="宋体" w:hAnsi="宋体" w:eastAsia="宋体" w:cs="宋体"/>
          <w:b/>
          <w:sz w:val="24"/>
          <w:szCs w:val="24"/>
        </w:rPr>
        <w:br w:type="page" w:clear="all"/>
      </w:r>
      <w:r>
        <w:rPr>
          <w:rFonts w:hint="eastAsia" w:ascii="宋体" w:hAnsi="宋体" w:eastAsia="宋体" w:cs="宋体"/>
          <w:b/>
          <w:sz w:val="24"/>
          <w:szCs w:val="24"/>
        </w:rPr>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八、开标一览表（给定格式）：</w:t>
      </w:r>
      <w:r/>
    </w:p>
    <w:p>
      <w:pPr>
        <w:ind w:firstLine="482"/>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rPr>
      </w:r>
      <w:r/>
    </w:p>
    <w:p>
      <w:pPr>
        <w:jc w:val="center"/>
        <w:rPr>
          <w:rFonts w:hint="eastAsia" w:ascii="宋体" w:hAnsi="宋体" w:eastAsia="宋体" w:cs="宋体"/>
          <w:b/>
          <w:bCs w:val="0"/>
          <w:sz w:val="28"/>
          <w:szCs w:val="28"/>
        </w:rPr>
        <w:outlineLvl w:val="0"/>
      </w:pPr>
      <w:r>
        <w:rPr>
          <w:rFonts w:hint="eastAsia" w:ascii="宋体" w:hAnsi="宋体" w:eastAsia="宋体" w:cs="宋体"/>
          <w:b/>
          <w:bCs w:val="0"/>
          <w:sz w:val="28"/>
          <w:szCs w:val="28"/>
        </w:rPr>
        <w:t xml:space="preserve">开标一览表</w:t>
      </w:r>
      <w:r/>
    </w:p>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72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836"/>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3188" w:type="dxa"/>
            <w:vAlign w:val="center"/>
            <w:textDirection w:val="lrTb"/>
            <w:noWrap w:val="false"/>
          </w:tcPr>
          <w:p>
            <w:pPr>
              <w:pStyle w:val="836"/>
              <w:rPr>
                <w:rFonts w:hint="eastAsia" w:ascii="宋体" w:hAnsi="宋体" w:eastAsia="宋体" w:cs="宋体"/>
                <w:b/>
                <w:sz w:val="24"/>
                <w:szCs w:val="24"/>
              </w:rPr>
            </w:pPr>
            <w:r>
              <w:rPr>
                <w:rFonts w:hint="eastAsia" w:ascii="宋体" w:hAnsi="宋体" w:eastAsia="宋体" w:cs="宋体"/>
                <w:b/>
                <w:sz w:val="24"/>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sz w:val="24"/>
                <w:szCs w:val="24"/>
              </w:rPr>
              <w:t xml:space="preserve">投标总报价（大写）</w:t>
            </w:r>
            <w:r>
              <w:rPr>
                <w:rFonts w:hint="eastAsia" w:ascii="宋体" w:hAnsi="宋体" w:eastAsia="宋体" w:cs="宋体"/>
                <w:bCs/>
                <w:sz w:val="24"/>
                <w:szCs w:val="24"/>
              </w:rPr>
              <w:t xml:space="preserve">：　　　</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 w:val="0"/>
          <w:bCs/>
          <w:sz w:val="24"/>
          <w:szCs w:val="24"/>
        </w:rPr>
      </w:pPr>
      <w:r>
        <w:rPr>
          <w:rFonts w:hint="eastAsia" w:ascii="宋体" w:hAnsi="宋体" w:eastAsia="宋体" w:cs="宋体"/>
          <w:bCs/>
          <w:sz w:val="24"/>
          <w:szCs w:val="24"/>
        </w:rPr>
        <w:br w:type="page" w:clear="all"/>
      </w:r>
      <w:r>
        <w:rPr>
          <w:rFonts w:hint="eastAsia" w:ascii="宋体" w:hAnsi="宋体" w:eastAsia="宋体" w:cs="宋体"/>
          <w:b/>
          <w:sz w:val="24"/>
          <w:szCs w:val="24"/>
        </w:rPr>
        <w:t xml:space="preserve">九、分项报价表（给定格式）：</w:t>
      </w:r>
      <w:bookmarkStart w:id="158" w:name="_Toc120614284"/>
      <w:r/>
      <w:r/>
    </w:p>
    <w:p>
      <w:pPr>
        <w:jc w:val="center"/>
        <w:spacing w:line="400" w:lineRule="atLeast"/>
        <w:rPr>
          <w:rFonts w:hint="default" w:ascii="宋体" w:hAnsi="宋体" w:eastAsia="宋体" w:cs="宋体"/>
          <w:b w:val="0"/>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8"/>
          <w:szCs w:val="28"/>
        </w:rPr>
        <w:t xml:space="preserve">分项报价表</w:t>
      </w:r>
      <w:r>
        <w:rPr>
          <w:rFonts w:hint="eastAsia" w:ascii="宋体" w:hAnsi="宋体" w:eastAsia="宋体" w:cs="宋体"/>
          <w:b w:val="0"/>
          <w:bCs/>
          <w:sz w:val="28"/>
          <w:szCs w:val="28"/>
          <w:lang w:val="en-US" w:eastAsia="zh-CN"/>
        </w:rPr>
        <w:t xml:space="preserve">格式见附件</w:t>
      </w:r>
      <w:r/>
    </w:p>
    <w:p>
      <w:pPr>
        <w:spacing w:line="360" w:lineRule="auto"/>
        <w:rPr>
          <w:rFonts w:hint="eastAsia" w:ascii="宋体" w:hAnsi="宋体" w:eastAsia="宋体" w:cs="宋体"/>
          <w:b/>
          <w:sz w:val="24"/>
          <w:szCs w:val="24"/>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十、投标偏离表（给定格式）：</w:t>
      </w:r>
      <w:r/>
    </w:p>
    <w:p>
      <w:pPr>
        <w:ind w:firstLine="490"/>
        <w:jc w:val="center"/>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90"/>
        <w:jc w:val="center"/>
        <w:rPr>
          <w:rFonts w:hint="eastAsia" w:ascii="宋体" w:hAnsi="宋体" w:eastAsia="宋体" w:cs="宋体"/>
          <w:b/>
          <w:bCs w:val="0"/>
          <w:sz w:val="28"/>
          <w:szCs w:val="28"/>
        </w:rPr>
        <w:outlineLvl w:val="0"/>
      </w:pPr>
      <w:r>
        <w:rPr>
          <w:rFonts w:hint="eastAsia" w:ascii="宋体" w:hAnsi="宋体" w:eastAsia="宋体" w:cs="宋体"/>
          <w:b/>
          <w:bCs w:val="0"/>
          <w:sz w:val="28"/>
          <w:szCs w:val="28"/>
        </w:rPr>
        <w:t xml:space="preserve">投标偏离表</w:t>
      </w:r>
      <w:r/>
    </w:p>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72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sz w:val="24"/>
          <w:szCs w:val="24"/>
        </w:rPr>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注：（1）本表不得删除；</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（2）如无任何技术偏离，请于本表 “偏离说明”中注明“无偏离”；</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   （3）如有技术偏离项，请于本表中列明偏离内容，如需要可自行延长，其余无偏离内容不须赘述。</w:t>
      </w:r>
      <w:bookmarkEnd w:id="158"/>
      <w:r/>
      <w:bookmarkStart w:id="159" w:name="_Hlt26671374"/>
      <w:r/>
      <w:bookmarkEnd w:id="159"/>
      <w:r/>
      <w:bookmarkStart w:id="160" w:name="_Hlt26609389"/>
      <w:r/>
      <w:bookmarkEnd w:id="160"/>
      <w:r/>
      <w:bookmarkStart w:id="161" w:name="_格式2__法定代表人授权书"/>
      <w:r/>
      <w:bookmarkEnd w:id="161"/>
      <w:r/>
      <w:bookmarkStart w:id="162" w:name="_Hlt26955066"/>
      <w:r/>
      <w:bookmarkEnd w:id="162"/>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outlineLvl w:val="0"/>
      </w:pPr>
      <w:r>
        <w:rPr>
          <w:rFonts w:hint="eastAsia" w:ascii="宋体" w:hAnsi="宋体" w:eastAsia="宋体" w:cs="宋体"/>
          <w:bCs/>
          <w:sz w:val="24"/>
          <w:szCs w:val="24"/>
        </w:rPr>
        <w:br w:type="page" w:clear="all"/>
      </w:r>
      <w:r>
        <w:rPr>
          <w:rFonts w:hint="eastAsia" w:ascii="宋体" w:hAnsi="宋体" w:eastAsia="宋体" w:cs="宋体"/>
          <w:b/>
          <w:sz w:val="24"/>
          <w:szCs w:val="24"/>
        </w:rPr>
        <w:t xml:space="preserve">十一、项目人员配置考察表（格式）</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90"/>
        <w:jc w:val="center"/>
        <w:rPr>
          <w:rFonts w:hint="eastAsia" w:ascii="宋体" w:hAnsi="宋体" w:eastAsia="宋体" w:cs="宋体"/>
          <w:b/>
          <w:bCs w:val="0"/>
          <w:sz w:val="28"/>
          <w:szCs w:val="28"/>
        </w:rPr>
        <w:outlineLvl w:val="0"/>
      </w:pPr>
      <w:r>
        <w:rPr>
          <w:rFonts w:hint="eastAsia" w:ascii="宋体" w:hAnsi="宋体" w:eastAsia="宋体" w:cs="宋体"/>
          <w:b/>
          <w:bCs w:val="0"/>
          <w:sz w:val="28"/>
          <w:szCs w:val="28"/>
        </w:rPr>
        <w:t xml:space="preserve">项目人员配置考察表</w:t>
      </w:r>
      <w:r/>
    </w:p>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09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姓名</w:t>
            </w:r>
            <w:r/>
          </w:p>
        </w:tc>
        <w:tc>
          <w:tcPr>
            <w:tcW w:w="74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性别</w:t>
            </w:r>
            <w:r/>
          </w:p>
        </w:tc>
        <w:tc>
          <w:tcPr>
            <w:tcW w:w="70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年龄</w:t>
            </w:r>
            <w:r/>
          </w:p>
        </w:tc>
        <w:tc>
          <w:tcPr>
            <w:tcW w:w="83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学历</w:t>
            </w:r>
            <w:r/>
          </w:p>
        </w:tc>
        <w:tc>
          <w:tcPr>
            <w:tcW w:w="127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岗位职责</w:t>
            </w:r>
            <w:r/>
          </w:p>
        </w:tc>
        <w:tc>
          <w:tcPr>
            <w:tcW w:w="128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人员证书名称</w:t>
            </w:r>
            <w:r/>
          </w:p>
        </w:tc>
        <w:tc>
          <w:tcPr>
            <w:tcW w:w="183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人员经验描述</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（如有要求）</w:t>
            </w:r>
            <w:r/>
          </w:p>
        </w:tc>
        <w:tc>
          <w:tcPr>
            <w:tcW w:w="99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680"/>
        </w:trPr>
        <w:tc>
          <w:tcPr>
            <w:tcW w:w="766"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98"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4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09"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83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76"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85"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833"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992"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766"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98"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4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09"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83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76"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85"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833"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992"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766"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98"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4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09"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83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76"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t xml:space="preserve">……</w:t>
            </w:r>
            <w:r/>
          </w:p>
        </w:tc>
        <w:tc>
          <w:tcPr>
            <w:tcW w:w="1285"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833"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992"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766"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98"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4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09"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83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76"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85"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833"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992"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766"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98" w:type="dxa"/>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4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709"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834"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76"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285"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833"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992" w:type="dxa"/>
            <w:vAlign w:val="center"/>
            <w:textDirection w:val="lrTb"/>
            <w:noWrap w:val="false"/>
          </w:tcPr>
          <w:p>
            <w:pPr>
              <w:jc w:val="cente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t xml:space="preserve">注：1. 本表对应评分标准中的项目人员配置情况，表格不够可自行延长。</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2.上表内容须按评分标准中的相关要求提供相应证明材料。</w:t>
      </w:r>
      <w:r/>
    </w:p>
    <w:p>
      <w:pPr>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证明材料均请附在本表之后。</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sectPr>
      <w:headerReference w:type="first" r:id="rId9"/>
      <w:footerReference w:type="default" r:id="rId10"/>
      <w:footerReference w:type="even" r:id="rId11"/>
      <w:footerReference w:type="first" r:id="rId12"/>
      <w:footnotePr/>
      <w:endnotePr/>
      <w:type w:val="nextPage"/>
      <w:pgSz w:w="11906" w:h="16838" w:orient="portrait"/>
      <w:pgMar w:top="1417" w:right="1587" w:bottom="1417" w:left="1366" w:header="624" w:footer="907"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微软雅黑">
    <w:panose1 w:val="020B0503020204020204"/>
  </w:font>
  <w:font w:name="Calibri">
    <w:panose1 w:val="020F0502020204030204"/>
  </w:font>
  <w:font w:name="Arial">
    <w:panose1 w:val="020B0604020202020204"/>
  </w:font>
  <w:font w:name="方正小标宋_GBK">
    <w:panose1 w:val="020B0503020202020204"/>
  </w:font>
  <w:font w:name="Times New Roman">
    <w:panose1 w:val="02020603050405020304"/>
  </w:font>
  <w:font w:name="楷体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777566"/>
      <w:rPr/>
    </w:sdtPr>
    <w:sdtContent>
      <w:p>
        <w:pPr>
          <w:pStyle w:val="746"/>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7"/>
      </w:rPr>
      <w:framePr w:wrap="around" w:vAnchor="text" w:hAnchor="margin" w:xAlign="center" w:y="1"/>
    </w:pPr>
    <w:r>
      <w:rPr>
        <w:rStyle w:val="767"/>
      </w:rPr>
      <w:fldChar w:fldCharType="begin"/>
    </w:r>
    <w:r>
      <w:rPr>
        <w:rStyle w:val="767"/>
      </w:rPr>
      <w:instrText xml:space="preserve">PAGE  </w:instrText>
    </w:r>
    <w:r>
      <w:rPr>
        <w:rStyle w:val="767"/>
      </w:rPr>
      <w:fldChar w:fldCharType="separate"/>
    </w:r>
    <w:r>
      <w:rPr>
        <w:rStyle w:val="767"/>
      </w:rPr>
      <w:t xml:space="preserve">1</w:t>
    </w:r>
    <w:r>
      <w:rPr>
        <w:rStyle w:val="767"/>
      </w:rPr>
      <w:fldChar w:fldCharType="end"/>
    </w:r>
    <w:r/>
  </w:p>
  <w:p>
    <w:pPr>
      <w:pStyle w:val="74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6"/>
      <w:isLgl w:val="false"/>
      <w:suff w:val="nothing"/>
      <w:lvlText w:val=""/>
      <w:lvlJc w:val="left"/>
      <w:pPr>
        <w:ind w:left="0" w:firstLine="0"/>
      </w:pPr>
      <w:rPr>
        <w:rFonts w:hint="eastAsia"/>
      </w:rPr>
    </w:lvl>
    <w:lvl w:ilvl="6">
      <w:start w:val="1"/>
      <w:numFmt w:val="decimal"/>
      <w:pStyle w:val="1038"/>
      <w:isLgl w:val="false"/>
      <w:suff w:val="nothing"/>
      <w:lvlText w:val=""/>
      <w:lvlJc w:val="left"/>
      <w:pPr>
        <w:ind w:left="0" w:firstLine="0"/>
      </w:pPr>
      <w:rPr>
        <w:rFonts w:hint="eastAsia"/>
      </w:rPr>
    </w:lvl>
    <w:lvl w:ilvl="7">
      <w:start w:val="1"/>
      <w:numFmt w:val="decimal"/>
      <w:pStyle w:val="1040"/>
      <w:isLgl w:val="false"/>
      <w:suff w:val="nothing"/>
      <w:lvlText w:val=""/>
      <w:lvlJc w:val="left"/>
      <w:pPr>
        <w:ind w:left="0" w:firstLine="0"/>
      </w:pPr>
      <w:rPr>
        <w:rFonts w:hint="eastAsia"/>
      </w:rPr>
    </w:lvl>
    <w:lvl w:ilvl="8">
      <w:start w:val="1"/>
      <w:numFmt w:val="decimal"/>
      <w:pStyle w:val="1042"/>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11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1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upperLetter"/>
      <w:pStyle w:val="722"/>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6"/>
  </w:num>
  <w:num w:numId="4">
    <w:abstractNumId w:val="8"/>
  </w:num>
  <w:num w:numId="5">
    <w:abstractNumId w:val="7"/>
  </w:num>
  <w:num w:numId="6">
    <w:abstractNumId w:val="11"/>
  </w:num>
  <w:num w:numId="7">
    <w:abstractNumId w:val="0"/>
  </w:num>
  <w:num w:numId="8">
    <w:abstractNumId w:val="1"/>
  </w:num>
  <w:num w:numId="9">
    <w:abstractNumId w:val="9"/>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TOC Heading"/>
    <w:uiPriority w:val="39"/>
    <w:unhideWhenUsed/>
  </w:style>
  <w:style w:type="paragraph" w:styleId="71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8">
    <w:name w:val="Heading 1"/>
    <w:basedOn w:val="717"/>
    <w:next w:val="717"/>
    <w:link w:val="773"/>
    <w:uiPriority w:val="9"/>
    <w:qFormat/>
    <w:pPr>
      <w:jc w:val="center"/>
      <w:keepNext/>
      <w:outlineLvl w:val="0"/>
    </w:pPr>
    <w:rPr>
      <w:rFonts w:ascii="楷体_GB2312" w:hAnsi="Times New Roman" w:eastAsia="楷体_GB2312" w:cs="Times New Roman"/>
      <w:b/>
      <w:sz w:val="28"/>
      <w:szCs w:val="20"/>
    </w:rPr>
  </w:style>
  <w:style w:type="paragraph" w:styleId="719">
    <w:name w:val="Heading 2"/>
    <w:basedOn w:val="717"/>
    <w:next w:val="717"/>
    <w:link w:val="774"/>
    <w:uiPriority w:val="9"/>
    <w:qFormat/>
    <w:pPr>
      <w:jc w:val="center"/>
      <w:keepNext/>
      <w:outlineLvl w:val="1"/>
    </w:pPr>
    <w:rPr>
      <w:rFonts w:ascii="楷体_GB2312" w:hAnsi="Times New Roman" w:eastAsia="楷体_GB2312" w:cs="Times New Roman"/>
      <w:b/>
      <w:bCs/>
      <w:sz w:val="18"/>
      <w:szCs w:val="20"/>
    </w:rPr>
  </w:style>
  <w:style w:type="paragraph" w:styleId="720">
    <w:name w:val="Heading 3"/>
    <w:basedOn w:val="729"/>
    <w:next w:val="717"/>
    <w:link w:val="775"/>
    <w:uiPriority w:val="9"/>
    <w:qFormat/>
    <w:pPr>
      <w:jc w:val="left"/>
      <w:keepNext/>
    </w:pPr>
    <w:rPr>
      <w:rFonts w:asciiTheme="minorEastAsia" w:hAnsiTheme="minorEastAsia" w:eastAsiaTheme="minorEastAsia" w:cstheme="minorBidi"/>
      <w:bCs/>
      <w:sz w:val="24"/>
      <w:szCs w:val="24"/>
      <w:lang w:eastAsia="zh-CN"/>
    </w:rPr>
  </w:style>
  <w:style w:type="paragraph" w:styleId="721">
    <w:name w:val="Heading 4"/>
    <w:basedOn w:val="717"/>
    <w:next w:val="717"/>
    <w:link w:val="776"/>
    <w:uiPriority w:val="9"/>
    <w:qFormat/>
    <w:pPr>
      <w:keepNext/>
      <w:outlineLvl w:val="3"/>
    </w:pPr>
    <w:rPr>
      <w:rFonts w:ascii="Times New Roman" w:hAnsi="Times New Roman" w:eastAsia="楷体_GB2312" w:cs="Times New Roman"/>
      <w:b/>
      <w:bCs/>
      <w:sz w:val="15"/>
      <w:szCs w:val="20"/>
    </w:rPr>
  </w:style>
  <w:style w:type="paragraph" w:styleId="722">
    <w:name w:val="Heading 5"/>
    <w:basedOn w:val="717"/>
    <w:next w:val="717"/>
    <w:link w:val="777"/>
    <w:uiPriority w:val="9"/>
    <w:qFormat/>
    <w:pPr>
      <w:numPr>
        <w:ilvl w:val="0"/>
        <w:numId w:val="1"/>
      </w:numPr>
      <w:keepNext/>
      <w:outlineLvl w:val="4"/>
    </w:pPr>
    <w:rPr>
      <w:rFonts w:ascii="楷体_GB2312" w:hAnsi="Times New Roman" w:eastAsia="楷体_GB2312" w:cs="Times New Roman"/>
      <w:bCs/>
      <w:sz w:val="28"/>
      <w:szCs w:val="20"/>
    </w:rPr>
  </w:style>
  <w:style w:type="paragraph" w:styleId="723">
    <w:name w:val="Heading 6"/>
    <w:basedOn w:val="717"/>
    <w:next w:val="717"/>
    <w:link w:val="857"/>
    <w:uiPriority w:val="9"/>
    <w:qFormat/>
    <w:pPr>
      <w:keepLines/>
      <w:keepNext/>
      <w:spacing w:before="320" w:after="200"/>
      <w:outlineLvl w:val="5"/>
    </w:pPr>
    <w:rPr>
      <w:rFonts w:ascii="Arial" w:hAnsi="Arial" w:eastAsia="Arial" w:cs="Arial"/>
      <w:b/>
      <w:bCs/>
      <w:sz w:val="22"/>
    </w:rPr>
  </w:style>
  <w:style w:type="paragraph" w:styleId="724">
    <w:name w:val="Heading 7"/>
    <w:basedOn w:val="717"/>
    <w:next w:val="717"/>
    <w:link w:val="858"/>
    <w:uiPriority w:val="9"/>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859"/>
    <w:uiPriority w:val="9"/>
    <w:qFormat/>
    <w:pPr>
      <w:keepLines/>
      <w:keepNext/>
      <w:spacing w:before="320" w:after="200"/>
      <w:outlineLvl w:val="7"/>
    </w:pPr>
    <w:rPr>
      <w:rFonts w:ascii="Arial" w:hAnsi="Arial" w:eastAsia="Arial" w:cs="Arial"/>
      <w:i/>
      <w:iCs/>
      <w:sz w:val="22"/>
    </w:rPr>
  </w:style>
  <w:style w:type="paragraph" w:styleId="726">
    <w:name w:val="Heading 9"/>
    <w:basedOn w:val="717"/>
    <w:next w:val="717"/>
    <w:link w:val="860"/>
    <w:uiPriority w:val="9"/>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customStyle="1">
    <w:name w:val="Cn Heading3"/>
    <w:basedOn w:val="730"/>
    <w:uiPriority w:val="0"/>
    <w:qFormat/>
    <w:pPr>
      <w:ind w:firstLine="0"/>
      <w:spacing w:line="480" w:lineRule="auto"/>
      <w:outlineLvl w:val="2"/>
    </w:pPr>
    <w:rPr>
      <w:rFonts w:ascii="微软雅黑" w:hAnsi="微软雅黑" w:eastAsia="微软雅黑"/>
      <w:b/>
      <w:sz w:val="28"/>
      <w:szCs w:val="28"/>
      <w:lang w:eastAsia="ja-JP"/>
    </w:rPr>
  </w:style>
  <w:style w:type="paragraph" w:styleId="730" w:customStyle="1">
    <w:name w:val="列出段落1"/>
    <w:basedOn w:val="717"/>
    <w:link w:val="1101"/>
    <w:uiPriority w:val="0"/>
    <w:qFormat/>
    <w:pPr>
      <w:ind w:firstLine="420"/>
      <w:spacing w:before="120" w:after="120" w:line="360" w:lineRule="auto"/>
    </w:pPr>
    <w:rPr>
      <w:rFonts w:ascii="Calibri" w:hAnsi="Calibri" w:eastAsia="宋体" w:cs="Times New Roman"/>
      <w:sz w:val="24"/>
    </w:rPr>
  </w:style>
  <w:style w:type="paragraph" w:styleId="731">
    <w:name w:val="toc 7"/>
    <w:basedOn w:val="717"/>
    <w:next w:val="717"/>
    <w:uiPriority w:val="39"/>
    <w:unhideWhenUsed/>
    <w:qFormat/>
    <w:pPr>
      <w:ind w:left="1701"/>
      <w:spacing w:after="57"/>
    </w:pPr>
    <w:rPr>
      <w:rFonts w:ascii="Times New Roman" w:hAnsi="Times New Roman" w:eastAsia="宋体" w:cs="Times New Roman"/>
      <w:szCs w:val="21"/>
    </w:rPr>
  </w:style>
  <w:style w:type="paragraph" w:styleId="732">
    <w:name w:val="Normal Indent"/>
    <w:basedOn w:val="717"/>
    <w:next w:val="721"/>
    <w:uiPriority w:val="99"/>
    <w:qFormat/>
    <w:pPr>
      <w:ind w:firstLine="420"/>
    </w:pPr>
    <w:rPr>
      <w:rFonts w:ascii="Times New Roman" w:hAnsi="Times New Roman" w:eastAsia="宋体" w:cs="Times New Roman"/>
      <w:szCs w:val="20"/>
    </w:rPr>
  </w:style>
  <w:style w:type="paragraph" w:styleId="733">
    <w:name w:val="Caption"/>
    <w:basedOn w:val="717"/>
    <w:next w:val="717"/>
    <w:uiPriority w:val="35"/>
    <w:qFormat/>
    <w:pPr>
      <w:spacing w:line="276" w:lineRule="auto"/>
    </w:pPr>
    <w:rPr>
      <w:rFonts w:ascii="Times New Roman" w:hAnsi="Times New Roman" w:eastAsia="宋体" w:cs="Times New Roman"/>
      <w:b/>
      <w:bCs/>
      <w:color w:val="4f81bd"/>
      <w:sz w:val="18"/>
      <w:szCs w:val="18"/>
    </w:rPr>
  </w:style>
  <w:style w:type="paragraph" w:styleId="734">
    <w:name w:val="Document Map"/>
    <w:basedOn w:val="717"/>
    <w:link w:val="838"/>
    <w:uiPriority w:val="99"/>
    <w:semiHidden/>
    <w:qFormat/>
    <w:pPr>
      <w:shd w:val="clear" w:color="auto" w:fill="000080"/>
    </w:pPr>
    <w:rPr>
      <w:rFonts w:ascii="Times New Roman" w:hAnsi="Times New Roman" w:eastAsia="宋体" w:cs="Times New Roman"/>
      <w:sz w:val="20"/>
      <w:szCs w:val="20"/>
    </w:rPr>
  </w:style>
  <w:style w:type="paragraph" w:styleId="735">
    <w:name w:val="annotation text"/>
    <w:basedOn w:val="717"/>
    <w:link w:val="845"/>
    <w:uiPriority w:val="99"/>
    <w:semiHidden/>
    <w:unhideWhenUsed/>
    <w:qFormat/>
    <w:pPr>
      <w:jc w:val="left"/>
    </w:pPr>
  </w:style>
  <w:style w:type="paragraph" w:styleId="736">
    <w:name w:val="Body Text"/>
    <w:basedOn w:val="717"/>
    <w:next w:val="737"/>
    <w:link w:val="782"/>
    <w:uiPriority w:val="99"/>
    <w:qFormat/>
    <w:rPr>
      <w:rFonts w:ascii="华文中宋" w:hAnsi="Times New Roman" w:eastAsia="华文中宋" w:cs="Times New Roman"/>
      <w:bCs/>
      <w:sz w:val="28"/>
      <w:szCs w:val="20"/>
    </w:rPr>
  </w:style>
  <w:style w:type="paragraph" w:styleId="737">
    <w:name w:val="Subtitle"/>
    <w:basedOn w:val="717"/>
    <w:next w:val="717"/>
    <w:link w:val="894"/>
    <w:uiPriority w:val="11"/>
    <w:qFormat/>
    <w:pPr>
      <w:ind w:firstLine="471"/>
      <w:jc w:val="center"/>
      <w:spacing w:before="240" w:after="60" w:line="312" w:lineRule="atLeast"/>
      <w:outlineLvl w:val="1"/>
    </w:pPr>
    <w:rPr>
      <w:rFonts w:ascii="Arial" w:hAnsi="Arial"/>
      <w:b/>
      <w:bCs/>
      <w:sz w:val="32"/>
      <w:szCs w:val="32"/>
    </w:rPr>
  </w:style>
  <w:style w:type="paragraph" w:styleId="738">
    <w:name w:val="Body Text Indent"/>
    <w:basedOn w:val="717"/>
    <w:link w:val="779"/>
    <w:uiPriority w:val="99"/>
    <w:qFormat/>
    <w:pPr>
      <w:ind w:firstLine="576"/>
    </w:pPr>
    <w:rPr>
      <w:rFonts w:ascii="Times New Roman" w:hAnsi="Times New Roman" w:eastAsia="宋体" w:cs="Times New Roman"/>
      <w:b/>
      <w:sz w:val="30"/>
      <w:szCs w:val="20"/>
    </w:rPr>
  </w:style>
  <w:style w:type="paragraph" w:styleId="739">
    <w:name w:val="toc 5"/>
    <w:basedOn w:val="717"/>
    <w:next w:val="717"/>
    <w:uiPriority w:val="39"/>
    <w:unhideWhenUsed/>
    <w:qFormat/>
    <w:pPr>
      <w:ind w:left="1134"/>
      <w:spacing w:after="57"/>
    </w:pPr>
    <w:rPr>
      <w:rFonts w:ascii="Times New Roman" w:hAnsi="Times New Roman" w:eastAsia="宋体" w:cs="Times New Roman"/>
      <w:szCs w:val="21"/>
    </w:rPr>
  </w:style>
  <w:style w:type="paragraph" w:styleId="740">
    <w:name w:val="toc 3"/>
    <w:basedOn w:val="717"/>
    <w:next w:val="717"/>
    <w:uiPriority w:val="39"/>
    <w:unhideWhenUsed/>
    <w:qFormat/>
    <w:pPr>
      <w:ind w:left="567"/>
      <w:spacing w:after="57"/>
    </w:pPr>
    <w:rPr>
      <w:rFonts w:ascii="Times New Roman" w:hAnsi="Times New Roman" w:eastAsia="宋体" w:cs="Times New Roman"/>
      <w:szCs w:val="21"/>
    </w:rPr>
  </w:style>
  <w:style w:type="paragraph" w:styleId="741">
    <w:name w:val="toc 8"/>
    <w:basedOn w:val="717"/>
    <w:next w:val="717"/>
    <w:uiPriority w:val="39"/>
    <w:unhideWhenUsed/>
    <w:qFormat/>
    <w:pPr>
      <w:ind w:left="1984"/>
      <w:spacing w:after="57"/>
    </w:pPr>
    <w:rPr>
      <w:rFonts w:ascii="Times New Roman" w:hAnsi="Times New Roman" w:eastAsia="宋体" w:cs="Times New Roman"/>
      <w:szCs w:val="21"/>
    </w:rPr>
  </w:style>
  <w:style w:type="paragraph" w:styleId="742">
    <w:name w:val="Date"/>
    <w:basedOn w:val="717"/>
    <w:next w:val="717"/>
    <w:link w:val="778"/>
    <w:uiPriority w:val="99"/>
    <w:qFormat/>
    <w:rPr>
      <w:rFonts w:ascii="Times New Roman" w:hAnsi="Times New Roman" w:eastAsia="黑体" w:cs="Times New Roman"/>
      <w:b/>
      <w:sz w:val="36"/>
      <w:szCs w:val="20"/>
    </w:rPr>
  </w:style>
  <w:style w:type="paragraph" w:styleId="743">
    <w:name w:val="Body Text Indent 2"/>
    <w:basedOn w:val="717"/>
    <w:link w:val="783"/>
    <w:uiPriority w:val="99"/>
    <w:qFormat/>
    <w:pPr>
      <w:ind w:left="900"/>
    </w:pPr>
    <w:rPr>
      <w:rFonts w:ascii="楷体_GB2312" w:hAnsi="Times New Roman" w:eastAsia="楷体_GB2312" w:cs="Times New Roman"/>
      <w:b/>
      <w:sz w:val="28"/>
      <w:szCs w:val="20"/>
    </w:rPr>
  </w:style>
  <w:style w:type="paragraph" w:styleId="744">
    <w:name w:val="endnote text"/>
    <w:basedOn w:val="717"/>
    <w:link w:val="885"/>
    <w:uiPriority w:val="99"/>
    <w:unhideWhenUsed/>
    <w:qFormat/>
    <w:rPr>
      <w:rFonts w:ascii="Times New Roman" w:hAnsi="Times New Roman" w:eastAsia="宋体" w:cs="Times New Roman"/>
      <w:sz w:val="20"/>
      <w:szCs w:val="21"/>
    </w:rPr>
  </w:style>
  <w:style w:type="paragraph" w:styleId="745">
    <w:name w:val="Balloon Text"/>
    <w:basedOn w:val="717"/>
    <w:link w:val="844"/>
    <w:uiPriority w:val="99"/>
    <w:unhideWhenUsed/>
    <w:qFormat/>
    <w:rPr>
      <w:rFonts w:ascii="Times New Roman" w:hAnsi="Times New Roman" w:eastAsia="宋体" w:cs="Times New Roman"/>
      <w:sz w:val="18"/>
      <w:szCs w:val="18"/>
    </w:rPr>
  </w:style>
  <w:style w:type="paragraph" w:styleId="746">
    <w:name w:val="Footer"/>
    <w:basedOn w:val="717"/>
    <w:next w:val="747"/>
    <w:link w:val="780"/>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47" w:customStyle="1">
    <w:name w:val="明显引用1"/>
    <w:next w:val="717"/>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748">
    <w:name w:val="Header"/>
    <w:basedOn w:val="717"/>
    <w:link w:val="781"/>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49">
    <w:name w:val="toc 1"/>
    <w:basedOn w:val="717"/>
    <w:next w:val="717"/>
    <w:uiPriority w:val="39"/>
    <w:unhideWhenUsed/>
    <w:qFormat/>
    <w:pPr>
      <w:spacing w:after="57"/>
    </w:pPr>
    <w:rPr>
      <w:rFonts w:ascii="Times New Roman" w:hAnsi="Times New Roman" w:eastAsia="宋体" w:cs="Times New Roman"/>
      <w:szCs w:val="21"/>
    </w:rPr>
  </w:style>
  <w:style w:type="paragraph" w:styleId="750">
    <w:name w:val="toc 4"/>
    <w:basedOn w:val="717"/>
    <w:next w:val="717"/>
    <w:uiPriority w:val="39"/>
    <w:unhideWhenUsed/>
    <w:qFormat/>
    <w:pPr>
      <w:ind w:left="850"/>
      <w:spacing w:after="57"/>
    </w:pPr>
    <w:rPr>
      <w:rFonts w:ascii="Times New Roman" w:hAnsi="Times New Roman" w:eastAsia="宋体" w:cs="Times New Roman"/>
      <w:szCs w:val="21"/>
    </w:rPr>
  </w:style>
  <w:style w:type="paragraph" w:styleId="751">
    <w:name w:val="List"/>
    <w:basedOn w:val="717"/>
    <w:uiPriority w:val="0"/>
    <w:qFormat/>
    <w:pPr>
      <w:ind w:firstLine="480"/>
      <w:spacing w:after="20" w:line="360" w:lineRule="auto"/>
      <w:tabs>
        <w:tab w:val="left" w:pos="420" w:leader="none"/>
      </w:tabs>
    </w:pPr>
    <w:rPr>
      <w:rFonts w:ascii="宋体" w:hAnsi="宋体" w:eastAsia="宋体" w:cs="宋体"/>
      <w:sz w:val="24"/>
      <w:szCs w:val="24"/>
    </w:rPr>
  </w:style>
  <w:style w:type="paragraph" w:styleId="752">
    <w:name w:val="footnote text"/>
    <w:basedOn w:val="717"/>
    <w:link w:val="883"/>
    <w:uiPriority w:val="99"/>
    <w:unhideWhenUsed/>
    <w:qFormat/>
    <w:pPr>
      <w:spacing w:after="40"/>
    </w:pPr>
    <w:rPr>
      <w:rFonts w:ascii="Times New Roman" w:hAnsi="Times New Roman" w:eastAsia="宋体" w:cs="Times New Roman"/>
      <w:sz w:val="18"/>
      <w:szCs w:val="21"/>
    </w:rPr>
  </w:style>
  <w:style w:type="paragraph" w:styleId="753">
    <w:name w:val="toc 6"/>
    <w:basedOn w:val="717"/>
    <w:next w:val="717"/>
    <w:uiPriority w:val="39"/>
    <w:unhideWhenUsed/>
    <w:qFormat/>
    <w:pPr>
      <w:ind w:left="1417"/>
      <w:spacing w:after="57"/>
    </w:pPr>
    <w:rPr>
      <w:rFonts w:ascii="Times New Roman" w:hAnsi="Times New Roman" w:eastAsia="宋体" w:cs="Times New Roman"/>
      <w:szCs w:val="21"/>
    </w:rPr>
  </w:style>
  <w:style w:type="paragraph" w:styleId="754">
    <w:name w:val="Body Text Indent 3"/>
    <w:basedOn w:val="717"/>
    <w:link w:val="784"/>
    <w:uiPriority w:val="99"/>
    <w:qFormat/>
    <w:pPr>
      <w:ind w:left="359" w:firstLine="359"/>
    </w:pPr>
    <w:rPr>
      <w:rFonts w:ascii="Times New Roman" w:hAnsi="Times New Roman" w:eastAsia="宋体" w:cs="Times New Roman"/>
      <w:sz w:val="20"/>
      <w:szCs w:val="20"/>
    </w:rPr>
  </w:style>
  <w:style w:type="paragraph" w:styleId="755">
    <w:name w:val="table of figures"/>
    <w:basedOn w:val="717"/>
    <w:next w:val="717"/>
    <w:uiPriority w:val="99"/>
    <w:unhideWhenUsed/>
    <w:qFormat/>
    <w:rPr>
      <w:rFonts w:ascii="Times New Roman" w:hAnsi="Times New Roman" w:eastAsia="宋体" w:cs="Times New Roman"/>
      <w:szCs w:val="21"/>
    </w:rPr>
  </w:style>
  <w:style w:type="paragraph" w:styleId="756">
    <w:name w:val="toc 2"/>
    <w:basedOn w:val="717"/>
    <w:next w:val="717"/>
    <w:uiPriority w:val="39"/>
    <w:unhideWhenUsed/>
    <w:qFormat/>
    <w:pPr>
      <w:ind w:left="283"/>
      <w:spacing w:after="57"/>
    </w:pPr>
    <w:rPr>
      <w:rFonts w:ascii="Times New Roman" w:hAnsi="Times New Roman" w:eastAsia="宋体" w:cs="Times New Roman"/>
      <w:szCs w:val="21"/>
    </w:rPr>
  </w:style>
  <w:style w:type="paragraph" w:styleId="757">
    <w:name w:val="toc 9"/>
    <w:basedOn w:val="717"/>
    <w:next w:val="717"/>
    <w:uiPriority w:val="39"/>
    <w:unhideWhenUsed/>
    <w:qFormat/>
    <w:pPr>
      <w:ind w:left="2268"/>
      <w:spacing w:after="57"/>
    </w:pPr>
    <w:rPr>
      <w:rFonts w:ascii="Times New Roman" w:hAnsi="Times New Roman" w:eastAsia="宋体" w:cs="Times New Roman"/>
      <w:szCs w:val="21"/>
    </w:rPr>
  </w:style>
  <w:style w:type="paragraph" w:styleId="758">
    <w:name w:val="Body Text 2"/>
    <w:basedOn w:val="717"/>
    <w:link w:val="839"/>
    <w:uiPriority w:val="99"/>
    <w:qFormat/>
    <w:pPr>
      <w:spacing w:after="120" w:line="480" w:lineRule="auto"/>
    </w:pPr>
    <w:rPr>
      <w:rFonts w:ascii="Times New Roman" w:hAnsi="Times New Roman" w:eastAsia="宋体" w:cs="Times New Roman"/>
      <w:sz w:val="20"/>
      <w:szCs w:val="20"/>
    </w:rPr>
  </w:style>
  <w:style w:type="paragraph" w:styleId="759">
    <w:name w:val="Normal (Web)"/>
    <w:basedOn w:val="717"/>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60">
    <w:name w:val="Title"/>
    <w:basedOn w:val="717"/>
    <w:next w:val="717"/>
    <w:link w:val="871"/>
    <w:uiPriority w:val="10"/>
    <w:qFormat/>
    <w:pPr>
      <w:contextualSpacing/>
      <w:spacing w:before="300" w:after="200"/>
    </w:pPr>
    <w:rPr>
      <w:rFonts w:ascii="Times New Roman" w:hAnsi="Times New Roman" w:eastAsia="宋体" w:cs="Times New Roman"/>
      <w:sz w:val="48"/>
      <w:szCs w:val="48"/>
    </w:rPr>
  </w:style>
  <w:style w:type="paragraph" w:styleId="761">
    <w:name w:val="annotation subject"/>
    <w:basedOn w:val="735"/>
    <w:next w:val="735"/>
    <w:link w:val="846"/>
    <w:uiPriority w:val="99"/>
    <w:semiHidden/>
    <w:unhideWhenUsed/>
    <w:qFormat/>
    <w:rPr>
      <w:b/>
      <w:bCs/>
    </w:rPr>
  </w:style>
  <w:style w:type="paragraph" w:styleId="762">
    <w:name w:val="Body Text First Indent"/>
    <w:basedOn w:val="736"/>
    <w:uiPriority w:val="99"/>
    <w:unhideWhenUsed/>
    <w:qFormat/>
    <w:pPr>
      <w:ind w:firstLine="420"/>
      <w:spacing w:after="120"/>
    </w:pPr>
    <w:rPr>
      <w:rFonts w:ascii="Calibri" w:hAnsi="Calibri" w:eastAsia="宋体"/>
      <w:sz w:val="21"/>
      <w:szCs w:val="22"/>
    </w:rPr>
  </w:style>
  <w:style w:type="paragraph" w:styleId="763">
    <w:name w:val="Body Text First Indent 2"/>
    <w:basedOn w:val="738"/>
    <w:link w:val="849"/>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64">
    <w:name w:val="Table Grid"/>
    <w:basedOn w:val="728"/>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99"/>
    <w:qFormat/>
    <w:rPr>
      <w:rFonts w:cs="Times New Roman"/>
      <w:b/>
      <w:bCs/>
    </w:rPr>
  </w:style>
  <w:style w:type="character" w:styleId="766">
    <w:name w:val="endnote reference"/>
    <w:uiPriority w:val="99"/>
    <w:unhideWhenUsed/>
    <w:qFormat/>
    <w:rPr>
      <w:vertAlign w:val="superscript"/>
    </w:rPr>
  </w:style>
  <w:style w:type="character" w:styleId="767">
    <w:name w:val="page number"/>
    <w:uiPriority w:val="99"/>
    <w:qFormat/>
    <w:rPr>
      <w:rFonts w:cs="Times New Roman"/>
    </w:rPr>
  </w:style>
  <w:style w:type="character" w:styleId="768">
    <w:name w:val="FollowedHyperlink"/>
    <w:uiPriority w:val="99"/>
    <w:semiHidden/>
    <w:unhideWhenUsed/>
    <w:qFormat/>
    <w:rPr>
      <w:color w:val="800080"/>
      <w:u w:val="single"/>
    </w:rPr>
  </w:style>
  <w:style w:type="character" w:styleId="769">
    <w:name w:val="HTML Typewriter"/>
    <w:uiPriority w:val="99"/>
    <w:qFormat/>
    <w:rPr>
      <w:rFonts w:ascii="宋体" w:hAnsi="宋体" w:eastAsia="宋体" w:cs="宋体"/>
      <w:sz w:val="24"/>
      <w:szCs w:val="24"/>
    </w:rPr>
  </w:style>
  <w:style w:type="character" w:styleId="770">
    <w:name w:val="Hyperlink"/>
    <w:uiPriority w:val="99"/>
    <w:qFormat/>
    <w:rPr>
      <w:rFonts w:cs="Times New Roman"/>
      <w:color w:val="auto"/>
      <w:u w:val="none"/>
    </w:rPr>
  </w:style>
  <w:style w:type="character" w:styleId="771">
    <w:name w:val="annotation reference"/>
    <w:basedOn w:val="727"/>
    <w:uiPriority w:val="0"/>
    <w:semiHidden/>
    <w:unhideWhenUsed/>
    <w:qFormat/>
    <w:rPr>
      <w:sz w:val="21"/>
      <w:szCs w:val="21"/>
    </w:rPr>
  </w:style>
  <w:style w:type="character" w:styleId="772">
    <w:name w:val="footnote reference"/>
    <w:uiPriority w:val="99"/>
    <w:unhideWhenUsed/>
    <w:qFormat/>
    <w:rPr>
      <w:vertAlign w:val="superscript"/>
    </w:rPr>
  </w:style>
  <w:style w:type="character" w:styleId="773" w:customStyle="1">
    <w:name w:val="标题 1 Char1"/>
    <w:basedOn w:val="727"/>
    <w:link w:val="718"/>
    <w:uiPriority w:val="9"/>
    <w:qFormat/>
    <w:rPr>
      <w:rFonts w:ascii="楷体_GB2312" w:hAnsi="Times New Roman" w:eastAsia="楷体_GB2312" w:cs="Times New Roman"/>
      <w:b/>
      <w:sz w:val="28"/>
      <w:szCs w:val="20"/>
    </w:rPr>
  </w:style>
  <w:style w:type="character" w:styleId="774" w:customStyle="1">
    <w:name w:val="标题 2 Char1"/>
    <w:basedOn w:val="727"/>
    <w:link w:val="719"/>
    <w:uiPriority w:val="9"/>
    <w:qFormat/>
    <w:rPr>
      <w:rFonts w:ascii="楷体_GB2312" w:hAnsi="Times New Roman" w:eastAsia="楷体_GB2312" w:cs="Times New Roman"/>
      <w:b/>
      <w:bCs/>
      <w:sz w:val="18"/>
      <w:szCs w:val="20"/>
    </w:rPr>
  </w:style>
  <w:style w:type="character" w:styleId="775" w:customStyle="1">
    <w:name w:val="标题 3 Char1"/>
    <w:basedOn w:val="727"/>
    <w:link w:val="720"/>
    <w:uiPriority w:val="9"/>
    <w:qFormat/>
    <w:rPr>
      <w:rFonts w:asciiTheme="minorEastAsia" w:hAnsiTheme="minorEastAsia"/>
      <w:b/>
      <w:bCs/>
      <w:sz w:val="24"/>
      <w:szCs w:val="24"/>
    </w:rPr>
  </w:style>
  <w:style w:type="character" w:styleId="776" w:customStyle="1">
    <w:name w:val="标题 4 Char1"/>
    <w:basedOn w:val="727"/>
    <w:link w:val="721"/>
    <w:uiPriority w:val="9"/>
    <w:qFormat/>
    <w:rPr>
      <w:rFonts w:ascii="Times New Roman" w:hAnsi="Times New Roman" w:eastAsia="楷体_GB2312" w:cs="Times New Roman"/>
      <w:b/>
      <w:bCs/>
      <w:sz w:val="15"/>
    </w:rPr>
  </w:style>
  <w:style w:type="character" w:styleId="777" w:customStyle="1">
    <w:name w:val="标题 5 Char1"/>
    <w:basedOn w:val="727"/>
    <w:link w:val="722"/>
    <w:uiPriority w:val="9"/>
    <w:qFormat/>
    <w:rPr>
      <w:rFonts w:ascii="楷体_GB2312" w:hAnsi="Times New Roman" w:eastAsia="楷体_GB2312" w:cs="Times New Roman"/>
      <w:bCs/>
      <w:sz w:val="28"/>
      <w:szCs w:val="20"/>
    </w:rPr>
  </w:style>
  <w:style w:type="character" w:styleId="778" w:customStyle="1">
    <w:name w:val="日期 Char1"/>
    <w:basedOn w:val="727"/>
    <w:link w:val="742"/>
    <w:uiPriority w:val="99"/>
    <w:qFormat/>
    <w:rPr>
      <w:rFonts w:ascii="Times New Roman" w:hAnsi="Times New Roman" w:eastAsia="黑体" w:cs="Times New Roman"/>
      <w:b/>
      <w:sz w:val="36"/>
      <w:szCs w:val="20"/>
    </w:rPr>
  </w:style>
  <w:style w:type="character" w:styleId="779" w:customStyle="1">
    <w:name w:val="正文文本缩进 Char1"/>
    <w:basedOn w:val="727"/>
    <w:link w:val="738"/>
    <w:uiPriority w:val="99"/>
    <w:qFormat/>
    <w:rPr>
      <w:rFonts w:ascii="Times New Roman" w:hAnsi="Times New Roman" w:eastAsia="宋体" w:cs="Times New Roman"/>
      <w:b/>
      <w:sz w:val="30"/>
      <w:szCs w:val="20"/>
    </w:rPr>
  </w:style>
  <w:style w:type="character" w:styleId="780" w:customStyle="1">
    <w:name w:val="页脚 Char1"/>
    <w:basedOn w:val="727"/>
    <w:link w:val="746"/>
    <w:uiPriority w:val="99"/>
    <w:qFormat/>
    <w:rPr>
      <w:rFonts w:ascii="Times New Roman" w:hAnsi="Times New Roman" w:eastAsia="宋体" w:cs="Times New Roman"/>
      <w:sz w:val="18"/>
      <w:szCs w:val="20"/>
    </w:rPr>
  </w:style>
  <w:style w:type="character" w:styleId="781" w:customStyle="1">
    <w:name w:val="页眉 Char1"/>
    <w:basedOn w:val="727"/>
    <w:link w:val="748"/>
    <w:uiPriority w:val="99"/>
    <w:qFormat/>
    <w:rPr>
      <w:rFonts w:ascii="Times New Roman" w:hAnsi="Times New Roman" w:eastAsia="宋体" w:cs="Times New Roman"/>
      <w:sz w:val="18"/>
      <w:szCs w:val="20"/>
    </w:rPr>
  </w:style>
  <w:style w:type="character" w:styleId="782" w:customStyle="1">
    <w:name w:val="正文文本 Char1"/>
    <w:basedOn w:val="727"/>
    <w:link w:val="736"/>
    <w:uiPriority w:val="99"/>
    <w:qFormat/>
    <w:rPr>
      <w:rFonts w:ascii="华文中宋" w:hAnsi="Times New Roman" w:eastAsia="华文中宋" w:cs="Times New Roman"/>
      <w:bCs/>
      <w:sz w:val="28"/>
      <w:szCs w:val="20"/>
    </w:rPr>
  </w:style>
  <w:style w:type="character" w:styleId="783" w:customStyle="1">
    <w:name w:val="正文文本缩进 2 Char1"/>
    <w:basedOn w:val="727"/>
    <w:link w:val="743"/>
    <w:uiPriority w:val="99"/>
    <w:qFormat/>
    <w:rPr>
      <w:rFonts w:ascii="楷体_GB2312" w:hAnsi="Times New Roman" w:eastAsia="楷体_GB2312" w:cs="Times New Roman"/>
      <w:b/>
      <w:sz w:val="28"/>
      <w:szCs w:val="20"/>
    </w:rPr>
  </w:style>
  <w:style w:type="character" w:styleId="784" w:customStyle="1">
    <w:name w:val="正文文本缩进 3 Char1"/>
    <w:basedOn w:val="727"/>
    <w:link w:val="754"/>
    <w:uiPriority w:val="99"/>
    <w:qFormat/>
    <w:rPr>
      <w:rFonts w:ascii="Times New Roman" w:hAnsi="Times New Roman" w:eastAsia="宋体" w:cs="Times New Roman"/>
      <w:sz w:val="20"/>
      <w:szCs w:val="20"/>
    </w:rPr>
  </w:style>
  <w:style w:type="paragraph" w:styleId="785" w:customStyle="1">
    <w:name w:val="font5"/>
    <w:basedOn w:val="717"/>
    <w:uiPriority w:val="0"/>
    <w:qFormat/>
    <w:pPr>
      <w:jc w:val="left"/>
      <w:spacing w:before="100" w:beforeAutospacing="1" w:after="100" w:afterAutospacing="1"/>
      <w:widowControl/>
    </w:pPr>
    <w:rPr>
      <w:rFonts w:ascii="宋体" w:hAnsi="宋体" w:eastAsia="宋体" w:cs="Times New Roman"/>
      <w:sz w:val="18"/>
      <w:szCs w:val="18"/>
    </w:rPr>
  </w:style>
  <w:style w:type="paragraph" w:styleId="786" w:customStyle="1">
    <w:name w:val="font6"/>
    <w:basedOn w:val="717"/>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787" w:customStyle="1">
    <w:name w:val="font7"/>
    <w:basedOn w:val="717"/>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788" w:customStyle="1">
    <w:name w:val="font8"/>
    <w:basedOn w:val="717"/>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789" w:customStyle="1">
    <w:name w:val="font9"/>
    <w:basedOn w:val="717"/>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790" w:customStyle="1">
    <w:name w:val="xl24"/>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791" w:customStyle="1">
    <w:name w:val="xl25"/>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792" w:customStyle="1">
    <w:name w:val="xl26"/>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793" w:customStyle="1">
    <w:name w:val="xl27"/>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794" w:customStyle="1">
    <w:name w:val="xl28"/>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795" w:customStyle="1">
    <w:name w:val="xl29"/>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796" w:customStyle="1">
    <w:name w:val="xl30"/>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797" w:customStyle="1">
    <w:name w:val="xl31"/>
    <w:basedOn w:val="71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798" w:customStyle="1">
    <w:name w:val="xl32"/>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799" w:customStyle="1">
    <w:name w:val="xl33"/>
    <w:basedOn w:val="71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0" w:customStyle="1">
    <w:name w:val="xl34"/>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01" w:customStyle="1">
    <w:name w:val="xl35"/>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02" w:customStyle="1">
    <w:name w:val="xl36"/>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3" w:customStyle="1">
    <w:name w:val="xl37"/>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04" w:customStyle="1">
    <w:name w:val="xl38"/>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5" w:customStyle="1">
    <w:name w:val="xl39"/>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06" w:customStyle="1">
    <w:name w:val="xl40"/>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07" w:customStyle="1">
    <w:name w:val="xl41"/>
    <w:basedOn w:val="71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8" w:customStyle="1">
    <w:name w:val="xl42"/>
    <w:basedOn w:val="71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09" w:customStyle="1">
    <w:name w:val="xl43"/>
    <w:basedOn w:val="71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10" w:customStyle="1">
    <w:name w:val="xl44"/>
    <w:basedOn w:val="71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11" w:customStyle="1">
    <w:name w:val="xl45"/>
    <w:basedOn w:val="71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12" w:customStyle="1">
    <w:name w:val="xl46"/>
    <w:basedOn w:val="71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13" w:customStyle="1">
    <w:name w:val="xl47"/>
    <w:basedOn w:val="71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4" w:customStyle="1">
    <w:name w:val="xl48"/>
    <w:basedOn w:val="71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15" w:customStyle="1">
    <w:name w:val="xl49"/>
    <w:basedOn w:val="71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16" w:customStyle="1">
    <w:name w:val="xl50"/>
    <w:basedOn w:val="71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17" w:customStyle="1">
    <w:name w:val="xl51"/>
    <w:basedOn w:val="71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18" w:customStyle="1">
    <w:name w:val="xl52"/>
    <w:basedOn w:val="71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19" w:customStyle="1">
    <w:name w:val="xl53"/>
    <w:basedOn w:val="71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0" w:customStyle="1">
    <w:name w:val="xl54"/>
    <w:basedOn w:val="71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21" w:customStyle="1">
    <w:name w:val="xl55"/>
    <w:basedOn w:val="71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22" w:customStyle="1">
    <w:name w:val="xl56"/>
    <w:basedOn w:val="71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3" w:customStyle="1">
    <w:name w:val="xl57"/>
    <w:basedOn w:val="71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24" w:customStyle="1">
    <w:name w:val="xl58"/>
    <w:basedOn w:val="71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25" w:customStyle="1">
    <w:name w:val="xl59"/>
    <w:basedOn w:val="71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6" w:customStyle="1">
    <w:name w:val="xl60"/>
    <w:basedOn w:val="71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27" w:customStyle="1">
    <w:name w:val="xl61"/>
    <w:basedOn w:val="71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28" w:customStyle="1">
    <w:name w:val="xl62"/>
    <w:basedOn w:val="71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9" w:customStyle="1">
    <w:name w:val="xl63"/>
    <w:basedOn w:val="71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30" w:customStyle="1">
    <w:name w:val="font10"/>
    <w:basedOn w:val="717"/>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31" w:customStyle="1">
    <w:name w:val="font11"/>
    <w:basedOn w:val="717"/>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32" w:customStyle="1">
    <w:name w:val="font12"/>
    <w:basedOn w:val="717"/>
    <w:uiPriority w:val="99"/>
    <w:qFormat/>
    <w:pPr>
      <w:jc w:val="left"/>
      <w:spacing w:before="100" w:beforeAutospacing="1" w:after="100" w:afterAutospacing="1"/>
      <w:widowControl/>
    </w:pPr>
    <w:rPr>
      <w:rFonts w:ascii="宋体" w:hAnsi="宋体" w:eastAsia="宋体" w:cs="Times New Roman"/>
      <w:sz w:val="36"/>
      <w:szCs w:val="36"/>
    </w:rPr>
  </w:style>
  <w:style w:type="paragraph" w:styleId="833" w:customStyle="1">
    <w:name w:val="font13"/>
    <w:basedOn w:val="717"/>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34" w:customStyle="1">
    <w:name w:val="font14"/>
    <w:basedOn w:val="717"/>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35" w:customStyle="1">
    <w:name w:val="case31"/>
    <w:uiPriority w:val="99"/>
    <w:qFormat/>
    <w:rPr>
      <w:rFonts w:cs="Times New Roman"/>
      <w:spacing w:val="390"/>
      <w:sz w:val="21"/>
      <w:szCs w:val="21"/>
    </w:rPr>
  </w:style>
  <w:style w:type="paragraph" w:styleId="836" w:customStyle="1">
    <w:name w:val="普通文字"/>
    <w:basedOn w:val="717"/>
    <w:next w:val="717"/>
    <w:uiPriority w:val="99"/>
    <w:qFormat/>
    <w:rPr>
      <w:rFonts w:ascii="宋体" w:hAnsi="Times New Roman" w:eastAsia="宋体" w:cs="Times New Roman"/>
      <w:sz w:val="24"/>
      <w:szCs w:val="20"/>
    </w:rPr>
  </w:style>
  <w:style w:type="paragraph" w:styleId="837" w:customStyle="1">
    <w:name w:val="默认段落字体 Para Char"/>
    <w:basedOn w:val="717"/>
    <w:uiPriority w:val="99"/>
    <w:qFormat/>
    <w:pPr>
      <w:ind w:left="552" w:hanging="420"/>
      <w:tabs>
        <w:tab w:val="left" w:pos="552" w:leader="none"/>
      </w:tabs>
    </w:pPr>
    <w:rPr>
      <w:rFonts w:ascii="Times New Roman" w:hAnsi="Times New Roman" w:eastAsia="宋体" w:cs="Times New Roman"/>
      <w:sz w:val="24"/>
      <w:szCs w:val="24"/>
    </w:rPr>
  </w:style>
  <w:style w:type="character" w:styleId="838" w:customStyle="1">
    <w:name w:val="文档结构图 Char1"/>
    <w:basedOn w:val="727"/>
    <w:link w:val="734"/>
    <w:uiPriority w:val="99"/>
    <w:semiHidden/>
    <w:qFormat/>
    <w:rPr>
      <w:rFonts w:ascii="Times New Roman" w:hAnsi="Times New Roman" w:eastAsia="宋体" w:cs="Times New Roman"/>
      <w:sz w:val="20"/>
      <w:szCs w:val="20"/>
      <w:shd w:val="clear" w:color="auto" w:fill="000080"/>
    </w:rPr>
  </w:style>
  <w:style w:type="character" w:styleId="839" w:customStyle="1">
    <w:name w:val="正文文本 2 Char1"/>
    <w:basedOn w:val="727"/>
    <w:link w:val="758"/>
    <w:uiPriority w:val="99"/>
    <w:qFormat/>
    <w:rPr>
      <w:rFonts w:ascii="Times New Roman" w:hAnsi="Times New Roman" w:eastAsia="宋体" w:cs="Times New Roman"/>
      <w:sz w:val="20"/>
      <w:szCs w:val="20"/>
    </w:rPr>
  </w:style>
  <w:style w:type="paragraph" w:styleId="840" w:customStyle="1">
    <w:name w:val="Char Char Char Char"/>
    <w:basedOn w:val="734"/>
    <w:uiPriority w:val="0"/>
    <w:qFormat/>
    <w:pPr>
      <w:spacing w:line="360" w:lineRule="auto"/>
    </w:pPr>
    <w:rPr>
      <w:rFonts w:ascii="Tahoma" w:hAnsi="Tahoma"/>
      <w:sz w:val="24"/>
      <w:szCs w:val="24"/>
    </w:rPr>
  </w:style>
  <w:style w:type="paragraph" w:styleId="841" w:customStyle="1">
    <w:name w:val="Char Char1 Char Char Char Char"/>
    <w:basedOn w:val="734"/>
    <w:uiPriority w:val="99"/>
    <w:qFormat/>
    <w:pPr>
      <w:ind w:left="357"/>
      <w:jc w:val="left"/>
      <w:spacing w:line="436" w:lineRule="exact"/>
      <w:outlineLvl w:val="3"/>
    </w:pPr>
    <w:rPr>
      <w:rFonts w:ascii="Tahoma" w:hAnsi="Tahoma"/>
      <w:b/>
      <w:sz w:val="24"/>
      <w:szCs w:val="24"/>
    </w:rPr>
  </w:style>
  <w:style w:type="paragraph" w:styleId="842">
    <w:name w:val="List Paragraph"/>
    <w:basedOn w:val="717"/>
    <w:uiPriority w:val="34"/>
    <w:qFormat/>
    <w:pPr>
      <w:ind w:firstLine="420"/>
    </w:pPr>
    <w:rPr>
      <w:rFonts w:ascii="Times New Roman" w:hAnsi="Times New Roman" w:eastAsia="宋体" w:cs="Times New Roman"/>
      <w:szCs w:val="20"/>
    </w:rPr>
  </w:style>
  <w:style w:type="paragraph" w:styleId="843" w:customStyle="1">
    <w:name w:val="修订1"/>
    <w:hidden/>
    <w:uiPriority w:val="99"/>
    <w:semiHidden/>
    <w:qFormat/>
    <w:rPr>
      <w:rFonts w:ascii="Times New Roman" w:hAnsi="Times New Roman" w:eastAsia="宋体" w:cs="Times New Roman"/>
      <w:sz w:val="21"/>
      <w:lang w:val="en-US" w:eastAsia="zh-CN" w:bidi="ar-SA"/>
    </w:rPr>
  </w:style>
  <w:style w:type="character" w:styleId="844" w:customStyle="1">
    <w:name w:val="批注框文本 Char1"/>
    <w:basedOn w:val="727"/>
    <w:link w:val="745"/>
    <w:uiPriority w:val="99"/>
    <w:semiHidden/>
    <w:qFormat/>
    <w:rPr>
      <w:rFonts w:ascii="Times New Roman" w:hAnsi="Times New Roman" w:eastAsia="宋体" w:cs="Times New Roman"/>
      <w:sz w:val="18"/>
      <w:szCs w:val="18"/>
    </w:rPr>
  </w:style>
  <w:style w:type="character" w:styleId="845" w:customStyle="1">
    <w:name w:val="批注文字 Char1"/>
    <w:basedOn w:val="727"/>
    <w:link w:val="735"/>
    <w:uiPriority w:val="99"/>
    <w:semiHidden/>
    <w:qFormat/>
  </w:style>
  <w:style w:type="character" w:styleId="846" w:customStyle="1">
    <w:name w:val="批注主题 Char1"/>
    <w:basedOn w:val="845"/>
    <w:link w:val="761"/>
    <w:uiPriority w:val="99"/>
    <w:semiHidden/>
    <w:qFormat/>
    <w:rPr>
      <w:b/>
      <w:bCs/>
    </w:rPr>
  </w:style>
  <w:style w:type="paragraph" w:styleId="847" w:customStyle="1">
    <w:name w:val="列表段落1"/>
    <w:basedOn w:val="717"/>
    <w:uiPriority w:val="34"/>
    <w:qFormat/>
    <w:pPr>
      <w:ind w:firstLine="420"/>
    </w:pPr>
  </w:style>
  <w:style w:type="paragraph" w:styleId="848" w:customStyle="1">
    <w:name w:val="样式 小四 段前: 5 磅 段后: 5 磅 首行缩进:  2 字符"/>
    <w:basedOn w:val="717"/>
    <w:uiPriority w:val="0"/>
    <w:qFormat/>
    <w:pPr>
      <w:spacing w:line="360" w:lineRule="auto"/>
    </w:pPr>
    <w:rPr>
      <w:rFonts w:ascii="宋体" w:hAnsi="宋体"/>
      <w:szCs w:val="21"/>
    </w:rPr>
  </w:style>
  <w:style w:type="character" w:styleId="849" w:customStyle="1">
    <w:name w:val="正文首行缩进 2 Char1"/>
    <w:basedOn w:val="779"/>
    <w:link w:val="763"/>
    <w:uiPriority w:val="99"/>
    <w:semiHidden/>
    <w:qFormat/>
    <w:rPr>
      <w:rFonts w:ascii="Times New Roman" w:hAnsi="Times New Roman" w:eastAsia="宋体" w:cs="Times New Roman"/>
      <w:b w:val="0"/>
      <w:sz w:val="21"/>
      <w:szCs w:val="22"/>
    </w:rPr>
  </w:style>
  <w:style w:type="table" w:styleId="850" w:customStyle="1">
    <w:name w:val="网格型1"/>
    <w:basedOn w:val="7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customStyle="1">
    <w:name w:val="网格型2"/>
    <w:basedOn w:val="7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customStyle="1">
    <w:name w:val="网格型3"/>
    <w:basedOn w:val="7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customStyle="1">
    <w:name w:val="网格型4"/>
    <w:basedOn w:val="728"/>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4" w:customStyle="1">
    <w:name w:val="List Paragraph1"/>
    <w:basedOn w:val="717"/>
    <w:uiPriority w:val="0"/>
    <w:qFormat/>
    <w:pPr>
      <w:ind w:firstLine="420"/>
    </w:pPr>
    <w:rPr>
      <w:szCs w:val="21"/>
    </w:rPr>
  </w:style>
  <w:style w:type="paragraph" w:styleId="855" w:customStyle="1">
    <w:name w:val="标题 31"/>
    <w:basedOn w:val="717"/>
    <w:next w:val="717"/>
    <w:link w:val="856"/>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56" w:customStyle="1">
    <w:name w:val="标题 3 Char"/>
    <w:link w:val="855"/>
    <w:uiPriority w:val="0"/>
    <w:qFormat/>
    <w:rPr>
      <w:rFonts w:ascii="Times New Roman" w:hAnsi="Times New Roman" w:eastAsia="宋体" w:cs="Times New Roman"/>
      <w:b/>
      <w:bCs/>
      <w:sz w:val="32"/>
      <w:szCs w:val="32"/>
      <w:lang w:eastAsia="en-US"/>
    </w:rPr>
  </w:style>
  <w:style w:type="character" w:styleId="857" w:customStyle="1">
    <w:name w:val="标题 6 Char1"/>
    <w:basedOn w:val="727"/>
    <w:link w:val="723"/>
    <w:uiPriority w:val="9"/>
    <w:qFormat/>
    <w:rPr>
      <w:rFonts w:ascii="Arial" w:hAnsi="Arial" w:eastAsia="Arial" w:cs="Arial"/>
      <w:b/>
      <w:bCs/>
      <w:sz w:val="22"/>
      <w:szCs w:val="22"/>
    </w:rPr>
  </w:style>
  <w:style w:type="character" w:styleId="858" w:customStyle="1">
    <w:name w:val="标题 7 Char1"/>
    <w:basedOn w:val="727"/>
    <w:link w:val="724"/>
    <w:uiPriority w:val="9"/>
    <w:qFormat/>
    <w:rPr>
      <w:rFonts w:ascii="Arial" w:hAnsi="Arial" w:eastAsia="Arial" w:cs="Arial"/>
      <w:b/>
      <w:bCs/>
      <w:i/>
      <w:iCs/>
      <w:sz w:val="22"/>
      <w:szCs w:val="22"/>
    </w:rPr>
  </w:style>
  <w:style w:type="character" w:styleId="859" w:customStyle="1">
    <w:name w:val="标题 8 Char1"/>
    <w:basedOn w:val="727"/>
    <w:link w:val="725"/>
    <w:uiPriority w:val="9"/>
    <w:qFormat/>
    <w:rPr>
      <w:rFonts w:ascii="Arial" w:hAnsi="Arial" w:eastAsia="Arial" w:cs="Arial"/>
      <w:i/>
      <w:iCs/>
      <w:sz w:val="22"/>
      <w:szCs w:val="22"/>
    </w:rPr>
  </w:style>
  <w:style w:type="character" w:styleId="860" w:customStyle="1">
    <w:name w:val="标题 9 Char1"/>
    <w:basedOn w:val="727"/>
    <w:link w:val="726"/>
    <w:uiPriority w:val="9"/>
    <w:qFormat/>
    <w:rPr>
      <w:rFonts w:ascii="Arial" w:hAnsi="Arial" w:eastAsia="Arial" w:cs="Arial"/>
      <w:i/>
      <w:iCs/>
      <w:sz w:val="21"/>
      <w:szCs w:val="21"/>
    </w:rPr>
  </w:style>
  <w:style w:type="character" w:styleId="861" w:customStyle="1">
    <w:name w:val="Heading 1 Char"/>
    <w:uiPriority w:val="9"/>
    <w:qFormat/>
    <w:rPr>
      <w:rFonts w:ascii="Arial" w:hAnsi="Arial" w:eastAsia="Arial" w:cs="Arial"/>
      <w:sz w:val="40"/>
      <w:szCs w:val="40"/>
    </w:rPr>
  </w:style>
  <w:style w:type="character" w:styleId="862" w:customStyle="1">
    <w:name w:val="Heading 2 Char"/>
    <w:uiPriority w:val="9"/>
    <w:qFormat/>
    <w:rPr>
      <w:rFonts w:ascii="Arial" w:hAnsi="Arial" w:eastAsia="Arial" w:cs="Arial"/>
      <w:sz w:val="34"/>
    </w:rPr>
  </w:style>
  <w:style w:type="character" w:styleId="863" w:customStyle="1">
    <w:name w:val="Heading 3 Char"/>
    <w:uiPriority w:val="9"/>
    <w:qFormat/>
    <w:rPr>
      <w:rFonts w:ascii="Arial" w:hAnsi="Arial" w:eastAsia="Arial" w:cs="Arial"/>
      <w:sz w:val="30"/>
      <w:szCs w:val="30"/>
    </w:rPr>
  </w:style>
  <w:style w:type="character" w:styleId="864" w:customStyle="1">
    <w:name w:val="Heading 4 Char"/>
    <w:uiPriority w:val="9"/>
    <w:qFormat/>
    <w:rPr>
      <w:rFonts w:ascii="Arial" w:hAnsi="Arial" w:eastAsia="Arial" w:cs="Arial"/>
      <w:b/>
      <w:bCs/>
      <w:sz w:val="26"/>
      <w:szCs w:val="26"/>
    </w:rPr>
  </w:style>
  <w:style w:type="character" w:styleId="865" w:customStyle="1">
    <w:name w:val="Heading 5 Char"/>
    <w:uiPriority w:val="9"/>
    <w:qFormat/>
    <w:rPr>
      <w:rFonts w:ascii="Arial" w:hAnsi="Arial" w:eastAsia="Arial" w:cs="Arial"/>
      <w:b/>
      <w:bCs/>
      <w:sz w:val="24"/>
      <w:szCs w:val="24"/>
    </w:rPr>
  </w:style>
  <w:style w:type="character" w:styleId="866" w:customStyle="1">
    <w:name w:val="Heading 6 Char"/>
    <w:uiPriority w:val="9"/>
    <w:qFormat/>
    <w:rPr>
      <w:rFonts w:ascii="Arial" w:hAnsi="Arial" w:eastAsia="Arial" w:cs="Arial"/>
      <w:b/>
      <w:bCs/>
      <w:sz w:val="22"/>
      <w:szCs w:val="22"/>
    </w:rPr>
  </w:style>
  <w:style w:type="character" w:styleId="867" w:customStyle="1">
    <w:name w:val="Heading 7 Char"/>
    <w:uiPriority w:val="9"/>
    <w:qFormat/>
    <w:rPr>
      <w:rFonts w:ascii="Arial" w:hAnsi="Arial" w:eastAsia="Arial" w:cs="Arial"/>
      <w:b/>
      <w:bCs/>
      <w:i/>
      <w:iCs/>
      <w:sz w:val="22"/>
      <w:szCs w:val="22"/>
    </w:rPr>
  </w:style>
  <w:style w:type="character" w:styleId="868" w:customStyle="1">
    <w:name w:val="Heading 8 Char"/>
    <w:uiPriority w:val="9"/>
    <w:qFormat/>
    <w:rPr>
      <w:rFonts w:ascii="Arial" w:hAnsi="Arial" w:eastAsia="Arial" w:cs="Arial"/>
      <w:i/>
      <w:iCs/>
      <w:sz w:val="22"/>
      <w:szCs w:val="22"/>
    </w:rPr>
  </w:style>
  <w:style w:type="character" w:styleId="869" w:customStyle="1">
    <w:name w:val="Heading 9 Char"/>
    <w:uiPriority w:val="9"/>
    <w:qFormat/>
    <w:rPr>
      <w:rFonts w:ascii="Arial" w:hAnsi="Arial" w:eastAsia="Arial" w:cs="Arial"/>
      <w:i/>
      <w:iCs/>
      <w:sz w:val="21"/>
      <w:szCs w:val="21"/>
    </w:rPr>
  </w:style>
  <w:style w:type="paragraph" w:styleId="870">
    <w:name w:val="No Spacing"/>
    <w:uiPriority w:val="1"/>
    <w:qFormat/>
    <w:rPr>
      <w:rFonts w:ascii="Calibri" w:hAnsi="Calibri" w:eastAsia="宋体" w:cs="Times New Roman"/>
      <w:lang w:val="en-US" w:eastAsia="zh-CN" w:bidi="ar-SA"/>
    </w:rPr>
  </w:style>
  <w:style w:type="character" w:styleId="871" w:customStyle="1">
    <w:name w:val="标题 Char"/>
    <w:basedOn w:val="727"/>
    <w:link w:val="760"/>
    <w:uiPriority w:val="10"/>
    <w:qFormat/>
    <w:rPr>
      <w:rFonts w:ascii="Times New Roman" w:hAnsi="Times New Roman" w:eastAsia="宋体" w:cs="Times New Roman"/>
      <w:sz w:val="48"/>
      <w:szCs w:val="48"/>
    </w:rPr>
  </w:style>
  <w:style w:type="character" w:styleId="872" w:customStyle="1">
    <w:name w:val="Title Char"/>
    <w:uiPriority w:val="10"/>
    <w:qFormat/>
    <w:rPr>
      <w:sz w:val="48"/>
      <w:szCs w:val="48"/>
    </w:rPr>
  </w:style>
  <w:style w:type="character" w:styleId="873" w:customStyle="1">
    <w:name w:val="Subtitle Char"/>
    <w:uiPriority w:val="11"/>
    <w:qFormat/>
    <w:rPr>
      <w:sz w:val="24"/>
      <w:szCs w:val="24"/>
    </w:rPr>
  </w:style>
  <w:style w:type="paragraph" w:styleId="874">
    <w:name w:val="Quote"/>
    <w:basedOn w:val="717"/>
    <w:next w:val="717"/>
    <w:link w:val="875"/>
    <w:uiPriority w:val="29"/>
    <w:qFormat/>
    <w:pPr>
      <w:ind w:left="720" w:right="720"/>
    </w:pPr>
    <w:rPr>
      <w:rFonts w:ascii="Times New Roman" w:hAnsi="Times New Roman" w:eastAsia="宋体" w:cs="Times New Roman"/>
      <w:i/>
      <w:szCs w:val="21"/>
    </w:rPr>
  </w:style>
  <w:style w:type="character" w:styleId="875" w:customStyle="1">
    <w:name w:val="引用 Char"/>
    <w:basedOn w:val="727"/>
    <w:link w:val="874"/>
    <w:uiPriority w:val="29"/>
    <w:qFormat/>
    <w:rPr>
      <w:rFonts w:ascii="Times New Roman" w:hAnsi="Times New Roman" w:eastAsia="宋体" w:cs="Times New Roman"/>
      <w:i/>
      <w:sz w:val="21"/>
      <w:szCs w:val="21"/>
    </w:rPr>
  </w:style>
  <w:style w:type="character" w:styleId="876" w:customStyle="1">
    <w:name w:val="Quote Char"/>
    <w:uiPriority w:val="29"/>
    <w:qFormat/>
    <w:rPr>
      <w:i/>
    </w:rPr>
  </w:style>
  <w:style w:type="paragraph" w:styleId="877">
    <w:name w:val="Intense Quote"/>
    <w:basedOn w:val="717"/>
    <w:next w:val="717"/>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878" w:customStyle="1">
    <w:name w:val="明显引用 Char"/>
    <w:basedOn w:val="727"/>
    <w:link w:val="877"/>
    <w:uiPriority w:val="30"/>
    <w:qFormat/>
    <w:rPr>
      <w:rFonts w:ascii="Times New Roman" w:hAnsi="Times New Roman" w:eastAsia="宋体" w:cs="Times New Roman"/>
      <w:i/>
      <w:sz w:val="21"/>
      <w:szCs w:val="21"/>
      <w:shd w:val="clear" w:color="auto" w:fill="f2f2f2"/>
    </w:rPr>
  </w:style>
  <w:style w:type="character" w:styleId="879" w:customStyle="1">
    <w:name w:val="Intense Quote Char"/>
    <w:uiPriority w:val="30"/>
    <w:qFormat/>
    <w:rPr>
      <w:i/>
    </w:rPr>
  </w:style>
  <w:style w:type="character" w:styleId="880" w:customStyle="1">
    <w:name w:val="Header Char"/>
    <w:uiPriority w:val="99"/>
    <w:qFormat/>
  </w:style>
  <w:style w:type="character" w:styleId="881" w:customStyle="1">
    <w:name w:val="Footer Char"/>
    <w:uiPriority w:val="99"/>
    <w:qFormat/>
  </w:style>
  <w:style w:type="character" w:styleId="882" w:customStyle="1">
    <w:name w:val="Caption Char"/>
    <w:uiPriority w:val="99"/>
    <w:qFormat/>
  </w:style>
  <w:style w:type="character" w:styleId="883" w:customStyle="1">
    <w:name w:val="脚注文本 Char"/>
    <w:basedOn w:val="727"/>
    <w:link w:val="752"/>
    <w:uiPriority w:val="99"/>
    <w:qFormat/>
    <w:rPr>
      <w:rFonts w:ascii="Times New Roman" w:hAnsi="Times New Roman" w:eastAsia="宋体" w:cs="Times New Roman"/>
      <w:sz w:val="18"/>
      <w:szCs w:val="21"/>
    </w:rPr>
  </w:style>
  <w:style w:type="character" w:styleId="884" w:customStyle="1">
    <w:name w:val="Footnote Text Char"/>
    <w:uiPriority w:val="99"/>
    <w:qFormat/>
    <w:rPr>
      <w:sz w:val="18"/>
    </w:rPr>
  </w:style>
  <w:style w:type="character" w:styleId="885" w:customStyle="1">
    <w:name w:val="尾注文本 Char"/>
    <w:basedOn w:val="727"/>
    <w:link w:val="744"/>
    <w:uiPriority w:val="99"/>
    <w:qFormat/>
    <w:rPr>
      <w:rFonts w:ascii="Times New Roman" w:hAnsi="Times New Roman" w:eastAsia="宋体" w:cs="Times New Roman"/>
      <w:szCs w:val="21"/>
    </w:rPr>
  </w:style>
  <w:style w:type="character" w:styleId="886" w:customStyle="1">
    <w:name w:val="Endnote Text Char"/>
    <w:uiPriority w:val="99"/>
    <w:qFormat/>
    <w:rPr>
      <w:sz w:val="20"/>
    </w:rPr>
  </w:style>
  <w:style w:type="paragraph" w:styleId="887" w:customStyle="1">
    <w:name w:val="目录 711"/>
    <w:basedOn w:val="717"/>
    <w:next w:val="717"/>
    <w:uiPriority w:val="39"/>
    <w:unhideWhenUsed/>
    <w:qFormat/>
    <w:pPr>
      <w:ind w:left="1701"/>
      <w:spacing w:after="57"/>
    </w:pPr>
    <w:rPr>
      <w:rFonts w:ascii="Times New Roman" w:hAnsi="Times New Roman" w:eastAsia="宋体" w:cs="Times New Roman"/>
      <w:szCs w:val="21"/>
    </w:rPr>
  </w:style>
  <w:style w:type="paragraph" w:styleId="888" w:customStyle="1">
    <w:name w:val="目录 511"/>
    <w:basedOn w:val="717"/>
    <w:next w:val="717"/>
    <w:uiPriority w:val="39"/>
    <w:unhideWhenUsed/>
    <w:qFormat/>
    <w:pPr>
      <w:ind w:left="1134"/>
      <w:spacing w:after="57"/>
    </w:pPr>
    <w:rPr>
      <w:rFonts w:ascii="Times New Roman" w:hAnsi="Times New Roman" w:eastAsia="宋体" w:cs="Times New Roman"/>
      <w:szCs w:val="21"/>
    </w:rPr>
  </w:style>
  <w:style w:type="paragraph" w:styleId="889" w:customStyle="1">
    <w:name w:val="目录 311"/>
    <w:basedOn w:val="717"/>
    <w:next w:val="717"/>
    <w:uiPriority w:val="39"/>
    <w:unhideWhenUsed/>
    <w:qFormat/>
    <w:pPr>
      <w:ind w:left="567"/>
      <w:spacing w:after="57"/>
    </w:pPr>
    <w:rPr>
      <w:rFonts w:ascii="Times New Roman" w:hAnsi="Times New Roman" w:eastAsia="宋体" w:cs="Times New Roman"/>
      <w:szCs w:val="21"/>
    </w:rPr>
  </w:style>
  <w:style w:type="paragraph" w:styleId="890" w:customStyle="1">
    <w:name w:val="目录 811"/>
    <w:basedOn w:val="717"/>
    <w:next w:val="717"/>
    <w:uiPriority w:val="39"/>
    <w:unhideWhenUsed/>
    <w:qFormat/>
    <w:pPr>
      <w:ind w:left="1984"/>
      <w:spacing w:after="57"/>
    </w:pPr>
    <w:rPr>
      <w:rFonts w:ascii="Times New Roman" w:hAnsi="Times New Roman" w:eastAsia="宋体" w:cs="Times New Roman"/>
      <w:szCs w:val="21"/>
    </w:rPr>
  </w:style>
  <w:style w:type="character" w:styleId="891" w:customStyle="1">
    <w:name w:val="页脚 字符1"/>
    <w:uiPriority w:val="99"/>
    <w:qFormat/>
  </w:style>
  <w:style w:type="paragraph" w:styleId="892" w:customStyle="1">
    <w:name w:val="目录 1111"/>
    <w:basedOn w:val="717"/>
    <w:next w:val="717"/>
    <w:uiPriority w:val="39"/>
    <w:unhideWhenUsed/>
    <w:qFormat/>
    <w:pPr>
      <w:spacing w:after="57"/>
    </w:pPr>
    <w:rPr>
      <w:rFonts w:ascii="Times New Roman" w:hAnsi="Times New Roman" w:eastAsia="宋体" w:cs="Times New Roman"/>
      <w:szCs w:val="21"/>
    </w:rPr>
  </w:style>
  <w:style w:type="paragraph" w:styleId="893" w:customStyle="1">
    <w:name w:val="目录 411"/>
    <w:basedOn w:val="717"/>
    <w:next w:val="717"/>
    <w:uiPriority w:val="39"/>
    <w:unhideWhenUsed/>
    <w:qFormat/>
    <w:pPr>
      <w:ind w:left="850"/>
      <w:spacing w:after="57"/>
    </w:pPr>
    <w:rPr>
      <w:rFonts w:ascii="Times New Roman" w:hAnsi="Times New Roman" w:eastAsia="宋体" w:cs="Times New Roman"/>
      <w:szCs w:val="21"/>
    </w:rPr>
  </w:style>
  <w:style w:type="character" w:styleId="894" w:customStyle="1">
    <w:name w:val="副标题 Char"/>
    <w:link w:val="737"/>
    <w:uiPriority w:val="11"/>
    <w:qFormat/>
    <w:rPr>
      <w:rFonts w:ascii="Arial" w:hAnsi="Arial"/>
      <w:b/>
      <w:bCs/>
      <w:sz w:val="32"/>
      <w:szCs w:val="32"/>
    </w:rPr>
  </w:style>
  <w:style w:type="paragraph" w:styleId="895" w:customStyle="1">
    <w:name w:val="目录 611"/>
    <w:basedOn w:val="717"/>
    <w:next w:val="717"/>
    <w:uiPriority w:val="39"/>
    <w:unhideWhenUsed/>
    <w:qFormat/>
    <w:pPr>
      <w:ind w:left="1417"/>
      <w:spacing w:after="57"/>
    </w:pPr>
    <w:rPr>
      <w:rFonts w:ascii="Times New Roman" w:hAnsi="Times New Roman" w:eastAsia="宋体" w:cs="Times New Roman"/>
      <w:szCs w:val="21"/>
    </w:rPr>
  </w:style>
  <w:style w:type="paragraph" w:styleId="896" w:customStyle="1">
    <w:name w:val="目录 211"/>
    <w:basedOn w:val="717"/>
    <w:next w:val="717"/>
    <w:uiPriority w:val="39"/>
    <w:unhideWhenUsed/>
    <w:qFormat/>
    <w:pPr>
      <w:ind w:left="283"/>
      <w:spacing w:after="57"/>
    </w:pPr>
    <w:rPr>
      <w:rFonts w:ascii="Times New Roman" w:hAnsi="Times New Roman" w:eastAsia="宋体" w:cs="Times New Roman"/>
      <w:szCs w:val="21"/>
    </w:rPr>
  </w:style>
  <w:style w:type="paragraph" w:styleId="897" w:customStyle="1">
    <w:name w:val="目录 911"/>
    <w:basedOn w:val="717"/>
    <w:next w:val="717"/>
    <w:uiPriority w:val="39"/>
    <w:unhideWhenUsed/>
    <w:qFormat/>
    <w:pPr>
      <w:ind w:left="2268"/>
      <w:spacing w:after="57"/>
    </w:pPr>
    <w:rPr>
      <w:rFonts w:ascii="Times New Roman" w:hAnsi="Times New Roman" w:eastAsia="宋体" w:cs="Times New Roman"/>
      <w:szCs w:val="21"/>
    </w:rPr>
  </w:style>
  <w:style w:type="character" w:styleId="898" w:customStyle="1">
    <w:name w:val="font5 Char"/>
    <w:uiPriority w:val="0"/>
    <w:qFormat/>
    <w:rPr>
      <w:rFonts w:ascii="宋体" w:hAnsi="宋体" w:eastAsia="宋体"/>
      <w:sz w:val="28"/>
      <w:szCs w:val="28"/>
      <w:lang w:val="en-US" w:eastAsia="zh-CN" w:bidi="ar-SA"/>
    </w:rPr>
  </w:style>
  <w:style w:type="paragraph" w:styleId="899" w:customStyle="1">
    <w:name w:val="列出段落2"/>
    <w:basedOn w:val="717"/>
    <w:uiPriority w:val="34"/>
    <w:qFormat/>
    <w:pPr>
      <w:contextualSpacing/>
      <w:ind w:left="720"/>
    </w:pPr>
    <w:rPr>
      <w:rFonts w:ascii="Times New Roman" w:hAnsi="Times New Roman" w:eastAsia="宋体" w:cs="Times New Roman"/>
      <w:szCs w:val="21"/>
    </w:rPr>
  </w:style>
  <w:style w:type="table" w:styleId="900" w:customStyle="1">
    <w:name w:val="Table Grid Light"/>
    <w:uiPriority w:val="59"/>
    <w:qFormat/>
    <w:rPr>
      <w:rFonts w:ascii="Calibri" w:hAnsi="Calibri" w:eastAsia="宋体" w:cs="Times New Roman"/>
    </w:rPr>
    <w:tblPr>
      <w:tblCellMar>
        <w:left w:w="0" w:type="dxa"/>
        <w:top w:w="0" w:type="dxa"/>
        <w:right w:w="0" w:type="dxa"/>
        <w:bottom w:w="0" w:type="dxa"/>
      </w:tblCellMar>
    </w:tblPr>
  </w:style>
  <w:style w:type="table" w:styleId="901" w:customStyle="1">
    <w:name w:val="Plain Table 1"/>
    <w:uiPriority w:val="59"/>
    <w:qFormat/>
    <w:rPr>
      <w:rFonts w:ascii="Calibri" w:hAnsi="Calibri" w:eastAsia="宋体" w:cs="Times New Roman"/>
    </w:rPr>
    <w:tblPr>
      <w:tblCellMar>
        <w:left w:w="0" w:type="dxa"/>
        <w:top w:w="0" w:type="dxa"/>
        <w:right w:w="0" w:type="dxa"/>
        <w:bottom w:w="0" w:type="dxa"/>
      </w:tblCellMar>
    </w:tblPr>
  </w:style>
  <w:style w:type="table" w:styleId="902" w:customStyle="1">
    <w:name w:val="Plain Table 2"/>
    <w:uiPriority w:val="59"/>
    <w:qFormat/>
    <w:rPr>
      <w:rFonts w:ascii="Calibri" w:hAnsi="Calibri" w:eastAsia="宋体" w:cs="Times New Roman"/>
    </w:rPr>
    <w:tblPr>
      <w:tblCellMar>
        <w:left w:w="0" w:type="dxa"/>
        <w:top w:w="0" w:type="dxa"/>
        <w:right w:w="0" w:type="dxa"/>
        <w:bottom w:w="0" w:type="dxa"/>
      </w:tblCellMar>
    </w:tblPr>
  </w:style>
  <w:style w:type="table" w:styleId="903" w:customStyle="1">
    <w:name w:val="Plain Table 3"/>
    <w:uiPriority w:val="99"/>
    <w:qFormat/>
    <w:rPr>
      <w:rFonts w:ascii="Calibri" w:hAnsi="Calibri" w:eastAsia="宋体" w:cs="Times New Roman"/>
    </w:rPr>
    <w:tblPr>
      <w:tblCellMar>
        <w:left w:w="0" w:type="dxa"/>
        <w:top w:w="0" w:type="dxa"/>
        <w:right w:w="0" w:type="dxa"/>
        <w:bottom w:w="0" w:type="dxa"/>
      </w:tblCellMar>
    </w:tblPr>
  </w:style>
  <w:style w:type="table" w:styleId="904" w:customStyle="1">
    <w:name w:val="Plain Table 4"/>
    <w:uiPriority w:val="99"/>
    <w:qFormat/>
    <w:rPr>
      <w:rFonts w:ascii="Calibri" w:hAnsi="Calibri" w:eastAsia="宋体" w:cs="Times New Roman"/>
    </w:rPr>
    <w:tblPr>
      <w:tblCellMar>
        <w:left w:w="0" w:type="dxa"/>
        <w:top w:w="0" w:type="dxa"/>
        <w:right w:w="0" w:type="dxa"/>
        <w:bottom w:w="0" w:type="dxa"/>
      </w:tblCellMar>
    </w:tblPr>
  </w:style>
  <w:style w:type="table" w:styleId="905" w:customStyle="1">
    <w:name w:val="Plain Table 5"/>
    <w:uiPriority w:val="99"/>
    <w:qFormat/>
    <w:rPr>
      <w:rFonts w:ascii="Calibri" w:hAnsi="Calibri" w:eastAsia="宋体" w:cs="Times New Roman"/>
    </w:rPr>
    <w:tblPr>
      <w:tblCellMar>
        <w:left w:w="0" w:type="dxa"/>
        <w:top w:w="0" w:type="dxa"/>
        <w:right w:w="0" w:type="dxa"/>
        <w:bottom w:w="0" w:type="dxa"/>
      </w:tblCellMar>
    </w:tblPr>
  </w:style>
  <w:style w:type="table" w:styleId="906" w:customStyle="1">
    <w:name w:val="Grid Table 1 Light"/>
    <w:uiPriority w:val="99"/>
    <w:qFormat/>
    <w:rPr>
      <w:rFonts w:ascii="Calibri" w:hAnsi="Calibri" w:eastAsia="宋体" w:cs="Times New Roman"/>
    </w:rPr>
    <w:tblPr>
      <w:tblCellMar>
        <w:left w:w="0" w:type="dxa"/>
        <w:top w:w="0" w:type="dxa"/>
        <w:right w:w="0" w:type="dxa"/>
        <w:bottom w:w="0" w:type="dxa"/>
      </w:tblCellMar>
    </w:tblPr>
  </w:style>
  <w:style w:type="table" w:styleId="907" w:customStyle="1">
    <w:name w:val="Grid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08" w:customStyle="1">
    <w:name w:val="Grid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09" w:customStyle="1">
    <w:name w:val="Grid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10" w:customStyle="1">
    <w:name w:val="Grid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11" w:customStyle="1">
    <w:name w:val="Grid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12" w:customStyle="1">
    <w:name w:val="Grid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13" w:customStyle="1">
    <w:name w:val="Grid Table 2"/>
    <w:uiPriority w:val="99"/>
    <w:qFormat/>
    <w:rPr>
      <w:rFonts w:ascii="Calibri" w:hAnsi="Calibri" w:eastAsia="宋体" w:cs="Times New Roman"/>
    </w:rPr>
    <w:tblPr>
      <w:tblCellMar>
        <w:left w:w="0" w:type="dxa"/>
        <w:top w:w="0" w:type="dxa"/>
        <w:right w:w="0" w:type="dxa"/>
        <w:bottom w:w="0" w:type="dxa"/>
      </w:tblCellMar>
    </w:tblPr>
  </w:style>
  <w:style w:type="table" w:styleId="914" w:customStyle="1">
    <w:name w:val="Grid Table 2 - Accent 1"/>
    <w:uiPriority w:val="99"/>
    <w:qFormat/>
    <w:rPr>
      <w:rFonts w:ascii="Calibri" w:hAnsi="Calibri" w:eastAsia="宋体" w:cs="Times New Roman"/>
    </w:rPr>
    <w:tblPr>
      <w:tblCellMar>
        <w:left w:w="0" w:type="dxa"/>
        <w:top w:w="0" w:type="dxa"/>
        <w:right w:w="0" w:type="dxa"/>
        <w:bottom w:w="0" w:type="dxa"/>
      </w:tblCellMar>
    </w:tblPr>
  </w:style>
  <w:style w:type="table" w:styleId="915" w:customStyle="1">
    <w:name w:val="Grid Table 2 - Accent 2"/>
    <w:uiPriority w:val="99"/>
    <w:qFormat/>
    <w:rPr>
      <w:rFonts w:ascii="Calibri" w:hAnsi="Calibri" w:eastAsia="宋体" w:cs="Times New Roman"/>
    </w:rPr>
    <w:tblPr>
      <w:tblCellMar>
        <w:left w:w="0" w:type="dxa"/>
        <w:top w:w="0" w:type="dxa"/>
        <w:right w:w="0" w:type="dxa"/>
        <w:bottom w:w="0" w:type="dxa"/>
      </w:tblCellMar>
    </w:tblPr>
  </w:style>
  <w:style w:type="table" w:styleId="916" w:customStyle="1">
    <w:name w:val="Grid Table 2 - Accent 3"/>
    <w:uiPriority w:val="99"/>
    <w:qFormat/>
    <w:rPr>
      <w:rFonts w:ascii="Calibri" w:hAnsi="Calibri" w:eastAsia="宋体" w:cs="Times New Roman"/>
    </w:rPr>
    <w:tblPr>
      <w:tblCellMar>
        <w:left w:w="0" w:type="dxa"/>
        <w:top w:w="0" w:type="dxa"/>
        <w:right w:w="0" w:type="dxa"/>
        <w:bottom w:w="0" w:type="dxa"/>
      </w:tblCellMar>
    </w:tblPr>
  </w:style>
  <w:style w:type="table" w:styleId="917" w:customStyle="1">
    <w:name w:val="Grid Table 2 - Accent 4"/>
    <w:uiPriority w:val="99"/>
    <w:qFormat/>
    <w:rPr>
      <w:rFonts w:ascii="Calibri" w:hAnsi="Calibri" w:eastAsia="宋体" w:cs="Times New Roman"/>
    </w:rPr>
    <w:tblPr>
      <w:tblCellMar>
        <w:left w:w="0" w:type="dxa"/>
        <w:top w:w="0" w:type="dxa"/>
        <w:right w:w="0" w:type="dxa"/>
        <w:bottom w:w="0" w:type="dxa"/>
      </w:tblCellMar>
    </w:tblPr>
  </w:style>
  <w:style w:type="table" w:styleId="918" w:customStyle="1">
    <w:name w:val="Grid Table 2 - Accent 5"/>
    <w:uiPriority w:val="99"/>
    <w:qFormat/>
    <w:rPr>
      <w:rFonts w:ascii="Calibri" w:hAnsi="Calibri" w:eastAsia="宋体" w:cs="Times New Roman"/>
    </w:rPr>
    <w:tblPr>
      <w:tblCellMar>
        <w:left w:w="0" w:type="dxa"/>
        <w:top w:w="0" w:type="dxa"/>
        <w:right w:w="0" w:type="dxa"/>
        <w:bottom w:w="0" w:type="dxa"/>
      </w:tblCellMar>
    </w:tblPr>
  </w:style>
  <w:style w:type="table" w:styleId="919" w:customStyle="1">
    <w:name w:val="Grid Table 2 - Accent 6"/>
    <w:uiPriority w:val="99"/>
    <w:qFormat/>
    <w:rPr>
      <w:rFonts w:ascii="Calibri" w:hAnsi="Calibri" w:eastAsia="宋体" w:cs="Times New Roman"/>
    </w:rPr>
    <w:tblPr>
      <w:tblCellMar>
        <w:left w:w="0" w:type="dxa"/>
        <w:top w:w="0" w:type="dxa"/>
        <w:right w:w="0" w:type="dxa"/>
        <w:bottom w:w="0" w:type="dxa"/>
      </w:tblCellMar>
    </w:tblPr>
  </w:style>
  <w:style w:type="table" w:styleId="920" w:customStyle="1">
    <w:name w:val="Grid Table 3"/>
    <w:uiPriority w:val="99"/>
    <w:qFormat/>
    <w:rPr>
      <w:rFonts w:ascii="Calibri" w:hAnsi="Calibri" w:eastAsia="宋体" w:cs="Times New Roman"/>
    </w:rPr>
    <w:tblPr>
      <w:tblCellMar>
        <w:left w:w="0" w:type="dxa"/>
        <w:top w:w="0" w:type="dxa"/>
        <w:right w:w="0" w:type="dxa"/>
        <w:bottom w:w="0" w:type="dxa"/>
      </w:tblCellMar>
    </w:tblPr>
  </w:style>
  <w:style w:type="table" w:styleId="921" w:customStyle="1">
    <w:name w:val="Grid Table 3 - Accent 1"/>
    <w:uiPriority w:val="99"/>
    <w:qFormat/>
    <w:rPr>
      <w:rFonts w:ascii="Calibri" w:hAnsi="Calibri" w:eastAsia="宋体" w:cs="Times New Roman"/>
    </w:rPr>
    <w:tblPr>
      <w:tblCellMar>
        <w:left w:w="0" w:type="dxa"/>
        <w:top w:w="0" w:type="dxa"/>
        <w:right w:w="0" w:type="dxa"/>
        <w:bottom w:w="0" w:type="dxa"/>
      </w:tblCellMar>
    </w:tblPr>
  </w:style>
  <w:style w:type="table" w:styleId="922" w:customStyle="1">
    <w:name w:val="Grid Table 3 - Accent 2"/>
    <w:uiPriority w:val="99"/>
    <w:qFormat/>
    <w:rPr>
      <w:rFonts w:ascii="Calibri" w:hAnsi="Calibri" w:eastAsia="宋体" w:cs="Times New Roman"/>
    </w:rPr>
    <w:tblPr>
      <w:tblCellMar>
        <w:left w:w="0" w:type="dxa"/>
        <w:top w:w="0" w:type="dxa"/>
        <w:right w:w="0" w:type="dxa"/>
        <w:bottom w:w="0" w:type="dxa"/>
      </w:tblCellMar>
    </w:tblPr>
  </w:style>
  <w:style w:type="table" w:styleId="923" w:customStyle="1">
    <w:name w:val="Grid Table 3 - Accent 3"/>
    <w:uiPriority w:val="99"/>
    <w:qFormat/>
    <w:rPr>
      <w:rFonts w:ascii="Calibri" w:hAnsi="Calibri" w:eastAsia="宋体" w:cs="Times New Roman"/>
    </w:rPr>
    <w:tblPr>
      <w:tblCellMar>
        <w:left w:w="0" w:type="dxa"/>
        <w:top w:w="0" w:type="dxa"/>
        <w:right w:w="0" w:type="dxa"/>
        <w:bottom w:w="0" w:type="dxa"/>
      </w:tblCellMar>
    </w:tblPr>
  </w:style>
  <w:style w:type="table" w:styleId="924" w:customStyle="1">
    <w:name w:val="Grid Table 3 - Accent 4"/>
    <w:uiPriority w:val="99"/>
    <w:qFormat/>
    <w:rPr>
      <w:rFonts w:ascii="Calibri" w:hAnsi="Calibri" w:eastAsia="宋体" w:cs="Times New Roman"/>
    </w:rPr>
    <w:tblPr>
      <w:tblCellMar>
        <w:left w:w="0" w:type="dxa"/>
        <w:top w:w="0" w:type="dxa"/>
        <w:right w:w="0" w:type="dxa"/>
        <w:bottom w:w="0" w:type="dxa"/>
      </w:tblCellMar>
    </w:tblPr>
  </w:style>
  <w:style w:type="table" w:styleId="925" w:customStyle="1">
    <w:name w:val="Grid Table 3 - Accent 5"/>
    <w:uiPriority w:val="99"/>
    <w:qFormat/>
    <w:rPr>
      <w:rFonts w:ascii="Calibri" w:hAnsi="Calibri" w:eastAsia="宋体" w:cs="Times New Roman"/>
    </w:rPr>
    <w:tblPr>
      <w:tblCellMar>
        <w:left w:w="0" w:type="dxa"/>
        <w:top w:w="0" w:type="dxa"/>
        <w:right w:w="0" w:type="dxa"/>
        <w:bottom w:w="0" w:type="dxa"/>
      </w:tblCellMar>
    </w:tblPr>
  </w:style>
  <w:style w:type="table" w:styleId="926" w:customStyle="1">
    <w:name w:val="Grid Table 3 - Accent 6"/>
    <w:uiPriority w:val="99"/>
    <w:qFormat/>
    <w:rPr>
      <w:rFonts w:ascii="Calibri" w:hAnsi="Calibri" w:eastAsia="宋体" w:cs="Times New Roman"/>
    </w:rPr>
    <w:tblPr>
      <w:tblCellMar>
        <w:left w:w="0" w:type="dxa"/>
        <w:top w:w="0" w:type="dxa"/>
        <w:right w:w="0" w:type="dxa"/>
        <w:bottom w:w="0" w:type="dxa"/>
      </w:tblCellMar>
    </w:tblPr>
  </w:style>
  <w:style w:type="table" w:styleId="927" w:customStyle="1">
    <w:name w:val="Grid Table 4"/>
    <w:uiPriority w:val="59"/>
    <w:qFormat/>
    <w:rPr>
      <w:rFonts w:ascii="Calibri" w:hAnsi="Calibri" w:eastAsia="宋体" w:cs="Times New Roman"/>
    </w:rPr>
    <w:tblPr>
      <w:tblCellMar>
        <w:left w:w="0" w:type="dxa"/>
        <w:top w:w="0" w:type="dxa"/>
        <w:right w:w="0" w:type="dxa"/>
        <w:bottom w:w="0" w:type="dxa"/>
      </w:tblCellMar>
    </w:tblPr>
  </w:style>
  <w:style w:type="table" w:styleId="928" w:customStyle="1">
    <w:name w:val="Grid Table 4 - Accent 1"/>
    <w:uiPriority w:val="59"/>
    <w:qFormat/>
    <w:rPr>
      <w:rFonts w:ascii="Calibri" w:hAnsi="Calibri" w:eastAsia="宋体" w:cs="Times New Roman"/>
    </w:rPr>
    <w:tblPr>
      <w:tblCellMar>
        <w:left w:w="0" w:type="dxa"/>
        <w:top w:w="0" w:type="dxa"/>
        <w:right w:w="0" w:type="dxa"/>
        <w:bottom w:w="0" w:type="dxa"/>
      </w:tblCellMar>
    </w:tblPr>
  </w:style>
  <w:style w:type="table" w:styleId="929" w:customStyle="1">
    <w:name w:val="Grid Table 4 - Accent 2"/>
    <w:uiPriority w:val="59"/>
    <w:qFormat/>
    <w:rPr>
      <w:rFonts w:ascii="Calibri" w:hAnsi="Calibri" w:eastAsia="宋体" w:cs="Times New Roman"/>
    </w:rPr>
    <w:tblPr>
      <w:tblCellMar>
        <w:left w:w="0" w:type="dxa"/>
        <w:top w:w="0" w:type="dxa"/>
        <w:right w:w="0" w:type="dxa"/>
        <w:bottom w:w="0" w:type="dxa"/>
      </w:tblCellMar>
    </w:tblPr>
  </w:style>
  <w:style w:type="table" w:styleId="930" w:customStyle="1">
    <w:name w:val="Grid Table 4 - Accent 3"/>
    <w:uiPriority w:val="59"/>
    <w:qFormat/>
    <w:rPr>
      <w:rFonts w:ascii="Calibri" w:hAnsi="Calibri" w:eastAsia="宋体" w:cs="Times New Roman"/>
    </w:rPr>
    <w:tblPr>
      <w:tblCellMar>
        <w:left w:w="0" w:type="dxa"/>
        <w:top w:w="0" w:type="dxa"/>
        <w:right w:w="0" w:type="dxa"/>
        <w:bottom w:w="0" w:type="dxa"/>
      </w:tblCellMar>
    </w:tblPr>
  </w:style>
  <w:style w:type="table" w:styleId="931" w:customStyle="1">
    <w:name w:val="Grid Table 4 - Accent 4"/>
    <w:uiPriority w:val="59"/>
    <w:qFormat/>
    <w:rPr>
      <w:rFonts w:ascii="Calibri" w:hAnsi="Calibri" w:eastAsia="宋体" w:cs="Times New Roman"/>
    </w:rPr>
    <w:tblPr>
      <w:tblCellMar>
        <w:left w:w="0" w:type="dxa"/>
        <w:top w:w="0" w:type="dxa"/>
        <w:right w:w="0" w:type="dxa"/>
        <w:bottom w:w="0" w:type="dxa"/>
      </w:tblCellMar>
    </w:tblPr>
  </w:style>
  <w:style w:type="table" w:styleId="932" w:customStyle="1">
    <w:name w:val="Grid Table 4 - Accent 5"/>
    <w:uiPriority w:val="59"/>
    <w:qFormat/>
    <w:rPr>
      <w:rFonts w:ascii="Calibri" w:hAnsi="Calibri" w:eastAsia="宋体" w:cs="Times New Roman"/>
    </w:rPr>
    <w:tblPr>
      <w:tblCellMar>
        <w:left w:w="0" w:type="dxa"/>
        <w:top w:w="0" w:type="dxa"/>
        <w:right w:w="0" w:type="dxa"/>
        <w:bottom w:w="0" w:type="dxa"/>
      </w:tblCellMar>
    </w:tblPr>
  </w:style>
  <w:style w:type="table" w:styleId="933" w:customStyle="1">
    <w:name w:val="Grid Table 4 - Accent 6"/>
    <w:uiPriority w:val="59"/>
    <w:qFormat/>
    <w:rPr>
      <w:rFonts w:ascii="Calibri" w:hAnsi="Calibri" w:eastAsia="宋体" w:cs="Times New Roman"/>
    </w:rPr>
    <w:tblPr>
      <w:tblCellMar>
        <w:left w:w="0" w:type="dxa"/>
        <w:top w:w="0" w:type="dxa"/>
        <w:right w:w="0" w:type="dxa"/>
        <w:bottom w:w="0" w:type="dxa"/>
      </w:tblCellMar>
    </w:tblPr>
  </w:style>
  <w:style w:type="table" w:styleId="934" w:customStyle="1">
    <w:name w:val="Grid Table 5 Dark"/>
    <w:uiPriority w:val="99"/>
    <w:qFormat/>
    <w:rPr>
      <w:rFonts w:ascii="Calibri" w:hAnsi="Calibri" w:eastAsia="宋体" w:cs="Times New Roman"/>
    </w:rPr>
    <w:tblPr>
      <w:tblCellMar>
        <w:left w:w="0" w:type="dxa"/>
        <w:top w:w="0" w:type="dxa"/>
        <w:right w:w="0" w:type="dxa"/>
        <w:bottom w:w="0" w:type="dxa"/>
      </w:tblCellMar>
    </w:tblPr>
  </w:style>
  <w:style w:type="table" w:styleId="935" w:customStyle="1">
    <w:name w:val="Grid Table 5 Dark- Accent 1"/>
    <w:uiPriority w:val="99"/>
    <w:qFormat/>
    <w:rPr>
      <w:rFonts w:ascii="Calibri" w:hAnsi="Calibri" w:eastAsia="宋体" w:cs="Times New Roman"/>
    </w:rPr>
    <w:tblPr>
      <w:tblCellMar>
        <w:left w:w="0" w:type="dxa"/>
        <w:top w:w="0" w:type="dxa"/>
        <w:right w:w="0" w:type="dxa"/>
        <w:bottom w:w="0" w:type="dxa"/>
      </w:tblCellMar>
    </w:tblPr>
  </w:style>
  <w:style w:type="table" w:styleId="936" w:customStyle="1">
    <w:name w:val="Grid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937" w:customStyle="1">
    <w:name w:val="Grid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938" w:customStyle="1">
    <w:name w:val="Grid Table 5 Dark- Accent 4"/>
    <w:uiPriority w:val="99"/>
    <w:qFormat/>
    <w:rPr>
      <w:rFonts w:ascii="Calibri" w:hAnsi="Calibri" w:eastAsia="宋体" w:cs="Times New Roman"/>
    </w:rPr>
    <w:tblPr>
      <w:tblCellMar>
        <w:left w:w="0" w:type="dxa"/>
        <w:top w:w="0" w:type="dxa"/>
        <w:right w:w="0" w:type="dxa"/>
        <w:bottom w:w="0" w:type="dxa"/>
      </w:tblCellMar>
    </w:tblPr>
  </w:style>
  <w:style w:type="table" w:styleId="939" w:customStyle="1">
    <w:name w:val="Grid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940" w:customStyle="1">
    <w:name w:val="Grid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941" w:customStyle="1">
    <w:name w:val="Grid Table 6 Colorful"/>
    <w:uiPriority w:val="99"/>
    <w:qFormat/>
    <w:rPr>
      <w:rFonts w:ascii="Calibri" w:hAnsi="Calibri" w:eastAsia="宋体" w:cs="Times New Roman"/>
    </w:rPr>
    <w:tblPr>
      <w:tblCellMar>
        <w:left w:w="0" w:type="dxa"/>
        <w:top w:w="0" w:type="dxa"/>
        <w:right w:w="0" w:type="dxa"/>
        <w:bottom w:w="0" w:type="dxa"/>
      </w:tblCellMar>
    </w:tblPr>
  </w:style>
  <w:style w:type="table" w:styleId="942" w:customStyle="1">
    <w:name w:val="Grid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943" w:customStyle="1">
    <w:name w:val="Grid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944" w:customStyle="1">
    <w:name w:val="Grid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945" w:customStyle="1">
    <w:name w:val="Grid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946" w:customStyle="1">
    <w:name w:val="Grid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947" w:customStyle="1">
    <w:name w:val="Grid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948" w:customStyle="1">
    <w:name w:val="Grid Table 7 Colorful"/>
    <w:uiPriority w:val="99"/>
    <w:qFormat/>
    <w:rPr>
      <w:rFonts w:ascii="Calibri" w:hAnsi="Calibri" w:eastAsia="宋体" w:cs="Times New Roman"/>
    </w:rPr>
    <w:tblPr>
      <w:tblCellMar>
        <w:left w:w="0" w:type="dxa"/>
        <w:top w:w="0" w:type="dxa"/>
        <w:right w:w="0" w:type="dxa"/>
        <w:bottom w:w="0" w:type="dxa"/>
      </w:tblCellMar>
    </w:tblPr>
  </w:style>
  <w:style w:type="table" w:styleId="949" w:customStyle="1">
    <w:name w:val="Grid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950" w:customStyle="1">
    <w:name w:val="Grid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951" w:customStyle="1">
    <w:name w:val="Grid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952" w:customStyle="1">
    <w:name w:val="Grid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953" w:customStyle="1">
    <w:name w:val="Grid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954" w:customStyle="1">
    <w:name w:val="Grid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955" w:customStyle="1">
    <w:name w:val="List Table 1 Light"/>
    <w:uiPriority w:val="99"/>
    <w:qFormat/>
    <w:rPr>
      <w:rFonts w:ascii="Calibri" w:hAnsi="Calibri" w:eastAsia="宋体" w:cs="Times New Roman"/>
    </w:rPr>
    <w:tblPr>
      <w:tblCellMar>
        <w:left w:w="0" w:type="dxa"/>
        <w:top w:w="0" w:type="dxa"/>
        <w:right w:w="0" w:type="dxa"/>
        <w:bottom w:w="0" w:type="dxa"/>
      </w:tblCellMar>
    </w:tblPr>
  </w:style>
  <w:style w:type="table" w:styleId="956"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57"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58"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59"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60"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61"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62" w:customStyle="1">
    <w:name w:val="List Table 2"/>
    <w:uiPriority w:val="99"/>
    <w:qFormat/>
    <w:rPr>
      <w:rFonts w:ascii="Calibri" w:hAnsi="Calibri" w:eastAsia="宋体" w:cs="Times New Roman"/>
    </w:rPr>
    <w:tblPr>
      <w:tblCellMar>
        <w:left w:w="0" w:type="dxa"/>
        <w:top w:w="0" w:type="dxa"/>
        <w:right w:w="0" w:type="dxa"/>
        <w:bottom w:w="0" w:type="dxa"/>
      </w:tblCellMar>
    </w:tblPr>
  </w:style>
  <w:style w:type="table" w:styleId="963" w:customStyle="1">
    <w:name w:val="List Table 2 - Accent 1"/>
    <w:uiPriority w:val="99"/>
    <w:qFormat/>
    <w:rPr>
      <w:rFonts w:ascii="Calibri" w:hAnsi="Calibri" w:eastAsia="宋体" w:cs="Times New Roman"/>
    </w:rPr>
    <w:tblPr>
      <w:tblCellMar>
        <w:left w:w="0" w:type="dxa"/>
        <w:top w:w="0" w:type="dxa"/>
        <w:right w:w="0" w:type="dxa"/>
        <w:bottom w:w="0" w:type="dxa"/>
      </w:tblCellMar>
    </w:tblPr>
  </w:style>
  <w:style w:type="table" w:styleId="964" w:customStyle="1">
    <w:name w:val="List Table 2 - Accent 2"/>
    <w:uiPriority w:val="99"/>
    <w:qFormat/>
    <w:rPr>
      <w:rFonts w:ascii="Calibri" w:hAnsi="Calibri" w:eastAsia="宋体" w:cs="Times New Roman"/>
    </w:rPr>
    <w:tblPr>
      <w:tblCellMar>
        <w:left w:w="0" w:type="dxa"/>
        <w:top w:w="0" w:type="dxa"/>
        <w:right w:w="0" w:type="dxa"/>
        <w:bottom w:w="0" w:type="dxa"/>
      </w:tblCellMar>
    </w:tblPr>
  </w:style>
  <w:style w:type="table" w:styleId="965" w:customStyle="1">
    <w:name w:val="List Table 2 - Accent 3"/>
    <w:uiPriority w:val="99"/>
    <w:qFormat/>
    <w:rPr>
      <w:rFonts w:ascii="Calibri" w:hAnsi="Calibri" w:eastAsia="宋体" w:cs="Times New Roman"/>
    </w:rPr>
    <w:tblPr>
      <w:tblCellMar>
        <w:left w:w="0" w:type="dxa"/>
        <w:top w:w="0" w:type="dxa"/>
        <w:right w:w="0" w:type="dxa"/>
        <w:bottom w:w="0" w:type="dxa"/>
      </w:tblCellMar>
    </w:tblPr>
  </w:style>
  <w:style w:type="table" w:styleId="966" w:customStyle="1">
    <w:name w:val="List Table 2 - Accent 4"/>
    <w:uiPriority w:val="99"/>
    <w:qFormat/>
    <w:rPr>
      <w:rFonts w:ascii="Calibri" w:hAnsi="Calibri" w:eastAsia="宋体" w:cs="Times New Roman"/>
    </w:rPr>
    <w:tblPr>
      <w:tblCellMar>
        <w:left w:w="0" w:type="dxa"/>
        <w:top w:w="0" w:type="dxa"/>
        <w:right w:w="0" w:type="dxa"/>
        <w:bottom w:w="0" w:type="dxa"/>
      </w:tblCellMar>
    </w:tblPr>
  </w:style>
  <w:style w:type="table" w:styleId="967" w:customStyle="1">
    <w:name w:val="List Table 2 - Accent 5"/>
    <w:uiPriority w:val="99"/>
    <w:qFormat/>
    <w:rPr>
      <w:rFonts w:ascii="Calibri" w:hAnsi="Calibri" w:eastAsia="宋体" w:cs="Times New Roman"/>
    </w:rPr>
    <w:tblPr>
      <w:tblCellMar>
        <w:left w:w="0" w:type="dxa"/>
        <w:top w:w="0" w:type="dxa"/>
        <w:right w:w="0" w:type="dxa"/>
        <w:bottom w:w="0" w:type="dxa"/>
      </w:tblCellMar>
    </w:tblPr>
  </w:style>
  <w:style w:type="table" w:styleId="968" w:customStyle="1">
    <w:name w:val="List Table 2 - Accent 6"/>
    <w:uiPriority w:val="99"/>
    <w:qFormat/>
    <w:rPr>
      <w:rFonts w:ascii="Calibri" w:hAnsi="Calibri" w:eastAsia="宋体" w:cs="Times New Roman"/>
    </w:rPr>
    <w:tblPr>
      <w:tblCellMar>
        <w:left w:w="0" w:type="dxa"/>
        <w:top w:w="0" w:type="dxa"/>
        <w:right w:w="0" w:type="dxa"/>
        <w:bottom w:w="0" w:type="dxa"/>
      </w:tblCellMar>
    </w:tblPr>
  </w:style>
  <w:style w:type="table" w:styleId="969" w:customStyle="1">
    <w:name w:val="List Table 3"/>
    <w:uiPriority w:val="99"/>
    <w:qFormat/>
    <w:rPr>
      <w:rFonts w:ascii="Calibri" w:hAnsi="Calibri" w:eastAsia="宋体" w:cs="Times New Roman"/>
    </w:rPr>
    <w:tblPr>
      <w:tblCellMar>
        <w:left w:w="0" w:type="dxa"/>
        <w:top w:w="0" w:type="dxa"/>
        <w:right w:w="0" w:type="dxa"/>
        <w:bottom w:w="0" w:type="dxa"/>
      </w:tblCellMar>
    </w:tblPr>
  </w:style>
  <w:style w:type="table" w:styleId="970" w:customStyle="1">
    <w:name w:val="List Table 3 - Accent 1"/>
    <w:uiPriority w:val="99"/>
    <w:qFormat/>
    <w:rPr>
      <w:rFonts w:ascii="Calibri" w:hAnsi="Calibri" w:eastAsia="宋体" w:cs="Times New Roman"/>
    </w:rPr>
    <w:tblPr>
      <w:tblCellMar>
        <w:left w:w="0" w:type="dxa"/>
        <w:top w:w="0" w:type="dxa"/>
        <w:right w:w="0" w:type="dxa"/>
        <w:bottom w:w="0" w:type="dxa"/>
      </w:tblCellMar>
    </w:tblPr>
  </w:style>
  <w:style w:type="table" w:styleId="971" w:customStyle="1">
    <w:name w:val="List Table 3 - Accent 2"/>
    <w:uiPriority w:val="99"/>
    <w:qFormat/>
    <w:rPr>
      <w:rFonts w:ascii="Calibri" w:hAnsi="Calibri" w:eastAsia="宋体" w:cs="Times New Roman"/>
    </w:rPr>
    <w:tblPr>
      <w:tblCellMar>
        <w:left w:w="0" w:type="dxa"/>
        <w:top w:w="0" w:type="dxa"/>
        <w:right w:w="0" w:type="dxa"/>
        <w:bottom w:w="0" w:type="dxa"/>
      </w:tblCellMar>
    </w:tblPr>
  </w:style>
  <w:style w:type="table" w:styleId="972" w:customStyle="1">
    <w:name w:val="List Table 3 - Accent 3"/>
    <w:uiPriority w:val="99"/>
    <w:qFormat/>
    <w:rPr>
      <w:rFonts w:ascii="Calibri" w:hAnsi="Calibri" w:eastAsia="宋体" w:cs="Times New Roman"/>
    </w:rPr>
    <w:tblPr>
      <w:tblCellMar>
        <w:left w:w="0" w:type="dxa"/>
        <w:top w:w="0" w:type="dxa"/>
        <w:right w:w="0" w:type="dxa"/>
        <w:bottom w:w="0" w:type="dxa"/>
      </w:tblCellMar>
    </w:tblPr>
  </w:style>
  <w:style w:type="table" w:styleId="973" w:customStyle="1">
    <w:name w:val="List Table 3 - Accent 4"/>
    <w:uiPriority w:val="99"/>
    <w:qFormat/>
    <w:rPr>
      <w:rFonts w:ascii="Calibri" w:hAnsi="Calibri" w:eastAsia="宋体" w:cs="Times New Roman"/>
    </w:rPr>
    <w:tblPr>
      <w:tblCellMar>
        <w:left w:w="0" w:type="dxa"/>
        <w:top w:w="0" w:type="dxa"/>
        <w:right w:w="0" w:type="dxa"/>
        <w:bottom w:w="0" w:type="dxa"/>
      </w:tblCellMar>
    </w:tblPr>
  </w:style>
  <w:style w:type="table" w:styleId="974" w:customStyle="1">
    <w:name w:val="List Table 3 - Accent 5"/>
    <w:uiPriority w:val="99"/>
    <w:qFormat/>
    <w:rPr>
      <w:rFonts w:ascii="Calibri" w:hAnsi="Calibri" w:eastAsia="宋体" w:cs="Times New Roman"/>
    </w:rPr>
    <w:tblPr>
      <w:tblCellMar>
        <w:left w:w="0" w:type="dxa"/>
        <w:top w:w="0" w:type="dxa"/>
        <w:right w:w="0" w:type="dxa"/>
        <w:bottom w:w="0" w:type="dxa"/>
      </w:tblCellMar>
    </w:tblPr>
  </w:style>
  <w:style w:type="table" w:styleId="975" w:customStyle="1">
    <w:name w:val="List Table 3 - Accent 6"/>
    <w:uiPriority w:val="99"/>
    <w:qFormat/>
    <w:rPr>
      <w:rFonts w:ascii="Calibri" w:hAnsi="Calibri" w:eastAsia="宋体" w:cs="Times New Roman"/>
    </w:rPr>
    <w:tblPr>
      <w:tblCellMar>
        <w:left w:w="0" w:type="dxa"/>
        <w:top w:w="0" w:type="dxa"/>
        <w:right w:w="0" w:type="dxa"/>
        <w:bottom w:w="0" w:type="dxa"/>
      </w:tblCellMar>
    </w:tblPr>
  </w:style>
  <w:style w:type="table" w:styleId="976" w:customStyle="1">
    <w:name w:val="List Table 4"/>
    <w:uiPriority w:val="99"/>
    <w:qFormat/>
    <w:rPr>
      <w:rFonts w:ascii="Calibri" w:hAnsi="Calibri" w:eastAsia="宋体" w:cs="Times New Roman"/>
    </w:rPr>
    <w:tblPr>
      <w:tblCellMar>
        <w:left w:w="0" w:type="dxa"/>
        <w:top w:w="0" w:type="dxa"/>
        <w:right w:w="0" w:type="dxa"/>
        <w:bottom w:w="0" w:type="dxa"/>
      </w:tblCellMar>
    </w:tblPr>
  </w:style>
  <w:style w:type="table" w:styleId="977" w:customStyle="1">
    <w:name w:val="List Table 4 - Accent 1"/>
    <w:uiPriority w:val="99"/>
    <w:qFormat/>
    <w:rPr>
      <w:rFonts w:ascii="Calibri" w:hAnsi="Calibri" w:eastAsia="宋体" w:cs="Times New Roman"/>
    </w:rPr>
    <w:tblPr>
      <w:tblCellMar>
        <w:left w:w="0" w:type="dxa"/>
        <w:top w:w="0" w:type="dxa"/>
        <w:right w:w="0" w:type="dxa"/>
        <w:bottom w:w="0" w:type="dxa"/>
      </w:tblCellMar>
    </w:tblPr>
  </w:style>
  <w:style w:type="table" w:styleId="978" w:customStyle="1">
    <w:name w:val="List Table 4 - Accent 2"/>
    <w:uiPriority w:val="99"/>
    <w:qFormat/>
    <w:rPr>
      <w:rFonts w:ascii="Calibri" w:hAnsi="Calibri" w:eastAsia="宋体" w:cs="Times New Roman"/>
    </w:rPr>
    <w:tblPr>
      <w:tblCellMar>
        <w:left w:w="0" w:type="dxa"/>
        <w:top w:w="0" w:type="dxa"/>
        <w:right w:w="0" w:type="dxa"/>
        <w:bottom w:w="0" w:type="dxa"/>
      </w:tblCellMar>
    </w:tblPr>
  </w:style>
  <w:style w:type="table" w:styleId="979" w:customStyle="1">
    <w:name w:val="List Table 4 - Accent 3"/>
    <w:uiPriority w:val="99"/>
    <w:qFormat/>
    <w:rPr>
      <w:rFonts w:ascii="Calibri" w:hAnsi="Calibri" w:eastAsia="宋体" w:cs="Times New Roman"/>
    </w:rPr>
    <w:tblPr>
      <w:tblCellMar>
        <w:left w:w="0" w:type="dxa"/>
        <w:top w:w="0" w:type="dxa"/>
        <w:right w:w="0" w:type="dxa"/>
        <w:bottom w:w="0" w:type="dxa"/>
      </w:tblCellMar>
    </w:tblPr>
  </w:style>
  <w:style w:type="table" w:styleId="980" w:customStyle="1">
    <w:name w:val="List Table 4 - Accent 4"/>
    <w:uiPriority w:val="99"/>
    <w:qFormat/>
    <w:rPr>
      <w:rFonts w:ascii="Calibri" w:hAnsi="Calibri" w:eastAsia="宋体" w:cs="Times New Roman"/>
    </w:rPr>
    <w:tblPr>
      <w:tblCellMar>
        <w:left w:w="0" w:type="dxa"/>
        <w:top w:w="0" w:type="dxa"/>
        <w:right w:w="0" w:type="dxa"/>
        <w:bottom w:w="0" w:type="dxa"/>
      </w:tblCellMar>
    </w:tblPr>
  </w:style>
  <w:style w:type="table" w:styleId="981" w:customStyle="1">
    <w:name w:val="List Table 4 - Accent 5"/>
    <w:uiPriority w:val="99"/>
    <w:qFormat/>
    <w:rPr>
      <w:rFonts w:ascii="Calibri" w:hAnsi="Calibri" w:eastAsia="宋体" w:cs="Times New Roman"/>
    </w:rPr>
    <w:tblPr>
      <w:tblCellMar>
        <w:left w:w="0" w:type="dxa"/>
        <w:top w:w="0" w:type="dxa"/>
        <w:right w:w="0" w:type="dxa"/>
        <w:bottom w:w="0" w:type="dxa"/>
      </w:tblCellMar>
    </w:tblPr>
  </w:style>
  <w:style w:type="table" w:styleId="982" w:customStyle="1">
    <w:name w:val="List Table 4 - Accent 6"/>
    <w:uiPriority w:val="99"/>
    <w:qFormat/>
    <w:rPr>
      <w:rFonts w:ascii="Calibri" w:hAnsi="Calibri" w:eastAsia="宋体" w:cs="Times New Roman"/>
    </w:rPr>
    <w:tblPr>
      <w:tblCellMar>
        <w:left w:w="0" w:type="dxa"/>
        <w:top w:w="0" w:type="dxa"/>
        <w:right w:w="0" w:type="dxa"/>
        <w:bottom w:w="0" w:type="dxa"/>
      </w:tblCellMar>
    </w:tblPr>
  </w:style>
  <w:style w:type="table" w:styleId="983" w:customStyle="1">
    <w:name w:val="List Table 5 Dark"/>
    <w:uiPriority w:val="99"/>
    <w:qFormat/>
    <w:rPr>
      <w:rFonts w:ascii="Calibri" w:hAnsi="Calibri" w:eastAsia="宋体" w:cs="Times New Roman"/>
    </w:rPr>
    <w:tblPr>
      <w:tblCellMar>
        <w:left w:w="0" w:type="dxa"/>
        <w:top w:w="0" w:type="dxa"/>
        <w:right w:w="0" w:type="dxa"/>
        <w:bottom w:w="0" w:type="dxa"/>
      </w:tblCellMar>
    </w:tblPr>
  </w:style>
  <w:style w:type="table" w:styleId="984" w:customStyle="1">
    <w:name w:val="List Table 5 Dark - Accent 1"/>
    <w:uiPriority w:val="99"/>
    <w:qFormat/>
    <w:rPr>
      <w:rFonts w:ascii="Calibri" w:hAnsi="Calibri" w:eastAsia="宋体" w:cs="Times New Roman"/>
    </w:rPr>
    <w:tblPr>
      <w:tblCellMar>
        <w:left w:w="0" w:type="dxa"/>
        <w:top w:w="0" w:type="dxa"/>
        <w:right w:w="0" w:type="dxa"/>
        <w:bottom w:w="0" w:type="dxa"/>
      </w:tblCellMar>
    </w:tblPr>
  </w:style>
  <w:style w:type="table" w:styleId="985" w:customStyle="1">
    <w:name w:val="List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986" w:customStyle="1">
    <w:name w:val="List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987" w:customStyle="1">
    <w:name w:val="List Table 5 Dark - Accent 4"/>
    <w:uiPriority w:val="99"/>
    <w:qFormat/>
    <w:rPr>
      <w:rFonts w:ascii="Calibri" w:hAnsi="Calibri" w:eastAsia="宋体" w:cs="Times New Roman"/>
    </w:rPr>
    <w:tblPr>
      <w:tblCellMar>
        <w:left w:w="0" w:type="dxa"/>
        <w:top w:w="0" w:type="dxa"/>
        <w:right w:w="0" w:type="dxa"/>
        <w:bottom w:w="0" w:type="dxa"/>
      </w:tblCellMar>
    </w:tblPr>
  </w:style>
  <w:style w:type="table" w:styleId="988" w:customStyle="1">
    <w:name w:val="List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989" w:customStyle="1">
    <w:name w:val="List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990" w:customStyle="1">
    <w:name w:val="List Table 6 Colorful"/>
    <w:uiPriority w:val="99"/>
    <w:qFormat/>
    <w:rPr>
      <w:rFonts w:ascii="Calibri" w:hAnsi="Calibri" w:eastAsia="宋体" w:cs="Times New Roman"/>
    </w:rPr>
    <w:tblPr>
      <w:tblCellMar>
        <w:left w:w="0" w:type="dxa"/>
        <w:top w:w="0" w:type="dxa"/>
        <w:right w:w="0" w:type="dxa"/>
        <w:bottom w:w="0" w:type="dxa"/>
      </w:tblCellMar>
    </w:tblPr>
  </w:style>
  <w:style w:type="table" w:styleId="991" w:customStyle="1">
    <w:name w:val="List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992" w:customStyle="1">
    <w:name w:val="List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993" w:customStyle="1">
    <w:name w:val="List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994" w:customStyle="1">
    <w:name w:val="List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995" w:customStyle="1">
    <w:name w:val="List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996" w:customStyle="1">
    <w:name w:val="List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997" w:customStyle="1">
    <w:name w:val="List Table 7 Colorful"/>
    <w:uiPriority w:val="99"/>
    <w:qFormat/>
    <w:rPr>
      <w:rFonts w:ascii="Calibri" w:hAnsi="Calibri" w:eastAsia="宋体" w:cs="Times New Roman"/>
    </w:rPr>
    <w:tblPr>
      <w:tblCellMar>
        <w:left w:w="0" w:type="dxa"/>
        <w:top w:w="0" w:type="dxa"/>
        <w:right w:w="0" w:type="dxa"/>
        <w:bottom w:w="0" w:type="dxa"/>
      </w:tblCellMar>
    </w:tblPr>
  </w:style>
  <w:style w:type="table" w:styleId="998" w:customStyle="1">
    <w:name w:val="List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999" w:customStyle="1">
    <w:name w:val="List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00" w:customStyle="1">
    <w:name w:val="List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01" w:customStyle="1">
    <w:name w:val="List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02" w:customStyle="1">
    <w:name w:val="List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03" w:customStyle="1">
    <w:name w:val="List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04"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05"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06"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07"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08"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09"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0"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1" w:customStyle="1">
    <w:name w:val="Bordered &amp; 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2" w:customStyle="1">
    <w:name w:val="Bordered &amp; 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3" w:customStyle="1">
    <w:name w:val="Bordered &amp; 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4" w:customStyle="1">
    <w:name w:val="Bordered &amp; 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5" w:customStyle="1">
    <w:name w:val="Bordered &amp; 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6" w:customStyle="1">
    <w:name w:val="Bordered &amp; 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7" w:customStyle="1">
    <w:name w:val="Bordered &amp; 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18" w:customStyle="1">
    <w:name w:val="Bordered"/>
    <w:uiPriority w:val="99"/>
    <w:qFormat/>
    <w:rPr>
      <w:rFonts w:ascii="Calibri" w:hAnsi="Calibri" w:eastAsia="宋体" w:cs="Times New Roman"/>
    </w:rPr>
    <w:tblPr>
      <w:tblCellMar>
        <w:left w:w="0" w:type="dxa"/>
        <w:top w:w="0" w:type="dxa"/>
        <w:right w:w="0" w:type="dxa"/>
        <w:bottom w:w="0" w:type="dxa"/>
      </w:tblCellMar>
    </w:tblPr>
  </w:style>
  <w:style w:type="table" w:styleId="1019" w:customStyle="1">
    <w:name w:val="Bordered - Accent 1"/>
    <w:uiPriority w:val="99"/>
    <w:qFormat/>
    <w:rPr>
      <w:rFonts w:ascii="Calibri" w:hAnsi="Calibri" w:eastAsia="宋体" w:cs="Times New Roman"/>
    </w:rPr>
    <w:tblPr>
      <w:tblCellMar>
        <w:left w:w="0" w:type="dxa"/>
        <w:top w:w="0" w:type="dxa"/>
        <w:right w:w="0" w:type="dxa"/>
        <w:bottom w:w="0" w:type="dxa"/>
      </w:tblCellMar>
    </w:tblPr>
  </w:style>
  <w:style w:type="table" w:styleId="1020" w:customStyle="1">
    <w:name w:val="Bordered - Accent 2"/>
    <w:uiPriority w:val="99"/>
    <w:qFormat/>
    <w:rPr>
      <w:rFonts w:ascii="Calibri" w:hAnsi="Calibri" w:eastAsia="宋体" w:cs="Times New Roman"/>
    </w:rPr>
    <w:tblPr>
      <w:tblCellMar>
        <w:left w:w="0" w:type="dxa"/>
        <w:top w:w="0" w:type="dxa"/>
        <w:right w:w="0" w:type="dxa"/>
        <w:bottom w:w="0" w:type="dxa"/>
      </w:tblCellMar>
    </w:tblPr>
  </w:style>
  <w:style w:type="table" w:styleId="1021" w:customStyle="1">
    <w:name w:val="Bordered - Accent 3"/>
    <w:uiPriority w:val="99"/>
    <w:qFormat/>
    <w:rPr>
      <w:rFonts w:ascii="Calibri" w:hAnsi="Calibri" w:eastAsia="宋体" w:cs="Times New Roman"/>
    </w:rPr>
    <w:tblPr>
      <w:tblCellMar>
        <w:left w:w="0" w:type="dxa"/>
        <w:top w:w="0" w:type="dxa"/>
        <w:right w:w="0" w:type="dxa"/>
        <w:bottom w:w="0" w:type="dxa"/>
      </w:tblCellMar>
    </w:tblPr>
  </w:style>
  <w:style w:type="table" w:styleId="1022" w:customStyle="1">
    <w:name w:val="Bordered - Accent 4"/>
    <w:uiPriority w:val="99"/>
    <w:qFormat/>
    <w:rPr>
      <w:rFonts w:ascii="Calibri" w:hAnsi="Calibri" w:eastAsia="宋体" w:cs="Times New Roman"/>
    </w:rPr>
    <w:tblPr>
      <w:tblCellMar>
        <w:left w:w="0" w:type="dxa"/>
        <w:top w:w="0" w:type="dxa"/>
        <w:right w:w="0" w:type="dxa"/>
        <w:bottom w:w="0" w:type="dxa"/>
      </w:tblCellMar>
    </w:tblPr>
  </w:style>
  <w:style w:type="table" w:styleId="1023" w:customStyle="1">
    <w:name w:val="Bordered - Accent 5"/>
    <w:uiPriority w:val="99"/>
    <w:qFormat/>
    <w:rPr>
      <w:rFonts w:ascii="Calibri" w:hAnsi="Calibri" w:eastAsia="宋体" w:cs="Times New Roman"/>
    </w:rPr>
    <w:tblPr>
      <w:tblCellMar>
        <w:left w:w="0" w:type="dxa"/>
        <w:top w:w="0" w:type="dxa"/>
        <w:right w:w="0" w:type="dxa"/>
        <w:bottom w:w="0" w:type="dxa"/>
      </w:tblCellMar>
    </w:tblPr>
  </w:style>
  <w:style w:type="table" w:styleId="1024" w:customStyle="1">
    <w:name w:val="Bordered - Accent 6"/>
    <w:uiPriority w:val="99"/>
    <w:qFormat/>
    <w:rPr>
      <w:rFonts w:ascii="Calibri" w:hAnsi="Calibri" w:eastAsia="宋体" w:cs="Times New Roman"/>
    </w:rPr>
    <w:tblPr>
      <w:tblCellMar>
        <w:left w:w="0" w:type="dxa"/>
        <w:top w:w="0" w:type="dxa"/>
        <w:right w:w="0" w:type="dxa"/>
        <w:bottom w:w="0" w:type="dxa"/>
      </w:tblCellMar>
    </w:tblPr>
  </w:style>
  <w:style w:type="paragraph" w:styleId="1025" w:customStyle="1">
    <w:name w:val="TOC 标题1"/>
    <w:uiPriority w:val="39"/>
    <w:unhideWhenUsed/>
    <w:qFormat/>
    <w:rPr>
      <w:rFonts w:ascii="Calibri" w:hAnsi="Calibri" w:eastAsia="宋体" w:cs="Times New Roman"/>
      <w:lang w:val="en-US" w:eastAsia="zh-CN" w:bidi="ar-SA"/>
    </w:rPr>
  </w:style>
  <w:style w:type="paragraph" w:styleId="1026" w:customStyle="1">
    <w:name w:val="标题 11"/>
    <w:basedOn w:val="717"/>
    <w:next w:val="717"/>
    <w:link w:val="1027"/>
    <w:uiPriority w:val="0"/>
    <w:qFormat/>
    <w:pPr>
      <w:jc w:val="center"/>
      <w:keepNext/>
      <w:outlineLvl w:val="0"/>
    </w:pPr>
    <w:rPr>
      <w:rFonts w:ascii="楷体_GB2312" w:hAnsi="Times New Roman" w:eastAsia="楷体_GB2312" w:cs="Times New Roman"/>
      <w:sz w:val="28"/>
      <w:szCs w:val="28"/>
      <w:lang w:eastAsia="en-US"/>
    </w:rPr>
  </w:style>
  <w:style w:type="character" w:styleId="1027" w:customStyle="1">
    <w:name w:val="标题 1 Char"/>
    <w:link w:val="1026"/>
    <w:uiPriority w:val="0"/>
    <w:qFormat/>
    <w:rPr>
      <w:rFonts w:ascii="楷体_GB2312" w:hAnsi="Times New Roman" w:eastAsia="楷体_GB2312" w:cs="Times New Roman"/>
      <w:sz w:val="28"/>
      <w:szCs w:val="28"/>
      <w:lang w:eastAsia="en-US"/>
    </w:rPr>
  </w:style>
  <w:style w:type="paragraph" w:styleId="1028" w:customStyle="1">
    <w:name w:val="标题 21"/>
    <w:basedOn w:val="717"/>
    <w:next w:val="1029"/>
    <w:link w:val="1030"/>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29" w:customStyle="1">
    <w:name w:val="正文缩进1"/>
    <w:basedOn w:val="717"/>
    <w:link w:val="1031"/>
    <w:uiPriority w:val="0"/>
    <w:qFormat/>
    <w:pPr>
      <w:ind w:firstLine="420"/>
    </w:pPr>
    <w:rPr>
      <w:rFonts w:ascii="Times New Roman" w:hAnsi="Times New Roman" w:eastAsia="宋体" w:cs="Times New Roman"/>
      <w:sz w:val="20"/>
      <w:szCs w:val="21"/>
      <w:lang w:eastAsia="en-US"/>
    </w:rPr>
  </w:style>
  <w:style w:type="character" w:styleId="1030" w:customStyle="1">
    <w:name w:val="标题 2 Char"/>
    <w:link w:val="1028"/>
    <w:uiPriority w:val="0"/>
    <w:qFormat/>
    <w:rPr>
      <w:rFonts w:ascii="Arial" w:hAnsi="Arial" w:eastAsia="幼圆" w:cs="Times New Roman"/>
      <w:b/>
      <w:bCs/>
      <w:sz w:val="44"/>
      <w:szCs w:val="44"/>
      <w:lang w:eastAsia="en-US"/>
    </w:rPr>
  </w:style>
  <w:style w:type="character" w:styleId="1031" w:customStyle="1">
    <w:name w:val="正文缩进 Char"/>
    <w:link w:val="1029"/>
    <w:uiPriority w:val="0"/>
    <w:qFormat/>
    <w:rPr>
      <w:rFonts w:ascii="Times New Roman" w:hAnsi="Times New Roman" w:eastAsia="宋体" w:cs="Times New Roman"/>
      <w:szCs w:val="21"/>
      <w:lang w:eastAsia="en-US"/>
    </w:rPr>
  </w:style>
  <w:style w:type="paragraph" w:styleId="1032" w:customStyle="1">
    <w:name w:val="标题 41"/>
    <w:basedOn w:val="717"/>
    <w:next w:val="1029"/>
    <w:link w:val="1033"/>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33" w:customStyle="1">
    <w:name w:val="标题 4 Char"/>
    <w:link w:val="1032"/>
    <w:uiPriority w:val="0"/>
    <w:qFormat/>
    <w:rPr>
      <w:rFonts w:ascii="Arial" w:hAnsi="Arial" w:eastAsia="黑体" w:cs="Times New Roman"/>
      <w:b/>
      <w:bCs/>
      <w:sz w:val="28"/>
      <w:szCs w:val="28"/>
      <w:lang w:eastAsia="en-US"/>
    </w:rPr>
  </w:style>
  <w:style w:type="paragraph" w:styleId="1034" w:customStyle="1">
    <w:name w:val="标题 51"/>
    <w:basedOn w:val="717"/>
    <w:next w:val="1029"/>
    <w:link w:val="1035"/>
    <w:uiPriority w:val="0"/>
    <w:qFormat/>
    <w:pPr>
      <w:keepNext/>
      <w:outlineLvl w:val="4"/>
    </w:pPr>
    <w:rPr>
      <w:rFonts w:ascii="宋体" w:hAnsi="Times New Roman" w:eastAsia="宋体" w:cs="Times New Roman"/>
      <w:color w:val="000000"/>
      <w:sz w:val="28"/>
      <w:szCs w:val="28"/>
      <w:lang w:eastAsia="en-US"/>
    </w:rPr>
  </w:style>
  <w:style w:type="character" w:styleId="1035" w:customStyle="1">
    <w:name w:val="标题 5 Char"/>
    <w:link w:val="1034"/>
    <w:uiPriority w:val="0"/>
    <w:qFormat/>
    <w:rPr>
      <w:rFonts w:ascii="宋体" w:hAnsi="Times New Roman" w:eastAsia="宋体" w:cs="Times New Roman"/>
      <w:color w:val="000000"/>
      <w:sz w:val="28"/>
      <w:szCs w:val="28"/>
      <w:lang w:eastAsia="en-US"/>
    </w:rPr>
  </w:style>
  <w:style w:type="paragraph" w:styleId="1036" w:customStyle="1">
    <w:name w:val="标题 61"/>
    <w:basedOn w:val="717"/>
    <w:next w:val="717"/>
    <w:link w:val="1037"/>
    <w:uiPriority w:val="0"/>
    <w:qFormat/>
    <w:pPr>
      <w:numPr>
        <w:ilvl w:val="5"/>
        <w:numId w:val="2"/>
      </w:numPr>
      <w:keepLines/>
      <w:keepNext/>
      <w:spacing w:before="240" w:after="64" w:line="320" w:lineRule="auto"/>
      <w:outlineLvl w:val="5"/>
    </w:pPr>
    <w:rPr>
      <w:rFonts w:ascii="Arial" w:hAnsi="Arial" w:eastAsia="黑体" w:cs="Times New Roman"/>
      <w:b/>
      <w:bCs/>
      <w:sz w:val="24"/>
      <w:szCs w:val="24"/>
      <w:lang w:eastAsia="en-US"/>
    </w:rPr>
  </w:style>
  <w:style w:type="character" w:styleId="1037" w:customStyle="1">
    <w:name w:val="标题 6 Char"/>
    <w:link w:val="1036"/>
    <w:uiPriority w:val="0"/>
    <w:qFormat/>
    <w:rPr>
      <w:rFonts w:ascii="Arial" w:hAnsi="Arial" w:eastAsia="黑体" w:cs="Times New Roman"/>
      <w:b/>
      <w:bCs/>
      <w:sz w:val="24"/>
      <w:szCs w:val="24"/>
      <w:lang w:eastAsia="en-US"/>
    </w:rPr>
  </w:style>
  <w:style w:type="paragraph" w:styleId="1038" w:customStyle="1">
    <w:name w:val="标题 71"/>
    <w:basedOn w:val="717"/>
    <w:next w:val="717"/>
    <w:link w:val="1039"/>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39" w:customStyle="1">
    <w:name w:val="标题 7 Char"/>
    <w:link w:val="1038"/>
    <w:uiPriority w:val="0"/>
    <w:qFormat/>
    <w:rPr>
      <w:rFonts w:ascii="Times New Roman" w:hAnsi="Times New Roman" w:eastAsia="宋体" w:cs="Times New Roman"/>
      <w:b/>
      <w:bCs/>
      <w:sz w:val="24"/>
      <w:szCs w:val="24"/>
      <w:lang w:eastAsia="en-US"/>
    </w:rPr>
  </w:style>
  <w:style w:type="paragraph" w:styleId="1040" w:customStyle="1">
    <w:name w:val="标题 81"/>
    <w:basedOn w:val="717"/>
    <w:next w:val="717"/>
    <w:link w:val="1041"/>
    <w:uiPriority w:val="0"/>
    <w:qFormat/>
    <w:pPr>
      <w:numPr>
        <w:ilvl w:val="7"/>
        <w:numId w:val="2"/>
      </w:numPr>
      <w:keepLines/>
      <w:keepNext/>
      <w:spacing w:before="240" w:after="64" w:line="320" w:lineRule="auto"/>
      <w:outlineLvl w:val="7"/>
    </w:pPr>
    <w:rPr>
      <w:rFonts w:ascii="Arial" w:hAnsi="Arial" w:eastAsia="黑体" w:cs="Times New Roman"/>
      <w:sz w:val="24"/>
      <w:szCs w:val="24"/>
      <w:lang w:eastAsia="en-US"/>
    </w:rPr>
  </w:style>
  <w:style w:type="character" w:styleId="1041" w:customStyle="1">
    <w:name w:val="标题 8 Char"/>
    <w:link w:val="1040"/>
    <w:uiPriority w:val="0"/>
    <w:qFormat/>
    <w:rPr>
      <w:rFonts w:ascii="Arial" w:hAnsi="Arial" w:eastAsia="黑体" w:cs="Times New Roman"/>
      <w:sz w:val="24"/>
      <w:szCs w:val="24"/>
      <w:lang w:eastAsia="en-US"/>
    </w:rPr>
  </w:style>
  <w:style w:type="paragraph" w:styleId="1042" w:customStyle="1">
    <w:name w:val="标题 91"/>
    <w:basedOn w:val="717"/>
    <w:next w:val="717"/>
    <w:link w:val="1043"/>
    <w:uiPriority w:val="0"/>
    <w:qFormat/>
    <w:pPr>
      <w:numPr>
        <w:ilvl w:val="8"/>
        <w:numId w:val="2"/>
      </w:numPr>
      <w:keepLines/>
      <w:keepNext/>
      <w:spacing w:before="240" w:after="64" w:line="320" w:lineRule="auto"/>
      <w:outlineLvl w:val="8"/>
    </w:pPr>
    <w:rPr>
      <w:rFonts w:ascii="Arial" w:hAnsi="Arial" w:eastAsia="黑体" w:cs="Times New Roman"/>
      <w:sz w:val="20"/>
      <w:szCs w:val="21"/>
      <w:lang w:eastAsia="en-US"/>
    </w:rPr>
  </w:style>
  <w:style w:type="character" w:styleId="1043" w:customStyle="1">
    <w:name w:val="标题 9 Char"/>
    <w:link w:val="1042"/>
    <w:uiPriority w:val="0"/>
    <w:qFormat/>
    <w:rPr>
      <w:rFonts w:ascii="Arial" w:hAnsi="Arial" w:eastAsia="黑体" w:cs="Times New Roman"/>
      <w:szCs w:val="21"/>
      <w:lang w:eastAsia="en-US"/>
    </w:rPr>
  </w:style>
  <w:style w:type="character" w:styleId="1044" w:customStyle="1">
    <w:name w:val="默认段落字体1"/>
    <w:uiPriority w:val="1"/>
    <w:unhideWhenUsed/>
    <w:qFormat/>
  </w:style>
  <w:style w:type="table" w:styleId="1045" w:customStyle="1">
    <w:name w:val="普通表格1"/>
    <w:uiPriority w:val="99"/>
    <w:unhideWhenUsed/>
    <w:qFormat/>
    <w:rPr>
      <w:rFonts w:ascii="Calibri" w:hAnsi="Calibri" w:eastAsia="宋体" w:cs="Times New Roman"/>
    </w:rPr>
    <w:tblPr>
      <w:tblCellMar>
        <w:left w:w="0" w:type="dxa"/>
        <w:top w:w="0" w:type="dxa"/>
        <w:right w:w="0" w:type="dxa"/>
        <w:bottom w:w="0" w:type="dxa"/>
      </w:tblCellMar>
    </w:tblPr>
  </w:style>
  <w:style w:type="paragraph" w:styleId="1046" w:customStyle="1">
    <w:name w:val="列表 31"/>
    <w:basedOn w:val="717"/>
    <w:uiPriority w:val="0"/>
    <w:qFormat/>
    <w:pPr>
      <w:ind w:left="100" w:hanging="200"/>
    </w:pPr>
    <w:rPr>
      <w:rFonts w:ascii="Times New Roman" w:hAnsi="Times New Roman" w:eastAsia="宋体" w:cs="Times New Roman"/>
      <w:szCs w:val="21"/>
    </w:rPr>
  </w:style>
  <w:style w:type="paragraph" w:styleId="1047"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1048" w:customStyle="1">
    <w:name w:val="文档结构图1"/>
    <w:basedOn w:val="717"/>
    <w:link w:val="1049"/>
    <w:uiPriority w:val="0"/>
    <w:semiHidden/>
    <w:qFormat/>
    <w:pPr>
      <w:shd w:val="clear" w:color="auto" w:fill="000080"/>
    </w:pPr>
    <w:rPr>
      <w:rFonts w:ascii="Times New Roman" w:hAnsi="Times New Roman" w:eastAsia="宋体" w:cs="Times New Roman"/>
      <w:sz w:val="20"/>
      <w:szCs w:val="21"/>
      <w:lang w:eastAsia="en-US"/>
    </w:rPr>
  </w:style>
  <w:style w:type="character" w:styleId="1049" w:customStyle="1">
    <w:name w:val="文档结构图 Char"/>
    <w:link w:val="1048"/>
    <w:uiPriority w:val="0"/>
    <w:semiHidden/>
    <w:qFormat/>
    <w:rPr>
      <w:rFonts w:ascii="Times New Roman" w:hAnsi="Times New Roman" w:eastAsia="宋体" w:cs="Times New Roman"/>
      <w:szCs w:val="21"/>
      <w:shd w:val="clear" w:color="auto" w:fill="000080"/>
      <w:lang w:eastAsia="en-US"/>
    </w:rPr>
  </w:style>
  <w:style w:type="paragraph" w:styleId="1050" w:customStyle="1">
    <w:name w:val="批注文字1"/>
    <w:basedOn w:val="717"/>
    <w:link w:val="1051"/>
    <w:uiPriority w:val="0"/>
    <w:semiHidden/>
    <w:qFormat/>
    <w:pPr>
      <w:jc w:val="left"/>
    </w:pPr>
    <w:rPr>
      <w:rFonts w:ascii="Times New Roman" w:hAnsi="Times New Roman" w:eastAsia="宋体" w:cs="Times New Roman"/>
      <w:sz w:val="20"/>
      <w:szCs w:val="21"/>
      <w:lang w:eastAsia="en-US"/>
    </w:rPr>
  </w:style>
  <w:style w:type="character" w:styleId="1051" w:customStyle="1">
    <w:name w:val="批注文字 Char"/>
    <w:link w:val="1050"/>
    <w:uiPriority w:val="0"/>
    <w:semiHidden/>
    <w:qFormat/>
    <w:rPr>
      <w:rFonts w:ascii="Times New Roman" w:hAnsi="Times New Roman" w:eastAsia="宋体" w:cs="Times New Roman"/>
      <w:szCs w:val="21"/>
      <w:lang w:eastAsia="en-US"/>
    </w:rPr>
  </w:style>
  <w:style w:type="paragraph" w:styleId="1052" w:customStyle="1">
    <w:name w:val="正文文本 31"/>
    <w:basedOn w:val="717"/>
    <w:link w:val="1053"/>
    <w:uiPriority w:val="0"/>
    <w:qFormat/>
    <w:rPr>
      <w:rFonts w:ascii="仿宋_GB2312" w:hAnsi="Arial" w:eastAsia="仿宋_GB2312" w:cs="Times New Roman"/>
      <w:sz w:val="32"/>
      <w:szCs w:val="32"/>
      <w:lang w:eastAsia="en-US"/>
    </w:rPr>
  </w:style>
  <w:style w:type="character" w:styleId="1053" w:customStyle="1">
    <w:name w:val="正文文本 3 Char"/>
    <w:link w:val="1052"/>
    <w:uiPriority w:val="0"/>
    <w:qFormat/>
    <w:rPr>
      <w:rFonts w:ascii="仿宋_GB2312" w:hAnsi="Arial" w:eastAsia="仿宋_GB2312" w:cs="Times New Roman"/>
      <w:sz w:val="32"/>
      <w:szCs w:val="32"/>
      <w:lang w:eastAsia="en-US"/>
    </w:rPr>
  </w:style>
  <w:style w:type="paragraph" w:styleId="1054" w:customStyle="1">
    <w:name w:val="正文文本1"/>
    <w:basedOn w:val="717"/>
    <w:link w:val="1055"/>
    <w:uiPriority w:val="0"/>
    <w:qFormat/>
    <w:rPr>
      <w:rFonts w:ascii="楷体_GB2312" w:hAnsi="Arial" w:eastAsia="楷体_GB2312" w:cs="Times New Roman"/>
      <w:sz w:val="28"/>
      <w:szCs w:val="28"/>
      <w:lang w:eastAsia="en-US"/>
    </w:rPr>
  </w:style>
  <w:style w:type="character" w:styleId="1055" w:customStyle="1">
    <w:name w:val="正文文本 Char"/>
    <w:link w:val="1054"/>
    <w:uiPriority w:val="0"/>
    <w:qFormat/>
    <w:rPr>
      <w:rFonts w:ascii="楷体_GB2312" w:hAnsi="Arial" w:eastAsia="楷体_GB2312" w:cs="Times New Roman"/>
      <w:sz w:val="28"/>
      <w:szCs w:val="28"/>
      <w:lang w:eastAsia="en-US"/>
    </w:rPr>
  </w:style>
  <w:style w:type="paragraph" w:styleId="1056" w:customStyle="1">
    <w:name w:val="正文文本缩进1"/>
    <w:basedOn w:val="717"/>
    <w:link w:val="1057"/>
    <w:uiPriority w:val="0"/>
    <w:qFormat/>
    <w:pPr>
      <w:ind w:firstLine="645"/>
    </w:pPr>
    <w:rPr>
      <w:rFonts w:ascii="楷体_GB2312" w:hAnsi="Times New Roman" w:eastAsia="楷体_GB2312" w:cs="Times New Roman"/>
      <w:sz w:val="32"/>
      <w:szCs w:val="32"/>
      <w:lang w:eastAsia="en-US"/>
    </w:rPr>
  </w:style>
  <w:style w:type="character" w:styleId="1057" w:customStyle="1">
    <w:name w:val="正文文本缩进 Char"/>
    <w:link w:val="1056"/>
    <w:uiPriority w:val="0"/>
    <w:qFormat/>
    <w:rPr>
      <w:rFonts w:ascii="楷体_GB2312" w:hAnsi="Times New Roman" w:eastAsia="楷体_GB2312" w:cs="Times New Roman"/>
      <w:sz w:val="32"/>
      <w:szCs w:val="32"/>
      <w:lang w:eastAsia="en-US"/>
    </w:rPr>
  </w:style>
  <w:style w:type="paragraph" w:styleId="1058" w:customStyle="1">
    <w:name w:val="列表 21"/>
    <w:basedOn w:val="717"/>
    <w:uiPriority w:val="0"/>
    <w:qFormat/>
    <w:pPr>
      <w:ind w:left="100" w:hanging="200"/>
    </w:pPr>
    <w:rPr>
      <w:rFonts w:ascii="Times New Roman" w:hAnsi="Times New Roman" w:eastAsia="宋体" w:cs="Times New Roman"/>
      <w:szCs w:val="21"/>
    </w:rPr>
  </w:style>
  <w:style w:type="paragraph" w:styleId="1059"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1060"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1061" w:customStyle="1">
    <w:name w:val="纯文本1"/>
    <w:basedOn w:val="717"/>
    <w:link w:val="1062"/>
    <w:uiPriority w:val="0"/>
    <w:qFormat/>
    <w:rPr>
      <w:rFonts w:ascii="宋体" w:hAnsi="Courier New" w:eastAsia="宋体" w:cs="Times New Roman"/>
      <w:sz w:val="20"/>
      <w:szCs w:val="21"/>
      <w:lang w:eastAsia="en-US"/>
    </w:rPr>
  </w:style>
  <w:style w:type="character" w:styleId="1062" w:customStyle="1">
    <w:name w:val="纯文本 Char"/>
    <w:link w:val="1061"/>
    <w:uiPriority w:val="0"/>
    <w:qFormat/>
    <w:rPr>
      <w:rFonts w:ascii="宋体" w:hAnsi="Courier New" w:eastAsia="宋体" w:cs="Times New Roman"/>
      <w:szCs w:val="21"/>
      <w:lang w:eastAsia="en-US"/>
    </w:rPr>
  </w:style>
  <w:style w:type="paragraph" w:styleId="1063"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1064" w:customStyle="1">
    <w:name w:val="日期1"/>
    <w:basedOn w:val="717"/>
    <w:next w:val="717"/>
    <w:link w:val="1065"/>
    <w:uiPriority w:val="0"/>
    <w:qFormat/>
    <w:rPr>
      <w:rFonts w:ascii="Times New Roman" w:hAnsi="Times New Roman" w:eastAsia="宋体" w:cs="Times New Roman"/>
      <w:sz w:val="24"/>
      <w:szCs w:val="24"/>
      <w:lang w:eastAsia="en-US"/>
    </w:rPr>
  </w:style>
  <w:style w:type="character" w:styleId="1065" w:customStyle="1">
    <w:name w:val="日期 Char"/>
    <w:link w:val="1064"/>
    <w:uiPriority w:val="0"/>
    <w:qFormat/>
    <w:rPr>
      <w:rFonts w:ascii="Times New Roman" w:hAnsi="Times New Roman" w:eastAsia="宋体" w:cs="Times New Roman"/>
      <w:sz w:val="24"/>
      <w:szCs w:val="24"/>
      <w:lang w:eastAsia="en-US"/>
    </w:rPr>
  </w:style>
  <w:style w:type="paragraph" w:styleId="1066" w:customStyle="1">
    <w:name w:val="正文文本缩进 21"/>
    <w:basedOn w:val="717"/>
    <w:link w:val="1067"/>
    <w:uiPriority w:val="0"/>
    <w:qFormat/>
    <w:pPr>
      <w:ind w:left="630" w:firstLine="645"/>
    </w:pPr>
    <w:rPr>
      <w:rFonts w:ascii="Arial" w:hAnsi="Arial" w:eastAsia="仿宋_GB2312" w:cs="Times New Roman"/>
      <w:sz w:val="32"/>
      <w:szCs w:val="32"/>
      <w:lang w:eastAsia="en-US"/>
    </w:rPr>
  </w:style>
  <w:style w:type="character" w:styleId="1067" w:customStyle="1">
    <w:name w:val="正文文本缩进 2 Char"/>
    <w:link w:val="1066"/>
    <w:uiPriority w:val="0"/>
    <w:qFormat/>
    <w:rPr>
      <w:rFonts w:ascii="Arial" w:hAnsi="Arial" w:eastAsia="仿宋_GB2312" w:cs="Times New Roman"/>
      <w:sz w:val="32"/>
      <w:szCs w:val="32"/>
      <w:lang w:eastAsia="en-US"/>
    </w:rPr>
  </w:style>
  <w:style w:type="paragraph" w:styleId="1068" w:customStyle="1">
    <w:name w:val="批注框文本1"/>
    <w:basedOn w:val="717"/>
    <w:link w:val="1069"/>
    <w:uiPriority w:val="0"/>
    <w:semiHidden/>
    <w:qFormat/>
    <w:rPr>
      <w:rFonts w:ascii="Times New Roman" w:hAnsi="Times New Roman" w:eastAsia="宋体" w:cs="Times New Roman"/>
      <w:sz w:val="18"/>
      <w:szCs w:val="18"/>
      <w:lang w:eastAsia="en-US"/>
    </w:rPr>
  </w:style>
  <w:style w:type="character" w:styleId="1069" w:customStyle="1">
    <w:name w:val="批注框文本 Char"/>
    <w:link w:val="1068"/>
    <w:uiPriority w:val="0"/>
    <w:semiHidden/>
    <w:qFormat/>
    <w:rPr>
      <w:rFonts w:ascii="Times New Roman" w:hAnsi="Times New Roman" w:eastAsia="宋体" w:cs="Times New Roman"/>
      <w:sz w:val="18"/>
      <w:szCs w:val="18"/>
      <w:lang w:eastAsia="en-US"/>
    </w:rPr>
  </w:style>
  <w:style w:type="paragraph" w:styleId="1070" w:customStyle="1">
    <w:name w:val="页脚1"/>
    <w:basedOn w:val="717"/>
    <w:link w:val="1071"/>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071" w:customStyle="1">
    <w:name w:val="页脚 Char"/>
    <w:link w:val="1070"/>
    <w:uiPriority w:val="0"/>
    <w:qFormat/>
    <w:rPr>
      <w:rFonts w:ascii="Times New Roman" w:hAnsi="Times New Roman" w:eastAsia="宋体" w:cs="Times New Roman"/>
      <w:sz w:val="18"/>
      <w:szCs w:val="18"/>
      <w:lang w:eastAsia="en-US"/>
    </w:rPr>
  </w:style>
  <w:style w:type="paragraph" w:styleId="1072" w:customStyle="1">
    <w:name w:val="页眉1"/>
    <w:basedOn w:val="717"/>
    <w:link w:val="1073"/>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073" w:customStyle="1">
    <w:name w:val="页眉 Char"/>
    <w:link w:val="1072"/>
    <w:uiPriority w:val="99"/>
    <w:qFormat/>
    <w:rPr>
      <w:rFonts w:ascii="Times New Roman" w:hAnsi="Times New Roman" w:eastAsia="宋体" w:cs="Times New Roman"/>
      <w:sz w:val="18"/>
      <w:szCs w:val="18"/>
      <w:lang w:eastAsia="en-US"/>
    </w:rPr>
  </w:style>
  <w:style w:type="paragraph" w:styleId="1074" w:customStyle="1">
    <w:name w:val="目录 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5"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1076" w:customStyle="1">
    <w:name w:val="列表1"/>
    <w:basedOn w:val="717"/>
    <w:uiPriority w:val="0"/>
    <w:qFormat/>
    <w:pPr>
      <w:ind w:left="200" w:hanging="200"/>
    </w:pPr>
    <w:rPr>
      <w:rFonts w:ascii="Times New Roman" w:hAnsi="Times New Roman" w:eastAsia="宋体" w:cs="Times New Roman"/>
      <w:szCs w:val="21"/>
    </w:rPr>
  </w:style>
  <w:style w:type="paragraph" w:styleId="1077"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1078" w:customStyle="1">
    <w:name w:val="正文文本缩进 31"/>
    <w:basedOn w:val="717"/>
    <w:link w:val="1079"/>
    <w:uiPriority w:val="0"/>
    <w:qFormat/>
    <w:pPr>
      <w:ind w:left="645" w:firstLine="645"/>
    </w:pPr>
    <w:rPr>
      <w:rFonts w:ascii="Arial" w:hAnsi="Arial" w:eastAsia="仿宋_GB2312" w:cs="Times New Roman"/>
      <w:color w:val="ffff00"/>
      <w:sz w:val="32"/>
      <w:szCs w:val="32"/>
      <w:lang w:eastAsia="en-US"/>
    </w:rPr>
  </w:style>
  <w:style w:type="character" w:styleId="1079" w:customStyle="1">
    <w:name w:val="正文文本缩进 3 Char"/>
    <w:link w:val="1078"/>
    <w:uiPriority w:val="0"/>
    <w:qFormat/>
    <w:rPr>
      <w:rFonts w:ascii="Arial" w:hAnsi="Arial" w:eastAsia="仿宋_GB2312" w:cs="Times New Roman"/>
      <w:color w:val="ffff00"/>
      <w:sz w:val="32"/>
      <w:szCs w:val="32"/>
      <w:lang w:eastAsia="en-US"/>
    </w:rPr>
  </w:style>
  <w:style w:type="paragraph" w:styleId="1080"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1081"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1082"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1083" w:customStyle="1">
    <w:name w:val="正文文本 21"/>
    <w:basedOn w:val="717"/>
    <w:link w:val="1084"/>
    <w:uiPriority w:val="0"/>
    <w:qFormat/>
    <w:pPr>
      <w:jc w:val="center"/>
      <w:widowControl/>
    </w:pPr>
    <w:rPr>
      <w:rFonts w:ascii="楷体_GB2312" w:hAnsi="Times New Roman" w:eastAsia="楷体_GB2312" w:cs="Times New Roman"/>
      <w:sz w:val="28"/>
      <w:szCs w:val="28"/>
      <w:lang w:eastAsia="en-US"/>
    </w:rPr>
  </w:style>
  <w:style w:type="character" w:styleId="1084" w:customStyle="1">
    <w:name w:val="正文文本 2 Char"/>
    <w:link w:val="1083"/>
    <w:uiPriority w:val="0"/>
    <w:qFormat/>
    <w:rPr>
      <w:rFonts w:ascii="楷体_GB2312" w:hAnsi="Times New Roman" w:eastAsia="楷体_GB2312" w:cs="Times New Roman"/>
      <w:sz w:val="28"/>
      <w:szCs w:val="28"/>
      <w:lang w:eastAsia="en-US"/>
    </w:rPr>
  </w:style>
  <w:style w:type="paragraph" w:styleId="1085"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1086"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1087" w:customStyle="1">
    <w:name w:val="批注主题1"/>
    <w:basedOn w:val="1050"/>
    <w:next w:val="1050"/>
    <w:link w:val="1088"/>
    <w:uiPriority w:val="0"/>
    <w:semiHidden/>
    <w:qFormat/>
    <w:rPr>
      <w:b/>
      <w:bCs/>
    </w:rPr>
  </w:style>
  <w:style w:type="character" w:styleId="1088" w:customStyle="1">
    <w:name w:val="批注主题 Char"/>
    <w:link w:val="1087"/>
    <w:uiPriority w:val="0"/>
    <w:semiHidden/>
    <w:qFormat/>
    <w:rPr>
      <w:rFonts w:ascii="Times New Roman" w:hAnsi="Times New Roman" w:eastAsia="宋体" w:cs="Times New Roman"/>
      <w:b/>
      <w:bCs/>
      <w:szCs w:val="21"/>
      <w:lang w:eastAsia="en-US"/>
    </w:rPr>
  </w:style>
  <w:style w:type="paragraph" w:styleId="1089" w:customStyle="1">
    <w:name w:val="正文首行缩进1"/>
    <w:basedOn w:val="717"/>
    <w:link w:val="1090"/>
    <w:uiPriority w:val="0"/>
    <w:qFormat/>
    <w:pPr>
      <w:ind w:firstLine="200"/>
      <w:spacing w:line="360" w:lineRule="auto"/>
    </w:pPr>
    <w:rPr>
      <w:rFonts w:ascii="仿宋_GB2312" w:hAnsi="Times New Roman" w:eastAsia="仿宋_GB2312" w:cs="Times New Roman"/>
      <w:sz w:val="30"/>
      <w:szCs w:val="30"/>
      <w:lang w:eastAsia="en-US"/>
    </w:rPr>
  </w:style>
  <w:style w:type="character" w:styleId="1090" w:customStyle="1">
    <w:name w:val="正文首行缩进 Char"/>
    <w:link w:val="1089"/>
    <w:uiPriority w:val="0"/>
    <w:qFormat/>
    <w:rPr>
      <w:rFonts w:ascii="仿宋_GB2312" w:hAnsi="Times New Roman" w:eastAsia="仿宋_GB2312" w:cs="Times New Roman"/>
      <w:sz w:val="30"/>
      <w:szCs w:val="30"/>
      <w:lang w:eastAsia="en-US"/>
    </w:rPr>
  </w:style>
  <w:style w:type="paragraph" w:styleId="1091" w:customStyle="1">
    <w:name w:val="正文首行缩进 21"/>
    <w:basedOn w:val="1056"/>
    <w:link w:val="1092"/>
    <w:uiPriority w:val="0"/>
    <w:qFormat/>
    <w:pPr>
      <w:ind w:firstLine="420"/>
      <w:spacing w:line="360" w:lineRule="auto"/>
    </w:pPr>
    <w:rPr>
      <w:rFonts w:ascii="宋体" w:hAnsi="宋体" w:eastAsia="宋体"/>
      <w:szCs w:val="20"/>
    </w:rPr>
  </w:style>
  <w:style w:type="character" w:styleId="1092" w:customStyle="1">
    <w:name w:val="正文首行缩进 2 Char"/>
    <w:link w:val="1091"/>
    <w:uiPriority w:val="0"/>
    <w:qFormat/>
    <w:rPr>
      <w:rFonts w:ascii="宋体" w:hAnsi="宋体" w:eastAsia="宋体" w:cs="Times New Roman"/>
      <w:sz w:val="32"/>
      <w:lang w:eastAsia="en-US"/>
    </w:rPr>
  </w:style>
  <w:style w:type="character" w:styleId="1093" w:customStyle="1">
    <w:name w:val="要点1"/>
    <w:uiPriority w:val="0"/>
    <w:qFormat/>
    <w:rPr>
      <w:b/>
      <w:bCs/>
    </w:rPr>
  </w:style>
  <w:style w:type="character" w:styleId="1094" w:customStyle="1">
    <w:name w:val="页码1"/>
    <w:uiPriority w:val="0"/>
    <w:qFormat/>
  </w:style>
  <w:style w:type="character" w:styleId="1095" w:customStyle="1">
    <w:name w:val="已访问的超链接1"/>
    <w:uiPriority w:val="0"/>
    <w:qFormat/>
    <w:rPr>
      <w:color w:val="800080"/>
      <w:u w:val="single"/>
    </w:rPr>
  </w:style>
  <w:style w:type="character" w:styleId="1096" w:customStyle="1">
    <w:name w:val="HTML 打字机1"/>
    <w:uiPriority w:val="99"/>
    <w:qFormat/>
    <w:rPr>
      <w:rFonts w:ascii="宋体" w:hAnsi="宋体" w:eastAsia="宋体" w:cs="宋体"/>
      <w:sz w:val="24"/>
      <w:szCs w:val="24"/>
    </w:rPr>
  </w:style>
  <w:style w:type="character" w:styleId="1097" w:customStyle="1">
    <w:name w:val="超链接1"/>
    <w:uiPriority w:val="0"/>
    <w:qFormat/>
    <w:rPr>
      <w:color w:val="0000ff"/>
      <w:u w:val="single"/>
    </w:rPr>
  </w:style>
  <w:style w:type="character" w:styleId="1098" w:customStyle="1">
    <w:name w:val="批注引用1"/>
    <w:uiPriority w:val="0"/>
    <w:semiHidden/>
    <w:qFormat/>
    <w:rPr>
      <w:sz w:val="21"/>
      <w:szCs w:val="21"/>
    </w:rPr>
  </w:style>
  <w:style w:type="character" w:styleId="1099" w:customStyle="1">
    <w:name w:val="二级目录 Char"/>
    <w:link w:val="1100"/>
    <w:uiPriority w:val="0"/>
    <w:qFormat/>
    <w:rPr>
      <w:b/>
      <w:sz w:val="30"/>
      <w:szCs w:val="28"/>
    </w:rPr>
  </w:style>
  <w:style w:type="paragraph" w:styleId="1100" w:customStyle="1">
    <w:name w:val="二级目录"/>
    <w:next w:val="717"/>
    <w:link w:val="1099"/>
    <w:uiPriority w:val="0"/>
    <w:qFormat/>
    <w:pPr>
      <w:numPr>
        <w:ilvl w:val="0"/>
        <w:numId w:val="3"/>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1101" w:customStyle="1">
    <w:name w:val="列出段落 Char"/>
    <w:link w:val="730"/>
    <w:uiPriority w:val="0"/>
    <w:qFormat/>
    <w:rPr>
      <w:rFonts w:ascii="Calibri" w:hAnsi="Calibri" w:eastAsia="宋体" w:cs="Times New Roman"/>
      <w:sz w:val="24"/>
      <w:szCs w:val="22"/>
    </w:rPr>
  </w:style>
  <w:style w:type="paragraph" w:styleId="1102" w:customStyle="1">
    <w:name w:val="Body Text(ch)"/>
    <w:basedOn w:val="717"/>
    <w:next w:val="1054"/>
    <w:uiPriority w:val="0"/>
    <w:qFormat/>
    <w:pPr>
      <w:spacing w:after="120"/>
    </w:pPr>
    <w:rPr>
      <w:rFonts w:ascii="宋体" w:hAnsi="Arial" w:eastAsia="宋体" w:cs="Times New Roman"/>
      <w:bCs/>
      <w:iCs/>
      <w:szCs w:val="24"/>
    </w:rPr>
  </w:style>
  <w:style w:type="paragraph" w:styleId="1103"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1104"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1105"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110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07" w:customStyle="1">
    <w:name w:val="列出段落21"/>
    <w:basedOn w:val="717"/>
    <w:uiPriority w:val="99"/>
    <w:qFormat/>
    <w:pPr>
      <w:contextualSpacing/>
      <w:ind w:left="720"/>
      <w:jc w:val="left"/>
      <w:widowControl/>
    </w:pPr>
    <w:rPr>
      <w:rFonts w:ascii="Calibri" w:hAnsi="Calibri" w:eastAsia="宋体" w:cs="Times New Roman"/>
      <w:sz w:val="24"/>
      <w:szCs w:val="24"/>
      <w:lang w:eastAsia="en-US" w:bidi="en-US"/>
    </w:rPr>
  </w:style>
  <w:style w:type="paragraph" w:styleId="1108" w:customStyle="1">
    <w:name w:val="4"/>
    <w:basedOn w:val="717"/>
    <w:next w:val="1078"/>
    <w:uiPriority w:val="0"/>
    <w:qFormat/>
    <w:pPr>
      <w:ind w:firstLine="420"/>
      <w:spacing w:line="360" w:lineRule="auto"/>
    </w:pPr>
    <w:rPr>
      <w:rFonts w:ascii="Times New Roman" w:hAnsi="Times New Roman" w:eastAsia="宋体" w:cs="Times New Roman"/>
      <w:color w:val="ff0000"/>
      <w:sz w:val="24"/>
      <w:szCs w:val="24"/>
    </w:rPr>
  </w:style>
  <w:style w:type="paragraph" w:styleId="1109"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1110" w:customStyle="1">
    <w:name w:val="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1111" w:customStyle="1">
    <w:name w:val="样式1"/>
    <w:basedOn w:val="717"/>
    <w:uiPriority w:val="0"/>
    <w:qFormat/>
    <w:pPr>
      <w:numPr>
        <w:ilvl w:val="0"/>
        <w:numId w:val="4"/>
      </w:numPr>
    </w:pPr>
    <w:rPr>
      <w:rFonts w:ascii="宋体" w:hAnsi="宋体" w:eastAsia="宋体" w:cs="Times New Roman"/>
      <w:szCs w:val="21"/>
    </w:rPr>
  </w:style>
  <w:style w:type="paragraph" w:styleId="1112"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3"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114"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115"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16"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7" w:customStyle="1">
    <w:name w:val="修订2"/>
    <w:uiPriority w:val="99"/>
    <w:semiHidden/>
    <w:qFormat/>
    <w:rPr>
      <w:rFonts w:ascii="Times New Roman" w:hAnsi="Times New Roman" w:eastAsia="宋体" w:cs="Times New Roman"/>
      <w:sz w:val="21"/>
      <w:szCs w:val="21"/>
      <w:lang w:val="en-US" w:eastAsia="zh-CN" w:bidi="ar-SA"/>
    </w:rPr>
  </w:style>
  <w:style w:type="paragraph" w:styleId="111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9" w:customStyle="1">
    <w:name w:val="目录 111"/>
    <w:basedOn w:val="717"/>
    <w:next w:val="717"/>
    <w:uiPriority w:val="39"/>
    <w:unhideWhenUsed/>
    <w:qFormat/>
    <w:pPr>
      <w:jc w:val="left"/>
      <w:spacing w:after="100" w:line="259" w:lineRule="auto"/>
      <w:widowControl/>
    </w:pPr>
    <w:rPr>
      <w:rFonts w:ascii="Calibri" w:hAnsi="Calibri" w:eastAsia="宋体" w:cs="Times New Roman"/>
      <w:sz w:val="22"/>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CC3E6-7560-481F-8C30-EEBF808D36FB}"/>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姚坤</cp:lastModifiedBy>
  <cp:revision>21</cp:revision>
  <dcterms:created xsi:type="dcterms:W3CDTF">2024-04-28T03:01:00Z</dcterms:created>
  <dcterms:modified xsi:type="dcterms:W3CDTF">2024-11-14T07:37:05Z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D84D1D62D7E747F2A58F6A2DA59A02BD</vt:lpwstr>
  </property>
</Properties>
</file>