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285"/>
        <w:jc w:val="left"/>
        <w:rPr>
          <w:rFonts w:ascii="Times New Roman" w:hAnsi="Times New Roman" w:cs="宋体"/>
          <w:b/>
          <w:sz w:val="32"/>
          <w:szCs w:val="32"/>
          <w:lang w:bidi="ar"/>
        </w:rPr>
      </w:pPr>
      <w:r>
        <w:rPr>
          <w:rFonts w:hint="eastAsia" w:ascii="Times New Roman" w:hAnsi="Times New Roman" w:cs="宋体"/>
          <w:b/>
          <w:sz w:val="32"/>
          <w:szCs w:val="32"/>
          <w:lang w:bidi="ar"/>
        </w:rPr>
        <w:t xml:space="preserve">项目名称：宿迁市洋河高级中学后勤服务外包项目</w:t>
      </w:r>
      <w:r/>
    </w:p>
    <w:p>
      <w:pPr>
        <w:ind w:firstLine="1506"/>
        <w:jc w:val="left"/>
        <w:rPr>
          <w:rFonts w:ascii="Times New Roman" w:hAnsi="Times New Roman" w:cs="宋体"/>
          <w:b/>
          <w:sz w:val="32"/>
          <w:szCs w:val="32"/>
          <w:lang w:bidi="ar"/>
        </w:rPr>
      </w:pPr>
      <w:r>
        <w:rPr>
          <w:rFonts w:ascii="Times New Roman" w:hAnsi="Times New Roman" w:cs="宋体"/>
          <w:b/>
          <w:sz w:val="32"/>
          <w:szCs w:val="32"/>
          <w:lang w:bidi="ar"/>
        </w:rPr>
      </w:r>
      <w:r/>
    </w:p>
    <w:p>
      <w:pPr>
        <w:ind w:firstLine="1506"/>
        <w:jc w:val="left"/>
        <w:rPr>
          <w:rFonts w:hint="eastAsia" w:ascii="Times New Roman" w:hAnsi="Times New Roman" w:cs="宋体"/>
          <w:b/>
          <w:sz w:val="32"/>
          <w:szCs w:val="32"/>
          <w:lang w:bidi="ar"/>
        </w:rPr>
      </w:pPr>
      <w:r>
        <w:rPr>
          <w:rFonts w:hint="eastAsia" w:ascii="Times New Roman" w:hAnsi="Times New Roman" w:cs="宋体"/>
          <w:b/>
          <w:sz w:val="32"/>
          <w:szCs w:val="32"/>
          <w:lang w:bidi="ar"/>
        </w:rPr>
        <w:t xml:space="preserve">项目编号：JSZC-321300-JZCG-G2025-0081</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6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jc w:val="cente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8"/>
                <w:szCs w:val="28"/>
              </w:rPr>
            </w:pPr>
            <w:r>
              <w:rPr>
                <w:rFonts w:hint="eastAsia" w:ascii="仿宋" w:hAnsi="仿宋" w:cs="仿宋"/>
                <w:sz w:val="28"/>
                <w:szCs w:val="28"/>
              </w:rPr>
              <w:t xml:space="preserve">宿迁市洋河高级中学</w:t>
            </w:r>
            <w:r/>
          </w:p>
        </w:tc>
      </w:tr>
      <w:tr>
        <w:trPr>
          <w:jc w:val="cente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8"/>
                <w:szCs w:val="28"/>
              </w:rPr>
            </w:pPr>
            <w:r>
              <w:rPr>
                <w:rFonts w:hint="eastAsia" w:ascii="仿宋" w:hAnsi="仿宋" w:cs="仿宋"/>
                <w:sz w:val="28"/>
                <w:szCs w:val="28"/>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center"/>
        <w:spacing w:before="120" w:after="120" w:line="360" w:lineRule="auto"/>
        <w:rPr>
          <w:rFonts w:ascii="Times New Roman" w:hAnsi="Times New Roman"/>
          <w:b/>
          <w:sz w:val="32"/>
          <w:szCs w:val="24"/>
        </w:rPr>
      </w:pPr>
      <w:r>
        <w:rPr>
          <w:rFonts w:ascii="Times New Roman" w:hAnsi="Times New Roman"/>
          <w:b/>
          <w:sz w:val="32"/>
          <w:szCs w:val="24"/>
          <w:lang w:bidi="ar"/>
        </w:rPr>
        <w:t xml:space="preserve">202</w:t>
      </w:r>
      <w:r>
        <w:rPr>
          <w:rFonts w:hint="eastAsia" w:ascii="Times New Roman" w:hAnsi="Times New Roman"/>
          <w:b/>
          <w:sz w:val="32"/>
          <w:szCs w:val="24"/>
          <w:lang w:bidi="ar"/>
        </w:rPr>
        <w:t xml:space="preserve">5</w:t>
      </w:r>
      <w:r>
        <w:rPr>
          <w:rFonts w:hint="eastAsia" w:ascii="Times New Roman" w:hAnsi="Times New Roman" w:cs="宋体"/>
          <w:b/>
          <w:sz w:val="32"/>
          <w:szCs w:val="24"/>
          <w:lang w:bidi="ar"/>
        </w:rPr>
        <w:t xml:space="preserve">年</w:t>
      </w:r>
      <w:r>
        <w:rPr>
          <w:rFonts w:hint="eastAsia" w:ascii="Times New Roman" w:hAnsi="Times New Roman" w:cs="宋体"/>
          <w:b/>
          <w:sz w:val="32"/>
          <w:szCs w:val="24"/>
          <w:lang w:val="en-US" w:eastAsia="zh-CN" w:bidi="ar"/>
        </w:rPr>
        <w:t xml:space="preserve">11</w:t>
      </w:r>
      <w:r>
        <w:rPr>
          <w:rFonts w:hint="eastAsia" w:ascii="Times New Roman" w:hAnsi="Times New Roman" w:cs="宋体"/>
          <w:b/>
          <w:sz w:val="32"/>
          <w:szCs w:val="24"/>
          <w:lang w:bidi="ar"/>
        </w:rPr>
        <w:t xml:space="preserve">月6日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721" w:after="721" w:line="900" w:lineRule="exact"/>
        <w:rPr>
          <w:b/>
          <w:sz w:val="44"/>
          <w:szCs w:val="44"/>
        </w:rPr>
      </w:pPr>
      <w:r>
        <w:rPr>
          <w:rFonts w:hint="eastAsia"/>
          <w:b/>
          <w:sz w:val="44"/>
          <w:szCs w:val="44"/>
        </w:rPr>
        <w:t xml:space="preserve">目 录</w:t>
      </w:r>
      <w:r/>
    </w:p>
    <w:p>
      <w:pPr>
        <w:pStyle w:val="869"/>
        <w:spacing w:before="0" w:after="0" w:line="700" w:lineRule="exact"/>
        <w:tabs>
          <w:tab w:val="right" w:pos="9185" w:leader="dot"/>
        </w:tabs>
        <w:rPr>
          <w:rFonts w:ascii="Times New Roman" w:hAnsi="Times New Roman" w:eastAsia="黑体"/>
          <w:b w:val="0"/>
          <w:bCs w:val="0"/>
          <w:caps w:val="0"/>
          <w:sz w:val="32"/>
        </w:rPr>
      </w:pP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TOC \o "1-1" \h \u </w:instrText>
      </w:r>
      <w:r>
        <w:rPr>
          <w:rFonts w:ascii="Times New Roman" w:hAnsi="Times New Roman" w:eastAsia="黑体"/>
          <w:b w:val="0"/>
          <w:bCs w:val="0"/>
          <w:caps w:val="0"/>
          <w:sz w:val="32"/>
        </w:rPr>
        <w:fldChar w:fldCharType="separate"/>
      </w:r>
      <w:r>
        <w:fldChar w:fldCharType="begin"/>
      </w:r>
      <w:r>
        <w:instrText xml:space="preserve"> HYPERLINK \l "_Toc8997" </w:instrText>
      </w:r>
      <w:r>
        <w:fldChar w:fldCharType="separate"/>
      </w:r>
      <w:r>
        <w:rPr>
          <w:rFonts w:hint="eastAsia" w:ascii="Times New Roman" w:hAnsi="Times New Roman" w:eastAsia="黑体"/>
          <w:b w:val="0"/>
          <w:bCs w:val="0"/>
          <w:caps w:val="0"/>
          <w:sz w:val="32"/>
        </w:rPr>
        <w:t xml:space="preserve">第一章  投标邀请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_Toc8997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69"/>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"_Toc3314" </w:instrText>
      </w:r>
      <w:r>
        <w:fldChar w:fldCharType="separate"/>
      </w:r>
      <w:r>
        <w:rPr>
          <w:rFonts w:hint="eastAsia" w:ascii="Times New Roman" w:hAnsi="Times New Roman" w:eastAsia="黑体"/>
          <w:b w:val="0"/>
          <w:bCs w:val="0"/>
          <w:caps w:val="0"/>
          <w:sz w:val="32"/>
        </w:rPr>
        <w:t xml:space="preserve">第二章  投标人须知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_Toc3314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69"/>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"_Toc23386" </w:instrText>
      </w:r>
      <w:r>
        <w:fldChar w:fldCharType="separate"/>
      </w:r>
      <w:r>
        <w:rPr>
          <w:rFonts w:hint="eastAsia" w:ascii="Times New Roman" w:hAnsi="Times New Roman" w:eastAsia="黑体" w:cs="Times New Roman"/>
          <w:b w:val="0"/>
          <w:bCs w:val="0"/>
          <w:caps w:val="0"/>
          <w:sz w:val="32"/>
          <w:szCs w:val="44"/>
        </w:rPr>
        <w:t xml:space="preserve">第三章  资格审查及评标方法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_Toc23386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69"/>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"_Toc23973" </w:instrText>
      </w:r>
      <w:r>
        <w:fldChar w:fldCharType="separate"/>
      </w:r>
      <w:r>
        <w:rPr>
          <w:rFonts w:hint="eastAsia" w:ascii="Times New Roman" w:hAnsi="Times New Roman" w:eastAsia="黑体"/>
          <w:b w:val="0"/>
          <w:bCs w:val="0"/>
          <w:caps w:val="0"/>
          <w:sz w:val="32"/>
          <w:szCs w:val="44"/>
        </w:rPr>
        <w:t xml:space="preserve">第四章</w:t>
      </w:r>
      <w:r>
        <w:rPr>
          <w:rFonts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_Toc23973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69"/>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"_Toc7023"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_Toc7023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69"/>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"_Toc11391" </w:instrText>
      </w:r>
      <w:r>
        <w:fldChar w:fldCharType="separate"/>
      </w:r>
      <w:r>
        <w:rPr>
          <w:rFonts w:hint="eastAsia" w:ascii="Times New Roman" w:hAnsi="Times New Roman" w:eastAsia="黑体"/>
          <w:b w:val="0"/>
          <w:bCs w:val="0"/>
          <w:caps w:val="0"/>
          <w:sz w:val="32"/>
          <w:szCs w:val="44"/>
        </w:rPr>
        <w:t xml:space="preserve">第六章  投标文件格式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_Toc11391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spacing w:line="700" w:lineRule="exact"/>
      </w:pPr>
      <w:r>
        <w:rPr>
          <w:rFonts w:ascii="Times New Roman" w:hAnsi="Times New Roman" w:eastAsia="黑体"/>
          <w:sz w:val="32"/>
        </w:rPr>
        <w:fldChar w:fldCharType="end"/>
      </w:r>
      <w:r/>
    </w:p>
    <w:p>
      <w:r/>
      <w:r/>
    </w:p>
    <w:p>
      <w:r/>
      <w:r/>
    </w:p>
    <w:p>
      <w:r/>
      <w:r/>
    </w:p>
    <w:p>
      <w:r/>
      <w:r/>
    </w:p>
    <w:p>
      <w:r/>
      <w:r/>
    </w:p>
    <w:p>
      <w:r/>
      <w:r/>
    </w:p>
    <w:p>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16"/>
        <w:jc w:val="center"/>
        <w:spacing w:before="200"/>
        <w:rPr>
          <w:rFonts w:eastAsia="黑体"/>
          <w:sz w:val="44"/>
        </w:rPr>
      </w:pPr>
      <w:r/>
      <w:bookmarkStart w:id="4" w:name="_Toc25722"/>
      <w:r/>
      <w:bookmarkStart w:id="5" w:name="_Toc30943"/>
      <w:r/>
      <w:bookmarkStart w:id="6" w:name="_Toc8997"/>
      <w:r>
        <w:rPr>
          <w:rFonts w:hint="eastAsia" w:eastAsia="黑体"/>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Times New Roman" w:hAnsi="Times New Roman" w:cs="方正仿宋_GBK"/>
          <w:sz w:val="24"/>
          <w:szCs w:val="24"/>
          <w:u w:val="single"/>
          <w:lang w:eastAsia="zh-CN"/>
        </w:rPr>
        <w:t xml:space="preserve">宿迁市洋河高级中学</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Times New Roman" w:hAnsi="Times New Roman" w:cs="方正仿宋_GBK"/>
          <w:sz w:val="24"/>
          <w:szCs w:val="24"/>
          <w:u w:val="single"/>
        </w:rPr>
        <w:t xml:space="preserve">宿迁市洋河高级中学后勤服务外包项目</w:t>
      </w:r>
      <w:r>
        <w:rPr>
          <w:rFonts w:hint="eastAsia" w:ascii="宋体" w:hAnsi="宋体"/>
          <w:sz w:val="24"/>
          <w:szCs w:val="24"/>
        </w:rPr>
        <w:t xml:space="preserve">(</w:t>
      </w:r>
      <w:r>
        <w:rPr>
          <w:rFonts w:hint="eastAsia" w:ascii="Times New Roman" w:hAnsi="Times New Roman" w:cs="方正仿宋_GBK"/>
          <w:sz w:val="24"/>
          <w:szCs w:val="24"/>
          <w:u w:val="single"/>
          <w:lang w:eastAsia="zh-CN"/>
        </w:rPr>
        <w:t xml:space="preserve">JSZC-321300-JZCG-G2025-0081</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rPr>
        <w:t xml:space="preserve">宿北大战纪念馆物业管理服务采购项目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2025年</w:t>
      </w:r>
      <w:r>
        <w:rPr>
          <w:rFonts w:hint="eastAsia" w:ascii="宋体" w:hAnsi="宋体"/>
          <w:sz w:val="24"/>
          <w:szCs w:val="24"/>
          <w:u w:val="single"/>
          <w:lang w:val="en-US" w:eastAsia="zh-CN"/>
        </w:rPr>
        <w:t xml:space="preserve">11</w:t>
      </w:r>
      <w:r>
        <w:rPr>
          <w:rFonts w:hint="eastAsia" w:ascii="宋体" w:hAnsi="宋体"/>
          <w:sz w:val="24"/>
          <w:szCs w:val="24"/>
          <w:u w:val="single"/>
        </w:rPr>
        <w:t xml:space="preserve">月2</w:t>
      </w:r>
      <w:r>
        <w:rPr>
          <w:rFonts w:hint="eastAsia" w:ascii="宋体" w:hAnsi="宋体"/>
          <w:bCs/>
          <w:sz w:val="24"/>
          <w:szCs w:val="24"/>
          <w:u w:val="single"/>
        </w:rPr>
        <w:t xml:space="preserve">7日09点30分（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17"/>
        <w:ind w:firstLine="643"/>
        <w:spacing w:before="0" w:after="0" w:line="480" w:lineRule="exact"/>
        <w:rPr>
          <w:rFonts w:eastAsia="宋体" w:cs="Arial"/>
          <w:bCs/>
          <w:szCs w:val="22"/>
        </w:rPr>
      </w:pPr>
      <w:r/>
      <w:bookmarkStart w:id="7" w:name="_Toc28359079"/>
      <w:r/>
      <w:bookmarkStart w:id="8" w:name="_Toc28359002"/>
      <w:r/>
      <w:bookmarkStart w:id="9" w:name="_Toc35393790"/>
      <w:r/>
      <w:bookmarkStart w:id="10" w:name="_Toc35393621"/>
      <w:r/>
      <w:bookmarkStart w:id="11" w:name="_Toc38985263"/>
      <w:r/>
      <w:bookmarkStart w:id="12" w:name="_Toc2584"/>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1.项目编号：JSZC-321300-JZCG-G2025-0081</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bookmarkEnd w:id="13"/>
      <w:r>
        <w:rPr>
          <w:rFonts w:hint="eastAsia" w:ascii="Times New Roman" w:hAnsi="Times New Roman" w:cs="仿宋"/>
          <w:sz w:val="24"/>
          <w:szCs w:val="24"/>
        </w:rPr>
        <w:t xml:space="preserve">宿迁市洋河高级中学后勤服务外包项目</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3.预算金额：78.28 万元</w:t>
      </w:r>
      <w:r/>
    </w:p>
    <w:p>
      <w:pPr>
        <w:ind w:firstLine="480"/>
        <w:spacing w:line="480" w:lineRule="exact"/>
        <w:rPr>
          <w:rFonts w:hint="eastAsia" w:ascii="仿宋" w:hAnsi="仿宋"/>
          <w:color w:val="000000"/>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r>
        <w:rPr>
          <w:rFonts w:hint="eastAsia" w:ascii="Times New Roman" w:hAnsi="Times New Roman" w:cs="仿宋"/>
          <w:sz w:val="24"/>
          <w:szCs w:val="24"/>
        </w:rPr>
        <w:t xml:space="preserve">78.28 万元</w:t>
      </w:r>
      <w:r/>
    </w:p>
    <w:p>
      <w:pPr>
        <w:ind w:firstLine="480"/>
        <w:spacing w:line="480" w:lineRule="exact"/>
        <w:rPr>
          <w:rFonts w:hint="eastAsia" w:ascii="Times New Roman" w:hAnsi="Times New Roman" w:cs="仿宋"/>
          <w:color w:val="ee0000"/>
          <w:sz w:val="24"/>
          <w:szCs w:val="24"/>
        </w:rPr>
      </w:pPr>
      <w:r>
        <w:rPr>
          <w:rFonts w:hint="eastAsia" w:ascii="Times New Roman" w:hAnsi="Times New Roman" w:cs="仿宋"/>
          <w:sz w:val="24"/>
          <w:szCs w:val="24"/>
        </w:rPr>
        <w:t xml:space="preserve">5.采购需求（简介）：</w:t>
      </w:r>
      <w:r>
        <w:rPr>
          <w:rFonts w:hint="eastAsia" w:ascii="Times New Roman" w:hAnsi="Times New Roman" w:cs="仿宋"/>
          <w:color w:val="auto"/>
          <w:sz w:val="24"/>
          <w:szCs w:val="24"/>
        </w:rPr>
        <w:t xml:space="preserve">包含基本服务、公用设施设备维护服务、宿舍管理服务、保洁服务和水电暖维修服务等。具体内容详见采购需求。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6.合同履行期限：1年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17"/>
        <w:ind w:firstLine="643"/>
        <w:spacing w:before="0" w:after="0" w:line="480" w:lineRule="exact"/>
        <w:rPr>
          <w:rFonts w:eastAsia="宋体" w:cs="Arial"/>
          <w:bCs/>
          <w:szCs w:val="22"/>
        </w:rPr>
      </w:pPr>
      <w:r/>
      <w:bookmarkStart w:id="14" w:name="_Toc35393791"/>
      <w:r/>
      <w:bookmarkStart w:id="15" w:name="_Toc27291"/>
      <w:r/>
      <w:bookmarkStart w:id="16" w:name="_Toc35393622"/>
      <w:r/>
      <w:bookmarkStart w:id="17" w:name="_Toc28359003"/>
      <w:r/>
      <w:bookmarkStart w:id="18" w:name="_Toc38985264"/>
      <w:r/>
      <w:bookmarkStart w:id="19" w:name="_Toc28359080"/>
      <w:r>
        <w:rPr>
          <w:rFonts w:hint="eastAsia" w:eastAsia="宋体" w:cs="Arial"/>
          <w:bCs/>
          <w:szCs w:val="22"/>
        </w:rPr>
        <w:t xml:space="preserve">二、申请人的资格要求</w:t>
      </w:r>
      <w:bookmarkEnd w:id="14"/>
      <w:r/>
      <w:bookmarkEnd w:id="15"/>
      <w:r/>
      <w:bookmarkEnd w:id="16"/>
      <w:r/>
      <w:bookmarkEnd w:id="17"/>
      <w:r/>
      <w:bookmarkEnd w:id="18"/>
      <w:r/>
      <w:bookmarkEnd w:id="19"/>
      <w:r/>
      <w:r/>
    </w:p>
    <w:p>
      <w:pPr>
        <w:ind w:firstLine="480"/>
        <w:spacing w:line="480" w:lineRule="exact"/>
        <w:rPr>
          <w:rFonts w:ascii="Times New Roman" w:hAnsi="Times New Roman" w:cs="仿宋"/>
          <w:sz w:val="24"/>
          <w:szCs w:val="24"/>
        </w:rPr>
      </w:pPr>
      <w:r/>
      <w:bookmarkStart w:id="20" w:name="_Toc35393792"/>
      <w:r/>
      <w:bookmarkStart w:id="21" w:name="_Toc38985265"/>
      <w:r/>
      <w:bookmarkStart w:id="22" w:name="_Toc35393623"/>
      <w:r/>
      <w:bookmarkStart w:id="23" w:name="_Toc28359004"/>
      <w:r/>
      <w:bookmarkStart w:id="24" w:name="_Toc28359081"/>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17"/>
        <w:ind w:firstLine="643"/>
        <w:spacing w:before="0" w:after="0" w:line="480" w:lineRule="exact"/>
        <w:rPr>
          <w:rFonts w:eastAsia="宋体" w:cs="Arial"/>
          <w:bCs/>
          <w:szCs w:val="22"/>
        </w:rPr>
      </w:pPr>
      <w:r/>
      <w:bookmarkStart w:id="25" w:name="_Toc22204"/>
      <w:r>
        <w:rPr>
          <w:rFonts w:hint="eastAsia" w:eastAsia="宋体" w:cs="Arial"/>
          <w:bCs/>
          <w:szCs w:val="22"/>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sz w:val="24"/>
          <w:szCs w:val="24"/>
        </w:rPr>
      </w:pPr>
      <w:r/>
      <w:bookmarkStart w:id="26" w:name="_Toc28359005"/>
      <w:r/>
      <w:bookmarkStart w:id="27" w:name="_Toc28359082"/>
      <w:r/>
      <w:bookmarkStart w:id="28" w:name="_Toc38985266"/>
      <w:r/>
      <w:bookmarkStart w:id="29" w:name="_Toc35393624"/>
      <w:r/>
      <w:bookmarkStart w:id="30" w:name="_Toc35393793"/>
      <w:r>
        <w:rPr>
          <w:rFonts w:hint="eastAsia" w:ascii="Times New Roman" w:hAnsi="Times New Roman" w:cs="仿宋"/>
          <w:sz w:val="24"/>
          <w:szCs w:val="24"/>
        </w:rPr>
        <w:t xml:space="preserve">1.时间：招标公告发布之日起5个工作日。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sz w:val="24"/>
          <w:szCs w:val="24"/>
        </w:rPr>
      </w:pPr>
      <w:r/>
      <w:bookmarkStart w:id="31" w:name="EB0c44ff4da61f4af989d119fe214be450"/>
      <w:r>
        <w:rPr>
          <w:rFonts w:hint="eastAsia" w:ascii="Times New Roman" w:hAnsi="Times New Roman" w:cs="仿宋"/>
          <w:sz w:val="24"/>
          <w:szCs w:val="24"/>
        </w:rPr>
        <w:t xml:space="preserve">3.本项目共分一个采购包。投标人参与多个采购包投标的，应按采购包分别获取招标文件。投标人未按要求获取招标文件，后果自负（其投标文件不予接受）。</w:t>
      </w:r>
      <w:bookmarkEnd w:id="31"/>
      <w:r/>
      <w:r/>
    </w:p>
    <w:p>
      <w:pPr>
        <w:pStyle w:val="817"/>
        <w:ind w:firstLine="643"/>
        <w:spacing w:before="0" w:after="0" w:line="480" w:lineRule="exact"/>
        <w:rPr>
          <w:rFonts w:eastAsia="宋体" w:cs="Arial"/>
          <w:bCs/>
          <w:szCs w:val="22"/>
        </w:rPr>
      </w:pPr>
      <w:r/>
      <w:bookmarkStart w:id="32" w:name="_Toc19148"/>
      <w:r>
        <w:rPr>
          <w:rFonts w:hint="eastAsia" w:eastAsia="宋体" w:cs="Arial"/>
          <w:bCs/>
          <w:szCs w:val="22"/>
        </w:rPr>
        <w:t xml:space="preserve">四、提交投标文件</w:t>
      </w:r>
      <w:bookmarkEnd w:id="26"/>
      <w:r/>
      <w:bookmarkEnd w:id="27"/>
      <w:r>
        <w:rPr>
          <w:rFonts w:hint="eastAsia" w:eastAsia="宋体" w:cs="Arial"/>
          <w:bCs/>
          <w:szCs w:val="22"/>
        </w:rPr>
        <w:t xml:space="preserve">截止时间、开标时间和地点</w:t>
      </w:r>
      <w:bookmarkEnd w:id="28"/>
      <w:r/>
      <w:bookmarkEnd w:id="29"/>
      <w:r/>
      <w:bookmarkEnd w:id="30"/>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1.提交投标文件截止时间、开标时间：2025年</w:t>
      </w:r>
      <w:r>
        <w:rPr>
          <w:rFonts w:hint="eastAsia" w:ascii="Times New Roman" w:hAnsi="Times New Roman" w:cs="仿宋"/>
          <w:sz w:val="24"/>
          <w:szCs w:val="24"/>
          <w:lang w:val="en-US" w:eastAsia="zh-CN"/>
        </w:rPr>
        <w:t xml:space="preserve">11</w:t>
      </w:r>
      <w:r>
        <w:rPr>
          <w:rFonts w:hint="eastAsia" w:ascii="Times New Roman" w:hAnsi="Times New Roman" w:cs="仿宋"/>
          <w:sz w:val="24"/>
          <w:szCs w:val="24"/>
        </w:rPr>
        <w:t xml:space="preserve">月27日09点30分（北京时间）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17"/>
        <w:ind w:firstLine="643"/>
        <w:spacing w:before="0" w:after="0" w:line="480" w:lineRule="exact"/>
        <w:rPr>
          <w:rFonts w:eastAsia="宋体" w:cs="Arial"/>
          <w:bCs/>
          <w:szCs w:val="22"/>
        </w:rPr>
      </w:pPr>
      <w:r/>
      <w:bookmarkStart w:id="33" w:name="_Toc28359007"/>
      <w:r/>
      <w:bookmarkStart w:id="34" w:name="_Toc38985267"/>
      <w:r/>
      <w:bookmarkStart w:id="35" w:name="_Toc24820"/>
      <w:r/>
      <w:bookmarkStart w:id="36" w:name="_Toc35393625"/>
      <w:r/>
      <w:bookmarkStart w:id="37" w:name="_Toc35393794"/>
      <w:r/>
      <w:bookmarkStart w:id="38" w:name="_Toc28359084"/>
      <w:r>
        <w:rPr>
          <w:rFonts w:hint="eastAsia" w:eastAsia="宋体" w:cs="Arial"/>
          <w:bCs/>
          <w:szCs w:val="22"/>
        </w:rPr>
        <w:t xml:space="preserve">五、公告期限</w:t>
      </w:r>
      <w:bookmarkEnd w:id="33"/>
      <w:r/>
      <w:bookmarkEnd w:id="34"/>
      <w:r/>
      <w:bookmarkEnd w:id="35"/>
      <w:r/>
      <w:bookmarkEnd w:id="36"/>
      <w:r/>
      <w:bookmarkEnd w:id="37"/>
      <w:r/>
      <w:bookmarkEnd w:id="38"/>
      <w:r/>
      <w:r/>
    </w:p>
    <w:p>
      <w:pPr>
        <w:ind w:firstLine="480"/>
        <w:spacing w:line="480" w:lineRule="exact"/>
        <w:rPr>
          <w:rFonts w:ascii="Times New Roman" w:hAnsi="Times New Roman" w:cs="仿宋"/>
          <w:sz w:val="24"/>
          <w:szCs w:val="24"/>
        </w:rPr>
      </w:pPr>
      <w:r/>
      <w:bookmarkStart w:id="39" w:name="_Toc38985268"/>
      <w:r/>
      <w:bookmarkStart w:id="40" w:name="_Toc35393795"/>
      <w:r/>
      <w:bookmarkStart w:id="41" w:name="_Toc35393626"/>
      <w:r>
        <w:rPr>
          <w:rFonts w:hint="eastAsia" w:ascii="Times New Roman" w:hAnsi="Times New Roman" w:cs="仿宋"/>
          <w:sz w:val="24"/>
          <w:szCs w:val="24"/>
        </w:rPr>
        <w:t xml:space="preserve">招标公告及招标文件公告期限为自本公告发布之日起5个工作日。</w:t>
      </w:r>
      <w:r/>
    </w:p>
    <w:p>
      <w:pPr>
        <w:pStyle w:val="817"/>
        <w:ind w:firstLine="643"/>
        <w:spacing w:before="0" w:after="0" w:line="480" w:lineRule="exact"/>
        <w:rPr>
          <w:rFonts w:eastAsia="宋体" w:cs="Arial"/>
          <w:bCs/>
          <w:szCs w:val="22"/>
        </w:rPr>
      </w:pPr>
      <w:r/>
      <w:bookmarkStart w:id="42" w:name="_Toc13415"/>
      <w:r>
        <w:rPr>
          <w:rFonts w:hint="eastAsia" w:eastAsia="宋体" w:cs="Arial"/>
          <w:bCs/>
          <w:szCs w:val="22"/>
        </w:rPr>
        <w:t xml:space="preserve">六、其他补充事宜</w:t>
      </w:r>
      <w:bookmarkEnd w:id="39"/>
      <w:r/>
      <w:bookmarkEnd w:id="40"/>
      <w:r/>
      <w:bookmarkEnd w:id="41"/>
      <w:r/>
      <w:bookmarkEnd w:id="42"/>
      <w:r/>
      <w:r/>
    </w:p>
    <w:p>
      <w:pPr>
        <w:ind w:firstLine="480"/>
        <w:spacing w:line="480" w:lineRule="exact"/>
        <w:rPr>
          <w:rFonts w:ascii="Times New Roman" w:hAnsi="Times New Roman" w:cs="仿宋"/>
          <w:sz w:val="24"/>
          <w:szCs w:val="24"/>
        </w:rPr>
      </w:pPr>
      <w:r/>
      <w:bookmarkStart w:id="43" w:name="EB64e1f522fd8c43fcb4d3ba471386b3e7"/>
      <w:r/>
      <w:bookmarkStart w:id="44" w:name="_Toc35393796"/>
      <w:r/>
      <w:bookmarkStart w:id="45" w:name="_Toc38985269"/>
      <w:r/>
      <w:bookmarkStart w:id="46" w:name="_Toc35393627"/>
      <w:r/>
      <w:bookmarkStart w:id="47" w:name="_Toc28359085"/>
      <w:r/>
      <w:bookmarkStart w:id="48" w:name="_Toc28359008"/>
      <w:r>
        <w:rPr>
          <w:rFonts w:hint="eastAsia" w:ascii="Times New Roman" w:hAnsi="Times New Roman" w:cs="仿宋"/>
          <w:sz w:val="24"/>
          <w:szCs w:val="24"/>
        </w:rPr>
        <w:t xml:space="preserve">1.招标公告发布媒体：</w:t>
      </w:r>
      <w:bookmarkStart w:id="49" w:name="OLE_LINK3"/>
      <w:r>
        <w:rPr>
          <w:rFonts w:hint="eastAsia" w:ascii="Times New Roman" w:hAnsi="Times New Roman" w:cs="仿宋"/>
          <w:sz w:val="24"/>
          <w:szCs w:val="24"/>
        </w:rPr>
        <w:t xml:space="preserve">江苏政府采购网</w:t>
      </w:r>
      <w:bookmarkEnd w:id="49"/>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3.宿迁地区“苏采云”系统技术支持客服电话：0527-84225125、0519-86722806。</w:t>
      </w:r>
      <w:bookmarkEnd w:id="43"/>
      <w:r/>
      <w:r/>
    </w:p>
    <w:p>
      <w:pPr>
        <w:ind w:firstLine="480"/>
        <w:spacing w:line="480" w:lineRule="exact"/>
        <w:rPr>
          <w:rFonts w:ascii="Times New Roman" w:hAnsi="Times New Roman" w:cs="仿宋"/>
          <w:sz w:val="24"/>
        </w:rPr>
      </w:pPr>
      <w:r/>
      <w:bookmarkStart w:id="50"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w:t>
      </w:r>
      <w:r>
        <w:rPr>
          <w:rFonts w:hint="eastAsia" w:ascii="Times New Roman" w:hAnsi="Times New Roman" w:cs="仿宋"/>
          <w:sz w:val="24"/>
        </w:rPr>
        <w:t xml:space="preserve">：0527-84363063。</w:t>
      </w:r>
      <w:r/>
    </w:p>
    <w:p>
      <w:pPr>
        <w:pStyle w:val="817"/>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44"/>
      <w:r/>
      <w:bookmarkEnd w:id="45"/>
      <w:r/>
      <w:bookmarkEnd w:id="46"/>
      <w:r/>
      <w:bookmarkEnd w:id="47"/>
      <w:r/>
      <w:bookmarkEnd w:id="48"/>
      <w:r/>
      <w:bookmarkEnd w:id="50"/>
      <w:r/>
      <w:r/>
    </w:p>
    <w:p>
      <w:pPr>
        <w:ind w:firstLine="480"/>
        <w:jc w:val="left"/>
        <w:spacing w:line="480" w:lineRule="exact"/>
        <w:widowControl/>
        <w:rPr>
          <w:rFonts w:hint="eastAsia" w:ascii="宋体" w:hAnsi="宋体"/>
          <w:color w:val="000000"/>
          <w:sz w:val="24"/>
          <w:szCs w:val="24"/>
        </w:rPr>
      </w:pPr>
      <w:r/>
      <w:bookmarkStart w:id="51" w:name="_Toc28359086"/>
      <w:r/>
      <w:bookmarkStart w:id="52" w:name="_Toc28359009"/>
      <w:r>
        <w:rPr>
          <w:rFonts w:hint="eastAsia" w:ascii="宋体" w:hAnsi="宋体" w:cs="宋体"/>
          <w:color w:val="000000"/>
          <w:sz w:val="24"/>
          <w:szCs w:val="24"/>
        </w:rPr>
        <w:t xml:space="preserve">1.采购人信息</w:t>
      </w:r>
      <w:r/>
    </w:p>
    <w:p>
      <w:pPr>
        <w:ind w:firstLine="480"/>
        <w:jc w:val="left"/>
        <w:spacing w:line="480" w:lineRule="exact"/>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lang w:eastAsia="zh-CN"/>
        </w:rPr>
        <w:t xml:space="preserve">宿迁市洋河高级中学</w:t>
      </w:r>
      <w:r>
        <w:rPr>
          <w:rFonts w:hint="eastAsia" w:ascii="宋体" w:hAnsi="宋体"/>
          <w:color w:val="000000"/>
          <w:sz w:val="24"/>
          <w:szCs w:val="24"/>
          <w:u w:val="single"/>
        </w:rPr>
        <w:t xml:space="preserve">  </w:t>
      </w:r>
      <w:r/>
    </w:p>
    <w:p>
      <w:pPr>
        <w:ind w:firstLine="480"/>
        <w:jc w:val="left"/>
        <w:spacing w:line="480" w:lineRule="exact"/>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Times New Roman" w:hAnsi="Times New Roman"/>
          <w:color w:val="000000"/>
          <w:sz w:val="24"/>
          <w:szCs w:val="24"/>
          <w:u w:val="single"/>
          <w:lang w:eastAsia="zh-CN"/>
        </w:rPr>
        <w:t xml:space="preserve">宿迁市洋河新区洋河大道6号</w:t>
      </w:r>
      <w:r>
        <w:rPr>
          <w:rFonts w:hint="eastAsia" w:ascii="宋体" w:hAnsi="宋体"/>
          <w:color w:val="000000"/>
          <w:sz w:val="24"/>
          <w:szCs w:val="24"/>
          <w:u w:val="single"/>
        </w:rPr>
        <w:t xml:space="preserve"> </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李想</w:t>
      </w:r>
      <w:r>
        <w:rPr>
          <w:rFonts w:ascii="Times New Roman" w:hAnsi="Times New Roman"/>
          <w:color w:val="000000"/>
          <w:sz w:val="24"/>
          <w:szCs w:val="24"/>
          <w:u w:val="single"/>
        </w:rPr>
        <w:t xml:space="preserve">   </w:t>
      </w:r>
      <w:r>
        <w:rPr>
          <w:rFonts w:hint="eastAsia" w:ascii="宋体" w:hAnsi="宋体"/>
          <w:color w:val="000000"/>
          <w:sz w:val="24"/>
          <w:szCs w:val="24"/>
          <w:u w:val="single"/>
        </w:rPr>
        <w:t xml:space="preserve">    </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ascii="Times New Roman" w:hAnsi="Times New Roman"/>
          <w:color w:val="000000"/>
          <w:sz w:val="24"/>
          <w:szCs w:val="24"/>
          <w:u w:val="single"/>
        </w:rPr>
        <w:t xml:space="preserve">  </w:t>
      </w:r>
      <w:r>
        <w:rPr>
          <w:rFonts w:hint="eastAsia" w:ascii="Times New Roman" w:hAnsi="Times New Roman"/>
          <w:color w:val="000000"/>
          <w:sz w:val="24"/>
          <w:szCs w:val="24"/>
          <w:u w:val="single"/>
          <w:lang w:eastAsia="zh-CN"/>
        </w:rPr>
        <w:t xml:space="preserve">17601091377</w:t>
      </w:r>
      <w:r>
        <w:rPr>
          <w:rFonts w:ascii="Times New Roman" w:hAnsi="Times New Roman"/>
          <w:color w:val="000000"/>
          <w:sz w:val="24"/>
          <w:szCs w:val="24"/>
          <w:u w:val="single"/>
        </w:rPr>
        <w:t xml:space="preserve">  </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1"/>
      <w:r/>
      <w:bookmarkEnd w:id="52"/>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p>
    <w:p>
      <w:pPr>
        <w:ind w:firstLine="480"/>
        <w:spacing w:line="480" w:lineRule="exact"/>
        <w:rPr>
          <w:rFonts w:hint="eastAsia" w:ascii="宋体" w:hAnsi="宋体"/>
          <w:color w:val="000000"/>
          <w:sz w:val="24"/>
          <w:szCs w:val="24"/>
          <w:u w:val="single"/>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唐霆         </w:t>
      </w:r>
      <w:r/>
    </w:p>
    <w:p>
      <w:pPr>
        <w:ind w:firstLine="480"/>
        <w:spacing w:line="480" w:lineRule="exact"/>
        <w:rPr>
          <w:rFonts w:ascii="仿宋_GB2312" w:eastAsia="仿宋_GB2312"/>
          <w:color w:val="000000"/>
          <w:sz w:val="24"/>
          <w:u w:val="single"/>
        </w:rPr>
      </w:pPr>
      <w:r>
        <w:rPr>
          <w:rFonts w:hint="eastAsia" w:ascii="宋体" w:hAnsi="宋体"/>
          <w:color w:val="000000"/>
          <w:sz w:val="24"/>
          <w:szCs w:val="24"/>
        </w:rPr>
        <w:t xml:space="preserve">联系方式：</w:t>
      </w:r>
      <w:bookmarkStart w:id="53" w:name="_Toc28359087"/>
      <w:r/>
      <w:bookmarkStart w:id="54" w:name="_Toc28359010"/>
      <w:r>
        <w:rPr>
          <w:rFonts w:hint="eastAsia" w:ascii="宋体" w:hAnsi="宋体"/>
          <w:color w:val="000000"/>
          <w:sz w:val="24"/>
          <w:szCs w:val="24"/>
          <w:u w:val="single"/>
        </w:rPr>
        <w:t xml:space="preserve">0527-8439603</w:t>
      </w:r>
      <w:bookmarkEnd w:id="53"/>
      <w:r/>
      <w:bookmarkEnd w:id="54"/>
      <w:r>
        <w:rPr>
          <w:rFonts w:hint="eastAsia" w:ascii="宋体" w:hAnsi="宋体"/>
          <w:color w:val="000000"/>
          <w:sz w:val="24"/>
          <w:szCs w:val="24"/>
          <w:u w:val="single"/>
        </w:rPr>
        <w:t xml:space="preserve">5 </w:t>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55" w:name="_Toc3314"/>
      <w:r/>
      <w:bookmarkStart w:id="56" w:name="_Toc11687"/>
      <w:r/>
      <w:bookmarkStart w:id="57" w:name="_Toc15265"/>
      <w:r/>
      <w:bookmarkStart w:id="58" w:name="_Toc81575190"/>
      <w:r/>
      <w:bookmarkStart w:id="59" w:name="_Toc81575153"/>
      <w:r>
        <w:rPr>
          <w:rFonts w:hint="eastAsia" w:eastAsia="黑体"/>
          <w:sz w:val="44"/>
        </w:rPr>
        <w:t xml:space="preserve">第二章  投标人须知</w:t>
      </w:r>
      <w:bookmarkEnd w:id="55"/>
      <w:r/>
      <w:bookmarkEnd w:id="56"/>
      <w:r/>
      <w:bookmarkEnd w:id="57"/>
      <w:r/>
      <w:bookmarkEnd w:id="58"/>
      <w:r/>
      <w:bookmarkEnd w:id="59"/>
      <w:r/>
      <w:r/>
    </w:p>
    <w:p>
      <w:pPr>
        <w:pStyle w:val="817"/>
        <w:spacing w:before="0" w:after="120" w:line="520" w:lineRule="exact"/>
        <w:rPr>
          <w:rFonts w:eastAsia="宋体" w:cs="Arial"/>
          <w:bCs/>
          <w:szCs w:val="22"/>
        </w:rPr>
      </w:pPr>
      <w:r/>
      <w:bookmarkStart w:id="60" w:name="_Toc4529"/>
      <w:r>
        <w:rPr>
          <w:rFonts w:hint="eastAsia" w:eastAsia="宋体" w:cs="Arial"/>
          <w:bCs/>
          <w:szCs w:val="22"/>
        </w:rPr>
        <w:t xml:space="preserve">投标人须知前附表：</w:t>
      </w:r>
      <w:bookmarkEnd w:id="60"/>
      <w:r/>
      <w:r/>
    </w:p>
    <w:tbl>
      <w:tblPr>
        <w:tblStyle w:val="763"/>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61" w:name="_Toc81575154"/>
            <w:r/>
            <w:bookmarkStart w:id="62" w:name="_Toc29262"/>
            <w:r/>
            <w:bookmarkStart w:id="63" w:name="_Toc81575191"/>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4" w:name="EB9a5853ee094f4f0ea6ec3169265f6f2c"/>
            <w:r>
              <w:rPr>
                <w:rFonts w:hint="eastAsia" w:ascii="Times New Roman" w:hAnsi="Times New Roman" w:cs="仿宋"/>
                <w:sz w:val="24"/>
                <w:szCs w:val="24"/>
              </w:rPr>
              <w:t xml:space="preserve">属性按以下第</w:t>
            </w:r>
            <w:bookmarkEnd w:id="64"/>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65" w:name="EBd5c6c026f9674c39b21b31ecd0c1e7fa"/>
            <w:r>
              <w:rPr>
                <w:rFonts w:hint="eastAsia" w:ascii="Times New Roman" w:hAnsi="Times New Roman" w:cs="仿宋"/>
                <w:sz w:val="24"/>
                <w:szCs w:val="24"/>
              </w:rPr>
              <w:t xml:space="preserve">采购；2.</w:t>
            </w:r>
            <w:bookmarkEnd w:id="65"/>
            <w:r>
              <w:rPr>
                <w:rFonts w:hint="eastAsia" w:ascii="Times New Roman" w:hAnsi="Times New Roman" w:cs="仿宋"/>
                <w:sz w:val="24"/>
                <w:szCs w:val="24"/>
              </w:rPr>
              <w:t xml:space="preserve">服务</w:t>
            </w:r>
            <w:bookmarkStart w:id="66" w:name="EBf7d2a4f44ecb4166a93ea852e73be69f"/>
            <w:r>
              <w:rPr>
                <w:rFonts w:hint="eastAsia" w:ascii="Times New Roman" w:hAnsi="Times New Roman" w:cs="仿宋"/>
                <w:sz w:val="24"/>
                <w:szCs w:val="24"/>
              </w:rPr>
              <w:t xml:space="preserve">采购；3.</w:t>
            </w:r>
            <w:bookmarkEnd w:id="66"/>
            <w:r>
              <w:rPr>
                <w:rFonts w:hint="eastAsia" w:ascii="Times New Roman" w:hAnsi="Times New Roman" w:cs="仿宋"/>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67" w:name="EBd40b5fb42f2944a3b45e579ce3941f02"/>
            <w:r/>
            <w:bookmarkEnd w:id="67"/>
            <w:r>
              <w:rPr>
                <w:rFonts w:hint="eastAsia" w:ascii="Times New Roman" w:hAnsi="Times New Roman" w:cs="仿宋"/>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lang w:val="en-US" w:eastAsia="zh-CN"/>
              </w:rPr>
              <w:t xml:space="preserve">1</w:t>
            </w:r>
            <w:r>
              <w:rPr>
                <w:rFonts w:hint="eastAsia" w:ascii="Times New Roman" w:hAnsi="Times New Roman" w:cs="仿宋"/>
                <w:sz w:val="24"/>
                <w:szCs w:val="24"/>
              </w:rPr>
              <w:t xml:space="preserve">种方式确定中标人：</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1.采购人按规定在评标委员会推荐的中标候选人中确定中标人；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68" w:name="EBebac1462c5d9459fbda8a75065c2455d"/>
            <w:r>
              <w:rPr>
                <w:rFonts w:hint="eastAsia" w:ascii="Times New Roman" w:hAnsi="Times New Roman" w:cs="仿宋"/>
                <w:sz w:val="24"/>
                <w:szCs w:val="24"/>
              </w:rPr>
              <w:t xml:space="preserve">本项目的非主体、非关键性工作是否允许分包</w:t>
            </w:r>
            <w:bookmarkEnd w:id="68"/>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69"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69"/>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0" w:name="EBfe735bb6fc4d4e5e9e350f940db98c5f"/>
            <w:r/>
            <w:bookmarkEnd w:id="70"/>
            <w:r>
              <w:rPr>
                <w:rFonts w:hint="eastAsia" w:ascii="Times New Roman" w:hAnsi="Times New Roman" w:cs="仿宋"/>
                <w:sz w:val="24"/>
                <w:szCs w:val="24"/>
              </w:rPr>
              <w:t xml:space="preserve">本项目不收取代理费。</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61"/>
            <w:r/>
            <w:bookmarkEnd w:id="62"/>
            <w:r/>
            <w:bookmarkEnd w:id="63"/>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pStyle w:val="817"/>
        <w:ind w:firstLine="321"/>
        <w:spacing w:before="0" w:after="0" w:line="480" w:lineRule="exact"/>
        <w:rPr>
          <w:rFonts w:eastAsia="宋体" w:cs="Arial"/>
          <w:bCs/>
          <w:szCs w:val="22"/>
        </w:rPr>
      </w:pPr>
      <w:r/>
      <w:bookmarkStart w:id="71" w:name="EB6eaaf474639940df900ef4965d71f450"/>
      <w:r/>
      <w:bookmarkEnd w:id="71"/>
      <w:r/>
      <w:bookmarkStart w:id="72" w:name="_Toc30953"/>
      <w:r/>
      <w:bookmarkStart w:id="73" w:name="_Toc81575155"/>
      <w:r/>
      <w:bookmarkStart w:id="74" w:name="_Toc8239"/>
      <w:r/>
      <w:bookmarkStart w:id="75" w:name="_Toc81575192"/>
      <w:r>
        <w:rPr>
          <w:rFonts w:hint="eastAsia" w:eastAsia="宋体" w:cs="Arial"/>
          <w:bCs/>
          <w:szCs w:val="22"/>
        </w:rPr>
        <w:t xml:space="preserve">一、总 则</w:t>
      </w:r>
      <w:bookmarkEnd w:id="72"/>
      <w:r/>
      <w:bookmarkEnd w:id="73"/>
      <w:r/>
      <w:bookmarkEnd w:id="74"/>
      <w:r/>
      <w:bookmarkEnd w:id="7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本次招标及由招标产生的合同受中华人民共和国的相关法律、法规制约和保护。</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17"/>
        <w:ind w:firstLine="321"/>
        <w:spacing w:before="0" w:after="0" w:line="480" w:lineRule="exact"/>
        <w:rPr>
          <w:rFonts w:eastAsia="宋体" w:cs="Arial"/>
          <w:bCs/>
          <w:szCs w:val="22"/>
        </w:rPr>
      </w:pPr>
      <w:r/>
      <w:bookmarkStart w:id="76" w:name="_Toc81575193"/>
      <w:r/>
      <w:bookmarkStart w:id="77" w:name="_Toc15995"/>
      <w:r/>
      <w:bookmarkStart w:id="78" w:name="_Toc29306"/>
      <w:r/>
      <w:bookmarkStart w:id="79" w:name="_Toc81575156"/>
      <w:r>
        <w:rPr>
          <w:rFonts w:hint="eastAsia" w:eastAsia="宋体" w:cs="Arial"/>
          <w:bCs/>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b/>
          <w:bCs/>
          <w:color w:val="000000"/>
          <w:sz w:val="24"/>
          <w:u w:val="single"/>
        </w:rPr>
        <w:t xml:space="preserve">（1）</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color w:val="ff0000"/>
          <w:sz w:val="24"/>
          <w:u w:val="single"/>
        </w:rPr>
        <w:t xml:space="preserve">/</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采用综合评分法的项目，对提供有效节能环境标志证书的投标人加分。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7.3投标人应及时登录“苏采云”系统获取澄清答疑文件（修改后的招标文件），如投标人未能及时下载澄清答疑文件，造成的相关责任由投标人承担。</w:t>
      </w:r>
      <w:r/>
    </w:p>
    <w:p>
      <w:pPr>
        <w:pStyle w:val="817"/>
        <w:ind w:firstLine="321"/>
        <w:spacing w:before="0" w:after="0" w:line="480" w:lineRule="exact"/>
        <w:rPr>
          <w:rFonts w:eastAsia="宋体" w:cs="Arial"/>
          <w:bCs/>
          <w:szCs w:val="22"/>
        </w:rPr>
      </w:pPr>
      <w:r/>
      <w:bookmarkStart w:id="80" w:name="_Toc11461"/>
      <w:r/>
      <w:bookmarkStart w:id="81" w:name="_Toc5574"/>
      <w:r/>
      <w:bookmarkStart w:id="82" w:name="_Toc81575157"/>
      <w:r/>
      <w:bookmarkStart w:id="83" w:name="_Toc81575194"/>
      <w:r>
        <w:rPr>
          <w:rFonts w:hint="eastAsia" w:eastAsia="宋体" w:cs="Arial"/>
          <w:bCs/>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9.1投标文件包括资格证明文件、开标一览表、分项报价表、响应及偏离表、投标函、其他证明文件等部分。</w:t>
      </w:r>
      <w:r>
        <w:rPr>
          <w:rFonts w:hint="eastAsia" w:ascii="Times New Roman" w:hAnsi="Times New Roman" w:cs="仿宋"/>
          <w:bCs/>
          <w:sz w:val="24"/>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85"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17"/>
        <w:ind w:firstLine="321"/>
        <w:spacing w:before="0" w:after="0" w:line="480" w:lineRule="exact"/>
        <w:rPr>
          <w:rFonts w:eastAsia="宋体" w:cs="Arial"/>
          <w:bCs/>
          <w:szCs w:val="22"/>
        </w:rPr>
      </w:pPr>
      <w:r/>
      <w:bookmarkStart w:id="86" w:name="_Toc2773"/>
      <w:r/>
      <w:bookmarkStart w:id="87" w:name="_Toc81575158"/>
      <w:r/>
      <w:bookmarkStart w:id="88" w:name="_Toc81575195"/>
      <w:r/>
      <w:bookmarkStart w:id="89" w:name="_Toc23443"/>
      <w:r>
        <w:rPr>
          <w:rFonts w:hint="eastAsia" w:eastAsia="宋体" w:cs="Arial"/>
          <w:bCs/>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17"/>
        <w:ind w:firstLine="321"/>
        <w:spacing w:before="0" w:after="0" w:line="520" w:lineRule="exact"/>
        <w:rPr>
          <w:rFonts w:eastAsia="宋体" w:cs="Arial"/>
          <w:bCs/>
          <w:szCs w:val="22"/>
        </w:rPr>
      </w:pPr>
      <w:r/>
      <w:bookmarkStart w:id="90" w:name="_Toc959"/>
      <w:r/>
      <w:bookmarkStart w:id="91" w:name="_Toc20026"/>
      <w:r/>
      <w:bookmarkStart w:id="92" w:name="_Toc81575197"/>
      <w:r/>
      <w:bookmarkStart w:id="93" w:name="_Toc81575160"/>
      <w:r>
        <w:rPr>
          <w:rFonts w:hint="eastAsia" w:eastAsia="宋体" w:cs="Arial"/>
          <w:bCs/>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94"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④总价金额与按单价汇总金额不一致的，以单价金额计算结果为准。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17.7异常低价投标审查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17.7.1评标过程中出现下列情形之一的，评标委员会应当启动异常低价投标审查程序：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（1）投标报价低于采购项目预算50%的，即投标报价＜采购项目预算×50%；</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（2）投标报价低于采购项目最高限价45%的，即投标报价＜采购项目最高限价×45%；</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17.8比较</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17.9推荐中标候选人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评标委员会按照招标文件中规定的评标方法和标准推荐中标候选人。</w:t>
      </w:r>
      <w:r/>
    </w:p>
    <w:p>
      <w:pPr>
        <w:pStyle w:val="817"/>
        <w:ind w:firstLine="321"/>
        <w:spacing w:before="0" w:after="0" w:line="480" w:lineRule="exact"/>
        <w:rPr>
          <w:rFonts w:eastAsia="宋体" w:cs="Arial"/>
          <w:bCs/>
          <w:szCs w:val="22"/>
        </w:rPr>
      </w:pPr>
      <w:r/>
      <w:bookmarkStart w:id="96" w:name="_Toc81575196"/>
      <w:r/>
      <w:bookmarkStart w:id="97" w:name="_Toc81575159"/>
      <w:r/>
      <w:bookmarkStart w:id="98" w:name="_Toc8712"/>
      <w:r/>
      <w:bookmarkStart w:id="99" w:name="_Toc8841"/>
      <w:r>
        <w:rPr>
          <w:rFonts w:hint="eastAsia" w:eastAsia="宋体" w:cs="Arial"/>
          <w:bCs/>
          <w:szCs w:val="22"/>
        </w:rPr>
        <w:t xml:space="preserve">六、无效投标、废标、串通投标</w:t>
      </w:r>
      <w:bookmarkEnd w:id="96"/>
      <w:r/>
      <w:bookmarkEnd w:id="97"/>
      <w:r/>
      <w:bookmarkEnd w:id="98"/>
      <w:r/>
      <w:bookmarkEnd w:id="99"/>
      <w:r>
        <w:rPr>
          <w:rFonts w:hint="eastAsia" w:eastAsia="宋体" w:cs="Arial"/>
          <w:bCs/>
          <w:szCs w:val="22"/>
        </w:rPr>
        <w:t xml:space="preserve">及取消中标候选人资格情形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18、无效投标情形</w:t>
      </w:r>
      <w:r/>
    </w:p>
    <w:p>
      <w:pPr>
        <w:ind w:firstLine="480"/>
        <w:spacing w:line="480" w:lineRule="exact"/>
        <w:rPr>
          <w:rFonts w:ascii="Times New Roman" w:hAnsi="Times New Roman" w:cs="仿宋"/>
          <w:strike/>
          <w:sz w:val="24"/>
        </w:rPr>
      </w:pPr>
      <w:r>
        <w:rPr>
          <w:rFonts w:hint="eastAsia" w:ascii="Times New Roman" w:hAnsi="Times New Roman" w:cs="仿宋"/>
          <w:sz w:val="24"/>
        </w:rPr>
        <w:t xml:space="preserve">18.1投标人同一采购包提交两个（含两个）以上不同的投标报价的。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18.2投标人不符合招标文件规定资格要求的或未按规定提交资质证件的。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18.3投标人的报价超过了采购预算或最高限价的。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18.7投标文件未按照招标文件要求加盖CA电子公章的。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18.8投标人有本招标文件规定的恶意串通投标情形的。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19.5在“苏采云”系统规定时间内成功解密电子投标文件的投标人不足3家的。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21.3供应商接受采购人或采购代理机构授意撤换、修改投标文件；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21.4供应商之间协商投标报价、技术方案等投标文件实质性内容；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21.5属于同一集团、协会、商会等组织成员的供应商按照该组织要求协同投标；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21.6供应商之间事先约定由某一特定供应商中标、成交；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21.7供应商之间商定部分供应商放弃投标或者放弃中标、成交；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100" w:name="OLE_LINK4"/>
      <w:r>
        <w:rPr>
          <w:rFonts w:hint="eastAsia" w:ascii="Times New Roman" w:hAnsi="Times New Roman" w:cs="仿宋"/>
          <w:b/>
          <w:sz w:val="24"/>
        </w:rPr>
        <w:t xml:space="preserve">取消中标候选人资格情形</w:t>
      </w:r>
      <w:bookmarkEnd w:id="100"/>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1" w:name="_Toc6494"/>
      <w:r/>
      <w:bookmarkStart w:id="102" w:name="_Toc2391"/>
      <w:r/>
      <w:bookmarkStart w:id="103" w:name="_Toc81575198"/>
      <w:r/>
      <w:bookmarkStart w:id="104" w:name="_Toc81575161"/>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1"/>
      <w:r/>
      <w:bookmarkEnd w:id="102"/>
      <w:r/>
      <w:bookmarkEnd w:id="103"/>
      <w:r/>
      <w:bookmarkEnd w:id="104"/>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5" w:name="OLE_LINK5"/>
      <w:r>
        <w:rPr>
          <w:rFonts w:hint="eastAsia" w:ascii="Times New Roman" w:hAnsi="Times New Roman" w:cs="仿宋"/>
          <w:sz w:val="24"/>
        </w:rPr>
        <w:t xml:space="preserve">自己的评审得分及排序情况。</w:t>
      </w:r>
      <w:bookmarkEnd w:id="105"/>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b/>
          <w:bCs/>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17"/>
        <w:spacing w:before="0" w:after="0" w:line="520" w:lineRule="exact"/>
        <w:rPr>
          <w:rFonts w:eastAsia="宋体" w:cs="Arial"/>
          <w:bCs/>
          <w:szCs w:val="22"/>
        </w:rPr>
      </w:pPr>
      <w:r/>
      <w:bookmarkStart w:id="106" w:name="_Toc81575199"/>
      <w:r/>
      <w:bookmarkStart w:id="107" w:name="_Toc7550"/>
      <w:r/>
      <w:bookmarkStart w:id="108" w:name="_Toc22084"/>
      <w:r/>
      <w:bookmarkStart w:id="109" w:name="_Toc81575162"/>
      <w:r>
        <w:rPr>
          <w:rFonts w:hint="eastAsia" w:eastAsia="宋体" w:cs="Arial"/>
          <w:bCs/>
          <w:szCs w:val="22"/>
        </w:rPr>
        <w:t xml:space="preserve">八、</w:t>
      </w:r>
      <w:bookmarkEnd w:id="106"/>
      <w:r/>
      <w:bookmarkEnd w:id="107"/>
      <w:r/>
      <w:bookmarkEnd w:id="108"/>
      <w:r/>
      <w:bookmarkEnd w:id="109"/>
      <w:r/>
      <w:bookmarkStart w:id="110" w:name="_Toc31888"/>
      <w:r/>
      <w:bookmarkStart w:id="111" w:name="_Toc81575163"/>
      <w:r/>
      <w:bookmarkStart w:id="112" w:name="_Toc12263"/>
      <w:r/>
      <w:bookmarkStart w:id="113" w:name="_Toc81575200"/>
      <w:r>
        <w:rPr>
          <w:rFonts w:hint="eastAsia" w:eastAsia="宋体" w:cs="Arial"/>
          <w:bCs/>
          <w:szCs w:val="22"/>
        </w:rPr>
        <w:t xml:space="preserve">质疑与投诉</w:t>
      </w:r>
      <w:bookmarkEnd w:id="110"/>
      <w:r/>
      <w:bookmarkEnd w:id="111"/>
      <w:r/>
      <w:bookmarkEnd w:id="112"/>
      <w:r/>
      <w:bookmarkEnd w:id="11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29.1供应商认为采购文件、采购过程和中标结果使自己的权益受到损害的，可以在知道或者应知其权益受到损害之日起七个工作日内，</w:t>
      </w:r>
      <w:bookmarkStart w:id="114" w:name="OLE_LINK2"/>
      <w:r>
        <w:rPr>
          <w:rFonts w:hint="eastAsia" w:ascii="Times New Roman" w:hAnsi="Times New Roman" w:cs="仿宋"/>
          <w:b/>
          <w:bCs/>
          <w:sz w:val="24"/>
        </w:rPr>
        <w:t xml:space="preserve">登录“苏采云”系统，从“项目质疑申请”模块向采购人提出质疑</w:t>
      </w:r>
      <w:bookmarkEnd w:id="114"/>
      <w:r>
        <w:rPr>
          <w:rFonts w:hint="eastAsia" w:ascii="Times New Roman" w:hAnsi="Times New Roman" w:cs="仿宋"/>
          <w:b/>
          <w:bCs/>
          <w:sz w:val="24"/>
        </w:rPr>
        <w:t xml:space="preserve">。</w:t>
      </w:r>
      <w:bookmarkStart w:id="115" w:name="OLE_LINK1"/>
      <w:r>
        <w:rPr>
          <w:rFonts w:hint="eastAsia" w:ascii="Times New Roman" w:hAnsi="Times New Roman" w:cs="仿宋"/>
          <w:sz w:val="24"/>
        </w:rPr>
        <w:t xml:space="preserve">质疑联系部门、联系电话、通讯地址详见采购公告。</w:t>
      </w:r>
      <w:bookmarkEnd w:id="115"/>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质疑供应商对答复不满意或采购人、采购代理机构未在规定时间内作出答复的，可在答复期满后15个工作日内向同级财政部门提起投诉。</w:t>
      </w:r>
      <w:r/>
    </w:p>
    <w:p>
      <w:pPr>
        <w:pStyle w:val="816"/>
        <w:jc w:val="center"/>
        <w:spacing w:before="200"/>
      </w:pPr>
      <w:r/>
      <w:bookmarkStart w:id="116" w:name="EB4d341233595e4bf8ad7006b4bd78d974"/>
      <w:r/>
      <w:bookmarkEnd w:id="116"/>
      <w:r/>
      <w:bookmarkStart w:id="117" w:name="_Toc81575201"/>
      <w:r/>
      <w:bookmarkStart w:id="118" w:name="_Toc81575164"/>
      <w:r/>
      <w:bookmarkStart w:id="119" w:name="_Hlk166141273"/>
      <w:r>
        <w:rPr>
          <w:rFonts w:hint="eastAsia"/>
        </w:rPr>
        <w:br w:type="page" w:clear="all"/>
      </w:r>
      <w:bookmarkStart w:id="120" w:name="_Toc23386"/>
      <w:r>
        <w:rPr>
          <w:rFonts w:hint="eastAsia" w:ascii="Calibri" w:hAnsi="Calibri" w:eastAsia="宋体" w:cs="Times New Roman"/>
          <w:b/>
          <w:sz w:val="44"/>
          <w:szCs w:val="44"/>
        </w:rPr>
        <w:t xml:space="preserve">第三章  资格审查及评标</w:t>
      </w:r>
      <w:bookmarkEnd w:id="117"/>
      <w:r/>
      <w:bookmarkEnd w:id="118"/>
      <w:r>
        <w:rPr>
          <w:rFonts w:hint="eastAsia" w:ascii="Calibri" w:hAnsi="Calibri" w:eastAsia="宋体" w:cs="Times New Roman"/>
          <w:b/>
          <w:sz w:val="44"/>
          <w:szCs w:val="44"/>
        </w:rPr>
        <w:t xml:space="preserve">方法</w:t>
      </w:r>
      <w:bookmarkEnd w:id="120"/>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76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投标声明及承诺函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76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人员配备承诺函</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p>
    <w:tbl>
      <w:tblPr>
        <w:tblStyle w:val="763"/>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431"/>
      </w:tblGrid>
      <w:tr>
        <w:trPr>
          <w:jc w:val="center"/>
          <w:trHeight w:val="572"/>
        </w:trPr>
        <w:tc>
          <w:tcPr>
            <w:tcW w:w="1646" w:type="dxa"/>
            <w:vAlign w:val="center"/>
            <w:textDirection w:val="lrTb"/>
            <w:noWrap w:val="false"/>
          </w:tcPr>
          <w:p>
            <w:pPr>
              <w:jc w:val="center"/>
              <w:widowControl/>
              <w:rPr>
                <w:rFonts w:ascii="Times New Roman" w:hAnsi="Times New Roman" w:cs="宋体"/>
                <w:color w:val="000000"/>
                <w:sz w:val="24"/>
                <w:szCs w:val="24"/>
              </w:rPr>
            </w:pPr>
            <w:r/>
            <w:bookmarkStart w:id="121" w:name="RANGE!A1"/>
            <w:r>
              <w:rPr>
                <w:rFonts w:hint="eastAsia" w:ascii="Times New Roman" w:hAnsi="Times New Roman" w:cs="宋体"/>
                <w:color w:val="000000"/>
                <w:sz w:val="24"/>
                <w:szCs w:val="24"/>
              </w:rPr>
              <w:t xml:space="preserve">评审因素</w:t>
            </w:r>
            <w:r/>
          </w:p>
        </w:tc>
        <w:tc>
          <w:tcPr>
            <w:tcW w:w="1028"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分数</w:t>
            </w:r>
            <w:r/>
          </w:p>
        </w:tc>
        <w:tc>
          <w:tcPr>
            <w:tcW w:w="6431"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评审标准</w:t>
            </w:r>
            <w:r/>
          </w:p>
        </w:tc>
      </w:tr>
      <w:tr>
        <w:trPr>
          <w:jc w:val="center"/>
          <w:trHeight w:val="274"/>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投标报价</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25.00分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采用低价优先法计算，即满足招标文件要求且投标价格最低的投标报价为评标基准价，其价格分为满分。其他投标人投标报价得分＝（评标基准价/投标报价）*25。</w:t>
            </w:r>
            <w:r/>
          </w:p>
        </w:tc>
      </w:tr>
      <w:tr>
        <w:trPr>
          <w:jc w:val="center"/>
          <w:trHeight w:val="302"/>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服务要求承诺（一）及相关服务方案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14.00分</w:t>
            </w:r>
            <w:r/>
          </w:p>
        </w:tc>
        <w:tc>
          <w:tcPr>
            <w:tcW w:w="6431" w:type="dxa"/>
            <w:vAlign w:val="center"/>
            <w:textDirection w:val="lrTb"/>
            <w:noWrap w:val="false"/>
          </w:tcPr>
          <w:p>
            <w:pPr>
              <w:jc w:val="left"/>
              <w:spacing w:line="400" w:lineRule="exact"/>
              <w:widowControl/>
              <w:rPr>
                <w:rFonts w:ascii="Times New Roman" w:hAnsi="Times New Roman"/>
                <w:color w:val="000000"/>
              </w:rPr>
            </w:pPr>
            <w:r>
              <w:rPr>
                <w:rFonts w:hint="eastAsia" w:ascii="Times New Roman" w:hAnsi="Times New Roman" w:cs="宋体"/>
                <w:color w:val="000000"/>
                <w:szCs w:val="24"/>
              </w:rPr>
              <w:t xml:space="preserve">1.投标人承诺中标后按照“第四部分、采购需求-三、物业管理服务内容及标准-3.1基本服务、3.2公用设施设备维护服务、3.3</w:t>
            </w:r>
            <w:r>
              <w:rPr>
                <w:rFonts w:hint="eastAsia" w:ascii="Times New Roman" w:hAnsi="Times New Roman" w:cs="宋体"/>
                <w:color w:val="auto"/>
                <w:szCs w:val="24"/>
              </w:rPr>
              <w:t xml:space="preserve">宿舍管理服务</w:t>
            </w:r>
            <w:r>
              <w:rPr>
                <w:rFonts w:hint="eastAsia" w:ascii="Times New Roman" w:hAnsi="Times New Roman" w:cs="宋体"/>
                <w:color w:val="000000"/>
                <w:szCs w:val="24"/>
              </w:rPr>
              <w:t xml:space="preserve">”的标准服务的，得13分。注：投标文件中需提供加盖本单位公章的承诺函电子件，格式见招标文件“第六部分”，未提供不得分。2.投标人对3.1基本服务、3.2公用设施设备维护服务、3.3</w:t>
            </w:r>
            <w:r>
              <w:rPr>
                <w:rFonts w:hint="eastAsia" w:ascii="Times New Roman" w:hAnsi="Times New Roman" w:cs="宋体"/>
                <w:color w:val="auto"/>
                <w:szCs w:val="24"/>
              </w:rPr>
              <w:t xml:space="preserve">宿舍管理服务</w:t>
            </w:r>
            <w:r>
              <w:rPr>
                <w:rFonts w:hint="eastAsia" w:ascii="Times New Roman" w:hAnsi="Times New Roman" w:cs="宋体"/>
                <w:color w:val="000000"/>
                <w:szCs w:val="24"/>
              </w:rPr>
              <w:t xml:space="preserve">的采购需求内容，自行提供上述服务方案，服务方案全部优于采购需求的，得1分；未提供不得分。</w:t>
            </w:r>
            <w:r/>
          </w:p>
        </w:tc>
      </w:tr>
      <w:tr>
        <w:trPr>
          <w:jc w:val="center"/>
          <w:trHeight w:val="1751"/>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服务要求承诺（二）及相关服务方案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14.00分</w:t>
            </w:r>
            <w:r/>
          </w:p>
        </w:tc>
        <w:tc>
          <w:tcPr>
            <w:tcW w:w="6431" w:type="dxa"/>
            <w:vAlign w:val="center"/>
            <w:textDirection w:val="lrTb"/>
            <w:noWrap w:val="false"/>
          </w:tcPr>
          <w:p>
            <w:pPr>
              <w:jc w:val="left"/>
              <w:spacing w:line="400" w:lineRule="exact"/>
              <w:widowControl/>
              <w:rPr>
                <w:rFonts w:ascii="Times New Roman" w:hAnsi="Times New Roman" w:eastAsia="宋体" w:cs="Times New Roman"/>
                <w:color w:val="000000"/>
                <w:sz w:val="21"/>
                <w:szCs w:val="22"/>
              </w:rPr>
            </w:pPr>
            <w:r>
              <w:rPr>
                <w:rFonts w:hint="eastAsia" w:ascii="Times New Roman" w:hAnsi="Times New Roman" w:cs="宋体"/>
                <w:color w:val="000000"/>
                <w:szCs w:val="24"/>
              </w:rPr>
              <w:t xml:space="preserve">1.投标人承诺中标后按照“第四部分、采购需求-三、物业管理服务内容及标准-3.4</w:t>
            </w:r>
            <w:r>
              <w:rPr>
                <w:rFonts w:hint="eastAsia" w:ascii="Times New Roman" w:hAnsi="Times New Roman" w:cs="宋体"/>
                <w:color w:val="000000"/>
                <w:szCs w:val="24"/>
                <w:lang w:val="en-US" w:eastAsia="zh-CN"/>
              </w:rPr>
              <w:t xml:space="preserve">保洁</w:t>
            </w:r>
            <w:r>
              <w:rPr>
                <w:rFonts w:hint="eastAsia" w:ascii="Times New Roman" w:hAnsi="Times New Roman" w:cs="宋体"/>
                <w:color w:val="000000"/>
                <w:szCs w:val="24"/>
              </w:rPr>
              <w:t xml:space="preserve">服务、3.5</w:t>
            </w:r>
            <w:r>
              <w:rPr>
                <w:rFonts w:hint="eastAsia" w:ascii="Times New Roman" w:hAnsi="Times New Roman" w:cs="宋体"/>
                <w:color w:val="000000"/>
                <w:szCs w:val="24"/>
                <w:lang w:val="en-US" w:eastAsia="zh-CN"/>
              </w:rPr>
              <w:t xml:space="preserve">水电工</w:t>
            </w:r>
            <w:r>
              <w:rPr>
                <w:rFonts w:hint="eastAsia" w:ascii="Times New Roman" w:hAnsi="Times New Roman" w:cs="宋体"/>
                <w:color w:val="000000"/>
                <w:szCs w:val="24"/>
              </w:rPr>
              <w:t xml:space="preserve">服务</w:t>
            </w:r>
            <w:r>
              <w:rPr>
                <w:rFonts w:hint="eastAsia" w:ascii="Times New Roman" w:hAnsi="Times New Roman" w:cs="宋体"/>
                <w:color w:val="000000"/>
                <w:szCs w:val="24"/>
                <w:lang w:eastAsia="zh-CN"/>
              </w:rPr>
              <w:t xml:space="preserve">、</w:t>
            </w:r>
            <w:r>
              <w:rPr>
                <w:rFonts w:hint="eastAsia" w:ascii="Times New Roman" w:hAnsi="Times New Roman" w:cs="宋体"/>
                <w:color w:val="000000"/>
                <w:szCs w:val="24"/>
                <w:lang w:val="en-US" w:eastAsia="zh-CN"/>
              </w:rPr>
              <w:t xml:space="preserve">3.6暖通工服务</w:t>
            </w:r>
            <w:r>
              <w:rPr>
                <w:rFonts w:hint="eastAsia" w:ascii="Times New Roman" w:hAnsi="Times New Roman" w:cs="宋体"/>
                <w:color w:val="000000"/>
                <w:szCs w:val="24"/>
              </w:rPr>
              <w:t xml:space="preserve">”的标准服务的，得13分。注：投标文件中需提供加盖本单位公章的承诺函电子件，格式见招标文件“第六部分”，未提供不得分。2、投标人对3.4</w:t>
            </w:r>
            <w:r>
              <w:rPr>
                <w:rFonts w:hint="eastAsia" w:ascii="Times New Roman" w:hAnsi="Times New Roman" w:cs="宋体"/>
                <w:color w:val="000000"/>
                <w:szCs w:val="24"/>
                <w:lang w:val="en-US" w:eastAsia="zh-CN"/>
              </w:rPr>
              <w:t xml:space="preserve">保洁</w:t>
            </w:r>
            <w:r>
              <w:rPr>
                <w:rFonts w:hint="eastAsia" w:ascii="Times New Roman" w:hAnsi="Times New Roman" w:cs="宋体"/>
                <w:color w:val="000000"/>
                <w:szCs w:val="24"/>
              </w:rPr>
              <w:t xml:space="preserve">服务、3.5</w:t>
            </w:r>
            <w:r>
              <w:rPr>
                <w:rFonts w:hint="eastAsia" w:ascii="Times New Roman" w:hAnsi="Times New Roman" w:cs="宋体"/>
                <w:color w:val="000000"/>
                <w:szCs w:val="24"/>
                <w:lang w:val="en-US" w:eastAsia="zh-CN"/>
              </w:rPr>
              <w:t xml:space="preserve">水电工</w:t>
            </w:r>
            <w:r>
              <w:rPr>
                <w:rFonts w:hint="eastAsia" w:ascii="Times New Roman" w:hAnsi="Times New Roman" w:cs="宋体"/>
                <w:color w:val="000000"/>
                <w:szCs w:val="24"/>
              </w:rPr>
              <w:t xml:space="preserve">服务</w:t>
            </w:r>
            <w:r>
              <w:rPr>
                <w:rFonts w:hint="eastAsia" w:ascii="Times New Roman" w:hAnsi="Times New Roman" w:cs="宋体"/>
                <w:color w:val="000000"/>
                <w:szCs w:val="24"/>
                <w:lang w:eastAsia="zh-CN"/>
              </w:rPr>
              <w:t xml:space="preserve">、</w:t>
            </w:r>
            <w:r>
              <w:rPr>
                <w:rFonts w:hint="eastAsia" w:ascii="Times New Roman" w:hAnsi="Times New Roman" w:cs="宋体"/>
                <w:color w:val="000000"/>
                <w:szCs w:val="24"/>
                <w:lang w:val="en-US" w:eastAsia="zh-CN"/>
              </w:rPr>
              <w:t xml:space="preserve">3.6暖通工服务</w:t>
            </w:r>
            <w:r>
              <w:rPr>
                <w:rFonts w:hint="eastAsia" w:ascii="Times New Roman" w:hAnsi="Times New Roman" w:cs="宋体"/>
                <w:color w:val="000000"/>
                <w:szCs w:val="24"/>
              </w:rPr>
              <w:t xml:space="preserve">的采购需求内容，自行提供上述服务方案，服务方案全部优于采购需求的，得1分；未提供不得分。</w:t>
            </w:r>
            <w:r/>
          </w:p>
        </w:tc>
      </w:tr>
      <w:tr>
        <w:trPr>
          <w:jc w:val="center"/>
          <w:trHeight w:val="819"/>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考核标准承诺</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14.00分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投标人承诺中标后按照第四部分、采购需求中“五、考核标准”要求实施，得14分。注：投标文件中需提供加盖本单位公章的承诺函电子件，格式见招标文件“第六部分”，未提供不得分。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12.00分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投标人自</w:t>
            </w:r>
            <w:r>
              <w:rPr>
                <w:rFonts w:ascii="Times New Roman" w:hAnsi="Times New Roman" w:cs="宋体"/>
                <w:color w:val="000000"/>
                <w:szCs w:val="24"/>
              </w:rPr>
              <w:t xml:space="preserve">2022</w:t>
            </w:r>
            <w:r>
              <w:rPr>
                <w:rFonts w:hint="eastAsia" w:ascii="Times New Roman" w:hAnsi="Times New Roman" w:cs="宋体"/>
                <w:color w:val="000000"/>
                <w:szCs w:val="24"/>
              </w:rPr>
              <w:t xml:space="preserve">年</w:t>
            </w:r>
            <w:r>
              <w:rPr>
                <w:rFonts w:ascii="Times New Roman" w:hAnsi="Times New Roman" w:cs="宋体"/>
                <w:color w:val="000000"/>
                <w:szCs w:val="24"/>
              </w:rPr>
              <w:t xml:space="preserve">1</w:t>
            </w:r>
            <w:r>
              <w:rPr>
                <w:rFonts w:hint="eastAsia" w:ascii="Times New Roman" w:hAnsi="Times New Roman" w:cs="宋体"/>
                <w:color w:val="000000"/>
                <w:szCs w:val="24"/>
              </w:rPr>
              <w:t xml:space="preserve">月</w:t>
            </w:r>
            <w:r>
              <w:rPr>
                <w:rFonts w:ascii="Times New Roman" w:hAnsi="Times New Roman" w:cs="宋体"/>
                <w:color w:val="000000"/>
                <w:szCs w:val="24"/>
              </w:rPr>
              <w:t xml:space="preserve">1</w:t>
            </w:r>
            <w:r>
              <w:rPr>
                <w:rFonts w:hint="eastAsia" w:ascii="Times New Roman" w:hAnsi="Times New Roman" w:cs="宋体"/>
                <w:color w:val="000000"/>
                <w:szCs w:val="24"/>
              </w:rPr>
              <w:t xml:space="preserve">日以来（以合同签订时间为准），具有类似非住宅物业服务项目业绩（服务合同中至少包含保洁），每有一个得</w:t>
            </w:r>
            <w:r>
              <w:rPr>
                <w:rFonts w:ascii="Times New Roman" w:hAnsi="Times New Roman" w:cs="宋体"/>
                <w:color w:val="000000"/>
                <w:szCs w:val="24"/>
              </w:rPr>
              <w:t xml:space="preserve">3</w:t>
            </w:r>
            <w:r>
              <w:rPr>
                <w:rFonts w:hint="eastAsia" w:ascii="Times New Roman" w:hAnsi="Times New Roman" w:cs="宋体"/>
                <w:color w:val="000000"/>
                <w:szCs w:val="24"/>
              </w:rPr>
              <w:t xml:space="preserve">分，本项最高得</w:t>
            </w:r>
            <w:r>
              <w:rPr>
                <w:rFonts w:ascii="Times New Roman" w:hAnsi="Times New Roman" w:cs="宋体"/>
                <w:color w:val="000000"/>
                <w:szCs w:val="24"/>
              </w:rPr>
              <w:t xml:space="preserve">12</w:t>
            </w:r>
            <w:r>
              <w:rPr>
                <w:rFonts w:hint="eastAsia" w:ascii="Times New Roman" w:hAnsi="Times New Roman" w:cs="宋体"/>
                <w:color w:val="000000"/>
                <w:szCs w:val="24"/>
              </w:rPr>
              <w:t xml:space="preserve">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w:t>
            </w:r>
            <w:r>
              <w:rPr>
                <w:rFonts w:ascii="Times New Roman" w:hAnsi="Times New Roman" w:cs="宋体"/>
                <w:color w:val="000000"/>
                <w:szCs w:val="24"/>
              </w:rPr>
              <w:t xml:space="preserve">1</w:t>
            </w:r>
            <w:r>
              <w:rPr>
                <w:rFonts w:hint="eastAsia" w:ascii="Times New Roman" w:hAnsi="Times New Roman" w:cs="宋体"/>
                <w:color w:val="000000"/>
                <w:szCs w:val="24"/>
              </w:rPr>
              <w:t xml:space="preserve">、同时提供中标（成交）通知书、合同、合同甲方出具的验收合格证明材料（或合同甲方出具的履约评价证明材料）、任意一张合同服务费发票电子件，未提供或提供不齐全不得分；</w:t>
            </w:r>
            <w:r>
              <w:rPr>
                <w:rFonts w:ascii="Times New Roman" w:hAnsi="Times New Roman" w:cs="宋体"/>
                <w:color w:val="000000"/>
                <w:szCs w:val="24"/>
              </w:rPr>
              <w:t xml:space="preserve">2</w:t>
            </w:r>
            <w:r>
              <w:rPr>
                <w:rFonts w:hint="eastAsia" w:ascii="Times New Roman" w:hAnsi="Times New Roman" w:cs="宋体"/>
                <w:color w:val="000000"/>
                <w:szCs w:val="24"/>
              </w:rPr>
              <w:t xml:space="preserve">、合同甲方出具的履约评价中出现“不满意”或“差”或“不合格”或同等意思表达的，该业绩不得分。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相关证书</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6.00分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投标人具有有效期内的质量管理体系认证证书、环境管理体系认证证书、职业健康安全管理体系认证证书，每有一项得</w:t>
            </w:r>
            <w:r>
              <w:rPr>
                <w:rFonts w:ascii="Times New Roman" w:hAnsi="Times New Roman" w:cs="宋体"/>
                <w:color w:val="000000"/>
                <w:szCs w:val="24"/>
              </w:rPr>
              <w:t xml:space="preserve">2</w:t>
            </w:r>
            <w:r>
              <w:rPr>
                <w:rFonts w:hint="eastAsia" w:ascii="Times New Roman" w:hAnsi="Times New Roman" w:cs="宋体"/>
                <w:color w:val="000000"/>
                <w:szCs w:val="24"/>
              </w:rPr>
              <w:t xml:space="preserve">分，本项最高得</w:t>
            </w:r>
            <w:r>
              <w:rPr>
                <w:rFonts w:ascii="Times New Roman" w:hAnsi="Times New Roman" w:cs="宋体"/>
                <w:color w:val="000000"/>
                <w:szCs w:val="24"/>
              </w:rPr>
              <w:t xml:space="preserve">6</w:t>
            </w:r>
            <w:r>
              <w:rPr>
                <w:rFonts w:hint="eastAsia" w:ascii="Times New Roman" w:hAnsi="Times New Roman" w:cs="宋体"/>
                <w:color w:val="000000"/>
                <w:szCs w:val="24"/>
              </w:rPr>
              <w:t xml:space="preserve">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注：提供上述相关证书电子件和在国家市场监督管理总局全国认证认可信息公共服务平台查询认证有效的页面截图，未提供的不得分。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重大活动保障及应急预案</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vAlign w:val="center"/>
            <w:textDirection w:val="lrTb"/>
            <w:noWrap w:val="false"/>
          </w:tcPr>
          <w:p>
            <w:pPr>
              <w:jc w:val="left"/>
              <w:spacing w:line="400" w:lineRule="exact"/>
              <w:widowControl/>
              <w:rPr>
                <w:rFonts w:ascii="Times New Roman" w:hAnsi="Times New Roman" w:cs="宋体"/>
                <w:szCs w:val="24"/>
              </w:rPr>
            </w:pPr>
            <w:r>
              <w:rPr>
                <w:rFonts w:hint="eastAsia" w:ascii="Times New Roman" w:hAnsi="Times New Roman" w:cs="宋体"/>
                <w:color w:val="000000"/>
                <w:szCs w:val="24"/>
              </w:rPr>
              <w:t xml:space="preserve">评委根据投标人提供的重大活动保障及应急预案（包括</w:t>
            </w:r>
            <w:r>
              <w:rPr>
                <w:rFonts w:hint="eastAsia" w:ascii="Times New Roman" w:hAnsi="Times New Roman" w:cs="宋体"/>
                <w:color w:val="000000"/>
                <w:szCs w:val="24"/>
                <w:lang w:val="zh-CN"/>
              </w:rPr>
              <w:t xml:space="preserve">制订流程</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实施保障</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重点区域及安全隐患排查以及应急预案的建立等</w:t>
            </w:r>
            <w:r>
              <w:rPr>
                <w:rFonts w:hint="eastAsia" w:ascii="Times New Roman" w:hAnsi="Times New Roman" w:cs="宋体"/>
                <w:color w:val="000000"/>
                <w:szCs w:val="24"/>
              </w:rPr>
              <w:t xml:space="preserve">）进行评审。优于采购需求得4分；满足采购需求得2.5分；没有内容不得分。</w:t>
            </w:r>
            <w:r/>
          </w:p>
        </w:tc>
      </w:tr>
      <w:tr>
        <w:trPr>
          <w:jc w:val="center"/>
          <w:trHeight w:val="506"/>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设备、工具、服装要求</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3.00分</w:t>
            </w:r>
            <w:r/>
          </w:p>
        </w:tc>
        <w:tc>
          <w:tcPr>
            <w:tcW w:w="6431" w:type="dxa"/>
            <w:vAlign w:val="center"/>
            <w:textDirection w:val="lrTb"/>
            <w:noWrap w:val="false"/>
          </w:tcPr>
          <w:p>
            <w:pPr>
              <w:jc w:val="left"/>
              <w:spacing w:line="400" w:lineRule="exact"/>
              <w:widowControl/>
              <w:rPr>
                <w:rFonts w:ascii="Times New Roman" w:hAnsi="Times New Roman" w:cs="宋体"/>
                <w:szCs w:val="24"/>
              </w:rPr>
            </w:pPr>
            <w:r>
              <w:rPr>
                <w:rFonts w:hint="eastAsia" w:ascii="Times New Roman" w:hAnsi="Times New Roman" w:cs="宋体"/>
                <w:szCs w:val="24"/>
              </w:rPr>
              <w:t xml:space="preserve">在满足采购需求基础之上，根据投标人对拟投入本项目服务的设备、工具、服装方面打分。优于采购需求得3分；满足采购需求得2分；没有内容不得分。</w:t>
            </w:r>
            <w:r/>
          </w:p>
        </w:tc>
      </w:tr>
      <w:tr>
        <w:trPr>
          <w:jc w:val="center"/>
          <w:trHeight w:val="90"/>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进退场交接</w:t>
            </w:r>
            <w:r/>
          </w:p>
          <w:p>
            <w:pPr>
              <w:jc w:val="center"/>
              <w:widowControl/>
              <w:rPr>
                <w:rFonts w:ascii="Times New Roman" w:hAnsi="Times New Roman" w:cs="宋体"/>
                <w:szCs w:val="21"/>
              </w:rPr>
            </w:pPr>
            <w:r>
              <w:rPr>
                <w:rFonts w:hint="eastAsia" w:ascii="Times New Roman" w:hAnsi="Times New Roman" w:cs="宋体"/>
                <w:szCs w:val="21"/>
              </w:rPr>
              <w:t xml:space="preserve">方案</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3.00分</w:t>
            </w:r>
            <w:r/>
          </w:p>
        </w:tc>
        <w:tc>
          <w:tcPr>
            <w:tcW w:w="6431" w:type="dxa"/>
            <w:vAlign w:val="center"/>
            <w:textDirection w:val="lrTb"/>
            <w:noWrap w:val="false"/>
          </w:tcPr>
          <w:p>
            <w:pPr>
              <w:jc w:val="left"/>
              <w:spacing w:line="400" w:lineRule="exact"/>
              <w:widowControl/>
              <w:rPr>
                <w:rFonts w:ascii="Times New Roman" w:hAnsi="Times New Roman" w:cs="宋体"/>
                <w:szCs w:val="24"/>
              </w:rPr>
            </w:pPr>
            <w:r>
              <w:rPr>
                <w:rFonts w:hint="eastAsia" w:ascii="Times New Roman" w:hAnsi="Times New Roman" w:cs="宋体"/>
                <w:szCs w:val="24"/>
              </w:rPr>
              <w:t xml:space="preserve">根据投标人提供的进退场交接方案进行打分。优于采购需求得3分；满足采购需求得2分；没有内容不得分。</w:t>
            </w:r>
            <w:r/>
          </w:p>
        </w:tc>
      </w:tr>
      <w:tr>
        <w:trPr>
          <w:jc w:val="center"/>
          <w:trHeight w:val="90"/>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项目组成员</w:t>
            </w:r>
            <w:r/>
          </w:p>
        </w:tc>
        <w:tc>
          <w:tcPr>
            <w:tcW w:w="1028" w:type="dxa"/>
            <w:vAlign w:val="center"/>
            <w:textDirection w:val="lrTb"/>
            <w:noWrap w:val="false"/>
          </w:tcPr>
          <w:p>
            <w:pPr>
              <w:jc w:val="center"/>
              <w:widowControl/>
              <w:rPr>
                <w:rFonts w:hint="default" w:ascii="Times New Roman" w:hAnsi="Times New Roman" w:eastAsia="宋体" w:cs="宋体"/>
                <w:szCs w:val="24"/>
                <w:lang w:val="en-US" w:eastAsia="zh-CN"/>
              </w:rPr>
            </w:pPr>
            <w:r>
              <w:rPr>
                <w:rFonts w:hint="eastAsia" w:ascii="Times New Roman" w:hAnsi="Times New Roman" w:cs="宋体"/>
                <w:szCs w:val="24"/>
              </w:rPr>
              <w:t xml:space="preserve">4</w:t>
            </w:r>
            <w:r>
              <w:rPr>
                <w:rFonts w:hint="eastAsia" w:ascii="Times New Roman" w:hAnsi="Times New Roman" w:cs="宋体"/>
                <w:szCs w:val="24"/>
                <w:lang w:val="en-US" w:eastAsia="zh-CN"/>
              </w:rPr>
              <w:t xml:space="preserve">.00分</w:t>
            </w:r>
            <w:r/>
          </w:p>
        </w:tc>
        <w:tc>
          <w:tcPr>
            <w:tcW w:w="6431" w:type="dxa"/>
            <w:vAlign w:val="center"/>
            <w:textDirection w:val="lrTb"/>
            <w:noWrap w:val="false"/>
          </w:tcPr>
          <w:p>
            <w:pPr>
              <w:jc w:val="left"/>
              <w:spacing w:line="400" w:lineRule="exact"/>
              <w:widowControl/>
              <w:rPr>
                <w:rFonts w:ascii="Times New Roman" w:hAnsi="Times New Roman" w:cs="宋体"/>
                <w:color w:val="auto"/>
                <w:szCs w:val="24"/>
              </w:rPr>
            </w:pPr>
            <w:r>
              <w:rPr>
                <w:rFonts w:hint="eastAsia" w:ascii="Times New Roman" w:hAnsi="Times New Roman" w:cs="宋体"/>
                <w:color w:val="auto"/>
                <w:szCs w:val="24"/>
              </w:rPr>
              <w:t xml:space="preserve">对本项目拟派的男宿管年龄优势：年龄在男55周岁（含）以下（以居民身份证为准），每有1人得2分，最高得4分。</w:t>
            </w:r>
            <w:r/>
          </w:p>
          <w:p>
            <w:pPr>
              <w:jc w:val="left"/>
              <w:spacing w:line="400" w:lineRule="exact"/>
              <w:widowControl/>
              <w:rPr>
                <w:rFonts w:ascii="Times New Roman" w:hAnsi="Times New Roman" w:cs="宋体"/>
                <w:szCs w:val="24"/>
              </w:rPr>
            </w:pPr>
            <w:r>
              <w:rPr>
                <w:rFonts w:hint="eastAsia" w:ascii="Times New Roman" w:hAnsi="Times New Roman" w:cs="宋体"/>
                <w:color w:val="auto"/>
                <w:szCs w:val="24"/>
              </w:rPr>
              <w:t xml:space="preserve">注：1.提供上述证明资料电子件。2.以上人员年龄均以身份证为准。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服务费用分配方案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根据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 </w:t>
            </w:r>
            <w:bookmarkEnd w:id="121"/>
            <w:r/>
            <w:r/>
          </w:p>
        </w:tc>
      </w:tr>
    </w:tbl>
    <w:p>
      <w:pPr>
        <w:jc w:val="center"/>
        <w:keepLines/>
        <w:keepNext/>
        <w:pageBreakBefore/>
        <w:rPr>
          <w:b/>
          <w:sz w:val="44"/>
          <w:szCs w:val="44"/>
        </w:rPr>
        <w:outlineLvl w:val="0"/>
      </w:pPr>
      <w:r/>
      <w:bookmarkStart w:id="122" w:name="_Toc81575205"/>
      <w:r/>
      <w:bookmarkStart w:id="123" w:name="_Toc12255"/>
      <w:r/>
      <w:bookmarkStart w:id="124" w:name="_Toc2916"/>
      <w:r/>
      <w:bookmarkStart w:id="125" w:name="_Toc81575168"/>
      <w:r/>
      <w:bookmarkStart w:id="126" w:name="_Toc23973"/>
      <w:r>
        <w:rPr>
          <w:rFonts w:hint="eastAsia"/>
          <w:b/>
          <w:sz w:val="44"/>
          <w:szCs w:val="44"/>
        </w:rPr>
        <w:t xml:space="preserve">第四章</w:t>
      </w:r>
      <w:r>
        <w:rPr>
          <w:b/>
          <w:sz w:val="44"/>
          <w:szCs w:val="44"/>
        </w:rPr>
        <w:t xml:space="preserve">  </w:t>
      </w:r>
      <w:r>
        <w:rPr>
          <w:rFonts w:hint="eastAsia"/>
          <w:b/>
          <w:sz w:val="44"/>
          <w:szCs w:val="44"/>
        </w:rPr>
        <w:t xml:space="preserve">采购需求</w:t>
      </w:r>
      <w:bookmarkEnd w:id="119"/>
      <w:r/>
      <w:bookmarkEnd w:id="122"/>
      <w:r/>
      <w:bookmarkEnd w:id="123"/>
      <w:r/>
      <w:bookmarkEnd w:id="124"/>
      <w:r/>
      <w:bookmarkEnd w:id="125"/>
      <w:r/>
      <w:bookmarkEnd w:id="126"/>
      <w:r/>
      <w:r/>
    </w:p>
    <w:p>
      <w:pPr>
        <w:spacing w:line="480" w:lineRule="exact"/>
        <w:rPr>
          <w:rFonts w:hint="eastAsia"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9"/>
        <w:gridCol w:w="5314"/>
        <w:gridCol w:w="2288"/>
      </w:tblGrid>
      <w:tr>
        <w:trPr>
          <w:cantSplit/>
          <w:jc w:val="center"/>
        </w:trPr>
        <w:tc>
          <w:tcPr>
            <w:tcW w:w="14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tcW w:w="531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W w:w="2288"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499" w:type="dxa"/>
            <w:vAlign w:val="center"/>
            <w:textDirection w:val="lrTb"/>
            <w:noWrap w:val="false"/>
          </w:tcPr>
          <w:p>
            <w:pPr>
              <w:jc w:val="center"/>
              <w:spacing w:line="36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5314" w:type="dxa"/>
            <w:vAlign w:val="center"/>
            <w:textDirection w:val="lrTb"/>
            <w:noWrap w:val="false"/>
          </w:tcPr>
          <w:p>
            <w:pPr>
              <w:jc w:val="center"/>
              <w:spacing w:line="360" w:lineRule="exact"/>
              <w:tabs>
                <w:tab w:val="left" w:pos="2020" w:leader="none"/>
              </w:tabs>
              <w:rPr>
                <w:rFonts w:hint="eastAsia" w:ascii="宋体" w:hAnsi="宋体"/>
                <w:sz w:val="24"/>
                <w:szCs w:val="24"/>
              </w:rPr>
            </w:pPr>
            <w:r>
              <w:rPr>
                <w:rFonts w:hint="eastAsia" w:ascii="宋体" w:hAnsi="宋体"/>
                <w:sz w:val="24"/>
                <w:szCs w:val="24"/>
              </w:rPr>
              <w:t xml:space="preserve">宿迁市洋河高级中学后勤服务外包项目</w:t>
            </w:r>
            <w:r/>
          </w:p>
        </w:tc>
        <w:tc>
          <w:tcPr>
            <w:tcW w:w="2288"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物业管理</w:t>
            </w:r>
            <w:r/>
          </w:p>
        </w:tc>
      </w:tr>
    </w:tbl>
    <w:p>
      <w:pPr>
        <w:pStyle w:val="125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 xml:space="preserve">一、项目概况</w:t>
      </w:r>
      <w:r/>
    </w:p>
    <w:tbl>
      <w:tblPr>
        <w:tblStyle w:val="763"/>
        <w:tblW w:w="9795" w:type="dxa"/>
        <w:tblInd w:w="-22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68"/>
        <w:gridCol w:w="5127"/>
      </w:tblGrid>
      <w:tr>
        <w:trPr>
          <w:trHeight w:val="270"/>
        </w:trPr>
        <w:tc>
          <w:tcPr>
            <w:gridSpan w:val="2"/>
            <w:tcW w:w="9795" w:type="dxa"/>
            <w:vAlign w:val="center"/>
            <w:textDirection w:val="lrTb"/>
            <w:noWrap/>
          </w:tcPr>
          <w:p>
            <w:pPr>
              <w:spacing w:line="500" w:lineRule="exact"/>
              <w:rPr>
                <w:rFonts w:ascii="Times New Roman" w:hAnsi="Times New Roman" w:cs="仿宋"/>
                <w:color w:val="000000"/>
                <w:szCs w:val="24"/>
              </w:rPr>
            </w:pPr>
            <w:r>
              <w:rPr>
                <w:rFonts w:hint="eastAsia" w:ascii="Times New Roman" w:hAnsi="Times New Roman" w:cs="仿宋"/>
                <w:color w:val="000000"/>
                <w:szCs w:val="24"/>
              </w:rPr>
              <w:t xml:space="preserve">1.基本情况</w:t>
            </w:r>
            <w:r/>
          </w:p>
        </w:tc>
      </w:tr>
      <w:tr>
        <w:trPr>
          <w:trHeight w:val="457"/>
        </w:trPr>
        <w:tc>
          <w:tcPr>
            <w:gridSpan w:val="2"/>
            <w:tcW w:w="9795" w:type="dxa"/>
            <w:vAlign w:val="center"/>
            <w:textDirection w:val="lrTb"/>
            <w:noWrap/>
          </w:tcPr>
          <w:p>
            <w:pPr>
              <w:spacing w:line="500" w:lineRule="exact"/>
              <w:rPr>
                <w:rFonts w:ascii="Times New Roman" w:hAnsi="Times New Roman" w:cs="仿宋"/>
                <w:color w:val="000000"/>
                <w:szCs w:val="24"/>
              </w:rPr>
            </w:pPr>
            <w:r>
              <w:rPr>
                <w:rFonts w:hint="eastAsia" w:ascii="Times New Roman" w:hAnsi="Times New Roman" w:cs="仿宋"/>
                <w:color w:val="000000"/>
                <w:szCs w:val="24"/>
              </w:rPr>
              <w:t xml:space="preserve">1.1物业情况</w:t>
            </w:r>
            <w:r/>
          </w:p>
        </w:tc>
      </w:tr>
      <w:tr>
        <w:trPr>
          <w:trHeight w:val="270"/>
        </w:trPr>
        <w:tc>
          <w:tcPr>
            <w:tcW w:w="4668" w:type="dxa"/>
            <w:vAlign w:val="center"/>
            <w:textDirection w:val="lrTb"/>
            <w:noWrap/>
          </w:tcPr>
          <w:p>
            <w:pPr>
              <w:spacing w:line="500" w:lineRule="exact"/>
              <w:rPr>
                <w:rFonts w:ascii="Times New Roman" w:hAnsi="Times New Roman" w:cs="仿宋"/>
                <w:color w:val="000000"/>
                <w:szCs w:val="24"/>
              </w:rPr>
            </w:pPr>
            <w:r>
              <w:rPr>
                <w:rFonts w:hint="eastAsia" w:ascii="Times New Roman" w:hAnsi="Times New Roman" w:cs="仿宋"/>
                <w:color w:val="000000"/>
                <w:szCs w:val="24"/>
              </w:rPr>
              <w:t xml:space="preserve">物业名称</w:t>
            </w:r>
            <w:r/>
          </w:p>
        </w:tc>
        <w:tc>
          <w:tcPr>
            <w:tcW w:w="5127" w:type="dxa"/>
            <w:vAlign w:val="center"/>
            <w:textDirection w:val="lrTb"/>
            <w:noWrap/>
          </w:tcPr>
          <w:p>
            <w:pPr>
              <w:spacing w:line="500" w:lineRule="exact"/>
              <w:rPr>
                <w:rFonts w:ascii="Times New Roman" w:hAnsi="Times New Roman" w:cs="仿宋"/>
                <w:color w:val="000000"/>
                <w:szCs w:val="24"/>
              </w:rPr>
            </w:pPr>
            <w:r>
              <w:rPr>
                <w:rFonts w:hint="eastAsia" w:ascii="Times New Roman" w:hAnsi="Times New Roman" w:cs="仿宋"/>
                <w:color w:val="000000"/>
                <w:szCs w:val="24"/>
              </w:rPr>
              <w:t xml:space="preserve">物业地址</w:t>
            </w:r>
            <w:r/>
          </w:p>
        </w:tc>
      </w:tr>
      <w:tr>
        <w:trPr>
          <w:trHeight w:val="270"/>
        </w:trPr>
        <w:tc>
          <w:tcPr>
            <w:tcW w:w="4668" w:type="dxa"/>
            <w:vAlign w:val="center"/>
            <w:textDirection w:val="lrTb"/>
            <w:noWrap/>
          </w:tcPr>
          <w:p>
            <w:pPr>
              <w:spacing w:line="500" w:lineRule="exact"/>
              <w:rPr>
                <w:rFonts w:ascii="Times New Roman" w:hAnsi="Times New Roman" w:cs="仿宋"/>
                <w:color w:val="000000"/>
                <w:szCs w:val="24"/>
              </w:rPr>
            </w:pPr>
            <w:r>
              <w:rPr>
                <w:rFonts w:hint="eastAsia" w:ascii="Segoe UI" w:hAnsi="Segoe UI" w:eastAsia="宋体" w:cs="Segoe UI"/>
                <w:szCs w:val="21"/>
                <w:highlight w:val="none"/>
                <w:shd w:val="clear" w:color="auto" w:fill="ffffff"/>
                <w:lang w:eastAsia="zh-CN"/>
              </w:rPr>
              <w:t xml:space="preserve">宿迁市洋河高级中学后勤服务外包项目</w:t>
            </w:r>
            <w:r/>
          </w:p>
        </w:tc>
        <w:tc>
          <w:tcPr>
            <w:tcW w:w="5127" w:type="dxa"/>
            <w:vAlign w:val="center"/>
            <w:textDirection w:val="lrTb"/>
            <w:noWrap/>
          </w:tcPr>
          <w:p>
            <w:pPr>
              <w:spacing w:line="500" w:lineRule="exact"/>
              <w:rPr>
                <w:rFonts w:ascii="Times New Roman" w:hAnsi="Times New Roman" w:cs="仿宋"/>
                <w:color w:val="000000"/>
                <w:szCs w:val="24"/>
              </w:rPr>
            </w:pPr>
            <w:r>
              <w:rPr>
                <w:rFonts w:ascii="Segoe UI" w:hAnsi="Segoe UI" w:eastAsia="Segoe UI" w:cs="Segoe UI"/>
                <w:szCs w:val="21"/>
                <w:shd w:val="clear" w:color="auto" w:fill="ffffff"/>
              </w:rPr>
              <w:t xml:space="preserve"> </w:t>
            </w:r>
            <w:r>
              <w:rPr>
                <w:rFonts w:hint="eastAsia" w:ascii="Segoe UI" w:hAnsi="Segoe UI" w:eastAsia="宋体" w:cs="Segoe UI"/>
                <w:szCs w:val="21"/>
                <w:highlight w:val="none"/>
                <w:shd w:val="clear" w:color="auto" w:fill="ffffff"/>
                <w:lang w:eastAsia="zh-CN"/>
              </w:rPr>
              <w:t xml:space="preserve">宿迁市洋河新区洋河大道6号</w:t>
            </w:r>
            <w:r/>
          </w:p>
        </w:tc>
      </w:tr>
      <w:tr>
        <w:trPr>
          <w:trHeight w:val="270"/>
        </w:trPr>
        <w:tc>
          <w:tcPr>
            <w:gridSpan w:val="2"/>
            <w:tcW w:w="9795" w:type="dxa"/>
            <w:vAlign w:val="center"/>
            <w:textDirection w:val="lrTb"/>
            <w:noWrap/>
          </w:tcPr>
          <w:p>
            <w:pPr>
              <w:spacing w:line="500" w:lineRule="exact"/>
              <w:rPr>
                <w:rFonts w:ascii="Times New Roman" w:hAnsi="Times New Roman" w:cs="仿宋"/>
                <w:color w:val="000000"/>
                <w:szCs w:val="24"/>
              </w:rPr>
            </w:pPr>
            <w:r>
              <w:rPr>
                <w:rFonts w:hint="eastAsia" w:ascii="Times New Roman" w:hAnsi="Times New Roman" w:cs="仿宋"/>
                <w:color w:val="000000"/>
                <w:szCs w:val="24"/>
              </w:rPr>
              <w:t xml:space="preserve">1.2采购人提供供应商使用的场地、设施、设备、材料等</w:t>
            </w:r>
            <w:r/>
          </w:p>
        </w:tc>
      </w:tr>
      <w:tr>
        <w:trPr>
          <w:trHeight w:val="270"/>
        </w:trPr>
        <w:tc>
          <w:tcPr>
            <w:gridSpan w:val="2"/>
            <w:tcW w:w="9795" w:type="dxa"/>
            <w:vAlign w:val="center"/>
            <w:textDirection w:val="lrTb"/>
            <w:noWrap/>
          </w:tcPr>
          <w:p>
            <w:pPr>
              <w:spacing w:line="500" w:lineRule="exact"/>
              <w:rPr>
                <w:rFonts w:ascii="Times New Roman" w:hAnsi="Times New Roman" w:cs="仿宋"/>
                <w:color w:val="000000"/>
                <w:szCs w:val="24"/>
              </w:rPr>
            </w:pPr>
            <w:r>
              <w:rPr>
                <w:rFonts w:hint="eastAsia" w:ascii="Times New Roman" w:hAnsi="Times New Roman" w:cs="仿宋"/>
                <w:color w:val="000000"/>
                <w:szCs w:val="24"/>
                <w:highlight w:val="none"/>
              </w:rPr>
              <w:t xml:space="preserve">（1）</w:t>
            </w:r>
            <w:r>
              <w:rPr>
                <w:rFonts w:ascii="Times New Roman" w:hAnsi="Times New Roman" w:cs="仿宋"/>
                <w:color w:val="000000"/>
                <w:szCs w:val="24"/>
                <w:highlight w:val="none"/>
              </w:rPr>
              <w:t xml:space="preserve">采购人可提供办公室一间，大小10m²</w:t>
            </w:r>
            <w:r>
              <w:rPr>
                <w:rFonts w:hint="eastAsia" w:ascii="Times New Roman" w:hAnsi="Times New Roman" w:cs="仿宋"/>
                <w:color w:val="000000"/>
                <w:szCs w:val="24"/>
                <w:highlight w:val="none"/>
              </w:rPr>
              <w:t xml:space="preserve">；</w:t>
            </w:r>
            <w:r/>
          </w:p>
        </w:tc>
      </w:tr>
      <w:tr>
        <w:trPr>
          <w:trHeight w:val="280"/>
        </w:trPr>
        <w:tc>
          <w:tcPr>
            <w:gridSpan w:val="2"/>
            <w:tcW w:w="9795" w:type="dxa"/>
            <w:vAlign w:val="center"/>
            <w:textDirection w:val="lrTb"/>
            <w:noWrap w:val="false"/>
          </w:tcPr>
          <w:p>
            <w:pPr>
              <w:spacing w:line="500" w:lineRule="exact"/>
              <w:rPr>
                <w:rFonts w:ascii="Times New Roman" w:hAnsi="Times New Roman" w:cs="仿宋"/>
                <w:color w:val="000000"/>
                <w:szCs w:val="24"/>
              </w:rPr>
            </w:pPr>
            <w:r>
              <w:rPr>
                <w:rFonts w:hint="eastAsia" w:ascii="Times New Roman" w:hAnsi="Times New Roman" w:cs="仿宋"/>
                <w:color w:val="000000"/>
                <w:szCs w:val="24"/>
                <w:highlight w:val="none"/>
              </w:rPr>
              <w:t xml:space="preserve">（2）</w:t>
            </w:r>
            <w:r>
              <w:rPr>
                <w:rFonts w:ascii="Times New Roman" w:hAnsi="Times New Roman" w:cs="仿宋"/>
                <w:color w:val="000000"/>
                <w:szCs w:val="24"/>
                <w:highlight w:val="none"/>
              </w:rPr>
              <w:t xml:space="preserve">采购人提供垃圾袋、卫生间消毒、洗手液、纸张等消耗品。</w:t>
            </w:r>
            <w:r/>
          </w:p>
        </w:tc>
      </w:tr>
    </w:tbl>
    <w:p>
      <w:pPr>
        <w:spacing w:line="500" w:lineRule="exact"/>
        <w:rPr>
          <w:rFonts w:ascii="Times New Roman" w:hAnsi="Times New Roman" w:cs="仿宋"/>
          <w:bCs/>
          <w:color w:val="000000"/>
          <w:szCs w:val="21"/>
        </w:rPr>
      </w:pPr>
      <w:r>
        <w:rPr>
          <w:rFonts w:hint="eastAsia" w:ascii="Times New Roman" w:hAnsi="Times New Roman" w:cs="仿宋"/>
          <w:color w:val="000000"/>
          <w:szCs w:val="21"/>
        </w:rPr>
        <w:t xml:space="preserve">供应商应当承担除以上所列场地、设施、设备、材料外，与物业管理服务有关的其他场地、设施、设备、材料等。</w:t>
      </w:r>
      <w:r/>
    </w:p>
    <w:p>
      <w:pPr>
        <w:pStyle w:val="125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 xml:space="preserve">二、物业服务范围</w:t>
      </w:r>
      <w:r/>
    </w:p>
    <w:tbl>
      <w:tblPr>
        <w:tblStyle w:val="763"/>
        <w:tblW w:w="51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3106"/>
        <w:gridCol w:w="5071"/>
      </w:tblGrid>
      <w:tr>
        <w:trPr>
          <w:jc w:val="center"/>
          <w:trHeight w:val="481"/>
        </w:trPr>
        <w:tc>
          <w:tcPr>
            <w:gridSpan w:val="3"/>
            <w:tcW w:w="9767" w:type="dxa"/>
            <w:vAlign w:val="center"/>
            <w:textDirection w:val="lrTb"/>
            <w:noWrap w:val="false"/>
          </w:tcPr>
          <w:p>
            <w:pPr>
              <w:spacing w:line="360" w:lineRule="auto"/>
              <w:rPr>
                <w:rFonts w:hint="eastAsia" w:ascii="仿宋" w:hAnsi="仿宋" w:eastAsia="仿宋" w:cs="仿宋"/>
                <w:b/>
                <w:bCs/>
                <w:szCs w:val="21"/>
                <w:u w:val="single"/>
              </w:rPr>
            </w:pPr>
            <w:r>
              <w:rPr>
                <w:rFonts w:hint="eastAsia" w:ascii="仿宋" w:hAnsi="仿宋" w:eastAsia="仿宋" w:cs="仿宋"/>
                <w:b/>
                <w:sz w:val="24"/>
                <w:szCs w:val="24"/>
              </w:rPr>
              <w:t xml:space="preserve">1、物业管理（建筑物）</w:t>
            </w:r>
            <w:r/>
          </w:p>
        </w:tc>
      </w:tr>
      <w:tr>
        <w:trPr>
          <w:jc w:val="center"/>
          <w:trHeight w:val="481"/>
        </w:trPr>
        <w:tc>
          <w:tcPr>
            <w:gridSpan w:val="2"/>
            <w:tcW w:w="4696" w:type="dxa"/>
            <w:vAlign w:val="center"/>
            <w:textDirection w:val="lrTb"/>
            <w:noWrap w:val="false"/>
          </w:tcPr>
          <w:p>
            <w:pPr>
              <w:spacing w:line="360" w:lineRule="auto"/>
              <w:tabs>
                <w:tab w:val="center" w:pos="1611" w:leader="none"/>
              </w:tabs>
              <w:rPr>
                <w:rFonts w:hint="eastAsia" w:ascii="仿宋" w:hAnsi="仿宋" w:eastAsia="仿宋" w:cs="仿宋"/>
                <w:b/>
                <w:szCs w:val="21"/>
              </w:rPr>
            </w:pPr>
            <w:r>
              <w:rPr>
                <w:rFonts w:hint="eastAsia" w:ascii="仿宋" w:hAnsi="仿宋" w:eastAsia="仿宋" w:cs="仿宋"/>
                <w:b/>
                <w:szCs w:val="21"/>
              </w:rPr>
              <w:t xml:space="preserve">  名称</w:t>
            </w:r>
            <w:r/>
          </w:p>
        </w:tc>
        <w:tc>
          <w:tcPr>
            <w:tcW w:w="5071" w:type="dxa"/>
            <w:vAlign w:val="center"/>
            <w:textDirection w:val="lrTb"/>
            <w:noWrap w:val="false"/>
          </w:tcPr>
          <w:p>
            <w:pPr>
              <w:spacing w:line="360" w:lineRule="auto"/>
              <w:rPr>
                <w:rFonts w:hint="eastAsia" w:ascii="仿宋" w:hAnsi="仿宋" w:eastAsia="仿宋" w:cs="仿宋"/>
                <w:b/>
                <w:szCs w:val="21"/>
              </w:rPr>
            </w:pPr>
            <w:r>
              <w:rPr>
                <w:rFonts w:hint="eastAsia" w:ascii="仿宋" w:hAnsi="仿宋" w:eastAsia="仿宋" w:cs="仿宋"/>
                <w:b/>
                <w:szCs w:val="21"/>
              </w:rPr>
              <w:t xml:space="preserve">明细</w:t>
            </w:r>
            <w:r/>
          </w:p>
        </w:tc>
      </w:tr>
      <w:tr>
        <w:trPr>
          <w:cantSplit/>
          <w:jc w:val="center"/>
          <w:trHeight w:val="481"/>
        </w:trPr>
        <w:tc>
          <w:tcPr>
            <w:tcW w:w="1590" w:type="dxa"/>
            <w:vAlign w:val="center"/>
            <w:vMerge w:val="restart"/>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总面积</w:t>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建筑面积（㎡）</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1号楼36480</w:t>
            </w: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2号楼13665</w:t>
            </w: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4-6号楼21760</w:t>
            </w: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7号楼8830</w:t>
            </w:r>
            <w:r>
              <w:rPr>
                <w:rFonts w:hint="eastAsia" w:ascii="仿宋" w:hAnsi="仿宋" w:eastAsia="仿宋" w:cs="仿宋"/>
                <w:szCs w:val="21"/>
                <w:highlight w:val="none"/>
              </w:rPr>
              <w:t xml:space="preserve">㎡。</w:t>
            </w:r>
            <w:r/>
          </w:p>
        </w:tc>
      </w:tr>
      <w:tr>
        <w:trPr>
          <w:cantSplit/>
          <w:jc w:val="center"/>
          <w:trHeight w:val="90"/>
        </w:trPr>
        <w:tc>
          <w:tcPr>
            <w:tcW w:w="1590"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需保洁面积（㎡）</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约</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6000</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平方米</w:t>
            </w:r>
            <w:r/>
          </w:p>
        </w:tc>
      </w:tr>
      <w:tr>
        <w:trPr>
          <w:jc w:val="center"/>
          <w:trHeight w:val="777"/>
        </w:trPr>
        <w:tc>
          <w:tcPr>
            <w:tcW w:w="159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门窗</w:t>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门窗总数量（个）及总面积（㎡）</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门</w:t>
            </w:r>
            <w:r>
              <w:rPr>
                <w:rFonts w:hint="eastAsia" w:ascii="仿宋" w:hAnsi="仿宋" w:eastAsia="仿宋" w:cs="仿宋"/>
                <w:szCs w:val="21"/>
                <w:highlight w:val="none"/>
                <w:u w:val="single"/>
                <w:lang w:val="en-US" w:eastAsia="zh-CN"/>
              </w:rPr>
              <w:t xml:space="preserve">10</w:t>
            </w:r>
            <w:r>
              <w:rPr>
                <w:rFonts w:hint="eastAsia" w:ascii="仿宋" w:hAnsi="仿宋" w:eastAsia="仿宋" w:cs="仿宋"/>
                <w:szCs w:val="21"/>
                <w:highlight w:val="none"/>
              </w:rPr>
              <w:t xml:space="preserve">个，面积约</w:t>
            </w:r>
            <w:r>
              <w:rPr>
                <w:rFonts w:hint="eastAsia" w:ascii="仿宋" w:hAnsi="仿宋" w:eastAsia="仿宋" w:cs="仿宋"/>
                <w:szCs w:val="21"/>
                <w:highlight w:val="none"/>
                <w:u w:val="single"/>
              </w:rPr>
              <w:t xml:space="preserve">1</w:t>
            </w:r>
            <w:r>
              <w:rPr>
                <w:rFonts w:hint="eastAsia" w:ascii="仿宋" w:hAnsi="仿宋" w:eastAsia="仿宋" w:cs="仿宋"/>
                <w:szCs w:val="21"/>
                <w:highlight w:val="none"/>
                <w:u w:val="single"/>
                <w:lang w:val="en-US" w:eastAsia="zh-CN"/>
              </w:rPr>
              <w:t xml:space="preserve">0</w:t>
            </w:r>
            <w:r>
              <w:rPr>
                <w:rFonts w:hint="eastAsia" w:ascii="仿宋" w:hAnsi="仿宋" w:eastAsia="仿宋" w:cs="仿宋"/>
                <w:szCs w:val="21"/>
                <w:highlight w:val="none"/>
                <w:u w:val="single"/>
              </w:rPr>
              <w:t xml:space="preserve">0 </w:t>
            </w:r>
            <w:r>
              <w:rPr>
                <w:rFonts w:hint="eastAsia" w:ascii="仿宋" w:hAnsi="仿宋" w:eastAsia="仿宋" w:cs="仿宋"/>
                <w:szCs w:val="21"/>
                <w:highlight w:val="none"/>
              </w:rPr>
              <w:t xml:space="preserve">㎡</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窗</w:t>
            </w:r>
            <w:r>
              <w:rPr>
                <w:rFonts w:hint="eastAsia" w:ascii="仿宋" w:hAnsi="仿宋" w:eastAsia="仿宋" w:cs="仿宋"/>
                <w:szCs w:val="21"/>
                <w:highlight w:val="none"/>
                <w:lang w:val="en-US" w:eastAsia="zh-CN"/>
              </w:rPr>
              <w:t xml:space="preserve">5</w:t>
            </w:r>
            <w:r>
              <w:rPr>
                <w:rFonts w:hint="eastAsia" w:ascii="仿宋" w:hAnsi="仿宋" w:eastAsia="仿宋" w:cs="仿宋"/>
                <w:szCs w:val="21"/>
                <w:highlight w:val="none"/>
                <w:u w:val="single"/>
              </w:rPr>
              <w:t xml:space="preserve">0</w:t>
            </w:r>
            <w:r>
              <w:rPr>
                <w:rFonts w:hint="eastAsia" w:ascii="仿宋" w:hAnsi="仿宋" w:eastAsia="仿宋" w:cs="仿宋"/>
                <w:szCs w:val="21"/>
                <w:highlight w:val="none"/>
              </w:rPr>
              <w:t xml:space="preserve">个，面积约</w:t>
            </w:r>
            <w:r>
              <w:rPr>
                <w:rFonts w:hint="eastAsia" w:ascii="仿宋" w:hAnsi="仿宋" w:eastAsia="仿宋" w:cs="仿宋"/>
                <w:szCs w:val="21"/>
                <w:highlight w:val="none"/>
                <w:u w:val="single"/>
                <w:lang w:val="en-US" w:eastAsia="zh-CN"/>
              </w:rPr>
              <w:t xml:space="preserve">100</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tc>
      </w:tr>
      <w:tr>
        <w:trPr>
          <w:cantSplit/>
          <w:jc w:val="center"/>
          <w:trHeight w:val="482"/>
        </w:trPr>
        <w:tc>
          <w:tcPr>
            <w:tcW w:w="159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地面</w:t>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地面各材质及总面积（㎡）</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总面积</w:t>
            </w:r>
            <w:r>
              <w:rPr>
                <w:rFonts w:hint="eastAsia" w:ascii="仿宋" w:hAnsi="仿宋" w:eastAsia="仿宋" w:cs="仿宋"/>
                <w:szCs w:val="21"/>
                <w:highlight w:val="none"/>
                <w:u w:val="single"/>
                <w:lang w:val="en-US" w:eastAsia="zh-CN"/>
              </w:rPr>
              <w:t xml:space="preserve">4450</w:t>
            </w: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瓷砖</w:t>
            </w:r>
            <w:r>
              <w:rPr>
                <w:rFonts w:hint="eastAsia" w:ascii="仿宋" w:hAnsi="仿宋" w:eastAsia="仿宋" w:cs="仿宋"/>
                <w:szCs w:val="21"/>
                <w:highlight w:val="none"/>
              </w:rPr>
              <w:t xml:space="preserve">地面</w:t>
            </w:r>
            <w:r/>
          </w:p>
        </w:tc>
      </w:tr>
      <w:tr>
        <w:trPr>
          <w:cantSplit/>
          <w:jc w:val="center"/>
          <w:trHeight w:val="585"/>
        </w:trPr>
        <w:tc>
          <w:tcPr>
            <w:tcW w:w="159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内墙饰面</w:t>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内墙饰面各材质</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乳胶漆、墙砖</w:t>
            </w:r>
            <w:r/>
          </w:p>
        </w:tc>
      </w:tr>
      <w:tr>
        <w:trPr>
          <w:cantSplit/>
          <w:jc w:val="center"/>
          <w:trHeight w:val="642"/>
        </w:trPr>
        <w:tc>
          <w:tcPr>
            <w:tcW w:w="159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顶面</w:t>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顶面各材质</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顶面主要为乳胶漆、石膏</w:t>
            </w:r>
            <w:r>
              <w:rPr>
                <w:rFonts w:hint="eastAsia" w:ascii="仿宋" w:hAnsi="仿宋" w:eastAsia="仿宋" w:cs="仿宋"/>
                <w:szCs w:val="21"/>
                <w:highlight w:val="none"/>
                <w:lang w:val="en-US" w:eastAsia="zh-CN"/>
              </w:rPr>
              <w:t xml:space="preserve">板</w:t>
            </w:r>
            <w:r>
              <w:rPr>
                <w:rFonts w:hint="eastAsia" w:ascii="仿宋" w:hAnsi="仿宋" w:eastAsia="仿宋" w:cs="仿宋"/>
                <w:szCs w:val="21"/>
                <w:highlight w:val="none"/>
              </w:rPr>
              <w:t xml:space="preserve">。</w:t>
            </w:r>
            <w:r/>
          </w:p>
        </w:tc>
      </w:tr>
      <w:tr>
        <w:trPr>
          <w:cantSplit/>
          <w:jc w:val="center"/>
          <w:trHeight w:val="656"/>
        </w:trPr>
        <w:tc>
          <w:tcPr>
            <w:tcW w:w="1590" w:type="dxa"/>
            <w:vAlign w:val="center"/>
            <w:vMerge w:val="restart"/>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外墙</w:t>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外墙各材质及总面积（㎡）</w:t>
            </w:r>
            <w:r/>
          </w:p>
        </w:tc>
        <w:tc>
          <w:tcPr>
            <w:tcW w:w="5071" w:type="dxa"/>
            <w:vAlign w:val="center"/>
            <w:textDirection w:val="lrTb"/>
            <w:noWrap w:val="false"/>
          </w:tcPr>
          <w:p>
            <w:pPr>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涂料，</w:t>
            </w:r>
            <w:r>
              <w:rPr>
                <w:rFonts w:hint="eastAsia" w:ascii="仿宋" w:hAnsi="仿宋" w:eastAsia="仿宋" w:cs="仿宋"/>
                <w:szCs w:val="21"/>
                <w:highlight w:val="none"/>
              </w:rPr>
              <w:t xml:space="preserve">总面积 </w:t>
            </w:r>
            <w:r>
              <w:rPr>
                <w:rFonts w:hint="eastAsia" w:ascii="仿宋" w:hAnsi="仿宋" w:eastAsia="仿宋" w:cs="仿宋"/>
                <w:szCs w:val="21"/>
                <w:highlight w:val="none"/>
                <w:u w:val="single"/>
              </w:rPr>
              <w:t xml:space="preserve"> 20000  </w:t>
            </w:r>
            <w:r>
              <w:rPr>
                <w:rFonts w:hint="eastAsia" w:ascii="仿宋" w:hAnsi="仿宋" w:eastAsia="仿宋" w:cs="仿宋"/>
                <w:szCs w:val="21"/>
                <w:highlight w:val="none"/>
              </w:rPr>
              <w:t xml:space="preserve">㎡。</w:t>
            </w:r>
            <w:r/>
          </w:p>
        </w:tc>
      </w:tr>
      <w:tr>
        <w:trPr>
          <w:cantSplit/>
          <w:jc w:val="center"/>
          <w:trHeight w:val="739"/>
        </w:trPr>
        <w:tc>
          <w:tcPr>
            <w:tcW w:w="1590" w:type="dxa"/>
            <w:vAlign w:val="center"/>
            <w:vMerge w:val="continue"/>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外墙需清洗面积（㎡）</w:t>
            </w:r>
            <w:r/>
          </w:p>
        </w:tc>
        <w:tc>
          <w:tcPr>
            <w:tcW w:w="5071" w:type="dxa"/>
            <w:vAlign w:val="center"/>
            <w:textDirection w:val="lrTb"/>
            <w:noWrap w:val="false"/>
          </w:tcPr>
          <w:p>
            <w:pPr>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清洗面积</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1</w:t>
            </w:r>
            <w:r>
              <w:rPr>
                <w:rFonts w:hint="eastAsia" w:ascii="仿宋" w:hAnsi="仿宋" w:eastAsia="仿宋" w:cs="仿宋"/>
                <w:szCs w:val="21"/>
                <w:highlight w:val="none"/>
                <w:u w:val="single"/>
              </w:rPr>
              <w:t xml:space="preserve">000 </w:t>
            </w:r>
            <w:r>
              <w:rPr>
                <w:rFonts w:hint="eastAsia" w:ascii="仿宋" w:hAnsi="仿宋" w:eastAsia="仿宋" w:cs="仿宋"/>
                <w:szCs w:val="21"/>
                <w:highlight w:val="none"/>
              </w:rPr>
              <w:t xml:space="preserve">㎡（无需经常性清洗，按采购人需求提供服务）。</w:t>
            </w:r>
            <w:r/>
          </w:p>
        </w:tc>
      </w:tr>
      <w:tr>
        <w:trPr>
          <w:cantSplit/>
          <w:jc w:val="center"/>
          <w:trHeight w:val="564"/>
        </w:trPr>
        <w:tc>
          <w:tcPr>
            <w:tcW w:w="1590" w:type="dxa"/>
            <w:vAlign w:val="center"/>
            <w:vMerge w:val="restart"/>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会议室</w:t>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室内设施说明</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会议桌椅</w:t>
            </w:r>
            <w:r/>
          </w:p>
        </w:tc>
      </w:tr>
      <w:tr>
        <w:trPr>
          <w:cantSplit/>
          <w:jc w:val="center"/>
          <w:trHeight w:val="768"/>
        </w:trPr>
        <w:tc>
          <w:tcPr>
            <w:tcW w:w="1590"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会议室数量（个）及总面积700（㎡）</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会议室数量</w:t>
            </w:r>
            <w:r>
              <w:rPr>
                <w:rFonts w:hint="eastAsia" w:ascii="仿宋" w:hAnsi="仿宋" w:eastAsia="仿宋" w:cs="仿宋"/>
                <w:szCs w:val="21"/>
                <w:highlight w:val="none"/>
                <w:u w:val="single"/>
              </w:rPr>
              <w:t xml:space="preserve">3</w:t>
            </w:r>
            <w:r>
              <w:rPr>
                <w:rFonts w:hint="eastAsia" w:ascii="仿宋" w:hAnsi="仿宋" w:eastAsia="仿宋" w:cs="仿宋"/>
                <w:szCs w:val="21"/>
                <w:highlight w:val="none"/>
              </w:rPr>
              <w:t xml:space="preserve">个，面积约</w:t>
            </w:r>
            <w:r>
              <w:rPr>
                <w:rFonts w:hint="eastAsia" w:ascii="仿宋" w:hAnsi="仿宋" w:eastAsia="仿宋" w:cs="仿宋"/>
                <w:szCs w:val="21"/>
                <w:highlight w:val="none"/>
                <w:u w:val="single"/>
                <w:lang w:val="en-US" w:eastAsia="zh-CN"/>
              </w:rPr>
              <w:t xml:space="preserve">3</w:t>
            </w:r>
            <w:r>
              <w:rPr>
                <w:rFonts w:hint="eastAsia" w:ascii="仿宋" w:hAnsi="仿宋" w:eastAsia="仿宋" w:cs="仿宋"/>
                <w:szCs w:val="21"/>
                <w:highlight w:val="none"/>
                <w:u w:val="single"/>
              </w:rPr>
              <w:t xml:space="preserve">00</w:t>
            </w:r>
            <w:r>
              <w:rPr>
                <w:rFonts w:hint="eastAsia" w:ascii="仿宋" w:hAnsi="仿宋" w:eastAsia="仿宋" w:cs="仿宋"/>
                <w:szCs w:val="21"/>
                <w:highlight w:val="none"/>
              </w:rPr>
              <w:t xml:space="preserve">㎡；贵宾室</w:t>
            </w:r>
            <w:r>
              <w:rPr>
                <w:rFonts w:hint="eastAsia" w:ascii="仿宋" w:hAnsi="仿宋" w:eastAsia="仿宋" w:cs="仿宋"/>
                <w:szCs w:val="21"/>
                <w:highlight w:val="none"/>
                <w:u w:val="single"/>
              </w:rPr>
              <w:t xml:space="preserve"> 1</w:t>
            </w:r>
            <w:r>
              <w:rPr>
                <w:rFonts w:hint="eastAsia" w:ascii="仿宋" w:hAnsi="仿宋" w:eastAsia="仿宋" w:cs="仿宋"/>
                <w:szCs w:val="21"/>
                <w:highlight w:val="none"/>
              </w:rPr>
              <w:t xml:space="preserve">个，面积约</w:t>
            </w:r>
            <w:r>
              <w:rPr>
                <w:rFonts w:hint="eastAsia" w:ascii="仿宋" w:hAnsi="仿宋" w:eastAsia="仿宋" w:cs="仿宋"/>
                <w:szCs w:val="21"/>
                <w:highlight w:val="none"/>
                <w:u w:val="single"/>
              </w:rPr>
              <w:t xml:space="preserve">50</w:t>
            </w:r>
            <w:r>
              <w:rPr>
                <w:rFonts w:hint="eastAsia" w:ascii="仿宋" w:hAnsi="仿宋" w:eastAsia="仿宋" w:cs="仿宋"/>
                <w:szCs w:val="21"/>
                <w:highlight w:val="none"/>
              </w:rPr>
              <w:t xml:space="preserve">㎡</w:t>
            </w:r>
            <w:r/>
          </w:p>
        </w:tc>
      </w:tr>
      <w:tr>
        <w:trPr>
          <w:jc w:val="center"/>
          <w:trHeight w:val="847"/>
        </w:trPr>
        <w:tc>
          <w:tcPr>
            <w:tcW w:w="159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卫生间</w:t>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卫生间数量（个）及总面积（㎡）</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卫生间（包括残疾人卫生间）室内</w:t>
            </w:r>
            <w:r>
              <w:rPr>
                <w:rFonts w:hint="eastAsia" w:ascii="仿宋" w:hAnsi="仿宋" w:eastAsia="仿宋" w:cs="仿宋"/>
                <w:szCs w:val="21"/>
                <w:highlight w:val="none"/>
                <w:lang w:val="en-US" w:eastAsia="zh-CN"/>
              </w:rPr>
              <w:t xml:space="preserve">50</w:t>
            </w:r>
            <w:r>
              <w:rPr>
                <w:rFonts w:hint="eastAsia" w:ascii="仿宋" w:hAnsi="仿宋" w:eastAsia="仿宋" w:cs="仿宋"/>
                <w:szCs w:val="21"/>
                <w:highlight w:val="none"/>
              </w:rPr>
              <w:t xml:space="preserve">处，面积约</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1000</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tc>
      </w:tr>
      <w:tr>
        <w:trPr>
          <w:jc w:val="center"/>
          <w:trHeight w:val="819"/>
        </w:trPr>
        <w:tc>
          <w:tcPr>
            <w:tcW w:w="159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垃圾存放点</w:t>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各垃圾存放点位置、面积（㎡）及数量（个）</w:t>
            </w:r>
            <w:r/>
          </w:p>
        </w:tc>
        <w:tc>
          <w:tcPr>
            <w:tcW w:w="5071" w:type="dxa"/>
            <w:vAlign w:val="center"/>
            <w:textDirection w:val="lrTb"/>
            <w:noWrap w:val="false"/>
          </w:tcPr>
          <w:p>
            <w:pPr>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20个点位，面积约15</w:t>
            </w:r>
            <w:r>
              <w:rPr>
                <w:rFonts w:hint="eastAsia" w:ascii="仿宋" w:hAnsi="仿宋" w:eastAsia="仿宋" w:cs="仿宋"/>
                <w:szCs w:val="21"/>
                <w:highlight w:val="none"/>
              </w:rPr>
              <w:t xml:space="preserve">㎡</w:t>
            </w:r>
            <w:r/>
          </w:p>
        </w:tc>
      </w:tr>
      <w:tr>
        <w:trPr>
          <w:cantSplit/>
          <w:jc w:val="center"/>
          <w:trHeight w:val="662"/>
        </w:trPr>
        <w:tc>
          <w:tcPr>
            <w:tcW w:w="159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车位数</w:t>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地面车位数</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广场地面车位数量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3</w:t>
            </w:r>
            <w:r>
              <w:rPr>
                <w:rFonts w:hint="eastAsia" w:ascii="仿宋" w:hAnsi="仿宋" w:eastAsia="仿宋" w:cs="仿宋"/>
                <w:szCs w:val="21"/>
                <w:highlight w:val="none"/>
                <w:u w:val="single"/>
              </w:rPr>
              <w:t xml:space="preserve">0  </w:t>
            </w:r>
            <w:r>
              <w:rPr>
                <w:rFonts w:hint="eastAsia" w:ascii="仿宋" w:hAnsi="仿宋" w:eastAsia="仿宋" w:cs="仿宋"/>
                <w:szCs w:val="21"/>
                <w:highlight w:val="none"/>
              </w:rPr>
              <w:t xml:space="preserve">个</w:t>
            </w:r>
            <w:r/>
          </w:p>
        </w:tc>
      </w:tr>
      <w:tr>
        <w:trPr>
          <w:cantSplit/>
          <w:jc w:val="center"/>
          <w:trHeight w:val="512"/>
        </w:trPr>
        <w:tc>
          <w:tcPr>
            <w:tcW w:w="1590" w:type="dxa"/>
            <w:vAlign w:val="center"/>
            <w:vMerge w:val="restart"/>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车行/</w:t>
            </w:r>
            <w:r/>
          </w:p>
          <w:p>
            <w:pPr>
              <w:spacing w:line="360" w:lineRule="auto"/>
              <w:rPr>
                <w:rFonts w:hint="eastAsia" w:ascii="仿宋" w:hAnsi="仿宋" w:eastAsia="仿宋" w:cs="仿宋"/>
                <w:szCs w:val="21"/>
              </w:rPr>
            </w:pPr>
            <w:r>
              <w:rPr>
                <w:rFonts w:hint="eastAsia" w:ascii="仿宋" w:hAnsi="仿宋" w:eastAsia="仿宋" w:cs="仿宋"/>
                <w:szCs w:val="21"/>
              </w:rPr>
              <w:t xml:space="preserve">人行口</w:t>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车行口</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西门</w:t>
            </w:r>
            <w:r>
              <w:rPr>
                <w:rFonts w:hint="eastAsia" w:ascii="仿宋" w:hAnsi="仿宋" w:eastAsia="仿宋" w:cs="仿宋"/>
                <w:szCs w:val="21"/>
                <w:highlight w:val="none"/>
                <w:lang w:val="en-US" w:eastAsia="zh-CN"/>
              </w:rPr>
              <w:t xml:space="preserve">1</w:t>
            </w:r>
            <w:r>
              <w:rPr>
                <w:rFonts w:hint="eastAsia" w:ascii="仿宋" w:hAnsi="仿宋" w:eastAsia="仿宋" w:cs="仿宋"/>
                <w:szCs w:val="21"/>
                <w:highlight w:val="none"/>
              </w:rPr>
              <w:t xml:space="preserve">处</w:t>
            </w:r>
            <w:r/>
          </w:p>
        </w:tc>
      </w:tr>
      <w:tr>
        <w:trPr>
          <w:cantSplit/>
          <w:jc w:val="center"/>
          <w:trHeight w:val="481"/>
        </w:trPr>
        <w:tc>
          <w:tcPr>
            <w:tcW w:w="1590" w:type="dxa"/>
            <w:vAlign w:val="center"/>
            <w:vMerge w:val="continue"/>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人行口</w:t>
            </w:r>
            <w:r/>
          </w:p>
        </w:tc>
        <w:tc>
          <w:tcPr>
            <w:tcW w:w="5071" w:type="dxa"/>
            <w:vAlign w:val="bottom"/>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东、西门两处。</w:t>
            </w:r>
            <w:r/>
          </w:p>
        </w:tc>
      </w:tr>
      <w:tr>
        <w:trPr>
          <w:cantSplit/>
          <w:jc w:val="center"/>
          <w:trHeight w:val="581"/>
        </w:trPr>
        <w:tc>
          <w:tcPr>
            <w:tcW w:w="1590" w:type="dxa"/>
            <w:vAlign w:val="center"/>
            <w:vMerge w:val="restart"/>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p>
            <w:pPr>
              <w:spacing w:line="360" w:lineRule="auto"/>
              <w:rPr>
                <w:rFonts w:hint="eastAsia" w:ascii="仿宋" w:hAnsi="仿宋" w:eastAsia="仿宋" w:cs="仿宋"/>
                <w:szCs w:val="21"/>
              </w:rPr>
            </w:pPr>
            <w:r>
              <w:rPr>
                <w:rFonts w:hint="eastAsia" w:ascii="仿宋" w:hAnsi="仿宋" w:eastAsia="仿宋" w:cs="仿宋"/>
                <w:szCs w:val="21"/>
              </w:rPr>
            </w:r>
            <w:r/>
          </w:p>
          <w:p>
            <w:pPr>
              <w:spacing w:line="360" w:lineRule="auto"/>
              <w:rPr>
                <w:rFonts w:hint="eastAsia" w:ascii="仿宋" w:hAnsi="仿宋" w:eastAsia="仿宋" w:cs="仿宋"/>
                <w:szCs w:val="21"/>
              </w:rPr>
            </w:pPr>
            <w:r>
              <w:rPr>
                <w:rFonts w:hint="eastAsia" w:ascii="仿宋" w:hAnsi="仿宋" w:eastAsia="仿宋" w:cs="仿宋"/>
                <w:szCs w:val="21"/>
              </w:rPr>
              <w:t xml:space="preserve">设施设备</w:t>
            </w:r>
            <w:r>
              <w:rPr>
                <w:rFonts w:hint="eastAsia" w:ascii="仿宋" w:hAnsi="仿宋" w:eastAsia="仿宋" w:cs="仿宋"/>
                <w:spacing w:val="1"/>
                <w:szCs w:val="21"/>
              </w:rPr>
              <w:t xml:space="preserve">（可另行附表</w:t>
            </w:r>
            <w:r>
              <w:rPr>
                <w:rFonts w:hint="eastAsia" w:ascii="仿宋" w:hAnsi="仿宋" w:eastAsia="仿宋" w:cs="仿宋"/>
                <w:spacing w:val="2"/>
                <w:szCs w:val="21"/>
              </w:rPr>
              <w:t xml:space="preserve">）</w:t>
            </w:r>
            <w:r/>
          </w:p>
          <w:p>
            <w:pPr>
              <w:spacing w:line="360" w:lineRule="auto"/>
              <w:rPr>
                <w:rFonts w:hint="eastAsia" w:ascii="仿宋" w:hAnsi="仿宋" w:eastAsia="仿宋" w:cs="仿宋"/>
                <w:szCs w:val="21"/>
              </w:rPr>
            </w:pPr>
            <w:r>
              <w:rPr>
                <w:rFonts w:hint="eastAsia" w:ascii="仿宋" w:hAnsi="仿宋" w:eastAsia="仿宋" w:cs="仿宋"/>
                <w:szCs w:val="21"/>
              </w:rPr>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电梯系统</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校</w:t>
            </w:r>
            <w:r>
              <w:rPr>
                <w:rFonts w:hint="eastAsia" w:ascii="仿宋" w:hAnsi="仿宋" w:eastAsia="仿宋" w:cs="仿宋"/>
                <w:szCs w:val="21"/>
                <w:highlight w:val="none"/>
              </w:rPr>
              <w:t xml:space="preserve">内共有</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7</w:t>
            </w:r>
            <w:r>
              <w:rPr>
                <w:rFonts w:hint="eastAsia" w:ascii="仿宋" w:hAnsi="仿宋" w:eastAsia="仿宋" w:cs="仿宋"/>
                <w:szCs w:val="21"/>
                <w:highlight w:val="none"/>
              </w:rPr>
              <w:t xml:space="preserve">台电梯（负责电路检修）。</w:t>
            </w:r>
            <w:r/>
          </w:p>
        </w:tc>
      </w:tr>
      <w:tr>
        <w:trPr>
          <w:cantSplit/>
          <w:jc w:val="center"/>
          <w:trHeight w:val="952"/>
        </w:trPr>
        <w:tc>
          <w:tcPr>
            <w:tcW w:w="1590" w:type="dxa"/>
            <w:vAlign w:val="center"/>
            <w:vMerge w:val="continue"/>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3106" w:type="dxa"/>
            <w:vAlign w:val="center"/>
            <w:textDirection w:val="lrTb"/>
            <w:noWrap w:val="false"/>
          </w:tcPr>
          <w:p>
            <w:pPr>
              <w:spacing w:line="360" w:lineRule="auto"/>
              <w:rPr>
                <w:rFonts w:hint="eastAsia" w:ascii="仿宋" w:hAnsi="仿宋" w:eastAsia="仿宋" w:cs="仿宋"/>
                <w:color w:val="0000ff"/>
                <w:szCs w:val="21"/>
              </w:rPr>
            </w:pPr>
            <w:r>
              <w:rPr>
                <w:rFonts w:hint="eastAsia" w:ascii="仿宋" w:hAnsi="仿宋" w:eastAsia="仿宋" w:cs="仿宋"/>
                <w:szCs w:val="21"/>
              </w:rPr>
              <w:t xml:space="preserve">空调系统</w:t>
            </w:r>
            <w:r/>
          </w:p>
        </w:tc>
        <w:tc>
          <w:tcPr>
            <w:tcW w:w="5071" w:type="dxa"/>
            <w:vAlign w:val="center"/>
            <w:textDirection w:val="lrTb"/>
            <w:noWrap w:val="false"/>
          </w:tcPr>
          <w:p>
            <w:pPr>
              <w:spacing w:line="360" w:lineRule="auto"/>
              <w:rPr>
                <w:rFonts w:hint="eastAsia" w:ascii="仿宋" w:hAnsi="仿宋" w:eastAsia="仿宋" w:cs="仿宋"/>
                <w:color w:val="0000ff"/>
                <w:szCs w:val="21"/>
                <w:highlight w:val="none"/>
              </w:rPr>
            </w:pPr>
            <w:r>
              <w:rPr>
                <w:rFonts w:hint="eastAsia" w:ascii="仿宋" w:hAnsi="仿宋" w:eastAsia="仿宋" w:cs="仿宋"/>
                <w:szCs w:val="21"/>
                <w:highlight w:val="none"/>
              </w:rPr>
              <w:t xml:space="preserve">通风空调系统包括：中央空调系统、分体式空调等。主要设备有：空调机组、多联机  组 20 台（负责电路检修）。</w:t>
            </w:r>
            <w:r/>
          </w:p>
        </w:tc>
      </w:tr>
      <w:tr>
        <w:trPr>
          <w:cantSplit/>
          <w:jc w:val="center"/>
          <w:trHeight w:val="753"/>
        </w:trPr>
        <w:tc>
          <w:tcPr>
            <w:tcW w:w="1590" w:type="dxa"/>
            <w:vAlign w:val="center"/>
            <w:vMerge w:val="continue"/>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给排水系统</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给水为市政消防用水、生活用水；排水包括雨水、污水系统。</w:t>
            </w:r>
            <w:r/>
          </w:p>
        </w:tc>
      </w:tr>
      <w:tr>
        <w:trPr>
          <w:cantSplit/>
          <w:jc w:val="center"/>
          <w:trHeight w:val="2271"/>
        </w:trPr>
        <w:tc>
          <w:tcPr>
            <w:tcW w:w="1590" w:type="dxa"/>
            <w:vAlign w:val="center"/>
            <w:vMerge w:val="continue"/>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消防系统</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消防系统包括：火灾自动报警及消防联动系统、消防栓系统、自动喷淋系统、ABC干粉固定式灭火装置。主要设备：消防喷淋泵</w:t>
            </w:r>
            <w:r>
              <w:rPr>
                <w:rFonts w:hint="eastAsia" w:ascii="仿宋" w:hAnsi="仿宋" w:eastAsia="仿宋" w:cs="仿宋"/>
                <w:szCs w:val="21"/>
                <w:highlight w:val="none"/>
                <w:u w:val="single"/>
              </w:rPr>
              <w:t xml:space="preserve">3</w:t>
            </w:r>
            <w:r>
              <w:rPr>
                <w:rFonts w:hint="eastAsia" w:ascii="仿宋" w:hAnsi="仿宋" w:eastAsia="仿宋" w:cs="仿宋"/>
                <w:szCs w:val="21"/>
                <w:highlight w:val="none"/>
              </w:rPr>
              <w:t xml:space="preserve">台、消防水箱</w:t>
            </w:r>
            <w:r>
              <w:rPr>
                <w:rFonts w:hint="eastAsia" w:ascii="仿宋" w:hAnsi="仿宋" w:eastAsia="仿宋" w:cs="仿宋"/>
                <w:szCs w:val="21"/>
                <w:highlight w:val="none"/>
                <w:u w:val="single"/>
              </w:rPr>
              <w:t xml:space="preserve">1 </w:t>
            </w:r>
            <w:r>
              <w:rPr>
                <w:rFonts w:hint="eastAsia" w:ascii="仿宋" w:hAnsi="仿宋" w:eastAsia="仿宋" w:cs="仿宋"/>
                <w:szCs w:val="21"/>
                <w:highlight w:val="none"/>
              </w:rPr>
              <w:t xml:space="preserve">个、消防水池</w:t>
            </w:r>
            <w:r>
              <w:rPr>
                <w:rFonts w:hint="eastAsia" w:ascii="仿宋" w:hAnsi="仿宋" w:eastAsia="仿宋" w:cs="仿宋"/>
                <w:szCs w:val="21"/>
                <w:highlight w:val="none"/>
                <w:u w:val="single"/>
              </w:rPr>
              <w:t xml:space="preserve">1 </w:t>
            </w:r>
            <w:r>
              <w:rPr>
                <w:rFonts w:hint="eastAsia" w:ascii="仿宋" w:hAnsi="仿宋" w:eastAsia="仿宋" w:cs="仿宋"/>
                <w:szCs w:val="21"/>
                <w:highlight w:val="none"/>
              </w:rPr>
              <w:t xml:space="preserve">个，报警阀组</w:t>
            </w:r>
            <w:r>
              <w:rPr>
                <w:rFonts w:hint="eastAsia" w:ascii="仿宋" w:hAnsi="仿宋" w:eastAsia="仿宋" w:cs="仿宋"/>
                <w:szCs w:val="21"/>
                <w:highlight w:val="none"/>
                <w:u w:val="single"/>
              </w:rPr>
              <w:t xml:space="preserve">3</w:t>
            </w:r>
            <w:r>
              <w:rPr>
                <w:rFonts w:hint="eastAsia" w:ascii="仿宋" w:hAnsi="仿宋" w:eastAsia="仿宋" w:cs="仿宋"/>
                <w:szCs w:val="21"/>
                <w:highlight w:val="none"/>
              </w:rPr>
              <w:t xml:space="preserve">组、喷淋头</w:t>
            </w:r>
            <w:r>
              <w:rPr>
                <w:rFonts w:hint="eastAsia" w:ascii="仿宋" w:hAnsi="仿宋" w:eastAsia="仿宋" w:cs="仿宋"/>
                <w:szCs w:val="21"/>
                <w:highlight w:val="none"/>
                <w:u w:val="single"/>
              </w:rPr>
              <w:t xml:space="preserve"> 168 </w:t>
            </w:r>
            <w:r>
              <w:rPr>
                <w:rFonts w:hint="eastAsia" w:ascii="仿宋" w:hAnsi="仿宋" w:eastAsia="仿宋" w:cs="仿宋"/>
                <w:szCs w:val="21"/>
                <w:highlight w:val="none"/>
              </w:rPr>
              <w:t xml:space="preserve">只。在每层配备了相应数量的干粉手提式灭火器。</w:t>
            </w:r>
            <w:r/>
          </w:p>
        </w:tc>
      </w:tr>
      <w:tr>
        <w:trPr>
          <w:cantSplit/>
          <w:jc w:val="center"/>
          <w:trHeight w:val="590"/>
        </w:trPr>
        <w:tc>
          <w:tcPr>
            <w:tcW w:w="1590" w:type="dxa"/>
            <w:vAlign w:val="center"/>
            <w:vMerge w:val="continue"/>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照明系统</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照明系统主要有室内外公共照明、应急照明等。</w:t>
            </w:r>
            <w:r/>
          </w:p>
        </w:tc>
      </w:tr>
      <w:tr>
        <w:trPr>
          <w:cantSplit/>
          <w:jc w:val="center"/>
          <w:trHeight w:val="625"/>
        </w:trPr>
        <w:tc>
          <w:tcPr>
            <w:tcW w:w="1590" w:type="dxa"/>
            <w:vAlign w:val="center"/>
            <w:vMerge w:val="continue"/>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饮水机</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设有</w:t>
            </w:r>
            <w:r>
              <w:rPr>
                <w:rFonts w:hint="eastAsia" w:ascii="仿宋" w:hAnsi="仿宋" w:eastAsia="仿宋" w:cs="仿宋"/>
                <w:szCs w:val="21"/>
                <w:highlight w:val="none"/>
                <w:lang w:val="en-US" w:eastAsia="zh-CN"/>
              </w:rPr>
              <w:t xml:space="preserve">20</w:t>
            </w:r>
            <w:r>
              <w:rPr>
                <w:rFonts w:hint="eastAsia" w:ascii="仿宋" w:hAnsi="仿宋" w:eastAsia="仿宋" w:cs="仿宋"/>
                <w:szCs w:val="21"/>
                <w:highlight w:val="none"/>
              </w:rPr>
              <w:t xml:space="preserve">台饮用开水器。</w:t>
            </w:r>
            <w:r/>
          </w:p>
        </w:tc>
      </w:tr>
      <w:tr>
        <w:trPr>
          <w:cantSplit/>
          <w:jc w:val="center"/>
          <w:trHeight w:val="1038"/>
        </w:trPr>
        <w:tc>
          <w:tcPr>
            <w:tcW w:w="1590" w:type="dxa"/>
            <w:vAlign w:val="center"/>
            <w:vMerge w:val="continue"/>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310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供配电系统</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电气系统包括380/220V低压配电系统，双回路供电、照明系统、防雷与接地系统。</w:t>
            </w:r>
            <w:r/>
          </w:p>
        </w:tc>
      </w:tr>
      <w:tr>
        <w:trPr>
          <w:jc w:val="center"/>
          <w:trHeight w:val="481"/>
        </w:trPr>
        <w:tc>
          <w:tcPr>
            <w:gridSpan w:val="3"/>
            <w:tcW w:w="9767" w:type="dxa"/>
            <w:vAlign w:val="center"/>
            <w:textDirection w:val="lrTb"/>
            <w:noWrap w:val="false"/>
          </w:tcPr>
          <w:p>
            <w:pPr>
              <w:spacing w:line="360" w:lineRule="auto"/>
              <w:rPr>
                <w:rFonts w:hint="eastAsia" w:ascii="仿宋" w:hAnsi="仿宋" w:eastAsia="仿宋" w:cs="仿宋"/>
                <w:b/>
                <w:bCs/>
                <w:szCs w:val="21"/>
              </w:rPr>
            </w:pPr>
            <w:r>
              <w:rPr>
                <w:rFonts w:hint="eastAsia" w:ascii="仿宋" w:hAnsi="仿宋" w:eastAsia="仿宋" w:cs="仿宋"/>
                <w:b/>
                <w:bCs/>
                <w:szCs w:val="21"/>
              </w:rPr>
              <w:t xml:space="preserve">2、物业管理（室外）</w:t>
            </w:r>
            <w:r/>
          </w:p>
        </w:tc>
      </w:tr>
      <w:tr>
        <w:trPr>
          <w:jc w:val="center"/>
          <w:trHeight w:val="481"/>
        </w:trPr>
        <w:tc>
          <w:tcPr>
            <w:gridSpan w:val="2"/>
            <w:tcW w:w="4696"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t xml:space="preserve">名称</w:t>
            </w:r>
            <w:r/>
          </w:p>
        </w:tc>
        <w:tc>
          <w:tcPr>
            <w:tcW w:w="5071"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bCs/>
                <w:szCs w:val="21"/>
              </w:rPr>
              <w:t xml:space="preserve">明细</w:t>
            </w:r>
            <w:r/>
          </w:p>
        </w:tc>
      </w:tr>
      <w:tr>
        <w:trPr>
          <w:jc w:val="center"/>
          <w:trHeight w:val="481"/>
        </w:trPr>
        <w:tc>
          <w:tcPr>
            <w:gridSpan w:val="2"/>
            <w:tcW w:w="469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室外面积</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院落总面积</w:t>
            </w:r>
            <w:r>
              <w:rPr>
                <w:rFonts w:hint="eastAsia" w:ascii="仿宋" w:hAnsi="仿宋" w:eastAsia="仿宋" w:cs="仿宋"/>
                <w:szCs w:val="21"/>
                <w:highlight w:val="none"/>
                <w:u w:val="single"/>
                <w:lang w:val="en-US" w:eastAsia="zh-CN"/>
              </w:rPr>
              <w:t xml:space="preserve">2</w:t>
            </w:r>
            <w:r>
              <w:rPr>
                <w:rFonts w:hint="eastAsia" w:ascii="仿宋" w:hAnsi="仿宋" w:eastAsia="仿宋" w:cs="仿宋"/>
                <w:szCs w:val="21"/>
                <w:highlight w:val="none"/>
                <w:u w:val="single"/>
              </w:rPr>
              <w:t xml:space="preserve">000</w:t>
            </w:r>
            <w:r>
              <w:rPr>
                <w:rFonts w:hint="eastAsia" w:ascii="仿宋" w:hAnsi="仿宋" w:eastAsia="仿宋" w:cs="仿宋"/>
                <w:szCs w:val="21"/>
                <w:highlight w:val="none"/>
              </w:rPr>
              <w:t xml:space="preserve">㎡</w:t>
            </w:r>
            <w:r/>
          </w:p>
        </w:tc>
      </w:tr>
      <w:tr>
        <w:trPr>
          <w:jc w:val="center"/>
          <w:trHeight w:val="481"/>
        </w:trPr>
        <w:tc>
          <w:tcPr>
            <w:gridSpan w:val="2"/>
            <w:tcW w:w="469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绿化</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绿化</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5</w:t>
            </w:r>
            <w:r>
              <w:rPr>
                <w:rFonts w:hint="eastAsia" w:ascii="仿宋" w:hAnsi="仿宋" w:eastAsia="仿宋" w:cs="仿宋"/>
                <w:szCs w:val="21"/>
                <w:highlight w:val="none"/>
                <w:u w:val="single"/>
              </w:rPr>
              <w:t xml:space="preserve">000 </w:t>
            </w:r>
            <w:r>
              <w:rPr>
                <w:rFonts w:hint="eastAsia" w:ascii="仿宋" w:hAnsi="仿宋" w:eastAsia="仿宋" w:cs="仿宋"/>
                <w:szCs w:val="21"/>
                <w:highlight w:val="none"/>
              </w:rPr>
              <w:t xml:space="preserve">㎡</w:t>
            </w:r>
            <w:r/>
          </w:p>
        </w:tc>
      </w:tr>
      <w:tr>
        <w:trPr>
          <w:jc w:val="center"/>
          <w:trHeight w:val="481"/>
        </w:trPr>
        <w:tc>
          <w:tcPr>
            <w:gridSpan w:val="2"/>
            <w:tcW w:w="469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路灯、草坪灯</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灯柱</w:t>
            </w:r>
            <w:r>
              <w:rPr>
                <w:rFonts w:hint="eastAsia" w:ascii="仿宋" w:hAnsi="仿宋" w:eastAsia="仿宋" w:cs="仿宋"/>
                <w:szCs w:val="21"/>
                <w:highlight w:val="none"/>
                <w:u w:val="single"/>
              </w:rPr>
              <w:t xml:space="preserve"> 60  </w:t>
            </w:r>
            <w:r>
              <w:rPr>
                <w:rFonts w:hint="eastAsia" w:ascii="仿宋" w:hAnsi="仿宋" w:eastAsia="仿宋" w:cs="仿宋"/>
                <w:szCs w:val="21"/>
                <w:highlight w:val="none"/>
              </w:rPr>
              <w:t xml:space="preserve">个</w:t>
            </w:r>
            <w:r/>
          </w:p>
        </w:tc>
      </w:tr>
      <w:tr>
        <w:trPr>
          <w:jc w:val="center"/>
          <w:trHeight w:val="481"/>
        </w:trPr>
        <w:tc>
          <w:tcPr>
            <w:gridSpan w:val="2"/>
            <w:tcW w:w="469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消防栓</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室外消防火栓</w:t>
            </w:r>
            <w:r>
              <w:rPr>
                <w:rFonts w:hint="eastAsia" w:ascii="仿宋" w:hAnsi="仿宋" w:eastAsia="仿宋" w:cs="仿宋"/>
                <w:szCs w:val="21"/>
                <w:highlight w:val="none"/>
                <w:u w:val="single"/>
              </w:rPr>
              <w:t xml:space="preserve">  4</w:t>
            </w:r>
            <w:r>
              <w:rPr>
                <w:rFonts w:hint="eastAsia" w:ascii="仿宋" w:hAnsi="仿宋" w:eastAsia="仿宋" w:cs="仿宋"/>
                <w:szCs w:val="21"/>
                <w:highlight w:val="none"/>
                <w:u w:val="single"/>
                <w:lang w:val="en-US" w:eastAsia="zh-CN"/>
              </w:rPr>
              <w:t xml:space="preserve">0</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个</w:t>
            </w:r>
            <w:r/>
          </w:p>
        </w:tc>
      </w:tr>
      <w:tr>
        <w:trPr>
          <w:jc w:val="center"/>
          <w:trHeight w:val="481"/>
        </w:trPr>
        <w:tc>
          <w:tcPr>
            <w:gridSpan w:val="2"/>
            <w:tcW w:w="469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垃圾箱</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室外分类垃圾箱（桶）</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3</w:t>
            </w:r>
            <w:r>
              <w:rPr>
                <w:rFonts w:hint="eastAsia" w:ascii="仿宋" w:hAnsi="仿宋" w:eastAsia="仿宋" w:cs="仿宋"/>
                <w:szCs w:val="21"/>
                <w:highlight w:val="none"/>
                <w:u w:val="single"/>
              </w:rPr>
              <w:t xml:space="preserve">0</w:t>
            </w:r>
            <w:r>
              <w:rPr>
                <w:rFonts w:hint="eastAsia" w:ascii="仿宋" w:hAnsi="仿宋" w:eastAsia="仿宋" w:cs="仿宋"/>
                <w:szCs w:val="21"/>
                <w:highlight w:val="none"/>
              </w:rPr>
              <w:t xml:space="preserve">个。</w:t>
            </w:r>
            <w:r/>
          </w:p>
        </w:tc>
      </w:tr>
      <w:tr>
        <w:trPr>
          <w:jc w:val="center"/>
          <w:trHeight w:val="481"/>
        </w:trPr>
        <w:tc>
          <w:tcPr>
            <w:gridSpan w:val="2"/>
            <w:tcW w:w="469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监控</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监控杆</w:t>
            </w:r>
            <w:r>
              <w:rPr>
                <w:rFonts w:hint="eastAsia" w:ascii="仿宋" w:hAnsi="仿宋" w:eastAsia="仿宋" w:cs="仿宋"/>
                <w:szCs w:val="21"/>
                <w:highlight w:val="none"/>
                <w:u w:val="single"/>
              </w:rPr>
              <w:t xml:space="preserve"> 30 </w:t>
            </w:r>
            <w:r>
              <w:rPr>
                <w:rFonts w:hint="eastAsia" w:ascii="仿宋" w:hAnsi="仿宋" w:eastAsia="仿宋" w:cs="仿宋"/>
                <w:szCs w:val="21"/>
                <w:highlight w:val="none"/>
              </w:rPr>
              <w:t xml:space="preserve">个</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val="en-US" w:eastAsia="zh-CN"/>
              </w:rPr>
              <w:t xml:space="preserve">监控屏</w:t>
            </w:r>
            <w:r>
              <w:rPr>
                <w:rFonts w:hint="eastAsia" w:ascii="仿宋" w:hAnsi="仿宋" w:eastAsia="仿宋" w:cs="仿宋"/>
                <w:szCs w:val="21"/>
                <w:highlight w:val="none"/>
                <w:u w:val="single"/>
                <w:lang w:val="en-US" w:eastAsia="zh-CN"/>
              </w:rPr>
              <w:t xml:space="preserve">  18  </w:t>
            </w:r>
            <w:r>
              <w:rPr>
                <w:rFonts w:hint="eastAsia" w:ascii="仿宋" w:hAnsi="仿宋" w:eastAsia="仿宋" w:cs="仿宋"/>
                <w:szCs w:val="21"/>
                <w:highlight w:val="none"/>
                <w:lang w:val="en-US" w:eastAsia="zh-CN"/>
              </w:rPr>
              <w:t xml:space="preserve">个</w:t>
            </w:r>
            <w:r>
              <w:rPr>
                <w:rFonts w:hint="eastAsia" w:ascii="仿宋" w:hAnsi="仿宋" w:eastAsia="仿宋" w:cs="仿宋"/>
                <w:szCs w:val="21"/>
                <w:highlight w:val="none"/>
              </w:rPr>
              <w:t xml:space="preserve">。</w:t>
            </w:r>
            <w:r/>
          </w:p>
        </w:tc>
      </w:tr>
      <w:tr>
        <w:trPr>
          <w:jc w:val="center"/>
          <w:trHeight w:val="491"/>
        </w:trPr>
        <w:tc>
          <w:tcPr>
            <w:gridSpan w:val="2"/>
            <w:tcW w:w="469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指示牌、电子显示屏</w:t>
            </w:r>
            <w:r/>
          </w:p>
        </w:tc>
        <w:tc>
          <w:tcPr>
            <w:tcW w:w="5071"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电子显示屏</w:t>
            </w:r>
            <w:r>
              <w:rPr>
                <w:rFonts w:hint="eastAsia" w:ascii="仿宋" w:hAnsi="仿宋" w:eastAsia="仿宋" w:cs="仿宋"/>
                <w:szCs w:val="21"/>
                <w:highlight w:val="none"/>
                <w:u w:val="single"/>
                <w:lang w:val="en-US" w:eastAsia="zh-CN"/>
              </w:rPr>
              <w:t xml:space="preserve">1</w:t>
            </w:r>
            <w:r>
              <w:rPr>
                <w:rFonts w:hint="eastAsia" w:ascii="仿宋" w:hAnsi="仿宋" w:eastAsia="仿宋" w:cs="仿宋"/>
                <w:szCs w:val="21"/>
                <w:highlight w:val="none"/>
              </w:rPr>
              <w:t xml:space="preserve">处（负责电路检修）。</w:t>
            </w:r>
            <w:r/>
          </w:p>
        </w:tc>
      </w:tr>
    </w:tbl>
    <w:p>
      <w:pPr>
        <w:spacing w:line="500" w:lineRule="exact"/>
        <w:rPr>
          <w:rFonts w:hint="eastAsia" w:ascii="仿宋" w:hAnsi="仿宋" w:eastAsia="仿宋" w:cs="仿宋"/>
          <w:bCs/>
          <w:color w:val="000000"/>
          <w:szCs w:val="21"/>
        </w:rPr>
      </w:pPr>
      <w:r>
        <w:rPr>
          <w:rFonts w:hint="eastAsia" w:ascii="仿宋" w:hAnsi="仿宋" w:eastAsia="仿宋" w:cs="仿宋"/>
          <w:bCs/>
          <w:color w:val="000000"/>
          <w:szCs w:val="21"/>
        </w:rPr>
      </w:r>
      <w:r/>
    </w:p>
    <w:p>
      <w:pPr>
        <w:pStyle w:val="1259"/>
        <w:numPr>
          <w:ilvl w:val="0"/>
          <w:numId w:val="3"/>
        </w:numPr>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 xml:space="preserve">物业管理服务内容及标准</w:t>
      </w:r>
      <w:r/>
    </w:p>
    <w:p>
      <w:pPr>
        <w:ind w:firstLine="480"/>
        <w:spacing w:line="500" w:lineRule="exact"/>
        <w:rPr>
          <w:rFonts w:hint="eastAsia" w:ascii="仿宋" w:hAnsi="仿宋" w:eastAsia="仿宋" w:cs="仿宋"/>
          <w:sz w:val="24"/>
          <w:szCs w:val="28"/>
        </w:rPr>
      </w:pPr>
      <w:r>
        <w:rPr>
          <w:rFonts w:hint="eastAsia" w:ascii="仿宋" w:hAnsi="仿宋" w:eastAsia="仿宋" w:cs="仿宋"/>
          <w:sz w:val="24"/>
          <w:szCs w:val="28"/>
        </w:rPr>
        <w:t xml:space="preserve">物业管理服务包括基本服务、公用设施设备维护服务、宿舍管理服务、</w:t>
      </w:r>
      <w:r>
        <w:rPr>
          <w:rFonts w:hint="eastAsia" w:ascii="仿宋" w:hAnsi="仿宋" w:eastAsia="仿宋" w:cs="仿宋"/>
          <w:sz w:val="24"/>
          <w:szCs w:val="28"/>
          <w:lang w:val="en-US" w:eastAsia="zh-CN"/>
        </w:rPr>
        <w:t xml:space="preserve">保洁</w:t>
      </w:r>
      <w:r>
        <w:rPr>
          <w:rFonts w:hint="eastAsia" w:ascii="仿宋" w:hAnsi="仿宋" w:eastAsia="仿宋" w:cs="仿宋"/>
          <w:sz w:val="24"/>
          <w:szCs w:val="28"/>
        </w:rPr>
        <w:t xml:space="preserve">服务、</w:t>
      </w:r>
      <w:r>
        <w:rPr>
          <w:rFonts w:hint="eastAsia" w:ascii="仿宋" w:hAnsi="仿宋" w:eastAsia="仿宋" w:cs="仿宋"/>
          <w:sz w:val="24"/>
          <w:szCs w:val="28"/>
          <w:lang w:val="en-US" w:eastAsia="zh-CN"/>
        </w:rPr>
        <w:t xml:space="preserve">水电工</w:t>
      </w:r>
      <w:r>
        <w:rPr>
          <w:rFonts w:hint="eastAsia" w:ascii="仿宋" w:hAnsi="仿宋" w:eastAsia="仿宋" w:cs="仿宋"/>
          <w:sz w:val="24"/>
          <w:szCs w:val="28"/>
        </w:rPr>
        <w:t xml:space="preserve">服务</w:t>
      </w:r>
      <w:r>
        <w:rPr>
          <w:rFonts w:hint="eastAsia" w:ascii="仿宋" w:hAnsi="仿宋" w:eastAsia="仿宋" w:cs="仿宋"/>
          <w:sz w:val="24"/>
          <w:szCs w:val="28"/>
          <w:lang w:eastAsia="zh-CN"/>
        </w:rPr>
        <w:t xml:space="preserve">、</w:t>
      </w:r>
      <w:r>
        <w:rPr>
          <w:rFonts w:hint="eastAsia" w:ascii="仿宋" w:hAnsi="仿宋" w:eastAsia="仿宋" w:cs="仿宋"/>
          <w:sz w:val="24"/>
          <w:szCs w:val="28"/>
          <w:lang w:val="en-US" w:eastAsia="zh-CN"/>
        </w:rPr>
        <w:t xml:space="preserve">暖通工服务</w:t>
      </w:r>
      <w:r>
        <w:rPr>
          <w:rFonts w:hint="eastAsia" w:ascii="仿宋" w:hAnsi="仿宋" w:eastAsia="仿宋" w:cs="仿宋"/>
          <w:sz w:val="24"/>
          <w:szCs w:val="28"/>
        </w:rPr>
        <w:t xml:space="preserve">等。</w:t>
      </w:r>
      <w:r/>
    </w:p>
    <w:p>
      <w:pPr>
        <w:pStyle w:val="1259"/>
        <w:spacing w:before="0" w:after="0" w:line="500" w:lineRule="exact"/>
        <w:rPr>
          <w:rFonts w:hint="eastAsia" w:ascii="仿宋" w:hAnsi="仿宋" w:eastAsia="仿宋" w:cs="仿宋"/>
          <w:bCs/>
          <w:color w:val="000000"/>
          <w:sz w:val="24"/>
          <w:szCs w:val="24"/>
        </w:rPr>
      </w:pPr>
      <w:r>
        <w:rPr>
          <w:rFonts w:hint="eastAsia" w:ascii="仿宋" w:hAnsi="仿宋" w:eastAsia="仿宋" w:cs="仿宋"/>
          <w:bCs/>
          <w:color w:val="000000"/>
          <w:sz w:val="24"/>
        </w:rPr>
        <w:t xml:space="preserve">3.1基本服务</w:t>
      </w:r>
      <w:r/>
    </w:p>
    <w:tbl>
      <w:tblPr>
        <w:tblStyle w:val="763"/>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757"/>
        <w:gridCol w:w="7199"/>
      </w:tblGrid>
      <w:tr>
        <w:trPr>
          <w:jc w:val="center"/>
          <w:trHeight w:val="490"/>
        </w:trPr>
        <w:tc>
          <w:tcPr>
            <w:tcW w:w="828" w:type="dxa"/>
            <w:vAlign w:val="bottom"/>
            <w:textDirection w:val="lrTb"/>
            <w:noWrap w:val="false"/>
          </w:tcPr>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W w:w="1757" w:type="dxa"/>
            <w:vAlign w:val="bottom"/>
            <w:textDirection w:val="lrTb"/>
            <w:noWrap w:val="false"/>
          </w:tcPr>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服务内容</w:t>
            </w:r>
            <w:r/>
          </w:p>
        </w:tc>
        <w:tc>
          <w:tcPr>
            <w:tcW w:w="7199" w:type="dxa"/>
            <w:vAlign w:val="bottom"/>
            <w:textDirection w:val="lrTb"/>
            <w:noWrap w:val="false"/>
          </w:tcPr>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服务标准</w:t>
            </w:r>
            <w:r/>
          </w:p>
        </w:tc>
      </w:tr>
      <w:tr>
        <w:trPr>
          <w:cantSplit/>
          <w:jc w:val="center"/>
          <w:trHeight w:val="90"/>
        </w:trPr>
        <w:tc>
          <w:tcPr>
            <w:tcW w:w="828"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1757"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目标与责任</w:t>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（1）结合采购人要求及物业服务实际情况，制定年度管理目标，明确责任分工，并制定配套实施方案。</w:t>
            </w:r>
            <w:r/>
          </w:p>
        </w:tc>
      </w:tr>
      <w:tr>
        <w:trPr>
          <w:cantSplit/>
          <w:jc w:val="center"/>
          <w:trHeight w:val="660"/>
        </w:trPr>
        <w:tc>
          <w:tcPr>
            <w:tcW w:w="828"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（2）配合采购人各类重大活动现场保洁、秩序维护、会务保障等。</w:t>
            </w:r>
            <w:r/>
          </w:p>
        </w:tc>
      </w:tr>
      <w:tr>
        <w:trPr>
          <w:cantSplit/>
          <w:jc w:val="center"/>
          <w:trHeight w:val="970"/>
        </w:trPr>
        <w:tc>
          <w:tcPr>
            <w:tcW w:w="828"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2</w:t>
            </w:r>
            <w:r/>
          </w:p>
        </w:tc>
        <w:tc>
          <w:tcPr>
            <w:tcW w:w="1757"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服务人员要求</w:t>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（1）每季度至少开展1次岗位技能、职业素质、服务知识、客户文化、绿色节能环保等教育培训，并进行适当形式的考核。</w:t>
            </w:r>
            <w:r/>
          </w:p>
        </w:tc>
      </w:tr>
      <w:tr>
        <w:trPr>
          <w:cantSplit/>
          <w:jc w:val="center"/>
          <w:trHeight w:val="597"/>
        </w:trPr>
        <w:tc>
          <w:tcPr>
            <w:tcW w:w="828"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（2）根据采购人要求对服务人员进行从业资格审查，审查结果向采购人报备。</w:t>
            </w:r>
            <w:r/>
          </w:p>
        </w:tc>
      </w:tr>
      <w:tr>
        <w:trPr>
          <w:cantSplit/>
          <w:jc w:val="center"/>
          <w:trHeight w:val="1395"/>
        </w:trPr>
        <w:tc>
          <w:tcPr>
            <w:tcW w:w="828"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w:t>
            </w:r>
            <w:r>
              <w:rPr>
                <w:rFonts w:hint="eastAsia" w:ascii="仿宋" w:hAnsi="仿宋" w:eastAsia="仿宋" w:cs="仿宋"/>
                <w:bCs/>
                <w:szCs w:val="21"/>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1650"/>
        </w:trPr>
        <w:tc>
          <w:tcPr>
            <w:tcW w:w="828"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w:t>
            </w:r>
            <w:r>
              <w:rPr>
                <w:rFonts w:hint="eastAsia" w:ascii="仿宋" w:hAnsi="仿宋" w:eastAsia="仿宋" w:cs="仿宋"/>
                <w:bCs/>
                <w:szCs w:val="21"/>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仿宋" w:hAnsi="仿宋" w:eastAsia="仿宋" w:cs="仿宋"/>
                <w:bCs/>
                <w:szCs w:val="21"/>
                <w:lang w:val="en-US" w:eastAsia="zh-CN"/>
              </w:rPr>
              <w:t xml:space="preserve">15</w:t>
            </w:r>
            <w:r>
              <w:rPr>
                <w:rFonts w:hint="eastAsia" w:ascii="仿宋" w:hAnsi="仿宋" w:eastAsia="仿宋" w:cs="仿宋"/>
                <w:bCs/>
                <w:szCs w:val="21"/>
              </w:rPr>
              <w:t xml:space="preserve">%。本项目服务人员不得在其他项目兼职。</w:t>
            </w:r>
            <w:r/>
          </w:p>
        </w:tc>
      </w:tr>
      <w:tr>
        <w:trPr>
          <w:cantSplit/>
          <w:jc w:val="center"/>
          <w:trHeight w:val="780"/>
        </w:trPr>
        <w:tc>
          <w:tcPr>
            <w:tcW w:w="828"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（5）着装分类统一，佩戴标识。仪容整洁、姿态端正、举止文明。用语文明礼貌，态度温和耐心。</w:t>
            </w:r>
            <w:r/>
          </w:p>
        </w:tc>
      </w:tr>
      <w:tr>
        <w:trPr>
          <w:cantSplit/>
          <w:jc w:val="center"/>
          <w:trHeight w:val="970"/>
        </w:trPr>
        <w:tc>
          <w:tcPr>
            <w:tcW w:w="828"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3</w:t>
            </w:r>
            <w:r/>
          </w:p>
        </w:tc>
        <w:tc>
          <w:tcPr>
            <w:tcW w:w="1757"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保密和思想政治教育</w:t>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（1）建立保密管理制度。制度内容应当包括但不限于：①明确重点要害岗位保密职责。②对涉密工作岗位的保密要求。</w:t>
            </w:r>
            <w:r/>
          </w:p>
        </w:tc>
      </w:tr>
      <w:tr>
        <w:trPr>
          <w:cantSplit/>
          <w:jc w:val="center"/>
          <w:trHeight w:val="720"/>
        </w:trPr>
        <w:tc>
          <w:tcPr>
            <w:tcW w:w="828"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（2）根据采购人要求与涉密工作岗位的服务人员签订保密协议。保密协议应当向采购人报备。</w:t>
            </w:r>
            <w:r/>
          </w:p>
        </w:tc>
      </w:tr>
      <w:tr>
        <w:trPr>
          <w:cantSplit/>
          <w:jc w:val="center"/>
          <w:trHeight w:val="1320"/>
        </w:trPr>
        <w:tc>
          <w:tcPr>
            <w:tcW w:w="828"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jc w:val="center"/>
          <w:trHeight w:val="765"/>
        </w:trPr>
        <w:tc>
          <w:tcPr>
            <w:tcW w:w="828"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（4）发现服务人员违法违规或重大过失，及时报告采购人，并采取必要补救措施。</w:t>
            </w:r>
            <w:r/>
          </w:p>
        </w:tc>
      </w:tr>
      <w:tr>
        <w:trPr>
          <w:cantSplit/>
          <w:jc w:val="center"/>
          <w:trHeight w:val="810"/>
        </w:trPr>
        <w:tc>
          <w:tcPr>
            <w:tcW w:w="828"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4</w:t>
            </w:r>
            <w:r/>
          </w:p>
        </w:tc>
        <w:tc>
          <w:tcPr>
            <w:tcW w:w="1757"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档案管理</w:t>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（1）建立物业信息，准确、及时地对文件资料和服务记录进行归档保存，并确保其物理安全。</w:t>
            </w:r>
            <w:r/>
          </w:p>
        </w:tc>
      </w:tr>
      <w:tr>
        <w:trPr>
          <w:cantSplit/>
          <w:jc w:val="center"/>
          <w:trHeight w:val="2251"/>
        </w:trPr>
        <w:tc>
          <w:tcPr>
            <w:tcW w:w="828"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numPr>
                <w:ilvl w:val="0"/>
                <w:numId w:val="4"/>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档案和记录齐全，包括但不限于：1、采购人建议与投诉、考核记录等。2、公用设施设备维护服务：设施设备安全运行、设施设备定期巡检、维护保养、维修档案等。3、</w:t>
            </w:r>
            <w:r>
              <w:rPr>
                <w:rFonts w:hint="eastAsia" w:ascii="仿宋" w:hAnsi="仿宋" w:eastAsia="仿宋" w:cs="仿宋"/>
                <w:szCs w:val="21"/>
                <w:lang w:val="en-US" w:eastAsia="zh-CN"/>
              </w:rPr>
              <w:t xml:space="preserve">宿管</w:t>
            </w:r>
            <w:r>
              <w:rPr>
                <w:rFonts w:hint="eastAsia" w:ascii="仿宋" w:hAnsi="仿宋" w:eastAsia="仿宋" w:cs="仿宋"/>
                <w:szCs w:val="21"/>
              </w:rPr>
              <w:t xml:space="preserve">服务：巡查记录、突发事件演习与处置记录等。4、保洁服务：工作日志、清洁检查表等。5、</w:t>
            </w:r>
            <w:r>
              <w:rPr>
                <w:rFonts w:hint="eastAsia" w:ascii="仿宋" w:hAnsi="仿宋" w:eastAsia="仿宋" w:cs="仿宋"/>
                <w:szCs w:val="21"/>
                <w:lang w:val="en-US" w:eastAsia="zh-CN"/>
              </w:rPr>
              <w:t xml:space="preserve">水电工服务</w:t>
            </w:r>
            <w:r>
              <w:rPr>
                <w:rFonts w:hint="eastAsia" w:ascii="仿宋" w:hAnsi="仿宋" w:eastAsia="仿宋" w:cs="仿宋"/>
                <w:szCs w:val="21"/>
              </w:rPr>
              <w:t xml:space="preserve">：</w:t>
            </w:r>
            <w:r>
              <w:rPr>
                <w:rFonts w:hint="eastAsia" w:ascii="仿宋" w:hAnsi="仿宋" w:eastAsia="仿宋" w:cs="仿宋"/>
                <w:szCs w:val="21"/>
                <w:lang w:val="en-US" w:eastAsia="zh-CN"/>
              </w:rPr>
              <w:t xml:space="preserve">值班登记、水电设施设备</w:t>
            </w:r>
            <w:r>
              <w:rPr>
                <w:rFonts w:hint="eastAsia" w:ascii="仿宋" w:hAnsi="仿宋" w:eastAsia="仿宋" w:cs="仿宋"/>
                <w:szCs w:val="21"/>
              </w:rPr>
              <w:t xml:space="preserve">检修巡查交接班记录等。6、</w:t>
            </w:r>
            <w:r>
              <w:rPr>
                <w:rFonts w:hint="eastAsia" w:ascii="仿宋" w:hAnsi="仿宋" w:eastAsia="仿宋" w:cs="仿宋"/>
                <w:szCs w:val="21"/>
                <w:lang w:val="en-US" w:eastAsia="zh-CN"/>
              </w:rPr>
              <w:t xml:space="preserve">暖通工服务：水暖系统的安装调试、定期检查设备</w:t>
            </w:r>
            <w:r>
              <w:rPr>
                <w:rFonts w:hint="eastAsia" w:ascii="仿宋" w:hAnsi="仿宋" w:eastAsia="仿宋" w:cs="仿宋"/>
                <w:szCs w:val="21"/>
              </w:rPr>
              <w:t xml:space="preserve">等登记工作。</w:t>
            </w:r>
            <w:r/>
          </w:p>
        </w:tc>
      </w:tr>
      <w:tr>
        <w:trPr>
          <w:cantSplit/>
          <w:jc w:val="center"/>
          <w:trHeight w:val="90"/>
        </w:trPr>
        <w:tc>
          <w:tcPr>
            <w:tcW w:w="828"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（3）遵守采购人的信息、档案资料保密要求，未经许可，不得将建筑物平面图等资料转作其他用途或向其他单位、个人提供。</w:t>
            </w:r>
            <w:r/>
          </w:p>
        </w:tc>
      </w:tr>
      <w:tr>
        <w:trPr>
          <w:cantSplit/>
          <w:jc w:val="center"/>
          <w:trHeight w:val="747"/>
        </w:trPr>
        <w:tc>
          <w:tcPr>
            <w:tcW w:w="828"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（4）履约结束后，相关资料交还采购人，采购人按政府采购相关规定存档。</w:t>
            </w:r>
            <w:r/>
          </w:p>
        </w:tc>
      </w:tr>
      <w:tr>
        <w:trPr>
          <w:cantSplit/>
          <w:jc w:val="center"/>
          <w:trHeight w:val="785"/>
        </w:trPr>
        <w:tc>
          <w:tcPr>
            <w:tcW w:w="828"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5</w:t>
            </w:r>
            <w:r/>
          </w:p>
        </w:tc>
        <w:tc>
          <w:tcPr>
            <w:tcW w:w="1757"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服务改进</w:t>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（1）明确负责人，定期对物业服务过程进行自查，结合反馈意见与评价结果采取改进措施，持续提升管理与服务水平。</w:t>
            </w:r>
            <w:r/>
          </w:p>
        </w:tc>
      </w:tr>
      <w:tr>
        <w:trPr>
          <w:cantSplit/>
          <w:jc w:val="center"/>
          <w:trHeight w:val="760"/>
        </w:trPr>
        <w:tc>
          <w:tcPr>
            <w:tcW w:w="828"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（2）对不合格服务进行控制，对不合格服务的原因进行识别和分析，及时采取纠正措施，消除不合格的原因，防止不合格再发生。</w:t>
            </w:r>
            <w:r/>
          </w:p>
        </w:tc>
      </w:tr>
      <w:tr>
        <w:trPr>
          <w:cantSplit/>
          <w:jc w:val="center"/>
          <w:trHeight w:val="420"/>
        </w:trPr>
        <w:tc>
          <w:tcPr>
            <w:tcW w:w="828"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（3）需整改问题及时整改完成。</w:t>
            </w:r>
            <w:r/>
          </w:p>
        </w:tc>
      </w:tr>
      <w:tr>
        <w:trPr>
          <w:cantSplit/>
          <w:jc w:val="center"/>
          <w:trHeight w:val="702"/>
        </w:trPr>
        <w:tc>
          <w:tcPr>
            <w:tcW w:w="828"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W w:w="1757"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服务方案及工作制度</w:t>
            </w:r>
            <w:r/>
          </w:p>
        </w:tc>
        <w:tc>
          <w:tcPr>
            <w:tcW w:w="7199" w:type="dxa"/>
            <w:vAlign w:val="center"/>
            <w:textDirection w:val="lrTb"/>
            <w:noWrap w:val="false"/>
          </w:tcPr>
          <w:p>
            <w:pPr>
              <w:jc w:val="left"/>
              <w:spacing w:line="360" w:lineRule="auto"/>
              <w:widowControl/>
              <w:rPr>
                <w:rFonts w:hint="eastAsia" w:ascii="仿宋" w:hAnsi="仿宋" w:eastAsia="仿宋" w:cs="仿宋"/>
                <w:bCs/>
                <w:szCs w:val="21"/>
              </w:rPr>
            </w:pPr>
            <w:r>
              <w:rPr>
                <w:rFonts w:hint="eastAsia" w:ascii="仿宋" w:hAnsi="仿宋" w:eastAsia="仿宋" w:cs="仿宋"/>
                <w:szCs w:val="21"/>
              </w:rPr>
              <w:t xml:space="preserve">（1）制定工作制度，</w:t>
            </w:r>
            <w:r>
              <w:rPr>
                <w:rFonts w:hint="eastAsia" w:ascii="仿宋" w:hAnsi="仿宋" w:eastAsia="仿宋" w:cs="仿宋"/>
                <w:bCs/>
                <w:szCs w:val="21"/>
              </w:rPr>
              <w:t xml:space="preserve">主要包括：人员录用制度、</w:t>
            </w:r>
            <w:r>
              <w:rPr>
                <w:rFonts w:hint="eastAsia" w:ascii="仿宋" w:hAnsi="仿宋" w:eastAsia="仿宋" w:cs="仿宋"/>
                <w:szCs w:val="21"/>
              </w:rPr>
              <w:t xml:space="preserve">档案管理制度、</w:t>
            </w:r>
            <w:r>
              <w:rPr>
                <w:rFonts w:hint="eastAsia" w:ascii="仿宋" w:hAnsi="仿宋" w:eastAsia="仿宋" w:cs="仿宋"/>
                <w:bCs/>
                <w:szCs w:val="21"/>
              </w:rPr>
              <w:t xml:space="preserve">物业服务管理制度</w:t>
            </w:r>
            <w:r>
              <w:rPr>
                <w:rFonts w:hint="eastAsia" w:ascii="仿宋" w:hAnsi="仿宋" w:eastAsia="仿宋" w:cs="仿宋"/>
                <w:szCs w:val="21"/>
              </w:rPr>
              <w:t xml:space="preserve">等</w:t>
            </w:r>
            <w:r>
              <w:rPr>
                <w:rFonts w:hint="eastAsia" w:ascii="仿宋" w:hAnsi="仿宋" w:eastAsia="仿宋" w:cs="仿宋"/>
                <w:bCs/>
                <w:szCs w:val="21"/>
              </w:rPr>
              <w:t xml:space="preserve">。</w:t>
            </w:r>
            <w:r/>
          </w:p>
        </w:tc>
      </w:tr>
      <w:tr>
        <w:trPr>
          <w:cantSplit/>
          <w:jc w:val="center"/>
          <w:trHeight w:val="687"/>
        </w:trPr>
        <w:tc>
          <w:tcPr>
            <w:tcW w:w="828"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（2）制定</w:t>
            </w:r>
            <w:r>
              <w:rPr>
                <w:rFonts w:hint="eastAsia" w:ascii="仿宋" w:hAnsi="仿宋" w:eastAsia="仿宋" w:cs="仿宋"/>
                <w:bCs/>
                <w:szCs w:val="21"/>
              </w:rPr>
              <w:t xml:space="preserve">项目实施方案，主要包括：交接方案、人员培训方案、人员稳定性方案、保密方案等。</w:t>
            </w:r>
            <w:r/>
          </w:p>
        </w:tc>
      </w:tr>
      <w:tr>
        <w:trPr>
          <w:cantSplit/>
          <w:jc w:val="center"/>
          <w:trHeight w:val="825"/>
        </w:trPr>
        <w:tc>
          <w:tcPr>
            <w:tcW w:w="828"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（3）制定</w:t>
            </w:r>
            <w:r>
              <w:rPr>
                <w:rFonts w:hint="eastAsia" w:ascii="仿宋" w:hAnsi="仿宋" w:eastAsia="仿宋" w:cs="仿宋"/>
                <w:bCs/>
                <w:szCs w:val="21"/>
              </w:rPr>
              <w:t xml:space="preserve">物业服务方案，主要包括：公用设施设备维护服务方案、绿化服务方案、保洁服务及垃圾清运方案、保安服务方案、消防值班方案等。</w:t>
            </w:r>
            <w:r/>
          </w:p>
        </w:tc>
      </w:tr>
      <w:tr>
        <w:trPr>
          <w:cantSplit/>
          <w:jc w:val="center"/>
          <w:trHeight w:val="545"/>
        </w:trPr>
        <w:tc>
          <w:tcPr>
            <w:tcW w:w="828" w:type="dxa"/>
            <w:vAlign w:val="center"/>
            <w:vMerge w:val="restart"/>
            <w:textDirection w:val="lrTb"/>
            <w:noWrap w:val="false"/>
          </w:tcPr>
          <w:p>
            <w:pPr>
              <w:jc w:val="center"/>
              <w:spacing w:line="360" w:lineRule="auto"/>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7</w:t>
            </w:r>
            <w:r/>
          </w:p>
        </w:tc>
        <w:tc>
          <w:tcPr>
            <w:tcW w:w="1757"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服务热线及紧急维修</w:t>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（1）设置24小时报修服务热线，随时有人响应报修、求助等服务需求。</w:t>
            </w:r>
            <w:r/>
          </w:p>
        </w:tc>
      </w:tr>
      <w:tr>
        <w:trPr>
          <w:cantSplit/>
          <w:jc w:val="center"/>
          <w:trHeight w:val="530"/>
        </w:trPr>
        <w:tc>
          <w:tcPr>
            <w:tcW w:w="828"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757"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199"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（2）紧急维修应当20分钟内到达现场，不间断维修直至修复。</w:t>
            </w:r>
            <w:r/>
          </w:p>
        </w:tc>
      </w:tr>
    </w:tbl>
    <w:p>
      <w:r/>
      <w:r/>
    </w:p>
    <w:p>
      <w:pPr>
        <w:jc w:val="left"/>
        <w:spacing w:before="40" w:after="40" w:line="5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3.2公用设施设备维护服务</w:t>
      </w:r>
      <w:r/>
    </w:p>
    <w:tbl>
      <w:tblPr>
        <w:tblStyle w:val="763"/>
        <w:tblW w:w="5226" w:type="pct"/>
        <w:tblInd w:w="-2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897"/>
        <w:gridCol w:w="7095"/>
      </w:tblGrid>
      <w:tr>
        <w:trPr>
          <w:trHeight w:val="454"/>
        </w:trPr>
        <w:tc>
          <w:tcPr>
            <w:tcW w:w="833"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val="0"/>
                <w:color w:val="000000"/>
                <w:sz w:val="21"/>
                <w:highlight w:val="none"/>
              </w:rPr>
            </w:pPr>
            <w:r>
              <w:rPr>
                <w:rFonts w:hint="eastAsia" w:ascii="仿宋" w:hAnsi="仿宋" w:eastAsia="仿宋" w:cs="仿宋"/>
                <w:b/>
                <w:bCs w:val="0"/>
                <w:color w:val="000000"/>
                <w:sz w:val="21"/>
                <w:highlight w:val="none"/>
              </w:rPr>
              <w:t xml:space="preserve">序号</w:t>
            </w:r>
            <w:r/>
          </w:p>
        </w:tc>
        <w:tc>
          <w:tcPr>
            <w:tcW w:w="1897"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val="0"/>
                <w:color w:val="000000"/>
                <w:sz w:val="21"/>
                <w:highlight w:val="none"/>
              </w:rPr>
            </w:pPr>
            <w:r>
              <w:rPr>
                <w:rFonts w:hint="eastAsia" w:ascii="仿宋" w:hAnsi="仿宋" w:eastAsia="仿宋" w:cs="仿宋"/>
                <w:b/>
                <w:bCs w:val="0"/>
                <w:color w:val="000000"/>
                <w:sz w:val="21"/>
                <w:highlight w:val="none"/>
              </w:rPr>
              <w:t xml:space="preserve">服务内容</w:t>
            </w:r>
            <w:r/>
          </w:p>
        </w:tc>
        <w:tc>
          <w:tcPr>
            <w:tcW w:w="709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b/>
                <w:bCs w:val="0"/>
                <w:color w:val="000000"/>
                <w:sz w:val="21"/>
                <w:highlight w:val="none"/>
              </w:rPr>
            </w:pPr>
            <w:r>
              <w:rPr>
                <w:rFonts w:hint="eastAsia" w:ascii="仿宋" w:hAnsi="仿宋" w:eastAsia="仿宋" w:cs="仿宋"/>
                <w:b/>
                <w:bCs w:val="0"/>
                <w:color w:val="000000"/>
                <w:sz w:val="21"/>
                <w:highlight w:val="none"/>
              </w:rPr>
              <w:t xml:space="preserve">服务标准</w:t>
            </w:r>
            <w:r/>
          </w:p>
        </w:tc>
      </w:tr>
      <w:tr>
        <w:trPr>
          <w:cantSplit/>
          <w:trHeight w:val="90"/>
        </w:trPr>
        <w:tc>
          <w:tcPr>
            <w:tcW w:w="83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t xml:space="preserve">1</w:t>
            </w:r>
            <w:r/>
          </w:p>
        </w:tc>
        <w:tc>
          <w:tcPr>
            <w:tcW w:w="189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t xml:space="preserve">基本要求</w:t>
            </w:r>
            <w:r/>
          </w:p>
        </w:tc>
        <w:tc>
          <w:tcPr>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t xml:space="preserve">（1）建立健全设施设备台帐，配合做好设施设备全生命周期管理服务。</w:t>
            </w:r>
            <w:r/>
          </w:p>
        </w:tc>
      </w:tr>
      <w:tr>
        <w:trPr>
          <w:cantSplit/>
          <w:trHeight w:val="454"/>
        </w:trPr>
        <w:tc>
          <w:tcPr>
            <w:tcW w:w="833" w:type="dxa"/>
            <w:vAlign w:val="center"/>
            <w:vMerge w:val="continue"/>
            <w:textDirection w:val="lrTb"/>
            <w:noWrap w:val="false"/>
          </w:tcPr>
          <w:p>
            <w:pPr>
              <w:jc w:val="center"/>
              <w:keepLines w:val="0"/>
              <w:keepNext w:val="0"/>
              <w:pageBreakBefore w:val="0"/>
              <w:spacing w:line="360" w:lineRule="exact"/>
              <w:widowControl/>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r>
            <w:r/>
          </w:p>
        </w:tc>
        <w:tc>
          <w:tcPr>
            <w:tcW w:w="1897" w:type="dxa"/>
            <w:vAlign w:val="center"/>
            <w:vMerge w:val="continue"/>
            <w:textDirection w:val="lrTb"/>
            <w:noWrap w:val="false"/>
          </w:tcPr>
          <w:p>
            <w:pPr>
              <w:jc w:val="center"/>
              <w:keepLines w:val="0"/>
              <w:keepNext w:val="0"/>
              <w:pageBreakBefore w:val="0"/>
              <w:spacing w:line="360" w:lineRule="exact"/>
              <w:widowControl/>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r>
            <w:r/>
          </w:p>
        </w:tc>
        <w:tc>
          <w:tcPr>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t xml:space="preserve">（2）重大节假日及恶劣天气前后，组织系统巡检1次。</w:t>
            </w:r>
            <w:r/>
          </w:p>
        </w:tc>
      </w:tr>
      <w:tr>
        <w:trPr>
          <w:cantSplit/>
          <w:trHeight w:val="454"/>
        </w:trPr>
        <w:tc>
          <w:tcPr>
            <w:tcW w:w="833" w:type="dxa"/>
            <w:vAlign w:val="center"/>
            <w:vMerge w:val="continue"/>
            <w:textDirection w:val="lrTb"/>
            <w:noWrap w:val="false"/>
          </w:tcPr>
          <w:p>
            <w:pPr>
              <w:jc w:val="center"/>
              <w:keepLines w:val="0"/>
              <w:keepNext w:val="0"/>
              <w:pageBreakBefore w:val="0"/>
              <w:spacing w:line="360" w:lineRule="exact"/>
              <w:widowControl/>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r>
            <w:r/>
          </w:p>
        </w:tc>
        <w:tc>
          <w:tcPr>
            <w:tcW w:w="1897" w:type="dxa"/>
            <w:vAlign w:val="center"/>
            <w:vMerge w:val="continue"/>
            <w:textDirection w:val="lrTb"/>
            <w:noWrap w:val="false"/>
          </w:tcPr>
          <w:p>
            <w:pPr>
              <w:jc w:val="center"/>
              <w:keepLines w:val="0"/>
              <w:keepNext w:val="0"/>
              <w:pageBreakBefore w:val="0"/>
              <w:spacing w:line="360" w:lineRule="exact"/>
              <w:widowControl/>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r>
            <w:r/>
          </w:p>
        </w:tc>
        <w:tc>
          <w:tcPr>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t xml:space="preserve">（3）具备设施设备安全、稳定运行的环境和场所（含有限空间），温湿度、照度、粉尘和烟雾浓度等符合相关安全规范。</w:t>
            </w:r>
            <w:r/>
          </w:p>
        </w:tc>
      </w:tr>
      <w:tr>
        <w:trPr>
          <w:cantSplit/>
          <w:trHeight w:val="90"/>
        </w:trPr>
        <w:tc>
          <w:tcPr>
            <w:tcW w:w="833" w:type="dxa"/>
            <w:vAlign w:val="center"/>
            <w:vMerge w:val="continue"/>
            <w:textDirection w:val="lrTb"/>
            <w:noWrap w:val="false"/>
          </w:tcPr>
          <w:p>
            <w:pPr>
              <w:jc w:val="center"/>
              <w:keepLines w:val="0"/>
              <w:keepNext w:val="0"/>
              <w:pageBreakBefore w:val="0"/>
              <w:spacing w:line="360" w:lineRule="exact"/>
              <w:widowControl/>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r>
            <w:r/>
          </w:p>
        </w:tc>
        <w:tc>
          <w:tcPr>
            <w:tcW w:w="1897" w:type="dxa"/>
            <w:vAlign w:val="center"/>
            <w:vMerge w:val="continue"/>
            <w:textDirection w:val="lrTb"/>
            <w:noWrap w:val="false"/>
          </w:tcPr>
          <w:p>
            <w:pPr>
              <w:jc w:val="center"/>
              <w:keepLines w:val="0"/>
              <w:keepNext w:val="0"/>
              <w:pageBreakBefore w:val="0"/>
              <w:spacing w:line="360" w:lineRule="exact"/>
              <w:widowControl/>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r>
            <w:r/>
          </w:p>
        </w:tc>
        <w:tc>
          <w:tcPr>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highlight w:val="none"/>
                <w:lang w:eastAsia="zh-CN"/>
              </w:rPr>
            </w:pPr>
            <w:r>
              <w:rPr>
                <w:rFonts w:hint="eastAsia" w:ascii="仿宋" w:hAnsi="仿宋" w:eastAsia="仿宋" w:cs="仿宋"/>
                <w:szCs w:val="21"/>
              </w:rPr>
              <w:t xml:space="preserve">（</w:t>
            </w:r>
            <w:r>
              <w:rPr>
                <w:rFonts w:hint="eastAsia" w:ascii="仿宋" w:hAnsi="仿宋" w:eastAsia="仿宋" w:cs="仿宋"/>
                <w:b w:val="0"/>
                <w:color w:val="000000"/>
                <w:sz w:val="21"/>
                <w:highlight w:val="none"/>
              </w:rPr>
              <w:t xml:space="preserve">4）公用部位的</w:t>
            </w:r>
            <w:r>
              <w:rPr>
                <w:rFonts w:hint="eastAsia" w:ascii="仿宋" w:hAnsi="仿宋" w:eastAsia="仿宋" w:cs="仿宋"/>
                <w:b w:val="0"/>
                <w:color w:val="000000"/>
                <w:sz w:val="21"/>
                <w:highlight w:val="none"/>
                <w:lang w:val="en-US" w:eastAsia="zh-CN"/>
              </w:rPr>
              <w:t xml:space="preserve">空调、</w:t>
            </w:r>
            <w:r>
              <w:rPr>
                <w:rFonts w:hint="eastAsia" w:ascii="仿宋" w:hAnsi="仿宋" w:eastAsia="仿宋" w:cs="仿宋"/>
                <w:b w:val="0"/>
                <w:color w:val="000000"/>
                <w:sz w:val="21"/>
                <w:highlight w:val="none"/>
              </w:rPr>
              <w:t xml:space="preserve">门、窗、楼梯、通风道、室内地面、墙面、吊顶和室外屋面等，</w:t>
            </w:r>
            <w:r>
              <w:rPr>
                <w:rFonts w:hint="eastAsia" w:ascii="仿宋" w:hAnsi="仿宋" w:eastAsia="仿宋" w:cs="仿宋"/>
                <w:b w:val="0"/>
                <w:color w:val="000000"/>
                <w:sz w:val="21"/>
                <w:highlight w:val="none"/>
                <w:lang w:val="en-US" w:eastAsia="zh-CN"/>
              </w:rPr>
              <w:t xml:space="preserve">如</w:t>
            </w:r>
            <w:r>
              <w:rPr>
                <w:rFonts w:hint="eastAsia" w:ascii="仿宋" w:hAnsi="仿宋" w:eastAsia="仿宋" w:cs="仿宋"/>
                <w:b w:val="0"/>
                <w:color w:val="000000"/>
                <w:sz w:val="21"/>
                <w:highlight w:val="none"/>
              </w:rPr>
              <w:t xml:space="preserve">发现破损，及时</w:t>
            </w:r>
            <w:r>
              <w:rPr>
                <w:rFonts w:hint="eastAsia" w:ascii="仿宋" w:hAnsi="仿宋" w:eastAsia="仿宋" w:cs="仿宋"/>
                <w:b w:val="0"/>
                <w:color w:val="000000"/>
                <w:sz w:val="21"/>
                <w:highlight w:val="none"/>
                <w:lang w:val="en-US" w:eastAsia="zh-CN"/>
              </w:rPr>
              <w:t xml:space="preserve">维修并</w:t>
            </w:r>
            <w:r>
              <w:rPr>
                <w:rFonts w:hint="eastAsia" w:ascii="仿宋" w:hAnsi="仿宋" w:eastAsia="仿宋" w:cs="仿宋"/>
                <w:b w:val="0"/>
                <w:color w:val="000000"/>
                <w:sz w:val="21"/>
                <w:highlight w:val="none"/>
              </w:rPr>
              <w:t xml:space="preserve">向采购人报告</w:t>
            </w:r>
            <w:r>
              <w:rPr>
                <w:rFonts w:hint="eastAsia" w:ascii="仿宋" w:hAnsi="仿宋" w:eastAsia="仿宋" w:cs="仿宋"/>
                <w:b w:val="0"/>
                <w:color w:val="000000"/>
                <w:sz w:val="21"/>
                <w:highlight w:val="none"/>
                <w:lang w:eastAsia="zh-CN"/>
              </w:rPr>
              <w:t xml:space="preserve">。</w:t>
            </w:r>
            <w:r/>
          </w:p>
        </w:tc>
      </w:tr>
      <w:tr>
        <w:trPr>
          <w:cantSplit/>
          <w:trHeight w:val="227"/>
        </w:trPr>
        <w:tc>
          <w:tcPr>
            <w:tcW w:w="833"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2</w:t>
            </w:r>
            <w:r/>
          </w:p>
        </w:tc>
        <w:tc>
          <w:tcPr>
            <w:shd w:val="clear" w:color="auto" w:fill="auto"/>
            <w:tcW w:w="189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b w:val="0"/>
                <w:sz w:val="21"/>
                <w:szCs w:val="22"/>
                <w:lang w:val="en-US" w:eastAsia="zh-CN" w:bidi="ar-SA"/>
              </w:rPr>
            </w:pPr>
            <w:r>
              <w:rPr>
                <w:rFonts w:hint="eastAsia" w:ascii="仿宋" w:hAnsi="仿宋" w:eastAsia="仿宋" w:cs="仿宋"/>
                <w:b w:val="0"/>
                <w:sz w:val="21"/>
              </w:rPr>
              <w:t xml:space="preserve">供配电系统</w:t>
            </w:r>
            <w:r/>
          </w:p>
          <w:p>
            <w:pPr>
              <w:jc w:val="center"/>
              <w:keepLines w:val="0"/>
              <w:keepNext w:val="0"/>
              <w:pageBreakBefore w:val="0"/>
              <w:spacing w:line="360" w:lineRule="exact"/>
              <w:widowControl/>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sz w:val="21"/>
                <w:szCs w:val="22"/>
                <w:lang w:val="en-US" w:eastAsia="zh-CN" w:bidi="ar-SA"/>
              </w:rPr>
            </w:pPr>
            <w:r>
              <w:rPr>
                <w:rFonts w:hint="eastAsia" w:ascii="仿宋" w:hAnsi="仿宋" w:eastAsia="仿宋" w:cs="仿宋"/>
                <w:b w:val="0"/>
                <w:sz w:val="21"/>
              </w:rPr>
              <w:t xml:space="preserve">（1）公共使用的照明、指示灯具线路、开关、接地等保持完好，确保用电安全。</w:t>
            </w:r>
            <w:r/>
          </w:p>
        </w:tc>
      </w:tr>
      <w:tr>
        <w:trPr>
          <w:cantSplit/>
          <w:trHeight w:val="142"/>
        </w:trPr>
        <w:tc>
          <w:tcPr>
            <w:tcW w:w="833"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rPr>
            </w:pPr>
            <w:r>
              <w:rPr>
                <w:rFonts w:hint="eastAsia" w:ascii="仿宋" w:hAnsi="仿宋" w:eastAsia="仿宋" w:cs="仿宋"/>
              </w:rPr>
            </w:r>
            <w:r/>
          </w:p>
        </w:tc>
        <w:tc>
          <w:tcPr>
            <w:tcW w:w="1897" w:type="dxa"/>
            <w:vAlign w:val="center"/>
            <w:vMerge w:val="continue"/>
            <w:textDirection w:val="lrTb"/>
            <w:noWrap w:val="false"/>
          </w:tcPr>
          <w:p>
            <w:pPr>
              <w:jc w:val="center"/>
              <w:keepLines w:val="0"/>
              <w:keepNext w:val="0"/>
              <w:pageBreakBefore w:val="0"/>
              <w:spacing w:line="360" w:lineRule="exact"/>
              <w:widowControl/>
              <w:rPr>
                <w:rFonts w:hint="eastAsia" w:ascii="仿宋" w:hAnsi="仿宋" w:eastAsia="仿宋" w:cs="仿宋"/>
              </w:rPr>
            </w:pPr>
            <w:r>
              <w:rPr>
                <w:rFonts w:hint="eastAsia" w:ascii="仿宋" w:hAnsi="仿宋" w:eastAsia="仿宋" w:cs="仿宋"/>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sz w:val="21"/>
                <w:szCs w:val="22"/>
                <w:lang w:val="en-US" w:eastAsia="zh-CN" w:bidi="ar-SA"/>
              </w:rPr>
            </w:pPr>
            <w:r>
              <w:rPr>
                <w:rFonts w:hint="eastAsia" w:ascii="仿宋" w:hAnsi="仿宋" w:eastAsia="仿宋" w:cs="仿宋"/>
                <w:b w:val="0"/>
                <w:sz w:val="21"/>
              </w:rPr>
              <w:t xml:space="preserve">（2）发生非计划性停电的，应当在事件发生后及时通知采购人，快速恢复或启用应急电源，并做好应急事件上报及处理工作。</w:t>
            </w:r>
            <w:r/>
          </w:p>
        </w:tc>
      </w:tr>
      <w:tr>
        <w:trPr>
          <w:cantSplit/>
          <w:trHeight w:val="142"/>
        </w:trPr>
        <w:tc>
          <w:tcPr>
            <w:tcW w:w="833" w:type="dxa"/>
            <w:vAlign w:val="center"/>
            <w:vMerge w:val="continue"/>
            <w:textDirection w:val="lrTb"/>
            <w:noWrap w:val="false"/>
          </w:tcPr>
          <w:p>
            <w:pPr>
              <w:jc w:val="left"/>
              <w:keepLines w:val="0"/>
              <w:keepNext w:val="0"/>
              <w:pageBreakBefore w:val="0"/>
              <w:spacing w:line="360" w:lineRule="exact"/>
              <w:widowControl/>
            </w:pPr>
            <w:r/>
            <w:r/>
          </w:p>
        </w:tc>
        <w:tc>
          <w:tcPr>
            <w:tcW w:w="1897" w:type="dxa"/>
            <w:vAlign w:val="center"/>
            <w:vMerge w:val="continue"/>
            <w:textDirection w:val="lrTb"/>
            <w:noWrap w:val="false"/>
          </w:tcPr>
          <w:p>
            <w:pPr>
              <w:jc w:val="left"/>
              <w:keepLines w:val="0"/>
              <w:keepNext w:val="0"/>
              <w:pageBreakBefore w:val="0"/>
              <w:spacing w:line="360" w:lineRule="exact"/>
              <w:widowControl/>
            </w:p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sz w:val="21"/>
                <w:lang w:val="en-US" w:eastAsia="zh-CN"/>
              </w:rPr>
            </w:pPr>
            <w:r>
              <w:rPr>
                <w:rFonts w:hint="eastAsia" w:ascii="仿宋" w:hAnsi="仿宋" w:eastAsia="仿宋" w:cs="仿宋"/>
                <w:b w:val="0"/>
                <w:sz w:val="21"/>
              </w:rPr>
              <w:t xml:space="preserve">（</w:t>
            </w:r>
            <w:r>
              <w:rPr>
                <w:rFonts w:hint="eastAsia" w:ascii="仿宋" w:hAnsi="仿宋" w:eastAsia="仿宋" w:cs="仿宋"/>
                <w:b w:val="0"/>
                <w:sz w:val="21"/>
                <w:lang w:val="en-US" w:eastAsia="zh-CN"/>
              </w:rPr>
              <w:t xml:space="preserve">3</w:t>
            </w:r>
            <w:r>
              <w:rPr>
                <w:rFonts w:hint="eastAsia" w:ascii="仿宋" w:hAnsi="仿宋" w:eastAsia="仿宋" w:cs="仿宋"/>
                <w:b w:val="0"/>
                <w:sz w:val="21"/>
              </w:rPr>
              <w:t xml:space="preserve">）对供电范围内的电气设备定期巡视维护，加强高低压配电柜、配电箱、控制柜及线路等重点部位监测。</w:t>
            </w:r>
            <w:r/>
          </w:p>
        </w:tc>
      </w:tr>
      <w:tr>
        <w:trPr>
          <w:cantSplit/>
          <w:trHeight w:val="142"/>
        </w:trPr>
        <w:tc>
          <w:tcPr>
            <w:tcW w:w="833"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tcW w:w="1897"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sz w:val="21"/>
                <w:lang w:val="en-US" w:eastAsia="zh-CN"/>
              </w:rPr>
            </w:pPr>
            <w:r>
              <w:rPr>
                <w:rFonts w:hint="eastAsia" w:ascii="仿宋" w:hAnsi="仿宋" w:eastAsia="仿宋" w:cs="仿宋"/>
                <w:b w:val="0"/>
                <w:sz w:val="21"/>
              </w:rPr>
              <w:t xml:space="preserve">（</w:t>
            </w:r>
            <w:r>
              <w:rPr>
                <w:rFonts w:hint="eastAsia" w:ascii="仿宋" w:hAnsi="仿宋" w:eastAsia="仿宋" w:cs="仿宋"/>
                <w:b w:val="0"/>
                <w:sz w:val="21"/>
                <w:lang w:val="en-US" w:eastAsia="zh-CN"/>
              </w:rPr>
              <w:t xml:space="preserve">4</w:t>
            </w:r>
            <w:r>
              <w:rPr>
                <w:rFonts w:hint="eastAsia" w:ascii="仿宋" w:hAnsi="仿宋" w:eastAsia="仿宋" w:cs="仿宋"/>
                <w:b w:val="0"/>
                <w:sz w:val="21"/>
              </w:rPr>
              <w:t xml:space="preserve">）发生非计划性停电的，应当在事件发生后及时通知采购人，快速恢复或启用应急电源，并做好应急事件上报及处理工作。</w:t>
            </w:r>
            <w:r/>
          </w:p>
        </w:tc>
      </w:tr>
      <w:tr>
        <w:trPr>
          <w:cantSplit/>
          <w:trHeight w:val="142"/>
        </w:trPr>
        <w:tc>
          <w:tcPr>
            <w:tcW w:w="833"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tcW w:w="1897"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sz w:val="21"/>
                <w:lang w:val="en-US" w:eastAsia="zh-CN"/>
              </w:rPr>
            </w:pPr>
            <w:r>
              <w:rPr>
                <w:rFonts w:hint="eastAsia" w:ascii="仿宋" w:hAnsi="仿宋" w:eastAsia="仿宋" w:cs="仿宋"/>
                <w:b w:val="0"/>
                <w:sz w:val="21"/>
              </w:rPr>
              <w:t xml:space="preserve">（</w:t>
            </w:r>
            <w:r>
              <w:rPr>
                <w:rFonts w:hint="eastAsia" w:ascii="仿宋" w:hAnsi="仿宋" w:eastAsia="仿宋" w:cs="仿宋"/>
                <w:b w:val="0"/>
                <w:sz w:val="21"/>
                <w:lang w:val="en-US" w:eastAsia="zh-CN"/>
              </w:rPr>
              <w:t xml:space="preserve">5</w:t>
            </w:r>
            <w:r>
              <w:rPr>
                <w:rFonts w:hint="eastAsia" w:ascii="仿宋" w:hAnsi="仿宋" w:eastAsia="仿宋" w:cs="仿宋"/>
                <w:b w:val="0"/>
                <w:sz w:val="21"/>
              </w:rPr>
              <w:t xml:space="preserve">）复杂故障涉及供电部门维修处置的及时与供电部门联系，并向采购人报告。</w:t>
            </w:r>
            <w:r/>
          </w:p>
        </w:tc>
      </w:tr>
      <w:tr>
        <w:trPr>
          <w:cantSplit/>
          <w:trHeight w:val="90"/>
        </w:trPr>
        <w:tc>
          <w:tcPr>
            <w:tcW w:w="833" w:type="dxa"/>
            <w:vAlign w:val="center"/>
            <w:vMerge w:val="restart"/>
            <w:textDirection w:val="lrTb"/>
            <w:noWrap w:val="false"/>
          </w:tcPr>
          <w:p>
            <w:pPr>
              <w:jc w:val="left"/>
              <w:keepLines w:val="0"/>
              <w:keepNext w:val="0"/>
              <w:pageBreakBefore w:val="0"/>
              <w:spacing w:line="360" w:lineRule="exact"/>
              <w:widowControl/>
              <w:rPr>
                <w:rFonts w:hint="eastAsia" w:ascii="仿宋" w:hAnsi="仿宋" w:eastAsia="仿宋" w:cs="仿宋"/>
                <w:lang w:val="en-US" w:eastAsia="zh-CN"/>
              </w:rPr>
            </w:pPr>
            <w:r>
              <w:rPr>
                <w:rFonts w:hint="eastAsia" w:ascii="仿宋" w:hAnsi="仿宋" w:eastAsia="仿宋" w:cs="仿宋"/>
                <w:lang w:val="en-US" w:eastAsia="zh-CN"/>
              </w:rPr>
              <w:t xml:space="preserve">3</w:t>
            </w:r>
            <w:r/>
          </w:p>
        </w:tc>
        <w:tc>
          <w:tcPr>
            <w:shd w:val="clear" w:color="auto" w:fill="auto"/>
            <w:tcW w:w="189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b w:val="0"/>
                <w:sz w:val="21"/>
                <w:szCs w:val="22"/>
                <w:lang w:val="en-US" w:eastAsia="zh-CN" w:bidi="ar-SA"/>
              </w:rPr>
            </w:pPr>
            <w:r>
              <w:rPr>
                <w:rFonts w:hint="eastAsia" w:ascii="仿宋" w:hAnsi="仿宋" w:eastAsia="仿宋" w:cs="仿宋"/>
                <w:b w:val="0"/>
                <w:sz w:val="21"/>
              </w:rPr>
              <w:t xml:space="preserve">照明系统</w:t>
            </w:r>
            <w:r/>
          </w:p>
          <w:p>
            <w:pPr>
              <w:jc w:val="center"/>
              <w:keepLines w:val="0"/>
              <w:keepNext w:val="0"/>
              <w:pageBreakBefore w:val="0"/>
              <w:spacing w:line="360" w:lineRule="exact"/>
              <w:widowControl/>
              <w:rPr>
                <w:rFonts w:hint="eastAsia" w:ascii="仿宋" w:hAnsi="仿宋" w:eastAsia="仿宋" w:cs="仿宋"/>
              </w:rPr>
            </w:pPr>
            <w:r>
              <w:rPr>
                <w:rFonts w:hint="eastAsia" w:ascii="仿宋" w:hAnsi="仿宋" w:eastAsia="仿宋" w:cs="仿宋"/>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2"/>
                <w:lang w:val="en-US" w:eastAsia="zh-CN" w:bidi="ar-SA"/>
              </w:rPr>
            </w:pPr>
            <w:r>
              <w:rPr>
                <w:rFonts w:hint="eastAsia" w:ascii="仿宋" w:hAnsi="仿宋" w:eastAsia="仿宋" w:cs="仿宋"/>
                <w:b w:val="0"/>
                <w:color w:val="000000"/>
                <w:sz w:val="21"/>
              </w:rPr>
              <w:t xml:space="preserve">（1）外观整洁无缺损、无松落。</w:t>
            </w:r>
            <w:r/>
          </w:p>
        </w:tc>
      </w:tr>
      <w:tr>
        <w:trPr>
          <w:cantSplit/>
          <w:trHeight w:val="90"/>
        </w:trPr>
        <w:tc>
          <w:tcPr>
            <w:tcW w:w="833"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rPr>
            </w:pPr>
            <w:r>
              <w:rPr>
                <w:rFonts w:hint="eastAsia" w:ascii="仿宋" w:hAnsi="仿宋" w:eastAsia="仿宋" w:cs="仿宋"/>
              </w:rPr>
            </w:r>
            <w:r/>
          </w:p>
        </w:tc>
        <w:tc>
          <w:tcPr>
            <w:tcW w:w="1897"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rPr>
            </w:pPr>
            <w:r>
              <w:rPr>
                <w:rFonts w:hint="eastAsia" w:ascii="仿宋" w:hAnsi="仿宋" w:eastAsia="仿宋" w:cs="仿宋"/>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2"/>
                <w:lang w:val="en-US" w:eastAsia="zh-CN" w:bidi="ar-SA"/>
              </w:rPr>
            </w:pPr>
            <w:r>
              <w:rPr>
                <w:rFonts w:hint="eastAsia" w:ascii="仿宋" w:hAnsi="仿宋" w:eastAsia="仿宋" w:cs="仿宋"/>
                <w:b w:val="0"/>
                <w:color w:val="000000"/>
                <w:sz w:val="21"/>
              </w:rPr>
              <w:t xml:space="preserve">（2）每日开展1次公共区域照明设备巡视。</w:t>
            </w:r>
            <w:r/>
          </w:p>
        </w:tc>
      </w:tr>
      <w:tr>
        <w:trPr>
          <w:cantSplit/>
          <w:trHeight w:val="90"/>
        </w:trPr>
        <w:tc>
          <w:tcPr>
            <w:tcW w:w="833"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tcW w:w="1897"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2"/>
                <w:lang w:val="en-US" w:eastAsia="zh-CN" w:bidi="ar-SA"/>
              </w:rPr>
            </w:pPr>
            <w:r>
              <w:rPr>
                <w:rFonts w:hint="eastAsia" w:ascii="仿宋" w:hAnsi="仿宋" w:eastAsia="仿宋" w:cs="仿宋"/>
                <w:b w:val="0"/>
                <w:color w:val="000000"/>
                <w:sz w:val="21"/>
              </w:rPr>
              <w:t xml:space="preserve">（3）定期检查泛光照明和航空障碍灯。</w:t>
            </w:r>
            <w:r/>
          </w:p>
        </w:tc>
      </w:tr>
      <w:tr>
        <w:trPr>
          <w:cantSplit/>
          <w:trHeight w:val="90"/>
        </w:trPr>
        <w:tc>
          <w:tcPr>
            <w:tcW w:w="833"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tcW w:w="1897"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szCs w:val="22"/>
                <w:lang w:val="en-US" w:eastAsia="zh-CN" w:bidi="ar-SA"/>
              </w:rPr>
            </w:pPr>
            <w:r>
              <w:rPr>
                <w:rFonts w:hint="eastAsia" w:ascii="仿宋" w:hAnsi="仿宋" w:eastAsia="仿宋" w:cs="仿宋"/>
                <w:b w:val="0"/>
                <w:color w:val="000000"/>
                <w:sz w:val="21"/>
              </w:rPr>
              <w:t xml:space="preserve">（4）每年两次对办公室内部进行全面检查，及时报告采购人。</w:t>
            </w:r>
            <w:r/>
          </w:p>
        </w:tc>
      </w:tr>
      <w:tr>
        <w:trPr>
          <w:cantSplit/>
          <w:trHeight w:val="90"/>
        </w:trPr>
        <w:tc>
          <w:tcPr>
            <w:tcW w:w="833" w:type="dxa"/>
            <w:vAlign w:val="center"/>
            <w:vMerge w:val="restart"/>
            <w:textDirection w:val="lrTb"/>
            <w:noWrap w:val="false"/>
          </w:tcPr>
          <w:p>
            <w:pPr>
              <w:jc w:val="left"/>
              <w:keepLines w:val="0"/>
              <w:keepNext w:val="0"/>
              <w:pageBreakBefore w:val="0"/>
              <w:spacing w:line="360" w:lineRule="exact"/>
              <w:widowControl/>
              <w:rPr>
                <w:rFonts w:hint="eastAsia" w:ascii="仿宋" w:hAnsi="仿宋" w:eastAsia="仿宋" w:cs="仿宋"/>
                <w:b w:val="0"/>
                <w:sz w:val="21"/>
                <w:lang w:val="en-US" w:eastAsia="zh-CN"/>
              </w:rPr>
            </w:pPr>
            <w:r>
              <w:rPr>
                <w:rFonts w:hint="eastAsia" w:ascii="仿宋" w:hAnsi="仿宋" w:eastAsia="仿宋" w:cs="仿宋"/>
                <w:b w:val="0"/>
                <w:sz w:val="21"/>
                <w:lang w:val="en-US" w:eastAsia="zh-CN"/>
              </w:rPr>
              <w:t xml:space="preserve">4</w:t>
            </w:r>
            <w:r/>
          </w:p>
        </w:tc>
        <w:tc>
          <w:tcPr>
            <w:tcW w:w="1897" w:type="dxa"/>
            <w:vAlign w:val="center"/>
            <w:vMerge w:val="restart"/>
            <w:textDirection w:val="lrTb"/>
            <w:noWrap w:val="false"/>
          </w:tcPr>
          <w:p>
            <w:pPr>
              <w:jc w:val="center"/>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t xml:space="preserve">空调系统</w:t>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rPr>
            </w:pPr>
            <w:r>
              <w:rPr>
                <w:rFonts w:hint="eastAsia" w:ascii="仿宋" w:hAnsi="仿宋" w:eastAsia="仿宋" w:cs="仿宋"/>
                <w:b w:val="0"/>
                <w:color w:val="000000"/>
                <w:sz w:val="21"/>
              </w:rPr>
              <w:t xml:space="preserve">（1）空调通风系统运行管理符合《空调通风系统运行管理标准》（GB50365）的相关要求。</w:t>
            </w:r>
            <w:r/>
          </w:p>
        </w:tc>
      </w:tr>
      <w:tr>
        <w:trPr>
          <w:cantSplit/>
          <w:trHeight w:val="90"/>
        </w:trPr>
        <w:tc>
          <w:tcPr>
            <w:tcW w:w="833"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tcW w:w="1897"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lang w:val="en-US" w:eastAsia="zh-CN"/>
              </w:rPr>
            </w:pPr>
            <w:r>
              <w:rPr>
                <w:rFonts w:hint="eastAsia" w:ascii="仿宋" w:hAnsi="仿宋" w:eastAsia="仿宋" w:cs="仿宋"/>
                <w:b w:val="0"/>
                <w:color w:val="000000"/>
                <w:sz w:val="21"/>
              </w:rPr>
              <w:t xml:space="preserve">（</w:t>
            </w:r>
            <w:r>
              <w:rPr>
                <w:rFonts w:hint="eastAsia" w:ascii="仿宋" w:hAnsi="仿宋" w:eastAsia="仿宋" w:cs="仿宋"/>
                <w:b w:val="0"/>
                <w:color w:val="000000"/>
                <w:sz w:val="21"/>
                <w:lang w:val="en-US" w:eastAsia="zh-CN"/>
              </w:rPr>
              <w:t xml:space="preserve">2</w:t>
            </w:r>
            <w:r>
              <w:rPr>
                <w:rFonts w:hint="eastAsia" w:ascii="仿宋" w:hAnsi="仿宋" w:eastAsia="仿宋" w:cs="仿宋"/>
                <w:b w:val="0"/>
                <w:color w:val="000000"/>
                <w:sz w:val="21"/>
              </w:rPr>
              <w:t xml:space="preserve">）定期维护检查并做好记录，保证空调设施设备处于良好状态。</w:t>
            </w:r>
            <w:r/>
          </w:p>
        </w:tc>
      </w:tr>
      <w:tr>
        <w:trPr>
          <w:cantSplit/>
          <w:trHeight w:val="90"/>
        </w:trPr>
        <w:tc>
          <w:tcPr>
            <w:tcW w:w="833"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tcW w:w="1897"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lang w:val="en-US" w:eastAsia="zh-CN"/>
              </w:rPr>
            </w:pPr>
            <w:r>
              <w:rPr>
                <w:rFonts w:hint="eastAsia" w:ascii="仿宋" w:hAnsi="仿宋" w:eastAsia="仿宋" w:cs="仿宋"/>
                <w:b w:val="0"/>
                <w:color w:val="000000"/>
                <w:sz w:val="21"/>
              </w:rPr>
              <w:t xml:space="preserve">（</w:t>
            </w:r>
            <w:r>
              <w:rPr>
                <w:rFonts w:hint="eastAsia" w:ascii="仿宋" w:hAnsi="仿宋" w:eastAsia="仿宋" w:cs="仿宋"/>
                <w:b w:val="0"/>
                <w:color w:val="000000"/>
                <w:sz w:val="21"/>
                <w:lang w:val="en-US" w:eastAsia="zh-CN"/>
              </w:rPr>
              <w:t xml:space="preserve">3</w:t>
            </w:r>
            <w:r>
              <w:rPr>
                <w:rFonts w:hint="eastAsia" w:ascii="仿宋" w:hAnsi="仿宋" w:eastAsia="仿宋" w:cs="仿宋"/>
                <w:b w:val="0"/>
                <w:color w:val="000000"/>
                <w:sz w:val="21"/>
              </w:rPr>
              <w:t xml:space="preserve">）中央空调运行前对冷水机组、循环水泵、冷却塔、风机等设施设备进行系统检查，运行期间每日至少开展1次运行情况巡查。</w:t>
            </w:r>
            <w:r/>
          </w:p>
        </w:tc>
      </w:tr>
      <w:tr>
        <w:trPr>
          <w:cantSplit/>
          <w:trHeight w:val="90"/>
        </w:trPr>
        <w:tc>
          <w:tcPr>
            <w:tcW w:w="833"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tcW w:w="1897"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lang w:val="en-US" w:eastAsia="zh-CN"/>
              </w:rPr>
            </w:pPr>
            <w:r>
              <w:rPr>
                <w:rFonts w:hint="eastAsia" w:ascii="仿宋" w:hAnsi="仿宋" w:eastAsia="仿宋" w:cs="仿宋"/>
                <w:b w:val="0"/>
                <w:color w:val="000000"/>
                <w:sz w:val="21"/>
              </w:rPr>
              <w:t xml:space="preserve">（</w:t>
            </w:r>
            <w:r>
              <w:rPr>
                <w:rFonts w:hint="eastAsia" w:ascii="仿宋" w:hAnsi="仿宋" w:eastAsia="仿宋" w:cs="仿宋"/>
                <w:b w:val="0"/>
                <w:color w:val="000000"/>
                <w:sz w:val="21"/>
                <w:lang w:val="en-US" w:eastAsia="zh-CN"/>
              </w:rPr>
              <w:t xml:space="preserve">4</w:t>
            </w:r>
            <w:r>
              <w:rPr>
                <w:rFonts w:hint="eastAsia" w:ascii="仿宋" w:hAnsi="仿宋" w:eastAsia="仿宋" w:cs="仿宋"/>
                <w:b w:val="0"/>
                <w:color w:val="000000"/>
                <w:sz w:val="21"/>
              </w:rPr>
              <w:t xml:space="preserve">）每半年至少开展1次管道、阀门检查并除锈。</w:t>
            </w:r>
            <w:r/>
          </w:p>
        </w:tc>
      </w:tr>
      <w:tr>
        <w:trPr>
          <w:cantSplit/>
          <w:trHeight w:val="90"/>
        </w:trPr>
        <w:tc>
          <w:tcPr>
            <w:tcW w:w="833"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tcW w:w="1897"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lang w:val="en-US" w:eastAsia="zh-CN"/>
              </w:rPr>
            </w:pPr>
            <w:r>
              <w:rPr>
                <w:rFonts w:hint="eastAsia" w:ascii="仿宋" w:hAnsi="仿宋" w:eastAsia="仿宋" w:cs="仿宋"/>
                <w:b w:val="0"/>
                <w:color w:val="000000"/>
                <w:sz w:val="21"/>
              </w:rPr>
              <w:t xml:space="preserve">（</w:t>
            </w:r>
            <w:r>
              <w:rPr>
                <w:rFonts w:hint="eastAsia" w:ascii="仿宋" w:hAnsi="仿宋" w:eastAsia="仿宋" w:cs="仿宋"/>
                <w:b w:val="0"/>
                <w:color w:val="000000"/>
                <w:sz w:val="21"/>
                <w:lang w:val="en-US" w:eastAsia="zh-CN"/>
              </w:rPr>
              <w:t xml:space="preserve">5</w:t>
            </w:r>
            <w:r>
              <w:rPr>
                <w:rFonts w:hint="eastAsia" w:ascii="仿宋" w:hAnsi="仿宋" w:eastAsia="仿宋" w:cs="仿宋"/>
                <w:b w:val="0"/>
                <w:color w:val="000000"/>
                <w:sz w:val="21"/>
              </w:rPr>
              <w:t xml:space="preserve">）每年至少开展1次新风机、空气处理机滤网等清洗消毒；每2年至少开展1次风管清洗消毒。</w:t>
            </w:r>
            <w:r/>
          </w:p>
        </w:tc>
      </w:tr>
      <w:tr>
        <w:trPr>
          <w:cantSplit/>
          <w:trHeight w:val="90"/>
        </w:trPr>
        <w:tc>
          <w:tcPr>
            <w:tcW w:w="833"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tcW w:w="1897" w:type="dxa"/>
            <w:vAlign w:val="center"/>
            <w:vMerge w:val="continue"/>
            <w:textDirection w:val="lrTb"/>
            <w:noWrap w:val="false"/>
          </w:tcPr>
          <w:p>
            <w:pPr>
              <w:jc w:val="left"/>
              <w:keepLines w:val="0"/>
              <w:keepNext w:val="0"/>
              <w:pageBreakBefore w:val="0"/>
              <w:spacing w:line="360" w:lineRule="exact"/>
              <w:widowControl/>
              <w:rPr>
                <w:rFonts w:hint="eastAsia" w:ascii="仿宋" w:hAnsi="仿宋" w:eastAsia="仿宋" w:cs="仿宋"/>
                <w:b w:val="0"/>
                <w:sz w:val="21"/>
              </w:rPr>
            </w:pPr>
            <w:r>
              <w:rPr>
                <w:rFonts w:hint="eastAsia" w:ascii="仿宋" w:hAnsi="仿宋" w:eastAsia="仿宋" w:cs="仿宋"/>
                <w:b w:val="0"/>
                <w:sz w:val="21"/>
              </w:rPr>
            </w:r>
            <w:r/>
          </w:p>
        </w:tc>
        <w:tc>
          <w:tcPr>
            <w:shd w:val="clear" w:color="auto" w:fill="auto"/>
            <w:tcW w:w="7095"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b w:val="0"/>
                <w:color w:val="000000"/>
                <w:sz w:val="21"/>
              </w:rPr>
            </w:pPr>
            <w:r>
              <w:rPr>
                <w:rFonts w:hint="eastAsia" w:ascii="仿宋" w:hAnsi="仿宋" w:eastAsia="仿宋" w:cs="仿宋"/>
                <w:b w:val="0"/>
                <w:color w:val="000000"/>
                <w:sz w:val="21"/>
              </w:rPr>
              <w:t xml:space="preserve">（</w:t>
            </w:r>
            <w:r>
              <w:rPr>
                <w:rFonts w:hint="eastAsia" w:ascii="仿宋" w:hAnsi="仿宋" w:eastAsia="仿宋" w:cs="仿宋"/>
                <w:b w:val="0"/>
                <w:color w:val="000000"/>
                <w:sz w:val="21"/>
                <w:lang w:val="en-US" w:eastAsia="zh-CN"/>
              </w:rPr>
              <w:t xml:space="preserve">6</w:t>
            </w:r>
            <w:r>
              <w:rPr>
                <w:rFonts w:hint="eastAsia" w:ascii="仿宋" w:hAnsi="仿宋" w:eastAsia="仿宋" w:cs="仿宋"/>
                <w:b w:val="0"/>
                <w:color w:val="000000"/>
                <w:sz w:val="21"/>
              </w:rPr>
              <w:t xml:space="preserve">）制冷、供暖系统温度设定及启用时间符合节能要求。</w:t>
            </w:r>
            <w:r/>
          </w:p>
        </w:tc>
      </w:tr>
    </w:tbl>
    <w:p>
      <w:pPr>
        <w:jc w:val="left"/>
        <w:spacing w:before="40" w:after="40" w:line="5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r>
      <w:r/>
    </w:p>
    <w:p>
      <w:pPr>
        <w:jc w:val="left"/>
        <w:spacing w:before="40" w:after="40" w:line="5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3.3宿舍管理服务</w:t>
      </w:r>
      <w:r/>
    </w:p>
    <w:tbl>
      <w:tblPr>
        <w:tblStyle w:val="763"/>
        <w:tblpPr w:horzAnchor="page" w:tblpXSpec="center" w:vertAnchor="text" w:tblpY="466" w:leftFromText="180" w:topFromText="0" w:rightFromText="180" w:bottomFromText="0"/>
        <w:tblW w:w="526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091"/>
        <w:gridCol w:w="1159"/>
        <w:gridCol w:w="6921"/>
      </w:tblGrid>
      <w:tr>
        <w:trPr>
          <w:jc w:val="center"/>
          <w:trHeight w:val="454"/>
        </w:trPr>
        <w:tc>
          <w:tcPr>
            <w:tcW w:w="718"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1091"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服务内容</w:t>
            </w:r>
            <w:r/>
          </w:p>
        </w:tc>
        <w:tc>
          <w:tcPr>
            <w:gridSpan w:val="2"/>
            <w:tcW w:w="8080"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服务标准</w:t>
            </w:r>
            <w:r/>
          </w:p>
        </w:tc>
      </w:tr>
      <w:tr>
        <w:trPr>
          <w:cantSplit/>
          <w:jc w:val="center"/>
          <w:trHeight w:val="514"/>
        </w:trPr>
        <w:tc>
          <w:tcPr>
            <w:tcW w:w="718" w:type="dxa"/>
            <w:vAlign w:val="center"/>
            <w:vMerge w:val="restart"/>
            <w:textDirection w:val="lrTb"/>
            <w:noWrap w:val="false"/>
          </w:tcPr>
          <w:p>
            <w:pPr>
              <w:jc w:val="center"/>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w:t>
            </w:r>
            <w:r/>
          </w:p>
        </w:tc>
        <w:tc>
          <w:tcPr>
            <w:tcW w:w="1091" w:type="dxa"/>
            <w:vAlign w:val="center"/>
            <w:vMerge w:val="restart"/>
            <w:textDirection w:val="lrTb"/>
            <w:noWrap w:val="false"/>
          </w:tcPr>
          <w:p>
            <w:pPr>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宿舍管理</w:t>
            </w:r>
            <w:r/>
          </w:p>
          <w:p>
            <w:pPr>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服务标准</w:t>
            </w:r>
            <w:r/>
          </w:p>
        </w:tc>
        <w:tc>
          <w:tcPr>
            <w:tcW w:w="1159" w:type="dxa"/>
            <w:vAlign w:val="top"/>
            <w:vMerge w:val="restart"/>
            <w:textDirection w:val="lrTb"/>
            <w:noWrap w:val="false"/>
          </w:tcPr>
          <w:p>
            <w:pPr>
              <w:ind w:firstLine="420"/>
              <w:jc w:val="left"/>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420"/>
              <w:jc w:val="left"/>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right="120"/>
              <w:jc w:val="center"/>
              <w:spacing w:before="103" w:line="480" w:lineRule="exact"/>
              <w:rPr>
                <w:rFonts w:hint="eastAsia" w:ascii="仿宋" w:hAnsi="仿宋" w:eastAsia="仿宋" w:cs="仿宋"/>
                <w:sz w:val="21"/>
                <w:szCs w:val="21"/>
                <w:lang w:eastAsia="zh-CN"/>
              </w:rPr>
            </w:pPr>
            <w:r>
              <w:rPr>
                <w:rFonts w:hint="eastAsia" w:ascii="仿宋" w:hAnsi="仿宋" w:eastAsia="仿宋" w:cs="仿宋"/>
                <w:spacing w:val="-6"/>
                <w:sz w:val="21"/>
                <w:szCs w:val="21"/>
                <w:highlight w:val="none"/>
              </w:rPr>
              <w:t xml:space="preserve">宿舍</w:t>
            </w:r>
            <w:r>
              <w:rPr>
                <w:rFonts w:hint="eastAsia" w:ascii="仿宋" w:hAnsi="仿宋" w:eastAsia="仿宋" w:cs="仿宋"/>
                <w:spacing w:val="-5"/>
                <w:sz w:val="21"/>
                <w:szCs w:val="21"/>
                <w:highlight w:val="none"/>
              </w:rPr>
              <w:t xml:space="preserve">安全</w:t>
            </w:r>
            <w:r/>
          </w:p>
        </w:tc>
        <w:tc>
          <w:tcPr>
            <w:tcW w:w="6921" w:type="dxa"/>
            <w:vAlign w:val="center"/>
            <w:textDirection w:val="lrTb"/>
            <w:noWrap w:val="false"/>
          </w:tcPr>
          <w:p>
            <w:pPr>
              <w:numPr>
                <w:ilvl w:val="0"/>
                <w:numId w:val="5"/>
              </w:numPr>
              <w:jc w:val="left"/>
              <w:spacing w:before="81" w:line="480" w:lineRule="exact"/>
              <w:rPr>
                <w:rFonts w:hint="eastAsia" w:ascii="仿宋" w:hAnsi="仿宋" w:eastAsia="仿宋" w:cs="仿宋"/>
                <w:sz w:val="21"/>
                <w:szCs w:val="21"/>
                <w:lang w:eastAsia="zh-CN"/>
              </w:rPr>
            </w:pPr>
            <w:r>
              <w:rPr>
                <w:rFonts w:hint="eastAsia" w:ascii="仿宋" w:hAnsi="仿宋" w:eastAsia="仿宋" w:cs="仿宋"/>
                <w:spacing w:val="-5"/>
                <w:sz w:val="21"/>
                <w:szCs w:val="21"/>
                <w:highlight w:val="none"/>
              </w:rPr>
              <w:t xml:space="preserve">负责宿舍区及前后大门安全保卫工作。</w:t>
            </w:r>
            <w:r/>
          </w:p>
        </w:tc>
      </w:tr>
      <w:tr>
        <w:trPr>
          <w:cantSplit/>
          <w:jc w:val="center"/>
          <w:trHeight w:val="469"/>
        </w:trPr>
        <w:tc>
          <w:tcPr>
            <w:tcW w:w="718" w:type="dxa"/>
            <w:vAlign w:val="center"/>
            <w:vMerge w:val="continue"/>
            <w:textDirection w:val="lrTb"/>
            <w:noWrap w:val="false"/>
          </w:tcPr>
          <w:p>
            <w:pPr>
              <w:ind w:right="140"/>
              <w:jc w:val="left"/>
              <w:spacing w:before="11" w:line="480" w:lineRule="exact"/>
            </w:pPr>
            <w:r/>
            <w:r/>
          </w:p>
        </w:tc>
        <w:tc>
          <w:tcPr>
            <w:tcW w:w="1091" w:type="dxa"/>
            <w:vAlign w:val="center"/>
            <w:vMerge w:val="continue"/>
            <w:textDirection w:val="lrTb"/>
            <w:noWrap w:val="false"/>
          </w:tcPr>
          <w:p>
            <w:pPr>
              <w:ind w:right="140"/>
              <w:jc w:val="left"/>
              <w:spacing w:before="11" w:line="480" w:lineRule="exact"/>
            </w:pPr>
            <w:r/>
            <w:r/>
          </w:p>
        </w:tc>
        <w:tc>
          <w:tcPr>
            <w:tcW w:w="1159" w:type="dxa"/>
            <w:vAlign w:val="top"/>
            <w:vMerge w:val="continue"/>
            <w:textDirection w:val="lrTb"/>
            <w:noWrap w:val="false"/>
          </w:tcPr>
          <w:p>
            <w:pPr>
              <w:ind w:right="140"/>
              <w:jc w:val="left"/>
              <w:spacing w:before="11" w:line="480" w:lineRule="exact"/>
            </w:pPr>
            <w:r/>
            <w:r/>
          </w:p>
        </w:tc>
        <w:tc>
          <w:tcPr>
            <w:tcW w:w="6921" w:type="dxa"/>
            <w:vAlign w:val="center"/>
            <w:textDirection w:val="lrTb"/>
            <w:noWrap w:val="false"/>
          </w:tcPr>
          <w:p>
            <w:pPr>
              <w:numPr>
                <w:ilvl w:val="0"/>
                <w:numId w:val="0"/>
              </w:numPr>
              <w:jc w:val="left"/>
              <w:spacing w:before="81" w:line="480" w:lineRule="exact"/>
              <w:rPr>
                <w:rFonts w:hint="eastAsia" w:ascii="仿宋" w:hAnsi="仿宋" w:eastAsia="仿宋" w:cs="仿宋"/>
                <w:spacing w:val="-4"/>
                <w:sz w:val="21"/>
                <w:szCs w:val="21"/>
                <w:highlight w:val="none"/>
              </w:rPr>
            </w:pPr>
            <w:r>
              <w:rPr>
                <w:rFonts w:hint="eastAsia" w:ascii="仿宋" w:hAnsi="仿宋" w:eastAsia="仿宋" w:cs="仿宋"/>
                <w:spacing w:val="-1"/>
                <w:sz w:val="21"/>
                <w:szCs w:val="21"/>
                <w:highlight w:val="none"/>
              </w:rPr>
              <w:t xml:space="preserve">2.做好门禁管理。配合学校对学生进出宿舍进行严</w:t>
            </w:r>
            <w:r>
              <w:rPr>
                <w:rFonts w:hint="eastAsia" w:ascii="仿宋" w:hAnsi="仿宋" w:eastAsia="仿宋" w:cs="仿宋"/>
                <w:spacing w:val="-2"/>
                <w:sz w:val="21"/>
                <w:szCs w:val="21"/>
                <w:highlight w:val="none"/>
              </w:rPr>
              <w:t xml:space="preserve">格管理。</w:t>
            </w:r>
            <w:r/>
          </w:p>
        </w:tc>
      </w:tr>
      <w:tr>
        <w:trPr>
          <w:cantSplit/>
          <w:jc w:val="center"/>
          <w:trHeight w:val="763"/>
        </w:trPr>
        <w:tc>
          <w:tcPr>
            <w:tcW w:w="718" w:type="dxa"/>
            <w:vAlign w:val="center"/>
            <w:vMerge w:val="continue"/>
            <w:textDirection w:val="lrTb"/>
            <w:noWrap w:val="false"/>
          </w:tcPr>
          <w:p>
            <w:pPr>
              <w:ind w:right="140"/>
              <w:jc w:val="left"/>
              <w:spacing w:before="11" w:line="480" w:lineRule="exact"/>
              <w:rPr>
                <w:rFonts w:hint="eastAsia" w:ascii="仿宋" w:hAnsi="仿宋" w:eastAsia="仿宋" w:cs="仿宋"/>
                <w:spacing w:val="-4"/>
                <w:sz w:val="21"/>
                <w:szCs w:val="21"/>
                <w:highlight w:val="none"/>
              </w:rPr>
            </w:pPr>
            <w:r>
              <w:rPr>
                <w:rFonts w:hint="eastAsia" w:ascii="仿宋" w:hAnsi="仿宋" w:eastAsia="仿宋" w:cs="仿宋"/>
                <w:spacing w:val="-4"/>
                <w:sz w:val="21"/>
                <w:szCs w:val="21"/>
                <w:highlight w:val="none"/>
              </w:rPr>
            </w:r>
            <w:r/>
          </w:p>
        </w:tc>
        <w:tc>
          <w:tcPr>
            <w:tcW w:w="1091" w:type="dxa"/>
            <w:vAlign w:val="center"/>
            <w:vMerge w:val="continue"/>
            <w:textDirection w:val="lrTb"/>
            <w:noWrap w:val="false"/>
          </w:tcPr>
          <w:p>
            <w:pPr>
              <w:ind w:right="140"/>
              <w:jc w:val="left"/>
              <w:spacing w:before="11" w:line="480" w:lineRule="exact"/>
              <w:rPr>
                <w:rFonts w:hint="eastAsia" w:ascii="仿宋" w:hAnsi="仿宋" w:eastAsia="仿宋" w:cs="仿宋"/>
                <w:spacing w:val="-4"/>
                <w:sz w:val="21"/>
                <w:szCs w:val="21"/>
                <w:highlight w:val="none"/>
              </w:rPr>
            </w:pPr>
            <w:r>
              <w:rPr>
                <w:rFonts w:hint="eastAsia" w:ascii="仿宋" w:hAnsi="仿宋" w:eastAsia="仿宋" w:cs="仿宋"/>
                <w:spacing w:val="-4"/>
                <w:sz w:val="21"/>
                <w:szCs w:val="21"/>
                <w:highlight w:val="none"/>
              </w:rPr>
            </w:r>
            <w:r/>
          </w:p>
        </w:tc>
        <w:tc>
          <w:tcPr>
            <w:tcW w:w="1159" w:type="dxa"/>
            <w:vAlign w:val="top"/>
            <w:vMerge w:val="continue"/>
            <w:textDirection w:val="lrTb"/>
            <w:noWrap w:val="false"/>
          </w:tcPr>
          <w:p>
            <w:pPr>
              <w:ind w:right="140"/>
              <w:jc w:val="left"/>
              <w:spacing w:before="11" w:line="480" w:lineRule="exact"/>
              <w:rPr>
                <w:rFonts w:hint="eastAsia" w:ascii="仿宋" w:hAnsi="仿宋" w:eastAsia="仿宋" w:cs="仿宋"/>
                <w:spacing w:val="-4"/>
                <w:sz w:val="21"/>
                <w:szCs w:val="21"/>
                <w:highlight w:val="none"/>
              </w:rPr>
            </w:pPr>
            <w:r>
              <w:rPr>
                <w:rFonts w:hint="eastAsia" w:ascii="仿宋" w:hAnsi="仿宋" w:eastAsia="仿宋" w:cs="仿宋"/>
                <w:spacing w:val="-4"/>
                <w:sz w:val="21"/>
                <w:szCs w:val="21"/>
                <w:highlight w:val="none"/>
              </w:rPr>
            </w:r>
            <w:r/>
          </w:p>
        </w:tc>
        <w:tc>
          <w:tcPr>
            <w:tcW w:w="692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Cs w:val="21"/>
              </w:rPr>
            </w:pPr>
            <w:r>
              <w:rPr>
                <w:rFonts w:hint="eastAsia" w:ascii="仿宋" w:hAnsi="仿宋" w:eastAsia="仿宋" w:cs="仿宋"/>
                <w:szCs w:val="21"/>
              </w:rPr>
              <w:t xml:space="preserve">3.做好宿舍区域学生突发事件首遇应急处理或首遇上报处理，配合校警对宿舍日常事务处理，以高度的责任感和警惕性做好宿舍人、财、物的管理工作。</w:t>
            </w:r>
            <w:r/>
          </w:p>
        </w:tc>
      </w:tr>
      <w:tr>
        <w:trPr>
          <w:cantSplit/>
          <w:jc w:val="center"/>
          <w:trHeight w:val="565"/>
        </w:trPr>
        <w:tc>
          <w:tcPr>
            <w:tcW w:w="718" w:type="dxa"/>
            <w:vAlign w:val="center"/>
            <w:vMerge w:val="continue"/>
            <w:textDirection w:val="lrTb"/>
            <w:noWrap w:val="false"/>
          </w:tcPr>
          <w:p>
            <w:pPr>
              <w:ind w:right="140"/>
              <w:jc w:val="left"/>
              <w:spacing w:before="11" w:line="480" w:lineRule="exact"/>
              <w:rPr>
                <w:rFonts w:hint="eastAsia" w:ascii="仿宋" w:hAnsi="仿宋" w:eastAsia="仿宋" w:cs="仿宋"/>
                <w:spacing w:val="-4"/>
                <w:sz w:val="21"/>
                <w:szCs w:val="21"/>
                <w:highlight w:val="none"/>
              </w:rPr>
            </w:pPr>
            <w:r>
              <w:rPr>
                <w:rFonts w:hint="eastAsia" w:ascii="仿宋" w:hAnsi="仿宋" w:eastAsia="仿宋" w:cs="仿宋"/>
                <w:spacing w:val="-4"/>
                <w:sz w:val="21"/>
                <w:szCs w:val="21"/>
                <w:highlight w:val="none"/>
              </w:rPr>
            </w:r>
            <w:r/>
          </w:p>
        </w:tc>
        <w:tc>
          <w:tcPr>
            <w:tcW w:w="1091" w:type="dxa"/>
            <w:vAlign w:val="center"/>
            <w:vMerge w:val="continue"/>
            <w:textDirection w:val="lrTb"/>
            <w:noWrap w:val="false"/>
          </w:tcPr>
          <w:p>
            <w:pPr>
              <w:ind w:right="140"/>
              <w:jc w:val="left"/>
              <w:spacing w:before="11" w:line="480" w:lineRule="exact"/>
              <w:rPr>
                <w:rFonts w:hint="eastAsia" w:ascii="仿宋" w:hAnsi="仿宋" w:eastAsia="仿宋" w:cs="仿宋"/>
                <w:spacing w:val="-4"/>
                <w:sz w:val="21"/>
                <w:szCs w:val="21"/>
                <w:highlight w:val="none"/>
              </w:rPr>
            </w:pPr>
            <w:r>
              <w:rPr>
                <w:rFonts w:hint="eastAsia" w:ascii="仿宋" w:hAnsi="仿宋" w:eastAsia="仿宋" w:cs="仿宋"/>
                <w:spacing w:val="-4"/>
                <w:sz w:val="21"/>
                <w:szCs w:val="21"/>
                <w:highlight w:val="none"/>
              </w:rPr>
            </w:r>
            <w:r/>
          </w:p>
        </w:tc>
        <w:tc>
          <w:tcPr>
            <w:tcW w:w="1159" w:type="dxa"/>
            <w:vAlign w:val="top"/>
            <w:vMerge w:val="continue"/>
            <w:textDirection w:val="lrTb"/>
            <w:noWrap w:val="false"/>
          </w:tcPr>
          <w:p>
            <w:pPr>
              <w:ind w:right="140"/>
              <w:jc w:val="left"/>
              <w:spacing w:before="11" w:line="480" w:lineRule="exact"/>
              <w:rPr>
                <w:rFonts w:hint="eastAsia" w:ascii="仿宋" w:hAnsi="仿宋" w:eastAsia="仿宋" w:cs="仿宋"/>
                <w:spacing w:val="-4"/>
                <w:sz w:val="21"/>
                <w:szCs w:val="21"/>
                <w:highlight w:val="none"/>
              </w:rPr>
            </w:pPr>
            <w:r>
              <w:rPr>
                <w:rFonts w:hint="eastAsia" w:ascii="仿宋" w:hAnsi="仿宋" w:eastAsia="仿宋" w:cs="仿宋"/>
                <w:spacing w:val="-4"/>
                <w:sz w:val="21"/>
                <w:szCs w:val="21"/>
                <w:highlight w:val="none"/>
              </w:rPr>
            </w:r>
            <w:r/>
          </w:p>
        </w:tc>
        <w:tc>
          <w:tcPr>
            <w:tcW w:w="6921" w:type="dxa"/>
            <w:vAlign w:val="center"/>
            <w:textDirection w:val="lrTb"/>
            <w:noWrap w:val="false"/>
          </w:tcPr>
          <w:p>
            <w:pPr>
              <w:ind w:right="140"/>
              <w:jc w:val="left"/>
              <w:spacing w:before="11" w:line="480" w:lineRule="exact"/>
              <w:rPr>
                <w:rFonts w:hint="eastAsia" w:ascii="仿宋" w:hAnsi="仿宋" w:eastAsia="仿宋" w:cs="仿宋"/>
                <w:spacing w:val="-4"/>
                <w:sz w:val="21"/>
                <w:szCs w:val="21"/>
                <w:highlight w:val="none"/>
              </w:rPr>
            </w:pPr>
            <w:r>
              <w:rPr>
                <w:rFonts w:hint="eastAsia" w:ascii="仿宋" w:hAnsi="仿宋" w:eastAsia="仿宋" w:cs="仿宋"/>
                <w:spacing w:val="-4"/>
                <w:sz w:val="21"/>
                <w:szCs w:val="21"/>
                <w:highlight w:val="none"/>
              </w:rPr>
              <w:t xml:space="preserve">4、</w:t>
            </w:r>
            <w:r>
              <w:rPr>
                <w:rFonts w:hint="eastAsia" w:ascii="仿宋" w:hAnsi="仿宋" w:eastAsia="仿宋" w:cs="仿宋"/>
                <w:spacing w:val="-4"/>
                <w:sz w:val="21"/>
                <w:szCs w:val="21"/>
                <w:highlight w:val="none"/>
                <w:lang w:eastAsia="zh-CN"/>
              </w:rPr>
              <w:t xml:space="preserve">宿舍区夜间巡查，每夜巡查不得少于5次。</w:t>
            </w:r>
            <w:r/>
          </w:p>
        </w:tc>
      </w:tr>
      <w:tr>
        <w:trPr>
          <w:cantSplit/>
          <w:jc w:val="center"/>
          <w:trHeight w:val="875"/>
        </w:trPr>
        <w:tc>
          <w:tcPr>
            <w:tcW w:w="718"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91"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59" w:type="dxa"/>
            <w:vAlign w:val="top"/>
            <w:vMerge w:val="restart"/>
            <w:textDirection w:val="lrTb"/>
            <w:noWrap w:val="false"/>
          </w:tcPr>
          <w:p>
            <w:pPr>
              <w:ind w:right="168"/>
              <w:jc w:val="left"/>
              <w:spacing w:before="79" w:line="480" w:lineRule="exact"/>
              <w:rPr>
                <w:rFonts w:hint="eastAsia" w:ascii="仿宋" w:hAnsi="仿宋" w:eastAsia="仿宋" w:cs="仿宋"/>
                <w:spacing w:val="-2"/>
                <w:sz w:val="21"/>
                <w:szCs w:val="21"/>
                <w:highlight w:val="none"/>
              </w:rPr>
            </w:pPr>
            <w:r>
              <w:rPr>
                <w:rFonts w:hint="eastAsia" w:ascii="仿宋" w:hAnsi="仿宋" w:eastAsia="仿宋" w:cs="仿宋"/>
                <w:spacing w:val="-2"/>
                <w:sz w:val="21"/>
                <w:szCs w:val="21"/>
                <w:highlight w:val="none"/>
              </w:rPr>
            </w:r>
            <w:r/>
          </w:p>
          <w:p>
            <w:pPr>
              <w:ind w:right="168"/>
              <w:jc w:val="left"/>
              <w:spacing w:before="79" w:line="480" w:lineRule="exact"/>
              <w:rPr>
                <w:rFonts w:hint="eastAsia" w:ascii="仿宋" w:hAnsi="仿宋" w:eastAsia="仿宋" w:cs="仿宋"/>
                <w:spacing w:val="-2"/>
                <w:sz w:val="21"/>
                <w:szCs w:val="21"/>
                <w:highlight w:val="none"/>
              </w:rPr>
            </w:pPr>
            <w:r>
              <w:rPr>
                <w:rFonts w:hint="eastAsia" w:ascii="仿宋" w:hAnsi="仿宋" w:eastAsia="仿宋" w:cs="仿宋"/>
                <w:spacing w:val="-2"/>
                <w:sz w:val="21"/>
                <w:szCs w:val="21"/>
                <w:highlight w:val="none"/>
              </w:rPr>
            </w:r>
            <w:r/>
          </w:p>
          <w:p>
            <w:pPr>
              <w:ind w:right="120"/>
              <w:jc w:val="left"/>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pacing w:val="-6"/>
                <w:sz w:val="21"/>
                <w:szCs w:val="21"/>
                <w:highlight w:val="none"/>
              </w:rPr>
              <w:t xml:space="preserve">宿舍秩序</w:t>
            </w:r>
            <w:r/>
          </w:p>
        </w:tc>
        <w:tc>
          <w:tcPr>
            <w:tcW w:w="692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1.服从</w:t>
            </w:r>
            <w:r>
              <w:rPr>
                <w:rFonts w:hint="eastAsia" w:ascii="仿宋" w:hAnsi="仿宋" w:eastAsia="仿宋" w:cs="仿宋"/>
                <w:szCs w:val="21"/>
                <w:lang w:val="en-US" w:eastAsia="zh-CN"/>
              </w:rPr>
              <w:t xml:space="preserve">部门</w:t>
            </w:r>
            <w:r>
              <w:rPr>
                <w:rFonts w:hint="eastAsia" w:ascii="仿宋" w:hAnsi="仿宋" w:eastAsia="仿宋" w:cs="仿宋"/>
                <w:szCs w:val="21"/>
              </w:rPr>
              <w:t xml:space="preserve">管理，做好学生宿舍的管理工作，如开锁门、水电及安全隐患检查等工作；负责空宿舍的整理、清扫、开锁门。</w:t>
            </w:r>
            <w:r/>
          </w:p>
        </w:tc>
      </w:tr>
      <w:tr>
        <w:trPr>
          <w:cantSplit/>
          <w:jc w:val="center"/>
          <w:trHeight w:val="532"/>
        </w:trPr>
        <w:tc>
          <w:tcPr>
            <w:tcW w:w="718" w:type="dxa"/>
            <w:vAlign w:val="center"/>
            <w:vMerge w:val="continue"/>
            <w:textDirection w:val="lrTb"/>
            <w:noWrap w:val="false"/>
          </w:tcPr>
          <w:p>
            <w:pPr>
              <w:ind w:right="168"/>
              <w:jc w:val="left"/>
              <w:spacing w:before="79" w:line="480" w:lineRule="exact"/>
            </w:pPr>
            <w:r/>
            <w:r/>
          </w:p>
        </w:tc>
        <w:tc>
          <w:tcPr>
            <w:tcW w:w="1091" w:type="dxa"/>
            <w:vAlign w:val="center"/>
            <w:vMerge w:val="continue"/>
            <w:textDirection w:val="lrTb"/>
            <w:noWrap w:val="false"/>
          </w:tcPr>
          <w:p>
            <w:pPr>
              <w:ind w:right="168"/>
              <w:jc w:val="left"/>
              <w:spacing w:before="79" w:line="480" w:lineRule="exact"/>
            </w:pPr>
            <w:r/>
            <w:r/>
          </w:p>
        </w:tc>
        <w:tc>
          <w:tcPr>
            <w:tcW w:w="1159" w:type="dxa"/>
            <w:vAlign w:val="top"/>
            <w:vMerge w:val="continue"/>
            <w:textDirection w:val="lrTb"/>
            <w:noWrap w:val="false"/>
          </w:tcPr>
          <w:p>
            <w:pPr>
              <w:ind w:right="168"/>
              <w:jc w:val="left"/>
              <w:spacing w:before="79" w:line="480" w:lineRule="exact"/>
            </w:pPr>
            <w:r/>
            <w:r/>
          </w:p>
        </w:tc>
        <w:tc>
          <w:tcPr>
            <w:tcW w:w="6921" w:type="dxa"/>
            <w:vAlign w:val="center"/>
            <w:textDirection w:val="lrTb"/>
            <w:noWrap w:val="false"/>
          </w:tcPr>
          <w:p>
            <w:pPr>
              <w:ind w:right="168"/>
              <w:jc w:val="left"/>
              <w:spacing w:before="79" w:line="480" w:lineRule="exact"/>
              <w:rPr>
                <w:rFonts w:hint="eastAsia" w:ascii="仿宋" w:hAnsi="仿宋" w:eastAsia="仿宋" w:cs="仿宋"/>
                <w:spacing w:val="-2"/>
                <w:sz w:val="21"/>
                <w:szCs w:val="21"/>
                <w:highlight w:val="none"/>
              </w:rPr>
            </w:pPr>
            <w:r>
              <w:rPr>
                <w:rFonts w:hint="eastAsia" w:ascii="仿宋" w:hAnsi="仿宋" w:eastAsia="仿宋" w:cs="仿宋"/>
                <w:spacing w:val="-2"/>
                <w:sz w:val="21"/>
                <w:szCs w:val="21"/>
                <w:highlight w:val="none"/>
              </w:rPr>
              <w:t xml:space="preserve">2.</w:t>
            </w:r>
            <w:r>
              <w:rPr>
                <w:rFonts w:hint="eastAsia" w:ascii="仿宋" w:hAnsi="仿宋" w:eastAsia="仿宋" w:cs="仿宋"/>
                <w:spacing w:val="-2"/>
                <w:sz w:val="21"/>
                <w:szCs w:val="21"/>
                <w:highlight w:val="none"/>
                <w:lang w:eastAsia="zh-CN"/>
              </w:rPr>
              <w:t xml:space="preserve">管理人员督促学生晚就寝、早起床等工作。</w:t>
            </w:r>
            <w:r/>
          </w:p>
        </w:tc>
      </w:tr>
      <w:tr>
        <w:trPr>
          <w:cantSplit/>
          <w:jc w:val="center"/>
          <w:trHeight w:val="774"/>
        </w:trPr>
        <w:tc>
          <w:tcPr>
            <w:tcW w:w="718" w:type="dxa"/>
            <w:vAlign w:val="center"/>
            <w:vMerge w:val="continue"/>
            <w:textDirection w:val="lrTb"/>
            <w:noWrap w:val="false"/>
          </w:tcPr>
          <w:p>
            <w:pPr>
              <w:ind w:right="168"/>
              <w:jc w:val="left"/>
              <w:spacing w:before="79" w:line="480" w:lineRule="exact"/>
              <w:rPr>
                <w:rFonts w:hint="eastAsia" w:ascii="仿宋" w:hAnsi="仿宋" w:eastAsia="仿宋" w:cs="仿宋"/>
                <w:spacing w:val="-2"/>
                <w:sz w:val="21"/>
                <w:szCs w:val="21"/>
                <w:highlight w:val="none"/>
              </w:rPr>
            </w:pPr>
            <w:r>
              <w:rPr>
                <w:rFonts w:hint="eastAsia" w:ascii="仿宋" w:hAnsi="仿宋" w:eastAsia="仿宋" w:cs="仿宋"/>
                <w:spacing w:val="-2"/>
                <w:sz w:val="21"/>
                <w:szCs w:val="21"/>
                <w:highlight w:val="none"/>
              </w:rPr>
            </w:r>
            <w:r/>
          </w:p>
        </w:tc>
        <w:tc>
          <w:tcPr>
            <w:tcW w:w="1091" w:type="dxa"/>
            <w:vAlign w:val="center"/>
            <w:vMerge w:val="continue"/>
            <w:textDirection w:val="lrTb"/>
            <w:noWrap w:val="false"/>
          </w:tcPr>
          <w:p>
            <w:pPr>
              <w:ind w:right="168"/>
              <w:jc w:val="left"/>
              <w:spacing w:before="79" w:line="480" w:lineRule="exact"/>
              <w:rPr>
                <w:rFonts w:hint="eastAsia" w:ascii="仿宋" w:hAnsi="仿宋" w:eastAsia="仿宋" w:cs="仿宋"/>
                <w:spacing w:val="-2"/>
                <w:sz w:val="21"/>
                <w:szCs w:val="21"/>
                <w:highlight w:val="none"/>
              </w:rPr>
            </w:pPr>
            <w:r>
              <w:rPr>
                <w:rFonts w:hint="eastAsia" w:ascii="仿宋" w:hAnsi="仿宋" w:eastAsia="仿宋" w:cs="仿宋"/>
                <w:spacing w:val="-2"/>
                <w:sz w:val="21"/>
                <w:szCs w:val="21"/>
                <w:highlight w:val="none"/>
              </w:rPr>
            </w:r>
            <w:r/>
          </w:p>
        </w:tc>
        <w:tc>
          <w:tcPr>
            <w:tcW w:w="1159" w:type="dxa"/>
            <w:vAlign w:val="top"/>
            <w:vMerge w:val="continue"/>
            <w:textDirection w:val="lrTb"/>
            <w:noWrap w:val="false"/>
          </w:tcPr>
          <w:p>
            <w:pPr>
              <w:ind w:right="168"/>
              <w:jc w:val="left"/>
              <w:spacing w:before="79" w:line="480" w:lineRule="exact"/>
              <w:rPr>
                <w:rFonts w:hint="eastAsia" w:ascii="仿宋" w:hAnsi="仿宋" w:eastAsia="仿宋" w:cs="仿宋"/>
                <w:spacing w:val="-2"/>
                <w:sz w:val="21"/>
                <w:szCs w:val="21"/>
                <w:highlight w:val="none"/>
              </w:rPr>
            </w:pPr>
            <w:r>
              <w:rPr>
                <w:rFonts w:hint="eastAsia" w:ascii="仿宋" w:hAnsi="仿宋" w:eastAsia="仿宋" w:cs="仿宋"/>
                <w:spacing w:val="-2"/>
                <w:sz w:val="21"/>
                <w:szCs w:val="21"/>
                <w:highlight w:val="none"/>
              </w:rPr>
            </w:r>
            <w:r/>
          </w:p>
        </w:tc>
        <w:tc>
          <w:tcPr>
            <w:tcW w:w="692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pacing w:val="-2"/>
                <w:sz w:val="21"/>
                <w:szCs w:val="21"/>
                <w:highlight w:val="none"/>
              </w:rPr>
            </w:pPr>
            <w:r>
              <w:rPr>
                <w:rFonts w:hint="eastAsia" w:ascii="仿宋" w:hAnsi="仿宋" w:eastAsia="仿宋" w:cs="仿宋"/>
                <w:szCs w:val="21"/>
              </w:rPr>
              <w:t xml:space="preserve">3.负责了解管理楼层学生思想动态，每学期每名学生谈心不低于两次，有谈话记录。</w:t>
            </w:r>
            <w:r/>
          </w:p>
        </w:tc>
      </w:tr>
      <w:tr>
        <w:trPr>
          <w:cantSplit/>
          <w:jc w:val="center"/>
          <w:trHeight w:val="1159"/>
        </w:trPr>
        <w:tc>
          <w:tcPr>
            <w:tcW w:w="718"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91"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59" w:type="dxa"/>
            <w:vAlign w:val="top"/>
            <w:vMerge w:val="restart"/>
            <w:textDirection w:val="lrTb"/>
            <w:noWrap w:val="false"/>
          </w:tcPr>
          <w:p>
            <w:pPr>
              <w:ind w:firstLine="420"/>
              <w:jc w:val="left"/>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420"/>
              <w:jc w:val="left"/>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420"/>
              <w:jc w:val="left"/>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420"/>
              <w:jc w:val="left"/>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right="120"/>
              <w:jc w:val="left"/>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pacing w:val="-6"/>
                <w:sz w:val="21"/>
                <w:szCs w:val="21"/>
                <w:highlight w:val="none"/>
              </w:rPr>
              <w:t xml:space="preserve">宿舍保洁</w:t>
            </w:r>
            <w:r/>
          </w:p>
        </w:tc>
        <w:tc>
          <w:tcPr>
            <w:tcW w:w="692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rPr>
              <w:t xml:space="preserve">1.负责学生宿舍楼室内以外区域的墙面、地面、阳台、楼道、栏杆、扶手、墙裙、拐角和宿舍楼之间公共区域的</w:t>
            </w:r>
            <w:r>
              <w:rPr>
                <w:rFonts w:hint="eastAsia" w:ascii="仿宋" w:hAnsi="仿宋" w:eastAsia="仿宋" w:cs="仿宋"/>
                <w:szCs w:val="21"/>
                <w:lang w:val="en-US" w:eastAsia="zh-CN"/>
              </w:rPr>
              <w:t xml:space="preserve">绿化带</w:t>
            </w:r>
            <w:r>
              <w:rPr>
                <w:rFonts w:hint="eastAsia" w:ascii="仿宋" w:hAnsi="仿宋" w:eastAsia="仿宋" w:cs="仿宋"/>
                <w:szCs w:val="21"/>
              </w:rPr>
              <w:t xml:space="preserve">、路面、联廊建筑的内外墙面地面的卫生清洁。</w:t>
            </w:r>
            <w:r/>
          </w:p>
        </w:tc>
      </w:tr>
      <w:tr>
        <w:trPr>
          <w:cantSplit/>
          <w:jc w:val="center"/>
          <w:trHeight w:val="1159"/>
        </w:trPr>
        <w:tc>
          <w:tcPr>
            <w:tcW w:w="718" w:type="dxa"/>
            <w:vAlign w:val="center"/>
            <w:vMerge w:val="continue"/>
            <w:textDirection w:val="lrTb"/>
            <w:noWrap w:val="false"/>
          </w:tcPr>
          <w:p>
            <w:pPr>
              <w:ind w:right="168"/>
              <w:jc w:val="left"/>
              <w:spacing w:before="79" w:line="480" w:lineRule="exact"/>
            </w:pPr>
            <w:r/>
            <w:r/>
          </w:p>
        </w:tc>
        <w:tc>
          <w:tcPr>
            <w:tcW w:w="1091" w:type="dxa"/>
            <w:vAlign w:val="center"/>
            <w:vMerge w:val="continue"/>
            <w:textDirection w:val="lrTb"/>
            <w:noWrap w:val="false"/>
          </w:tcPr>
          <w:p>
            <w:pPr>
              <w:ind w:right="168"/>
              <w:jc w:val="left"/>
              <w:spacing w:before="79" w:line="480" w:lineRule="exact"/>
            </w:pPr>
            <w:r/>
            <w:r/>
          </w:p>
        </w:tc>
        <w:tc>
          <w:tcPr>
            <w:tcW w:w="1159" w:type="dxa"/>
            <w:vAlign w:val="top"/>
            <w:vMerge w:val="continue"/>
            <w:textDirection w:val="lrTb"/>
            <w:noWrap w:val="false"/>
          </w:tcPr>
          <w:p>
            <w:pPr>
              <w:ind w:right="168"/>
              <w:jc w:val="left"/>
              <w:spacing w:before="79" w:line="480" w:lineRule="exact"/>
            </w:pPr>
            <w:r/>
            <w:r/>
          </w:p>
        </w:tc>
        <w:tc>
          <w:tcPr>
            <w:tcW w:w="692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pacing w:val="-1"/>
                <w:sz w:val="21"/>
                <w:szCs w:val="21"/>
                <w:highlight w:val="none"/>
              </w:rPr>
            </w:pPr>
            <w:r>
              <w:rPr>
                <w:rFonts w:hint="eastAsia" w:ascii="仿宋" w:hAnsi="仿宋" w:eastAsia="仿宋" w:cs="仿宋"/>
                <w:szCs w:val="21"/>
              </w:rPr>
              <w:t xml:space="preserve">2.宿舍内各垃圾桶每天至少清理一次，垃圾桶做好外观保洁，宿舍内外无卫生死角；每天两次检查学生宿舍卫生清洁、用水、用电安全以及学生门锁情况，检查有记录，异常情况及时</w:t>
            </w:r>
            <w:r>
              <w:rPr>
                <w:rFonts w:hint="eastAsia" w:ascii="仿宋" w:hAnsi="仿宋" w:eastAsia="仿宋" w:cs="仿宋"/>
                <w:szCs w:val="21"/>
                <w:lang w:val="en-US" w:eastAsia="zh-CN"/>
              </w:rPr>
              <w:t xml:space="preserve">向相关部门</w:t>
            </w:r>
            <w:r>
              <w:rPr>
                <w:rFonts w:hint="eastAsia" w:ascii="仿宋" w:hAnsi="仿宋" w:eastAsia="仿宋" w:cs="仿宋"/>
                <w:szCs w:val="21"/>
              </w:rPr>
              <w:t xml:space="preserve">报告；定期统计、及时登记上报学生宿舍公物损坏工作。</w:t>
            </w:r>
            <w:r/>
          </w:p>
        </w:tc>
      </w:tr>
      <w:tr>
        <w:trPr>
          <w:cantSplit/>
          <w:jc w:val="center"/>
          <w:trHeight w:val="498"/>
        </w:trPr>
        <w:tc>
          <w:tcPr>
            <w:tcW w:w="718" w:type="dxa"/>
            <w:vAlign w:val="center"/>
            <w:vMerge w:val="continue"/>
            <w:textDirection w:val="lrTb"/>
            <w:noWrap w:val="false"/>
          </w:tcPr>
          <w:p>
            <w:pPr>
              <w:ind w:right="168"/>
              <w:jc w:val="left"/>
              <w:spacing w:before="79" w:line="480" w:lineRule="exact"/>
              <w:rPr>
                <w:rFonts w:hint="eastAsia" w:ascii="仿宋" w:hAnsi="仿宋" w:eastAsia="仿宋" w:cs="仿宋"/>
                <w:spacing w:val="-1"/>
                <w:sz w:val="21"/>
                <w:szCs w:val="21"/>
                <w:highlight w:val="none"/>
              </w:rPr>
            </w:pPr>
            <w:r>
              <w:rPr>
                <w:rFonts w:hint="eastAsia" w:ascii="仿宋" w:hAnsi="仿宋" w:eastAsia="仿宋" w:cs="仿宋"/>
                <w:spacing w:val="-1"/>
                <w:sz w:val="21"/>
                <w:szCs w:val="21"/>
                <w:highlight w:val="none"/>
              </w:rPr>
            </w:r>
            <w:r/>
          </w:p>
        </w:tc>
        <w:tc>
          <w:tcPr>
            <w:tcW w:w="1091" w:type="dxa"/>
            <w:vAlign w:val="center"/>
            <w:vMerge w:val="continue"/>
            <w:textDirection w:val="lrTb"/>
            <w:noWrap w:val="false"/>
          </w:tcPr>
          <w:p>
            <w:pPr>
              <w:ind w:right="168"/>
              <w:jc w:val="left"/>
              <w:spacing w:before="79" w:line="480" w:lineRule="exact"/>
              <w:rPr>
                <w:rFonts w:hint="eastAsia" w:ascii="仿宋" w:hAnsi="仿宋" w:eastAsia="仿宋" w:cs="仿宋"/>
                <w:spacing w:val="-1"/>
                <w:sz w:val="21"/>
                <w:szCs w:val="21"/>
                <w:highlight w:val="none"/>
              </w:rPr>
            </w:pPr>
            <w:r>
              <w:rPr>
                <w:rFonts w:hint="eastAsia" w:ascii="仿宋" w:hAnsi="仿宋" w:eastAsia="仿宋" w:cs="仿宋"/>
                <w:spacing w:val="-1"/>
                <w:sz w:val="21"/>
                <w:szCs w:val="21"/>
                <w:highlight w:val="none"/>
              </w:rPr>
            </w:r>
            <w:r/>
          </w:p>
        </w:tc>
        <w:tc>
          <w:tcPr>
            <w:tcW w:w="1159" w:type="dxa"/>
            <w:vAlign w:val="top"/>
            <w:vMerge w:val="continue"/>
            <w:textDirection w:val="lrTb"/>
            <w:noWrap w:val="false"/>
          </w:tcPr>
          <w:p>
            <w:pPr>
              <w:ind w:right="168"/>
              <w:jc w:val="left"/>
              <w:spacing w:before="79" w:line="480" w:lineRule="exact"/>
              <w:rPr>
                <w:rFonts w:hint="eastAsia" w:ascii="仿宋" w:hAnsi="仿宋" w:eastAsia="仿宋" w:cs="仿宋"/>
                <w:spacing w:val="-1"/>
                <w:sz w:val="21"/>
                <w:szCs w:val="21"/>
                <w:highlight w:val="none"/>
              </w:rPr>
            </w:pPr>
            <w:r>
              <w:rPr>
                <w:rFonts w:hint="eastAsia" w:ascii="仿宋" w:hAnsi="仿宋" w:eastAsia="仿宋" w:cs="仿宋"/>
                <w:spacing w:val="-1"/>
                <w:sz w:val="21"/>
                <w:szCs w:val="21"/>
                <w:highlight w:val="none"/>
              </w:rPr>
            </w:r>
            <w:r/>
          </w:p>
        </w:tc>
        <w:tc>
          <w:tcPr>
            <w:tcW w:w="692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pacing w:val="-1"/>
                <w:sz w:val="21"/>
                <w:szCs w:val="21"/>
                <w:highlight w:val="none"/>
              </w:rPr>
            </w:pPr>
            <w:r>
              <w:rPr>
                <w:rFonts w:hint="eastAsia" w:ascii="仿宋" w:hAnsi="仿宋" w:eastAsia="仿宋" w:cs="仿宋"/>
                <w:szCs w:val="21"/>
              </w:rPr>
              <w:t xml:space="preserve">3.及时疏通卫生间下水管道(需工程类维修除外)。</w:t>
            </w:r>
            <w:r/>
          </w:p>
        </w:tc>
      </w:tr>
      <w:tr>
        <w:trPr>
          <w:cantSplit/>
          <w:jc w:val="center"/>
          <w:trHeight w:val="436"/>
        </w:trPr>
        <w:tc>
          <w:tcPr>
            <w:tcW w:w="718" w:type="dxa"/>
            <w:vAlign w:val="center"/>
            <w:vMerge w:val="continue"/>
            <w:textDirection w:val="lrTb"/>
            <w:noWrap w:val="false"/>
          </w:tcPr>
          <w:p>
            <w:pPr>
              <w:ind w:right="168"/>
              <w:jc w:val="left"/>
              <w:spacing w:before="79" w:line="480" w:lineRule="exact"/>
              <w:rPr>
                <w:rFonts w:hint="eastAsia" w:ascii="仿宋" w:hAnsi="仿宋" w:eastAsia="仿宋" w:cs="仿宋"/>
                <w:spacing w:val="-1"/>
                <w:sz w:val="21"/>
                <w:szCs w:val="21"/>
                <w:highlight w:val="none"/>
              </w:rPr>
            </w:pPr>
            <w:r>
              <w:rPr>
                <w:rFonts w:hint="eastAsia" w:ascii="仿宋" w:hAnsi="仿宋" w:eastAsia="仿宋" w:cs="仿宋"/>
                <w:spacing w:val="-1"/>
                <w:sz w:val="21"/>
                <w:szCs w:val="21"/>
                <w:highlight w:val="none"/>
              </w:rPr>
            </w:r>
            <w:r/>
          </w:p>
        </w:tc>
        <w:tc>
          <w:tcPr>
            <w:tcW w:w="1091" w:type="dxa"/>
            <w:vAlign w:val="center"/>
            <w:vMerge w:val="continue"/>
            <w:textDirection w:val="lrTb"/>
            <w:noWrap w:val="false"/>
          </w:tcPr>
          <w:p>
            <w:pPr>
              <w:ind w:right="168"/>
              <w:jc w:val="left"/>
              <w:spacing w:before="79" w:line="480" w:lineRule="exact"/>
              <w:rPr>
                <w:rFonts w:hint="eastAsia" w:ascii="仿宋" w:hAnsi="仿宋" w:eastAsia="仿宋" w:cs="仿宋"/>
                <w:spacing w:val="-1"/>
                <w:sz w:val="21"/>
                <w:szCs w:val="21"/>
                <w:highlight w:val="none"/>
              </w:rPr>
            </w:pPr>
            <w:r>
              <w:rPr>
                <w:rFonts w:hint="eastAsia" w:ascii="仿宋" w:hAnsi="仿宋" w:eastAsia="仿宋" w:cs="仿宋"/>
                <w:spacing w:val="-1"/>
                <w:sz w:val="21"/>
                <w:szCs w:val="21"/>
                <w:highlight w:val="none"/>
              </w:rPr>
            </w:r>
            <w:r/>
          </w:p>
        </w:tc>
        <w:tc>
          <w:tcPr>
            <w:tcW w:w="1159" w:type="dxa"/>
            <w:vAlign w:val="top"/>
            <w:vMerge w:val="continue"/>
            <w:textDirection w:val="lrTb"/>
            <w:noWrap w:val="false"/>
          </w:tcPr>
          <w:p>
            <w:pPr>
              <w:ind w:right="168"/>
              <w:jc w:val="left"/>
              <w:spacing w:before="79" w:line="480" w:lineRule="exact"/>
              <w:rPr>
                <w:rFonts w:hint="eastAsia" w:ascii="仿宋" w:hAnsi="仿宋" w:eastAsia="仿宋" w:cs="仿宋"/>
                <w:spacing w:val="-1"/>
                <w:sz w:val="21"/>
                <w:szCs w:val="21"/>
                <w:highlight w:val="none"/>
              </w:rPr>
            </w:pPr>
            <w:r>
              <w:rPr>
                <w:rFonts w:hint="eastAsia" w:ascii="仿宋" w:hAnsi="仿宋" w:eastAsia="仿宋" w:cs="仿宋"/>
                <w:spacing w:val="-1"/>
                <w:sz w:val="21"/>
                <w:szCs w:val="21"/>
                <w:highlight w:val="none"/>
              </w:rPr>
            </w:r>
            <w:r/>
          </w:p>
        </w:tc>
        <w:tc>
          <w:tcPr>
            <w:tcW w:w="6921"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pacing w:val="-1"/>
                <w:sz w:val="21"/>
                <w:szCs w:val="21"/>
                <w:highlight w:val="none"/>
              </w:rPr>
            </w:pPr>
            <w:r>
              <w:rPr>
                <w:rFonts w:hint="eastAsia" w:ascii="仿宋" w:hAnsi="仿宋" w:eastAsia="仿宋" w:cs="仿宋"/>
                <w:szCs w:val="21"/>
              </w:rPr>
              <w:t xml:space="preserve">4</w:t>
            </w:r>
            <w:r>
              <w:rPr>
                <w:rFonts w:hint="default" w:ascii="仿宋" w:hAnsi="仿宋" w:eastAsia="仿宋" w:cs="仿宋"/>
                <w:szCs w:val="21"/>
              </w:rPr>
              <w:t xml:space="preserve">.负责各楼层开水间的卫生、清洁工作。</w:t>
            </w:r>
            <w:r/>
          </w:p>
        </w:tc>
      </w:tr>
    </w:tbl>
    <w:p>
      <w:pPr>
        <w:pStyle w:val="755"/>
        <w:spacing w:before="0" w:after="0" w:line="500" w:lineRule="exact"/>
        <w:rPr>
          <w:rFonts w:hint="eastAsia" w:ascii="仿宋" w:hAnsi="仿宋" w:eastAsia="仿宋" w:cs="仿宋"/>
          <w:b/>
          <w:bCs/>
          <w:sz w:val="21"/>
          <w:szCs w:val="21"/>
        </w:rPr>
      </w:pPr>
      <w:r>
        <w:rPr>
          <w:rFonts w:hint="eastAsia" w:ascii="仿宋" w:hAnsi="仿宋" w:eastAsia="仿宋" w:cs="仿宋"/>
          <w:b/>
          <w:bCs/>
          <w:sz w:val="21"/>
          <w:szCs w:val="21"/>
        </w:rPr>
      </w:r>
      <w:r/>
    </w:p>
    <w:p>
      <w:pPr>
        <w:jc w:val="left"/>
        <w:spacing w:before="40" w:after="40" w:line="5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3.4</w:t>
      </w:r>
      <w:r>
        <w:rPr>
          <w:rFonts w:hint="eastAsia" w:ascii="仿宋" w:hAnsi="仿宋" w:eastAsia="仿宋" w:cs="仿宋"/>
          <w:b/>
          <w:bCs/>
          <w:color w:val="000000"/>
          <w:sz w:val="24"/>
          <w:lang w:val="en-US" w:eastAsia="zh-CN"/>
        </w:rPr>
        <w:t xml:space="preserve">保洁</w:t>
      </w:r>
      <w:r>
        <w:rPr>
          <w:rFonts w:hint="eastAsia" w:ascii="仿宋" w:hAnsi="仿宋" w:eastAsia="仿宋" w:cs="仿宋"/>
          <w:b/>
          <w:bCs/>
          <w:color w:val="000000"/>
          <w:sz w:val="24"/>
        </w:rPr>
        <w:t xml:space="preserve">服务</w:t>
      </w:r>
      <w:r/>
    </w:p>
    <w:tbl>
      <w:tblPr>
        <w:tblStyle w:val="763"/>
        <w:tblpPr w:horzAnchor="page" w:tblpXSpec="center" w:vertAnchor="text" w:tblpY="466" w:leftFromText="180" w:topFromText="0" w:rightFromText="180" w:bottomFromText="0"/>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065"/>
        <w:gridCol w:w="1191"/>
        <w:gridCol w:w="7058"/>
      </w:tblGrid>
      <w:tr>
        <w:trPr>
          <w:jc w:val="center"/>
          <w:trHeight w:val="454"/>
        </w:trPr>
        <w:tc>
          <w:tcPr>
            <w:tcW w:w="641"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1065"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服务内容</w:t>
            </w:r>
            <w:r/>
          </w:p>
        </w:tc>
        <w:tc>
          <w:tcPr>
            <w:gridSpan w:val="2"/>
            <w:tcW w:w="8249"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服务标准</w:t>
            </w:r>
            <w:r/>
          </w:p>
        </w:tc>
      </w:tr>
      <w:tr>
        <w:trPr>
          <w:cantSplit/>
          <w:jc w:val="center"/>
          <w:trHeight w:val="476"/>
        </w:trPr>
        <w:tc>
          <w:tcPr>
            <w:tcW w:w="641" w:type="dxa"/>
            <w:vAlign w:val="center"/>
            <w:vMerge w:val="restart"/>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1</w:t>
            </w:r>
            <w:r/>
          </w:p>
        </w:tc>
        <w:tc>
          <w:tcPr>
            <w:tcW w:w="1065" w:type="dxa"/>
            <w:vAlign w:val="center"/>
            <w:vMerge w:val="restart"/>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t xml:space="preserve">保洁服务</w:t>
            </w:r>
            <w:r/>
          </w:p>
        </w:tc>
        <w:tc>
          <w:tcPr>
            <w:tcW w:w="1191" w:type="dxa"/>
            <w:vAlign w:val="center"/>
            <w:vMerge w:val="restart"/>
            <w:textDirection w:val="lrTb"/>
            <w:noWrap w:val="false"/>
          </w:tcPr>
          <w:p>
            <w:pPr>
              <w:jc w:val="center"/>
              <w:spacing w:line="360" w:lineRule="exact"/>
              <w:widowControl/>
              <w:rPr>
                <w:rFonts w:hint="eastAsia" w:ascii="仿宋" w:hAnsi="仿宋" w:eastAsia="仿宋" w:cs="仿宋"/>
                <w:szCs w:val="21"/>
                <w:lang w:eastAsia="zh-CN"/>
              </w:rPr>
            </w:pPr>
            <w:r>
              <w:rPr>
                <w:rFonts w:hint="eastAsia" w:ascii="仿宋" w:hAnsi="仿宋" w:eastAsia="仿宋" w:cs="仿宋"/>
                <w:szCs w:val="21"/>
              </w:rPr>
              <w:t xml:space="preserve">要求</w:t>
            </w:r>
            <w:r/>
          </w:p>
        </w:tc>
        <w:tc>
          <w:tcPr>
            <w:tcW w:w="7058"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Cs w:val="21"/>
                <w:lang w:eastAsia="zh-CN"/>
              </w:rPr>
            </w:pPr>
            <w:r>
              <w:rPr>
                <w:rFonts w:hint="eastAsia" w:ascii="仿宋" w:hAnsi="仿宋" w:eastAsia="仿宋" w:cs="仿宋"/>
                <w:szCs w:val="21"/>
              </w:rPr>
              <w:t xml:space="preserve">1、清洁卫生实行责任制，有专职清洁人员和明确的责任范围。确保清洁区域无遗漏、无死角。</w:t>
            </w:r>
            <w:r/>
          </w:p>
        </w:tc>
      </w:tr>
      <w:tr>
        <w:trPr>
          <w:cantSplit/>
          <w:jc w:val="center"/>
          <w:trHeight w:val="476"/>
        </w:trPr>
        <w:tc>
          <w:tcPr>
            <w:tcW w:w="641" w:type="dxa"/>
            <w:vAlign w:val="center"/>
            <w:vMerge w:val="continue"/>
            <w:textDirection w:val="lrTb"/>
            <w:noWrap w:val="false"/>
          </w:tcPr>
          <w:p>
            <w:pPr>
              <w:spacing w:line="360" w:lineRule="exact"/>
              <w:widowControl/>
            </w:pPr>
            <w:r/>
            <w:r/>
          </w:p>
        </w:tc>
        <w:tc>
          <w:tcPr>
            <w:tcW w:w="1065" w:type="dxa"/>
            <w:vAlign w:val="center"/>
            <w:vMerge w:val="continue"/>
            <w:textDirection w:val="lrTb"/>
            <w:noWrap w:val="false"/>
          </w:tcPr>
          <w:p>
            <w:pPr>
              <w:spacing w:line="360" w:lineRule="exact"/>
              <w:widowControl/>
            </w:pPr>
            <w:r/>
            <w:r/>
          </w:p>
        </w:tc>
        <w:tc>
          <w:tcPr>
            <w:tcW w:w="1191" w:type="dxa"/>
            <w:vAlign w:val="center"/>
            <w:vMerge w:val="continue"/>
            <w:textDirection w:val="lrTb"/>
            <w:noWrap w:val="false"/>
          </w:tcPr>
          <w:p>
            <w:pPr>
              <w:spacing w:line="360" w:lineRule="exact"/>
              <w:widowControl/>
            </w:pPr>
            <w:r/>
            <w:r/>
          </w:p>
        </w:tc>
        <w:tc>
          <w:tcPr>
            <w:tcW w:w="7058" w:type="dxa"/>
            <w:vAlign w:val="center"/>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t xml:space="preserve">2、制定保洁工作计划和工作流程，监督和检查保洁人员按要求执行。</w:t>
            </w:r>
            <w:r/>
          </w:p>
        </w:tc>
      </w:tr>
      <w:tr>
        <w:trPr>
          <w:cantSplit/>
          <w:jc w:val="center"/>
          <w:trHeight w:val="476"/>
        </w:trPr>
        <w:tc>
          <w:tcPr>
            <w:tcW w:w="64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065"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19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058" w:type="dxa"/>
            <w:vAlign w:val="center"/>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t xml:space="preserve">3、做好节假日以及重要活动期间的保洁工作。</w:t>
            </w:r>
            <w:r/>
          </w:p>
        </w:tc>
      </w:tr>
      <w:tr>
        <w:trPr>
          <w:cantSplit/>
          <w:jc w:val="center"/>
          <w:trHeight w:val="715"/>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top"/>
            <w:vMerge w:val="restart"/>
            <w:textDirection w:val="lrTb"/>
            <w:noWrap w:val="false"/>
          </w:tcPr>
          <w:p>
            <w:pPr>
              <w:jc w:val="cente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r>
            <w:r/>
          </w:p>
          <w:p>
            <w:pPr>
              <w:jc w:val="center"/>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垃圾收集、清运</w:t>
            </w:r>
            <w:r/>
          </w:p>
        </w:tc>
        <w:tc>
          <w:tcPr>
            <w:tcW w:w="7058"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1、各楼层设置垃圾收集点，每天定时清理。袋装垃圾摆放整齐，地面无明显垃圾，无污水外溢，无明显异味。</w:t>
            </w:r>
            <w:r/>
          </w:p>
        </w:tc>
      </w:tr>
      <w:tr>
        <w:trPr>
          <w:cantSplit/>
          <w:jc w:val="center"/>
          <w:trHeight w:val="715"/>
        </w:trPr>
        <w:tc>
          <w:tcPr>
            <w:tcW w:w="641" w:type="dxa"/>
            <w:vAlign w:val="center"/>
            <w:vMerge w:val="continue"/>
            <w:textDirection w:val="lrTb"/>
            <w:noWrap w:val="false"/>
          </w:tcPr>
          <w:p>
            <w:pPr>
              <w:spacing w:line="480" w:lineRule="exact"/>
            </w:pPr>
            <w:r/>
            <w:r/>
          </w:p>
        </w:tc>
        <w:tc>
          <w:tcPr>
            <w:tcW w:w="1065" w:type="dxa"/>
            <w:vAlign w:val="center"/>
            <w:vMerge w:val="continue"/>
            <w:textDirection w:val="lrTb"/>
            <w:noWrap w:val="false"/>
          </w:tcPr>
          <w:p>
            <w:pPr>
              <w:spacing w:line="480" w:lineRule="exact"/>
            </w:pPr>
            <w:r/>
            <w:r/>
          </w:p>
        </w:tc>
        <w:tc>
          <w:tcPr>
            <w:tcW w:w="1191" w:type="dxa"/>
            <w:vAlign w:val="top"/>
            <w:vMerge w:val="continue"/>
            <w:textDirection w:val="lrTb"/>
            <w:noWrap w:val="false"/>
          </w:tcPr>
          <w:p>
            <w:pPr>
              <w:spacing w:line="480" w:lineRule="exact"/>
            </w:pPr>
            <w:r/>
            <w:r/>
          </w:p>
        </w:tc>
        <w:tc>
          <w:tcPr>
            <w:tcW w:w="7058" w:type="dxa"/>
            <w:vAlign w:val="center"/>
            <w:textDirection w:val="lrTb"/>
            <w:noWrap w:val="false"/>
          </w:tcPr>
          <w:p>
            <w:pPr>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2、垃圾房垃圾日产日清，当日运离送至环卫部门指定地点，不得隔夜。</w:t>
            </w:r>
            <w:r/>
          </w:p>
        </w:tc>
      </w:tr>
      <w:tr>
        <w:trPr>
          <w:cantSplit/>
          <w:jc w:val="center"/>
          <w:trHeight w:val="811"/>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top"/>
            <w:vMerge w:val="restart"/>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r>
            <w:r/>
          </w:p>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r>
            <w:r/>
          </w:p>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r>
            <w:r/>
          </w:p>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r>
            <w:r/>
          </w:p>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通道、楼梯台阶及大厅</w:t>
            </w:r>
            <w:r/>
          </w:p>
        </w:tc>
        <w:tc>
          <w:tcPr>
            <w:tcW w:w="7058"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1、楼梯间墙面每周至少除尘一次，楼梯间无灰尘，无乱贴乱画，梯步表面干净无污渍，保持楼梯手护栏干净、无灰尘。</w:t>
            </w:r>
            <w:r/>
          </w:p>
        </w:tc>
      </w:tr>
      <w:tr>
        <w:trPr>
          <w:cantSplit/>
          <w:jc w:val="center"/>
          <w:trHeight w:val="811"/>
        </w:trPr>
        <w:tc>
          <w:tcPr>
            <w:tcW w:w="641" w:type="dxa"/>
            <w:vAlign w:val="center"/>
            <w:vMerge w:val="continue"/>
            <w:textDirection w:val="lrTb"/>
            <w:noWrap w:val="false"/>
          </w:tcPr>
          <w:p>
            <w:pPr>
              <w:ind w:right="135"/>
              <w:jc w:val="left"/>
              <w:spacing w:before="103" w:line="480" w:lineRule="exact"/>
            </w:pPr>
            <w:r/>
            <w:r/>
          </w:p>
        </w:tc>
        <w:tc>
          <w:tcPr>
            <w:tcW w:w="1065" w:type="dxa"/>
            <w:vAlign w:val="center"/>
            <w:vMerge w:val="continue"/>
            <w:textDirection w:val="lrTb"/>
            <w:noWrap w:val="false"/>
          </w:tcPr>
          <w:p>
            <w:pPr>
              <w:ind w:right="135"/>
              <w:jc w:val="left"/>
              <w:spacing w:before="103" w:line="480" w:lineRule="exact"/>
            </w:pPr>
            <w:r/>
            <w:r/>
          </w:p>
        </w:tc>
        <w:tc>
          <w:tcPr>
            <w:tcW w:w="1191" w:type="dxa"/>
            <w:vAlign w:val="top"/>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058"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2、每日循环清扫地面垃圾，清除台面、地面的污迹，每日至少拖洗两次，每月至少彻底清洗两次，平时发现污渍及时处理。</w:t>
            </w:r>
            <w:r/>
          </w:p>
        </w:tc>
      </w:tr>
      <w:tr>
        <w:trPr>
          <w:cantSplit/>
          <w:jc w:val="center"/>
          <w:trHeight w:val="556"/>
        </w:trPr>
        <w:tc>
          <w:tcPr>
            <w:tcW w:w="641" w:type="dxa"/>
            <w:vAlign w:val="center"/>
            <w:vMerge w:val="continue"/>
            <w:textDirection w:val="lrTb"/>
            <w:noWrap w:val="false"/>
          </w:tcPr>
          <w:p>
            <w:pPr>
              <w:ind w:right="135"/>
              <w:jc w:val="left"/>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065" w:type="dxa"/>
            <w:vAlign w:val="center"/>
            <w:vMerge w:val="continue"/>
            <w:textDirection w:val="lrTb"/>
            <w:noWrap w:val="false"/>
          </w:tcPr>
          <w:p>
            <w:pPr>
              <w:ind w:right="135"/>
              <w:jc w:val="left"/>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top"/>
            <w:vMerge w:val="continue"/>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r>
            <w:r/>
          </w:p>
        </w:tc>
        <w:tc>
          <w:tcPr>
            <w:tcW w:w="7058"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3、大厅的地面每日至少拖地2次。</w:t>
            </w:r>
            <w:r/>
          </w:p>
        </w:tc>
      </w:tr>
      <w:tr>
        <w:trPr>
          <w:cantSplit/>
          <w:jc w:val="center"/>
          <w:trHeight w:val="811"/>
        </w:trPr>
        <w:tc>
          <w:tcPr>
            <w:tcW w:w="641" w:type="dxa"/>
            <w:vAlign w:val="center"/>
            <w:vMerge w:val="continue"/>
            <w:textDirection w:val="lrTb"/>
            <w:noWrap w:val="false"/>
          </w:tcPr>
          <w:p>
            <w:pPr>
              <w:ind w:right="135"/>
              <w:jc w:val="left"/>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065" w:type="dxa"/>
            <w:vAlign w:val="center"/>
            <w:vMerge w:val="continue"/>
            <w:textDirection w:val="lrTb"/>
            <w:noWrap w:val="false"/>
          </w:tcPr>
          <w:p>
            <w:pPr>
              <w:ind w:right="135"/>
              <w:jc w:val="left"/>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top"/>
            <w:vMerge w:val="continue"/>
            <w:textDirection w:val="lrTb"/>
            <w:noWrap w:val="false"/>
          </w:tcPr>
          <w:p>
            <w:pPr>
              <w:ind w:right="135"/>
              <w:jc w:val="left"/>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058" w:type="dxa"/>
            <w:vAlign w:val="center"/>
            <w:textDirection w:val="lrTb"/>
            <w:noWrap w:val="false"/>
          </w:tcPr>
          <w:p>
            <w:pPr>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4、大厅、楼内、公共通道地面干净、无污渍，有光泽，保持地面材质原貌；门框、窗框、窗台、金属件表面光亮、无灰尘、无污渍；门、窗玻璃及窗帘干净无尘，透光性好，无明显印迹；各种金属件表面干净，无污渍，有金属光泽；门把手干净、无印迹、定时消毒；天花板干净，无污渍、无蛛网；灯具干净无积尘，空调风口干净，无污迹，进出口地垫摆放整齐，表面干净无杂物，盆栽植物无积尘；电子显示屏干净无尘。</w:t>
            </w:r>
            <w:r/>
          </w:p>
        </w:tc>
      </w:tr>
      <w:tr>
        <w:trPr>
          <w:cantSplit/>
          <w:jc w:val="center"/>
          <w:trHeight w:val="1059"/>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center"/>
            <w:vMerge w:val="restart"/>
            <w:textDirection w:val="lrTb"/>
            <w:noWrap w:val="false"/>
          </w:tcPr>
          <w:p>
            <w:pPr>
              <w:ind w:right="135"/>
              <w:jc w:val="center"/>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卫生间</w:t>
            </w:r>
            <w:r/>
          </w:p>
        </w:tc>
        <w:tc>
          <w:tcPr>
            <w:tcW w:w="7058" w:type="dxa"/>
            <w:vAlign w:val="center"/>
            <w:textDirection w:val="lrTb"/>
            <w:noWrap w:val="false"/>
          </w:tcPr>
          <w:p>
            <w:pPr>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1、保证洗手间无异味、无水迹、尿迹、无污渍；镜面清洁光亮，墙面、隔断无污迹、无灰尘。垃圾桶内、外干净，垃圾袋内垃圾不超过1/2，每日更换不低于一次。</w:t>
            </w:r>
            <w:r/>
          </w:p>
        </w:tc>
      </w:tr>
      <w:tr>
        <w:trPr>
          <w:cantSplit/>
          <w:jc w:val="center"/>
          <w:trHeight w:val="752"/>
        </w:trPr>
        <w:tc>
          <w:tcPr>
            <w:tcW w:w="641" w:type="dxa"/>
            <w:vAlign w:val="center"/>
            <w:vMerge w:val="continue"/>
            <w:textDirection w:val="lrTb"/>
            <w:noWrap w:val="false"/>
          </w:tcPr>
          <w:p>
            <w:pPr>
              <w:ind w:right="135"/>
              <w:jc w:val="left"/>
              <w:spacing w:before="103" w:line="480" w:lineRule="exact"/>
            </w:pPr>
            <w:r/>
            <w:r/>
          </w:p>
        </w:tc>
        <w:tc>
          <w:tcPr>
            <w:tcW w:w="1065" w:type="dxa"/>
            <w:vAlign w:val="center"/>
            <w:vMerge w:val="continue"/>
            <w:textDirection w:val="lrTb"/>
            <w:noWrap w:val="false"/>
          </w:tcPr>
          <w:p>
            <w:pPr>
              <w:ind w:right="135"/>
              <w:jc w:val="left"/>
              <w:spacing w:before="103" w:line="480" w:lineRule="exact"/>
            </w:pPr>
            <w:r/>
            <w:r/>
          </w:p>
        </w:tc>
        <w:tc>
          <w:tcPr>
            <w:tcW w:w="1191" w:type="dxa"/>
            <w:vAlign w:val="center"/>
            <w:vMerge w:val="continue"/>
            <w:textDirection w:val="lrTb"/>
            <w:noWrap w:val="false"/>
          </w:tcPr>
          <w:p>
            <w:pPr>
              <w:ind w:right="135"/>
              <w:jc w:val="left"/>
              <w:spacing w:before="103" w:line="480" w:lineRule="exact"/>
            </w:pPr>
            <w:r/>
            <w:r/>
          </w:p>
        </w:tc>
        <w:tc>
          <w:tcPr>
            <w:tcW w:w="7058" w:type="dxa"/>
            <w:vAlign w:val="center"/>
            <w:textDirection w:val="lrTb"/>
            <w:noWrap w:val="false"/>
          </w:tcPr>
          <w:p>
            <w:pPr>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2、拖布和日用品要摆放整齐，每周对卫生间彻底冲刷一次，定时喷洒空气清新剂，保证无异味。</w:t>
            </w:r>
            <w:r/>
          </w:p>
        </w:tc>
      </w:tr>
      <w:tr>
        <w:trPr>
          <w:cantSplit/>
          <w:jc w:val="center"/>
          <w:trHeight w:val="640"/>
        </w:trPr>
        <w:tc>
          <w:tcPr>
            <w:tcW w:w="641" w:type="dxa"/>
            <w:vAlign w:val="center"/>
            <w:vMerge w:val="continue"/>
            <w:textDirection w:val="lrTb"/>
            <w:noWrap w:val="false"/>
          </w:tcPr>
          <w:p>
            <w:pPr>
              <w:ind w:right="135"/>
              <w:jc w:val="left"/>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065" w:type="dxa"/>
            <w:vAlign w:val="center"/>
            <w:vMerge w:val="continue"/>
            <w:textDirection w:val="lrTb"/>
            <w:noWrap w:val="false"/>
          </w:tcPr>
          <w:p>
            <w:pPr>
              <w:ind w:right="135"/>
              <w:jc w:val="left"/>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center"/>
            <w:vMerge w:val="continue"/>
            <w:textDirection w:val="lrTb"/>
            <w:noWrap w:val="false"/>
          </w:tcPr>
          <w:p>
            <w:pPr>
              <w:ind w:right="135"/>
              <w:jc w:val="left"/>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058" w:type="dxa"/>
            <w:vAlign w:val="center"/>
            <w:textDirection w:val="lrTb"/>
            <w:noWrap w:val="false"/>
          </w:tcPr>
          <w:p>
            <w:pPr>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3、及时疏通卫生间下水管道(需工程类维修除外)。</w:t>
            </w:r>
            <w:r/>
          </w:p>
        </w:tc>
      </w:tr>
      <w:tr>
        <w:trPr>
          <w:cantSplit/>
          <w:jc w:val="center"/>
          <w:trHeight w:val="1152"/>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center"/>
            <w:vMerge w:val="restart"/>
            <w:textDirection w:val="lrTb"/>
            <w:noWrap w:val="false"/>
          </w:tcPr>
          <w:p>
            <w:pPr>
              <w:ind w:right="135"/>
              <w:jc w:val="center"/>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会议室及其他公共场所</w:t>
            </w:r>
            <w:r/>
          </w:p>
        </w:tc>
        <w:tc>
          <w:tcPr>
            <w:tcW w:w="7058"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1、每天对地面、办公桌椅、办公设备除尘去污。每次房间使用结束后及时清洁，墙、顶面保持整洁。地面干净无灰尘，椅子、茶几、茶杯等随时整理清洁。</w:t>
            </w:r>
            <w:r/>
          </w:p>
        </w:tc>
      </w:tr>
      <w:tr>
        <w:trPr>
          <w:cantSplit/>
          <w:jc w:val="center"/>
          <w:trHeight w:val="878"/>
        </w:trPr>
        <w:tc>
          <w:tcPr>
            <w:tcW w:w="641" w:type="dxa"/>
            <w:vAlign w:val="center"/>
            <w:vMerge w:val="continue"/>
            <w:textDirection w:val="lrTb"/>
            <w:noWrap w:val="false"/>
          </w:tcPr>
          <w:p>
            <w:pPr>
              <w:ind w:right="135"/>
              <w:jc w:val="left"/>
              <w:spacing w:before="103" w:line="480" w:lineRule="exact"/>
            </w:pPr>
            <w:r/>
            <w:r/>
          </w:p>
        </w:tc>
        <w:tc>
          <w:tcPr>
            <w:tcW w:w="1065" w:type="dxa"/>
            <w:vAlign w:val="center"/>
            <w:vMerge w:val="continue"/>
            <w:textDirection w:val="lrTb"/>
            <w:noWrap w:val="false"/>
          </w:tcPr>
          <w:p>
            <w:pPr>
              <w:ind w:right="135"/>
              <w:jc w:val="left"/>
              <w:spacing w:before="103" w:line="480" w:lineRule="exact"/>
            </w:pPr>
            <w:r/>
            <w:r/>
          </w:p>
        </w:tc>
        <w:tc>
          <w:tcPr>
            <w:tcW w:w="1191" w:type="dxa"/>
            <w:vAlign w:val="center"/>
            <w:vMerge w:val="continue"/>
            <w:textDirection w:val="lrTb"/>
            <w:noWrap w:val="false"/>
          </w:tcPr>
          <w:p>
            <w:pPr>
              <w:ind w:right="135"/>
              <w:jc w:val="left"/>
              <w:spacing w:before="103" w:line="480" w:lineRule="exact"/>
            </w:pPr>
            <w:r/>
            <w:r/>
          </w:p>
        </w:tc>
        <w:tc>
          <w:tcPr>
            <w:tcW w:w="7058"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2、保持公共场所各部位干净、整齐。外墙目视洁净、无污垢；表面、接缝、角落、边线等处洁净，无污迹、无积尘。平台、屋顶无垃圾堆积。</w:t>
            </w:r>
            <w:r/>
          </w:p>
        </w:tc>
      </w:tr>
      <w:tr>
        <w:trPr>
          <w:cantSplit/>
          <w:jc w:val="center"/>
          <w:trHeight w:val="1247"/>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center"/>
            <w:textDirection w:val="lrTb"/>
            <w:noWrap w:val="false"/>
          </w:tcPr>
          <w:p>
            <w:pPr>
              <w:ind w:right="135"/>
              <w:jc w:val="center"/>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电梯</w:t>
            </w:r>
            <w:r/>
          </w:p>
        </w:tc>
        <w:tc>
          <w:tcPr>
            <w:tcW w:w="7058"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电梯轿厢四壁光洁明亮，操作面板无污迹、无灰尘、无印迹，地面干净，空气清新、无异味；电梯凹槽内无垃圾无杂物；梳齿板内无杂物污渍。</w:t>
            </w:r>
            <w:r/>
          </w:p>
        </w:tc>
      </w:tr>
      <w:tr>
        <w:trPr>
          <w:cantSplit/>
          <w:jc w:val="center"/>
          <w:trHeight w:val="519"/>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top"/>
            <w:textDirection w:val="lrTb"/>
            <w:noWrap w:val="false"/>
          </w:tcPr>
          <w:p>
            <w:pPr>
              <w:ind w:right="135"/>
              <w:jc w:val="center"/>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设备用房</w:t>
            </w:r>
            <w:r/>
          </w:p>
        </w:tc>
        <w:tc>
          <w:tcPr>
            <w:tcW w:w="7058"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每天清扫一次。设备机房、管道、指示牌无卫生死角、无垃圾堆积，无积尘、目视无蜘蛛网、无明显污渍、无水渍。</w:t>
            </w:r>
            <w:r/>
          </w:p>
        </w:tc>
      </w:tr>
      <w:tr>
        <w:trPr>
          <w:cantSplit/>
          <w:jc w:val="center"/>
          <w:trHeight w:val="519"/>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消火栓、宣传栏、指示牌、信报箱</w:t>
            </w:r>
            <w:r/>
          </w:p>
        </w:tc>
        <w:tc>
          <w:tcPr>
            <w:tcW w:w="7058"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隔天至少擦抹一次，保持干净无灰尘、无污迹、光亮清洁，废旧宣传牌、横幅清除。</w:t>
            </w:r>
            <w:r/>
          </w:p>
        </w:tc>
      </w:tr>
      <w:tr>
        <w:trPr>
          <w:cantSplit/>
          <w:jc w:val="center"/>
          <w:trHeight w:val="519"/>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道路地面</w:t>
            </w:r>
            <w:r/>
          </w:p>
        </w:tc>
        <w:tc>
          <w:tcPr>
            <w:tcW w:w="7058"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每天清扫保洁至少三次，清扫避开上、下班高峰时间进行，白天专人不间断循环保洁。目视道路干净无尘灰、无杂物、无积水。下雪后扫雪及时,地面无积雪。</w:t>
            </w:r>
            <w:r/>
          </w:p>
        </w:tc>
      </w:tr>
      <w:tr>
        <w:trPr>
          <w:cantSplit/>
          <w:jc w:val="center"/>
          <w:trHeight w:val="519"/>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center"/>
            <w:textDirection w:val="lrTb"/>
            <w:noWrap w:val="false"/>
          </w:tcPr>
          <w:p>
            <w:pPr>
              <w:ind w:right="135"/>
              <w:jc w:val="center"/>
              <w:spacing w:before="103" w:line="480" w:lineRule="exact"/>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绿化带</w:t>
            </w:r>
            <w:r/>
          </w:p>
        </w:tc>
        <w:tc>
          <w:tcPr>
            <w:tcW w:w="7058" w:type="dxa"/>
            <w:vAlign w:val="center"/>
            <w:textDirection w:val="lrTb"/>
            <w:noWrap w:val="false"/>
          </w:tcPr>
          <w:p>
            <w:pPr>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每日清扫1次绿化带、草地上垃圾，秋冬季节或落叶较多季节增加清洁次数，地面干净、无积尘、无污渍、无垃圾、无痰迹、烟头、纸屑等，花坛表面洁净无污渍。绿地整洁，无堆物堆料、搭棚、侵占等现象；设施完好，无人为损坏。</w:t>
            </w:r>
            <w:r/>
          </w:p>
        </w:tc>
      </w:tr>
      <w:tr>
        <w:trPr>
          <w:cantSplit/>
          <w:jc w:val="center"/>
          <w:trHeight w:val="519"/>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center"/>
            <w:textDirection w:val="lrTb"/>
            <w:noWrap w:val="false"/>
          </w:tcPr>
          <w:p>
            <w:pPr>
              <w:jc w:val="cente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垃圾箱（桶）、</w:t>
            </w:r>
            <w:r/>
          </w:p>
          <w:p>
            <w:pPr>
              <w:jc w:val="cente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果皮箱</w:t>
            </w:r>
            <w:r/>
          </w:p>
        </w:tc>
        <w:tc>
          <w:tcPr>
            <w:tcW w:w="7058" w:type="dxa"/>
            <w:vAlign w:val="center"/>
            <w:textDirection w:val="lrTb"/>
            <w:noWrap w:val="false"/>
          </w:tcPr>
          <w:p>
            <w:pPr>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按指定位置摆放，每天至少清理一次，并至少抹洗一次，桶身表面干净无污渍无痰迹，烟灰缸内烟头不应超过3个，垃圾不应超过2/3，内胆应定期清洁、消毒，周围地面干净整洁、无垃圾、无污迹、无异味。</w:t>
            </w:r>
            <w:r/>
          </w:p>
        </w:tc>
      </w:tr>
      <w:tr>
        <w:trPr>
          <w:cantSplit/>
          <w:jc w:val="center"/>
          <w:trHeight w:val="519"/>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top"/>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r>
            <w:r/>
          </w:p>
          <w:p>
            <w:pPr>
              <w:jc w:val="cente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r>
            <w:r/>
          </w:p>
          <w:p>
            <w:pPr>
              <w:jc w:val="cente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消灭鼠害</w:t>
            </w:r>
            <w:r/>
          </w:p>
          <w:p>
            <w:pPr>
              <w:jc w:val="cente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蚊蝇</w:t>
            </w:r>
            <w:r/>
          </w:p>
        </w:tc>
        <w:tc>
          <w:tcPr>
            <w:tcW w:w="7058" w:type="dxa"/>
            <w:vAlign w:val="center"/>
            <w:textDirection w:val="lrTb"/>
            <w:noWrap w:val="false"/>
          </w:tcPr>
          <w:p>
            <w:pPr>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每月至少对窨井、明沟、垃圾箱等喷洒药水一次，春夏季（4月、5月、6月、7月、8月）每月至少灭鼠一次，其余每季灭 鼠一次。消杀工作应在尽量不影响后勤使用人工作的前提下进行，如上班前、下班后或者利用节假日等；消杀使用的药剂应是有关部门发放或者是使用低毒高效的药剂，在消杀过程中注意做好个人防护。</w:t>
            </w:r>
            <w:r/>
          </w:p>
        </w:tc>
      </w:tr>
      <w:tr>
        <w:trPr>
          <w:cantSplit/>
          <w:jc w:val="center"/>
          <w:trHeight w:val="519"/>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地下停车场</w:t>
            </w:r>
            <w:r/>
          </w:p>
        </w:tc>
        <w:tc>
          <w:tcPr>
            <w:tcW w:w="7058"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每周至少清洗一次，保持地面清洁、无杂物、无水渍、无异味。</w:t>
            </w:r>
            <w:r/>
          </w:p>
        </w:tc>
      </w:tr>
      <w:tr>
        <w:trPr>
          <w:cantSplit/>
          <w:jc w:val="center"/>
          <w:trHeight w:val="574"/>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center"/>
            <w:textDirection w:val="lrTb"/>
            <w:noWrap w:val="false"/>
          </w:tcPr>
          <w:p>
            <w:pPr>
              <w:jc w:val="cente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道路、</w:t>
            </w:r>
            <w:r/>
          </w:p>
          <w:p>
            <w:pPr>
              <w:jc w:val="cente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路面、</w:t>
            </w:r>
            <w:r/>
          </w:p>
        </w:tc>
        <w:tc>
          <w:tcPr>
            <w:tcW w:w="7058"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每周至少两次对道路、路面、侧石、窨井盖等设施进行巡检。</w:t>
            </w:r>
            <w:r/>
          </w:p>
        </w:tc>
      </w:tr>
      <w:tr>
        <w:trPr>
          <w:cantSplit/>
          <w:jc w:val="center"/>
          <w:trHeight w:val="587"/>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center"/>
            <w:textDirection w:val="lrTb"/>
            <w:noWrap w:val="false"/>
          </w:tcPr>
          <w:p>
            <w:pPr>
              <w:jc w:val="cente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路沿石、窨井盖</w:t>
            </w:r>
            <w:r/>
          </w:p>
        </w:tc>
        <w:tc>
          <w:tcPr>
            <w:tcW w:w="7058"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发现损坏及时告知采购人。</w:t>
            </w:r>
            <w:r/>
          </w:p>
        </w:tc>
      </w:tr>
      <w:tr>
        <w:trPr>
          <w:cantSplit/>
          <w:jc w:val="center"/>
          <w:trHeight w:val="519"/>
        </w:trPr>
        <w:tc>
          <w:tcPr>
            <w:tcW w:w="641" w:type="dxa"/>
            <w:vAlign w:val="center"/>
            <w:vMerge w:val="continue"/>
            <w:textDirection w:val="lrTb"/>
            <w:noWrap w:val="false"/>
          </w:tcPr>
          <w:p>
            <w:pPr>
              <w:ind w:firstLine="0"/>
              <w:jc w:val="both"/>
              <w:keepLines w:val="0"/>
              <w:keepNext w:val="0"/>
              <w:pageBreakBefore w:val="0"/>
              <w:spacing w:line="400" w:lineRule="exact"/>
              <w:widowControl w:val="off"/>
              <w:rPr>
                <w:rFonts w:ascii="Times New Roman" w:hAnsi="Times New Roman" w:eastAsia="宋体" w:cs="Times New Roman"/>
                <w:sz w:val="21"/>
                <w:szCs w:val="21"/>
                <w:lang w:val="zh-CN" w:eastAsia="zh-CN" w:bidi="ar-SA"/>
              </w:rPr>
            </w:pPr>
            <w:r>
              <w:rPr>
                <w:rFonts w:ascii="Times New Roman" w:hAnsi="Times New Roman" w:eastAsia="宋体" w:cs="Times New Roman"/>
                <w:sz w:val="21"/>
                <w:szCs w:val="21"/>
                <w:lang w:val="zh-CN" w:eastAsia="zh-CN" w:bidi="ar-SA"/>
              </w:rPr>
            </w:r>
            <w:r/>
          </w:p>
        </w:tc>
        <w:tc>
          <w:tcPr>
            <w:tcW w:w="1065" w:type="dxa"/>
            <w:vAlign w:val="center"/>
            <w:vMerge w:val="continue"/>
            <w:textDirection w:val="lrTb"/>
            <w:noWrap w:val="false"/>
          </w:tcPr>
          <w:p>
            <w:pPr>
              <w:ind w:firstLine="0"/>
              <w:jc w:val="both"/>
              <w:keepLines w:val="0"/>
              <w:keepNext w:val="0"/>
              <w:pageBreakBefore w:val="0"/>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191" w:type="dxa"/>
            <w:vAlign w:val="top"/>
            <w:textDirection w:val="lrTb"/>
            <w:noWrap w:val="false"/>
          </w:tcPr>
          <w:p>
            <w:pPr>
              <w:jc w:val="cente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屋面泄水沟、楼外排水管道</w:t>
            </w:r>
            <w:r/>
          </w:p>
        </w:tc>
        <w:tc>
          <w:tcPr>
            <w:tcW w:w="7058" w:type="dxa"/>
            <w:vAlign w:val="center"/>
            <w:textDirection w:val="lrTb"/>
            <w:noWrap w:val="false"/>
          </w:tcPr>
          <w:p>
            <w:pPr>
              <w:spacing w:line="360" w:lineRule="exact"/>
              <w:widowControl/>
              <w:rPr>
                <w:rFonts w:hint="eastAsia" w:ascii="仿宋" w:hAnsi="仿宋" w:eastAsia="仿宋" w:cs="仿宋"/>
                <w:sz w:val="21"/>
                <w:szCs w:val="21"/>
                <w:lang w:val="en-US" w:eastAsia="zh-CN" w:bidi="ar-SA"/>
              </w:rPr>
            </w:pPr>
            <w:r>
              <w:rPr>
                <w:rFonts w:hint="eastAsia" w:ascii="仿宋" w:hAnsi="仿宋" w:eastAsia="仿宋" w:cs="仿宋"/>
                <w:szCs w:val="21"/>
                <w:lang w:val="en-US" w:eastAsia="zh-CN"/>
              </w:rPr>
              <w:t xml:space="preserve">每月至少两次对屋面泄水沟、楼外排水管道清扫、疏通；每周至少一次清扫明沟内的泥沙等垃圾。预计台风、暴雨天气到来前，应及时检查。</w:t>
            </w:r>
            <w:r/>
          </w:p>
        </w:tc>
      </w:tr>
    </w:tbl>
    <w:p>
      <w:pPr>
        <w:pStyle w:val="766"/>
        <w:rPr>
          <w:rFonts w:hint="eastAsia"/>
        </w:rPr>
      </w:pPr>
      <w:r>
        <w:rPr>
          <w:rFonts w:hint="eastAsia"/>
        </w:rPr>
      </w:r>
      <w:r/>
    </w:p>
    <w:p>
      <w:pPr>
        <w:pStyle w:val="765"/>
        <w:rPr>
          <w:rFonts w:hint="eastAsia" w:ascii="仿宋" w:hAnsi="仿宋" w:eastAsia="仿宋" w:cs="仿宋"/>
          <w:bCs/>
          <w:sz w:val="24"/>
        </w:rPr>
      </w:pPr>
      <w:r>
        <w:rPr>
          <w:rFonts w:hint="eastAsia" w:ascii="仿宋" w:hAnsi="仿宋" w:eastAsia="仿宋" w:cs="仿宋"/>
          <w:bCs/>
          <w:sz w:val="24"/>
        </w:rPr>
      </w:r>
      <w:r/>
    </w:p>
    <w:p>
      <w:pPr>
        <w:pStyle w:val="765"/>
        <w:rPr>
          <w:rFonts w:hint="eastAsia" w:ascii="仿宋" w:hAnsi="仿宋" w:eastAsia="仿宋" w:cs="仿宋"/>
          <w:b/>
          <w:bCs/>
          <w:sz w:val="24"/>
          <w:szCs w:val="24"/>
        </w:rPr>
      </w:pPr>
      <w:r>
        <w:rPr>
          <w:rFonts w:hint="eastAsia" w:ascii="仿宋" w:hAnsi="仿宋" w:eastAsia="仿宋" w:cs="仿宋"/>
          <w:b/>
          <w:bCs/>
          <w:sz w:val="24"/>
          <w:szCs w:val="24"/>
        </w:rPr>
        <w:t xml:space="preserve">3.5</w:t>
      </w:r>
      <w:r>
        <w:rPr>
          <w:rFonts w:hint="eastAsia" w:ascii="仿宋" w:hAnsi="仿宋" w:eastAsia="仿宋" w:cs="仿宋"/>
          <w:b/>
          <w:bCs/>
          <w:sz w:val="24"/>
          <w:szCs w:val="24"/>
          <w:lang w:val="en-US" w:eastAsia="zh-CN"/>
        </w:rPr>
        <w:t xml:space="preserve">水电工</w:t>
      </w:r>
      <w:r>
        <w:rPr>
          <w:rFonts w:hint="eastAsia" w:ascii="仿宋" w:hAnsi="仿宋" w:eastAsia="仿宋" w:cs="仿宋"/>
          <w:b/>
          <w:bCs/>
          <w:sz w:val="24"/>
          <w:szCs w:val="24"/>
        </w:rPr>
        <w:t xml:space="preserve">服务</w:t>
      </w:r>
      <w:r/>
    </w:p>
    <w:tbl>
      <w:tblPr>
        <w:tblStyle w:val="763"/>
        <w:tblpPr w:horzAnchor="page" w:tblpXSpec="center" w:vertAnchor="text" w:tblpY="466" w:leftFromText="180" w:topFromText="0" w:rightFromText="180" w:bottomFromText="0"/>
        <w:tblW w:w="53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022"/>
        <w:gridCol w:w="1231"/>
        <w:gridCol w:w="7061"/>
      </w:tblGrid>
      <w:tr>
        <w:trPr>
          <w:jc w:val="center"/>
          <w:trHeight w:val="454"/>
        </w:trPr>
        <w:tc>
          <w:tcPr>
            <w:tcW w:w="671"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1022"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服务内容</w:t>
            </w:r>
            <w:r/>
          </w:p>
        </w:tc>
        <w:tc>
          <w:tcPr>
            <w:gridSpan w:val="2"/>
            <w:tcW w:w="8292"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服务标准</w:t>
            </w:r>
            <w:r/>
          </w:p>
        </w:tc>
      </w:tr>
      <w:tr>
        <w:trPr>
          <w:cantSplit/>
          <w:jc w:val="center"/>
          <w:trHeight w:val="578"/>
        </w:trPr>
        <w:tc>
          <w:tcPr>
            <w:tcW w:w="671" w:type="dxa"/>
            <w:vAlign w:val="center"/>
            <w:vMerge w:val="restart"/>
            <w:textDirection w:val="lrTb"/>
            <w:noWrap w:val="false"/>
          </w:tcPr>
          <w:p>
            <w:pPr>
              <w:jc w:val="center"/>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w:t>
            </w:r>
            <w:r/>
          </w:p>
        </w:tc>
        <w:tc>
          <w:tcPr>
            <w:tcW w:w="1022" w:type="dxa"/>
            <w:vAlign w:val="center"/>
            <w:vMerge w:val="restart"/>
            <w:textDirection w:val="lrTb"/>
            <w:noWrap w:val="false"/>
          </w:tcPr>
          <w:p>
            <w:pPr>
              <w:spacing w:line="360" w:lineRule="exact"/>
              <w:widowControl/>
              <w:rPr>
                <w:rFonts w:hint="eastAsia" w:ascii="仿宋" w:hAnsi="仿宋" w:eastAsia="仿宋" w:cs="仿宋"/>
                <w:sz w:val="21"/>
                <w:szCs w:val="21"/>
              </w:rPr>
            </w:pPr>
            <w:r>
              <w:rPr>
                <w:rFonts w:hint="eastAsia" w:ascii="仿宋" w:hAnsi="仿宋" w:eastAsia="仿宋" w:cs="仿宋"/>
                <w:spacing w:val="-6"/>
                <w:sz w:val="21"/>
                <w:szCs w:val="21"/>
                <w:highlight w:val="none"/>
                <w:lang w:val="en-US" w:eastAsia="zh-CN"/>
              </w:rPr>
              <w:t xml:space="preserve">水电工</w:t>
            </w:r>
            <w:r/>
          </w:p>
        </w:tc>
        <w:tc>
          <w:tcPr>
            <w:tcW w:w="1231" w:type="dxa"/>
            <w:vAlign w:val="top"/>
            <w:vMerge w:val="restart"/>
            <w:textDirection w:val="lrTb"/>
            <w:noWrap w:val="false"/>
          </w:tcPr>
          <w:p>
            <w:pPr>
              <w:ind w:firstLine="420"/>
              <w:jc w:val="left"/>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420"/>
              <w:jc w:val="left"/>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right="120"/>
              <w:jc w:val="both"/>
              <w:spacing w:before="103" w:line="480" w:lineRule="exact"/>
              <w:rPr>
                <w:rFonts w:hint="eastAsia" w:ascii="仿宋" w:hAnsi="仿宋" w:eastAsia="仿宋" w:cs="仿宋"/>
                <w:spacing w:val="-6"/>
                <w:sz w:val="21"/>
                <w:szCs w:val="21"/>
                <w:highlight w:val="none"/>
                <w:lang w:val="en-US" w:eastAsia="zh-CN"/>
              </w:rPr>
            </w:pPr>
            <w:r>
              <w:rPr>
                <w:rFonts w:hint="eastAsia" w:ascii="仿宋" w:hAnsi="仿宋" w:eastAsia="仿宋" w:cs="仿宋"/>
                <w:spacing w:val="-6"/>
                <w:sz w:val="21"/>
                <w:szCs w:val="21"/>
                <w:highlight w:val="none"/>
                <w:lang w:val="en-US" w:eastAsia="zh-CN"/>
              </w:rPr>
            </w:r>
            <w:r/>
          </w:p>
          <w:p>
            <w:pPr>
              <w:ind w:right="120"/>
              <w:jc w:val="both"/>
              <w:spacing w:before="103" w:line="480" w:lineRule="exact"/>
              <w:rPr>
                <w:rFonts w:hint="eastAsia" w:ascii="仿宋" w:hAnsi="仿宋" w:eastAsia="仿宋" w:cs="仿宋"/>
                <w:spacing w:val="-6"/>
                <w:sz w:val="21"/>
                <w:szCs w:val="21"/>
                <w:highlight w:val="none"/>
                <w:lang w:val="en-US" w:eastAsia="zh-CN"/>
              </w:rPr>
            </w:pPr>
            <w:r>
              <w:rPr>
                <w:rFonts w:hint="eastAsia" w:ascii="仿宋" w:hAnsi="仿宋" w:eastAsia="仿宋" w:cs="仿宋"/>
                <w:spacing w:val="-6"/>
                <w:sz w:val="21"/>
                <w:szCs w:val="21"/>
                <w:highlight w:val="none"/>
                <w:lang w:val="en-US" w:eastAsia="zh-CN"/>
              </w:rPr>
            </w:r>
            <w:r/>
          </w:p>
          <w:p>
            <w:pPr>
              <w:ind w:right="120"/>
              <w:jc w:val="both"/>
              <w:spacing w:before="103" w:line="480" w:lineRule="exact"/>
              <w:rPr>
                <w:rFonts w:hint="eastAsia" w:ascii="仿宋" w:hAnsi="仿宋" w:eastAsia="仿宋" w:cs="仿宋"/>
                <w:sz w:val="21"/>
                <w:szCs w:val="21"/>
                <w:lang w:eastAsia="zh-CN"/>
              </w:rPr>
            </w:pPr>
            <w:r>
              <w:rPr>
                <w:rFonts w:hint="eastAsia" w:ascii="仿宋" w:hAnsi="仿宋" w:eastAsia="仿宋" w:cs="仿宋"/>
                <w:spacing w:val="-6"/>
                <w:sz w:val="21"/>
                <w:szCs w:val="21"/>
                <w:highlight w:val="none"/>
                <w:lang w:val="en-US" w:eastAsia="zh-CN"/>
              </w:rPr>
              <w:t xml:space="preserve">水电工服务要求</w:t>
            </w:r>
            <w:r/>
          </w:p>
        </w:tc>
        <w:tc>
          <w:tcPr>
            <w:tcW w:w="706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1、对校园内消防系统、供配电系统、给排水系统、照明及弱电系统和电子屏进行日常巡检，保证正常使用。</w:t>
            </w:r>
            <w:r/>
          </w:p>
        </w:tc>
      </w:tr>
      <w:tr>
        <w:trPr>
          <w:cantSplit/>
          <w:jc w:val="center"/>
          <w:trHeight w:val="1201"/>
        </w:trPr>
        <w:tc>
          <w:tcPr>
            <w:tcW w:w="671" w:type="dxa"/>
            <w:vAlign w:val="center"/>
            <w:vMerge w:val="continue"/>
            <w:textDirection w:val="lrTb"/>
            <w:noWrap w:val="false"/>
          </w:tcPr>
          <w:p>
            <w:pPr>
              <w:ind w:right="140"/>
              <w:jc w:val="left"/>
              <w:spacing w:before="11" w:line="480" w:lineRule="exact"/>
            </w:pPr>
            <w:r/>
            <w:r/>
          </w:p>
        </w:tc>
        <w:tc>
          <w:tcPr>
            <w:tcW w:w="1022" w:type="dxa"/>
            <w:vAlign w:val="center"/>
            <w:vMerge w:val="continue"/>
            <w:textDirection w:val="lrTb"/>
            <w:noWrap w:val="false"/>
          </w:tcPr>
          <w:p>
            <w:pPr>
              <w:ind w:right="140"/>
              <w:jc w:val="left"/>
              <w:spacing w:before="11" w:line="480" w:lineRule="exact"/>
            </w:pPr>
            <w:r/>
            <w:r/>
          </w:p>
        </w:tc>
        <w:tc>
          <w:tcPr>
            <w:tcW w:w="1231" w:type="dxa"/>
            <w:vAlign w:val="top"/>
            <w:vMerge w:val="continue"/>
            <w:textDirection w:val="lrTb"/>
            <w:noWrap w:val="false"/>
          </w:tcPr>
          <w:p>
            <w:pPr>
              <w:ind w:right="140"/>
              <w:jc w:val="left"/>
              <w:spacing w:before="11" w:line="480" w:lineRule="exact"/>
            </w:pPr>
            <w:r/>
            <w:r/>
          </w:p>
        </w:tc>
        <w:tc>
          <w:tcPr>
            <w:tcW w:w="706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2、建立健全设施设备台账，对供电范围内的电气设备定期巡视维护，加强高低压配电柜、配电箱、控制柜及线路等重点部位监测。每月不少于4次，并提供检查记录为准及问题清单。</w:t>
            </w:r>
            <w:r/>
          </w:p>
        </w:tc>
      </w:tr>
      <w:tr>
        <w:trPr>
          <w:cantSplit/>
          <w:jc w:val="center"/>
          <w:trHeight w:val="591"/>
        </w:trPr>
        <w:tc>
          <w:tcPr>
            <w:tcW w:w="671" w:type="dxa"/>
            <w:vAlign w:val="center"/>
            <w:vMerge w:val="continue"/>
            <w:textDirection w:val="lrTb"/>
            <w:noWrap w:val="false"/>
          </w:tcPr>
          <w:p>
            <w:pPr>
              <w:ind w:right="140"/>
              <w:jc w:val="left"/>
              <w:spacing w:before="11"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022" w:type="dxa"/>
            <w:vAlign w:val="center"/>
            <w:vMerge w:val="continue"/>
            <w:textDirection w:val="lrTb"/>
            <w:noWrap w:val="false"/>
          </w:tcPr>
          <w:p>
            <w:pPr>
              <w:ind w:right="140"/>
              <w:jc w:val="left"/>
              <w:spacing w:before="11"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231" w:type="dxa"/>
            <w:vAlign w:val="top"/>
            <w:vMerge w:val="continue"/>
            <w:textDirection w:val="lrTb"/>
            <w:noWrap w:val="false"/>
          </w:tcPr>
          <w:p>
            <w:pPr>
              <w:ind w:right="140"/>
              <w:jc w:val="left"/>
              <w:spacing w:before="11"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706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3、重大节假日及恶劣天气前后，组织系统巡检1次。</w:t>
            </w:r>
            <w:r/>
          </w:p>
        </w:tc>
      </w:tr>
      <w:tr>
        <w:trPr>
          <w:cantSplit/>
          <w:jc w:val="center"/>
          <w:trHeight w:val="1201"/>
        </w:trPr>
        <w:tc>
          <w:tcPr>
            <w:tcW w:w="671" w:type="dxa"/>
            <w:vAlign w:val="center"/>
            <w:vMerge w:val="continue"/>
            <w:textDirection w:val="lrTb"/>
            <w:noWrap w:val="false"/>
          </w:tcPr>
          <w:p>
            <w:pPr>
              <w:ind w:right="140"/>
              <w:jc w:val="left"/>
              <w:spacing w:before="11"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022" w:type="dxa"/>
            <w:vAlign w:val="center"/>
            <w:vMerge w:val="continue"/>
            <w:textDirection w:val="lrTb"/>
            <w:noWrap w:val="false"/>
          </w:tcPr>
          <w:p>
            <w:pPr>
              <w:ind w:right="140"/>
              <w:jc w:val="left"/>
              <w:spacing w:before="11"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231" w:type="dxa"/>
            <w:vAlign w:val="top"/>
            <w:vMerge w:val="continue"/>
            <w:textDirection w:val="lrTb"/>
            <w:noWrap w:val="false"/>
          </w:tcPr>
          <w:p>
            <w:pPr>
              <w:ind w:right="140"/>
              <w:jc w:val="left"/>
              <w:spacing w:before="11"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706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4、建立和完善有关规章制度，包括电气设备运行操作规程、安全操作规程、事故处理规程、巡视检查制度、维护制度、安全及交接班制度；工作人员具备变配电运行知识和技能，具备上岗资格，持有上岗证书；保持配电房清洁。</w:t>
            </w:r>
            <w:r/>
          </w:p>
        </w:tc>
      </w:tr>
      <w:tr>
        <w:trPr>
          <w:cantSplit/>
          <w:jc w:val="center"/>
          <w:trHeight w:val="812"/>
        </w:trPr>
        <w:tc>
          <w:tcPr>
            <w:tcW w:w="671" w:type="dxa"/>
            <w:vAlign w:val="center"/>
            <w:vMerge w:val="continue"/>
            <w:textDirection w:val="lrTb"/>
            <w:noWrap w:val="false"/>
          </w:tcPr>
          <w:p>
            <w:pPr>
              <w:ind w:right="140"/>
              <w:jc w:val="left"/>
              <w:spacing w:before="11"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022" w:type="dxa"/>
            <w:vAlign w:val="center"/>
            <w:vMerge w:val="continue"/>
            <w:textDirection w:val="lrTb"/>
            <w:noWrap w:val="false"/>
          </w:tcPr>
          <w:p>
            <w:pPr>
              <w:ind w:right="140"/>
              <w:jc w:val="left"/>
              <w:spacing w:before="11"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231" w:type="dxa"/>
            <w:vAlign w:val="top"/>
            <w:vMerge w:val="continue"/>
            <w:textDirection w:val="lrTb"/>
            <w:noWrap w:val="false"/>
          </w:tcPr>
          <w:p>
            <w:pPr>
              <w:ind w:right="140"/>
              <w:jc w:val="left"/>
              <w:spacing w:before="11"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706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5、正常检查变压器电压、电流互感器、断路器、隔离开关、高压熔断器及避雷器、配电箱、导线等供配电系统的运行状况，出现异常及时处理。</w:t>
            </w:r>
            <w:r/>
          </w:p>
        </w:tc>
      </w:tr>
      <w:tr>
        <w:trPr>
          <w:cantSplit/>
          <w:jc w:val="center"/>
          <w:trHeight w:val="1201"/>
        </w:trPr>
        <w:tc>
          <w:tcPr>
            <w:tcW w:w="671" w:type="dxa"/>
            <w:vAlign w:val="center"/>
            <w:vMerge w:val="continue"/>
            <w:textDirection w:val="lrTb"/>
            <w:noWrap w:val="false"/>
          </w:tcPr>
          <w:p>
            <w:pPr>
              <w:ind w:right="140"/>
              <w:jc w:val="left"/>
              <w:spacing w:before="11"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022" w:type="dxa"/>
            <w:vAlign w:val="center"/>
            <w:vMerge w:val="continue"/>
            <w:textDirection w:val="lrTb"/>
            <w:noWrap w:val="false"/>
          </w:tcPr>
          <w:p>
            <w:pPr>
              <w:ind w:right="140"/>
              <w:jc w:val="left"/>
              <w:spacing w:before="11"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231" w:type="dxa"/>
            <w:vAlign w:val="top"/>
            <w:vMerge w:val="continue"/>
            <w:textDirection w:val="lrTb"/>
            <w:noWrap w:val="false"/>
          </w:tcPr>
          <w:p>
            <w:pPr>
              <w:ind w:right="140"/>
              <w:jc w:val="left"/>
              <w:spacing w:before="11"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706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6、安全防范系统维护保养符合《安全防范系统维护保养规范》（GA/T 1081）的相关要求）。</w:t>
            </w:r>
            <w:r/>
          </w:p>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保证校园内等公共区域照明系统正常工作，发现问题及时更换。</w:t>
            </w:r>
            <w:r/>
          </w:p>
        </w:tc>
      </w:tr>
    </w:tbl>
    <w:p>
      <w:pPr>
        <w:pStyle w:val="766"/>
        <w:rPr>
          <w:rFonts w:hint="eastAsia"/>
        </w:rPr>
      </w:pPr>
      <w:r>
        <w:rPr>
          <w:rFonts w:hint="eastAsia"/>
        </w:rPr>
      </w:r>
      <w:r/>
    </w:p>
    <w:p>
      <w:pPr>
        <w:spacing w:line="480" w:lineRule="exact"/>
        <w:rPr>
          <w:rFonts w:hint="eastAsia" w:ascii="仿宋" w:hAnsi="仿宋" w:eastAsia="仿宋" w:cs="仿宋"/>
          <w:color w:val="000000"/>
          <w:sz w:val="24"/>
          <w:szCs w:val="24"/>
          <w:highlight w:val="none"/>
        </w:rPr>
      </w:pPr>
      <w:r>
        <w:rPr>
          <w:rFonts w:hint="eastAsia" w:ascii="仿宋" w:hAnsi="仿宋" w:eastAsia="仿宋" w:cs="仿宋"/>
          <w:b/>
          <w:bCs/>
          <w:spacing w:val="-6"/>
          <w:sz w:val="24"/>
          <w:szCs w:val="24"/>
          <w:highlight w:val="none"/>
          <w:lang w:val="en-US" w:eastAsia="zh-CN"/>
        </w:rPr>
        <w:t xml:space="preserve">3.6暖通工服务</w:t>
      </w:r>
      <w:r/>
    </w:p>
    <w:tbl>
      <w:tblPr>
        <w:tblStyle w:val="763"/>
        <w:tblpPr w:horzAnchor="page" w:tblpXSpec="center" w:vertAnchor="text" w:tblpY="466" w:leftFromText="180" w:topFromText="0" w:rightFromText="180" w:bottomFromText="0"/>
        <w:tblW w:w="53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118"/>
        <w:gridCol w:w="1220"/>
        <w:gridCol w:w="7061"/>
      </w:tblGrid>
      <w:tr>
        <w:trPr>
          <w:jc w:val="center"/>
          <w:trHeight w:val="454"/>
        </w:trPr>
        <w:tc>
          <w:tcPr>
            <w:tcW w:w="646"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1118"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服务内容</w:t>
            </w:r>
            <w:r/>
          </w:p>
        </w:tc>
        <w:tc>
          <w:tcPr>
            <w:gridSpan w:val="2"/>
            <w:tcW w:w="8281"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服务标准</w:t>
            </w:r>
            <w:r/>
          </w:p>
        </w:tc>
      </w:tr>
      <w:tr>
        <w:trPr>
          <w:cantSplit/>
          <w:jc w:val="center"/>
          <w:trHeight w:val="941"/>
        </w:trPr>
        <w:tc>
          <w:tcPr>
            <w:tcW w:w="646" w:type="dxa"/>
            <w:vAlign w:val="center"/>
            <w:vMerge w:val="restart"/>
            <w:textDirection w:val="lrTb"/>
            <w:noWrap w:val="false"/>
          </w:tcPr>
          <w:p>
            <w:pPr>
              <w:jc w:val="center"/>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w:t>
            </w:r>
            <w:r/>
          </w:p>
        </w:tc>
        <w:tc>
          <w:tcPr>
            <w:tcW w:w="1118" w:type="dxa"/>
            <w:vAlign w:val="top"/>
            <w:vMerge w:val="restart"/>
            <w:textDirection w:val="lrTb"/>
            <w:noWrap w:val="false"/>
          </w:tcPr>
          <w:p>
            <w:pPr>
              <w:ind w:right="135"/>
              <w:jc w:val="center"/>
              <w:spacing w:before="103" w:line="480" w:lineRule="exact"/>
              <w:rPr>
                <w:rFonts w:hint="eastAsia" w:ascii="仿宋" w:hAnsi="仿宋" w:eastAsia="仿宋" w:cs="仿宋"/>
                <w:spacing w:val="-6"/>
                <w:sz w:val="21"/>
                <w:szCs w:val="21"/>
                <w:highlight w:val="none"/>
                <w:lang w:val="en-US" w:eastAsia="zh-CN"/>
              </w:rPr>
            </w:pPr>
            <w:r>
              <w:rPr>
                <w:rFonts w:hint="eastAsia" w:ascii="仿宋" w:hAnsi="仿宋" w:eastAsia="仿宋" w:cs="仿宋"/>
                <w:spacing w:val="-6"/>
                <w:sz w:val="21"/>
                <w:szCs w:val="21"/>
                <w:highlight w:val="none"/>
                <w:lang w:val="en-US" w:eastAsia="zh-CN"/>
              </w:rPr>
            </w:r>
            <w:r/>
          </w:p>
          <w:p>
            <w:pPr>
              <w:ind w:right="135"/>
              <w:jc w:val="center"/>
              <w:spacing w:before="103" w:line="480" w:lineRule="exact"/>
              <w:rPr>
                <w:rFonts w:hint="eastAsia" w:ascii="仿宋" w:hAnsi="仿宋" w:eastAsia="仿宋" w:cs="仿宋"/>
                <w:spacing w:val="-6"/>
                <w:sz w:val="21"/>
                <w:szCs w:val="21"/>
                <w:highlight w:val="none"/>
                <w:lang w:val="en-US" w:eastAsia="zh-CN"/>
              </w:rPr>
            </w:pPr>
            <w:r>
              <w:rPr>
                <w:rFonts w:hint="eastAsia" w:ascii="仿宋" w:hAnsi="仿宋" w:eastAsia="仿宋" w:cs="仿宋"/>
                <w:spacing w:val="-6"/>
                <w:sz w:val="21"/>
                <w:szCs w:val="21"/>
                <w:highlight w:val="none"/>
                <w:lang w:val="en-US" w:eastAsia="zh-CN"/>
              </w:rPr>
            </w:r>
            <w:r/>
          </w:p>
          <w:p>
            <w:pPr>
              <w:ind w:right="135"/>
              <w:jc w:val="center"/>
              <w:spacing w:before="103" w:line="480" w:lineRule="exact"/>
              <w:rPr>
                <w:rFonts w:hint="eastAsia" w:ascii="仿宋" w:hAnsi="仿宋" w:eastAsia="仿宋" w:cs="仿宋"/>
                <w:spacing w:val="-6"/>
                <w:sz w:val="21"/>
                <w:szCs w:val="21"/>
                <w:highlight w:val="none"/>
                <w:lang w:val="en-US" w:eastAsia="zh-CN"/>
              </w:rPr>
            </w:pPr>
            <w:r>
              <w:rPr>
                <w:rFonts w:hint="eastAsia" w:ascii="仿宋" w:hAnsi="仿宋" w:eastAsia="仿宋" w:cs="仿宋"/>
                <w:spacing w:val="-6"/>
                <w:sz w:val="21"/>
                <w:szCs w:val="21"/>
                <w:highlight w:val="none"/>
                <w:lang w:val="en-US" w:eastAsia="zh-CN"/>
              </w:rPr>
            </w:r>
            <w:r/>
          </w:p>
          <w:p>
            <w:pPr>
              <w:ind w:right="135"/>
              <w:jc w:val="center"/>
              <w:spacing w:before="103" w:line="480" w:lineRule="exact"/>
              <w:rPr>
                <w:rFonts w:hint="eastAsia" w:ascii="仿宋" w:hAnsi="仿宋" w:eastAsia="仿宋" w:cs="仿宋"/>
                <w:sz w:val="21"/>
                <w:szCs w:val="21"/>
              </w:rPr>
            </w:pPr>
            <w:r>
              <w:rPr>
                <w:rFonts w:hint="eastAsia" w:ascii="仿宋" w:hAnsi="仿宋" w:eastAsia="仿宋" w:cs="仿宋"/>
                <w:spacing w:val="-6"/>
                <w:sz w:val="21"/>
                <w:szCs w:val="21"/>
                <w:highlight w:val="none"/>
                <w:lang w:val="en-US" w:eastAsia="zh-CN"/>
              </w:rPr>
              <w:t xml:space="preserve">暖通工</w:t>
            </w:r>
            <w:r/>
          </w:p>
        </w:tc>
        <w:tc>
          <w:tcPr>
            <w:tcW w:w="1220" w:type="dxa"/>
            <w:vAlign w:val="top"/>
            <w:vMerge w:val="restart"/>
            <w:textDirection w:val="lrTb"/>
            <w:noWrap w:val="false"/>
          </w:tcPr>
          <w:p>
            <w:pPr>
              <w:ind w:right="135"/>
              <w:jc w:val="center"/>
              <w:spacing w:before="103" w:line="480" w:lineRule="exact"/>
              <w:rPr>
                <w:rFonts w:hint="eastAsia" w:ascii="仿宋" w:hAnsi="仿宋" w:eastAsia="仿宋" w:cs="仿宋"/>
                <w:spacing w:val="-6"/>
                <w:sz w:val="21"/>
                <w:szCs w:val="21"/>
                <w:highlight w:val="none"/>
                <w:lang w:val="en-US" w:eastAsia="zh-CN"/>
              </w:rPr>
            </w:pPr>
            <w:r>
              <w:rPr>
                <w:rFonts w:hint="eastAsia" w:ascii="仿宋" w:hAnsi="仿宋" w:eastAsia="仿宋" w:cs="仿宋"/>
                <w:spacing w:val="-6"/>
                <w:sz w:val="21"/>
                <w:szCs w:val="21"/>
                <w:highlight w:val="none"/>
                <w:lang w:val="en-US" w:eastAsia="zh-CN"/>
              </w:rPr>
            </w:r>
            <w:r/>
          </w:p>
          <w:p>
            <w:pPr>
              <w:ind w:right="135"/>
              <w:jc w:val="center"/>
              <w:spacing w:before="103" w:line="480" w:lineRule="exact"/>
              <w:rPr>
                <w:rFonts w:hint="eastAsia" w:ascii="仿宋" w:hAnsi="仿宋" w:eastAsia="仿宋" w:cs="仿宋"/>
                <w:spacing w:val="-6"/>
                <w:sz w:val="21"/>
                <w:szCs w:val="21"/>
                <w:highlight w:val="none"/>
                <w:lang w:val="en-US" w:eastAsia="zh-CN"/>
              </w:rPr>
            </w:pPr>
            <w:r>
              <w:rPr>
                <w:rFonts w:hint="eastAsia" w:ascii="仿宋" w:hAnsi="仿宋" w:eastAsia="仿宋" w:cs="仿宋"/>
                <w:spacing w:val="-6"/>
                <w:sz w:val="21"/>
                <w:szCs w:val="21"/>
                <w:highlight w:val="none"/>
                <w:lang w:val="en-US" w:eastAsia="zh-CN"/>
              </w:rPr>
            </w:r>
            <w:r/>
          </w:p>
          <w:p>
            <w:pPr>
              <w:ind w:right="135"/>
              <w:jc w:val="center"/>
              <w:spacing w:before="103" w:line="480" w:lineRule="exact"/>
              <w:rPr>
                <w:rFonts w:hint="eastAsia" w:ascii="仿宋" w:hAnsi="仿宋" w:eastAsia="仿宋" w:cs="仿宋"/>
                <w:spacing w:val="-6"/>
                <w:sz w:val="21"/>
                <w:szCs w:val="21"/>
                <w:highlight w:val="none"/>
                <w:lang w:val="en-US" w:eastAsia="zh-CN"/>
              </w:rPr>
            </w:pPr>
            <w:r>
              <w:rPr>
                <w:rFonts w:hint="eastAsia" w:ascii="仿宋" w:hAnsi="仿宋" w:eastAsia="仿宋" w:cs="仿宋"/>
                <w:spacing w:val="-6"/>
                <w:sz w:val="21"/>
                <w:szCs w:val="21"/>
                <w:highlight w:val="none"/>
                <w:lang w:val="en-US" w:eastAsia="zh-CN"/>
              </w:rPr>
            </w:r>
            <w:r/>
          </w:p>
          <w:p>
            <w:pPr>
              <w:ind w:right="135"/>
              <w:jc w:val="center"/>
              <w:spacing w:before="103" w:line="480" w:lineRule="exact"/>
              <w:rPr>
                <w:rFonts w:hint="eastAsia" w:ascii="仿宋" w:hAnsi="仿宋" w:eastAsia="仿宋" w:cs="仿宋"/>
                <w:sz w:val="21"/>
                <w:szCs w:val="21"/>
                <w:lang w:eastAsia="zh-CN"/>
              </w:rPr>
            </w:pPr>
            <w:r>
              <w:rPr>
                <w:rFonts w:hint="eastAsia" w:ascii="仿宋" w:hAnsi="仿宋" w:eastAsia="仿宋" w:cs="仿宋"/>
                <w:spacing w:val="-6"/>
                <w:sz w:val="21"/>
                <w:szCs w:val="21"/>
                <w:highlight w:val="none"/>
                <w:lang w:val="en-US" w:eastAsia="zh-CN"/>
              </w:rPr>
              <w:t xml:space="preserve">暖通工服务要求</w:t>
            </w:r>
            <w:r/>
          </w:p>
        </w:tc>
        <w:tc>
          <w:tcPr>
            <w:tcW w:w="706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1、负责校园内暖气、供水、排水等水暖系统及设备（如锅炉、管道、阀门）的日常巡检、定期维护，记录设备运行状态，预防故障发生。</w:t>
            </w:r>
            <w:r/>
          </w:p>
        </w:tc>
      </w:tr>
      <w:tr>
        <w:trPr>
          <w:cantSplit/>
          <w:jc w:val="center"/>
          <w:trHeight w:val="1152"/>
        </w:trPr>
        <w:tc>
          <w:tcPr>
            <w:tcW w:w="646" w:type="dxa"/>
            <w:vAlign w:val="center"/>
            <w:vMerge w:val="continue"/>
            <w:textDirection w:val="lrTb"/>
            <w:noWrap w:val="false"/>
          </w:tcPr>
          <w:p>
            <w:pPr>
              <w:spacing w:line="480" w:lineRule="exact"/>
            </w:pPr>
            <w:r/>
            <w:r/>
          </w:p>
        </w:tc>
        <w:tc>
          <w:tcPr>
            <w:tcW w:w="1118" w:type="dxa"/>
            <w:vAlign w:val="top"/>
            <w:vMerge w:val="continue"/>
            <w:textDirection w:val="lrTb"/>
            <w:noWrap w:val="false"/>
          </w:tcPr>
          <w:p>
            <w:pPr>
              <w:spacing w:line="480" w:lineRule="exact"/>
            </w:pPr>
            <w:r/>
            <w:r/>
          </w:p>
        </w:tc>
        <w:tc>
          <w:tcPr>
            <w:tcW w:w="1220" w:type="dxa"/>
            <w:vAlign w:val="top"/>
            <w:vMerge w:val="continue"/>
            <w:textDirection w:val="lrTb"/>
            <w:noWrap w:val="false"/>
          </w:tcPr>
          <w:p>
            <w:pPr>
              <w:spacing w:line="480" w:lineRule="exact"/>
            </w:pPr>
            <w:r/>
            <w:r/>
          </w:p>
        </w:tc>
        <w:tc>
          <w:tcPr>
            <w:tcW w:w="706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2、</w:t>
            </w:r>
            <w:r>
              <w:rPr>
                <w:rFonts w:hint="eastAsia" w:ascii="仿宋" w:hAnsi="仿宋" w:eastAsia="仿宋" w:cs="仿宋"/>
                <w:szCs w:val="21"/>
              </w:rPr>
              <w:t xml:space="preserve">对供暖系统(如锅炉、地暖/暖气片末端)进行日常保养，比如冬季供暖前排气、检查压力，夏季停暖后放水、除锈;对热水系统定期清洁、调试温度。</w:t>
            </w:r>
            <w:r/>
          </w:p>
        </w:tc>
      </w:tr>
      <w:tr>
        <w:trPr>
          <w:cantSplit/>
          <w:jc w:val="center"/>
          <w:trHeight w:val="1152"/>
        </w:trPr>
        <w:tc>
          <w:tcPr>
            <w:tcW w:w="646" w:type="dxa"/>
            <w:vAlign w:val="center"/>
            <w:vMerge w:val="continue"/>
            <w:textDirection w:val="lrTb"/>
            <w:noWrap w:val="false"/>
          </w:tcPr>
          <w:p>
            <w:pPr>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118" w:type="dxa"/>
            <w:vAlign w:val="top"/>
            <w:vMerge w:val="continue"/>
            <w:textDirection w:val="lrTb"/>
            <w:noWrap w:val="false"/>
          </w:tcPr>
          <w:p>
            <w:pPr>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220" w:type="dxa"/>
            <w:vAlign w:val="top"/>
            <w:vMerge w:val="continue"/>
            <w:textDirection w:val="lrTb"/>
            <w:noWrap w:val="false"/>
          </w:tcPr>
          <w:p>
            <w:pPr>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706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3、建立并更新水暖设备台账（含型号、安装时间、维修记录），定期提交设备运行报告、维护计划及耗材需求，为校园水暖系统升级或改造提供数据支持，每月不少于2次，并提供检查记录为准及问题清单。</w:t>
            </w:r>
            <w:r/>
          </w:p>
        </w:tc>
      </w:tr>
      <w:tr>
        <w:trPr>
          <w:cantSplit/>
          <w:jc w:val="center"/>
          <w:trHeight w:val="852"/>
        </w:trPr>
        <w:tc>
          <w:tcPr>
            <w:tcW w:w="646" w:type="dxa"/>
            <w:vAlign w:val="center"/>
            <w:vMerge w:val="continue"/>
            <w:textDirection w:val="lrTb"/>
            <w:noWrap w:val="false"/>
          </w:tcPr>
          <w:p>
            <w:pPr>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118" w:type="dxa"/>
            <w:vAlign w:val="top"/>
            <w:vMerge w:val="continue"/>
            <w:textDirection w:val="lrTb"/>
            <w:noWrap w:val="false"/>
          </w:tcPr>
          <w:p>
            <w:pPr>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220" w:type="dxa"/>
            <w:vAlign w:val="top"/>
            <w:vMerge w:val="continue"/>
            <w:textDirection w:val="lrTb"/>
            <w:noWrap w:val="false"/>
          </w:tcPr>
          <w:p>
            <w:pPr>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706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4、快速响应水暖系统故障（如管道漏水、暖气不热、下水道堵塞），及时排查并维修，紧急情况下制定应急方案，保障师生正常用水、取暖。</w:t>
            </w:r>
            <w:r/>
          </w:p>
        </w:tc>
      </w:tr>
      <w:tr>
        <w:trPr>
          <w:cantSplit/>
          <w:jc w:val="center"/>
          <w:trHeight w:val="839"/>
        </w:trPr>
        <w:tc>
          <w:tcPr>
            <w:tcW w:w="646" w:type="dxa"/>
            <w:vAlign w:val="center"/>
            <w:vMerge w:val="continue"/>
            <w:textDirection w:val="lrTb"/>
            <w:noWrap w:val="false"/>
          </w:tcPr>
          <w:p>
            <w:pPr>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118" w:type="dxa"/>
            <w:vAlign w:val="top"/>
            <w:vMerge w:val="continue"/>
            <w:textDirection w:val="lrTb"/>
            <w:noWrap w:val="false"/>
          </w:tcPr>
          <w:p>
            <w:pPr>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220" w:type="dxa"/>
            <w:vAlign w:val="top"/>
            <w:vMerge w:val="continue"/>
            <w:textDirection w:val="lrTb"/>
            <w:noWrap w:val="false"/>
          </w:tcPr>
          <w:p>
            <w:pPr>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7061" w:type="dxa"/>
            <w:vAlign w:val="center"/>
            <w:textDirection w:val="lrTb"/>
            <w:noWrap w:val="false"/>
          </w:tcPr>
          <w:p>
            <w:pPr>
              <w:spacing w:line="360" w:lineRule="exact"/>
              <w:widowControl/>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5、校内</w:t>
            </w:r>
            <w:r>
              <w:rPr>
                <w:rFonts w:hint="eastAsia" w:ascii="仿宋" w:hAnsi="仿宋" w:eastAsia="仿宋" w:cs="仿宋"/>
                <w:szCs w:val="21"/>
                <w:lang w:val="en-US" w:eastAsia="zh-Hans"/>
              </w:rPr>
              <w:t xml:space="preserve">其</w:t>
            </w:r>
            <w:r>
              <w:rPr>
                <w:rFonts w:hint="eastAsia" w:ascii="仿宋" w:hAnsi="仿宋" w:eastAsia="仿宋" w:cs="仿宋"/>
                <w:szCs w:val="21"/>
                <w:lang w:val="en-US" w:eastAsia="zh-CN"/>
              </w:rPr>
              <w:t xml:space="preserve">它的小型维修，</w:t>
            </w:r>
            <w:r>
              <w:rPr>
                <w:rFonts w:hint="eastAsia" w:ascii="仿宋" w:hAnsi="仿宋" w:eastAsia="仿宋" w:cs="仿宋"/>
                <w:szCs w:val="21"/>
                <w:lang w:val="en-US" w:eastAsia="zh-Hans"/>
              </w:rPr>
              <w:t xml:space="preserve">包括但不限于</w:t>
            </w:r>
            <w:r>
              <w:rPr>
                <w:rFonts w:hint="eastAsia" w:ascii="仿宋" w:hAnsi="仿宋" w:eastAsia="仿宋" w:cs="仿宋"/>
                <w:szCs w:val="21"/>
                <w:lang w:val="en-US" w:eastAsia="zh-CN"/>
              </w:rPr>
              <w:t xml:space="preserve">空调管理维修，课桌椅、门窗维修等。</w:t>
            </w:r>
            <w:r/>
          </w:p>
        </w:tc>
      </w:tr>
    </w:tbl>
    <w:p>
      <w:pPr>
        <w:pStyle w:val="767"/>
        <w:ind w:left="0" w:firstLine="0"/>
        <w:rPr>
          <w:rFonts w:hint="eastAsia"/>
        </w:rPr>
      </w:pPr>
      <w:r>
        <w:rPr>
          <w:rFonts w:hint="eastAsia"/>
        </w:rPr>
      </w:r>
      <w:r/>
    </w:p>
    <w:p>
      <w:pPr>
        <w:pStyle w:val="765"/>
        <w:rPr>
          <w:rFonts w:hint="eastAsia" w:ascii="仿宋" w:hAnsi="仿宋" w:eastAsia="仿宋" w:cs="仿宋"/>
          <w:bCs/>
          <w:sz w:val="24"/>
        </w:rPr>
      </w:pPr>
      <w:r>
        <w:rPr>
          <w:rFonts w:hint="eastAsia" w:ascii="仿宋" w:hAnsi="仿宋" w:eastAsia="仿宋" w:cs="仿宋"/>
          <w:bCs/>
          <w:sz w:val="24"/>
        </w:rPr>
      </w:r>
      <w:r/>
    </w:p>
    <w:p>
      <w:pPr>
        <w:pStyle w:val="766"/>
      </w:pPr>
      <w:r/>
      <w:r/>
    </w:p>
    <w:p>
      <w:pPr>
        <w:spacing w:line="400" w:lineRule="exact"/>
        <w:rPr>
          <w:rFonts w:hint="eastAsia" w:ascii="仿宋" w:hAnsi="仿宋" w:eastAsia="仿宋" w:cs="仿宋"/>
          <w:b/>
          <w:bCs/>
          <w:color w:val="000000"/>
          <w:sz w:val="24"/>
        </w:rPr>
      </w:pPr>
      <w:r>
        <w:rPr>
          <w:rFonts w:hint="eastAsia" w:ascii="仿宋" w:hAnsi="仿宋" w:eastAsia="仿宋" w:cs="仿宋"/>
          <w:b/>
          <w:bCs/>
          <w:color w:val="000000"/>
          <w:sz w:val="24"/>
        </w:rPr>
      </w:r>
      <w:r/>
    </w:p>
    <w:p>
      <w:pPr>
        <w:pStyle w:val="125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 xml:space="preserve">四、物业管理服务人员要求</w:t>
      </w:r>
      <w:r/>
    </w:p>
    <w:p>
      <w:pPr>
        <w:spacing w:line="500" w:lineRule="exact"/>
        <w:rPr>
          <w:rFonts w:hint="eastAsia" w:ascii="仿宋" w:hAnsi="仿宋" w:eastAsia="仿宋" w:cs="仿宋"/>
          <w:b/>
          <w:bCs/>
          <w:i/>
          <w:iCs/>
          <w:color w:val="000000"/>
          <w:sz w:val="24"/>
          <w:szCs w:val="24"/>
        </w:rPr>
      </w:pPr>
      <w:r>
        <w:rPr>
          <w:rFonts w:hint="eastAsia" w:ascii="仿宋" w:hAnsi="仿宋" w:eastAsia="仿宋" w:cs="仿宋"/>
          <w:b/>
          <w:bCs/>
          <w:i/>
          <w:iCs/>
          <w:color w:val="000000"/>
          <w:sz w:val="24"/>
          <w:szCs w:val="24"/>
        </w:rPr>
        <w:t xml:space="preserve">以下人员配备为最低要求，不接受负偏离，投标文件中提供全部响应要求的承诺函电子件（加盖公章，承诺函格式附后），否则按无效标处理。</w:t>
      </w:r>
      <w:r/>
    </w:p>
    <w:tbl>
      <w:tblPr>
        <w:tblStyle w:val="763"/>
        <w:tblW w:w="10020" w:type="dxa"/>
        <w:tblInd w:w="-3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1719"/>
        <w:gridCol w:w="1290"/>
        <w:gridCol w:w="5970"/>
      </w:tblGrid>
      <w:tr>
        <w:trPr>
          <w:trHeight w:val="380"/>
        </w:trPr>
        <w:tc>
          <w:tcPr>
            <w:tcW w:w="1041" w:type="dxa"/>
            <w:vAlign w:val="center"/>
            <w:textDirection w:val="lrTb"/>
            <w:noWrap w:val="false"/>
          </w:tcPr>
          <w:p>
            <w:pPr>
              <w:jc w:val="center"/>
              <w:spacing w:line="400" w:lineRule="exact"/>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序号</w:t>
            </w:r>
            <w:r/>
          </w:p>
        </w:tc>
        <w:tc>
          <w:tcPr>
            <w:tcW w:w="1719" w:type="dxa"/>
            <w:vAlign w:val="center"/>
            <w:textDirection w:val="lrTb"/>
            <w:noWrap w:val="false"/>
          </w:tcPr>
          <w:p>
            <w:pPr>
              <w:jc w:val="center"/>
              <w:spacing w:line="400" w:lineRule="exact"/>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岗位</w:t>
            </w:r>
            <w:r/>
          </w:p>
        </w:tc>
        <w:tc>
          <w:tcPr>
            <w:tcW w:w="1290" w:type="dxa"/>
            <w:vAlign w:val="center"/>
            <w:textDirection w:val="lrTb"/>
            <w:noWrap w:val="false"/>
          </w:tcPr>
          <w:p>
            <w:pPr>
              <w:jc w:val="center"/>
              <w:spacing w:line="400" w:lineRule="exact"/>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岗位所需总人数</w:t>
            </w:r>
            <w:r/>
          </w:p>
        </w:tc>
        <w:tc>
          <w:tcPr>
            <w:tcW w:w="5970" w:type="dxa"/>
            <w:vAlign w:val="center"/>
            <w:textDirection w:val="lrTb"/>
            <w:noWrap w:val="false"/>
          </w:tcPr>
          <w:p>
            <w:pPr>
              <w:jc w:val="center"/>
              <w:spacing w:line="40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Cs w:val="21"/>
              </w:rPr>
              <w:t xml:space="preserve">相关要求</w:t>
            </w:r>
            <w:r/>
          </w:p>
        </w:tc>
      </w:tr>
      <w:tr>
        <w:trPr>
          <w:trHeight w:val="1100"/>
        </w:trPr>
        <w:tc>
          <w:tcPr>
            <w:tcW w:w="1041" w:type="dxa"/>
            <w:vAlign w:val="center"/>
            <w:textDirection w:val="lrTb"/>
            <w:noWrap/>
          </w:tcPr>
          <w:p>
            <w:pPr>
              <w:jc w:val="center"/>
              <w:spacing w:line="400" w:lineRule="exact"/>
              <w:widowControl/>
              <w:rPr>
                <w:rFonts w:hint="eastAsia" w:ascii="仿宋" w:hAnsi="仿宋" w:eastAsia="仿宋" w:cs="仿宋"/>
                <w:color w:val="000000"/>
              </w:rPr>
            </w:pPr>
            <w:r>
              <w:rPr>
                <w:rFonts w:hint="eastAsia" w:ascii="仿宋" w:hAnsi="仿宋" w:eastAsia="仿宋" w:cs="仿宋"/>
                <w:bCs/>
                <w:color w:val="000000"/>
                <w:szCs w:val="24"/>
                <w:lang w:val="en-US" w:eastAsia="zh-CN"/>
              </w:rPr>
              <w:t xml:space="preserve">1</w:t>
            </w:r>
            <w:r/>
          </w:p>
        </w:tc>
        <w:tc>
          <w:tcPr>
            <w:tcW w:w="1719" w:type="dxa"/>
            <w:vAlign w:val="center"/>
            <w:textDirection w:val="lrTb"/>
            <w:noWrap/>
          </w:tcPr>
          <w:p>
            <w:pPr>
              <w:jc w:val="center"/>
              <w:spacing w:line="400" w:lineRule="exact"/>
              <w:widowControl/>
              <w:rPr>
                <w:rFonts w:eastAsia="仿宋"/>
                <w:sz w:val="24"/>
                <w:lang w:val="en-US"/>
              </w:rPr>
            </w:pPr>
            <w:r>
              <w:rPr>
                <w:rFonts w:hint="eastAsia" w:ascii="仿宋" w:hAnsi="仿宋" w:eastAsia="仿宋" w:cs="仿宋"/>
                <w:bCs/>
                <w:color w:val="000000"/>
                <w:szCs w:val="24"/>
                <w:lang w:val="en-US" w:eastAsia="zh-CN"/>
              </w:rPr>
              <w:t xml:space="preserve">保洁员</w:t>
            </w:r>
            <w:r/>
          </w:p>
        </w:tc>
        <w:tc>
          <w:tcPr>
            <w:tcW w:w="1290" w:type="dxa"/>
            <w:vAlign w:val="center"/>
            <w:textDirection w:val="lrTb"/>
            <w:noWrap/>
          </w:tcPr>
          <w:p>
            <w:pPr>
              <w:jc w:val="center"/>
              <w:keepLines w:val="0"/>
              <w:keepNext w:val="0"/>
              <w:pageBreakBefore w:val="0"/>
              <w:spacing w:line="560" w:lineRule="exact"/>
              <w:widowControl w:val="off"/>
              <w:rPr>
                <w:rFonts w:hint="eastAsia" w:ascii="仿宋" w:hAnsi="仿宋" w:eastAsia="仿宋" w:cs="仿宋"/>
                <w:color w:val="000000"/>
              </w:rPr>
            </w:pPr>
            <w:r>
              <w:rPr>
                <w:rFonts w:hint="eastAsia" w:ascii="仿宋" w:hAnsi="仿宋" w:eastAsia="仿宋" w:cs="仿宋"/>
                <w:b w:val="0"/>
                <w:color w:val="auto"/>
                <w:sz w:val="24"/>
                <w:szCs w:val="24"/>
                <w:highlight w:val="none"/>
                <w:lang w:val="en-US" w:eastAsia="zh-CN" w:bidi="ar-SA"/>
              </w:rPr>
              <w:t xml:space="preserve">9</w:t>
            </w:r>
            <w:r/>
          </w:p>
        </w:tc>
        <w:tc>
          <w:tcPr>
            <w:tcW w:w="5970" w:type="dxa"/>
            <w:vAlign w:val="center"/>
            <w:textDirection w:val="lrTb"/>
            <w:noWrap/>
          </w:tcPr>
          <w:p>
            <w:pPr>
              <w:jc w:val="left"/>
              <w:spacing w:line="400" w:lineRule="exact"/>
              <w:widowControl/>
              <w:rPr>
                <w:rFonts w:hint="eastAsia" w:ascii="仿宋" w:hAnsi="仿宋" w:eastAsia="仿宋" w:cs="仿宋"/>
                <w:bCs/>
                <w:color w:val="000000"/>
                <w:szCs w:val="24"/>
              </w:rPr>
            </w:pPr>
            <w:r>
              <w:rPr>
                <w:rFonts w:hint="eastAsia" w:ascii="仿宋" w:hAnsi="仿宋" w:eastAsia="仿宋" w:cs="仿宋"/>
                <w:bCs/>
                <w:color w:val="000000"/>
                <w:szCs w:val="24"/>
              </w:rPr>
              <w:t xml:space="preserve">男 6</w:t>
            </w:r>
            <w:r>
              <w:rPr>
                <w:rFonts w:hint="eastAsia" w:ascii="仿宋" w:hAnsi="仿宋" w:eastAsia="仿宋" w:cs="仿宋"/>
                <w:bCs/>
                <w:color w:val="000000"/>
                <w:szCs w:val="24"/>
                <w:lang w:val="en-US" w:eastAsia="zh-CN"/>
              </w:rPr>
              <w:t xml:space="preserve">5</w:t>
            </w:r>
            <w:r>
              <w:rPr>
                <w:rFonts w:hint="eastAsia" w:ascii="仿宋" w:hAnsi="仿宋" w:eastAsia="仿宋" w:cs="仿宋"/>
                <w:bCs/>
                <w:color w:val="000000"/>
                <w:szCs w:val="24"/>
              </w:rPr>
              <w:t xml:space="preserve">周岁（含）以下、女 5</w:t>
            </w:r>
            <w:r>
              <w:rPr>
                <w:rFonts w:hint="eastAsia" w:ascii="仿宋" w:hAnsi="仿宋" w:eastAsia="仿宋" w:cs="仿宋"/>
                <w:bCs/>
                <w:color w:val="000000"/>
                <w:szCs w:val="24"/>
                <w:lang w:val="en-US" w:eastAsia="zh-CN"/>
              </w:rPr>
              <w:t xml:space="preserve">5</w:t>
            </w:r>
            <w:r>
              <w:rPr>
                <w:rFonts w:hint="eastAsia" w:ascii="仿宋" w:hAnsi="仿宋" w:eastAsia="仿宋" w:cs="仿宋"/>
                <w:bCs/>
                <w:color w:val="000000"/>
                <w:szCs w:val="24"/>
              </w:rPr>
              <w:t xml:space="preserve">周岁（含）以下女 </w:t>
            </w:r>
            <w:r>
              <w:rPr>
                <w:rFonts w:hint="eastAsia" w:ascii="仿宋" w:hAnsi="仿宋" w:eastAsia="仿宋" w:cs="仿宋"/>
                <w:bCs/>
                <w:color w:val="000000"/>
                <w:szCs w:val="24"/>
                <w:lang w:eastAsia="zh-CN"/>
              </w:rPr>
              <w:t xml:space="preserve">，</w:t>
            </w:r>
            <w:r>
              <w:rPr>
                <w:rFonts w:hint="eastAsia" w:ascii="仿宋" w:hAnsi="仿宋" w:eastAsia="仿宋" w:cs="仿宋"/>
                <w:bCs/>
                <w:color w:val="000000"/>
                <w:szCs w:val="24"/>
              </w:rPr>
              <w:t xml:space="preserve">有吃苦耐劳精神，责任心强。</w:t>
            </w:r>
            <w:r>
              <w:rPr>
                <w:rFonts w:hint="eastAsia" w:ascii="仿宋" w:hAnsi="仿宋" w:eastAsia="仿宋" w:cs="仿宋"/>
                <w:bCs/>
                <w:color w:val="000000"/>
                <w:szCs w:val="24"/>
                <w:lang w:eastAsia="zh-CN"/>
              </w:rPr>
              <w:t xml:space="preserve">负责学校的保洁工作及临时性其他工作</w:t>
            </w:r>
            <w:r>
              <w:rPr>
                <w:rFonts w:hint="eastAsia" w:ascii="仿宋" w:hAnsi="仿宋" w:eastAsia="仿宋" w:cs="仿宋"/>
                <w:bCs/>
                <w:color w:val="000000"/>
                <w:szCs w:val="24"/>
              </w:rPr>
              <w:t xml:space="preserve">。</w:t>
            </w:r>
            <w:r>
              <w:rPr>
                <w:rFonts w:hint="eastAsia" w:ascii="仿宋" w:hAnsi="仿宋" w:eastAsia="仿宋" w:cs="仿宋"/>
                <w:bCs/>
                <w:color w:val="000000"/>
                <w:szCs w:val="24"/>
                <w:lang w:eastAsia="zh-CN"/>
              </w:rPr>
              <w:t xml:space="preserve">招标人</w:t>
            </w:r>
            <w:r>
              <w:rPr>
                <w:rFonts w:hint="eastAsia" w:ascii="仿宋" w:hAnsi="仿宋" w:eastAsia="仿宋" w:cs="仿宋"/>
                <w:bCs/>
                <w:color w:val="000000"/>
                <w:szCs w:val="24"/>
              </w:rPr>
              <w:t xml:space="preserve">有权根据现场情况对保洁人员配备进行调整。打扫女卫生间的必须为女性。</w:t>
            </w:r>
            <w:r/>
          </w:p>
        </w:tc>
      </w:tr>
      <w:tr>
        <w:trPr>
          <w:trHeight w:val="1176"/>
        </w:trPr>
        <w:tc>
          <w:tcPr>
            <w:tcW w:w="1041" w:type="dxa"/>
            <w:vAlign w:val="center"/>
            <w:textDirection w:val="lrTb"/>
            <w:noWrap/>
          </w:tcPr>
          <w:p>
            <w:pPr>
              <w:jc w:val="center"/>
              <w:spacing w:line="400" w:lineRule="exact"/>
              <w:widowControl/>
              <w:rPr>
                <w:rFonts w:hint="eastAsia" w:ascii="仿宋" w:hAnsi="仿宋" w:eastAsia="仿宋" w:cs="仿宋"/>
                <w:color w:val="000000"/>
              </w:rPr>
            </w:pPr>
            <w:r>
              <w:rPr>
                <w:rFonts w:hint="eastAsia" w:ascii="仿宋" w:hAnsi="仿宋" w:eastAsia="仿宋" w:cs="仿宋"/>
                <w:bCs/>
                <w:color w:val="000000"/>
                <w:szCs w:val="24"/>
                <w:lang w:val="en-US" w:eastAsia="zh-CN"/>
              </w:rPr>
              <w:t xml:space="preserve">2</w:t>
            </w:r>
            <w:r/>
          </w:p>
        </w:tc>
        <w:tc>
          <w:tcPr>
            <w:tcW w:w="1719" w:type="dxa"/>
            <w:vAlign w:val="center"/>
            <w:textDirection w:val="lrTb"/>
            <w:noWrap/>
          </w:tcPr>
          <w:p>
            <w:pPr>
              <w:jc w:val="center"/>
              <w:spacing w:line="400" w:lineRule="exact"/>
              <w:widowControl/>
              <w:rPr>
                <w:rFonts w:eastAsia="仿宋"/>
                <w:sz w:val="24"/>
                <w:lang w:val="en-US"/>
              </w:rPr>
            </w:pPr>
            <w:r>
              <w:rPr>
                <w:rFonts w:hint="eastAsia" w:ascii="仿宋" w:hAnsi="仿宋" w:eastAsia="仿宋" w:cs="仿宋"/>
                <w:bCs/>
                <w:color w:val="000000"/>
                <w:szCs w:val="24"/>
                <w:lang w:val="en-US" w:eastAsia="zh-CN"/>
              </w:rPr>
              <w:t xml:space="preserve">男宿管</w:t>
            </w:r>
            <w:r/>
          </w:p>
        </w:tc>
        <w:tc>
          <w:tcPr>
            <w:tcW w:w="1290" w:type="dxa"/>
            <w:vAlign w:val="center"/>
            <w:textDirection w:val="lrTb"/>
            <w:noWrap/>
          </w:tcPr>
          <w:p>
            <w:pPr>
              <w:jc w:val="center"/>
              <w:keepLines w:val="0"/>
              <w:keepNext w:val="0"/>
              <w:pageBreakBefore w:val="0"/>
              <w:spacing w:line="560" w:lineRule="exact"/>
              <w:widowControl w:val="off"/>
              <w:rPr>
                <w:rFonts w:ascii="Times New Roman" w:hAnsi="Times New Roman" w:eastAsia="仿宋"/>
                <w:sz w:val="24"/>
              </w:rPr>
            </w:pPr>
            <w:r>
              <w:rPr>
                <w:rFonts w:hint="eastAsia" w:ascii="仿宋" w:hAnsi="仿宋" w:eastAsia="仿宋" w:cs="仿宋"/>
                <w:b w:val="0"/>
                <w:color w:val="auto"/>
                <w:sz w:val="24"/>
                <w:szCs w:val="24"/>
                <w:highlight w:val="none"/>
                <w:lang w:val="en-US" w:eastAsia="zh-CN" w:bidi="ar-SA"/>
              </w:rPr>
              <w:t xml:space="preserve">4</w:t>
            </w:r>
            <w:r/>
          </w:p>
        </w:tc>
        <w:tc>
          <w:tcPr>
            <w:tcW w:w="5970" w:type="dxa"/>
            <w:vAlign w:val="center"/>
            <w:textDirection w:val="lrTb"/>
            <w:noWrap/>
          </w:tcPr>
          <w:p>
            <w:pPr>
              <w:jc w:val="left"/>
              <w:spacing w:line="400" w:lineRule="exact"/>
              <w:widowControl/>
              <w:rPr>
                <w:rFonts w:hint="eastAsia" w:ascii="仿宋" w:hAnsi="仿宋" w:eastAsia="仿宋" w:cs="仿宋"/>
                <w:color w:val="000000"/>
              </w:rPr>
            </w:pPr>
            <w:r>
              <w:rPr>
                <w:rFonts w:hint="eastAsia" w:ascii="仿宋" w:hAnsi="仿宋" w:eastAsia="仿宋" w:cs="仿宋"/>
                <w:bCs/>
                <w:color w:val="000000"/>
                <w:szCs w:val="24"/>
              </w:rPr>
              <w:t xml:space="preserve"> </w:t>
            </w:r>
            <w:r>
              <w:rPr>
                <w:rFonts w:hint="eastAsia" w:ascii="仿宋" w:hAnsi="仿宋" w:eastAsia="仿宋" w:cs="仿宋"/>
                <w:bCs/>
                <w:color w:val="000000"/>
                <w:szCs w:val="24"/>
                <w:lang w:val="en-US" w:eastAsia="zh-CN"/>
              </w:rPr>
              <w:t xml:space="preserve">男</w:t>
            </w:r>
            <w:r>
              <w:rPr>
                <w:rFonts w:hint="eastAsia" w:ascii="仿宋" w:hAnsi="仿宋" w:eastAsia="仿宋" w:cs="仿宋"/>
                <w:bCs/>
                <w:color w:val="000000"/>
                <w:szCs w:val="24"/>
              </w:rPr>
              <w:t xml:space="preserve">6</w:t>
            </w:r>
            <w:r>
              <w:rPr>
                <w:rFonts w:hint="eastAsia" w:ascii="仿宋" w:hAnsi="仿宋" w:eastAsia="仿宋" w:cs="仿宋"/>
                <w:bCs/>
                <w:color w:val="000000"/>
                <w:szCs w:val="24"/>
                <w:lang w:val="en-US" w:eastAsia="zh-CN"/>
              </w:rPr>
              <w:t xml:space="preserve">0</w:t>
            </w:r>
            <w:r>
              <w:rPr>
                <w:rFonts w:hint="eastAsia" w:ascii="仿宋" w:hAnsi="仿宋" w:eastAsia="仿宋" w:cs="仿宋"/>
                <w:bCs/>
                <w:color w:val="000000"/>
                <w:szCs w:val="24"/>
              </w:rPr>
              <w:t xml:space="preserve">周岁以下。身体健康，吃苦耐劳并有一定的处置突发事件能力，责任心强，无不良嗜好，作风正派，</w:t>
            </w:r>
            <w:r>
              <w:rPr>
                <w:rFonts w:hint="eastAsia" w:ascii="仿宋" w:hAnsi="仿宋" w:eastAsia="仿宋" w:cs="仿宋"/>
                <w:bCs/>
                <w:color w:val="000000"/>
                <w:szCs w:val="24"/>
                <w:lang w:eastAsia="zh-CN"/>
              </w:rPr>
              <w:t xml:space="preserve">负责宿舍的管理及学校安排临时性工作</w:t>
            </w:r>
            <w:r>
              <w:rPr>
                <w:rFonts w:hint="eastAsia" w:ascii="仿宋" w:hAnsi="仿宋" w:eastAsia="仿宋" w:cs="仿宋"/>
                <w:bCs/>
                <w:color w:val="000000"/>
                <w:szCs w:val="24"/>
              </w:rPr>
              <w:t xml:space="preserve">。男生宿舍宿管员必须为男性。</w:t>
            </w:r>
            <w:r/>
          </w:p>
        </w:tc>
      </w:tr>
      <w:tr>
        <w:trPr>
          <w:trHeight w:val="363"/>
        </w:trPr>
        <w:tc>
          <w:tcPr>
            <w:tcW w:w="1041" w:type="dxa"/>
            <w:vAlign w:val="center"/>
            <w:textDirection w:val="lrTb"/>
            <w:noWrap/>
          </w:tcPr>
          <w:p>
            <w:pPr>
              <w:jc w:val="center"/>
              <w:spacing w:line="400" w:lineRule="exact"/>
              <w:widowControl/>
              <w:rPr>
                <w:rFonts w:hint="eastAsia" w:ascii="仿宋" w:hAnsi="仿宋" w:eastAsia="仿宋" w:cs="仿宋"/>
                <w:color w:val="000000"/>
              </w:rPr>
            </w:pPr>
            <w:r>
              <w:rPr>
                <w:rFonts w:hint="eastAsia" w:ascii="仿宋" w:hAnsi="仿宋" w:eastAsia="仿宋" w:cs="仿宋"/>
                <w:bCs/>
                <w:color w:val="000000"/>
                <w:szCs w:val="24"/>
                <w:lang w:val="en-US" w:eastAsia="zh-CN"/>
              </w:rPr>
              <w:t xml:space="preserve">3</w:t>
            </w:r>
            <w:r/>
          </w:p>
        </w:tc>
        <w:tc>
          <w:tcPr>
            <w:tcW w:w="1719" w:type="dxa"/>
            <w:vAlign w:val="center"/>
            <w:textDirection w:val="lrTb"/>
            <w:noWrap/>
          </w:tcPr>
          <w:p>
            <w:pPr>
              <w:jc w:val="center"/>
              <w:spacing w:line="400" w:lineRule="exact"/>
              <w:widowControl/>
              <w:rPr>
                <w:rFonts w:eastAsia="仿宋"/>
                <w:sz w:val="24"/>
                <w:lang w:val="en-US"/>
              </w:rPr>
            </w:pPr>
            <w:r>
              <w:rPr>
                <w:rFonts w:hint="eastAsia" w:ascii="仿宋" w:hAnsi="仿宋" w:eastAsia="仿宋" w:cs="仿宋"/>
                <w:bCs/>
                <w:color w:val="000000"/>
                <w:szCs w:val="24"/>
                <w:lang w:val="en-US" w:eastAsia="zh-CN"/>
              </w:rPr>
              <w:t xml:space="preserve">女宿管</w:t>
            </w:r>
            <w:r/>
          </w:p>
        </w:tc>
        <w:tc>
          <w:tcPr>
            <w:tcW w:w="1290" w:type="dxa"/>
            <w:vAlign w:val="center"/>
            <w:textDirection w:val="lrTb"/>
            <w:noWrap/>
          </w:tcPr>
          <w:p>
            <w:pPr>
              <w:jc w:val="center"/>
              <w:keepLines w:val="0"/>
              <w:keepNext w:val="0"/>
              <w:pageBreakBefore w:val="0"/>
              <w:spacing w:line="560" w:lineRule="exact"/>
              <w:widowControl w:val="off"/>
              <w:rPr>
                <w:rFonts w:ascii="Times New Roman" w:hAnsi="Times New Roman" w:eastAsia="仿宋"/>
                <w:sz w:val="24"/>
              </w:rPr>
            </w:pPr>
            <w:r>
              <w:rPr>
                <w:rFonts w:hint="eastAsia" w:ascii="仿宋" w:hAnsi="仿宋" w:eastAsia="仿宋" w:cs="仿宋"/>
                <w:b w:val="0"/>
                <w:color w:val="auto"/>
                <w:sz w:val="24"/>
                <w:szCs w:val="24"/>
                <w:highlight w:val="none"/>
                <w:lang w:val="en-US" w:eastAsia="zh-CN" w:bidi="ar-SA"/>
              </w:rPr>
              <w:t xml:space="preserve">4</w:t>
            </w:r>
            <w:r/>
          </w:p>
        </w:tc>
        <w:tc>
          <w:tcPr>
            <w:tcW w:w="5970" w:type="dxa"/>
            <w:vAlign w:val="center"/>
            <w:textDirection w:val="lrTb"/>
            <w:noWrap/>
          </w:tcPr>
          <w:p>
            <w:pPr>
              <w:jc w:val="left"/>
              <w:spacing w:line="400" w:lineRule="exact"/>
              <w:widowControl/>
              <w:rPr>
                <w:rFonts w:hint="eastAsia" w:ascii="仿宋" w:hAnsi="仿宋" w:eastAsia="仿宋" w:cs="仿宋"/>
                <w:color w:val="000000"/>
                <w:lang w:eastAsia="zh-CN"/>
              </w:rPr>
            </w:pPr>
            <w:r>
              <w:rPr>
                <w:rFonts w:hint="eastAsia" w:ascii="仿宋" w:hAnsi="仿宋" w:eastAsia="仿宋" w:cs="仿宋"/>
                <w:bCs/>
                <w:color w:val="000000"/>
                <w:szCs w:val="24"/>
              </w:rPr>
              <w:t xml:space="preserve"> </w:t>
            </w:r>
            <w:r>
              <w:rPr>
                <w:rFonts w:hint="eastAsia" w:ascii="仿宋" w:hAnsi="仿宋" w:eastAsia="仿宋" w:cs="仿宋"/>
                <w:bCs/>
                <w:color w:val="000000"/>
                <w:szCs w:val="24"/>
                <w:lang w:val="en-US" w:eastAsia="zh-CN"/>
              </w:rPr>
              <w:t xml:space="preserve">女</w:t>
            </w:r>
            <w:r>
              <w:rPr>
                <w:rFonts w:hint="eastAsia" w:ascii="仿宋" w:hAnsi="仿宋" w:eastAsia="仿宋" w:cs="仿宋"/>
                <w:bCs/>
                <w:color w:val="000000"/>
                <w:szCs w:val="24"/>
              </w:rPr>
              <w:t xml:space="preserve">55 周岁（含）以下。</w:t>
            </w:r>
            <w:r>
              <w:rPr>
                <w:rFonts w:ascii="仿宋" w:hAnsi="仿宋" w:eastAsia="仿宋" w:cs="仿宋"/>
                <w:bCs/>
                <w:color w:val="000000"/>
                <w:szCs w:val="24"/>
              </w:rPr>
              <w:t xml:space="preserve">身体健康，</w:t>
            </w:r>
            <w:r>
              <w:rPr>
                <w:rFonts w:hint="eastAsia" w:ascii="仿宋" w:hAnsi="仿宋" w:eastAsia="仿宋" w:cs="仿宋"/>
                <w:bCs/>
                <w:color w:val="000000"/>
                <w:szCs w:val="24"/>
              </w:rPr>
              <w:t xml:space="preserve">有吃苦耐劳精神，责任心强，无不良嗜好，</w:t>
            </w:r>
            <w:r>
              <w:rPr>
                <w:rFonts w:hint="eastAsia" w:ascii="仿宋" w:hAnsi="仿宋" w:eastAsia="仿宋" w:cs="仿宋"/>
                <w:bCs/>
                <w:color w:val="000000"/>
                <w:szCs w:val="24"/>
                <w:lang w:eastAsia="zh-CN"/>
              </w:rPr>
              <w:t xml:space="preserve">作风正派，身心健康，负责宿舍的管理及学校安排临时性工作</w:t>
            </w:r>
            <w:r>
              <w:rPr>
                <w:rFonts w:hint="eastAsia" w:ascii="仿宋" w:hAnsi="仿宋" w:eastAsia="仿宋" w:cs="仿宋"/>
                <w:bCs/>
                <w:color w:val="000000"/>
                <w:szCs w:val="24"/>
              </w:rPr>
              <w:t xml:space="preserve">。女生宿舍宿管员必须为女性</w:t>
            </w:r>
            <w:r>
              <w:rPr>
                <w:rFonts w:hint="eastAsia" w:ascii="仿宋" w:hAnsi="仿宋" w:eastAsia="仿宋" w:cs="仿宋"/>
                <w:bCs/>
                <w:color w:val="000000"/>
                <w:szCs w:val="24"/>
                <w:lang w:eastAsia="zh-CN"/>
              </w:rPr>
              <w:t xml:space="preserve">。</w:t>
            </w:r>
            <w:r/>
          </w:p>
        </w:tc>
      </w:tr>
      <w:tr>
        <w:trPr>
          <w:trHeight w:val="363"/>
        </w:trPr>
        <w:tc>
          <w:tcPr>
            <w:tcW w:w="1041" w:type="dxa"/>
            <w:vAlign w:val="center"/>
            <w:textDirection w:val="lrTb"/>
            <w:noWrap/>
          </w:tcPr>
          <w:p>
            <w:pPr>
              <w:jc w:val="center"/>
              <w:spacing w:line="400" w:lineRule="exact"/>
              <w:widowControl/>
              <w:rPr>
                <w:rFonts w:hint="eastAsia" w:ascii="仿宋" w:hAnsi="仿宋" w:eastAsia="仿宋" w:cs="仿宋"/>
                <w:color w:val="000000"/>
              </w:rPr>
            </w:pPr>
            <w:r>
              <w:rPr>
                <w:rFonts w:hint="eastAsia" w:ascii="仿宋" w:hAnsi="仿宋" w:eastAsia="仿宋" w:cs="仿宋"/>
                <w:bCs/>
                <w:color w:val="000000"/>
                <w:szCs w:val="24"/>
                <w:lang w:val="en-US" w:eastAsia="zh-CN"/>
              </w:rPr>
              <w:t xml:space="preserve">4</w:t>
            </w:r>
            <w:r/>
          </w:p>
        </w:tc>
        <w:tc>
          <w:tcPr>
            <w:tcW w:w="1719" w:type="dxa"/>
            <w:vAlign w:val="center"/>
            <w:textDirection w:val="lrTb"/>
            <w:noWrap/>
          </w:tcPr>
          <w:p>
            <w:pPr>
              <w:jc w:val="center"/>
              <w:spacing w:line="400" w:lineRule="exact"/>
              <w:widowControl/>
              <w:rPr>
                <w:rFonts w:eastAsia="仿宋"/>
                <w:sz w:val="24"/>
                <w:lang w:val="en-US"/>
              </w:rPr>
            </w:pPr>
            <w:r>
              <w:rPr>
                <w:rFonts w:hint="eastAsia" w:ascii="仿宋" w:hAnsi="仿宋" w:eastAsia="仿宋" w:cs="仿宋"/>
                <w:bCs/>
                <w:color w:val="000000"/>
                <w:szCs w:val="24"/>
                <w:lang w:val="en-US" w:eastAsia="zh-CN"/>
              </w:rPr>
              <w:t xml:space="preserve">水电工</w:t>
            </w:r>
            <w:r/>
          </w:p>
        </w:tc>
        <w:tc>
          <w:tcPr>
            <w:tcW w:w="1290" w:type="dxa"/>
            <w:vAlign w:val="center"/>
            <w:textDirection w:val="lrTb"/>
            <w:noWrap/>
          </w:tcPr>
          <w:p>
            <w:pPr>
              <w:jc w:val="center"/>
              <w:keepLines w:val="0"/>
              <w:keepNext w:val="0"/>
              <w:pageBreakBefore w:val="0"/>
              <w:spacing w:line="560" w:lineRule="exact"/>
              <w:widowControl w:val="off"/>
              <w:rPr>
                <w:rFonts w:ascii="Times New Roman" w:hAnsi="Times New Roman" w:eastAsia="仿宋"/>
                <w:sz w:val="24"/>
              </w:rPr>
            </w:pPr>
            <w:r>
              <w:rPr>
                <w:rFonts w:hint="eastAsia" w:ascii="仿宋" w:hAnsi="仿宋" w:eastAsia="仿宋" w:cs="仿宋"/>
                <w:b w:val="0"/>
                <w:color w:val="auto"/>
                <w:sz w:val="24"/>
                <w:szCs w:val="24"/>
                <w:highlight w:val="none"/>
                <w:lang w:val="en-US" w:eastAsia="zh-CN" w:bidi="ar-SA"/>
              </w:rPr>
              <w:t xml:space="preserve">2</w:t>
            </w:r>
            <w:r/>
          </w:p>
        </w:tc>
        <w:tc>
          <w:tcPr>
            <w:tcW w:w="5970" w:type="dxa"/>
            <w:vAlign w:val="center"/>
            <w:textDirection w:val="lrTb"/>
            <w:noWrap/>
          </w:tcPr>
          <w:p>
            <w:pPr>
              <w:jc w:val="left"/>
              <w:spacing w:line="400" w:lineRule="exact"/>
              <w:widowControl/>
              <w:rPr>
                <w:rFonts w:hint="eastAsia" w:ascii="仿宋" w:hAnsi="仿宋" w:cs="仿宋"/>
                <w:bCs/>
                <w:color w:val="000000"/>
                <w:szCs w:val="24"/>
              </w:rPr>
            </w:pPr>
            <w:r>
              <w:rPr>
                <w:rFonts w:hint="eastAsia" w:ascii="仿宋" w:hAnsi="仿宋" w:eastAsia="仿宋" w:cs="仿宋"/>
                <w:bCs/>
                <w:color w:val="000000"/>
                <w:szCs w:val="24"/>
              </w:rPr>
              <w:t xml:space="preserve">男 6</w:t>
            </w:r>
            <w:r>
              <w:rPr>
                <w:rFonts w:hint="eastAsia" w:ascii="仿宋" w:hAnsi="仿宋" w:eastAsia="仿宋" w:cs="仿宋"/>
                <w:bCs/>
                <w:color w:val="000000"/>
                <w:szCs w:val="24"/>
                <w:lang w:val="en-US" w:eastAsia="zh-CN"/>
              </w:rPr>
              <w:t xml:space="preserve">0</w:t>
            </w:r>
            <w:r>
              <w:rPr>
                <w:rFonts w:hint="eastAsia" w:ascii="仿宋" w:hAnsi="仿宋" w:eastAsia="仿宋" w:cs="仿宋"/>
                <w:bCs/>
                <w:color w:val="000000"/>
                <w:szCs w:val="24"/>
              </w:rPr>
              <w:t xml:space="preserve">周岁以下、女 5</w:t>
            </w:r>
            <w:r>
              <w:rPr>
                <w:rFonts w:hint="eastAsia" w:ascii="仿宋" w:hAnsi="仿宋" w:eastAsia="仿宋" w:cs="仿宋"/>
                <w:bCs/>
                <w:color w:val="000000"/>
                <w:szCs w:val="24"/>
                <w:lang w:val="en-US" w:eastAsia="zh-CN"/>
              </w:rPr>
              <w:t xml:space="preserve">0</w:t>
            </w:r>
            <w:r>
              <w:rPr>
                <w:rFonts w:hint="eastAsia" w:ascii="仿宋" w:hAnsi="仿宋" w:eastAsia="仿宋" w:cs="仿宋"/>
                <w:bCs/>
                <w:color w:val="000000"/>
                <w:szCs w:val="24"/>
              </w:rPr>
              <w:t xml:space="preserve">周岁以下，</w:t>
            </w:r>
            <w:r>
              <w:rPr>
                <w:rFonts w:hint="eastAsia" w:ascii="仿宋" w:hAnsi="仿宋" w:eastAsia="仿宋" w:cs="仿宋"/>
                <w:bCs/>
                <w:color w:val="000000"/>
                <w:szCs w:val="24"/>
                <w:lang w:val="en-US" w:eastAsia="zh-CN"/>
              </w:rPr>
              <w:t xml:space="preserve">水电工须持有相关部门颁发的特种作业操作证（高压、低压电工作业）且在有效期内。熟练掌握水电设施的维护、维修与保养（低压设备），小型用电设备的更换与安装，对水电设备的一般性故障及时排除，确保校园用电、用水设备通畅。</w:t>
            </w:r>
            <w:r/>
          </w:p>
        </w:tc>
      </w:tr>
      <w:tr>
        <w:trPr>
          <w:trHeight w:val="363"/>
        </w:trPr>
        <w:tc>
          <w:tcPr>
            <w:tcW w:w="1041" w:type="dxa"/>
            <w:vAlign w:val="center"/>
            <w:textDirection w:val="lrTb"/>
            <w:noWrap/>
          </w:tcPr>
          <w:p>
            <w:pPr>
              <w:jc w:val="center"/>
              <w:spacing w:line="400" w:lineRule="exact"/>
              <w:widowControl/>
              <w:rPr>
                <w:rFonts w:ascii="Times New Roman" w:hAnsi="Times New Roman" w:eastAsia="仿宋"/>
                <w:sz w:val="24"/>
              </w:rPr>
            </w:pPr>
            <w:r>
              <w:rPr>
                <w:rFonts w:hint="eastAsia" w:ascii="仿宋" w:hAnsi="仿宋" w:eastAsia="仿宋" w:cs="仿宋"/>
                <w:bCs/>
                <w:color w:val="000000"/>
                <w:szCs w:val="24"/>
                <w:lang w:val="en-US" w:eastAsia="zh-CN"/>
              </w:rPr>
              <w:t xml:space="preserve">5</w:t>
            </w:r>
            <w:r/>
          </w:p>
        </w:tc>
        <w:tc>
          <w:tcPr>
            <w:tcW w:w="1719" w:type="dxa"/>
            <w:vAlign w:val="center"/>
            <w:textDirection w:val="lrTb"/>
            <w:noWrap/>
          </w:tcPr>
          <w:p>
            <w:pPr>
              <w:jc w:val="center"/>
              <w:spacing w:line="400" w:lineRule="exact"/>
              <w:widowControl/>
              <w:rPr>
                <w:rFonts w:hint="default" w:eastAsia="仿宋"/>
                <w:sz w:val="24"/>
                <w:lang w:val="en-US"/>
              </w:rPr>
            </w:pPr>
            <w:r>
              <w:rPr>
                <w:rFonts w:hint="eastAsia" w:ascii="仿宋" w:hAnsi="仿宋" w:eastAsia="仿宋" w:cs="仿宋"/>
                <w:bCs/>
                <w:color w:val="000000"/>
                <w:szCs w:val="24"/>
                <w:lang w:val="en-US" w:eastAsia="zh-CN"/>
              </w:rPr>
              <w:t xml:space="preserve">暖通工</w:t>
            </w:r>
            <w:r/>
          </w:p>
        </w:tc>
        <w:tc>
          <w:tcPr>
            <w:tcW w:w="1290" w:type="dxa"/>
            <w:vAlign w:val="center"/>
            <w:textDirection w:val="lrTb"/>
            <w:noWrap/>
          </w:tcPr>
          <w:p>
            <w:pPr>
              <w:jc w:val="center"/>
              <w:keepLines w:val="0"/>
              <w:keepNext w:val="0"/>
              <w:pageBreakBefore w:val="0"/>
              <w:spacing w:line="560" w:lineRule="exact"/>
              <w:widowControl w:val="off"/>
              <w:rPr>
                <w:rFonts w:ascii="Times New Roman" w:hAnsi="Times New Roman" w:eastAsia="仿宋"/>
                <w:sz w:val="24"/>
              </w:rPr>
            </w:pPr>
            <w:r>
              <w:rPr>
                <w:rFonts w:hint="eastAsia" w:ascii="仿宋" w:hAnsi="仿宋" w:eastAsia="仿宋" w:cs="仿宋"/>
                <w:b w:val="0"/>
                <w:color w:val="auto"/>
                <w:sz w:val="24"/>
                <w:szCs w:val="24"/>
                <w:highlight w:val="none"/>
                <w:lang w:val="en-US" w:eastAsia="zh-CN" w:bidi="ar-SA"/>
              </w:rPr>
              <w:t xml:space="preserve">1</w:t>
            </w:r>
            <w:r/>
          </w:p>
        </w:tc>
        <w:tc>
          <w:tcPr>
            <w:tcW w:w="5970" w:type="dxa"/>
            <w:vAlign w:val="center"/>
            <w:textDirection w:val="lrTb"/>
            <w:noWrap/>
          </w:tcPr>
          <w:p>
            <w:pPr>
              <w:jc w:val="left"/>
              <w:spacing w:line="400" w:lineRule="exact"/>
              <w:widowControl/>
              <w:rPr>
                <w:rFonts w:hint="eastAsia" w:ascii="仿宋" w:hAnsi="仿宋" w:eastAsia="仿宋" w:cs="仿宋"/>
                <w:bCs/>
                <w:color w:val="000000"/>
                <w:szCs w:val="24"/>
              </w:rPr>
            </w:pPr>
            <w:r>
              <w:rPr>
                <w:rFonts w:hint="eastAsia" w:ascii="仿宋" w:hAnsi="仿宋" w:eastAsia="仿宋" w:cs="仿宋"/>
                <w:bCs/>
                <w:color w:val="000000"/>
                <w:szCs w:val="24"/>
              </w:rPr>
              <w:t xml:space="preserve">男60周岁以下，女50周岁以下。</w:t>
            </w:r>
            <w:r>
              <w:rPr>
                <w:rFonts w:hint="eastAsia" w:ascii="仿宋" w:hAnsi="仿宋" w:eastAsia="仿宋" w:cs="仿宋"/>
                <w:bCs/>
                <w:color w:val="000000"/>
                <w:szCs w:val="24"/>
                <w:lang w:val="en-US" w:eastAsia="zh-CN"/>
              </w:rPr>
              <w:t xml:space="preserve">暖通工须具有相关部门颁发的特种作业操作证(制冷与空调作业)且在有效期内。熟悉中央空调（包含其它空调）的</w:t>
            </w:r>
            <w:r>
              <w:rPr>
                <w:rFonts w:hint="eastAsia" w:ascii="仿宋" w:hAnsi="仿宋" w:eastAsia="仿宋" w:cs="仿宋"/>
                <w:bCs/>
                <w:color w:val="000000"/>
                <w:szCs w:val="24"/>
                <w:lang w:val="en-US" w:eastAsia="zh-Hans"/>
              </w:rPr>
              <w:t xml:space="preserve">维修</w:t>
            </w:r>
            <w:r>
              <w:rPr>
                <w:rFonts w:hint="eastAsia" w:ascii="仿宋" w:hAnsi="仿宋" w:eastAsia="仿宋" w:cs="仿宋"/>
                <w:bCs/>
                <w:color w:val="000000"/>
                <w:szCs w:val="24"/>
                <w:lang w:val="en-US" w:eastAsia="zh-CN"/>
              </w:rPr>
              <w:t xml:space="preserve">与保养；</w:t>
            </w:r>
            <w:r>
              <w:rPr>
                <w:rFonts w:hint="eastAsia" w:ascii="仿宋" w:hAnsi="仿宋" w:eastAsia="仿宋" w:cs="仿宋"/>
                <w:bCs/>
                <w:color w:val="000000"/>
                <w:szCs w:val="24"/>
                <w:lang w:val="en-US" w:eastAsia="zh-Hans"/>
              </w:rPr>
              <w:t xml:space="preserve">擅长</w:t>
            </w:r>
            <w:r>
              <w:rPr>
                <w:rFonts w:hint="eastAsia" w:ascii="仿宋" w:hAnsi="仿宋" w:eastAsia="仿宋" w:cs="仿宋"/>
                <w:bCs/>
                <w:color w:val="000000"/>
                <w:szCs w:val="24"/>
                <w:lang w:val="en-US" w:eastAsia="zh-CN"/>
              </w:rPr>
              <w:t xml:space="preserve">学校</w:t>
            </w:r>
            <w:r>
              <w:rPr>
                <w:rFonts w:hint="eastAsia" w:ascii="仿宋" w:hAnsi="仿宋" w:eastAsia="仿宋" w:cs="仿宋"/>
                <w:bCs/>
                <w:color w:val="000000"/>
                <w:szCs w:val="24"/>
                <w:lang w:val="en-US" w:eastAsia="zh-Hans"/>
              </w:rPr>
              <w:t xml:space="preserve">其他</w:t>
            </w:r>
            <w:r>
              <w:rPr>
                <w:rFonts w:hint="eastAsia" w:ascii="仿宋" w:hAnsi="仿宋" w:eastAsia="仿宋" w:cs="仿宋"/>
                <w:bCs/>
                <w:color w:val="000000"/>
                <w:szCs w:val="24"/>
                <w:lang w:val="en-US" w:eastAsia="zh-CN"/>
              </w:rPr>
              <w:t xml:space="preserve">的小型维修，</w:t>
            </w:r>
            <w:r>
              <w:rPr>
                <w:rFonts w:hint="eastAsia" w:ascii="仿宋" w:hAnsi="仿宋" w:eastAsia="仿宋" w:cs="仿宋"/>
                <w:bCs/>
                <w:color w:val="000000"/>
                <w:szCs w:val="24"/>
                <w:lang w:val="en-US" w:eastAsia="zh-Hans"/>
              </w:rPr>
              <w:t xml:space="preserve">包括但不限于</w:t>
            </w:r>
            <w:r>
              <w:rPr>
                <w:rFonts w:hint="eastAsia" w:ascii="仿宋" w:hAnsi="仿宋" w:eastAsia="仿宋" w:cs="仿宋"/>
                <w:bCs/>
                <w:color w:val="000000"/>
                <w:szCs w:val="24"/>
                <w:lang w:val="en-US" w:eastAsia="zh-CN"/>
              </w:rPr>
              <w:t xml:space="preserve">空调管理维修，课桌椅、门窗维修等</w:t>
            </w:r>
            <w:r/>
          </w:p>
        </w:tc>
      </w:tr>
      <w:tr>
        <w:trPr>
          <w:trHeight w:val="188"/>
        </w:trPr>
        <w:tc>
          <w:tcPr>
            <w:gridSpan w:val="4"/>
            <w:tcW w:w="10020" w:type="dxa"/>
            <w:vAlign w:val="center"/>
            <w:textDirection w:val="lrTb"/>
            <w:noWrap/>
          </w:tcPr>
          <w:p>
            <w:pPr>
              <w:jc w:val="left"/>
              <w:spacing w:line="400" w:lineRule="exact"/>
              <w:widowControl/>
              <w:rPr>
                <w:rFonts w:hint="eastAsia" w:ascii="仿宋" w:hAnsi="仿宋" w:eastAsia="仿宋" w:cs="仿宋"/>
                <w:color w:val="000000"/>
              </w:rPr>
            </w:pPr>
            <w:r>
              <w:rPr>
                <w:rFonts w:hint="eastAsia" w:ascii="仿宋" w:hAnsi="仿宋" w:eastAsia="仿宋" w:cs="仿宋"/>
                <w:color w:val="000000"/>
              </w:rPr>
              <w:t xml:space="preserve">年龄均以居民身份证为准。</w:t>
            </w:r>
            <w:r/>
          </w:p>
        </w:tc>
      </w:tr>
    </w:tbl>
    <w:p>
      <w:pPr>
        <w:ind w:firstLine="422"/>
        <w:jc w:val="left"/>
        <w:spacing w:line="400" w:lineRule="exact"/>
        <w:widowControl/>
        <w:rPr>
          <w:rFonts w:hint="eastAsia" w:ascii="宋体" w:hAnsi="宋体"/>
          <w:b/>
          <w:bCs/>
          <w:szCs w:val="21"/>
        </w:rPr>
      </w:pPr>
      <w:r>
        <w:rPr>
          <w:rFonts w:hint="eastAsia" w:ascii="宋体" w:hAnsi="宋体"/>
          <w:b/>
          <w:bCs/>
          <w:szCs w:val="21"/>
        </w:rPr>
        <w:t xml:space="preserve">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r/>
    </w:p>
    <w:p>
      <w:pPr>
        <w:ind w:firstLine="422"/>
        <w:jc w:val="left"/>
        <w:spacing w:line="400" w:lineRule="exact"/>
        <w:widowControl/>
        <w:rPr>
          <w:rFonts w:hint="eastAsia" w:ascii="宋体" w:hAnsi="宋体"/>
          <w:b/>
          <w:bCs/>
          <w:szCs w:val="21"/>
        </w:rPr>
      </w:pPr>
      <w:r>
        <w:rPr>
          <w:rFonts w:hint="eastAsia" w:ascii="宋体" w:hAnsi="宋体"/>
          <w:b/>
          <w:bCs/>
          <w:szCs w:val="21"/>
          <w:lang w:val="en-US" w:eastAsia="zh-CN"/>
        </w:rPr>
        <w:t xml:space="preserve">2</w:t>
      </w:r>
      <w:r>
        <w:rPr>
          <w:rFonts w:hint="eastAsia" w:ascii="宋体" w:hAnsi="宋体"/>
          <w:b/>
          <w:bCs/>
          <w:szCs w:val="21"/>
        </w:rPr>
        <w:t xml:space="preserve">.采购方有权根据工作表现、工作需求提出更换人员，中标人需在采购方提出需求一个月内完成人员更换，并完成更换人员的费用结算。</w:t>
      </w:r>
      <w:r/>
    </w:p>
    <w:p>
      <w:pPr>
        <w:ind w:firstLine="422"/>
        <w:jc w:val="left"/>
        <w:spacing w:line="400" w:lineRule="exact"/>
        <w:widowControl/>
        <w:rPr>
          <w:rFonts w:hint="eastAsia" w:ascii="宋体" w:hAnsi="宋体"/>
          <w:b/>
          <w:bCs/>
          <w:szCs w:val="21"/>
        </w:rPr>
      </w:pPr>
      <w:r>
        <w:rPr>
          <w:rFonts w:hint="eastAsia" w:ascii="宋体" w:hAnsi="宋体"/>
          <w:b/>
          <w:bCs/>
          <w:szCs w:val="21"/>
          <w:lang w:val="en-US" w:eastAsia="zh-CN"/>
        </w:rPr>
        <w:t xml:space="preserve">3</w:t>
      </w:r>
      <w:r>
        <w:rPr>
          <w:rFonts w:hint="eastAsia" w:ascii="宋体" w:hAnsi="宋体"/>
          <w:b/>
          <w:bCs/>
          <w:szCs w:val="21"/>
        </w:rPr>
        <w:t xml:space="preserve">.一般工作人员年流失率不得超过15%（从乙方接管满三个月起计算），每超过一个百分点，乙方须向甲方支付违约金10000元，该费用从当月物业服务费中扣除。</w:t>
      </w:r>
      <w:r/>
    </w:p>
    <w:p>
      <w:pPr>
        <w:ind w:firstLine="422"/>
        <w:jc w:val="left"/>
        <w:spacing w:line="400" w:lineRule="exact"/>
        <w:widowControl/>
        <w:rPr>
          <w:rFonts w:hint="eastAsia" w:ascii="宋体" w:hAnsi="宋体"/>
          <w:b/>
          <w:bCs/>
          <w:szCs w:val="21"/>
        </w:rPr>
      </w:pPr>
      <w:r>
        <w:rPr>
          <w:rFonts w:hint="eastAsia" w:ascii="宋体" w:hAnsi="宋体"/>
          <w:b/>
          <w:bCs/>
          <w:szCs w:val="21"/>
          <w:lang w:val="en-US" w:eastAsia="zh-CN"/>
        </w:rPr>
        <w:t xml:space="preserve">4</w:t>
      </w:r>
      <w:r>
        <w:rPr>
          <w:rFonts w:hint="eastAsia" w:ascii="宋体" w:hAnsi="宋体"/>
          <w:b/>
          <w:bCs/>
          <w:szCs w:val="21"/>
        </w:rPr>
        <w:t xml:space="preserve">.如因中标人项目组成员疏忽或失职造成贵重物品被盗、毁坏或发生重大安全事故，中标人承担一切赔偿责任。履约期间，如若发生项目组成员工伤或遇项目组成员人身伤亡事故，均由中标人负责，与采购方无关。</w:t>
      </w:r>
      <w:r/>
    </w:p>
    <w:p>
      <w:pPr>
        <w:ind w:firstLine="422"/>
        <w:jc w:val="left"/>
        <w:spacing w:line="400" w:lineRule="exact"/>
        <w:widowControl/>
        <w:rPr>
          <w:rFonts w:hint="eastAsia" w:ascii="宋体" w:hAnsi="宋体"/>
          <w:b/>
          <w:bCs/>
          <w:szCs w:val="21"/>
        </w:rPr>
      </w:pPr>
      <w:r>
        <w:rPr>
          <w:rFonts w:hint="eastAsia" w:ascii="宋体" w:hAnsi="宋体"/>
          <w:b/>
          <w:bCs/>
          <w:szCs w:val="21"/>
          <w:lang w:val="en-US" w:eastAsia="zh-CN"/>
        </w:rPr>
        <w:t xml:space="preserve">5</w:t>
      </w:r>
      <w:r>
        <w:rPr>
          <w:rFonts w:hint="eastAsia" w:ascii="宋体" w:hAnsi="宋体"/>
          <w:b/>
          <w:bCs/>
          <w:szCs w:val="21"/>
        </w:rPr>
        <w:t xml:space="preserve">.履约过程中，中标人须按照国家及地方规定按月全员全额缴纳社保、购买意外险（或雇主责任险），在合同签订后7日内将意外险（或雇主责任险）购买情况报至采购人。</w:t>
      </w:r>
      <w:r/>
    </w:p>
    <w:p>
      <w:pPr>
        <w:ind w:firstLine="482"/>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25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 xml:space="preserve">五、考核标准</w:t>
      </w:r>
      <w:r/>
    </w:p>
    <w:tbl>
      <w:tblPr>
        <w:tblStyle w:val="763"/>
        <w:tblW w:w="0" w:type="auto"/>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7821"/>
      </w:tblGrid>
      <w:tr>
        <w:trPr/>
        <w:tc>
          <w:tcPr>
            <w:tcW w:w="1111" w:type="dxa"/>
            <w:vAlign w:val="top"/>
            <w:textDirection w:val="lrTb"/>
            <w:noWrap w:val="false"/>
          </w:tcPr>
          <w:p>
            <w:pPr>
              <w:ind w:firstLine="0"/>
              <w:jc w:val="center"/>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pacing w:val="-4"/>
                <w:sz w:val="24"/>
                <w:szCs w:val="24"/>
                <w:highlight w:val="none"/>
                <w:lang w:val="en-US" w:eastAsia="zh-CN" w:bidi="ar-SA"/>
              </w:rPr>
              <w:t xml:space="preserve">项目</w:t>
            </w:r>
            <w:r/>
          </w:p>
        </w:tc>
        <w:tc>
          <w:tcPr>
            <w:tcW w:w="7821" w:type="dxa"/>
            <w:vAlign w:val="top"/>
            <w:textDirection w:val="lrTb"/>
            <w:noWrap w:val="false"/>
          </w:tcPr>
          <w:p>
            <w:pPr>
              <w:ind w:firstLine="472"/>
              <w:jc w:val="center"/>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pacing w:val="-2"/>
                <w:sz w:val="24"/>
                <w:szCs w:val="24"/>
                <w:highlight w:val="none"/>
                <w:lang w:val="en-US" w:eastAsia="zh-CN" w:bidi="ar-SA"/>
              </w:rPr>
              <w:t xml:space="preserve">考核内容及标准</w:t>
            </w:r>
            <w:r/>
          </w:p>
        </w:tc>
      </w:tr>
      <w:tr>
        <w:trPr/>
        <w:tc>
          <w:tcPr>
            <w:tcW w:w="1111" w:type="dxa"/>
            <w:vAlign w:val="top"/>
            <w:vMerge w:val="restart"/>
            <w:textDirection w:val="lrTb"/>
            <w:noWrap w:val="false"/>
          </w:tcPr>
          <w:p>
            <w:pP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bidi="zh-CN"/>
              </w:rPr>
              <w:t xml:space="preserve">校园保洁考核</w:t>
            </w:r>
            <w:r/>
          </w:p>
        </w:tc>
        <w:tc>
          <w:tcPr>
            <w:tcW w:w="7821" w:type="dxa"/>
            <w:vAlign w:val="top"/>
            <w:textDirection w:val="lrTb"/>
            <w:noWrap w:val="false"/>
          </w:tcPr>
          <w:p>
            <w:pPr>
              <w:ind w:firstLine="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pacing w:val="-5"/>
                <w:sz w:val="24"/>
                <w:szCs w:val="24"/>
                <w:highlight w:val="none"/>
                <w:lang w:val="en-US" w:eastAsia="zh-CN" w:bidi="ar-SA"/>
              </w:rPr>
              <w:t xml:space="preserve">1.成交供应商不能做到垃圾日产日清或垃圾房及周围脏乱的，罚款100元。每</w:t>
            </w:r>
            <w:r>
              <w:rPr>
                <w:rFonts w:hint="eastAsia" w:ascii="仿宋" w:hAnsi="仿宋" w:eastAsia="仿宋" w:cs="仿宋"/>
                <w:spacing w:val="-3"/>
                <w:sz w:val="24"/>
                <w:szCs w:val="24"/>
                <w:highlight w:val="none"/>
                <w:lang w:val="en-US" w:eastAsia="zh-CN" w:bidi="ar-SA"/>
              </w:rPr>
              <w:t xml:space="preserve">天垃圾桶没有清理的发现一例罚款20元。垃圾桶上没有套垃圾袋的有一处罚款</w:t>
            </w:r>
            <w:r>
              <w:rPr>
                <w:rFonts w:hint="eastAsia" w:ascii="仿宋" w:hAnsi="仿宋" w:eastAsia="仿宋" w:cs="仿宋"/>
                <w:spacing w:val="-4"/>
                <w:sz w:val="24"/>
                <w:szCs w:val="24"/>
                <w:highlight w:val="none"/>
                <w:lang w:val="en-US" w:eastAsia="zh-CN" w:bidi="ar-SA"/>
              </w:rPr>
              <w:t xml:space="preserve">10元。垃圾桶脏有灰、污渍、发现一例罚款10元。通道、墙壁有蜘蛛网、灰尘网有</w:t>
            </w:r>
            <w:r>
              <w:rPr>
                <w:rFonts w:hint="eastAsia" w:ascii="仿宋" w:hAnsi="仿宋" w:eastAsia="仿宋" w:cs="仿宋"/>
                <w:spacing w:val="-5"/>
                <w:sz w:val="24"/>
                <w:szCs w:val="24"/>
                <w:highlight w:val="none"/>
                <w:lang w:val="en-US" w:eastAsia="zh-CN" w:bidi="ar-SA"/>
              </w:rPr>
              <w:t xml:space="preserve">一例罚款50元。保洁人员，正常上班期间，迟到早退的有一例罚款50元/次。</w:t>
            </w:r>
            <w:r/>
          </w:p>
        </w:tc>
      </w:tr>
      <w:tr>
        <w:trPr>
          <w:trHeight w:val="1625"/>
        </w:trPr>
        <w:tc>
          <w:tcPr>
            <w:tcW w:w="1111" w:type="dxa"/>
            <w:vAlign w:val="top"/>
            <w:vMerge w:val="continue"/>
            <w:textDirection w:val="lrTb"/>
            <w:noWrap w:val="false"/>
          </w:tcPr>
          <w:p>
            <w:pPr>
              <w:ind w:firstLine="48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7821" w:type="dxa"/>
            <w:vAlign w:val="top"/>
            <w:textDirection w:val="lrTb"/>
            <w:noWrap w:val="false"/>
          </w:tcPr>
          <w:p>
            <w:pPr>
              <w:ind w:right="107"/>
              <w:spacing w:before="32" w:line="480" w:lineRule="exact"/>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 xml:space="preserve">2.成交供应商因管理不力，造成校园环境混乱等而被上级部门曝光、批评的或被报纸、电视、广播等媒体披露，每次罚款1000元，造成恶劣影响的解除合同。院级督查、专项检查通报罚款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111" w:type="dxa"/>
            <w:vAlign w:val="top"/>
            <w:vMerge w:val="continue"/>
            <w:textDirection w:val="lrTb"/>
            <w:noWrap w:val="false"/>
          </w:tcPr>
          <w:p>
            <w:pPr>
              <w:ind w:firstLine="48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7821" w:type="dxa"/>
            <w:vAlign w:val="top"/>
            <w:textDirection w:val="lrTb"/>
            <w:noWrap w:val="false"/>
          </w:tcPr>
          <w:p>
            <w:pPr>
              <w:ind w:right="107"/>
              <w:jc w:val="left"/>
              <w:spacing w:before="30" w:line="480" w:lineRule="exact"/>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 xml:space="preserve">3.成交供应商应安排专人进行保洁质量巡查和整改，学校集中检查时，所查区域未达到检查标准所要求，有一处罚款50元。</w:t>
            </w:r>
            <w:r/>
          </w:p>
        </w:tc>
      </w:tr>
      <w:tr>
        <w:trPr/>
        <w:tc>
          <w:tcPr>
            <w:tcW w:w="1111" w:type="dxa"/>
            <w:vAlign w:val="top"/>
            <w:vMerge w:val="continue"/>
            <w:textDirection w:val="lrTb"/>
            <w:noWrap w:val="false"/>
          </w:tcPr>
          <w:p>
            <w:pPr>
              <w:ind w:firstLine="48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7821" w:type="dxa"/>
            <w:vAlign w:val="top"/>
            <w:textDirection w:val="lrTb"/>
            <w:noWrap w:val="false"/>
          </w:tcPr>
          <w:p>
            <w:pPr>
              <w:ind w:right="108"/>
              <w:spacing w:before="33" w:line="480" w:lineRule="exact"/>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lang w:val="en-US" w:eastAsia="zh-CN"/>
              </w:rPr>
              <w:t xml:space="preserve">4.</w:t>
            </w:r>
            <w:r>
              <w:rPr>
                <w:rFonts w:hint="eastAsia" w:ascii="仿宋" w:hAnsi="仿宋" w:eastAsia="仿宋" w:cs="仿宋"/>
                <w:spacing w:val="-5"/>
                <w:sz w:val="24"/>
                <w:szCs w:val="24"/>
                <w:highlight w:val="none"/>
              </w:rPr>
              <w:t xml:space="preserve">保洁公司每月支付给员工不得低于人员配备表中工资标准，低于标准的，学校将从后勤费</w:t>
            </w:r>
            <w:r>
              <w:rPr>
                <w:rFonts w:hint="eastAsia" w:ascii="仿宋" w:hAnsi="仿宋" w:eastAsia="仿宋" w:cs="仿宋"/>
                <w:spacing w:val="-5"/>
                <w:sz w:val="24"/>
                <w:szCs w:val="24"/>
                <w:highlight w:val="none"/>
                <w:lang w:eastAsia="zh-CN"/>
              </w:rPr>
              <w:t xml:space="preserve">用中</w:t>
            </w:r>
            <w:r>
              <w:rPr>
                <w:rFonts w:hint="eastAsia" w:ascii="仿宋" w:hAnsi="仿宋" w:eastAsia="仿宋" w:cs="仿宋"/>
                <w:spacing w:val="-5"/>
                <w:sz w:val="24"/>
                <w:szCs w:val="24"/>
                <w:highlight w:val="none"/>
              </w:rPr>
              <w:t xml:space="preserve">扣除。所有罚款在接到罚款通知后一周内交学校财务处。</w:t>
            </w:r>
            <w:r/>
          </w:p>
        </w:tc>
      </w:tr>
      <w:tr>
        <w:trPr/>
        <w:tc>
          <w:tcPr>
            <w:tcW w:w="1111" w:type="dxa"/>
            <w:vAlign w:val="top"/>
            <w:vMerge w:val="restart"/>
            <w:textDirection w:val="lrTb"/>
            <w:noWrap w:val="false"/>
          </w:tcPr>
          <w:p>
            <w:pPr>
              <w:jc w:val="left"/>
              <w:spacing w:before="40" w:after="40" w:line="480" w:lineRule="exact"/>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zh-CN"/>
              </w:rPr>
              <w:t xml:space="preserve">宿舍管理员考核</w:t>
            </w:r>
            <w:r/>
          </w:p>
        </w:tc>
        <w:tc>
          <w:tcPr>
            <w:tcW w:w="7821" w:type="dxa"/>
            <w:vAlign w:val="top"/>
            <w:textDirection w:val="lrTb"/>
            <w:noWrap w:val="false"/>
          </w:tcPr>
          <w:p>
            <w:pPr>
              <w:ind w:right="36"/>
              <w:jc w:val="left"/>
              <w:spacing w:before="34" w:line="480" w:lineRule="exact"/>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1.责任区发现打架一次（三人以内包括三人）没有及时上报责任区管理人员</w:t>
            </w:r>
            <w:r>
              <w:rPr>
                <w:rFonts w:hint="eastAsia" w:ascii="仿宋" w:hAnsi="仿宋" w:eastAsia="仿宋" w:cs="仿宋"/>
                <w:spacing w:val="-3"/>
                <w:sz w:val="24"/>
                <w:szCs w:val="24"/>
                <w:highlight w:val="none"/>
                <w:lang w:eastAsia="zh-CN"/>
              </w:rPr>
              <w:t xml:space="preserve">罚款</w:t>
            </w:r>
            <w:r>
              <w:rPr>
                <w:rFonts w:hint="eastAsia" w:ascii="仿宋" w:hAnsi="仿宋" w:eastAsia="仿宋" w:cs="仿宋"/>
                <w:spacing w:val="-8"/>
                <w:sz w:val="24"/>
                <w:szCs w:val="24"/>
                <w:highlight w:val="none"/>
              </w:rPr>
              <w:t xml:space="preserve">30元；责任区出现打架一次（三人以上）没有及时上报罚责任区管理人员5</w:t>
            </w:r>
            <w:r>
              <w:rPr>
                <w:rFonts w:hint="eastAsia" w:ascii="仿宋" w:hAnsi="仿宋" w:eastAsia="仿宋" w:cs="仿宋"/>
                <w:spacing w:val="-9"/>
                <w:sz w:val="24"/>
                <w:szCs w:val="24"/>
                <w:highlight w:val="none"/>
              </w:rPr>
              <w:t xml:space="preserve">0元，</w:t>
            </w:r>
            <w:r>
              <w:rPr>
                <w:rFonts w:hint="eastAsia" w:ascii="仿宋" w:hAnsi="仿宋" w:eastAsia="仿宋" w:cs="仿宋"/>
                <w:spacing w:val="-5"/>
                <w:sz w:val="24"/>
                <w:szCs w:val="24"/>
                <w:highlight w:val="none"/>
              </w:rPr>
              <w:t xml:space="preserve">十分钟之后没有上报罚款100元。</w:t>
            </w:r>
            <w:r/>
          </w:p>
        </w:tc>
      </w:tr>
      <w:tr>
        <w:trPr/>
        <w:tc>
          <w:tcPr>
            <w:tcW w:w="1111" w:type="dxa"/>
            <w:vAlign w:val="top"/>
            <w:vMerge w:val="continue"/>
            <w:textDirection w:val="lrTb"/>
            <w:noWrap w:val="false"/>
          </w:tcPr>
          <w:p>
            <w:pPr>
              <w:ind w:firstLine="48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7821" w:type="dxa"/>
            <w:vAlign w:val="top"/>
            <w:textDirection w:val="lrTb"/>
            <w:noWrap w:val="false"/>
          </w:tcPr>
          <w:p>
            <w:pPr>
              <w:ind w:right="263"/>
              <w:jc w:val="left"/>
              <w:spacing w:before="31" w:line="480" w:lineRule="exact"/>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2.责任区出现私藏管制刀具等凶器未及时发现并上报的每次责任区管理人员罚款</w:t>
            </w:r>
            <w:r>
              <w:rPr>
                <w:rFonts w:hint="eastAsia" w:ascii="仿宋" w:hAnsi="仿宋" w:eastAsia="仿宋" w:cs="仿宋"/>
                <w:spacing w:val="-18"/>
                <w:sz w:val="24"/>
                <w:szCs w:val="24"/>
                <w:highlight w:val="none"/>
              </w:rPr>
              <w:t xml:space="preserve">20元。</w:t>
            </w:r>
            <w:r/>
          </w:p>
        </w:tc>
      </w:tr>
      <w:tr>
        <w:trPr/>
        <w:tc>
          <w:tcPr>
            <w:tcW w:w="1111" w:type="dxa"/>
            <w:vAlign w:val="top"/>
            <w:vMerge w:val="continue"/>
            <w:textDirection w:val="lrTb"/>
            <w:noWrap w:val="false"/>
          </w:tcPr>
          <w:p>
            <w:pPr>
              <w:ind w:firstLine="48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7821" w:type="dxa"/>
            <w:vAlign w:val="top"/>
            <w:textDirection w:val="lrTb"/>
            <w:noWrap w:val="false"/>
          </w:tcPr>
          <w:p>
            <w:pPr>
              <w:jc w:val="left"/>
              <w:spacing w:before="33" w:line="480" w:lineRule="exact"/>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3.责任区出现监控、消防设施破坏或无法使用，未及时上报每次罚款</w:t>
            </w:r>
            <w:r>
              <w:rPr>
                <w:rFonts w:hint="eastAsia" w:ascii="仿宋" w:hAnsi="仿宋" w:eastAsia="仿宋" w:cs="仿宋"/>
                <w:spacing w:val="-6"/>
                <w:sz w:val="24"/>
                <w:szCs w:val="24"/>
                <w:highlight w:val="none"/>
                <w:lang w:eastAsia="zh-CN"/>
              </w:rPr>
              <w:t xml:space="preserve">20元</w:t>
            </w:r>
            <w:r>
              <w:rPr>
                <w:rFonts w:hint="eastAsia" w:ascii="仿宋" w:hAnsi="仿宋" w:eastAsia="仿宋" w:cs="仿宋"/>
                <w:spacing w:val="-6"/>
                <w:sz w:val="24"/>
                <w:szCs w:val="24"/>
                <w:highlight w:val="none"/>
              </w:rPr>
              <w:t xml:space="preserve">。</w:t>
            </w:r>
            <w:r/>
          </w:p>
        </w:tc>
      </w:tr>
      <w:tr>
        <w:trPr/>
        <w:tc>
          <w:tcPr>
            <w:tcW w:w="1111" w:type="dxa"/>
            <w:vAlign w:val="top"/>
            <w:vMerge w:val="continue"/>
            <w:textDirection w:val="lrTb"/>
            <w:noWrap w:val="false"/>
          </w:tcPr>
          <w:p>
            <w:pPr>
              <w:ind w:firstLine="48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7821" w:type="dxa"/>
            <w:vAlign w:val="top"/>
            <w:textDirection w:val="lrTb"/>
            <w:noWrap w:val="false"/>
          </w:tcPr>
          <w:p>
            <w:pPr>
              <w:jc w:val="left"/>
              <w:spacing w:before="33" w:line="480" w:lineRule="exact"/>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4.宿舍内有学生上课期间无故逗留不管不问的责任人每人次罚款10元。</w:t>
            </w:r>
            <w:r/>
          </w:p>
        </w:tc>
      </w:tr>
      <w:tr>
        <w:trPr/>
        <w:tc>
          <w:tcPr>
            <w:tcW w:w="1111" w:type="dxa"/>
            <w:vAlign w:val="top"/>
            <w:vMerge w:val="continue"/>
            <w:textDirection w:val="lrTb"/>
            <w:noWrap w:val="false"/>
          </w:tcPr>
          <w:p>
            <w:pPr>
              <w:ind w:firstLine="48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7821" w:type="dxa"/>
            <w:vAlign w:val="top"/>
            <w:textDirection w:val="lrTb"/>
            <w:noWrap w:val="false"/>
          </w:tcPr>
          <w:p>
            <w:pPr>
              <w:ind w:right="108"/>
              <w:spacing w:before="31" w:line="480" w:lineRule="exact"/>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5.检查公共卫生责任区一次不合格罚款20元，连续三次以上不</w:t>
            </w:r>
            <w:r>
              <w:rPr>
                <w:rFonts w:hint="eastAsia" w:ascii="仿宋" w:hAnsi="仿宋" w:eastAsia="仿宋" w:cs="仿宋"/>
                <w:spacing w:val="-5"/>
                <w:sz w:val="24"/>
                <w:szCs w:val="24"/>
                <w:highlight w:val="none"/>
              </w:rPr>
              <w:t xml:space="preserve">合格管理人员予以</w:t>
            </w:r>
            <w:r>
              <w:rPr>
                <w:rFonts w:hint="eastAsia" w:ascii="仿宋" w:hAnsi="仿宋" w:eastAsia="仿宋" w:cs="仿宋"/>
                <w:spacing w:val="-7"/>
                <w:sz w:val="24"/>
                <w:szCs w:val="24"/>
                <w:highlight w:val="none"/>
              </w:rPr>
              <w:t xml:space="preserve">调换。领导检查每次责任区管理人员脱岗罚款40元，宿舍门卫脱岗一次罚款100</w:t>
            </w:r>
            <w:r>
              <w:rPr>
                <w:rFonts w:hint="eastAsia" w:ascii="仿宋" w:hAnsi="仿宋" w:eastAsia="仿宋" w:cs="仿宋"/>
                <w:spacing w:val="-2"/>
                <w:sz w:val="24"/>
                <w:szCs w:val="24"/>
                <w:highlight w:val="none"/>
              </w:rPr>
              <w:t xml:space="preserve">元，连续三次无故脱岗终止合同。</w:t>
            </w:r>
            <w:r/>
          </w:p>
        </w:tc>
      </w:tr>
      <w:tr>
        <w:trPr/>
        <w:tc>
          <w:tcPr>
            <w:tcW w:w="1111" w:type="dxa"/>
            <w:vAlign w:val="top"/>
            <w:vMerge w:val="continue"/>
            <w:textDirection w:val="lrTb"/>
            <w:noWrap w:val="false"/>
          </w:tcPr>
          <w:p>
            <w:pPr>
              <w:ind w:firstLine="48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7821" w:type="dxa"/>
            <w:vAlign w:val="top"/>
            <w:textDirection w:val="lrTb"/>
            <w:noWrap w:val="false"/>
          </w:tcPr>
          <w:p>
            <w:pPr>
              <w:spacing w:before="34" w:line="480" w:lineRule="exact"/>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6.电瓶车、摩托车等车辆进入宿舍停放罚责任区</w:t>
            </w:r>
            <w:r>
              <w:rPr>
                <w:rFonts w:hint="eastAsia" w:ascii="仿宋" w:hAnsi="仿宋" w:eastAsia="仿宋" w:cs="仿宋"/>
                <w:spacing w:val="-3"/>
                <w:sz w:val="24"/>
                <w:szCs w:val="24"/>
                <w:highlight w:val="none"/>
              </w:rPr>
              <w:t xml:space="preserve">管理10元。</w:t>
            </w:r>
            <w:r/>
          </w:p>
        </w:tc>
      </w:tr>
      <w:tr>
        <w:trPr/>
        <w:tc>
          <w:tcPr>
            <w:tcW w:w="1111" w:type="dxa"/>
            <w:vAlign w:val="top"/>
            <w:vMerge w:val="continue"/>
            <w:textDirection w:val="lrTb"/>
            <w:noWrap w:val="false"/>
          </w:tcPr>
          <w:p>
            <w:pPr>
              <w:ind w:firstLine="48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7821" w:type="dxa"/>
            <w:vAlign w:val="top"/>
            <w:textDirection w:val="lrTb"/>
            <w:noWrap w:val="false"/>
          </w:tcPr>
          <w:p>
            <w:pPr>
              <w:ind w:right="108"/>
              <w:spacing w:before="31" w:line="48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7.门禁期间人员随意进宿舍的罚款50元；刷卡考核期间学生自由出入宿舍，发现一人次罚区域值班责任人10元。</w:t>
            </w:r>
            <w:r/>
          </w:p>
        </w:tc>
      </w:tr>
      <w:tr>
        <w:trPr/>
        <w:tc>
          <w:tcPr>
            <w:tcW w:w="1111" w:type="dxa"/>
            <w:vAlign w:val="top"/>
            <w:vMerge w:val="continue"/>
            <w:textDirection w:val="lrTb"/>
            <w:noWrap w:val="false"/>
          </w:tcPr>
          <w:p>
            <w:pPr>
              <w:ind w:firstLine="48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7821" w:type="dxa"/>
            <w:vAlign w:val="top"/>
            <w:textDirection w:val="lrTb"/>
            <w:noWrap w:val="false"/>
          </w:tcPr>
          <w:p>
            <w:pPr>
              <w:ind w:right="108"/>
              <w:spacing w:before="31" w:line="48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8.晚就寝期间宿舍后门发现一人次翻越大门，罚区域值班责任人20元。</w:t>
            </w:r>
            <w:r/>
          </w:p>
        </w:tc>
      </w:tr>
      <w:tr>
        <w:trPr/>
        <w:tc>
          <w:tcPr>
            <w:tcW w:w="1111" w:type="dxa"/>
            <w:vAlign w:val="top"/>
            <w:vMerge w:val="continue"/>
            <w:textDirection w:val="lrTb"/>
            <w:noWrap w:val="false"/>
          </w:tcPr>
          <w:p>
            <w:pPr>
              <w:ind w:firstLine="48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7821" w:type="dxa"/>
            <w:vAlign w:val="top"/>
            <w:textDirection w:val="lrTb"/>
            <w:noWrap w:val="false"/>
          </w:tcPr>
          <w:p>
            <w:pPr>
              <w:ind w:right="108"/>
              <w:spacing w:before="31" w:line="48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9.与学生谈话每人每学期不少于2次，每少一人次罚款20元</w:t>
            </w:r>
            <w:r>
              <w:rPr>
                <w:rFonts w:hint="eastAsia" w:ascii="仿宋" w:hAnsi="仿宋" w:eastAsia="仿宋" w:cs="仿宋"/>
                <w:spacing w:val="-4"/>
                <w:sz w:val="24"/>
                <w:szCs w:val="24"/>
                <w:highlight w:val="none"/>
                <w:lang w:eastAsia="zh-CN"/>
              </w:rPr>
              <w:t xml:space="preserve">（以</w:t>
            </w:r>
            <w:r>
              <w:rPr>
                <w:rFonts w:hint="eastAsia" w:ascii="仿宋" w:hAnsi="仿宋" w:eastAsia="仿宋" w:cs="仿宋"/>
                <w:spacing w:val="-4"/>
                <w:sz w:val="24"/>
                <w:szCs w:val="24"/>
                <w:highlight w:val="none"/>
              </w:rPr>
              <w:t xml:space="preserve">检查记录和随机访谈为准）。</w:t>
            </w:r>
            <w:r/>
          </w:p>
        </w:tc>
      </w:tr>
      <w:tr>
        <w:trPr>
          <w:trHeight w:val="237"/>
        </w:trPr>
        <w:tc>
          <w:tcPr>
            <w:tcW w:w="1111" w:type="dxa"/>
            <w:vAlign w:val="top"/>
            <w:vMerge w:val="restart"/>
            <w:textDirection w:val="lrTb"/>
            <w:noWrap w:val="false"/>
          </w:tcPr>
          <w:p>
            <w:pPr>
              <w:ind w:left="0" w:firstLine="0"/>
              <w:jc w:val="both"/>
              <w:spacing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color w:val="auto"/>
                <w:sz w:val="24"/>
                <w:szCs w:val="22"/>
                <w:highlight w:val="none"/>
                <w:lang w:val="en-US" w:eastAsia="zh-CN" w:bidi="ar-SA"/>
              </w:rPr>
              <w:t xml:space="preserve">水电工考核</w:t>
            </w:r>
            <w:r/>
          </w:p>
        </w:tc>
        <w:tc>
          <w:tcPr>
            <w:tcW w:w="7821" w:type="dxa"/>
            <w:vAlign w:val="top"/>
            <w:textDirection w:val="lrTb"/>
            <w:noWrap w:val="false"/>
          </w:tcPr>
          <w:p>
            <w:pPr>
              <w:ind w:right="108"/>
              <w:spacing w:before="31" w:line="480" w:lineRule="exact"/>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1.公共区域照明系统出现故障未及时更换，每处故障超24小时未处理，罚款100元</w:t>
            </w:r>
            <w:r>
              <w:rPr>
                <w:rFonts w:hint="eastAsia" w:ascii="仿宋" w:hAnsi="仿宋" w:eastAsia="仿宋" w:cs="仿宋"/>
                <w:spacing w:val="-5"/>
                <w:sz w:val="24"/>
                <w:szCs w:val="24"/>
                <w:highlight w:val="none"/>
              </w:rPr>
              <w:t xml:space="preserve">/次</w:t>
            </w:r>
            <w:r>
              <w:rPr>
                <w:rFonts w:hint="eastAsia" w:ascii="仿宋" w:hAnsi="仿宋" w:eastAsia="仿宋" w:cs="仿宋"/>
                <w:spacing w:val="-4"/>
                <w:sz w:val="24"/>
                <w:szCs w:val="24"/>
                <w:highlight w:val="none"/>
                <w:lang w:val="en-US" w:eastAsia="zh-CN"/>
              </w:rPr>
              <w:t xml:space="preserve">。</w:t>
            </w:r>
            <w:r/>
          </w:p>
        </w:tc>
      </w:tr>
      <w:tr>
        <w:trPr>
          <w:trHeight w:val="237"/>
        </w:trPr>
        <w:tc>
          <w:tcPr>
            <w:tcW w:w="1111" w:type="dxa"/>
            <w:vAlign w:val="top"/>
            <w:vMerge w:val="continue"/>
            <w:textDirection w:val="lrTb"/>
            <w:noWrap w:val="false"/>
          </w:tcPr>
          <w:p>
            <w:pPr>
              <w:ind w:right="108"/>
              <w:spacing w:before="31" w:line="480" w:lineRule="exact"/>
              <w:rPr>
                <w:rFonts w:hint="default" w:ascii="Times New Roman" w:hAnsi="Times New Roman" w:eastAsia="宋体"/>
                <w:highlight w:val="none"/>
              </w:rPr>
            </w:pPr>
            <w:r>
              <w:rPr>
                <w:rFonts w:hint="default" w:ascii="Times New Roman" w:hAnsi="Times New Roman" w:eastAsia="宋体"/>
                <w:highlight w:val="none"/>
              </w:rPr>
            </w:r>
            <w:r/>
          </w:p>
        </w:tc>
        <w:tc>
          <w:tcPr>
            <w:tcW w:w="7821" w:type="dxa"/>
            <w:vAlign w:val="top"/>
            <w:textDirection w:val="lrTb"/>
            <w:noWrap w:val="false"/>
          </w:tcPr>
          <w:p>
            <w:pPr>
              <w:ind w:right="108"/>
              <w:spacing w:before="31" w:line="480" w:lineRule="exact"/>
              <w:rPr>
                <w:rFonts w:hint="default"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2.未建立健全设施设备台账，或台账信息缺失、更新不及时，首次警告，逾期未整改罚款300元。</w:t>
            </w:r>
            <w:r/>
          </w:p>
        </w:tc>
      </w:tr>
      <w:tr>
        <w:trPr>
          <w:trHeight w:val="237"/>
        </w:trPr>
        <w:tc>
          <w:tcPr>
            <w:tcW w:w="1111" w:type="dxa"/>
            <w:vAlign w:val="top"/>
            <w:vMerge w:val="continue"/>
            <w:textDirection w:val="lrTb"/>
            <w:noWrap w:val="false"/>
          </w:tcPr>
          <w:p>
            <w:pPr>
              <w:ind w:right="108"/>
              <w:spacing w:before="31" w:line="48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r>
            <w:r/>
          </w:p>
        </w:tc>
        <w:tc>
          <w:tcPr>
            <w:tcW w:w="7821" w:type="dxa"/>
            <w:vAlign w:val="top"/>
            <w:textDirection w:val="lrTb"/>
            <w:noWrap w:val="false"/>
          </w:tcPr>
          <w:p>
            <w:pPr>
              <w:ind w:right="108"/>
              <w:spacing w:before="31" w:line="480" w:lineRule="exact"/>
              <w:rPr>
                <w:rFonts w:hint="default"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3.供配电系统重点部位（高低压配电柜、配电箱等）每月巡视维护不足4次，每次罚款150元；未提供检查记录或问题清单，每次罚款100元。</w:t>
            </w:r>
            <w:r/>
          </w:p>
        </w:tc>
      </w:tr>
      <w:tr>
        <w:trPr>
          <w:trHeight w:val="237"/>
        </w:trPr>
        <w:tc>
          <w:tcPr>
            <w:tcW w:w="1111" w:type="dxa"/>
            <w:vAlign w:val="top"/>
            <w:vMerge w:val="continue"/>
            <w:textDirection w:val="lrTb"/>
            <w:noWrap w:val="false"/>
          </w:tcPr>
          <w:p>
            <w:pPr>
              <w:ind w:right="108"/>
              <w:spacing w:before="31" w:line="48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r>
            <w:r/>
          </w:p>
        </w:tc>
        <w:tc>
          <w:tcPr>
            <w:tcW w:w="7821" w:type="dxa"/>
            <w:vAlign w:val="top"/>
            <w:textDirection w:val="lrTb"/>
            <w:noWrap w:val="false"/>
          </w:tcPr>
          <w:p>
            <w:pPr>
              <w:ind w:right="108"/>
              <w:spacing w:before="31" w:line="48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lang w:val="en-US" w:eastAsia="zh-CN"/>
              </w:rPr>
              <w:t xml:space="preserve">4.</w:t>
            </w:r>
            <w:r>
              <w:rPr>
                <w:rFonts w:hint="eastAsia" w:ascii="仿宋" w:hAnsi="仿宋" w:eastAsia="仿宋" w:cs="仿宋"/>
                <w:spacing w:val="-4"/>
                <w:sz w:val="24"/>
                <w:szCs w:val="24"/>
                <w:highlight w:val="none"/>
              </w:rPr>
              <w:t xml:space="preserve">重大节假日（如寒暑假、法定长假）或恶劣天气（暴雨、暴雪、强台风等）前后，未组织系统巡检，每次罚款500元。</w:t>
            </w:r>
            <w:r/>
          </w:p>
        </w:tc>
      </w:tr>
      <w:tr>
        <w:trPr>
          <w:trHeight w:val="237"/>
        </w:trPr>
        <w:tc>
          <w:tcPr>
            <w:tcW w:w="1111" w:type="dxa"/>
            <w:vAlign w:val="top"/>
            <w:vMerge w:val="continue"/>
            <w:textDirection w:val="lrTb"/>
            <w:noWrap w:val="false"/>
          </w:tcPr>
          <w:p>
            <w:pPr>
              <w:ind w:right="108"/>
              <w:spacing w:before="31" w:line="48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r>
            <w:r/>
          </w:p>
        </w:tc>
        <w:tc>
          <w:tcPr>
            <w:tcW w:w="7821" w:type="dxa"/>
            <w:vAlign w:val="top"/>
            <w:textDirection w:val="lrTb"/>
            <w:noWrap w:val="false"/>
          </w:tcPr>
          <w:p>
            <w:pPr>
              <w:ind w:right="108"/>
              <w:spacing w:before="31" w:line="480" w:lineRule="exact"/>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5.未建立或完善电气设备运行、安全操作、事故处理等规章制度，每项缺失罚款200元；制度存在明显漏洞导致操作风险，罚款300元。</w:t>
            </w:r>
            <w:r/>
          </w:p>
        </w:tc>
      </w:tr>
      <w:tr>
        <w:trPr>
          <w:trHeight w:val="237"/>
        </w:trPr>
        <w:tc>
          <w:tcPr>
            <w:tcW w:w="1111" w:type="dxa"/>
            <w:vAlign w:val="top"/>
            <w:vMerge w:val="continue"/>
            <w:textDirection w:val="lrTb"/>
            <w:noWrap w:val="false"/>
          </w:tcPr>
          <w:p>
            <w:pPr>
              <w:ind w:right="108"/>
              <w:spacing w:before="31" w:line="48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r>
            <w:r/>
          </w:p>
        </w:tc>
        <w:tc>
          <w:tcPr>
            <w:tcW w:w="7821" w:type="dxa"/>
            <w:vAlign w:val="top"/>
            <w:textDirection w:val="lrTb"/>
            <w:noWrap w:val="false"/>
          </w:tcPr>
          <w:p>
            <w:pPr>
              <w:ind w:right="108"/>
              <w:spacing w:before="31" w:line="480" w:lineRule="exact"/>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6.工作人员无上岗资格证书或证书过期仍上岗，每人次罚款400元；配电房环境脏乱，每次检查不合格罚款150元。</w:t>
            </w:r>
            <w:r/>
          </w:p>
        </w:tc>
      </w:tr>
      <w:tr>
        <w:trPr>
          <w:trHeight w:val="237"/>
        </w:trPr>
        <w:tc>
          <w:tcPr>
            <w:tcW w:w="1111" w:type="dxa"/>
            <w:vAlign w:val="top"/>
            <w:vMerge w:val="continue"/>
            <w:textDirection w:val="lrTb"/>
            <w:noWrap w:val="false"/>
          </w:tcPr>
          <w:p>
            <w:pPr>
              <w:ind w:right="108"/>
              <w:spacing w:before="31" w:line="48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r>
            <w:r/>
          </w:p>
        </w:tc>
        <w:tc>
          <w:tcPr>
            <w:tcW w:w="7821" w:type="dxa"/>
            <w:vAlign w:val="top"/>
            <w:textDirection w:val="lrTb"/>
            <w:noWrap w:val="false"/>
          </w:tcPr>
          <w:p>
            <w:pPr>
              <w:ind w:right="108"/>
              <w:spacing w:before="31" w:line="480" w:lineRule="exact"/>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7.安全防范系统维护保养不符合《安全防范系统维护保养规范》（GA/T 1081）要求，每次检查不合格罚款150元；因维护不到位导致系统失效，每次罚款150元。</w:t>
            </w:r>
            <w:r/>
          </w:p>
        </w:tc>
      </w:tr>
      <w:tr>
        <w:trPr>
          <w:trHeight w:val="100"/>
        </w:trPr>
        <w:tc>
          <w:tcPr>
            <w:tcW w:w="1111" w:type="dxa"/>
            <w:vAlign w:val="top"/>
            <w:vMerge w:val="restart"/>
            <w:textDirection w:val="lrTb"/>
            <w:noWrap w:val="false"/>
          </w:tcPr>
          <w:p>
            <w:pPr>
              <w:ind w:right="108"/>
              <w:spacing w:before="31" w:line="480" w:lineRule="exact"/>
              <w:rPr>
                <w:rFonts w:hint="eastAsia" w:ascii="仿宋" w:hAnsi="仿宋" w:eastAsia="仿宋" w:cs="仿宋"/>
                <w:spacing w:val="-4"/>
                <w:sz w:val="24"/>
                <w:szCs w:val="24"/>
                <w:highlight w:val="none"/>
              </w:rPr>
            </w:pPr>
            <w:r>
              <w:rPr>
                <w:rFonts w:hint="eastAsia" w:ascii="仿宋" w:hAnsi="仿宋" w:eastAsia="仿宋" w:cs="仿宋"/>
                <w:spacing w:val="-6"/>
                <w:sz w:val="24"/>
                <w:szCs w:val="24"/>
                <w:highlight w:val="none"/>
                <w:lang w:val="en-US" w:eastAsia="zh-CN"/>
              </w:rPr>
              <w:t xml:space="preserve">暖通工</w:t>
            </w:r>
            <w:r>
              <w:rPr>
                <w:rFonts w:hint="eastAsia" w:ascii="仿宋" w:hAnsi="仿宋" w:eastAsia="仿宋" w:cs="仿宋"/>
                <w:color w:val="auto"/>
                <w:sz w:val="24"/>
                <w:highlight w:val="none"/>
                <w:lang w:val="en-US" w:eastAsia="zh-CN"/>
              </w:rPr>
              <w:t xml:space="preserve">考核</w:t>
            </w:r>
            <w:r/>
          </w:p>
        </w:tc>
        <w:tc>
          <w:tcPr>
            <w:tcW w:w="7821" w:type="dxa"/>
            <w:vAlign w:val="top"/>
            <w:textDirection w:val="lrTb"/>
            <w:noWrap w:val="false"/>
          </w:tcPr>
          <w:p>
            <w:pPr>
              <w:ind w:right="108"/>
              <w:spacing w:before="31" w:line="480" w:lineRule="exact"/>
              <w:rPr>
                <w:rFonts w:hint="default"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1、未按要求对暖气、供水、排水系统及锅炉、管道、阀门等设备开展日常巡检，每次罚款200元；未记录设备运行状态，每次罚款100元。</w:t>
            </w:r>
            <w:r/>
          </w:p>
        </w:tc>
      </w:tr>
      <w:tr>
        <w:trPr>
          <w:trHeight w:val="100"/>
        </w:trPr>
        <w:tc>
          <w:tcPr>
            <w:tcW w:w="1111" w:type="dxa"/>
            <w:vAlign w:val="top"/>
            <w:vMerge w:val="continue"/>
            <w:textDirection w:val="lrTb"/>
            <w:noWrap w:val="false"/>
          </w:tcPr>
          <w:p>
            <w:pPr>
              <w:ind w:right="108"/>
              <w:spacing w:before="31" w:line="480" w:lineRule="exact"/>
              <w:rPr>
                <w:rFonts w:hint="default" w:ascii="Times New Roman" w:hAnsi="Times New Roman" w:eastAsia="宋体"/>
                <w:highlight w:val="none"/>
              </w:rPr>
            </w:pPr>
            <w:r>
              <w:rPr>
                <w:rFonts w:hint="default" w:ascii="Times New Roman" w:hAnsi="Times New Roman" w:eastAsia="宋体"/>
                <w:highlight w:val="none"/>
              </w:rPr>
            </w:r>
            <w:r/>
          </w:p>
        </w:tc>
        <w:tc>
          <w:tcPr>
            <w:tcW w:w="7821" w:type="dxa"/>
            <w:vAlign w:val="top"/>
            <w:textDirection w:val="lrTb"/>
            <w:noWrap w:val="false"/>
          </w:tcPr>
          <w:p>
            <w:pPr>
              <w:ind w:right="108"/>
              <w:spacing w:before="31" w:line="480" w:lineRule="exact"/>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2、因巡检维护不到位导致设备故障（如管道冻裂、阀门损坏），除承担维修费用的20%外，每次罚款300元。</w:t>
            </w:r>
            <w:r/>
          </w:p>
        </w:tc>
      </w:tr>
      <w:tr>
        <w:trPr>
          <w:trHeight w:val="100"/>
        </w:trPr>
        <w:tc>
          <w:tcPr>
            <w:tcW w:w="1111" w:type="dxa"/>
            <w:vAlign w:val="top"/>
            <w:vMerge w:val="continue"/>
            <w:textDirection w:val="lrTb"/>
            <w:noWrap w:val="false"/>
          </w:tcPr>
          <w:p>
            <w:pPr>
              <w:ind w:right="108"/>
              <w:spacing w:before="31" w:line="480" w:lineRule="exact"/>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r>
            <w:r/>
          </w:p>
        </w:tc>
        <w:tc>
          <w:tcPr>
            <w:tcW w:w="7821" w:type="dxa"/>
            <w:vAlign w:val="top"/>
            <w:textDirection w:val="lrTb"/>
            <w:noWrap w:val="false"/>
          </w:tcPr>
          <w:p>
            <w:pPr>
              <w:ind w:right="108"/>
              <w:spacing w:before="31" w:line="480" w:lineRule="exact"/>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3、未建立水暖设备台账，或台账信息（型号、安装时间、维修记录）缺失、未及时更新，首次警告，逾期未整改罚款250元。</w:t>
            </w:r>
            <w:r/>
          </w:p>
        </w:tc>
      </w:tr>
      <w:tr>
        <w:trPr>
          <w:trHeight w:val="100"/>
        </w:trPr>
        <w:tc>
          <w:tcPr>
            <w:tcW w:w="1111" w:type="dxa"/>
            <w:vAlign w:val="top"/>
            <w:vMerge w:val="continue"/>
            <w:textDirection w:val="lrTb"/>
            <w:noWrap w:val="false"/>
          </w:tcPr>
          <w:p>
            <w:pPr>
              <w:ind w:right="108"/>
              <w:spacing w:before="31" w:line="480" w:lineRule="exact"/>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r>
            <w:r/>
          </w:p>
        </w:tc>
        <w:tc>
          <w:tcPr>
            <w:tcW w:w="7821" w:type="dxa"/>
            <w:vAlign w:val="top"/>
            <w:textDirection w:val="lrTb"/>
            <w:noWrap w:val="false"/>
          </w:tcPr>
          <w:p>
            <w:pPr>
              <w:ind w:right="108"/>
              <w:spacing w:before="31" w:line="480" w:lineRule="exact"/>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4、接到水暖系统故障（管道漏水、暖气不热、下水道堵塞）报修后，非紧急情况超2小时未到场处理，紧急情况（如大面积漏水、冬季暖气停供）超30分钟未到场，每次罚款250元。</w:t>
            </w:r>
            <w:r/>
          </w:p>
        </w:tc>
      </w:tr>
      <w:tr>
        <w:trPr>
          <w:trHeight w:val="100"/>
        </w:trPr>
        <w:tc>
          <w:tcPr>
            <w:tcW w:w="1111" w:type="dxa"/>
            <w:vAlign w:val="top"/>
            <w:vMerge w:val="continue"/>
            <w:textDirection w:val="lrTb"/>
            <w:noWrap w:val="false"/>
          </w:tcPr>
          <w:p>
            <w:pPr>
              <w:ind w:right="108"/>
              <w:spacing w:before="31" w:line="480" w:lineRule="exact"/>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r>
            <w:r/>
          </w:p>
        </w:tc>
        <w:tc>
          <w:tcPr>
            <w:tcW w:w="7821" w:type="dxa"/>
            <w:vAlign w:val="top"/>
            <w:textDirection w:val="lrTb"/>
            <w:noWrap w:val="false"/>
          </w:tcPr>
          <w:p>
            <w:pPr>
              <w:numPr>
                <w:ilvl w:val="0"/>
                <w:numId w:val="6"/>
              </w:numPr>
              <w:ind w:right="108"/>
              <w:spacing w:before="31" w:line="480" w:lineRule="exact"/>
              <w:rPr>
                <w:rFonts w:hint="default"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每月对水暖系统的检查次数不足2次，少1次罚款200元；未提供检查记录或问题清单，每次罚款100元。</w:t>
            </w:r>
            <w:r/>
          </w:p>
        </w:tc>
      </w:tr>
      <w:tr>
        <w:trPr>
          <w:trHeight w:val="100"/>
        </w:trPr>
        <w:tc>
          <w:tcPr>
            <w:tcW w:w="1111" w:type="dxa"/>
            <w:vAlign w:val="top"/>
            <w:vMerge w:val="continue"/>
            <w:textDirection w:val="lrTb"/>
            <w:noWrap w:val="false"/>
          </w:tcPr>
          <w:p>
            <w:pPr>
              <w:ind w:right="108"/>
              <w:spacing w:before="31" w:line="480" w:lineRule="exact"/>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r>
            <w:r/>
          </w:p>
        </w:tc>
        <w:tc>
          <w:tcPr>
            <w:tcW w:w="7821" w:type="dxa"/>
            <w:vAlign w:val="top"/>
            <w:textDirection w:val="lrTb"/>
            <w:noWrap w:val="false"/>
          </w:tcPr>
          <w:p>
            <w:pPr>
              <w:ind w:right="108"/>
              <w:spacing w:before="31" w:line="480" w:lineRule="exact"/>
              <w:rPr>
                <w:rFonts w:hint="eastAsia"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6、安排的小型维修任务无正当理由不能及时完成，每次将罚款5-50元。</w:t>
            </w:r>
            <w:r/>
          </w:p>
        </w:tc>
      </w:tr>
      <w:tr>
        <w:trPr/>
        <w:tc>
          <w:tcPr>
            <w:tcW w:w="1111" w:type="dxa"/>
            <w:vAlign w:val="center"/>
            <w:textDirection w:val="lrTb"/>
            <w:noWrap w:val="false"/>
          </w:tcPr>
          <w:p>
            <w:pPr>
              <w:ind w:firstLine="0"/>
              <w:jc w:val="both"/>
              <w:spacing w:line="480" w:lineRule="exact"/>
              <w:widowControl w:val="off"/>
              <w:rPr>
                <w:rFonts w:hint="eastAsia" w:ascii="仿宋" w:hAnsi="仿宋" w:eastAsia="仿宋" w:cs="仿宋"/>
                <w:spacing w:val="-4"/>
                <w:sz w:val="24"/>
                <w:szCs w:val="24"/>
                <w:highlight w:val="none"/>
                <w:lang w:val="en-US" w:eastAsia="zh-CN" w:bidi="ar-SA"/>
              </w:rPr>
            </w:pPr>
            <w:r>
              <w:rPr>
                <w:rFonts w:hint="eastAsia" w:ascii="仿宋" w:hAnsi="仿宋" w:eastAsia="仿宋" w:cs="仿宋"/>
                <w:spacing w:val="-4"/>
                <w:sz w:val="24"/>
                <w:szCs w:val="24"/>
                <w:highlight w:val="none"/>
                <w:lang w:val="en-US" w:eastAsia="zh-CN" w:bidi="ar-SA"/>
              </w:rPr>
              <w:t xml:space="preserve">备注</w:t>
            </w:r>
            <w:r/>
          </w:p>
        </w:tc>
        <w:tc>
          <w:tcPr>
            <w:tcW w:w="7821" w:type="dxa"/>
            <w:vAlign w:val="center"/>
            <w:textDirection w:val="lrTb"/>
            <w:noWrap w:val="false"/>
          </w:tcPr>
          <w:p>
            <w:pPr>
              <w:ind w:right="108"/>
              <w:spacing w:before="31" w:line="48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所有罚款在接到罚款通知后一周内交学校财务处。</w:t>
            </w:r>
            <w:r/>
          </w:p>
        </w:tc>
      </w:tr>
    </w:tbl>
    <w:p>
      <w:pPr>
        <w:pStyle w:val="125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r>
      <w:r/>
    </w:p>
    <w:p>
      <w:pPr>
        <w:pStyle w:val="125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 xml:space="preserve">六、设备、工具、</w:t>
      </w:r>
      <w:r>
        <w:rPr>
          <w:rFonts w:hint="eastAsia" w:ascii="仿宋" w:hAnsi="仿宋" w:eastAsia="仿宋" w:cs="仿宋"/>
          <w:bCs/>
          <w:color w:val="000000"/>
          <w:szCs w:val="32"/>
          <w:lang w:val="zh-CN"/>
        </w:rPr>
        <w:t xml:space="preserve">服装要求</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1、设备及保洁工具全新或八成新以上。</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2、装备清单，包含清洁工具、清洁用品、通讯器材、水电工用电焊机、电锤、手电钻、管钳、台钳、万用表等水电工维修工具，各种保洁专用警示牌等。</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3、中标人进驻前五天，将以上设备（工具）、耗材物品等配置到办公区，缺一不可。否则采购人将拒绝中标人进场，所产生的责任由中标人承担。</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4、人员服装要求</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（2）人员服装应全新，质量上乘，为纯棉制品，穿着舒适，经久耐穿，具备本单位特色，且能够展示本单位和采购人单位场所风采。投标文件中按岗位不同分别提供服装样式图片。</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（3）服装数量要求：项目组成员每人每季节2套服装（包括上衣和裤子），其中春夏季为短袖样式，秋冬季为长袖样式。服装由中标人在采购人指定时间前备案并发放至员工。</w:t>
      </w:r>
      <w:r/>
    </w:p>
    <w:p>
      <w:pPr>
        <w:pStyle w:val="125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 xml:space="preserve">七、进退场交接方案及要求</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（一）进场交接要求</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1. 交接准备</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进场前勘查：新物业服务企业在进场前对办公楼进行全面勘查，了解设施设备、环境、安全等情况。</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人员培训：新物业服务企业应对员工进行岗前培训，确保熟悉办公楼的管理制度和服务标准。</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2.交接内容</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资料交接：包括但不限于建筑图纸、设备档案、合同、业主信息、历史维修记录等。</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设施设备交接：对办公楼内的电梯、空调、消防、安防等设备进行清点，确保设备完好并处于正常运行状态。</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物资交接：包括办公用品、清洁工具、安保器材等，确保数量和质量符合要求。</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财务交接：涉及物业费、押金、未结清费用等，双方应核对账目并签字确认。</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3.交接程序</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交接会议：双方应召开交接会议，明确交接内容、时间、责任等事项。</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现场交接：双方应共同对办公楼进行现场检查，确认设施设备、物资等的状况。</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签字确认：交接完成后，双方应签署交接文件，确认交接内容。</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（二）退场交接要求</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1.退场准备</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资料整理：退场物业服务企业应整理好所有相关资料，包括设备档案、维修记录、合同等。</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设施设备检查：退场前应对办公楼内的设施设备进行全面检查，确保设备正常运行。</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物资清点：退场前应对所有物资进行清点，确保无遗失或损坏。</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2.退场内容</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资料移交：退场物业服务企业应将所有相关资料移交给新物业服务企业或业主方。</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设施设备移交：退场物业服务企业应确保所有设施设备处于正常运行状态，并移交给新物业服务企业或业主方。</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物资移交：退场物业服务企业应将所有物资移交给新物业服务企业或业主方，确保数量和质量符合要求。</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财务结算：退场物业服务企业应与业主方进行财务结算，结清所有费用。</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3.退场程序</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退场会议：双方应召开退场会议，明确退场内容、时间、责任等事项。</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现场检查：双方应共同对办公楼进行现场检查，确认设施设备、物资等的状况。</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签字确认：退场完成后，双方应签署退场文件，确认退场内容。</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（三）其他要求</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1.交接时间：进退场交接应在合同规定的期限内完成，确保不影响办公楼的正常使用。</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2.交接责任：双方应明确交接过程中的责任，确保交接顺利进行。</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3.交接记录：交接过程应详细记录，双方签字确认，作为后续管理的依据。</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通过以上要求，确保行政办公楼物业服务采购项目的进退场交接顺利进行，保障物业服务的连续性和质量。</w:t>
      </w:r>
      <w:r/>
    </w:p>
    <w:p>
      <w:pPr>
        <w:pStyle w:val="125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 xml:space="preserve">八、重大活动保障及应急预案</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（1）制订流程。配合采购人制订重大活动后勤保障工作流程，需对任务进行详细了解，</w:t>
      </w:r>
      <w:r>
        <w:rPr>
          <w:rFonts w:hint="eastAsia" w:ascii="宋体" w:hAnsi="宋体" w:cs="宋体"/>
          <w:szCs w:val="24"/>
        </w:rPr>
        <w:t xml:space="preserve">根据采购人要求，</w:t>
      </w:r>
      <w:r>
        <w:rPr>
          <w:rFonts w:ascii="Segoe UI" w:hAnsi="Segoe UI" w:eastAsia="Segoe UI" w:cs="Segoe UI"/>
          <w:szCs w:val="24"/>
          <w:shd w:val="clear" w:color="auto" w:fill="ffffff"/>
        </w:rPr>
        <w:t xml:space="preserve">临时增派工作人员提供支持。</w:t>
      </w:r>
      <w:r>
        <w:rPr>
          <w:rFonts w:hint="eastAsia" w:ascii="宋体" w:hAnsi="宋体" w:cs="宋体"/>
          <w:szCs w:val="24"/>
          <w:lang w:val="zh-CN"/>
        </w:rPr>
        <w:t xml:space="preserve">并根据工作安排制定详细的后勤保障计划。</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（3）收尾工作。对现场进行检查，做好清理工作。</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（5）应急预案的建立。根据</w:t>
      </w:r>
      <w:r>
        <w:rPr>
          <w:rFonts w:hint="eastAsia" w:ascii="宋体" w:hAnsi="宋体" w:cs="宋体"/>
          <w:szCs w:val="24"/>
        </w:rPr>
        <w:t xml:space="preserve">建筑</w:t>
      </w:r>
      <w:r>
        <w:rPr>
          <w:rFonts w:hint="eastAsia" w:ascii="宋体" w:hAnsi="宋体" w:cs="宋体"/>
          <w:szCs w:val="24"/>
          <w:lang w:val="zh-CN"/>
        </w:rPr>
        <w:t xml:space="preserve">隐患排查的结果和实际情况，制定专项预案，包括但不限于：火情火警紧急处理应急预案、紧急疏散应急预案、停水停电应急预案、有限空间救援应急预案、恶劣天气应对应急预案等。</w:t>
      </w:r>
      <w:r/>
    </w:p>
    <w:p>
      <w:pPr>
        <w:pStyle w:val="1176"/>
        <w:ind w:firstLine="482"/>
        <w:jc w:val="left"/>
        <w:spacing w:line="500" w:lineRule="exact"/>
        <w:widowControl/>
        <w:rPr>
          <w:rFonts w:hint="eastAsia" w:ascii="宋体" w:hAnsi="宋体" w:cs="宋体"/>
          <w:szCs w:val="24"/>
          <w:lang w:val="zh-CN"/>
        </w:rPr>
      </w:pPr>
      <w:r>
        <w:rPr>
          <w:rFonts w:hint="eastAsia" w:ascii="宋体" w:hAnsi="宋体" w:cs="宋体"/>
          <w:szCs w:val="24"/>
          <w:lang w:val="zh-CN"/>
        </w:rPr>
        <w:t xml:space="preserve">（6）应急预案的培训和演练。应急预案定期培训和演练，组织相关岗位每</w:t>
      </w:r>
      <w:r>
        <w:rPr>
          <w:rFonts w:hint="eastAsia" w:ascii="宋体" w:hAnsi="宋体" w:cs="宋体"/>
          <w:szCs w:val="24"/>
        </w:rPr>
        <w:t xml:space="preserve">季度</w:t>
      </w:r>
      <w:r>
        <w:rPr>
          <w:rFonts w:hint="eastAsia" w:ascii="宋体" w:hAnsi="宋体" w:cs="宋体"/>
          <w:szCs w:val="24"/>
          <w:lang w:val="zh-CN"/>
        </w:rPr>
        <w:t xml:space="preserve">至少开展一次专项应急预案演练；留存培训及演练记录和影像资料，并对预案进行评价，确保与实际情况相结合。</w:t>
      </w:r>
      <w:r/>
    </w:p>
    <w:p>
      <w:pPr>
        <w:pStyle w:val="1176"/>
        <w:ind w:firstLine="482"/>
        <w:jc w:val="left"/>
        <w:spacing w:line="500" w:lineRule="exact"/>
        <w:widowControl/>
        <w:rPr>
          <w:rFonts w:hint="eastAsia" w:ascii="宋体" w:hAnsi="宋体" w:cs="宋体"/>
          <w:szCs w:val="24"/>
        </w:rPr>
      </w:pPr>
      <w:r>
        <w:rPr>
          <w:rFonts w:hint="eastAsia" w:ascii="宋体" w:hAnsi="宋体" w:cs="宋体"/>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125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 xml:space="preserve">九、报价要求</w:t>
      </w:r>
      <w:r/>
    </w:p>
    <w:p>
      <w:pPr>
        <w:pStyle w:val="1176"/>
        <w:ind w:firstLine="482"/>
        <w:jc w:val="left"/>
        <w:spacing w:line="500" w:lineRule="exact"/>
        <w:widowControl/>
        <w:rPr>
          <w:rFonts w:hint="eastAsia" w:ascii="宋体" w:hAnsi="宋体" w:cs="宋体"/>
          <w:szCs w:val="24"/>
        </w:rPr>
      </w:pPr>
      <w:r>
        <w:rPr>
          <w:rFonts w:hint="eastAsia" w:ascii="宋体" w:hAnsi="宋体" w:cs="宋体"/>
          <w:szCs w:val="24"/>
        </w:rPr>
        <w:t xml:space="preserve">1.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pStyle w:val="1176"/>
        <w:ind w:firstLine="480"/>
        <w:jc w:val="left"/>
        <w:spacing w:line="500" w:lineRule="exact"/>
        <w:widowControl/>
        <w:rPr>
          <w:rFonts w:hint="eastAsia" w:ascii="仿宋" w:hAnsi="仿宋" w:eastAsia="仿宋" w:cs="仿宋"/>
          <w:bCs/>
          <w:i/>
          <w:iCs/>
          <w:color w:val="ff0000"/>
          <w:szCs w:val="24"/>
          <w:u w:val="single"/>
        </w:rPr>
      </w:pPr>
      <w:r>
        <w:rPr>
          <w:rFonts w:hint="eastAsia" w:ascii="仿宋" w:hAnsi="仿宋" w:eastAsia="仿宋" w:cs="仿宋"/>
          <w:bCs/>
          <w:i/>
          <w:iCs/>
          <w:color w:val="ff0000"/>
          <w:szCs w:val="24"/>
          <w:u w:val="single"/>
        </w:rPr>
        <w:t xml:space="preserve">2．投标人应在投标文件中明确增值税纳税人身份（增值税一般纳税人或是小规模纳税人），投标文件中提供相应纳税人身份证明电子件，并根据本单位纳税人身份在投标明细报价表中按国家规定如实填报税金。否则，按无效标处理。</w:t>
      </w:r>
      <w:r/>
    </w:p>
    <w:p>
      <w:pPr>
        <w:pStyle w:val="1176"/>
        <w:ind w:firstLine="480"/>
        <w:jc w:val="left"/>
        <w:spacing w:line="500" w:lineRule="exact"/>
        <w:widowControl/>
        <w:rPr>
          <w:rFonts w:hint="eastAsia" w:ascii="仿宋" w:hAnsi="仿宋" w:eastAsia="仿宋" w:cs="仿宋"/>
          <w:bCs/>
          <w:i/>
          <w:iCs/>
          <w:color w:val="ff0000"/>
          <w:szCs w:val="24"/>
          <w:u w:val="single"/>
        </w:rPr>
      </w:pPr>
      <w:r>
        <w:rPr>
          <w:rFonts w:hint="eastAsia" w:ascii="仿宋" w:hAnsi="仿宋" w:eastAsia="仿宋" w:cs="仿宋"/>
          <w:bCs/>
          <w:i/>
          <w:iCs/>
          <w:color w:val="ff0000"/>
          <w:szCs w:val="24"/>
          <w:u w:val="single"/>
        </w:rPr>
        <w:t xml:space="preserve">3．投标人应在投标分项报价表中为项目组所有成员（合计</w:t>
      </w:r>
      <w:r>
        <w:rPr>
          <w:rFonts w:hint="eastAsia" w:ascii="仿宋" w:hAnsi="仿宋" w:eastAsia="仿宋" w:cs="仿宋"/>
          <w:bCs/>
          <w:i/>
          <w:iCs/>
          <w:color w:val="ff0000"/>
          <w:szCs w:val="24"/>
          <w:u w:val="single"/>
          <w:lang w:val="en-US" w:eastAsia="zh-CN"/>
        </w:rPr>
        <w:t xml:space="preserve">20</w:t>
      </w:r>
      <w:r>
        <w:rPr>
          <w:rFonts w:hint="eastAsia" w:ascii="仿宋" w:hAnsi="仿宋" w:eastAsia="仿宋" w:cs="仿宋"/>
          <w:bCs/>
          <w:i/>
          <w:iCs/>
          <w:color w:val="ff0000"/>
          <w:szCs w:val="24"/>
          <w:u w:val="single"/>
        </w:rPr>
        <w:t xml:space="preserve">人）填报、购买意外险（或雇主责任险），保险单价不得低于本单位2024年1月1日以来任意一次为员工购买意外险或雇主责任险的单价（提供保险机构出具的保险凭证，凭证中应明确反映本单位员工保险内容和价格）。否则，按无效标处理。</w:t>
      </w:r>
      <w:r/>
    </w:p>
    <w:p>
      <w:pPr>
        <w:pStyle w:val="1176"/>
        <w:ind w:firstLine="480"/>
        <w:jc w:val="left"/>
        <w:spacing w:line="500" w:lineRule="exact"/>
        <w:widowControl/>
        <w:rPr>
          <w:rFonts w:hint="eastAsia" w:ascii="仿宋" w:hAnsi="仿宋" w:eastAsia="仿宋" w:cs="仿宋"/>
          <w:bCs/>
          <w:i/>
          <w:color w:val="ff0000"/>
          <w:szCs w:val="24"/>
          <w:u w:val="single"/>
          <w:lang w:bidi="zh-CN"/>
        </w:rPr>
      </w:pPr>
      <w:r>
        <w:rPr>
          <w:rFonts w:hint="eastAsia" w:ascii="仿宋" w:hAnsi="仿宋" w:eastAsia="仿宋" w:cs="仿宋"/>
          <w:bCs/>
          <w:i/>
          <w:iCs/>
          <w:color w:val="ff0000"/>
          <w:szCs w:val="24"/>
          <w:u w:val="single"/>
        </w:rPr>
        <w:t xml:space="preserve">4.投标人应在投标分项报价表中为</w:t>
      </w:r>
      <w:r>
        <w:rPr>
          <w:rFonts w:hint="eastAsia" w:ascii="仿宋" w:hAnsi="仿宋" w:eastAsia="仿宋" w:cs="仿宋"/>
          <w:bCs/>
          <w:i/>
          <w:iCs/>
          <w:color w:val="ff0000"/>
          <w:szCs w:val="24"/>
          <w:u w:val="single"/>
          <w:lang w:val="en-US" w:eastAsia="zh-CN"/>
        </w:rPr>
        <w:t xml:space="preserve">男宿管4人、水电工2人、暖通工1人</w:t>
      </w:r>
      <w:r>
        <w:rPr>
          <w:rFonts w:hint="eastAsia" w:ascii="仿宋" w:hAnsi="仿宋" w:eastAsia="仿宋" w:cs="仿宋"/>
          <w:bCs/>
          <w:i/>
          <w:iCs/>
          <w:color w:val="ff0000"/>
          <w:szCs w:val="24"/>
          <w:u w:val="single"/>
        </w:rPr>
        <w:t xml:space="preserve">（合计</w:t>
      </w:r>
      <w:r>
        <w:rPr>
          <w:rFonts w:hint="eastAsia" w:ascii="仿宋" w:hAnsi="仿宋" w:eastAsia="仿宋" w:cs="仿宋"/>
          <w:bCs/>
          <w:i/>
          <w:iCs/>
          <w:color w:val="ff0000"/>
          <w:szCs w:val="24"/>
          <w:u w:val="single"/>
          <w:lang w:val="en-US" w:eastAsia="zh-CN"/>
        </w:rPr>
        <w:t xml:space="preserve">7</w:t>
      </w:r>
      <w:r>
        <w:rPr>
          <w:rFonts w:hint="eastAsia" w:ascii="仿宋" w:hAnsi="仿宋" w:eastAsia="仿宋" w:cs="仿宋"/>
          <w:bCs/>
          <w:i/>
          <w:iCs/>
          <w:color w:val="ff0000"/>
          <w:szCs w:val="24"/>
          <w:u w:val="single"/>
        </w:rPr>
        <w:t xml:space="preserve">人），全额填报、购买社保，否则，按无效标处理。</w:t>
      </w:r>
      <w:r/>
    </w:p>
    <w:p>
      <w:pPr>
        <w:pStyle w:val="1176"/>
        <w:ind w:firstLine="480"/>
        <w:jc w:val="left"/>
        <w:spacing w:line="500" w:lineRule="exact"/>
        <w:widowControl/>
        <w:rPr>
          <w:rFonts w:ascii="Times New Roman" w:hAnsi="Times New Roman" w:cs="宋体"/>
          <w:szCs w:val="24"/>
        </w:rPr>
      </w:pPr>
      <w:r>
        <w:rPr>
          <w:rFonts w:hint="eastAsia" w:ascii="Times New Roman" w:hAnsi="Times New Roman" w:cs="宋体"/>
          <w:szCs w:val="24"/>
        </w:rPr>
        <w:t xml:space="preserve">注：下表为宿迁市社保最低缴纳标准，投标人应按不低于此标准报价。社保缴纳应当符合行政主管部门相关规定。如遇政策调整，投标人自行承担。</w:t>
      </w:r>
      <w:r/>
    </w:p>
    <w:tbl>
      <w:tblPr>
        <w:tblStyle w:val="763"/>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094"/>
              <w:jc w:val="center"/>
              <w:spacing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1721" w:type="dxa"/>
            <w:vAlign w:val="center"/>
            <w:textDirection w:val="lrTb"/>
            <w:noWrap w:val="false"/>
          </w:tcPr>
          <w:p>
            <w:pPr>
              <w:pStyle w:val="1094"/>
              <w:jc w:val="center"/>
              <w:spacing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p>
        </w:tc>
        <w:tc>
          <w:tcPr>
            <w:tcW w:w="6167" w:type="dxa"/>
            <w:vAlign w:val="center"/>
            <w:textDirection w:val="lrTb"/>
            <w:noWrap w:val="false"/>
          </w:tcPr>
          <w:p>
            <w:pPr>
              <w:pStyle w:val="1094"/>
              <w:jc w:val="center"/>
              <w:spacing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计算公式</w:t>
            </w:r>
            <w:r/>
          </w:p>
        </w:tc>
      </w:tr>
      <w:tr>
        <w:trPr>
          <w:jc w:val="center"/>
          <w:trHeight w:val="1345"/>
        </w:trPr>
        <w:tc>
          <w:tcPr>
            <w:tcW w:w="946" w:type="dxa"/>
            <w:vAlign w:val="center"/>
            <w:textDirection w:val="lrTb"/>
            <w:noWrap w:val="false"/>
          </w:tcPr>
          <w:p>
            <w:pPr>
              <w:pStyle w:val="1094"/>
              <w:ind w:firstLine="241"/>
              <w:jc w:val="left"/>
              <w:spacing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1721" w:type="dxa"/>
            <w:vAlign w:val="center"/>
            <w:textDirection w:val="lrTb"/>
            <w:noWrap w:val="false"/>
          </w:tcPr>
          <w:p>
            <w:pPr>
              <w:pStyle w:val="1094"/>
              <w:jc w:val="left"/>
              <w:spacing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单位社保缴纳标准及费用</w:t>
            </w:r>
            <w:r/>
          </w:p>
        </w:tc>
        <w:tc>
          <w:tcPr>
            <w:tcW w:w="6167" w:type="dxa"/>
            <w:vAlign w:val="center"/>
            <w:textDirection w:val="lrTb"/>
            <w:noWrap w:val="false"/>
          </w:tcPr>
          <w:p>
            <w:pPr>
              <w:pStyle w:val="1094"/>
              <w:jc w:val="left"/>
              <w:spacing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缴费基数（≥4952）*【16%（养老保险）＋0.5%（失业险）＋7%（医疗保险）＋1%（生育险）+0.4%（工伤险）】+5</w:t>
            </w:r>
            <w:r/>
          </w:p>
        </w:tc>
      </w:tr>
    </w:tbl>
    <w:p>
      <w:pPr>
        <w:pStyle w:val="1176"/>
        <w:ind w:firstLine="482"/>
        <w:jc w:val="left"/>
        <w:spacing w:line="440" w:lineRule="exact"/>
        <w:widowControl/>
        <w:rPr>
          <w:rFonts w:ascii="Times New Roman" w:hAnsi="Times New Roman" w:cs="宋体"/>
          <w:szCs w:val="24"/>
        </w:rPr>
      </w:pPr>
      <w:r>
        <w:rPr>
          <w:rFonts w:hint="eastAsia" w:ascii="宋体" w:hAnsi="宋体" w:cs="宋体"/>
          <w:b/>
          <w:iCs/>
          <w:color w:val="ff0000"/>
          <w:szCs w:val="24"/>
          <w:lang w:bidi="zh-CN"/>
        </w:rPr>
        <w:t xml:space="preserve">注:社保金额≥1238.048(4952*24.9%+5)，因报价最多保留至小数点后两位，故该项最小有效数值为1238.05元。</w:t>
      </w:r>
      <w:r/>
    </w:p>
    <w:p>
      <w:pPr>
        <w:pStyle w:val="1176"/>
        <w:ind w:firstLine="482"/>
        <w:jc w:val="left"/>
        <w:spacing w:line="500" w:lineRule="exact"/>
        <w:widowControl/>
        <w:rPr>
          <w:rFonts w:hint="eastAsia" w:ascii="宋体" w:hAnsi="宋体" w:cs="宋体"/>
          <w:szCs w:val="24"/>
        </w:rPr>
      </w:pPr>
      <w:r>
        <w:rPr>
          <w:rFonts w:hint="eastAsia" w:ascii="宋体" w:hAnsi="宋体" w:cs="宋体"/>
          <w:szCs w:val="24"/>
        </w:rPr>
        <w:t xml:space="preserve">5．为保证服务队伍的整体素质和相对稳定性，投标人应充分考虑管理和服务人员的工资待遇。投标人要综合考虑宿迁劳动市场因素，激发员工积极性，不同岗位合理分配工资。</w:t>
      </w:r>
      <w:r/>
    </w:p>
    <w:p>
      <w:pPr>
        <w:pStyle w:val="1176"/>
        <w:ind w:firstLine="482"/>
        <w:jc w:val="left"/>
        <w:spacing w:line="500" w:lineRule="exact"/>
        <w:widowControl/>
        <w:rPr>
          <w:rFonts w:hint="eastAsia" w:ascii="仿宋" w:hAnsi="仿宋" w:eastAsia="仿宋" w:cs="仿宋"/>
          <w:bCs/>
          <w:i/>
          <w:color w:val="000000"/>
          <w:szCs w:val="24"/>
          <w:u w:val="single"/>
          <w:lang w:bidi="zh-CN"/>
        </w:rPr>
      </w:pPr>
      <w:r>
        <w:rPr>
          <w:rFonts w:hint="eastAsia" w:ascii="仿宋" w:hAnsi="仿宋" w:eastAsia="仿宋" w:cs="仿宋"/>
          <w:bCs/>
          <w:i/>
          <w:color w:val="000000"/>
          <w:szCs w:val="24"/>
          <w:u w:val="single"/>
          <w:lang w:bidi="zh-CN"/>
        </w:rPr>
        <w:t xml:space="preserve">人员工资不得低于宿迁市目前最低工资标准，即按《关于调整全市最低工资标准的通知》（宿人社发〔2024〕1号）政策执行，否则按无效标处理。</w:t>
      </w:r>
      <w:r/>
    </w:p>
    <w:p>
      <w:pPr>
        <w:pStyle w:val="1097"/>
        <w:ind w:firstLine="480"/>
        <w:spacing w:line="500" w:lineRule="exact"/>
        <w:rPr>
          <w:rFonts w:hint="eastAsia" w:ascii="宋体" w:hAnsi="宋体" w:cs="宋体"/>
          <w:sz w:val="24"/>
          <w:szCs w:val="24"/>
        </w:rPr>
      </w:pPr>
      <w:r>
        <w:rPr>
          <w:rFonts w:hint="eastAsia" w:ascii="宋体" w:hAnsi="宋体" w:cs="宋体"/>
          <w:sz w:val="24"/>
          <w:szCs w:val="24"/>
        </w:rPr>
        <w:t xml:space="preserve">6. 项目履约过程中，项目所需工具、设备、物耗等均由中标人提供，投标文件中必须提供能满足服务要求所配置的工具、设备明细表，并在物耗明细表中列明，如在服务期内，中标人提供工具、设备、物耗等质量不符合采购人要求的，应按采购人要求无条件更换。</w:t>
      </w:r>
      <w:r/>
    </w:p>
    <w:p>
      <w:pPr>
        <w:pStyle w:val="1097"/>
        <w:ind w:firstLine="480"/>
        <w:spacing w:line="500" w:lineRule="exact"/>
        <w:rPr>
          <w:rFonts w:hint="eastAsia" w:ascii="宋体" w:hAnsi="宋体" w:cs="宋体"/>
          <w:sz w:val="24"/>
          <w:szCs w:val="24"/>
        </w:rPr>
      </w:pPr>
      <w:r>
        <w:rPr>
          <w:rFonts w:hint="eastAsia" w:ascii="宋体" w:hAnsi="宋体" w:cs="宋体"/>
          <w:sz w:val="24"/>
          <w:szCs w:val="24"/>
        </w:rPr>
        <w:t xml:space="preserve">7．项目履约过程中，中标人应根据工作需要，安排好双休日及节假日的值班人员，编制各岗位排班表报采购人备案后执行，所涉及的费用，包含在此次报价中。</w:t>
      </w:r>
      <w:r/>
    </w:p>
    <w:p>
      <w:pPr>
        <w:pStyle w:val="1097"/>
        <w:ind w:firstLine="480"/>
        <w:spacing w:line="500" w:lineRule="exact"/>
        <w:rPr>
          <w:rFonts w:hint="eastAsia" w:ascii="宋体" w:hAnsi="宋体" w:cs="宋体"/>
          <w:sz w:val="24"/>
          <w:szCs w:val="24"/>
        </w:rPr>
      </w:pPr>
      <w:r>
        <w:rPr>
          <w:rFonts w:hint="eastAsia" w:ascii="宋体" w:hAnsi="宋体" w:cs="宋体"/>
          <w:sz w:val="24"/>
          <w:szCs w:val="24"/>
        </w:rPr>
        <w:t xml:space="preserve">8.中标单位每月15日前需将人员工资支付、社保缴纳情况报采购人备案。</w:t>
      </w:r>
      <w:r/>
    </w:p>
    <w:p>
      <w:pPr>
        <w:pStyle w:val="1097"/>
        <w:ind w:firstLine="480"/>
        <w:spacing w:line="500" w:lineRule="exact"/>
        <w:rPr>
          <w:rFonts w:hint="eastAsia" w:ascii="宋体" w:hAnsi="宋体" w:cs="宋体"/>
          <w:sz w:val="24"/>
          <w:szCs w:val="24"/>
        </w:rPr>
      </w:pPr>
      <w:r>
        <w:rPr>
          <w:rFonts w:hint="eastAsia" w:ascii="宋体" w:hAnsi="宋体" w:cs="宋体"/>
          <w:sz w:val="24"/>
          <w:szCs w:val="24"/>
        </w:rPr>
        <w:t xml:space="preserve">9.其他物业管理服务质量要求按江苏省、宿迁市有关标准及采购需求执行，涉及费用均包含在本次投标报价中。</w:t>
      </w:r>
      <w:r/>
    </w:p>
    <w:p>
      <w:pPr>
        <w:pStyle w:val="1097"/>
        <w:ind w:firstLine="480"/>
        <w:spacing w:line="500" w:lineRule="exact"/>
        <w:rPr>
          <w:rFonts w:hint="eastAsia" w:ascii="宋体" w:hAnsi="宋体" w:cs="宋体"/>
          <w:sz w:val="24"/>
          <w:szCs w:val="24"/>
        </w:rPr>
      </w:pPr>
      <w:r>
        <w:rPr>
          <w:rFonts w:hint="eastAsia" w:ascii="宋体" w:hAnsi="宋体" w:cs="宋体"/>
          <w:sz w:val="24"/>
          <w:szCs w:val="24"/>
        </w:rPr>
        <w:t xml:space="preserve">10．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pStyle w:val="125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 xml:space="preserve">十、合同期限</w:t>
      </w:r>
      <w:r/>
    </w:p>
    <w:p>
      <w:pPr>
        <w:pStyle w:val="1097"/>
        <w:ind w:firstLine="480"/>
        <w:spacing w:line="500" w:lineRule="exact"/>
        <w:rPr>
          <w:rFonts w:hint="eastAsia" w:ascii="宋体" w:hAnsi="宋体" w:cs="宋体"/>
          <w:sz w:val="24"/>
          <w:szCs w:val="24"/>
        </w:rPr>
      </w:pPr>
      <w:r>
        <w:rPr>
          <w:rFonts w:hint="eastAsia" w:ascii="宋体" w:hAnsi="宋体" w:cs="宋体"/>
          <w:sz w:val="24"/>
          <w:szCs w:val="24"/>
        </w:rPr>
        <w:t xml:space="preserve">1年，自合同生效之日起计算</w:t>
      </w:r>
      <w:r/>
    </w:p>
    <w:p>
      <w:pPr>
        <w:pStyle w:val="125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 xml:space="preserve">十一、付款方式</w:t>
      </w:r>
      <w:r/>
    </w:p>
    <w:p>
      <w:pPr>
        <w:pStyle w:val="1260"/>
        <w:ind w:right="105" w:firstLine="480"/>
        <w:jc w:val="left"/>
        <w:spacing w:line="360" w:lineRule="auto"/>
        <w:rPr>
          <w:rFonts w:hint="eastAsia" w:ascii="宋体" w:hAnsi="宋体" w:cs="宋体"/>
          <w:sz w:val="24"/>
          <w:szCs w:val="24"/>
        </w:rPr>
        <w:outlineLvl w:val="1"/>
      </w:pPr>
      <w:r>
        <w:rPr>
          <w:rFonts w:hint="eastAsia" w:ascii="宋体" w:hAnsi="宋体" w:cs="宋体"/>
          <w:sz w:val="24"/>
          <w:szCs w:val="24"/>
        </w:rPr>
        <w:t xml:space="preserve">合同签订后且收到供应商发票后10个工作日内，支付合同金额的10%作为预付款；</w:t>
      </w:r>
      <w:r>
        <w:rPr>
          <w:rFonts w:hint="eastAsia" w:ascii="宋体" w:hAnsi="宋体" w:cs="宋体"/>
          <w:sz w:val="24"/>
          <w:szCs w:val="24"/>
          <w:lang w:eastAsia="zh-CN"/>
        </w:rPr>
        <w:t xml:space="preserve">剩余服务费用由招标人按每三个月支付一次。中标人根据实际发生的所有后勤服务（考核后的）费用开具发票，采购人在接到成交供应商发票的10个工作日内将前三个月实际发生的所有服务（经考核后的）费用支付给中标人（注：第一季度付款时扣除预付款后再支付）</w:t>
      </w:r>
      <w:r>
        <w:rPr>
          <w:rFonts w:hint="eastAsia" w:ascii="宋体" w:hAnsi="宋体" w:cs="宋体"/>
          <w:sz w:val="24"/>
          <w:szCs w:val="24"/>
        </w:rPr>
        <w:t xml:space="preserve">。</w:t>
      </w:r>
      <w:r/>
    </w:p>
    <w:p>
      <w:pPr>
        <w:ind w:firstLine="562"/>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注：在签订合同时，供应商明确表示无需预付款或者主动要求降低预付款比例的，采购人可不适用前述规定。</w:t>
      </w:r>
      <w:r/>
    </w:p>
    <w:p>
      <w:pPr>
        <w:pStyle w:val="125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 xml:space="preserve">十二、款项支付相关要求</w:t>
      </w:r>
      <w:r/>
    </w:p>
    <w:p>
      <w:pPr>
        <w:pStyle w:val="1097"/>
        <w:ind w:firstLine="480"/>
        <w:spacing w:line="500" w:lineRule="exact"/>
        <w:rPr>
          <w:rFonts w:hint="eastAsia" w:ascii="宋体" w:hAnsi="宋体" w:cs="宋体"/>
          <w:sz w:val="24"/>
          <w:szCs w:val="24"/>
        </w:rPr>
      </w:pPr>
      <w:r>
        <w:rPr>
          <w:rFonts w:hint="eastAsia" w:ascii="宋体" w:hAnsi="宋体" w:cs="宋体"/>
          <w:sz w:val="24"/>
          <w:szCs w:val="24"/>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097"/>
        <w:ind w:firstLine="480"/>
        <w:spacing w:line="500" w:lineRule="exact"/>
        <w:rPr>
          <w:rFonts w:hint="eastAsia" w:ascii="宋体" w:hAnsi="宋体" w:cs="宋体"/>
          <w:sz w:val="24"/>
          <w:szCs w:val="24"/>
        </w:rPr>
      </w:pPr>
      <w:r>
        <w:rPr>
          <w:rFonts w:hint="eastAsia" w:ascii="宋体" w:hAnsi="宋体" w:cs="宋体"/>
          <w:b/>
          <w:bCs/>
          <w:sz w:val="24"/>
          <w:szCs w:val="24"/>
        </w:rPr>
        <w:t xml:space="preserve">2. </w:t>
      </w:r>
      <w:r>
        <w:rPr>
          <w:rFonts w:hint="eastAsia" w:ascii="宋体" w:hAnsi="宋体" w:cs="宋体"/>
          <w:b/>
          <w:bCs/>
          <w:sz w:val="24"/>
          <w:szCs w:val="24"/>
          <w:lang w:val="en-US" w:eastAsia="zh-CN"/>
        </w:rPr>
        <w:t xml:space="preserve">每次付款前依据考核标准，扣除应扣款项后支付应付费用</w:t>
      </w:r>
      <w:r>
        <w:rPr>
          <w:rFonts w:hint="eastAsia" w:ascii="宋体" w:hAnsi="宋体" w:cs="宋体"/>
          <w:b/>
          <w:bCs/>
          <w:sz w:val="24"/>
          <w:szCs w:val="24"/>
        </w:rPr>
        <w:t xml:space="preserve">。</w:t>
      </w:r>
      <w:r/>
    </w:p>
    <w:p>
      <w:pPr>
        <w:pStyle w:val="1097"/>
        <w:ind w:firstLine="482"/>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3．中标人向</w:t>
      </w:r>
      <w:r>
        <w:rPr>
          <w:rFonts w:hint="eastAsia" w:ascii="仿宋" w:hAnsi="仿宋" w:eastAsia="仿宋" w:cs="仿宋"/>
          <w:b/>
          <w:bCs/>
          <w:color w:val="000000"/>
          <w:sz w:val="24"/>
          <w:szCs w:val="24"/>
        </w:rPr>
        <w:t xml:space="preserve">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1097"/>
        <w:ind w:firstLine="480"/>
        <w:spacing w:line="480" w:lineRule="exact"/>
        <w:rPr>
          <w:rFonts w:hint="eastAsia" w:ascii="宋体" w:hAnsi="宋体" w:cs="宋体"/>
          <w:sz w:val="24"/>
          <w:szCs w:val="24"/>
        </w:rPr>
      </w:pPr>
      <w:r>
        <w:rPr>
          <w:rFonts w:hint="eastAsia" w:ascii="仿宋" w:hAnsi="仿宋" w:eastAsia="仿宋" w:cs="仿宋"/>
          <w:color w:val="000000"/>
          <w:sz w:val="24"/>
          <w:szCs w:val="24"/>
        </w:rPr>
        <w:t xml:space="preserve">4．</w:t>
      </w:r>
      <w:r>
        <w:rPr>
          <w:rFonts w:hint="eastAsia" w:ascii="宋体" w:hAnsi="宋体" w:cs="宋体"/>
          <w:sz w:val="24"/>
          <w:szCs w:val="24"/>
        </w:rPr>
        <w:t xml:space="preserve">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w:t>
      </w:r>
      <w:bookmarkStart w:id="127" w:name="OLE_LINK69"/>
      <w:r>
        <w:rPr>
          <w:rFonts w:hint="eastAsia" w:ascii="宋体" w:hAnsi="宋体" w:cs="宋体"/>
          <w:sz w:val="24"/>
          <w:szCs w:val="24"/>
        </w:rPr>
        <w:t xml:space="preserve">并追究违约责任</w:t>
      </w:r>
      <w:r>
        <w:rPr>
          <w:rFonts w:hint="eastAsia" w:ascii="宋体" w:hAnsi="宋体" w:cs="宋体"/>
          <w:color w:val="ee0000"/>
          <w:sz w:val="24"/>
          <w:szCs w:val="24"/>
        </w:rPr>
        <w:t xml:space="preserve">，</w:t>
      </w:r>
      <w:bookmarkEnd w:id="127"/>
      <w:r>
        <w:rPr>
          <w:rFonts w:hint="eastAsia" w:ascii="宋体" w:hAnsi="宋体" w:cs="宋体"/>
          <w:color w:val="auto"/>
          <w:sz w:val="24"/>
          <w:szCs w:val="24"/>
        </w:rPr>
        <w:t xml:space="preserve">并按擅自变更合同违法行为报监管部门处罚</w:t>
      </w:r>
      <w:r>
        <w:rPr>
          <w:rFonts w:hint="eastAsia" w:ascii="宋体" w:hAnsi="宋体" w:cs="宋体"/>
          <w:sz w:val="24"/>
          <w:szCs w:val="24"/>
        </w:rPr>
        <w:t xml:space="preserve">。另如有违反《劳动法》等相关规定的，报相关主管部门处理。</w:t>
      </w:r>
      <w:r/>
    </w:p>
    <w:p>
      <w:pPr>
        <w:pStyle w:val="1097"/>
        <w:ind w:firstLine="480"/>
        <w:spacing w:line="500" w:lineRule="exact"/>
        <w:rPr>
          <w:rFonts w:hint="eastAsia" w:ascii="宋体" w:hAnsi="宋体" w:cs="宋体"/>
          <w:sz w:val="24"/>
          <w:szCs w:val="24"/>
        </w:rPr>
      </w:pPr>
      <w:r>
        <w:rPr>
          <w:rFonts w:hint="eastAsia" w:ascii="宋体" w:hAnsi="宋体" w:cs="宋体"/>
          <w:sz w:val="24"/>
          <w:szCs w:val="24"/>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pPr>
        <w:ind w:firstLine="480"/>
        <w:spacing w:line="400" w:lineRule="exact"/>
        <w:rPr>
          <w:rFonts w:hint="eastAsia" w:ascii="宋体" w:hAnsi="宋体"/>
          <w:sz w:val="24"/>
          <w:szCs w:val="24"/>
        </w:rPr>
      </w:pPr>
      <w:r>
        <w:rPr>
          <w:rFonts w:hint="eastAsia" w:ascii="宋体" w:hAnsi="宋体"/>
          <w:sz w:val="24"/>
          <w:szCs w:val="24"/>
        </w:rPr>
      </w:r>
      <w:r/>
    </w:p>
    <w:p>
      <w:pPr>
        <w:jc w:val="center"/>
        <w:keepLines/>
        <w:keepNext/>
        <w:pageBreakBefore/>
        <w:rPr>
          <w:b/>
          <w:sz w:val="44"/>
          <w:szCs w:val="44"/>
        </w:rPr>
        <w:outlineLvl w:val="0"/>
      </w:pPr>
      <w:r/>
      <w:bookmarkStart w:id="128" w:name="_Toc31499"/>
      <w:r/>
      <w:bookmarkStart w:id="129" w:name="_Toc81575169"/>
      <w:r/>
      <w:bookmarkStart w:id="130" w:name="_Toc81575206"/>
      <w:r/>
      <w:bookmarkStart w:id="131" w:name="_Toc7023"/>
      <w:r/>
      <w:bookmarkStart w:id="132" w:name="_Toc22098"/>
      <w:r>
        <w:rPr>
          <w:rFonts w:hint="eastAsia"/>
          <w:b/>
          <w:sz w:val="44"/>
          <w:szCs w:val="44"/>
        </w:rPr>
        <w:t xml:space="preserve">第五章  合同文本</w:t>
      </w:r>
      <w:bookmarkEnd w:id="128"/>
      <w:r/>
      <w:bookmarkEnd w:id="129"/>
      <w:r/>
      <w:bookmarkEnd w:id="130"/>
      <w:r/>
      <w:bookmarkEnd w:id="131"/>
      <w:r/>
      <w:bookmarkEnd w:id="132"/>
      <w:r/>
      <w:bookmarkStart w:id="133" w:name="_Toc16938559"/>
      <w:r/>
      <w:bookmarkEnd w:id="133"/>
      <w:r/>
      <w:bookmarkStart w:id="134" w:name="_Toc20823315"/>
      <w:r/>
      <w:bookmarkEnd w:id="134"/>
      <w:r/>
      <w:bookmarkStart w:id="135" w:name="_Toc513029243"/>
      <w:r/>
      <w:bookmarkEnd w:id="135"/>
      <w:r/>
      <w:r/>
    </w:p>
    <w:p>
      <w:pPr>
        <w:spacing w:line="400" w:lineRule="exact"/>
        <w:rPr>
          <w:rFonts w:hint="eastAsia" w:ascii="宋体" w:hAnsi="宋体"/>
          <w:bCs/>
          <w:sz w:val="24"/>
          <w:szCs w:val="24"/>
        </w:rPr>
      </w:pPr>
      <w:r>
        <w:rPr>
          <w:rFonts w:hint="eastAsia" w:ascii="宋体" w:hAnsi="宋体"/>
          <w:bCs/>
          <w:sz w:val="24"/>
          <w:szCs w:val="24"/>
        </w:rPr>
      </w:r>
      <w:r/>
    </w:p>
    <w:p>
      <w:pPr>
        <w:pStyle w:val="1159"/>
        <w:jc w:val="center"/>
        <w:spacing w:line="259" w:lineRule="auto"/>
        <w:rPr>
          <w:rFonts w:hint="eastAsia" w:ascii="仿宋" w:hAnsi="仿宋" w:eastAsia="仿宋" w:cs="仿宋"/>
          <w:b/>
          <w:bCs/>
          <w:spacing w:val="5"/>
          <w:sz w:val="43"/>
          <w:szCs w:val="43"/>
        </w:rPr>
      </w:pPr>
      <w:r/>
      <w:bookmarkStart w:id="136" w:name="_Toc81575170"/>
      <w:r/>
      <w:bookmarkStart w:id="137" w:name="_Toc22853"/>
      <w:r/>
      <w:bookmarkStart w:id="138" w:name="_Toc81575207"/>
      <w:r/>
      <w:bookmarkStart w:id="139" w:name="_Toc19649"/>
      <w:r/>
      <w:bookmarkStart w:id="140" w:name="_Toc9003"/>
      <w:r>
        <w:rPr>
          <w:rFonts w:hint="eastAsia" w:ascii="仿宋" w:hAnsi="仿宋" w:eastAsia="仿宋" w:cs="仿宋"/>
          <w:b/>
          <w:bCs/>
          <w:spacing w:val="5"/>
          <w:sz w:val="43"/>
          <w:szCs w:val="43"/>
        </w:rPr>
        <w:t xml:space="preserve">物业管理服务合同(草案）</w:t>
      </w:r>
      <w:r/>
    </w:p>
    <w:p>
      <w:pPr>
        <w:pStyle w:val="1182"/>
        <w:ind w:firstLine="480"/>
        <w:jc w:val="left"/>
        <w:spacing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合同编号：</w:t>
      </w:r>
      <w:r/>
    </w:p>
    <w:p>
      <w:pPr>
        <w:pStyle w:val="1182"/>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甲方：（以下简称甲方）</w:t>
      </w:r>
      <w:r/>
    </w:p>
    <w:p>
      <w:pPr>
        <w:pStyle w:val="1182"/>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乙方：（以下简称乙方）</w:t>
      </w:r>
      <w:r/>
    </w:p>
    <w:p>
      <w:pPr>
        <w:spacing w:line="500" w:lineRule="exact"/>
        <w:rPr>
          <w:rFonts w:hint="eastAsia" w:ascii="宋体" w:hAnsi="宋体" w:cs="宋体"/>
          <w:sz w:val="24"/>
          <w:szCs w:val="24"/>
        </w:rPr>
      </w:pPr>
      <w:r>
        <w:rPr>
          <w:rFonts w:hint="eastAsia" w:ascii="宋体" w:hAnsi="宋体" w:cs="宋体"/>
          <w:sz w:val="24"/>
          <w:szCs w:val="24"/>
        </w:rPr>
        <w:t xml:space="preserve">依照《中华人民共和国民法典》及其他有关法律、行政法规，遵循平等、自愿、公平和诚实信用的原则，双方就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 xml:space="preserve">号</w:t>
      </w:r>
      <w:r>
        <w:rPr>
          <w:rFonts w:hint="eastAsia" w:ascii="宋体" w:hAnsi="宋体" w:cs="宋体"/>
          <w:sz w:val="24"/>
          <w:szCs w:val="24"/>
          <w:u w:val="single"/>
        </w:rPr>
        <w:t xml:space="preserve">                     </w:t>
      </w:r>
      <w:r>
        <w:rPr>
          <w:rFonts w:hint="eastAsia" w:ascii="宋体" w:hAnsi="宋体" w:cs="宋体"/>
          <w:sz w:val="24"/>
          <w:szCs w:val="24"/>
        </w:rPr>
        <w:t xml:space="preserve">相关事项协商一致，达成如下合同条款。</w:t>
      </w:r>
      <w:r/>
    </w:p>
    <w:p>
      <w:pPr>
        <w:ind w:firstLine="482"/>
        <w:spacing w:line="600" w:lineRule="exact"/>
        <w:rPr>
          <w:rFonts w:hint="eastAsia" w:ascii="宋体" w:hAnsi="宋体" w:cs="宋体"/>
          <w:b/>
          <w:bCs/>
          <w:sz w:val="24"/>
          <w:szCs w:val="24"/>
        </w:rPr>
      </w:pPr>
      <w:r>
        <w:rPr>
          <w:rFonts w:hint="eastAsia" w:ascii="宋体" w:hAnsi="宋体" w:cs="宋体"/>
          <w:b/>
          <w:bCs/>
          <w:sz w:val="24"/>
          <w:szCs w:val="24"/>
        </w:rPr>
        <w:t xml:space="preserve">一、合同内容：</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提供服务及管理时间自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1、下列文件为本合同不可分割部分：</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① 中标通知书；</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② 乙方的投标文件；</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③ 乙方在投标过程中所作的其它承诺、声明、书面澄清等；</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④ 采购文件及其附件；</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⑤ 合同附件。</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以上与本合同具有同等法律效力</w:t>
      </w:r>
      <w:r/>
    </w:p>
    <w:p>
      <w:pPr>
        <w:pStyle w:val="1255"/>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3、乙方聘用的人员。</w:t>
      </w:r>
      <w:r/>
    </w:p>
    <w:p>
      <w:pPr>
        <w:pStyle w:val="1255"/>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4、履行方式：乙方按甲方采购要求及合同约定提供服务，服务过程中的各种风险由乙方承担；实施方式由乙方视情况自定，费用自负。</w:t>
      </w:r>
      <w:r/>
    </w:p>
    <w:p>
      <w:pPr>
        <w:pStyle w:val="1255"/>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二、甲、乙双方的责任</w:t>
      </w:r>
      <w:r/>
    </w:p>
    <w:p>
      <w:pPr>
        <w:pStyle w:val="1255"/>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（一）甲方的权利和义务：</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2、甲方有权审核乙方的物业服务费用。甲方必须严格按照双方签订的合同约定审核乙方提交的结算单据并支付相关物业服务费用，不得拖欠。</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4、甲方应为乙方提供机械设备、材料堆放的场地及车辆运输、停放的便利。</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甲方逾期支付资金，承担相关违约责任。</w:t>
      </w:r>
      <w:r/>
    </w:p>
    <w:p>
      <w:pPr>
        <w:pStyle w:val="1255"/>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（二）乙方的权力和义务：</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1、在本合同期内，乙方应做好现场员工的管理工作，如发生问题，乙方应当积极妥善解决，由此形成的一切后果均由乙方承担。</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2、乙方保洁人员需完成必要的培训后方可上岗，其培训内容包括但不仅限于下列内容：</w:t>
      </w:r>
      <w:r/>
    </w:p>
    <w:p>
      <w:pPr>
        <w:pStyle w:val="1161"/>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（1）员工礼仪礼貌培训。</w:t>
      </w:r>
      <w:r/>
    </w:p>
    <w:p>
      <w:pPr>
        <w:pStyle w:val="1161"/>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（2）岗位工作技能培训。</w:t>
      </w:r>
      <w:r/>
    </w:p>
    <w:p>
      <w:pPr>
        <w:pStyle w:val="1161"/>
        <w:ind w:left="560" w:firstLine="0"/>
        <w:jc w:val="left"/>
        <w:spacing w:before="94" w:after="94" w:line="56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（3）保洁服务过程中常见化学药剂的使用及注意事项。</w:t>
      </w:r>
      <w:r/>
    </w:p>
    <w:p>
      <w:pPr>
        <w:pStyle w:val="1161"/>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（4）员工工服更衣柜使用规定。</w:t>
      </w:r>
      <w:r/>
    </w:p>
    <w:p>
      <w:pPr>
        <w:pStyle w:val="1161"/>
        <w:ind w:left="560" w:firstLine="0"/>
        <w:jc w:val="left"/>
        <w:spacing w:before="94" w:after="94" w:line="56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（5）工作职责和工作流程。</w:t>
      </w:r>
      <w:r/>
    </w:p>
    <w:p>
      <w:pPr>
        <w:pStyle w:val="1161"/>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（6）各种涉及本岗位的工具设备的正确使用。</w:t>
      </w:r>
      <w:r/>
    </w:p>
    <w:p>
      <w:pPr>
        <w:pStyle w:val="1161"/>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（7）服务区域中所应遵守的各项劳动纪律。</w:t>
      </w:r>
      <w:r/>
    </w:p>
    <w:p>
      <w:pPr>
        <w:pStyle w:val="1161"/>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3、乙方必须严格服从甲方现场监督和管理。</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4、如遇紧急事故或突发事件等需要紧急处理，甲方有权调用在场的乙方所有员工进行突击抢险和处理紧急任务。</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5、乙方应随时配合甲方每日对保洁工作进行检查，乙方将定期清洁作业计划情况书面告知甲方，每月将清洁及安保作业计划实施情况以书面形式报告。</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6、乙方应保持派驻本项目的人员，如有变动，应提前及时书面告知甲方，并将变动情况报甲方备档。</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255"/>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1256"/>
        <w:ind w:firstLine="482"/>
        <w:spacing w:line="600" w:lineRule="exact"/>
        <w:rPr>
          <w:rFonts w:hint="eastAsia" w:ascii="宋体" w:hAnsi="宋体" w:eastAsia="宋体" w:cs="宋体"/>
          <w:b/>
          <w:bCs/>
          <w:sz w:val="24"/>
          <w:lang w:eastAsia="zh-CN"/>
        </w:rPr>
      </w:pPr>
      <w:r>
        <w:rPr>
          <w:rFonts w:hint="eastAsia" w:ascii="宋体" w:hAnsi="宋体" w:eastAsia="宋体" w:cs="宋体"/>
          <w:b/>
          <w:bCs/>
          <w:sz w:val="24"/>
          <w:lang w:eastAsia="zh-CN"/>
        </w:rPr>
        <w:t xml:space="preserve">三、合同价款</w:t>
      </w:r>
      <w:r/>
    </w:p>
    <w:p>
      <w:pPr>
        <w:pStyle w:val="1071"/>
        <w:ind w:firstLine="482"/>
        <w:spacing w:line="520" w:lineRule="exact"/>
        <w:rPr>
          <w:rFonts w:hint="eastAsia" w:ascii="宋体" w:hAnsi="宋体" w:cs="宋体"/>
          <w:sz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pStyle w:val="1256"/>
        <w:ind w:firstLine="480"/>
        <w:spacing w:line="600" w:lineRule="exact"/>
        <w:rPr>
          <w:rFonts w:hint="eastAsia" w:ascii="宋体" w:hAnsi="宋体" w:eastAsia="宋体" w:cs="宋体"/>
          <w:sz w:val="24"/>
        </w:rPr>
      </w:pPr>
      <w:r>
        <w:rPr>
          <w:rFonts w:hint="eastAsia" w:ascii="宋体" w:hAnsi="宋体" w:eastAsia="宋体" w:cs="宋体"/>
          <w:sz w:val="24"/>
        </w:rPr>
        <w:t xml:space="preserve">1、人员配置及费用</w:t>
      </w:r>
      <w:r/>
    </w:p>
    <w:tbl>
      <w:tblPr>
        <w:tblStyle w:val="763"/>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8"/>
        </w:trPr>
        <w:tc>
          <w:tcPr>
            <w:shd w:val="clear" w:color="auto" w:fill="ffffff"/>
            <w:tcW w:w="643"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序号</w:t>
            </w:r>
            <w:r/>
          </w:p>
        </w:tc>
        <w:tc>
          <w:tcPr>
            <w:shd w:val="clear" w:color="auto" w:fill="ffffff"/>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人员配备</w:t>
            </w:r>
            <w:r/>
          </w:p>
        </w:tc>
        <w:tc>
          <w:tcPr>
            <w:shd w:val="clear" w:color="auto" w:fill="ffffff"/>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数量</w:t>
            </w:r>
            <w:r/>
          </w:p>
        </w:tc>
        <w:tc>
          <w:tcPr>
            <w:shd w:val="clear" w:color="auto" w:fill="ffffff"/>
            <w:tcW w:w="139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工资标准</w:t>
            </w:r>
            <w:r/>
          </w:p>
          <w:p>
            <w:pPr>
              <w:jc w:val="center"/>
              <w:spacing w:line="500" w:lineRule="exact"/>
              <w:rPr>
                <w:rFonts w:hint="eastAsia" w:ascii="宋体" w:hAnsi="宋体" w:cs="宋体"/>
                <w:sz w:val="24"/>
                <w:szCs w:val="24"/>
              </w:rPr>
            </w:pPr>
            <w:r>
              <w:rPr>
                <w:rFonts w:hint="eastAsia" w:ascii="宋体" w:hAnsi="宋体" w:cs="宋体"/>
                <w:sz w:val="24"/>
                <w:szCs w:val="24"/>
              </w:rPr>
              <w:t xml:space="preserve">（元/月/人）</w:t>
            </w:r>
            <w:r/>
          </w:p>
        </w:tc>
        <w:tc>
          <w:tcPr>
            <w:shd w:val="clear" w:color="auto" w:fill="ffffff"/>
            <w:tcW w:w="81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社保</w:t>
            </w:r>
            <w:r/>
          </w:p>
        </w:tc>
        <w:tc>
          <w:tcPr>
            <w:shd w:val="clear" w:color="auto" w:fill="ffffff"/>
            <w:tcW w:w="1904"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意外险</w:t>
            </w:r>
            <w:r/>
          </w:p>
          <w:p>
            <w:pPr>
              <w:jc w:val="center"/>
              <w:spacing w:line="500" w:lineRule="exact"/>
              <w:rPr>
                <w:rFonts w:hint="eastAsia" w:ascii="宋体" w:hAnsi="宋体" w:cs="宋体"/>
                <w:sz w:val="24"/>
                <w:szCs w:val="24"/>
              </w:rPr>
            </w:pPr>
            <w:r>
              <w:rPr>
                <w:rFonts w:hint="eastAsia" w:ascii="宋体" w:hAnsi="宋体" w:cs="宋体"/>
                <w:sz w:val="24"/>
                <w:szCs w:val="24"/>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textDirection w:val="lrTb"/>
            <w:noWrap w:val="false"/>
          </w:tcPr>
          <w:p>
            <w:pPr>
              <w:jc w:val="center"/>
              <w:spacing w:line="500" w:lineRule="exact"/>
              <w:rPr>
                <w:rFonts w:hint="eastAsia" w:ascii="宋体" w:hAnsi="宋体" w:cs="宋体"/>
                <w:sz w:val="24"/>
                <w:szCs w:val="24"/>
                <w:lang w:bidi="zh-CN"/>
              </w:rPr>
            </w:pPr>
            <w:r>
              <w:rPr>
                <w:rFonts w:hint="eastAsia" w:ascii="宋体" w:hAnsi="宋体" w:cs="宋体"/>
                <w:sz w:val="24"/>
                <w:szCs w:val="24"/>
                <w:lang w:bidi="zh-CN"/>
              </w:rPr>
              <w:t xml:space="preserve">2</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4</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5</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6</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7</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8</w:t>
            </w:r>
            <w:r/>
          </w:p>
        </w:tc>
        <w:tc>
          <w:tcPr>
            <w:shd w:val="clear" w:color="auto" w:fill="ffffff"/>
            <w:tcW w:w="232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合计</w:t>
            </w:r>
            <w:r/>
          </w:p>
        </w:tc>
        <w:tc>
          <w:tcPr>
            <w:shd w:val="clear" w:color="auto" w:fill="ffffff"/>
            <w:tcW w:w="919"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bl>
    <w:p>
      <w:pPr>
        <w:pStyle w:val="1256"/>
        <w:ind w:firstLine="240"/>
        <w:spacing w:line="60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eastAsia="zh-CN"/>
        </w:rPr>
        <w:t xml:space="preserve">2</w:t>
      </w:r>
      <w:r>
        <w:rPr>
          <w:rFonts w:hint="eastAsia" w:ascii="宋体" w:hAnsi="宋体" w:eastAsia="宋体" w:cs="宋体"/>
          <w:sz w:val="24"/>
        </w:rPr>
        <w:t xml:space="preserve">、付款方式及相关要求</w:t>
      </w:r>
      <w:r/>
    </w:p>
    <w:p>
      <w:pPr>
        <w:pStyle w:val="1260"/>
        <w:ind w:right="105" w:firstLine="480"/>
        <w:jc w:val="left"/>
        <w:spacing w:line="360" w:lineRule="auto"/>
        <w:rPr>
          <w:rFonts w:hint="eastAsia" w:ascii="宋体" w:hAnsi="宋体" w:cs="宋体"/>
          <w:sz w:val="24"/>
          <w:szCs w:val="24"/>
        </w:rPr>
        <w:outlineLvl w:val="1"/>
      </w:pPr>
      <w:r>
        <w:rPr>
          <w:rFonts w:hint="eastAsia" w:ascii="宋体" w:hAnsi="宋体" w:cs="宋体"/>
          <w:sz w:val="24"/>
          <w:szCs w:val="24"/>
        </w:rPr>
        <w:t xml:space="preserve">付款方式：合同签订后且收到供应商发票后10个工作日内，支付合同金额的10%作为预付款；</w:t>
      </w:r>
      <w:r>
        <w:rPr>
          <w:rFonts w:hint="eastAsia" w:ascii="宋体" w:hAnsi="宋体" w:cs="宋体"/>
          <w:sz w:val="24"/>
          <w:szCs w:val="24"/>
          <w:lang w:eastAsia="zh-CN"/>
        </w:rPr>
        <w:t xml:space="preserve">剩余服务费用由招标人按每三个月支付一次。中标人根据实际发生的所有后勤服务（考核后的）费用开具发票，采购人在接到成交供应商发票的10个工作日内将前三个月实际发生的所有服务（经考核后的）费用支付给中标人（注：第一季度付款时扣除预付款后再支付）</w:t>
      </w:r>
      <w:r>
        <w:rPr>
          <w:rFonts w:hint="eastAsia" w:ascii="宋体" w:hAnsi="宋体" w:cs="宋体"/>
          <w:sz w:val="24"/>
          <w:szCs w:val="24"/>
        </w:rPr>
        <w:t xml:space="preserve">。</w:t>
      </w:r>
      <w:r/>
    </w:p>
    <w:p>
      <w:pPr>
        <w:ind w:firstLine="480"/>
        <w:spacing w:line="500" w:lineRule="exact"/>
      </w:pPr>
      <w:r>
        <w:rPr>
          <w:rFonts w:hint="eastAsia" w:ascii="宋体" w:hAnsi="宋体" w:cs="宋体"/>
          <w:b/>
          <w:bCs/>
          <w:sz w:val="24"/>
          <w:szCs w:val="24"/>
        </w:rPr>
        <w:t xml:space="preserve">注：（1）在签订合同时，供应商明确表示无需预付款或者主动要求降低预付款比例的，采购人可不适用前述规定。</w:t>
      </w:r>
      <w:r/>
    </w:p>
    <w:p>
      <w:pPr>
        <w:pStyle w:val="1097"/>
        <w:ind w:firstLine="480"/>
        <w:spacing w:line="500" w:lineRule="exact"/>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（2）每次付款前依据考核标准，扣除应扣款项后支付应付费用。</w:t>
      </w:r>
      <w:r/>
    </w:p>
    <w:p>
      <w:pPr>
        <w:pStyle w:val="1256"/>
        <w:ind w:firstLine="480"/>
        <w:spacing w:line="600" w:lineRule="exact"/>
        <w:rPr>
          <w:rFonts w:hint="eastAsia" w:ascii="宋体" w:hAnsi="宋体" w:eastAsia="宋体" w:cs="宋体"/>
          <w:sz w:val="24"/>
          <w:lang w:eastAsia="zh-CN"/>
        </w:rPr>
      </w:pPr>
      <w:r>
        <w:rPr>
          <w:rFonts w:hint="eastAsia" w:ascii="宋体" w:hAnsi="宋体" w:eastAsia="宋体" w:cs="宋体"/>
          <w:sz w:val="24"/>
          <w:lang w:eastAsia="zh-CN"/>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256"/>
        <w:ind w:firstLine="480"/>
        <w:spacing w:line="600" w:lineRule="exact"/>
        <w:rPr>
          <w:rFonts w:hint="eastAsia" w:ascii="宋体" w:hAnsi="宋体" w:eastAsia="宋体" w:cs="宋体"/>
          <w:b/>
          <w:bCs/>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eastAsia="zh-CN"/>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ind w:firstLine="482"/>
        <w:jc w:val="left"/>
        <w:spacing w:line="560" w:lineRule="exact"/>
        <w:rPr>
          <w:rFonts w:hint="eastAsia" w:ascii="宋体" w:hAnsi="宋体" w:cs="宋体"/>
          <w:sz w:val="24"/>
          <w:szCs w:val="24"/>
        </w:rPr>
      </w:pPr>
      <w:r>
        <w:rPr>
          <w:rFonts w:hint="eastAsia" w:ascii="宋体" w:hAnsi="宋体" w:cs="宋体"/>
          <w:sz w:val="24"/>
          <w:szCs w:val="24"/>
        </w:rPr>
        <w:t xml:space="preserve">（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（6）甲方支付此项费用外不再承担其它任何费用（包括物业人员的衣食住行），物业服务人员的薪金、福利、休假日补贴等由乙方付给，与甲方无关。</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（7）确因甲方工作需要，乙方应无条件配合甲方完成一些突击工作。如：安排服务人员（内部）临时加班。</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（8）在本合同履行过程中，若因国家或地方政府政策的变化致使有些岗位需要取消的，双方一致同意合同亦作相应变更，人员由乙方妥善安置，相应费用甲方不再支付。</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（11）履约过程中，所需工具、设备、物耗等均由乙方提供，乙方必须提供能满足服务要求所配置的工具、设备、物耗，如乙方提供工具、设备、物耗等质量不符合采购人要求的，应无条件更换。</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（12）履约过程中，乙方应根据工作需要，安排好双休日及节假日的值班人员，编制各岗位排班表报采购人备案后执行，并按规定发放加班费。</w:t>
      </w:r>
      <w:r/>
    </w:p>
    <w:p>
      <w:pPr>
        <w:pStyle w:val="1071"/>
        <w:ind w:left="420"/>
        <w:jc w:val="left"/>
        <w:spacing w:before="55" w:line="520" w:lineRule="exact"/>
        <w:rPr>
          <w:rFonts w:hint="eastAsia" w:ascii="宋体" w:hAnsi="宋体" w:cs="宋体"/>
          <w:b/>
          <w:bCs/>
          <w:sz w:val="24"/>
          <w:szCs w:val="21"/>
        </w:rPr>
      </w:pPr>
      <w:r>
        <w:rPr>
          <w:rFonts w:hint="eastAsia" w:ascii="宋体" w:hAnsi="宋体" w:cs="宋体"/>
          <w:b/>
          <w:bCs/>
          <w:sz w:val="24"/>
          <w:szCs w:val="21"/>
        </w:rPr>
        <w:t xml:space="preserve">4、发票开具方式：与合同主体一致的增值税专用或普通发票。</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5、服务要求</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按招标文件采购需求服务标准进行服务。</w:t>
      </w:r>
      <w:r/>
    </w:p>
    <w:p>
      <w:pPr>
        <w:ind w:firstLine="482"/>
        <w:spacing w:before="94" w:after="94" w:line="560" w:lineRule="exact"/>
        <w:rPr>
          <w:rFonts w:hint="eastAsia" w:ascii="宋体" w:hAnsi="宋体" w:cs="宋体"/>
          <w:b/>
          <w:bCs/>
          <w:sz w:val="24"/>
          <w:szCs w:val="24"/>
        </w:rPr>
      </w:pPr>
      <w:r>
        <w:rPr>
          <w:rFonts w:hint="eastAsia" w:ascii="宋体" w:hAnsi="宋体" w:cs="宋体"/>
          <w:b/>
          <w:bCs/>
          <w:sz w:val="24"/>
          <w:szCs w:val="24"/>
        </w:rPr>
        <w:t xml:space="preserve">四、检查考核办法</w:t>
      </w:r>
      <w:r/>
    </w:p>
    <w:p>
      <w:pPr>
        <w:ind w:firstLine="482"/>
        <w:spacing w:before="94" w:after="94" w:line="560" w:lineRule="exact"/>
        <w:rPr>
          <w:rFonts w:hint="eastAsia" w:ascii="宋体" w:hAnsi="宋体" w:cs="宋体"/>
          <w:b/>
          <w:bCs/>
          <w:sz w:val="24"/>
          <w:szCs w:val="24"/>
        </w:rPr>
      </w:pPr>
      <w:r>
        <w:rPr>
          <w:rFonts w:hint="eastAsia" w:ascii="宋体" w:hAnsi="宋体" w:cs="宋体"/>
          <w:b/>
          <w:bCs/>
          <w:sz w:val="24"/>
          <w:szCs w:val="24"/>
        </w:rPr>
        <w:t xml:space="preserve">合同签订时，采购人按考核标准进行考核</w:t>
      </w:r>
      <w:r/>
    </w:p>
    <w:p>
      <w:pPr>
        <w:pStyle w:val="1153"/>
        <w:ind w:firstLine="482"/>
        <w:spacing w:before="94" w:after="94" w:line="560" w:lineRule="exact"/>
        <w:rPr>
          <w:rFonts w:hint="eastAsia" w:ascii="宋体" w:hAnsi="宋体" w:cs="宋体"/>
          <w:b/>
          <w:sz w:val="24"/>
          <w:szCs w:val="24"/>
        </w:rPr>
      </w:pPr>
      <w:r>
        <w:rPr>
          <w:rFonts w:hint="eastAsia" w:ascii="宋体" w:hAnsi="宋体" w:cs="宋体"/>
          <w:b/>
          <w:sz w:val="24"/>
          <w:szCs w:val="24"/>
        </w:rPr>
        <w:t xml:space="preserve">五、违约责任</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1、除不可抗力外，如果乙方没有按照本合同约定的期限、地点和方式履行，那么甲方可要求乙方支付违约金，违约金按每迟延履行一日的应提供而未提供服务价格的 3‰计算，最高限额为本合同总价的3%；迟延履行的违约金计算数额达到前述最高限额之日起，甲方有权在要求乙方支付违约金的同时，书面通知乙方解除本合同。</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2、除不可抗力外，如果甲方没有按照本合同约定的付款方式付款，那么乙方可要求甲方支付违约金，违约金按每迟延付款一日的应付而未付款的1‰计算，最高限额为本合同总价的1%；迟延付款的违约金计算数额达到前述最高限额之日起，乙方有权在要求甲方支付违约金的同时，书面通知甲方解除本合同。</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8、未经甲方许可，乙方将承包的物业管理服务转包他人，采购人有权终止合同。</w:t>
      </w:r>
      <w:r/>
    </w:p>
    <w:p>
      <w:pPr>
        <w:pStyle w:val="1071"/>
        <w:ind w:firstLine="480"/>
        <w:spacing w:line="520" w:lineRule="exact"/>
        <w:rPr>
          <w:rFonts w:hint="eastAsia" w:ascii="宋体" w:hAnsi="宋体" w:cs="宋体"/>
          <w:sz w:val="24"/>
          <w:szCs w:val="24"/>
        </w:rPr>
      </w:pPr>
      <w:r>
        <w:rPr>
          <w:rFonts w:hint="eastAsia" w:ascii="宋体" w:hAnsi="宋体" w:cs="宋体"/>
          <w:sz w:val="24"/>
          <w:szCs w:val="24"/>
        </w:rPr>
        <w:t xml:space="preserve">9、乙方长期（连续两个月内）有人员不到位，影响物业管理质量的，经甲方要求及时改正，乙方仍拒不改正的，甲方将报经财政监管部门终止合同。</w:t>
      </w:r>
      <w:r/>
    </w:p>
    <w:p>
      <w:pPr>
        <w:pStyle w:val="1071"/>
        <w:ind w:firstLine="480"/>
        <w:spacing w:line="520" w:lineRule="exact"/>
        <w:rPr>
          <w:rFonts w:hint="eastAsia" w:ascii="宋体" w:hAnsi="宋体" w:cs="宋体"/>
          <w:b/>
          <w:sz w:val="24"/>
          <w:szCs w:val="24"/>
        </w:rPr>
      </w:pPr>
      <w:r>
        <w:rPr>
          <w:rFonts w:hint="eastAsia" w:ascii="宋体" w:hAnsi="宋体" w:cs="宋体"/>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153"/>
        <w:ind w:firstLine="482"/>
        <w:spacing w:before="94" w:after="94" w:line="560" w:lineRule="exact"/>
        <w:rPr>
          <w:rFonts w:hint="eastAsia" w:ascii="宋体" w:hAnsi="宋体" w:cs="宋体"/>
          <w:b/>
          <w:sz w:val="24"/>
          <w:szCs w:val="24"/>
          <w:lang w:val="zh-CN"/>
        </w:rPr>
      </w:pPr>
      <w:r>
        <w:rPr>
          <w:rFonts w:hint="eastAsia" w:ascii="宋体" w:hAnsi="宋体" w:cs="宋体"/>
          <w:b/>
          <w:sz w:val="24"/>
          <w:szCs w:val="24"/>
        </w:rPr>
        <w:t xml:space="preserve">六</w:t>
      </w:r>
      <w:r>
        <w:rPr>
          <w:rFonts w:hint="eastAsia" w:ascii="宋体" w:hAnsi="宋体" w:cs="宋体"/>
          <w:b/>
          <w:sz w:val="24"/>
          <w:szCs w:val="24"/>
          <w:lang w:val="zh-CN"/>
        </w:rPr>
        <w:t xml:space="preserve">、供应商合法权益补偿机制</w:t>
      </w:r>
      <w:r/>
    </w:p>
    <w:p>
      <w:pPr>
        <w:pStyle w:val="1163"/>
        <w:ind w:firstLine="480"/>
        <w:spacing w:before="94" w:after="94" w:line="560" w:lineRule="exact"/>
        <w:rPr>
          <w:rFonts w:hint="eastAsia" w:ascii="宋体" w:hAnsi="宋体" w:cs="宋体"/>
          <w:bCs/>
          <w:sz w:val="24"/>
          <w:szCs w:val="24"/>
          <w:lang w:val="zh-CN"/>
        </w:rPr>
      </w:pPr>
      <w:r>
        <w:rPr>
          <w:rFonts w:hint="eastAsia" w:ascii="宋体" w:hAnsi="宋体" w:cs="宋体"/>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255"/>
        <w:ind w:firstLine="482"/>
        <w:jc w:val="left"/>
        <w:spacing w:before="94" w:after="94" w:line="560" w:lineRule="exact"/>
        <w:widowControl/>
        <w:tabs>
          <w:tab w:val="left" w:pos="6890" w:leader="none"/>
          <w:tab w:val="left" w:pos="8105" w:leader="none"/>
        </w:tabs>
        <w:rPr>
          <w:rFonts w:hint="eastAsia" w:ascii="宋体" w:hAnsi="宋体" w:eastAsia="宋体" w:cs="宋体"/>
          <w:b/>
          <w:sz w:val="24"/>
          <w:szCs w:val="24"/>
        </w:rPr>
      </w:pPr>
      <w:r>
        <w:rPr>
          <w:rFonts w:hint="eastAsia" w:ascii="宋体" w:hAnsi="宋体" w:eastAsia="宋体" w:cs="宋体"/>
          <w:b/>
          <w:sz w:val="24"/>
          <w:szCs w:val="24"/>
        </w:rPr>
        <w:t xml:space="preserve">七、争议的解决</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1、因履行本合同引起的或与本合同有关的争议，甲乙双方应首先友好协商解决，如果协商不能解决争议，则向甲方所在地有管辖权的人民法院提起诉讼。</w:t>
      </w:r>
      <w:r/>
    </w:p>
    <w:p>
      <w:pPr>
        <w:pStyle w:val="1255"/>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2、在审理期间，本合同应继续履行。</w:t>
      </w:r>
      <w:r/>
    </w:p>
    <w:p>
      <w:pPr>
        <w:pStyle w:val="1255"/>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255"/>
        <w:ind w:firstLine="480"/>
        <w:spacing w:before="94" w:after="94" w:line="560" w:lineRule="exact"/>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sz w:val="24"/>
          <w:szCs w:val="24"/>
          <w:lang w:val="zh-CN"/>
        </w:rPr>
        <w:t xml:space="preserve">。</w:t>
      </w:r>
      <w:r/>
    </w:p>
    <w:p>
      <w:pPr>
        <w:pStyle w:val="1164"/>
        <w:ind w:firstLine="482"/>
        <w:spacing w:before="94" w:after="94" w:line="560" w:lineRule="exact"/>
        <w:widowControl/>
        <w:rPr>
          <w:rFonts w:hint="eastAsia" w:ascii="宋体" w:hAnsi="宋体" w:cs="宋体"/>
          <w:b/>
          <w:sz w:val="24"/>
          <w:szCs w:val="24"/>
        </w:rPr>
      </w:pPr>
      <w:r>
        <w:rPr>
          <w:rFonts w:hint="eastAsia" w:ascii="宋体" w:hAnsi="宋体" w:cs="宋体"/>
          <w:b/>
          <w:sz w:val="24"/>
          <w:szCs w:val="24"/>
        </w:rPr>
        <w:t xml:space="preserve">八、附则</w:t>
      </w:r>
      <w:r/>
    </w:p>
    <w:p>
      <w:pPr>
        <w:pStyle w:val="1255"/>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1、双方可对本合同的条款进行补充，以书面形式签订补充协议，补充协议与本合同具有同等效力。</w:t>
      </w:r>
      <w:r/>
    </w:p>
    <w:p>
      <w:pPr>
        <w:pStyle w:val="1255"/>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2、本合同之附件均为合同有效组成部分。本合同及其附件和补充协议中未规定的事宜，遵照中华人民共和国有关法律、法规和规章执行。</w:t>
      </w:r>
      <w:r/>
    </w:p>
    <w:p>
      <w:pPr>
        <w:pStyle w:val="1255"/>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3、本合同一式四份，以中文书写，甲方、乙方各执贰份。</w:t>
      </w:r>
      <w:r/>
    </w:p>
    <w:p>
      <w:pPr>
        <w:pStyle w:val="1255"/>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4、本合同一切未尽事宜，按《中华人民共和国民法典》有关规定执行，无相关规定的，由甲乙双方协商解决。</w:t>
      </w:r>
      <w:r/>
    </w:p>
    <w:p>
      <w:pPr>
        <w:pStyle w:val="1255"/>
        <w:ind w:left="525"/>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九、合同的生效</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本合同经甲方、乙方签字盖章后生效。</w:t>
      </w:r>
      <w:r/>
    </w:p>
    <w:p>
      <w:pPr>
        <w:pStyle w:val="125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pStyle w:val="1255"/>
        <w:ind w:firstLine="480"/>
        <w:jc w:val="left"/>
        <w:spacing w:before="94" w:after="94" w:line="56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255"/>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乙方：   （盖章）</w:t>
      </w:r>
      <w:r/>
    </w:p>
    <w:p>
      <w:pPr>
        <w:pStyle w:val="1255"/>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pStyle w:val="1255"/>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p>
    <w:p>
      <w:pPr>
        <w:pStyle w:val="1255"/>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p>
    <w:p>
      <w:pPr>
        <w:pStyle w:val="1255"/>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p>
    <w:p>
      <w:pPr>
        <w:pStyle w:val="1153"/>
        <w:spacing w:before="94" w:after="94" w:line="480" w:lineRule="auto"/>
        <w:rPr>
          <w:rFonts w:hint="eastAsia" w:ascii="宋体" w:hAnsi="宋体" w:cs="宋体"/>
          <w:sz w:val="24"/>
          <w:szCs w:val="21"/>
        </w:rPr>
      </w:pPr>
      <w:r>
        <w:rPr>
          <w:rFonts w:hint="eastAsia" w:ascii="宋体" w:hAnsi="宋体" w:cs="宋体"/>
          <w:sz w:val="24"/>
          <w:szCs w:val="24"/>
        </w:rPr>
        <w:t xml:space="preserve">年   月   日                           年   月   日</w:t>
      </w:r>
      <w:r/>
    </w:p>
    <w:p>
      <w:pPr>
        <w:jc w:val="center"/>
        <w:keepLines/>
        <w:keepNext/>
        <w:pageBreakBefore/>
        <w:rPr>
          <w:b/>
          <w:sz w:val="44"/>
          <w:szCs w:val="44"/>
        </w:rPr>
        <w:outlineLvl w:val="0"/>
      </w:pPr>
      <w:r/>
      <w:bookmarkStart w:id="141" w:name="_Toc11391"/>
      <w:r>
        <w:rPr>
          <w:rFonts w:hint="eastAsia"/>
          <w:b/>
          <w:sz w:val="44"/>
          <w:szCs w:val="44"/>
        </w:rPr>
        <w:t xml:space="preserve">第六章  投标文件格式</w:t>
      </w:r>
      <w:bookmarkEnd w:id="136"/>
      <w:r/>
      <w:bookmarkEnd w:id="137"/>
      <w:r/>
      <w:bookmarkEnd w:id="138"/>
      <w:r/>
      <w:bookmarkEnd w:id="139"/>
      <w:r/>
      <w:bookmarkEnd w:id="140"/>
      <w:r/>
      <w:bookmarkEnd w:id="141"/>
      <w:r/>
      <w:r/>
    </w:p>
    <w:p>
      <w:r/>
      <w:bookmarkStart w:id="142" w:name="EB819316f773b24a75aef829f9b72900c0"/>
      <w:r/>
      <w:r/>
    </w:p>
    <w:p>
      <w:pPr>
        <w:rPr>
          <w:rFonts w:ascii="Times New Roman" w:hAnsi="Times New Roman"/>
          <w:b/>
          <w:sz w:val="72"/>
        </w:rPr>
      </w:pPr>
      <w:r/>
      <w:bookmarkStart w:id="143"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3"/>
      <w:r/>
      <w:r/>
    </w:p>
    <w:p>
      <w:pPr>
        <w:pStyle w:val="1074"/>
        <w:rPr>
          <w:rFonts w:hint="eastAsia" w:ascii="宋体" w:hAnsi="宋体" w:eastAsia="宋体" w:cs="宋体"/>
        </w:rPr>
      </w:pPr>
      <w:r>
        <w:rPr>
          <w:rFonts w:hint="eastAsia" w:ascii="宋体" w:hAnsi="宋体" w:eastAsia="宋体" w:cs="宋体"/>
        </w:rPr>
      </w:r>
      <w:r/>
    </w:p>
    <w:p>
      <w:pPr>
        <w:pStyle w:val="1074"/>
        <w:rPr>
          <w:rFonts w:hint="eastAsia" w:ascii="宋体" w:hAnsi="宋体" w:eastAsia="宋体" w:cs="宋体"/>
        </w:rPr>
      </w:pPr>
      <w:r>
        <w:rPr>
          <w:rFonts w:hint="eastAsia" w:ascii="宋体" w:hAnsi="宋体" w:eastAsia="宋体" w:cs="宋体"/>
        </w:rPr>
      </w:r>
      <w:r/>
    </w:p>
    <w:p>
      <w:pPr>
        <w:pStyle w:val="1074"/>
        <w:rPr>
          <w:rFonts w:hint="eastAsia" w:ascii="宋体" w:hAnsi="宋体" w:eastAsia="宋体" w:cs="宋体"/>
        </w:rPr>
      </w:pPr>
      <w:r>
        <w:rPr>
          <w:rFonts w:hint="eastAsia" w:ascii="宋体" w:hAnsi="宋体" w:eastAsia="宋体" w:cs="宋体"/>
        </w:rPr>
      </w:r>
      <w:bookmarkEnd w:id="142"/>
      <w:r/>
    </w:p>
    <w:p>
      <w:pPr>
        <w:pStyle w:val="1074"/>
        <w:rPr>
          <w:rFonts w:hint="eastAsia" w:ascii="宋体" w:hAnsi="宋体" w:eastAsia="宋体" w:cs="宋体"/>
        </w:rPr>
      </w:pPr>
      <w:r>
        <w:rPr>
          <w:rFonts w:hint="eastAsia" w:ascii="宋体" w:hAnsi="宋体" w:eastAsia="宋体" w:cs="宋体"/>
        </w:rPr>
      </w:r>
      <w:r/>
    </w:p>
    <w:p>
      <w:pPr>
        <w:pStyle w:val="1074"/>
        <w:rPr>
          <w:rFonts w:hint="eastAsia" w:ascii="宋体" w:hAnsi="宋体" w:eastAsia="宋体" w:cs="宋体"/>
        </w:rPr>
      </w:pPr>
      <w:r>
        <w:rPr>
          <w:rFonts w:hint="eastAsia" w:ascii="宋体" w:hAnsi="宋体" w:eastAsia="宋体" w:cs="宋体"/>
        </w:rPr>
      </w:r>
      <w:r/>
    </w:p>
    <w:p>
      <w:pPr>
        <w:pStyle w:val="1074"/>
        <w:rPr>
          <w:rFonts w:hint="eastAsia" w:ascii="宋体" w:hAnsi="宋体" w:eastAsia="宋体" w:cs="宋体"/>
        </w:rPr>
      </w:pPr>
      <w:r>
        <w:rPr>
          <w:rFonts w:hint="eastAsia" w:ascii="宋体" w:hAnsi="宋体" w:eastAsia="宋体" w:cs="宋体"/>
        </w:rPr>
      </w:r>
      <w:r/>
    </w:p>
    <w:p>
      <w:pPr>
        <w:pStyle w:val="1074"/>
        <w:rPr>
          <w:rFonts w:hint="eastAsia" w:ascii="宋体" w:hAnsi="宋体" w:eastAsia="宋体" w:cs="宋体"/>
        </w:rPr>
      </w:pPr>
      <w:r>
        <w:rPr>
          <w:rFonts w:hint="eastAsia" w:ascii="宋体" w:hAnsi="宋体" w:eastAsia="宋体" w:cs="宋体"/>
        </w:rPr>
      </w:r>
      <w:r/>
    </w:p>
    <w:p>
      <w:pPr>
        <w:pStyle w:val="1074"/>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74"/>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74"/>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sz w:val="28"/>
          <w:szCs w:val="28"/>
        </w:rPr>
      </w:pPr>
      <w:r/>
      <w:bookmarkStart w:id="144" w:name="_Toc26005"/>
      <w:r/>
      <w:bookmarkStart w:id="145" w:name="_Toc20577"/>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六、项目组成员</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七、企业业绩</w:t>
      </w:r>
      <w:r/>
    </w:p>
    <w:p>
      <w:pPr>
        <w:spacing w:line="360" w:lineRule="auto"/>
        <w:rPr>
          <w:rFonts w:hint="eastAsia" w:ascii="Times New Roman" w:hAnsi="Times New Roman" w:eastAsia="宋体"/>
          <w:sz w:val="28"/>
          <w:szCs w:val="28"/>
          <w:lang w:val="en-US" w:eastAsia="zh-CN"/>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企业证书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、人员配备要求承诺函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十</w:t>
      </w:r>
      <w:r>
        <w:rPr>
          <w:rFonts w:hint="eastAsia" w:ascii="Times New Roman" w:hAnsi="Times New Roman"/>
          <w:sz w:val="28"/>
          <w:szCs w:val="28"/>
        </w:rPr>
        <w:t xml:space="preserve">、服务要求承诺（一）及相关服务方案</w:t>
      </w:r>
      <w:r/>
    </w:p>
    <w:p>
      <w:pPr>
        <w:spacing w:line="360" w:lineRule="auto"/>
        <w:rPr>
          <w:rFonts w:ascii="Times New Roman" w:hAnsi="Times New Roman"/>
          <w:sz w:val="28"/>
          <w:szCs w:val="28"/>
        </w:rPr>
      </w:pPr>
      <w:r>
        <w:rPr>
          <w:rFonts w:hint="eastAsia" w:ascii="Times New Roman" w:hAnsi="Times New Roman"/>
          <w:sz w:val="28"/>
          <w:szCs w:val="28"/>
        </w:rPr>
        <w:t xml:space="preserve">十</w:t>
      </w:r>
      <w:r>
        <w:rPr>
          <w:rFonts w:hint="eastAsia" w:ascii="Times New Roman" w:hAnsi="Times New Roman"/>
          <w:sz w:val="28"/>
          <w:szCs w:val="28"/>
          <w:lang w:val="en-US" w:eastAsia="zh-CN"/>
        </w:rPr>
        <w:t xml:space="preserve">一</w:t>
      </w:r>
      <w:r>
        <w:rPr>
          <w:rFonts w:hint="eastAsia" w:ascii="Times New Roman" w:hAnsi="Times New Roman"/>
          <w:sz w:val="28"/>
          <w:szCs w:val="28"/>
        </w:rPr>
        <w:t xml:space="preserve">、服务要求承诺（二）及相关服务方案</w:t>
      </w:r>
      <w:r/>
    </w:p>
    <w:p>
      <w:pPr>
        <w:spacing w:line="360" w:lineRule="auto"/>
        <w:rPr>
          <w:rFonts w:ascii="Times New Roman" w:hAnsi="Times New Roman"/>
          <w:sz w:val="28"/>
          <w:szCs w:val="28"/>
        </w:rPr>
      </w:pPr>
      <w:r>
        <w:rPr>
          <w:rFonts w:hint="eastAsia" w:ascii="Times New Roman" w:hAnsi="Times New Roman"/>
          <w:sz w:val="28"/>
          <w:szCs w:val="28"/>
        </w:rPr>
        <w:t xml:space="preserve">十</w:t>
      </w: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、考核标准承诺</w:t>
      </w:r>
      <w:r/>
    </w:p>
    <w:p>
      <w:pPr>
        <w:spacing w:line="360" w:lineRule="auto"/>
        <w:rPr>
          <w:rFonts w:ascii="Times New Roman" w:hAnsi="Times New Roman"/>
          <w:sz w:val="28"/>
          <w:szCs w:val="28"/>
        </w:rPr>
      </w:pPr>
      <w:r>
        <w:rPr>
          <w:rFonts w:hint="eastAsia" w:ascii="Times New Roman" w:hAnsi="Times New Roman"/>
          <w:sz w:val="28"/>
          <w:szCs w:val="28"/>
        </w:rPr>
        <w:t xml:space="preserve">十</w:t>
      </w: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、投标所需其他材料</w:t>
      </w:r>
      <w:r/>
    </w:p>
    <w:p>
      <w:r/>
      <w:r/>
    </w:p>
    <w:p>
      <w:r/>
      <w:r/>
    </w:p>
    <w:p>
      <w:r/>
      <w:r/>
    </w:p>
    <w:p>
      <w:r/>
      <w:r/>
    </w:p>
    <w:p>
      <w:r/>
      <w:r/>
    </w:p>
    <w:p>
      <w:r/>
      <w:r/>
    </w:p>
    <w:p>
      <w:r/>
      <w:r/>
    </w:p>
    <w:p>
      <w:r/>
      <w:r/>
    </w:p>
    <w:p>
      <w:r/>
      <w:r/>
    </w:p>
    <w:p>
      <w:r/>
      <w:r/>
    </w:p>
    <w:p>
      <w:r/>
      <w:r/>
    </w:p>
    <w:p>
      <w:r/>
      <w:r/>
    </w:p>
    <w:p>
      <w:r/>
      <w:r/>
    </w:p>
    <w:p>
      <w:r/>
      <w:r/>
    </w:p>
    <w:p>
      <w:r/>
      <w:r/>
    </w:p>
    <w:p>
      <w:r/>
      <w:r/>
    </w:p>
    <w:p>
      <w:r/>
      <w:r/>
    </w:p>
    <w:p>
      <w:r/>
      <w:r/>
    </w:p>
    <w:p>
      <w:pPr>
        <w:pStyle w:val="1084"/>
        <w:rPr>
          <w:rFonts w:hint="eastAsia"/>
          <w:b w:val="0"/>
          <w:bCs/>
        </w:rPr>
        <w:outlineLvl w:val="1"/>
      </w:pPr>
      <w:r/>
      <w:bookmarkStart w:id="146" w:name="_Toc8978"/>
      <w:r/>
      <w:r/>
    </w:p>
    <w:p>
      <w:pPr>
        <w:pStyle w:val="1084"/>
        <w:rPr>
          <w:rFonts w:hint="eastAsia"/>
          <w:b w:val="0"/>
          <w:bCs/>
        </w:rPr>
        <w:outlineLvl w:val="1"/>
      </w:pPr>
      <w:r>
        <w:rPr>
          <w:rFonts w:hint="eastAsia"/>
          <w:b w:val="0"/>
          <w:bCs/>
        </w:rPr>
      </w:r>
      <w:r/>
    </w:p>
    <w:p>
      <w:pPr>
        <w:pStyle w:val="1084"/>
        <w:rPr>
          <w:rFonts w:hint="eastAsia"/>
          <w:b w:val="0"/>
          <w:bCs/>
        </w:rPr>
        <w:outlineLvl w:val="1"/>
      </w:pPr>
      <w:r>
        <w:rPr>
          <w:rFonts w:hint="eastAsia"/>
          <w:b w:val="0"/>
          <w:bCs/>
        </w:rPr>
        <w:t xml:space="preserve">一</w:t>
      </w:r>
      <w:r>
        <w:rPr>
          <w:b w:val="0"/>
          <w:bCs/>
        </w:rPr>
        <w:t xml:space="preserve">、投标函</w:t>
      </w:r>
      <w:bookmarkEnd w:id="144"/>
      <w:r/>
      <w:bookmarkEnd w:id="145"/>
      <w:r/>
      <w:bookmarkEnd w:id="146"/>
      <w:r/>
      <w:r/>
    </w:p>
    <w:p>
      <w:pPr>
        <w:pStyle w:val="1085"/>
        <w:jc w:val="center"/>
        <w:rPr>
          <w:rFonts w:ascii="方正小标宋_GBK" w:eastAsia="方正小标宋_GBK"/>
          <w:bCs/>
          <w:sz w:val="32"/>
          <w:szCs w:val="32"/>
        </w:rPr>
      </w:pPr>
      <w:r>
        <w:rPr>
          <w:rFonts w:ascii="方正小标宋_GBK" w:eastAsia="方正小标宋_GBK"/>
          <w:bCs/>
          <w:sz w:val="32"/>
          <w:szCs w:val="32"/>
        </w:rPr>
      </w:r>
      <w:r/>
    </w:p>
    <w:p>
      <w:pPr>
        <w:pStyle w:val="1085"/>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085"/>
        <w:jc w:val="left"/>
        <w:spacing w:line="500" w:lineRule="exact"/>
        <w:rPr>
          <w:rFonts w:hint="eastAsia" w:ascii="宋体" w:hAnsi="宋体"/>
          <w:sz w:val="24"/>
          <w:szCs w:val="24"/>
          <w:u w:val="single"/>
        </w:rPr>
      </w:pPr>
      <w:r>
        <w:rPr>
          <w:rFonts w:hint="eastAsia" w:ascii="宋体" w:hAnsi="宋体"/>
          <w:sz w:val="24"/>
          <w:szCs w:val="24"/>
          <w:u w:val="single"/>
        </w:rPr>
        <w:t xml:space="preserve">宿迁市洋河高级中学：</w:t>
      </w:r>
      <w:r/>
    </w:p>
    <w:p>
      <w:pPr>
        <w:pStyle w:val="1085"/>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JSZC-321300-JZCG-G2025-0081</w:t>
      </w:r>
      <w:r>
        <w:rPr>
          <w:rFonts w:hint="eastAsia" w:ascii="宋体" w:hAnsi="宋体"/>
          <w:sz w:val="24"/>
          <w:szCs w:val="24"/>
        </w:rPr>
        <w:t xml:space="preserve">的</w:t>
      </w:r>
      <w:r>
        <w:rPr>
          <w:rFonts w:ascii="sans-serif" w:hAnsi="sans-serif" w:eastAsia="sans-serif" w:cs="sans-serif"/>
          <w:i w:val="0"/>
          <w:iCs w:val="0"/>
          <w:caps w:val="0"/>
          <w:color w:val="000000"/>
          <w:spacing w:val="0"/>
          <w:sz w:val="27"/>
          <w:szCs w:val="27"/>
          <w:u w:val="single"/>
        </w:rPr>
        <w:t xml:space="preserve">宿迁市洋河高级中学后勤服务外包项目</w:t>
      </w:r>
      <w:r>
        <w:rPr>
          <w:rFonts w:hint="eastAsia" w:ascii="宋体" w:hAnsi="宋体"/>
          <w:sz w:val="24"/>
          <w:szCs w:val="24"/>
        </w:rPr>
        <w:t xml:space="preserve">的招标文件，我方在参加本项目招投标活动中，特作出如下承诺：</w:t>
      </w:r>
      <w:r/>
    </w:p>
    <w:p>
      <w:pPr>
        <w:pStyle w:val="1085"/>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085"/>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5"/>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85"/>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85"/>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85"/>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085"/>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085"/>
        <w:jc w:val="left"/>
        <w:spacing w:line="500" w:lineRule="exact"/>
        <w:rPr>
          <w:rFonts w:hint="eastAsia" w:ascii="宋体" w:hAnsi="宋体"/>
          <w:sz w:val="24"/>
          <w:szCs w:val="24"/>
        </w:rPr>
      </w:pPr>
      <w:r>
        <w:rPr>
          <w:rFonts w:hint="eastAsia" w:ascii="宋体" w:hAnsi="宋体"/>
          <w:sz w:val="24"/>
          <w:szCs w:val="24"/>
        </w:rPr>
      </w:r>
      <w:r/>
    </w:p>
    <w:p>
      <w:pPr>
        <w:pStyle w:val="1085"/>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085"/>
        <w:ind w:firstLine="480"/>
        <w:rPr>
          <w:rFonts w:hint="eastAsia" w:ascii="宋体" w:hAnsi="宋体"/>
          <w:sz w:val="24"/>
          <w:szCs w:val="24"/>
        </w:rPr>
      </w:pPr>
      <w:r>
        <w:rPr>
          <w:rFonts w:hint="eastAsia" w:ascii="宋体" w:hAnsi="宋体"/>
          <w:sz w:val="24"/>
          <w:szCs w:val="24"/>
        </w:rPr>
      </w:r>
      <w:r/>
    </w:p>
    <w:p>
      <w:pPr>
        <w:pStyle w:val="1085"/>
        <w:ind w:firstLine="480"/>
        <w:rPr>
          <w:rFonts w:hint="eastAsia"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outlineLvl w:val="1"/>
      </w:pPr>
      <w:r/>
      <w:bookmarkStart w:id="147" w:name="_Toc29506"/>
      <w:r/>
      <w:bookmarkStart w:id="148" w:name="_Toc3680"/>
      <w:r/>
      <w:bookmarkStart w:id="149" w:name="_Toc27409"/>
      <w:r>
        <w:rPr>
          <w:rFonts w:hint="eastAsia" w:ascii="黑体" w:hAnsi="黑体" w:eastAsia="黑体" w:cs="黑体"/>
          <w:bCs/>
          <w:sz w:val="32"/>
          <w:szCs w:val="24"/>
        </w:rPr>
        <w:t xml:space="preserve">二、</w:t>
      </w:r>
      <w:bookmarkEnd w:id="147"/>
      <w:r/>
      <w:bookmarkEnd w:id="148"/>
      <w:r>
        <w:rPr>
          <w:rFonts w:hint="eastAsia" w:ascii="黑体" w:hAnsi="黑体" w:eastAsia="黑体" w:cs="黑体"/>
          <w:bCs/>
          <w:sz w:val="32"/>
          <w:szCs w:val="24"/>
        </w:rPr>
        <w:t xml:space="preserve">法人授权书</w:t>
      </w:r>
      <w:bookmarkEnd w:id="149"/>
      <w:r/>
      <w:r/>
    </w:p>
    <w:p>
      <w:pPr>
        <w:pStyle w:val="1085"/>
        <w:jc w:val="center"/>
        <w:rPr>
          <w:rFonts w:ascii="方正小标宋_GBK" w:eastAsia="方正小标宋_GBK"/>
          <w:bCs/>
          <w:sz w:val="32"/>
          <w:szCs w:val="32"/>
        </w:rPr>
      </w:pPr>
      <w:r/>
      <w:bookmarkStart w:id="150" w:name="OLE_LINK6"/>
      <w:r>
        <w:rPr>
          <w:rFonts w:hint="eastAsia" w:ascii="方正小标宋_GBK" w:eastAsia="方正小标宋_GBK"/>
          <w:bCs/>
          <w:sz w:val="32"/>
          <w:szCs w:val="32"/>
        </w:rPr>
        <w:t xml:space="preserve">法人授权书</w:t>
      </w:r>
      <w:bookmarkEnd w:id="150"/>
      <w:r/>
      <w:r/>
    </w:p>
    <w:p>
      <w:pPr>
        <w:pStyle w:val="1204"/>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JSZC-321300-JZCG-G2025-0081</w:t>
      </w:r>
      <w:r>
        <w:rPr>
          <w:rFonts w:hint="eastAsia" w:ascii="宋体" w:hAnsi="宋体"/>
          <w:sz w:val="24"/>
          <w:szCs w:val="24"/>
        </w:rPr>
        <w:t xml:space="preserve">号</w:t>
      </w:r>
      <w:r>
        <w:rPr>
          <w:rFonts w:ascii="sans-serif" w:hAnsi="sans-serif" w:eastAsia="sans-serif" w:cs="sans-serif"/>
          <w:i w:val="0"/>
          <w:iCs w:val="0"/>
          <w:caps w:val="0"/>
          <w:color w:val="000000"/>
          <w:spacing w:val="0"/>
          <w:sz w:val="27"/>
          <w:szCs w:val="27"/>
          <w:u w:val="single"/>
        </w:rPr>
        <w:t xml:space="preserve">宿迁市洋河高级中学后勤服务外包项目</w:t>
      </w:r>
      <w:r>
        <w:rPr>
          <w:rFonts w:hint="eastAsia" w:ascii="宋体" w:hAnsi="宋体"/>
          <w:sz w:val="24"/>
          <w:szCs w:val="24"/>
        </w:rPr>
        <w:t xml:space="preserve">采购活动的合法代理人，以本单位名义全权处理一切与该项目采购有关的事务。</w:t>
      </w:r>
      <w:r/>
    </w:p>
    <w:p>
      <w:pPr>
        <w:pStyle w:val="1204"/>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204"/>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204"/>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204"/>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204"/>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204"/>
        <w:ind w:firstLine="482"/>
        <w:spacing w:line="480" w:lineRule="exact"/>
        <w:rPr>
          <w:rFonts w:hint="eastAsia" w:ascii="宋体" w:hAnsi="宋体"/>
          <w:sz w:val="24"/>
          <w:szCs w:val="24"/>
        </w:rPr>
      </w:pPr>
      <w:r>
        <w:rPr>
          <w:rFonts w:hint="eastAsia"/>
          <w:sz w:val="24"/>
          <w:szCs w:val="24"/>
        </w:rPr>
        <w:t xml:space="preserve">日期：</w:t>
      </w:r>
      <w:bookmarkStart w:id="151" w:name="_Hlt26671380"/>
      <w:r/>
      <w:bookmarkEnd w:id="151"/>
      <w:r/>
      <w:bookmarkStart w:id="152" w:name="_Hlt26955070"/>
      <w:r/>
      <w:bookmarkEnd w:id="152"/>
      <w:r/>
      <w:bookmarkStart w:id="153" w:name="_格式3__银行出具的资信证明"/>
      <w:r/>
      <w:bookmarkEnd w:id="153"/>
      <w:r>
        <w:rPr>
          <w:rFonts w:hint="eastAsia"/>
          <w:sz w:val="24"/>
          <w:szCs w:val="24"/>
          <w:u w:val="single"/>
        </w:rPr>
        <w:t xml:space="preserve">                                         </w:t>
      </w:r>
      <w:r/>
    </w:p>
    <w:p>
      <w:pPr>
        <w:pStyle w:val="1087"/>
        <w:ind w:firstLine="629"/>
        <w:spacing w:line="700" w:lineRule="exact"/>
        <w:rPr>
          <w:rFonts w:ascii="方正仿宋_GBK" w:eastAsia="方正仿宋_GBK"/>
          <w:sz w:val="24"/>
        </w:rPr>
      </w:pPr>
      <w:r>
        <w:rPr>
          <w:rFonts w:ascii="方正仿宋_GBK" w:eastAsia="方正仿宋_GBK"/>
          <w:sz w:val="24"/>
        </w:rPr>
      </w:r>
      <w:r/>
    </w:p>
    <w:p>
      <w:pPr>
        <w:pStyle w:val="1090"/>
        <w:rPr>
          <w:rFonts w:hint="eastAsia"/>
        </w:rPr>
        <w:outlineLvl w:val="1"/>
      </w:pPr>
      <w:r>
        <w:br w:type="page" w:clear="all"/>
      </w:r>
      <w:bookmarkStart w:id="154" w:name="_Toc30543"/>
      <w:r/>
      <w:bookmarkStart w:id="155" w:name="_Toc27199"/>
      <w:r/>
      <w:bookmarkStart w:id="156" w:name="_Toc13550"/>
      <w:r>
        <w:rPr>
          <w:rFonts w:hint="eastAsia"/>
          <w:b w:val="0"/>
          <w:bCs/>
        </w:rPr>
        <w:t xml:space="preserve">三</w:t>
      </w:r>
      <w:r>
        <w:rPr>
          <w:b w:val="0"/>
          <w:bCs/>
        </w:rPr>
        <w:t xml:space="preserve">、开标一览表</w:t>
      </w:r>
      <w:bookmarkEnd w:id="154"/>
      <w:r/>
      <w:bookmarkEnd w:id="155"/>
      <w:r/>
      <w:bookmarkEnd w:id="156"/>
      <w:r/>
      <w:r/>
    </w:p>
    <w:p>
      <w:pPr>
        <w:pStyle w:val="1091"/>
        <w:rPr>
          <w:rFonts w:hint="eastAsia" w:ascii="宋体" w:hAnsi="宋体" w:eastAsia="宋体" w:cs="宋体"/>
        </w:rPr>
      </w:pPr>
      <w:r>
        <w:rPr>
          <w:rFonts w:hint="eastAsia" w:ascii="宋体" w:hAnsi="宋体" w:eastAsia="宋体" w:cs="宋体"/>
        </w:rPr>
      </w:r>
      <w:r/>
    </w:p>
    <w:p>
      <w:pPr>
        <w:pStyle w:val="1091"/>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供应商名称</w:t>
      </w:r>
      <w:r/>
    </w:p>
    <w:p>
      <w:pPr>
        <w:spacing w:line="500" w:lineRule="exact"/>
        <w:rPr>
          <w:rFonts w:ascii="sans-serif" w:hAnsi="sans-serif" w:eastAsia="sans-serif" w:cs="sans-serif"/>
          <w:i w:val="0"/>
          <w:iCs w:val="0"/>
          <w:caps w:val="0"/>
          <w:color w:val="000000"/>
          <w:spacing w:val="0"/>
          <w:sz w:val="27"/>
          <w:szCs w:val="27"/>
        </w:rPr>
      </w:pPr>
      <w:r>
        <w:rPr>
          <w:rFonts w:hint="eastAsia" w:ascii="宋体" w:hAnsi="宋体" w:cs="宋体"/>
          <w:sz w:val="24"/>
          <w:szCs w:val="24"/>
        </w:rPr>
        <w:t xml:space="preserve">采购项目名称：</w:t>
      </w:r>
      <w:r>
        <w:rPr>
          <w:rFonts w:ascii="sans-serif" w:hAnsi="sans-serif" w:eastAsia="sans-serif" w:cs="sans-serif"/>
          <w:i w:val="0"/>
          <w:iCs w:val="0"/>
          <w:caps w:val="0"/>
          <w:color w:val="000000"/>
          <w:spacing w:val="0"/>
          <w:sz w:val="27"/>
          <w:szCs w:val="27"/>
        </w:rPr>
        <w:t xml:space="preserve">宿迁市洋河高级中学后勤服务外包项目</w:t>
      </w:r>
      <w:r/>
    </w:p>
    <w:p>
      <w:pPr>
        <w:spacing w:line="500" w:lineRule="exact"/>
        <w:rPr>
          <w:rFonts w:hint="eastAsia" w:ascii="sans-serif" w:hAnsi="sans-serif" w:eastAsia="sans-serif" w:cs="sans-serif"/>
          <w:i w:val="0"/>
          <w:iCs w:val="0"/>
          <w:caps w:val="0"/>
          <w:color w:val="000000"/>
          <w:spacing w:val="0"/>
          <w:sz w:val="27"/>
          <w:szCs w:val="27"/>
        </w:rPr>
      </w:pPr>
      <w:r>
        <w:rPr>
          <w:rFonts w:hint="eastAsia" w:ascii="宋体" w:hAnsi="宋体" w:cs="宋体"/>
          <w:sz w:val="24"/>
          <w:szCs w:val="24"/>
        </w:rPr>
        <w:t xml:space="preserve">采购项目编号：</w:t>
      </w:r>
      <w:r>
        <w:rPr>
          <w:rFonts w:hint="eastAsia" w:ascii="Times New Roman" w:hAnsi="Times New Roman" w:eastAsia="Times New Roman" w:cs="Times New Roman"/>
          <w:sz w:val="24"/>
          <w:szCs w:val="24"/>
          <w:lang w:val="en-US" w:eastAsia="zh-CN" w:bidi="ar-SA"/>
        </w:rPr>
        <w:t xml:space="preserve">JSZC-321300-JZCG-G2025-0081 </w:t>
      </w:r>
      <w:r/>
    </w:p>
    <w:p>
      <w:pPr>
        <w:spacing w:line="500" w:lineRule="exact"/>
        <w:rPr>
          <w:rFonts w:hint="eastAsia" w:ascii="宋体" w:hAnsi="宋体" w:cs="宋体"/>
          <w:sz w:val="24"/>
          <w:szCs w:val="24"/>
        </w:rPr>
      </w:pPr>
      <w:r>
        <w:rPr>
          <w:rFonts w:hint="eastAsia" w:ascii="宋体" w:hAnsi="宋体" w:cs="宋体"/>
          <w:sz w:val="24"/>
          <w:szCs w:val="24"/>
        </w:rPr>
        <w:t xml:space="preserve"> 采购包号：</w:t>
      </w:r>
      <w:r>
        <w:rPr>
          <w:rStyle w:val="1155"/>
          <w:rFonts w:ascii="宋体" w:hAnsi="宋体" w:cs="宋体"/>
          <w:sz w:val="24"/>
          <w:szCs w:val="24"/>
        </w:rPr>
        <w:t xml:space="preserve">分包号</w:t>
      </w:r>
      <w:r>
        <w:rPr>
          <w:rFonts w:ascii="宋体" w:hAnsi="宋体" w:cs="宋体"/>
          <w:sz w:val="24"/>
          <w:szCs w:val="24"/>
        </w:rPr>
        <w:t xml:space="preserve"> </w:t>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投标总报价</w:t>
            </w:r>
            <w:r/>
          </w:p>
        </w:tc>
      </w:tr>
      <w:tr>
        <w:trPr/>
        <w:tc>
          <w:tcPr>
            <w:tcW w:w="9400" w:type="dxa"/>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总价（小写）：          </w:t>
            </w:r>
            <w:r>
              <w:rPr>
                <w:rFonts w:ascii="宋体" w:hAnsi="宋体" w:cs="宋体"/>
                <w:sz w:val="24"/>
                <w:szCs w:val="24"/>
              </w:rPr>
              <w:t xml:space="preserve">（人民币：元）</w:t>
            </w:r>
            <w:r/>
          </w:p>
        </w:tc>
      </w:tr>
      <w:tr>
        <w:trPr/>
        <w:tc>
          <w:tcPr>
            <w:tcW w:w="9400" w:type="dxa"/>
            <w:textDirection w:val="lrTb"/>
            <w:noWrap w:val="false"/>
          </w:tcPr>
          <w:p>
            <w:pPr>
              <w:spacing w:line="500" w:lineRule="exact"/>
              <w:rPr>
                <w:rFonts w:hint="eastAsia" w:ascii="宋体" w:hAnsi="宋体" w:cs="宋体"/>
                <w:sz w:val="24"/>
                <w:szCs w:val="24"/>
              </w:rPr>
            </w:pPr>
            <w:r>
              <w:rPr>
                <w:rFonts w:ascii="宋体" w:hAnsi="宋体" w:cs="宋体"/>
                <w:sz w:val="24"/>
                <w:szCs w:val="24"/>
              </w:rPr>
              <w:t xml:space="preserve">总价（大写）：</w:t>
            </w:r>
            <w:r>
              <w:rPr>
                <w:rStyle w:val="1155"/>
                <w:rFonts w:ascii="宋体" w:hAnsi="宋体" w:cs="宋体"/>
                <w:sz w:val="24"/>
                <w:szCs w:val="24"/>
              </w:rPr>
              <w:t xml:space="preserve">金额大写</w:t>
            </w:r>
            <w:r>
              <w:rPr>
                <w:rFonts w:ascii="宋体" w:hAnsi="宋体" w:cs="宋体"/>
                <w:sz w:val="24"/>
                <w:szCs w:val="24"/>
              </w:rPr>
              <w:t xml:space="preserve"> （人民币：元）</w:t>
            </w:r>
            <w:r/>
          </w:p>
        </w:tc>
      </w:tr>
    </w:tbl>
    <w:p>
      <w:pPr>
        <w:spacing w:line="500" w:lineRule="exact"/>
        <w:rPr>
          <w:rFonts w:hint="eastAsia" w:ascii="宋体" w:hAnsi="宋体" w:cs="宋体"/>
          <w:sz w:val="24"/>
          <w:szCs w:val="24"/>
        </w:rPr>
      </w:pPr>
      <w:r>
        <w:rPr>
          <w:rFonts w:hint="eastAsia" w:ascii="宋体" w:hAnsi="宋体" w:cs="宋体"/>
          <w:sz w:val="24"/>
          <w:szCs w:val="24"/>
        </w:rPr>
      </w:r>
      <w:r/>
    </w:p>
    <w:p>
      <w:r/>
      <w:r/>
    </w:p>
    <w:p>
      <w:r/>
      <w:r/>
    </w:p>
    <w:p>
      <w:r/>
      <w:r/>
    </w:p>
    <w:p>
      <w:pPr>
        <w:rPr>
          <w:rFonts w:hint="eastAsia" w:ascii="宋体" w:hAnsi="宋体" w:cs="宋体"/>
          <w:sz w:val="24"/>
        </w:rPr>
      </w:pPr>
      <w:r>
        <w:rPr>
          <w:rFonts w:hint="eastAsia"/>
        </w:rPr>
        <w:t xml:space="preserve"> </w:t>
      </w:r>
      <w:r>
        <w:t xml:space="preserve">                   </w:t>
      </w:r>
      <w:r>
        <w:rPr>
          <w:rFonts w:hint="eastAsia"/>
        </w:rPr>
        <w:t xml:space="preserve">                   </w:t>
      </w:r>
      <w:r>
        <w:t xml:space="preserve">     </w:t>
      </w:r>
      <w:bookmarkStart w:id="157"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57"/>
      <w:r/>
      <w:r/>
    </w:p>
    <w:p>
      <w:pPr>
        <w:pStyle w:val="1093"/>
        <w:rPr>
          <w:rFonts w:hint="eastAsia"/>
        </w:rPr>
        <w:outlineLvl w:val="1"/>
      </w:pPr>
      <w:r>
        <w:br w:type="page" w:clear="all"/>
      </w:r>
      <w:bookmarkStart w:id="158" w:name="_Toc956"/>
      <w:r/>
      <w:bookmarkStart w:id="159" w:name="_Toc26543"/>
      <w:r/>
      <w:bookmarkStart w:id="160" w:name="_Toc12614"/>
      <w:r>
        <w:rPr>
          <w:rFonts w:hint="eastAsia"/>
          <w:b w:val="0"/>
          <w:bCs/>
        </w:rPr>
        <w:t xml:space="preserve">四</w:t>
      </w:r>
      <w:r>
        <w:rPr>
          <w:b w:val="0"/>
          <w:bCs/>
        </w:rPr>
        <w:t xml:space="preserve">、</w:t>
      </w:r>
      <w:bookmarkEnd w:id="158"/>
      <w:r/>
      <w:bookmarkEnd w:id="159"/>
      <w:r>
        <w:rPr>
          <w:rFonts w:hint="eastAsia"/>
          <w:b w:val="0"/>
          <w:bCs/>
        </w:rPr>
        <w:t xml:space="preserve">分项报价表</w:t>
      </w:r>
      <w:bookmarkEnd w:id="160"/>
      <w:r/>
      <w:r/>
    </w:p>
    <w:tbl>
      <w:tblPr>
        <w:tblStyle w:val="763"/>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043"/>
        <w:gridCol w:w="2505"/>
        <w:gridCol w:w="1515"/>
        <w:gridCol w:w="1213"/>
        <w:gridCol w:w="909"/>
        <w:gridCol w:w="1290"/>
      </w:tblGrid>
      <w:tr>
        <w:trPr>
          <w:cantSplit/>
          <w:jc w:val="center"/>
          <w:trHeight w:val="580"/>
        </w:trPr>
        <w:tc>
          <w:tcPr>
            <w:gridSpan w:val="7"/>
            <w:tcW w:w="10393" w:type="dxa"/>
            <w:vAlign w:val="center"/>
            <w:textDirection w:val="lrTb"/>
            <w:noWrap w:val="false"/>
          </w:tcPr>
          <w:p>
            <w:pPr>
              <w:pStyle w:val="1141"/>
              <w:jc w:val="center"/>
              <w:spacing w:line="360" w:lineRule="exact"/>
              <w:widowControl/>
              <w:rPr>
                <w:rFonts w:hint="eastAsia" w:ascii="宋体" w:hAnsi="宋体" w:cs="宋体"/>
                <w:sz w:val="24"/>
                <w:szCs w:val="24"/>
              </w:rPr>
            </w:pPr>
            <w:r/>
            <w:bookmarkStart w:id="161" w:name="_Toc17418"/>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141"/>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043" w:type="dxa"/>
            <w:vAlign w:val="center"/>
            <w:textDirection w:val="lrTb"/>
            <w:noWrap w:val="false"/>
          </w:tcPr>
          <w:p>
            <w:pPr>
              <w:pStyle w:val="1141"/>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505" w:type="dxa"/>
            <w:vAlign w:val="center"/>
            <w:textDirection w:val="lrTb"/>
            <w:noWrap w:val="false"/>
          </w:tcPr>
          <w:p>
            <w:pPr>
              <w:pStyle w:val="1107"/>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515" w:type="dxa"/>
            <w:vAlign w:val="center"/>
            <w:textDirection w:val="lrTb"/>
            <w:noWrap w:val="false"/>
          </w:tcPr>
          <w:p>
            <w:pPr>
              <w:pStyle w:val="1141"/>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1141"/>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213" w:type="dxa"/>
            <w:vAlign w:val="center"/>
            <w:textDirection w:val="lrTb"/>
            <w:noWrap w:val="false"/>
          </w:tcPr>
          <w:p>
            <w:pPr>
              <w:pStyle w:val="1141"/>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141"/>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141"/>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1141"/>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703"/>
        </w:trPr>
        <w:tc>
          <w:tcPr>
            <w:tcW w:w="918" w:type="dxa"/>
            <w:vAlign w:val="center"/>
            <w:textDirection w:val="lrTb"/>
            <w:noWrap w:val="false"/>
          </w:tcPr>
          <w:p>
            <w:pPr>
              <w:pStyle w:val="1142"/>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043" w:type="dxa"/>
            <w:vAlign w:val="center"/>
            <w:vMerge w:val="restart"/>
            <w:textDirection w:val="lrTb"/>
            <w:noWrap w:val="false"/>
          </w:tcPr>
          <w:p>
            <w:pPr>
              <w:pStyle w:val="1142"/>
              <w:jc w:val="center"/>
              <w:spacing w:line="360" w:lineRule="exact"/>
              <w:widowControl/>
              <w:rPr>
                <w:rFonts w:hint="eastAsia" w:ascii="宋体" w:hAnsi="宋体" w:cs="宋体"/>
                <w:sz w:val="24"/>
                <w:szCs w:val="24"/>
              </w:rPr>
            </w:pPr>
            <w:r>
              <w:rPr>
                <w:rFonts w:hint="eastAsia" w:ascii="宋体" w:hAnsi="宋体" w:cs="宋体"/>
                <w:sz w:val="24"/>
                <w:szCs w:val="24"/>
              </w:rPr>
              <w:t xml:space="preserve">人员工资</w:t>
            </w:r>
            <w:r/>
          </w:p>
        </w:tc>
        <w:tc>
          <w:tcPr>
            <w:tcW w:w="2505" w:type="dxa"/>
            <w:vAlign w:val="center"/>
            <w:textDirection w:val="lrTb"/>
            <w:noWrap w:val="false"/>
          </w:tcPr>
          <w:p>
            <w:pPr>
              <w:pStyle w:val="1231"/>
              <w:ind w:firstLine="0"/>
              <w:jc w:val="center"/>
              <w:spacing w:line="400" w:lineRule="exact"/>
              <w:rPr>
                <w:rFonts w:hint="eastAsia" w:ascii="宋体" w:hAnsi="宋体" w:cs="宋体"/>
                <w:sz w:val="24"/>
                <w:szCs w:val="24"/>
                <w:lang w:val="en-US"/>
              </w:rPr>
            </w:pPr>
            <w:r>
              <w:rPr>
                <w:rFonts w:ascii="宋体" w:hAnsi="宋体" w:cs="宋体"/>
                <w:sz w:val="24"/>
                <w:szCs w:val="24"/>
                <w:lang w:val="en-US"/>
              </w:rPr>
              <w:t xml:space="preserve">保</w:t>
            </w:r>
            <w:r>
              <w:rPr>
                <w:rFonts w:hint="eastAsia" w:ascii="宋体" w:hAnsi="宋体" w:cs="宋体"/>
                <w:sz w:val="24"/>
                <w:szCs w:val="24"/>
                <w:lang w:val="en-US" w:eastAsia="zh-CN"/>
              </w:rPr>
              <w:t xml:space="preserve">洁</w:t>
            </w:r>
            <w:r>
              <w:rPr>
                <w:rFonts w:ascii="宋体" w:hAnsi="宋体" w:cs="宋体"/>
                <w:sz w:val="24"/>
                <w:szCs w:val="24"/>
                <w:lang w:val="en-US"/>
              </w:rPr>
              <w:t xml:space="preserve">员</w:t>
            </w:r>
            <w:r/>
          </w:p>
        </w:tc>
        <w:tc>
          <w:tcPr>
            <w:tcW w:w="1515"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c>
          <w:tcPr>
            <w:tcW w:w="1213" w:type="dxa"/>
            <w:vAlign w:val="center"/>
            <w:textDirection w:val="lrTb"/>
            <w:noWrap w:val="false"/>
          </w:tcPr>
          <w:p>
            <w:pPr>
              <w:jc w:val="center"/>
              <w:spacing w:line="360" w:lineRule="exact"/>
              <w:rPr>
                <w:rFonts w:hint="eastAsia" w:ascii="宋体" w:hAnsi="宋体" w:cs="宋体"/>
                <w:color w:val="000000"/>
                <w:sz w:val="24"/>
                <w:szCs w:val="24"/>
              </w:rPr>
            </w:pPr>
            <w:r>
              <w:rPr>
                <w:rFonts w:ascii="宋体" w:hAnsi="宋体" w:cs="宋体"/>
                <w:color w:val="000000"/>
                <w:sz w:val="24"/>
                <w:szCs w:val="24"/>
              </w:rPr>
              <w:t xml:space="preserve">9</w:t>
            </w:r>
            <w:r/>
          </w:p>
        </w:tc>
        <w:tc>
          <w:tcPr>
            <w:tcW w:w="909" w:type="dxa"/>
            <w:vAlign w:val="center"/>
            <w:textDirection w:val="lrTb"/>
            <w:noWrap w:val="false"/>
          </w:tcPr>
          <w:p>
            <w:pPr>
              <w:pStyle w:val="1142"/>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W w:w="2043" w:type="dxa"/>
            <w:vAlign w:val="center"/>
            <w:vMerge w:val="continue"/>
            <w:textDirection w:val="lrTb"/>
            <w:noWrap w:val="false"/>
          </w:tcPr>
          <w:p>
            <w:pPr>
              <w:pStyle w:val="1081"/>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505" w:type="dxa"/>
            <w:vAlign w:val="center"/>
            <w:textDirection w:val="lrTb"/>
            <w:noWrap w:val="false"/>
          </w:tcPr>
          <w:p>
            <w:pPr>
              <w:pStyle w:val="1231"/>
              <w:ind w:firstLine="0"/>
              <w:jc w:val="center"/>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男</w:t>
            </w:r>
            <w:r>
              <w:rPr>
                <w:rFonts w:hint="eastAsia" w:ascii="宋体" w:hAnsi="宋体" w:cs="宋体"/>
                <w:sz w:val="24"/>
                <w:szCs w:val="24"/>
                <w:lang w:val="en-US"/>
              </w:rPr>
              <w:t xml:space="preserve">宿</w:t>
            </w:r>
            <w:r>
              <w:rPr>
                <w:rFonts w:hint="eastAsia" w:ascii="宋体" w:hAnsi="宋体" w:cs="宋体"/>
                <w:sz w:val="24"/>
                <w:szCs w:val="24"/>
                <w:lang w:val="en-US" w:eastAsia="zh-CN"/>
              </w:rPr>
              <w:t xml:space="preserve">管</w:t>
            </w:r>
            <w:r/>
          </w:p>
        </w:tc>
        <w:tc>
          <w:tcPr>
            <w:tcW w:w="1515"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c>
          <w:tcPr>
            <w:tcW w:w="1213" w:type="dxa"/>
            <w:vAlign w:val="center"/>
            <w:textDirection w:val="lrTb"/>
            <w:noWrap w:val="false"/>
          </w:tcPr>
          <w:p>
            <w:pPr>
              <w:jc w:val="center"/>
              <w:spacing w:line="36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c>
          <w:tcPr>
            <w:tcW w:w="2043" w:type="dxa"/>
            <w:vAlign w:val="center"/>
            <w:vMerge w:val="continue"/>
            <w:textDirection w:val="lrTb"/>
            <w:noWrap w:val="false"/>
          </w:tcPr>
          <w:p>
            <w:pPr>
              <w:pStyle w:val="1081"/>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505" w:type="dxa"/>
            <w:vAlign w:val="center"/>
            <w:textDirection w:val="lrTb"/>
            <w:noWrap w:val="false"/>
          </w:tcPr>
          <w:p>
            <w:pPr>
              <w:pStyle w:val="1231"/>
              <w:ind w:firstLine="0"/>
              <w:jc w:val="center"/>
              <w:spacing w:line="40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女宿管</w:t>
            </w:r>
            <w:r/>
          </w:p>
        </w:tc>
        <w:tc>
          <w:tcPr>
            <w:tcW w:w="1515"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c>
          <w:tcPr>
            <w:tcW w:w="1213"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c>
          <w:tcPr>
            <w:tcW w:w="2043" w:type="dxa"/>
            <w:vAlign w:val="center"/>
            <w:vMerge w:val="continue"/>
            <w:textDirection w:val="lrTb"/>
            <w:noWrap w:val="false"/>
          </w:tcPr>
          <w:p>
            <w:pPr>
              <w:pStyle w:val="1081"/>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505" w:type="dxa"/>
            <w:vAlign w:val="center"/>
            <w:textDirection w:val="lrTb"/>
            <w:noWrap w:val="false"/>
          </w:tcPr>
          <w:p>
            <w:pPr>
              <w:pStyle w:val="1231"/>
              <w:ind w:firstLine="0"/>
              <w:jc w:val="center"/>
              <w:spacing w:line="400" w:lineRule="exact"/>
              <w:rPr>
                <w:rFonts w:hint="eastAsia" w:ascii="宋体" w:hAnsi="宋体" w:cs="宋体"/>
                <w:sz w:val="24"/>
                <w:szCs w:val="24"/>
                <w:lang w:val="en-US"/>
              </w:rPr>
            </w:pPr>
            <w:r>
              <w:rPr>
                <w:rFonts w:ascii="宋体" w:hAnsi="宋体" w:cs="宋体"/>
                <w:sz w:val="24"/>
                <w:szCs w:val="24"/>
                <w:lang w:val="en-US"/>
              </w:rPr>
              <w:t xml:space="preserve">水电工</w:t>
            </w:r>
            <w:r/>
          </w:p>
        </w:tc>
        <w:tc>
          <w:tcPr>
            <w:tcW w:w="1515"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c>
          <w:tcPr>
            <w:tcW w:w="1213"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c>
          <w:tcPr>
            <w:tcW w:w="2043" w:type="dxa"/>
            <w:vAlign w:val="center"/>
            <w:vMerge w:val="continue"/>
            <w:textDirection w:val="lrTb"/>
            <w:noWrap w:val="false"/>
          </w:tcPr>
          <w:p>
            <w:pPr>
              <w:pStyle w:val="1081"/>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505" w:type="dxa"/>
            <w:vAlign w:val="center"/>
            <w:textDirection w:val="lrTb"/>
            <w:noWrap w:val="false"/>
          </w:tcPr>
          <w:p>
            <w:pPr>
              <w:pStyle w:val="1231"/>
              <w:ind w:firstLine="0"/>
              <w:jc w:val="center"/>
              <w:spacing w:line="400" w:lineRule="exact"/>
              <w:rPr>
                <w:rFonts w:ascii="宋体" w:hAnsi="宋体" w:cs="宋体"/>
                <w:sz w:val="24"/>
                <w:szCs w:val="24"/>
                <w:lang w:val="en-US"/>
              </w:rPr>
            </w:pPr>
            <w:r>
              <w:rPr>
                <w:rFonts w:hint="eastAsia" w:ascii="宋体" w:hAnsi="宋体" w:cs="宋体"/>
                <w:sz w:val="24"/>
                <w:szCs w:val="24"/>
                <w:lang w:val="en-US" w:eastAsia="zh-CN"/>
              </w:rPr>
              <w:t xml:space="preserve">暖通工</w:t>
            </w:r>
            <w:r/>
          </w:p>
        </w:tc>
        <w:tc>
          <w:tcPr>
            <w:tcW w:w="1515"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c>
          <w:tcPr>
            <w:tcW w:w="1213"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W w:w="909"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1290"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83"/>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043" w:type="dxa"/>
            <w:vAlign w:val="center"/>
            <w:vMerge w:val="restart"/>
            <w:textDirection w:val="lrTb"/>
            <w:noWrap w:val="false"/>
          </w:tcPr>
          <w:p>
            <w:pPr>
              <w:pStyle w:val="1081"/>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505"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515"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c>
          <w:tcPr>
            <w:tcW w:w="1213"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41"/>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043" w:type="dxa"/>
            <w:vAlign w:val="center"/>
            <w:vMerge w:val="continue"/>
            <w:textDirection w:val="lrTb"/>
            <w:noWrap w:val="false"/>
          </w:tcPr>
          <w:p>
            <w:pPr>
              <w:pStyle w:val="1081"/>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505"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社保</w:t>
            </w:r>
            <w:r/>
          </w:p>
        </w:tc>
        <w:tc>
          <w:tcPr>
            <w:tcW w:w="1515"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c>
          <w:tcPr>
            <w:tcW w:w="1213" w:type="dxa"/>
            <w:vAlign w:val="center"/>
            <w:textDirection w:val="lrTb"/>
            <w:noWrap w:val="false"/>
          </w:tcPr>
          <w:p>
            <w:pPr>
              <w:pStyle w:val="1142"/>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043"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432"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7</w:t>
            </w:r>
            <w:r/>
          </w:p>
        </w:tc>
        <w:tc>
          <w:tcPr>
            <w:tcW w:w="2043"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设备(工具)或者折旧费、耗材费</w:t>
            </w:r>
            <w:r/>
          </w:p>
        </w:tc>
        <w:tc>
          <w:tcPr>
            <w:gridSpan w:val="5"/>
            <w:tcW w:w="7432"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8</w:t>
            </w:r>
            <w:r/>
          </w:p>
        </w:tc>
        <w:tc>
          <w:tcPr>
            <w:tcW w:w="2043"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432"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9</w:t>
            </w:r>
            <w:r/>
          </w:p>
        </w:tc>
        <w:tc>
          <w:tcPr>
            <w:tcW w:w="2043"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432"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10</w:t>
            </w:r>
            <w:r/>
          </w:p>
        </w:tc>
        <w:tc>
          <w:tcPr>
            <w:tcW w:w="2043"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432"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12</w:t>
            </w:r>
            <w:r/>
          </w:p>
        </w:tc>
        <w:tc>
          <w:tcPr>
            <w:tcW w:w="2043"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432"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13</w:t>
            </w:r>
            <w:r/>
          </w:p>
        </w:tc>
        <w:tc>
          <w:tcPr>
            <w:tcW w:w="2043"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p>
        </w:tc>
        <w:tc>
          <w:tcPr>
            <w:gridSpan w:val="5"/>
            <w:tcW w:w="7432"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68"/>
        </w:trPr>
        <w:tc>
          <w:tcPr>
            <w:tcW w:w="918" w:type="dxa"/>
            <w:vAlign w:val="center"/>
            <w:vMerge w:val="restart"/>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t xml:space="preserve">14</w:t>
            </w:r>
            <w:r/>
          </w:p>
        </w:tc>
        <w:tc>
          <w:tcPr>
            <w:tcW w:w="2043" w:type="dxa"/>
            <w:vAlign w:val="center"/>
            <w:vMerge w:val="restart"/>
            <w:textDirection w:val="lrTb"/>
            <w:noWrap w:val="false"/>
          </w:tcPr>
          <w:p>
            <w:pPr>
              <w:pStyle w:val="1142"/>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432" w:type="dxa"/>
            <w:vAlign w:val="center"/>
            <w:textDirection w:val="lrTb"/>
            <w:noWrap w:val="false"/>
          </w:tcPr>
          <w:p>
            <w:pPr>
              <w:pStyle w:val="1142"/>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282"/>
        </w:trPr>
        <w:tc>
          <w:tcPr>
            <w:tcW w:w="918" w:type="dxa"/>
            <w:vAlign w:val="center"/>
            <w:vMerge w:val="continue"/>
            <w:textDirection w:val="lrTb"/>
            <w:noWrap w:val="false"/>
          </w:tcPr>
          <w:p>
            <w:pPr>
              <w:pStyle w:val="1142"/>
              <w:jc w:val="center"/>
              <w:spacing w:line="360" w:lineRule="exact"/>
            </w:pPr>
            <w:r/>
            <w:r/>
          </w:p>
        </w:tc>
        <w:tc>
          <w:tcPr>
            <w:tcW w:w="2043" w:type="dxa"/>
            <w:vAlign w:val="center"/>
            <w:vMerge w:val="continue"/>
            <w:textDirection w:val="lrTb"/>
            <w:noWrap w:val="false"/>
          </w:tcPr>
          <w:p>
            <w:pPr>
              <w:pStyle w:val="1142"/>
              <w:jc w:val="center"/>
              <w:spacing w:line="360" w:lineRule="exact"/>
            </w:pPr>
            <w:r/>
            <w:r/>
          </w:p>
        </w:tc>
        <w:tc>
          <w:tcPr>
            <w:gridSpan w:val="5"/>
            <w:tcW w:w="7432" w:type="dxa"/>
            <w:vAlign w:val="center"/>
            <w:textDirection w:val="lrTb"/>
            <w:noWrap w:val="false"/>
          </w:tcPr>
          <w:p>
            <w:pPr>
              <w:pStyle w:val="1142"/>
              <w:jc w:val="center"/>
              <w:spacing w:line="360" w:lineRule="exact"/>
              <w:rPr>
                <w:rFonts w:hint="eastAsia" w:ascii="仿宋_GB2312" w:hAnsi="仿宋_GB2312"/>
                <w:sz w:val="22"/>
                <w:szCs w:val="22"/>
              </w:rPr>
            </w:pPr>
            <w:r>
              <w:rPr>
                <w:rStyle w:val="825"/>
                <w:rFonts w:hint="eastAsia" w:ascii="仿宋_GB2312" w:hAnsi="仿宋_GB2312"/>
                <w:sz w:val="22"/>
                <w:szCs w:val="22"/>
              </w:rPr>
              <w:t xml:space="preserve">增值税纳税人身份：</w:t>
            </w:r>
            <w:r>
              <w:rPr>
                <w:rStyle w:val="825"/>
                <w:rFonts w:hint="eastAsia" w:ascii="仿宋_GB2312" w:hAnsi="仿宋_GB2312"/>
                <w:sz w:val="22"/>
                <w:szCs w:val="22"/>
                <w:u w:val="single"/>
              </w:rPr>
              <w:t xml:space="preserve"> </w:t>
            </w:r>
            <w:r>
              <w:rPr>
                <w:rStyle w:val="825"/>
                <w:rFonts w:ascii="仿宋_GB2312" w:hAnsi="仿宋_GB2312"/>
                <w:sz w:val="22"/>
                <w:szCs w:val="22"/>
                <w:u w:val="single"/>
              </w:rPr>
              <w:t xml:space="preserve">      </w:t>
            </w:r>
            <w:r>
              <w:rPr>
                <w:rStyle w:val="825"/>
                <w:rFonts w:ascii="仿宋_GB2312" w:hAnsi="仿宋_GB2312"/>
                <w:sz w:val="22"/>
                <w:szCs w:val="22"/>
              </w:rPr>
              <w:t xml:space="preserve">；税率：</w:t>
            </w:r>
            <w:r>
              <w:rPr>
                <w:rStyle w:val="825"/>
                <w:rFonts w:hint="eastAsia" w:ascii="仿宋_GB2312" w:hAnsi="仿宋_GB2312"/>
                <w:sz w:val="22"/>
                <w:szCs w:val="22"/>
                <w:u w:val="single"/>
              </w:rPr>
              <w:t xml:space="preserve"> </w:t>
            </w:r>
            <w:r>
              <w:rPr>
                <w:rStyle w:val="825"/>
                <w:rFonts w:ascii="仿宋_GB2312" w:hAnsi="仿宋_GB2312"/>
                <w:sz w:val="22"/>
                <w:szCs w:val="22"/>
                <w:u w:val="single"/>
              </w:rPr>
              <w:t xml:space="preserve">       </w:t>
            </w:r>
            <w:r>
              <w:rPr>
                <w:rStyle w:val="825"/>
                <w:rFonts w:ascii="仿宋_GB2312" w:hAnsi="仿宋_GB2312"/>
                <w:sz w:val="22"/>
                <w:szCs w:val="22"/>
              </w:rPr>
              <w:t xml:space="preserve">（</w:t>
            </w:r>
            <w:r>
              <w:rPr>
                <w:rStyle w:val="825"/>
                <w:rFonts w:hint="eastAsia" w:ascii="仿宋_GB2312" w:hAnsi="仿宋_GB2312"/>
                <w:sz w:val="22"/>
                <w:szCs w:val="22"/>
              </w:rPr>
              <w:t xml:space="preserve">明确是增值税一般纳税人还是小规模纳税人</w:t>
            </w:r>
            <w:r>
              <w:rPr>
                <w:rStyle w:val="825"/>
                <w:rFonts w:hint="eastAsia" w:ascii="仿宋_GB2312" w:hAnsi="仿宋_GB2312"/>
                <w:b/>
                <w:bCs/>
                <w:sz w:val="22"/>
                <w:szCs w:val="22"/>
              </w:rPr>
              <w:t xml:space="preserve">并提供相关证明</w:t>
            </w:r>
            <w:r>
              <w:rPr>
                <w:rStyle w:val="825"/>
                <w:rFonts w:ascii="仿宋_GB2312" w:hAnsi="仿宋_GB2312"/>
                <w:sz w:val="22"/>
                <w:szCs w:val="22"/>
              </w:rPr>
              <w:t xml:space="preserve">）</w:t>
            </w:r>
            <w:r/>
          </w:p>
        </w:tc>
      </w:tr>
      <w:tr>
        <w:trPr>
          <w:cantSplit/>
          <w:jc w:val="center"/>
          <w:trHeight w:val="553"/>
        </w:trPr>
        <w:tc>
          <w:tcPr>
            <w:tcW w:w="918" w:type="dxa"/>
            <w:vAlign w:val="center"/>
            <w:textDirection w:val="lrTb"/>
            <w:noWrap w:val="false"/>
          </w:tcPr>
          <w:p>
            <w:pPr>
              <w:pStyle w:val="1142"/>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043" w:type="dxa"/>
            <w:vAlign w:val="center"/>
            <w:textDirection w:val="lrTb"/>
            <w:noWrap w:val="false"/>
          </w:tcPr>
          <w:p>
            <w:pPr>
              <w:pStyle w:val="1142"/>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432" w:type="dxa"/>
            <w:vAlign w:val="center"/>
            <w:textDirection w:val="lrTb"/>
            <w:noWrap w:val="false"/>
          </w:tcPr>
          <w:p>
            <w:pPr>
              <w:pStyle w:val="1142"/>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2961" w:type="dxa"/>
            <w:vAlign w:val="center"/>
            <w:textDirection w:val="lrTb"/>
            <w:noWrap w:val="false"/>
          </w:tcPr>
          <w:p>
            <w:pPr>
              <w:pStyle w:val="1142"/>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iCs/>
                <w:sz w:val="24"/>
                <w:szCs w:val="28"/>
                <w:lang w:val="zh-CN"/>
              </w:rPr>
              <w:t xml:space="preserve">投标总报价</w:t>
            </w:r>
            <w:r/>
          </w:p>
        </w:tc>
        <w:tc>
          <w:tcPr>
            <w:gridSpan w:val="5"/>
            <w:tcW w:w="7432" w:type="dxa"/>
            <w:vAlign w:val="center"/>
            <w:textDirection w:val="lrTb"/>
            <w:noWrap w:val="false"/>
          </w:tcPr>
          <w:p>
            <w:pPr>
              <w:pStyle w:val="1142"/>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142"/>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bl>
    <w:p>
      <w:pPr>
        <w:pStyle w:val="1144"/>
        <w:spacing w:line="360" w:lineRule="auto"/>
        <w:rPr>
          <w:rFonts w:eastAsia="宋体" w:cs="方正仿宋_GBK"/>
          <w:b/>
          <w:bCs/>
          <w:iCs/>
          <w:szCs w:val="28"/>
          <w:lang w:val="zh-CN"/>
        </w:rPr>
      </w:pPr>
      <w:r>
        <w:rPr>
          <w:rFonts w:hint="eastAsia" w:eastAsia="宋体"/>
          <w:color w:val="000000"/>
        </w:rPr>
        <w:t xml:space="preserve">备注：</w:t>
      </w:r>
      <w:r>
        <w:rPr>
          <w:rFonts w:hint="eastAsia" w:eastAsia="宋体" w:cs="方正仿宋_GBK"/>
          <w:b/>
          <w:bCs/>
          <w:iCs/>
          <w:szCs w:val="28"/>
          <w:lang w:val="zh-CN"/>
        </w:rPr>
        <w:t xml:space="preserve">1、明细报价表中列明的项目不接受赠送。</w:t>
      </w:r>
      <w:r/>
    </w:p>
    <w:p>
      <w:pPr>
        <w:pStyle w:val="1144"/>
        <w:numPr>
          <w:ilvl w:val="0"/>
          <w:numId w:val="7"/>
        </w:numPr>
        <w:ind w:firstLine="723"/>
        <w:spacing w:line="360" w:lineRule="auto"/>
        <w:rPr>
          <w:rFonts w:eastAsia="宋体" w:cs="方正仿宋_GBK"/>
          <w:b/>
          <w:bCs/>
          <w:iCs/>
          <w:szCs w:val="28"/>
          <w:lang w:val="zh-CN"/>
        </w:rPr>
      </w:pPr>
      <w:r>
        <w:rPr>
          <w:rFonts w:hint="eastAsia" w:eastAsia="宋体" w:cs="方正仿宋_GBK"/>
          <w:b/>
          <w:bCs/>
          <w:iCs/>
          <w:szCs w:val="28"/>
          <w:lang w:val="zh-CN"/>
        </w:rPr>
        <w:t xml:space="preserve">人员工资合价=人员月工资*人员数量*月数</w:t>
      </w:r>
      <w:r/>
    </w:p>
    <w:p>
      <w:pPr>
        <w:pStyle w:val="1144"/>
        <w:ind w:firstLine="723"/>
        <w:spacing w:line="360" w:lineRule="auto"/>
        <w:rPr>
          <w:rFonts w:eastAsia="宋体" w:cs="方正仿宋_GBK"/>
          <w:b/>
          <w:bCs/>
          <w:iCs/>
          <w:szCs w:val="28"/>
          <w:lang w:val="zh-CN"/>
        </w:rPr>
      </w:pPr>
      <w:r>
        <w:rPr>
          <w:rFonts w:hint="eastAsia" w:eastAsia="宋体" w:cs="方正仿宋_GBK"/>
          <w:b/>
          <w:bCs/>
          <w:iCs/>
          <w:szCs w:val="28"/>
        </w:rPr>
        <w:t xml:space="preserve">3、</w:t>
      </w:r>
      <w:r>
        <w:rPr>
          <w:rFonts w:hint="eastAsia" w:eastAsia="宋体" w:cs="方正仿宋_GBK"/>
          <w:b/>
          <w:bCs/>
          <w:iCs/>
          <w:szCs w:val="28"/>
          <w:lang w:val="zh-CN"/>
        </w:rPr>
        <w:t xml:space="preserve">“投标总报价”数额应当与“开标一览表”中“投标总报价”数额一致。</w:t>
      </w:r>
      <w:r/>
    </w:p>
    <w:p>
      <w:pPr>
        <w:pStyle w:val="1176"/>
        <w:ind w:firstLine="723"/>
        <w:jc w:val="left"/>
        <w:spacing w:line="440" w:lineRule="exact"/>
        <w:widowControl/>
        <w:rPr>
          <w:rFonts w:ascii="Times New Roman" w:hAnsi="Times New Roman" w:cs="方正仿宋_GBK"/>
          <w:b/>
          <w:bCs/>
          <w:iCs/>
          <w:szCs w:val="28"/>
        </w:rPr>
      </w:pPr>
      <w:r>
        <w:rPr>
          <w:rFonts w:hint="eastAsia" w:ascii="Times New Roman" w:hAnsi="Times New Roman" w:cs="方正仿宋_GBK"/>
          <w:b/>
          <w:bCs/>
          <w:iCs/>
          <w:szCs w:val="28"/>
        </w:rPr>
        <w:t xml:space="preserve">4、注:社保金额≥</w:t>
      </w:r>
      <w:r>
        <w:rPr>
          <w:rFonts w:hint="eastAsia" w:ascii="宋体" w:hAnsi="宋体" w:cs="宋体"/>
          <w:b/>
          <w:iCs/>
          <w:szCs w:val="24"/>
          <w:lang w:bidi="zh-CN"/>
        </w:rPr>
        <w:t xml:space="preserve">1238.048</w:t>
      </w:r>
      <w:r>
        <w:rPr>
          <w:rFonts w:hint="eastAsia" w:ascii="Times New Roman" w:hAnsi="Times New Roman" w:cs="方正仿宋_GBK"/>
          <w:b/>
          <w:bCs/>
          <w:iCs/>
          <w:szCs w:val="28"/>
        </w:rPr>
        <w:t xml:space="preserve">(4952*24.9%+5)，因报价最多保留至小数点后两位，故该项最小有效数值为</w:t>
      </w:r>
      <w:r>
        <w:rPr>
          <w:rFonts w:hint="eastAsia" w:ascii="宋体" w:hAnsi="宋体" w:cs="宋体"/>
          <w:b/>
          <w:iCs/>
          <w:szCs w:val="24"/>
          <w:lang w:bidi="zh-CN"/>
        </w:rPr>
        <w:t xml:space="preserve">1238.05</w:t>
      </w:r>
      <w:r>
        <w:rPr>
          <w:rFonts w:hint="eastAsia" w:ascii="Times New Roman" w:hAnsi="Times New Roman" w:cs="方正仿宋_GBK"/>
          <w:b/>
          <w:bCs/>
          <w:iCs/>
          <w:szCs w:val="28"/>
        </w:rPr>
        <w:t xml:space="preserve">元。</w:t>
      </w:r>
      <w:r/>
    </w:p>
    <w:p>
      <w:pPr>
        <w:pStyle w:val="1085"/>
        <w:jc w:val="center"/>
      </w:pPr>
      <w:r>
        <w:rPr>
          <w:rFonts w:hint="eastAsia"/>
        </w:rPr>
        <w:br w:type="page" w:clear="all"/>
      </w:r>
      <w:bookmarkStart w:id="168" w:name="_GoBack"/>
      <w:r/>
      <w:bookmarkEnd w:id="168"/>
      <w:r/>
      <w:r/>
    </w:p>
    <w:p>
      <w:pPr>
        <w:pStyle w:val="1119"/>
        <w:rPr>
          <w:rFonts w:hint="eastAsia"/>
          <w:b w:val="0"/>
          <w:bCs/>
        </w:rPr>
        <w:outlineLvl w:val="1"/>
      </w:pPr>
      <w:r/>
      <w:bookmarkStart w:id="162" w:name="_Toc2747"/>
      <w:r/>
      <w:bookmarkStart w:id="163" w:name="_Toc21129"/>
      <w:r>
        <w:rPr>
          <w:rFonts w:hint="eastAsia"/>
          <w:b w:val="0"/>
          <w:bCs/>
        </w:rPr>
        <w:t xml:space="preserve">五、中小企业或残疾人福利性单位声明函</w:t>
      </w:r>
      <w:bookmarkEnd w:id="161"/>
      <w:r/>
      <w:bookmarkEnd w:id="162"/>
      <w:r/>
      <w:bookmarkEnd w:id="163"/>
      <w:r/>
      <w:r/>
    </w:p>
    <w:p>
      <w:pPr>
        <w:pStyle w:val="1085"/>
        <w:jc w:val="center"/>
        <w:rPr>
          <w:rFonts w:ascii="方正小标宋_GBK" w:eastAsia="方正小标宋_GBK"/>
          <w:bCs/>
          <w:sz w:val="32"/>
          <w:szCs w:val="32"/>
        </w:rPr>
      </w:pPr>
      <w:r>
        <w:rPr>
          <w:rFonts w:hint="eastAsia" w:ascii="方正小标宋_GBK" w:eastAsia="方正小标宋_GBK"/>
          <w:bCs/>
          <w:sz w:val="32"/>
          <w:szCs w:val="32"/>
        </w:rPr>
        <w:t xml:space="preserve">中小微企业声明函</w:t>
      </w:r>
      <w:r/>
    </w:p>
    <w:p>
      <w:pPr>
        <w:pStyle w:val="1085"/>
        <w:jc w:val="center"/>
        <w:rPr>
          <w:rFonts w:ascii="方正小标宋_GBK" w:eastAsia="方正小标宋_GBK"/>
          <w:bCs/>
          <w:sz w:val="32"/>
          <w:szCs w:val="32"/>
        </w:rPr>
      </w:pPr>
      <w:r>
        <w:rPr>
          <w:rFonts w:hint="eastAsia" w:ascii="方正小标宋_GBK" w:eastAsia="方正小标宋_GBK"/>
          <w:bCs/>
          <w:sz w:val="32"/>
          <w:szCs w:val="32"/>
        </w:rPr>
        <w:t xml:space="preserve">（服务类项目）</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rPr>
        <w:t xml:space="preserve">宿迁市洋河高级中学</w:t>
      </w:r>
      <w:r>
        <w:rPr>
          <w:rFonts w:hint="eastAsia" w:ascii="宋体" w:hAnsi="宋体"/>
          <w:sz w:val="24"/>
          <w:szCs w:val="24"/>
        </w:rPr>
        <w:t xml:space="preserve">的</w:t>
      </w:r>
      <w:r>
        <w:rPr>
          <w:rFonts w:hint="eastAsia" w:ascii="宋体" w:hAnsi="宋体"/>
          <w:sz w:val="24"/>
          <w:szCs w:val="24"/>
          <w:u w:val="single"/>
        </w:rPr>
        <w:t xml:space="preserve">宿迁市洋河高级中学后勤服务外包项目 </w:t>
      </w:r>
      <w:r>
        <w:rPr>
          <w:rFonts w:hint="eastAsia" w:ascii="宋体" w:hAnsi="宋体"/>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480"/>
        <w:spacing w:line="5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480"/>
        <w:spacing w:line="500" w:lineRule="exact"/>
        <w:rPr>
          <w:rFonts w:hint="eastAsia" w:ascii="宋体" w:hAnsi="宋体"/>
          <w:sz w:val="24"/>
          <w:szCs w:val="24"/>
        </w:rPr>
      </w:pP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jc w:val="right"/>
        <w:spacing w:line="500" w:lineRule="exact"/>
        <w:rPr>
          <w:rFonts w:hint="eastAsia" w:ascii="宋体" w:hAnsi="宋体"/>
          <w:sz w:val="24"/>
          <w:szCs w:val="24"/>
        </w:rPr>
      </w:pPr>
      <w:r>
        <w:rPr>
          <w:rFonts w:hint="eastAsia" w:ascii="宋体" w:hAnsi="宋体"/>
          <w:sz w:val="24"/>
          <w:szCs w:val="24"/>
        </w:rPr>
        <w:t xml:space="preserve">企业名称（加盖CA电子公章）：</w:t>
      </w:r>
      <w:r/>
    </w:p>
    <w:p>
      <w:pPr>
        <w:ind w:firstLine="6960"/>
        <w:spacing w:line="5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spacing w:line="400" w:lineRule="exact"/>
        <w:rPr>
          <w:rFonts w:ascii="Times New Roman" w:hAnsi="Times New Roman"/>
          <w:sz w:val="22"/>
          <w:szCs w:val="21"/>
        </w:rPr>
      </w:pPr>
      <w:r>
        <w:rPr>
          <w:rFonts w:ascii="Times New Roman" w:hAnsi="Times New Roman"/>
          <w:sz w:val="24"/>
          <w:szCs w:val="24"/>
        </w:rPr>
        <w:t xml:space="preserve">2.对照《工业和信息化部、国家统计局、国家发展和改革委员会、财政部关于印发中小企业划型标准规定的通知》(工信部联企业[2011]300号)的规定，</w:t>
      </w:r>
      <w:r>
        <w:rPr>
          <w:rFonts w:hint="eastAsia" w:ascii="Times New Roman" w:hAnsi="Times New Roman"/>
          <w:sz w:val="24"/>
          <w:szCs w:val="24"/>
        </w:rPr>
        <w:t xml:space="preserve">投标人</w:t>
      </w:r>
      <w:r>
        <w:rPr>
          <w:rFonts w:ascii="Times New Roman" w:hAnsi="Times New Roman"/>
          <w:sz w:val="24"/>
          <w:szCs w:val="24"/>
        </w:rPr>
        <w:t xml:space="preserve">自行勾选承接企业的企业规模类型。</w:t>
      </w:r>
      <w:r/>
    </w:p>
    <w:p>
      <w:pPr>
        <w:pStyle w:val="1101"/>
        <w:spacing w:before="151" w:after="151" w:line="600" w:lineRule="exact"/>
        <w:rPr>
          <w:rFonts w:ascii="宋体"/>
          <w:b/>
          <w:bCs/>
          <w:sz w:val="32"/>
          <w:szCs w:val="32"/>
        </w:rPr>
      </w:pPr>
      <w:r>
        <w:rPr>
          <w:rFonts w:ascii="宋体"/>
          <w:b/>
          <w:bCs/>
          <w:sz w:val="32"/>
          <w:szCs w:val="32"/>
        </w:rPr>
      </w:r>
      <w:r/>
    </w:p>
    <w:p>
      <w:pPr>
        <w:pStyle w:val="1101"/>
        <w:spacing w:before="151" w:after="151" w:line="600" w:lineRule="exact"/>
        <w:rPr>
          <w:rFonts w:ascii="宋体"/>
          <w:b/>
          <w:bCs/>
          <w:sz w:val="32"/>
          <w:szCs w:val="32"/>
        </w:rPr>
      </w:pPr>
      <w:r>
        <w:rPr>
          <w:rFonts w:ascii="宋体"/>
          <w:b/>
          <w:bCs/>
          <w:sz w:val="32"/>
          <w:szCs w:val="32"/>
        </w:rPr>
      </w:r>
      <w:r/>
    </w:p>
    <w:p>
      <w:pPr>
        <w:pStyle w:val="1085"/>
        <w:jc w:val="center"/>
        <w:rPr>
          <w:rFonts w:ascii="方正小标宋_GBK" w:eastAsia="方正小标宋_GBK"/>
          <w:bCs/>
          <w:sz w:val="32"/>
          <w:szCs w:val="32"/>
        </w:rPr>
      </w:pPr>
      <w:r>
        <w:rPr>
          <w:rFonts w:hint="eastAsia" w:ascii="方正小标宋_GBK" w:eastAsia="方正小标宋_GBK"/>
          <w:bCs/>
          <w:sz w:val="32"/>
          <w:szCs w:val="32"/>
        </w:rPr>
        <w:t xml:space="preserve">残疾人福利性单位声明函</w:t>
      </w:r>
      <w:r/>
    </w:p>
    <w:p>
      <w:pPr>
        <w:pStyle w:val="1103"/>
        <w:spacing w:line="588" w:lineRule="exact"/>
        <w:rPr>
          <w:rFonts w:ascii="仿宋_GB2312" w:eastAsia="仿宋_GB2312"/>
          <w:b/>
          <w:spacing w:val="6"/>
          <w:sz w:val="30"/>
          <w:szCs w:val="30"/>
        </w:rPr>
      </w:pPr>
      <w:r>
        <w:rPr>
          <w:rFonts w:ascii="仿宋_GB2312" w:eastAsia="仿宋_GB2312"/>
          <w:b/>
          <w:spacing w:val="6"/>
          <w:sz w:val="30"/>
          <w:szCs w:val="30"/>
        </w:rPr>
      </w:r>
      <w:r/>
    </w:p>
    <w:p>
      <w:pPr>
        <w:pStyle w:val="1102"/>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宋体" w:hAnsi="宋体"/>
          <w:sz w:val="24"/>
          <w:szCs w:val="24"/>
          <w:u w:val="single"/>
        </w:rPr>
        <w:t xml:space="preserve">宿迁市洋河高级中学</w:t>
      </w:r>
      <w:r>
        <w:rPr>
          <w:rFonts w:hint="eastAsia" w:ascii="宋体" w:hAnsi="宋体"/>
          <w:sz w:val="24"/>
          <w:szCs w:val="24"/>
        </w:rPr>
        <w:t xml:space="preserve">的</w:t>
      </w:r>
      <w:r>
        <w:rPr>
          <w:rFonts w:hint="eastAsia" w:ascii="宋体" w:hAnsi="宋体"/>
          <w:sz w:val="24"/>
          <w:szCs w:val="24"/>
          <w:u w:val="single"/>
        </w:rPr>
        <w:t xml:space="preserve">宿迁市洋河高级中学后勤服务外包项目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102"/>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104"/>
        <w:ind w:firstLine="3810"/>
        <w:spacing w:line="500" w:lineRule="exact"/>
        <w:rPr>
          <w:spacing w:val="6"/>
          <w:sz w:val="24"/>
          <w:szCs w:val="24"/>
        </w:rPr>
      </w:pPr>
      <w:r>
        <w:rPr>
          <w:spacing w:val="6"/>
          <w:sz w:val="24"/>
          <w:szCs w:val="24"/>
        </w:rPr>
      </w:r>
      <w:r/>
    </w:p>
    <w:p>
      <w:pPr>
        <w:pStyle w:val="1104"/>
        <w:ind w:firstLine="3629"/>
        <w:jc w:val="left"/>
        <w:spacing w:line="500" w:lineRule="exact"/>
        <w:rPr>
          <w:sz w:val="24"/>
        </w:rPr>
      </w:pPr>
      <w:r>
        <w:rPr>
          <w:sz w:val="24"/>
        </w:rPr>
      </w:r>
      <w:r/>
    </w:p>
    <w:p>
      <w:pPr>
        <w:pStyle w:val="1104"/>
        <w:ind w:firstLine="480"/>
        <w:jc w:val="left"/>
        <w:spacing w:line="500" w:lineRule="exact"/>
        <w:rPr>
          <w:sz w:val="24"/>
        </w:rPr>
      </w:pPr>
      <w:r>
        <w:rPr>
          <w:rFonts w:hint="eastAsia"/>
          <w:sz w:val="24"/>
        </w:rPr>
        <w:t xml:space="preserve">单位名称：</w:t>
      </w:r>
      <w:r>
        <w:rPr>
          <w:rFonts w:hint="eastAsia"/>
          <w:sz w:val="24"/>
          <w:u w:val="single"/>
        </w:rPr>
        <w:t xml:space="preserve">              </w:t>
      </w:r>
      <w:r>
        <w:rPr>
          <w:rFonts w:hint="eastAsia"/>
          <w:sz w:val="24"/>
        </w:rPr>
        <w:t xml:space="preserve">（</w:t>
      </w:r>
      <w:r>
        <w:rPr>
          <w:rFonts w:hint="eastAsia"/>
          <w:sz w:val="24"/>
          <w:szCs w:val="24"/>
        </w:rPr>
        <w:t xml:space="preserve">盖CA电子公章</w:t>
      </w:r>
      <w:r>
        <w:rPr>
          <w:rFonts w:hint="eastAsia"/>
          <w:sz w:val="24"/>
        </w:rPr>
        <w:t xml:space="preserve">）</w:t>
      </w:r>
      <w:r/>
    </w:p>
    <w:p>
      <w:pPr>
        <w:pStyle w:val="1101"/>
        <w:ind w:firstLine="480"/>
        <w:jc w:val="left"/>
        <w:spacing w:line="500" w:lineRule="exact"/>
        <w:rPr>
          <w:rFonts w:ascii="Times New Roman" w:hAnsi="Times New Roman"/>
          <w:sz w:val="24"/>
          <w:szCs w:val="20"/>
        </w:rPr>
      </w:pPr>
      <w:r>
        <w:rPr>
          <w:rFonts w:hint="eastAsia" w:ascii="Times New Roman" w:hAnsi="Times New Roman"/>
          <w:sz w:val="24"/>
          <w:szCs w:val="20"/>
        </w:rPr>
        <w:t xml:space="preserve">日期：  年  月  日</w:t>
      </w:r>
      <w:r/>
    </w:p>
    <w:p>
      <w:pPr>
        <w:pStyle w:val="1103"/>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pStyle w:val="1105"/>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102"/>
        <w:ind w:firstLine="442"/>
        <w:spacing w:line="480" w:lineRule="exac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102"/>
        <w:ind w:firstLine="442"/>
        <w:spacing w:line="480" w:lineRule="exact"/>
        <w:rPr>
          <w:rFonts w:ascii="Times New Roman" w:hAnsi="Times New Roman"/>
          <w:sz w:val="24"/>
          <w:szCs w:val="24"/>
        </w:rPr>
      </w:pPr>
      <w:r>
        <w:rPr>
          <w:rFonts w:ascii="Times New Roman" w:hAnsi="Times New Roman"/>
          <w:sz w:val="24"/>
          <w:szCs w:val="24"/>
        </w:rPr>
      </w:r>
      <w:r/>
    </w:p>
    <w:p>
      <w:pPr>
        <w:pStyle w:val="1102"/>
        <w:ind w:firstLine="442"/>
        <w:spacing w:line="480" w:lineRule="exact"/>
        <w:rPr>
          <w:rFonts w:ascii="Times New Roman" w:hAnsi="Times New Roman"/>
          <w:sz w:val="24"/>
          <w:szCs w:val="24"/>
        </w:rPr>
      </w:pPr>
      <w:r>
        <w:rPr>
          <w:rFonts w:ascii="Times New Roman" w:hAnsi="Times New Roman"/>
          <w:sz w:val="24"/>
          <w:szCs w:val="24"/>
        </w:rPr>
      </w:r>
      <w:r/>
    </w:p>
    <w:p>
      <w:pPr>
        <w:pStyle w:val="1102"/>
        <w:ind w:firstLine="442"/>
        <w:spacing w:line="480" w:lineRule="exact"/>
        <w:rPr>
          <w:rFonts w:ascii="Times New Roman" w:hAnsi="Times New Roman"/>
          <w:sz w:val="24"/>
          <w:szCs w:val="24"/>
        </w:rPr>
      </w:pPr>
      <w:r>
        <w:rPr>
          <w:rFonts w:ascii="Times New Roman" w:hAnsi="Times New Roman"/>
          <w:sz w:val="24"/>
          <w:szCs w:val="24"/>
        </w:rPr>
      </w:r>
      <w:r/>
    </w:p>
    <w:p>
      <w:pPr>
        <w:pStyle w:val="1102"/>
        <w:ind w:firstLine="442"/>
        <w:spacing w:line="480" w:lineRule="exact"/>
        <w:rPr>
          <w:rFonts w:ascii="Times New Roman" w:hAnsi="Times New Roman"/>
          <w:sz w:val="24"/>
          <w:szCs w:val="24"/>
        </w:rPr>
      </w:pPr>
      <w:r>
        <w:rPr>
          <w:rFonts w:ascii="Times New Roman" w:hAnsi="Times New Roman"/>
          <w:sz w:val="24"/>
          <w:szCs w:val="24"/>
        </w:rPr>
      </w:r>
      <w:r/>
    </w:p>
    <w:p>
      <w:pPr>
        <w:pStyle w:val="1102"/>
        <w:spacing w:line="480" w:lineRule="exact"/>
        <w:rPr>
          <w:rFonts w:ascii="Times New Roman" w:hAnsi="Times New Roman"/>
          <w:sz w:val="24"/>
          <w:szCs w:val="24"/>
        </w:rPr>
      </w:pPr>
      <w:r>
        <w:rPr>
          <w:rFonts w:ascii="Times New Roman" w:hAnsi="Times New Roman"/>
          <w:sz w:val="24"/>
          <w:szCs w:val="24"/>
        </w:rPr>
      </w:r>
      <w:r/>
    </w:p>
    <w:p>
      <w:pPr>
        <w:pStyle w:val="1102"/>
        <w:ind w:firstLine="442"/>
        <w:spacing w:line="480" w:lineRule="exact"/>
        <w:rPr>
          <w:rFonts w:ascii="Times New Roman" w:hAnsi="Times New Roman"/>
          <w:sz w:val="24"/>
          <w:szCs w:val="24"/>
        </w:rPr>
      </w:pPr>
      <w:r>
        <w:rPr>
          <w:rFonts w:ascii="Times New Roman" w:hAnsi="Times New Roman"/>
          <w:sz w:val="24"/>
          <w:szCs w:val="24"/>
        </w:rPr>
      </w:r>
      <w:r/>
    </w:p>
    <w:p>
      <w:pPr>
        <w:pStyle w:val="1102"/>
        <w:ind w:firstLine="442"/>
        <w:spacing w:line="480" w:lineRule="exact"/>
        <w:rPr>
          <w:rFonts w:ascii="Times New Roman" w:hAnsi="Times New Roman"/>
          <w:sz w:val="24"/>
          <w:szCs w:val="24"/>
        </w:rPr>
      </w:pPr>
      <w:r>
        <w:rPr>
          <w:rFonts w:ascii="Times New Roman" w:hAnsi="Times New Roman"/>
          <w:sz w:val="24"/>
          <w:szCs w:val="24"/>
        </w:rPr>
      </w:r>
      <w:r/>
    </w:p>
    <w:p>
      <w:pPr>
        <w:pStyle w:val="1102"/>
        <w:ind w:firstLine="442"/>
        <w:spacing w:line="480" w:lineRule="exact"/>
        <w:rPr>
          <w:rFonts w:ascii="Times New Roman" w:hAnsi="Times New Roman"/>
          <w:sz w:val="24"/>
          <w:szCs w:val="24"/>
        </w:rPr>
      </w:pPr>
      <w:r>
        <w:rPr>
          <w:rFonts w:ascii="Times New Roman" w:hAnsi="Times New Roman"/>
          <w:sz w:val="24"/>
          <w:szCs w:val="24"/>
        </w:rPr>
      </w:r>
      <w:r/>
    </w:p>
    <w:p>
      <w:pPr>
        <w:pStyle w:val="1102"/>
        <w:spacing w:line="480" w:lineRule="exact"/>
        <w:rPr>
          <w:rFonts w:ascii="Times New Roman" w:hAnsi="Times New Roman"/>
          <w:sz w:val="24"/>
          <w:szCs w:val="24"/>
        </w:rPr>
      </w:pPr>
      <w:r>
        <w:rPr>
          <w:rFonts w:ascii="Times New Roman" w:hAnsi="Times New Roman"/>
          <w:sz w:val="24"/>
          <w:szCs w:val="24"/>
        </w:rPr>
      </w:r>
      <w:r/>
    </w:p>
    <w:p>
      <w:pPr>
        <w:pStyle w:val="1102"/>
        <w:spacing w:line="480" w:lineRule="exact"/>
        <w:rPr>
          <w:rFonts w:ascii="Times New Roman" w:hAnsi="Times New Roman"/>
          <w:sz w:val="24"/>
          <w:szCs w:val="24"/>
        </w:rPr>
      </w:pPr>
      <w:r>
        <w:rPr>
          <w:rFonts w:ascii="Times New Roman" w:hAnsi="Times New Roman"/>
          <w:sz w:val="24"/>
          <w:szCs w:val="24"/>
        </w:rPr>
      </w:r>
      <w:r/>
    </w:p>
    <w:p>
      <w:pPr>
        <w:pStyle w:val="1102"/>
        <w:spacing w:line="480" w:lineRule="exact"/>
        <w:rPr>
          <w:rFonts w:ascii="Times New Roman" w:hAnsi="Times New Roman"/>
          <w:sz w:val="24"/>
          <w:szCs w:val="24"/>
        </w:rPr>
      </w:pPr>
      <w:r>
        <w:rPr>
          <w:rFonts w:ascii="Times New Roman" w:hAnsi="Times New Roman"/>
          <w:sz w:val="24"/>
          <w:szCs w:val="24"/>
        </w:rPr>
      </w:r>
      <w:r/>
    </w:p>
    <w:p>
      <w:pPr>
        <w:pStyle w:val="817"/>
        <w:spacing w:line="360" w:lineRule="auto"/>
        <w:rPr>
          <w:rFonts w:hint="eastAsia" w:ascii="黑体" w:hAnsi="黑体" w:cs="黑体"/>
          <w:b w:val="0"/>
          <w:bCs/>
          <w:szCs w:val="24"/>
        </w:rPr>
      </w:pPr>
      <w:r/>
      <w:bookmarkStart w:id="164" w:name="_Toc15871"/>
      <w:r/>
      <w:bookmarkStart w:id="165" w:name="_Toc25337"/>
      <w:r>
        <w:rPr>
          <w:rFonts w:hint="eastAsia" w:ascii="黑体" w:hAnsi="黑体" w:cs="黑体"/>
          <w:b w:val="0"/>
          <w:bCs/>
          <w:szCs w:val="24"/>
        </w:rPr>
        <w:t xml:space="preserve">六、项目组成员</w:t>
      </w:r>
      <w:r/>
    </w:p>
    <w:tbl>
      <w:tblPr>
        <w:tblStyle w:val="763"/>
        <w:tblpPr w:horzAnchor="margin" w:tblpXSpec="center" w:vertAnchor="text" w:tblpY="74" w:leftFromText="180" w:topFromText="0" w:rightFromText="180" w:bottomFromText="0"/>
        <w:tblW w:w="91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本项目</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拟任职务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性别</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相关</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（如有）</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210"/>
        <w:rPr>
          <w:rFonts w:hint="eastAsia" w:ascii="仿宋" w:hAnsi="仿宋" w:eastAsia="仿宋" w:cs="仿宋"/>
          <w:szCs w:val="21"/>
        </w:rPr>
      </w:pPr>
      <w:r>
        <w:rPr>
          <w:rFonts w:hint="eastAsia" w:ascii="仿宋" w:hAnsi="仿宋" w:eastAsia="仿宋" w:cs="仿宋"/>
          <w:szCs w:val="21"/>
        </w:rPr>
      </w:r>
      <w:r/>
    </w:p>
    <w:p>
      <w:pPr>
        <w:ind w:firstLine="480"/>
        <w:spacing w:line="460" w:lineRule="exact"/>
        <w:rPr>
          <w:rFonts w:ascii="Times New Roman" w:hAnsi="Times New Roman" w:cs="方正仿宋_GBK"/>
          <w:bCs/>
          <w:color w:val="000000"/>
          <w:sz w:val="24"/>
          <w:szCs w:val="24"/>
        </w:rPr>
      </w:pPr>
      <w:r>
        <w:rPr>
          <w:rFonts w:hint="eastAsia" w:ascii="Times New Roman" w:hAnsi="Times New Roman" w:cs="方正仿宋_GBK"/>
          <w:bCs/>
          <w:sz w:val="24"/>
          <w:szCs w:val="24"/>
        </w:rPr>
        <w:t xml:space="preserve">注：</w:t>
      </w:r>
      <w:r>
        <w:rPr>
          <w:rFonts w:ascii="Times New Roman" w:hAnsi="Times New Roman" w:cs="方正仿宋_GBK"/>
          <w:bCs/>
          <w:sz w:val="24"/>
          <w:szCs w:val="24"/>
        </w:rPr>
        <w:t xml:space="preserve">1</w:t>
      </w:r>
      <w:r>
        <w:rPr>
          <w:rFonts w:hint="eastAsia" w:ascii="Times New Roman" w:hAnsi="Times New Roman" w:cs="方正仿宋_GBK"/>
          <w:bCs/>
          <w:sz w:val="24"/>
          <w:szCs w:val="24"/>
        </w:rPr>
        <w:t xml:space="preserve">、涉及评分标准的项目组人员在本表中填报，相关证明材料附后。</w:t>
      </w:r>
      <w:r>
        <w:rPr>
          <w:rFonts w:ascii="宋体" w:hAnsi="宋体" w:cs="宋体"/>
          <w:color w:val="000000"/>
          <w:sz w:val="24"/>
        </w:rPr>
        <w:t xml:space="preserve">中标后，本表（身份证号信息除外）将随中标结果进行公开</w:t>
      </w:r>
      <w:r>
        <w:rPr>
          <w:rFonts w:hint="eastAsia" w:ascii="Times New Roman" w:hAnsi="Times New Roman" w:cs="方正仿宋_GBK"/>
          <w:bCs/>
          <w:color w:val="000000"/>
          <w:sz w:val="24"/>
          <w:szCs w:val="24"/>
        </w:rPr>
        <w:t xml:space="preserve">。</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2、未涉及评分标准的其他人员可在中标后按采购需求要求进行配备，合同签订前报采购人认可。</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3、如中标，项目组人员应按本表中承诺人员操作，不得随意更换。</w:t>
      </w:r>
      <w:r/>
    </w:p>
    <w:p>
      <w:pPr>
        <w:pStyle w:val="1119"/>
        <w:ind w:left="210"/>
        <w:rPr>
          <w:rFonts w:hint="eastAsia" w:ascii="宋体"/>
          <w:b w:val="0"/>
          <w:szCs w:val="32"/>
        </w:rPr>
        <w:outlineLvl w:val="1"/>
      </w:pPr>
      <w:r>
        <w:rPr>
          <w:rFonts w:hint="eastAsia" w:ascii="宋体"/>
          <w:b w:val="0"/>
          <w:szCs w:val="32"/>
        </w:rPr>
        <w:br w:type="page" w:clear="all"/>
      </w:r>
      <w:r/>
    </w:p>
    <w:p>
      <w:pPr>
        <w:pStyle w:val="1119"/>
        <w:rPr>
          <w:rFonts w:hint="eastAsia" w:ascii="宋体"/>
          <w:b w:val="0"/>
          <w:szCs w:val="32"/>
        </w:rPr>
        <w:outlineLvl w:val="1"/>
      </w:pPr>
      <w:r>
        <w:rPr>
          <w:rFonts w:hint="eastAsia" w:ascii="宋体"/>
          <w:b w:val="0"/>
          <w:szCs w:val="32"/>
        </w:rPr>
        <w:t xml:space="preserve">七、企业业绩</w:t>
      </w:r>
      <w:bookmarkEnd w:id="164"/>
      <w:r/>
      <w:bookmarkEnd w:id="165"/>
      <w:r/>
      <w:r/>
    </w:p>
    <w:p>
      <w:pPr>
        <w:pStyle w:val="1127"/>
        <w:jc w:val="center"/>
        <w:rPr>
          <w:rFonts w:ascii="方正小标宋_GBK" w:eastAsia="方正小标宋_GBK"/>
          <w:bCs/>
          <w:sz w:val="32"/>
          <w:szCs w:val="32"/>
        </w:rPr>
      </w:pPr>
      <w:r/>
      <w:bookmarkStart w:id="166" w:name="_Hlk187935031"/>
      <w:r>
        <w:rPr>
          <w:rFonts w:hint="eastAsia" w:ascii="方正小标宋_GBK" w:eastAsia="方正小标宋_GBK"/>
          <w:bCs/>
          <w:sz w:val="32"/>
          <w:szCs w:val="32"/>
        </w:rPr>
        <w:t xml:space="preserve">类似项目业绩一览表</w:t>
      </w:r>
      <w:bookmarkEnd w:id="166"/>
      <w:r/>
      <w:r/>
    </w:p>
    <w:tbl>
      <w:tblPr>
        <w:tblStyle w:val="76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3"/>
        <w:gridCol w:w="3118"/>
        <w:gridCol w:w="1843"/>
        <w:gridCol w:w="1417"/>
        <w:gridCol w:w="1523"/>
      </w:tblGrid>
      <w:tr>
        <w:trPr>
          <w:jc w:val="center"/>
          <w:trHeight w:val="753"/>
        </w:trPr>
        <w:tc>
          <w:tcPr>
            <w:tcW w:w="983" w:type="dxa"/>
            <w:textDirection w:val="lrTb"/>
            <w:noWrap w:val="false"/>
          </w:tcPr>
          <w:p>
            <w:pPr>
              <w:pStyle w:val="1128"/>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118" w:type="dxa"/>
            <w:vAlign w:val="center"/>
            <w:textDirection w:val="lrTb"/>
            <w:noWrap w:val="false"/>
          </w:tcPr>
          <w:p>
            <w:pPr>
              <w:pStyle w:val="1128"/>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1843" w:type="dxa"/>
            <w:vAlign w:val="center"/>
            <w:textDirection w:val="lrTb"/>
            <w:noWrap w:val="false"/>
          </w:tcPr>
          <w:p>
            <w:pPr>
              <w:pStyle w:val="1128"/>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417" w:type="dxa"/>
            <w:vAlign w:val="center"/>
            <w:textDirection w:val="lrTb"/>
            <w:noWrap w:val="false"/>
          </w:tcPr>
          <w:p>
            <w:pPr>
              <w:pStyle w:val="1128"/>
              <w:jc w:val="center"/>
              <w:spacing w:line="559" w:lineRule="exact"/>
              <w:rPr>
                <w:rFonts w:ascii="仿宋_GB2312" w:eastAsia="仿宋_GB2312"/>
                <w:sz w:val="28"/>
                <w:szCs w:val="28"/>
              </w:rPr>
              <w:pBdr>
                <w:top w:val="none" w:color="000000" w:sz="0" w:space="0"/>
                <w:left w:val="none" w:color="000000" w:sz="0" w:space="0"/>
                <w:bottom w:val="none" w:color="000000" w:sz="0" w:space="0"/>
                <w:right w:val="none" w:color="000000" w:sz="0" w:space="0"/>
              </w:pBdr>
            </w:pPr>
            <w:r>
              <w:rPr>
                <w:rFonts w:hint="eastAsia" w:ascii="仿宋_GB2312" w:eastAsia="仿宋_GB2312"/>
                <w:sz w:val="28"/>
                <w:szCs w:val="28"/>
              </w:rPr>
              <w:t xml:space="preserve">合同签订时间</w:t>
            </w:r>
            <w:r/>
          </w:p>
        </w:tc>
        <w:tc>
          <w:tcPr>
            <w:tcW w:w="1523" w:type="dxa"/>
            <w:vAlign w:val="center"/>
            <w:textDirection w:val="lrTb"/>
            <w:noWrap w:val="false"/>
          </w:tcPr>
          <w:p>
            <w:pPr>
              <w:pStyle w:val="1128"/>
              <w:jc w:val="center"/>
              <w:spacing w:line="559" w:lineRule="exact"/>
              <w:pBdr>
                <w:top w:val="none" w:color="000000" w:sz="0" w:space="0"/>
                <w:left w:val="none" w:color="000000" w:sz="0" w:space="0"/>
                <w:bottom w:val="none" w:color="000000" w:sz="0" w:space="0"/>
                <w:right w:val="none" w:color="000000" w:sz="0" w:space="0"/>
              </w:pBdr>
            </w:pPr>
            <w:r>
              <w:rPr>
                <w:rFonts w:hint="eastAsia" w:ascii="仿宋_GB2312" w:eastAsia="仿宋_GB2312"/>
                <w:sz w:val="28"/>
                <w:szCs w:val="28"/>
              </w:rPr>
              <w:t xml:space="preserve">甲方履约评价结果</w:t>
            </w:r>
            <w:r/>
          </w:p>
        </w:tc>
      </w:tr>
      <w:tr>
        <w:trPr>
          <w:jc w:val="center"/>
          <w:trHeight w:val="1510"/>
        </w:trPr>
        <w:tc>
          <w:tcPr>
            <w:tcW w:w="983" w:type="dxa"/>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3118"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1843"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1523"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983" w:type="dxa"/>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3118"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1843"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1523"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983" w:type="dxa"/>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3118"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1843"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1523"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983" w:type="dxa"/>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3118"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1843"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c>
          <w:tcPr>
            <w:tcW w:w="1523" w:type="dxa"/>
            <w:vAlign w:val="center"/>
            <w:textDirection w:val="lrTb"/>
            <w:noWrap w:val="false"/>
          </w:tcPr>
          <w:p>
            <w:pPr>
              <w:pStyle w:val="1128"/>
              <w:jc w:val="center"/>
              <w:spacing w:line="560" w:lineRule="exact"/>
              <w:rPr>
                <w:rFonts w:ascii="仿宋_GB2312" w:eastAsia="仿宋_GB2312"/>
                <w:sz w:val="28"/>
              </w:rPr>
            </w:pPr>
            <w:r>
              <w:rPr>
                <w:rFonts w:ascii="仿宋_GB2312" w:eastAsia="仿宋_GB2312"/>
                <w:sz w:val="28"/>
              </w:rPr>
            </w:r>
            <w:r/>
          </w:p>
        </w:tc>
      </w:tr>
    </w:tbl>
    <w:p>
      <w:pPr>
        <w:pStyle w:val="1127"/>
        <w:rPr>
          <w:rFonts w:hint="eastAsia" w:ascii="宋体" w:hAnsi="宋体"/>
          <w:bCs/>
        </w:rPr>
      </w:pPr>
      <w:r>
        <w:rPr>
          <w:rFonts w:hint="eastAsia" w:ascii="宋体" w:hAnsi="宋体"/>
          <w:bCs/>
          <w:sz w:val="24"/>
        </w:rPr>
        <w:t xml:space="preserve">注：请填写此表，并按要求上传业绩资料电子件。</w:t>
      </w:r>
      <w:r/>
    </w:p>
    <w:p>
      <w:pPr>
        <w:pStyle w:val="1117"/>
        <w:rPr>
          <w:rFonts w:ascii="宋体" w:hAnsi="宋体"/>
          <w:bCs/>
        </w:rPr>
        <w:outlineLvl w:val="1"/>
      </w:pPr>
      <w:r>
        <w:rPr>
          <w:rFonts w:ascii="宋体" w:hAnsi="宋体"/>
          <w:bCs/>
        </w:rPr>
        <w:br w:type="page" w:clear="all"/>
      </w:r>
      <w:bookmarkStart w:id="167" w:name="_Toc256000030"/>
      <w:r/>
      <w:r/>
    </w:p>
    <w:p>
      <w:pPr>
        <w:ind w:left="210"/>
        <w:jc w:val="left"/>
        <w:widowControl/>
        <w:rPr>
          <w:rFonts w:hint="eastAsia" w:ascii="宋体" w:hAnsi="黑体" w:eastAsia="黑体" w:cs="黑体"/>
          <w:color w:val="ee0000"/>
          <w:sz w:val="32"/>
          <w:szCs w:val="32"/>
        </w:rPr>
        <w:outlineLvl w:val="1"/>
      </w:pPr>
      <w:r>
        <w:rPr>
          <w:rFonts w:hint="eastAsia" w:ascii="宋体" w:hAnsi="黑体" w:eastAsia="黑体" w:cs="黑体"/>
          <w:color w:val="ee0000"/>
          <w:sz w:val="32"/>
          <w:szCs w:val="32"/>
        </w:rPr>
        <w:t xml:space="preserve">八、企业证书</w:t>
      </w:r>
      <w:r/>
    </w:p>
    <w:tbl>
      <w:tblPr>
        <w:tblStyle w:val="763"/>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序</w:t>
            </w:r>
            <w:r/>
          </w:p>
          <w:p>
            <w:pPr>
              <w:jc w:val="center"/>
              <w:spacing w:line="400" w:lineRule="exact"/>
              <w:widowControl/>
              <w:rPr>
                <w:rFonts w:hint="eastAsia" w:ascii="宋体" w:hAnsi="宋体" w:cs="宋体"/>
                <w:sz w:val="28"/>
                <w:szCs w:val="28"/>
              </w:rPr>
            </w:pPr>
            <w:r>
              <w:rPr>
                <w:rFonts w:ascii="宋体" w:hAnsi="宋体" w:cs="宋体"/>
                <w:sz w:val="28"/>
                <w:szCs w:val="28"/>
              </w:rPr>
              <w:t xml:space="preserve">号</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证书名称</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颁发机构</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颁发时间</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涉及评分标准的“企业证书”在本表中填报，相关证明材料附后。中标后，本表将随中标结果进行公开。</w:t>
      </w:r>
      <w:r/>
    </w:p>
    <w:p>
      <w:pPr>
        <w:pStyle w:val="1117"/>
        <w:rPr>
          <w:rFonts w:ascii="宋体" w:hAnsi="宋体"/>
          <w:bCs/>
        </w:rPr>
        <w:outlineLvl w:val="1"/>
      </w:pPr>
      <w:r>
        <w:rPr>
          <w:rFonts w:ascii="宋体" w:hAnsi="宋体"/>
          <w:bCs/>
        </w:rPr>
      </w:r>
      <w:r/>
    </w:p>
    <w:p>
      <w:pPr>
        <w:pStyle w:val="1117"/>
        <w:rPr>
          <w:rFonts w:ascii="宋体" w:hAnsi="宋体"/>
          <w:bCs/>
        </w:rPr>
        <w:outlineLvl w:val="1"/>
      </w:pPr>
      <w:r>
        <w:rPr>
          <w:rFonts w:ascii="宋体" w:hAnsi="宋体"/>
          <w:bCs/>
        </w:rPr>
      </w:r>
      <w:r/>
    </w:p>
    <w:p>
      <w:pPr>
        <w:pStyle w:val="1117"/>
        <w:rPr>
          <w:rFonts w:ascii="宋体" w:hAnsi="宋体"/>
          <w:bCs/>
        </w:rPr>
        <w:outlineLvl w:val="1"/>
      </w:pPr>
      <w:r>
        <w:rPr>
          <w:rFonts w:ascii="宋体" w:hAnsi="宋体"/>
          <w:bCs/>
        </w:rPr>
      </w:r>
      <w:r/>
    </w:p>
    <w:p>
      <w:pPr>
        <w:pStyle w:val="1117"/>
        <w:rPr>
          <w:rFonts w:ascii="宋体" w:hAnsi="宋体"/>
          <w:bCs/>
        </w:rPr>
        <w:outlineLvl w:val="1"/>
      </w:pPr>
      <w:r>
        <w:rPr>
          <w:rFonts w:ascii="宋体" w:hAnsi="宋体"/>
          <w:bCs/>
        </w:rPr>
      </w:r>
      <w:r/>
    </w:p>
    <w:p>
      <w:pPr>
        <w:pStyle w:val="1117"/>
        <w:rPr>
          <w:rFonts w:ascii="宋体" w:hAnsi="宋体"/>
          <w:bCs/>
        </w:rPr>
        <w:outlineLvl w:val="1"/>
      </w:pPr>
      <w:r>
        <w:rPr>
          <w:rFonts w:ascii="宋体" w:hAnsi="宋体"/>
          <w:bCs/>
        </w:rPr>
      </w:r>
      <w:r/>
    </w:p>
    <w:p>
      <w:pPr>
        <w:pStyle w:val="1117"/>
        <w:rPr>
          <w:rFonts w:ascii="宋体" w:hAnsi="宋体"/>
          <w:bCs/>
        </w:rPr>
        <w:outlineLvl w:val="1"/>
      </w:pPr>
      <w:r>
        <w:rPr>
          <w:rFonts w:ascii="宋体" w:hAnsi="宋体"/>
          <w:bCs/>
        </w:rPr>
      </w:r>
      <w:r/>
    </w:p>
    <w:p>
      <w:pPr>
        <w:pStyle w:val="1117"/>
        <w:rPr>
          <w:rFonts w:ascii="宋体" w:hAnsi="宋体"/>
          <w:bCs/>
        </w:rPr>
        <w:outlineLvl w:val="1"/>
      </w:pPr>
      <w:r>
        <w:rPr>
          <w:rFonts w:ascii="宋体" w:hAnsi="宋体"/>
          <w:bCs/>
        </w:rPr>
      </w:r>
      <w:r/>
    </w:p>
    <w:p>
      <w:pPr>
        <w:pStyle w:val="1117"/>
        <w:rPr>
          <w:rFonts w:ascii="宋体" w:hAnsi="宋体"/>
          <w:bCs/>
        </w:rPr>
        <w:outlineLvl w:val="1"/>
      </w:pPr>
      <w:r>
        <w:rPr>
          <w:rFonts w:ascii="宋体" w:hAnsi="宋体"/>
          <w:bCs/>
        </w:rPr>
      </w:r>
      <w:r/>
    </w:p>
    <w:p>
      <w:pPr>
        <w:pStyle w:val="1117"/>
        <w:rPr>
          <w:rFonts w:ascii="宋体" w:hAnsi="宋体"/>
          <w:bCs/>
        </w:rPr>
        <w:outlineLvl w:val="1"/>
      </w:pPr>
      <w:r>
        <w:rPr>
          <w:rFonts w:ascii="宋体" w:hAnsi="宋体"/>
          <w:bCs/>
        </w:rPr>
      </w:r>
      <w:r/>
    </w:p>
    <w:p>
      <w:pPr>
        <w:pStyle w:val="1117"/>
        <w:rPr>
          <w:rFonts w:ascii="宋体" w:hAnsi="宋体"/>
          <w:bCs/>
        </w:rPr>
        <w:outlineLvl w:val="1"/>
      </w:pPr>
      <w:r>
        <w:rPr>
          <w:rFonts w:ascii="宋体" w:hAnsi="宋体"/>
          <w:bCs/>
        </w:rPr>
      </w:r>
      <w:r/>
    </w:p>
    <w:p>
      <w:pPr>
        <w:pStyle w:val="1117"/>
        <w:rPr>
          <w:rFonts w:ascii="宋体" w:hAnsi="宋体"/>
          <w:bCs/>
        </w:rPr>
        <w:outlineLvl w:val="1"/>
      </w:pPr>
      <w:r>
        <w:rPr>
          <w:rFonts w:ascii="宋体" w:hAnsi="宋体"/>
          <w:bCs/>
        </w:rPr>
      </w:r>
      <w:r/>
    </w:p>
    <w:p>
      <w:pPr>
        <w:pStyle w:val="1117"/>
        <w:rPr>
          <w:rFonts w:ascii="宋体" w:hAnsi="宋体"/>
          <w:bCs/>
        </w:rPr>
        <w:outlineLvl w:val="1"/>
      </w:pPr>
      <w:r>
        <w:rPr>
          <w:rFonts w:ascii="宋体" w:hAnsi="宋体"/>
          <w:bCs/>
        </w:rPr>
      </w:r>
      <w:r/>
    </w:p>
    <w:p>
      <w:pPr>
        <w:pStyle w:val="1117"/>
        <w:rPr>
          <w:rFonts w:ascii="宋体" w:hAnsi="宋体"/>
          <w:bCs/>
        </w:rPr>
        <w:outlineLvl w:val="1"/>
      </w:pPr>
      <w:r>
        <w:rPr>
          <w:rFonts w:ascii="宋体" w:hAnsi="宋体"/>
          <w:bCs/>
        </w:rPr>
      </w:r>
      <w:r/>
    </w:p>
    <w:p>
      <w:pPr>
        <w:pStyle w:val="1117"/>
        <w:rPr>
          <w:rFonts w:hint="eastAsia" w:ascii="宋体" w:hAnsi="宋体" w:eastAsia="宋体" w:cs="宋体"/>
        </w:rPr>
        <w:outlineLvl w:val="1"/>
      </w:pPr>
      <w:r>
        <w:rPr>
          <w:rFonts w:hint="eastAsia" w:ascii="宋体" w:hAnsi="宋体" w:eastAsia="宋体" w:cs="宋体"/>
          <w:lang w:val="en-US" w:eastAsia="zh-CN"/>
        </w:rPr>
        <w:t xml:space="preserve">九</w:t>
      </w:r>
      <w:r>
        <w:rPr>
          <w:rFonts w:hint="eastAsia" w:ascii="宋体" w:hAnsi="宋体" w:eastAsia="宋体" w:cs="宋体"/>
        </w:rPr>
        <w:t xml:space="preserve">、</w:t>
      </w:r>
      <w:bookmarkEnd w:id="167"/>
      <w:r>
        <w:rPr>
          <w:rFonts w:hint="eastAsia" w:ascii="宋体" w:hAnsi="宋体" w:eastAsia="宋体" w:cs="宋体"/>
        </w:rPr>
        <w:t xml:space="preserve">人员配备要求承诺函</w:t>
      </w:r>
      <w:r/>
    </w:p>
    <w:p>
      <w:pPr>
        <w:pStyle w:val="1148"/>
        <w:jc w:val="center"/>
        <w:rPr>
          <w:rFonts w:hint="eastAsia" w:ascii="宋体" w:hAnsi="宋体" w:cs="宋体"/>
          <w:b/>
          <w:sz w:val="30"/>
          <w:szCs w:val="30"/>
        </w:rPr>
      </w:pPr>
      <w:r>
        <w:rPr>
          <w:rFonts w:hint="eastAsia" w:ascii="宋体" w:hAnsi="宋体" w:cs="宋体"/>
          <w:b/>
          <w:sz w:val="30"/>
          <w:szCs w:val="30"/>
        </w:rPr>
      </w:r>
      <w:r/>
    </w:p>
    <w:p>
      <w:pPr>
        <w:pStyle w:val="1148"/>
        <w:jc w:val="center"/>
        <w:rPr>
          <w:rFonts w:hint="eastAsia" w:ascii="宋体" w:hAnsi="宋体" w:cs="宋体"/>
          <w:sz w:val="28"/>
          <w:szCs w:val="28"/>
        </w:rPr>
      </w:pPr>
      <w:r>
        <w:rPr>
          <w:rFonts w:hint="eastAsia" w:ascii="宋体" w:hAnsi="宋体" w:cs="宋体"/>
          <w:b/>
          <w:sz w:val="30"/>
          <w:szCs w:val="30"/>
        </w:rPr>
        <w:t xml:space="preserve">人员配备要求承诺函</w:t>
      </w:r>
      <w:r/>
    </w:p>
    <w:p>
      <w:pPr>
        <w:pStyle w:val="1148"/>
        <w:spacing w:before="10" w:after="10" w:line="600" w:lineRule="exact"/>
        <w:rPr>
          <w:rFonts w:hint="eastAsia" w:ascii="宋体" w:hAnsi="宋体" w:cs="宋体"/>
          <w:color w:val="000000"/>
          <w:sz w:val="28"/>
          <w:szCs w:val="22"/>
        </w:rPr>
      </w:pPr>
      <w:r>
        <w:rPr>
          <w:rFonts w:hint="eastAsia" w:ascii="宋体" w:hAnsi="宋体" w:cs="宋体"/>
          <w:color w:val="000000"/>
          <w:sz w:val="28"/>
          <w:szCs w:val="22"/>
        </w:rPr>
      </w:r>
      <w:r/>
    </w:p>
    <w:p>
      <w:pPr>
        <w:pStyle w:val="1148"/>
        <w:spacing w:before="10" w:after="10" w:line="600" w:lineRule="exact"/>
        <w:rPr>
          <w:rFonts w:hint="eastAsia" w:ascii="宋体" w:hAnsi="宋体" w:cs="宋体"/>
          <w:sz w:val="28"/>
          <w:szCs w:val="28"/>
          <w:u w:val="single"/>
        </w:rPr>
      </w:pPr>
      <w:r>
        <w:rPr>
          <w:rFonts w:hint="eastAsia" w:ascii="宋体" w:hAnsi="宋体" w:eastAsia="宋体" w:cs="宋体"/>
          <w:color w:val="000000"/>
          <w:sz w:val="28"/>
          <w:szCs w:val="22"/>
          <w:u w:val="single"/>
          <w:lang w:val="en-US" w:eastAsia="zh-CN" w:bidi="ar-SA"/>
        </w:rPr>
        <w:t xml:space="preserve">宿迁市洋河高级中学</w:t>
      </w:r>
      <w:r>
        <w:rPr>
          <w:rFonts w:hint="eastAsia" w:ascii="宋体" w:hAnsi="宋体" w:cs="宋体"/>
          <w:sz w:val="28"/>
          <w:szCs w:val="28"/>
          <w:u w:val="single"/>
        </w:rPr>
        <w:t xml:space="preserve">：</w:t>
      </w:r>
      <w:r/>
    </w:p>
    <w:p>
      <w:pPr>
        <w:spacing w:line="500" w:lineRule="exact"/>
        <w:rPr>
          <w:rFonts w:hint="eastAsia" w:ascii="宋体" w:hAnsi="宋体" w:cs="宋体"/>
          <w:sz w:val="28"/>
          <w:szCs w:val="28"/>
        </w:rPr>
      </w:pPr>
      <w:r>
        <w:rPr>
          <w:rFonts w:hint="eastAsia" w:ascii="宋体" w:hAnsi="宋体" w:cs="宋体"/>
          <w:sz w:val="28"/>
          <w:szCs w:val="28"/>
        </w:rPr>
        <w:t xml:space="preserve">    根据</w:t>
      </w:r>
      <w:r>
        <w:rPr>
          <w:rFonts w:hint="eastAsia" w:ascii="宋体" w:hAnsi="宋体" w:cs="宋体"/>
          <w:color w:val="000000"/>
          <w:sz w:val="28"/>
          <w:u w:val="single"/>
        </w:rPr>
        <w:t xml:space="preserve"> JSZC-321300-JZCG-G2025-0081</w:t>
      </w:r>
      <w:r>
        <w:rPr>
          <w:rFonts w:hint="eastAsia" w:ascii="宋体" w:hAnsi="宋体" w:cs="宋体"/>
          <w:color w:val="000000"/>
          <w:sz w:val="28"/>
        </w:rPr>
        <w:t xml:space="preserve">号</w:t>
      </w:r>
      <w:r>
        <w:rPr>
          <w:rFonts w:ascii="sans-serif" w:hAnsi="sans-serif" w:eastAsia="sans-serif" w:cs="sans-serif"/>
          <w:i w:val="0"/>
          <w:iCs w:val="0"/>
          <w:caps w:val="0"/>
          <w:color w:val="000000"/>
          <w:spacing w:val="0"/>
          <w:sz w:val="27"/>
          <w:szCs w:val="27"/>
          <w:u w:val="single"/>
        </w:rPr>
        <w:t xml:space="preserve">宿迁市洋河高级中学后勤服务外包项目</w:t>
      </w:r>
      <w:r>
        <w:rPr>
          <w:rFonts w:hint="eastAsia" w:ascii="宋体" w:hAnsi="宋体" w:cs="宋体"/>
          <w:sz w:val="28"/>
          <w:szCs w:val="28"/>
        </w:rPr>
        <w:t xml:space="preserve">招标文件相关要求，承诺如下：针对“第四部分、采购需求-四、</w:t>
      </w:r>
      <w:r>
        <w:rPr>
          <w:rFonts w:hint="eastAsia" w:ascii="宋体" w:hAnsi="宋体" w:cs="宋体"/>
          <w:bCs/>
          <w:sz w:val="28"/>
          <w:szCs w:val="28"/>
        </w:rPr>
        <w:t xml:space="preserve">物业管理服务人员要求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p>
    <w:p>
      <w:pPr>
        <w:pStyle w:val="1149"/>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149"/>
        <w:ind w:firstLine="560"/>
        <w:spacing w:after="200" w:line="500" w:lineRule="exact"/>
        <w:rPr>
          <w:rFonts w:hint="eastAsia" w:ascii="宋体" w:hAnsi="宋体" w:cs="宋体"/>
          <w:sz w:val="28"/>
          <w:szCs w:val="28"/>
        </w:rPr>
      </w:pPr>
      <w:r>
        <w:rPr>
          <w:rFonts w:hint="eastAsia" w:ascii="宋体" w:hAnsi="宋体" w:cs="宋体"/>
          <w:sz w:val="28"/>
          <w:szCs w:val="28"/>
        </w:rPr>
      </w:r>
      <w:r/>
    </w:p>
    <w:p>
      <w:pPr>
        <w:pStyle w:val="1149"/>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149"/>
        <w:spacing w:after="200" w:line="500" w:lineRule="exact"/>
        <w:rPr>
          <w:rFonts w:hint="eastAsia" w:ascii="宋体" w:hAnsi="宋体" w:cs="宋体"/>
          <w:sz w:val="28"/>
          <w:szCs w:val="28"/>
        </w:rPr>
      </w:pPr>
      <w:r>
        <w:rPr>
          <w:rFonts w:hint="eastAsia" w:ascii="宋体" w:hAnsi="宋体" w:cs="宋体"/>
          <w:sz w:val="28"/>
          <w:szCs w:val="28"/>
        </w:rPr>
      </w:r>
      <w:r/>
    </w:p>
    <w:p>
      <w:pPr>
        <w:ind w:firstLine="4779"/>
        <w:spacing w:line="500" w:lineRule="exact"/>
        <w:rPr>
          <w:rFonts w:hint="eastAsia" w:ascii="宋体" w:hAnsi="宋体" w:cs="宋体"/>
          <w:b/>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p>
    <w:p>
      <w:pPr>
        <w:pStyle w:val="1147"/>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47"/>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47"/>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47"/>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47"/>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49"/>
        <w:spacing w:after="200" w:line="500" w:lineRule="exact"/>
        <w:rPr>
          <w:rFonts w:hint="eastAsia" w:ascii="宋体" w:hAnsi="宋体" w:cs="宋体"/>
          <w:sz w:val="28"/>
          <w:szCs w:val="28"/>
        </w:rPr>
      </w:pPr>
      <w:r>
        <w:rPr>
          <w:rFonts w:hint="eastAsia" w:ascii="宋体" w:hAnsi="宋体" w:cs="宋体"/>
          <w:sz w:val="28"/>
          <w:szCs w:val="28"/>
        </w:rPr>
      </w:r>
      <w:r/>
    </w:p>
    <w:p>
      <w:pPr>
        <w:pStyle w:val="1150"/>
        <w:rPr>
          <w:rFonts w:hint="eastAsia" w:ascii="宋体" w:hAnsi="宋体" w:eastAsia="宋体" w:cs="宋体"/>
        </w:rPr>
      </w:pPr>
      <w:r>
        <w:rPr>
          <w:rFonts w:hint="eastAsia" w:ascii="宋体" w:hAnsi="宋体" w:eastAsia="宋体" w:cs="宋体"/>
        </w:rPr>
        <w:br w:type="page" w:clear="all"/>
      </w:r>
      <w:r/>
    </w:p>
    <w:p>
      <w:pPr>
        <w:pStyle w:val="1117"/>
        <w:rPr>
          <w:rFonts w:hint="eastAsia" w:ascii="宋体" w:hAnsi="宋体" w:eastAsia="宋体" w:cs="宋体"/>
        </w:rPr>
        <w:outlineLvl w:val="1"/>
      </w:pPr>
      <w:r>
        <w:rPr>
          <w:rFonts w:hint="eastAsia" w:ascii="宋体" w:hAnsi="宋体" w:eastAsia="宋体" w:cs="宋体"/>
          <w:lang w:val="en-US" w:eastAsia="zh-CN"/>
        </w:rPr>
        <w:t xml:space="preserve">十</w:t>
      </w:r>
      <w:r>
        <w:rPr>
          <w:rFonts w:hint="eastAsia" w:ascii="宋体" w:hAnsi="宋体" w:eastAsia="宋体" w:cs="宋体"/>
        </w:rPr>
        <w:t xml:space="preserve">、服务要求承诺（一）及相关服务方案</w:t>
      </w:r>
      <w:r/>
    </w:p>
    <w:p>
      <w:pPr>
        <w:pStyle w:val="1147"/>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147"/>
        <w:numPr>
          <w:ilvl w:val="0"/>
          <w:numId w:val="8"/>
        </w:numPr>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服务要求承诺（一）</w:t>
      </w:r>
      <w:r/>
    </w:p>
    <w:p>
      <w:pPr>
        <w:pStyle w:val="1147"/>
        <w:jc w:val="both"/>
        <w:spacing w:line="500" w:lineRule="exact"/>
        <w:rPr>
          <w:rFonts w:hint="eastAsia" w:ascii="宋体" w:hAnsi="宋体" w:eastAsia="宋体" w:cs="宋体"/>
          <w:color w:val="000000"/>
          <w:sz w:val="28"/>
          <w:szCs w:val="22"/>
          <w:u w:val="single"/>
        </w:rPr>
      </w:pPr>
      <w:r>
        <w:rPr>
          <w:rFonts w:hint="eastAsia" w:ascii="宋体" w:hAnsi="宋体" w:eastAsia="宋体" w:cs="宋体"/>
          <w:color w:val="000000"/>
          <w:sz w:val="28"/>
          <w:szCs w:val="22"/>
          <w:u w:val="single"/>
        </w:rPr>
      </w:r>
      <w:r/>
    </w:p>
    <w:p>
      <w:pPr>
        <w:pStyle w:val="1147"/>
        <w:jc w:val="both"/>
        <w:spacing w:line="500" w:lineRule="exact"/>
        <w:rPr>
          <w:rFonts w:hint="eastAsia" w:ascii="宋体" w:hAnsi="宋体" w:cs="宋体"/>
          <w:sz w:val="28"/>
          <w:szCs w:val="28"/>
          <w:u w:val="single"/>
        </w:rPr>
      </w:pPr>
      <w:r>
        <w:rPr>
          <w:rFonts w:hint="eastAsia" w:ascii="宋体" w:hAnsi="宋体" w:eastAsia="宋体" w:cs="宋体"/>
          <w:color w:val="000000"/>
          <w:sz w:val="28"/>
          <w:szCs w:val="22"/>
          <w:u w:val="single"/>
          <w:lang w:val="en-US" w:eastAsia="zh-CN" w:bidi="ar-SA"/>
        </w:rPr>
        <w:t xml:space="preserve">宿迁市洋河高级中学</w:t>
      </w:r>
      <w:r>
        <w:rPr>
          <w:rFonts w:hint="eastAsia" w:ascii="宋体" w:hAnsi="宋体" w:cs="宋体"/>
          <w:sz w:val="28"/>
          <w:szCs w:val="28"/>
          <w:u w:val="single"/>
        </w:rPr>
        <w:t xml:space="preserve">：</w:t>
      </w:r>
      <w:r/>
    </w:p>
    <w:p>
      <w:pPr>
        <w:pStyle w:val="1252"/>
        <w:ind w:firstLine="480"/>
        <w:spacing w:after="195" w:line="360" w:lineRule="auto"/>
        <w:rPr>
          <w:rFonts w:hint="eastAsia"/>
          <w:sz w:val="20"/>
        </w:rPr>
      </w:pPr>
      <w:r>
        <w:rPr>
          <w:rFonts w:hint="eastAsia"/>
          <w:sz w:val="28"/>
          <w:szCs w:val="28"/>
        </w:rPr>
        <w:t xml:space="preserve"> </w:t>
      </w:r>
      <w:r>
        <w:rPr>
          <w:rFonts w:hint="eastAsia" w:ascii="宋体" w:hAnsi="宋体" w:cs="宋体"/>
          <w:sz w:val="28"/>
          <w:szCs w:val="28"/>
        </w:rPr>
        <w:t xml:space="preserve"> 根据</w:t>
      </w:r>
      <w:r>
        <w:rPr>
          <w:rFonts w:hint="eastAsia" w:ascii="宋体" w:hAnsi="宋体" w:cs="宋体"/>
          <w:color w:val="000000"/>
          <w:sz w:val="28"/>
          <w:u w:val="single"/>
        </w:rPr>
        <w:t xml:space="preserve"> JSZC-321300-JZCG-G2025-0081</w:t>
      </w:r>
      <w:r>
        <w:rPr>
          <w:rFonts w:hint="eastAsia" w:ascii="宋体" w:hAnsi="宋体" w:cs="宋体"/>
          <w:color w:val="000000"/>
          <w:sz w:val="28"/>
        </w:rPr>
        <w:t xml:space="preserve">号</w:t>
      </w:r>
      <w:r>
        <w:rPr>
          <w:rFonts w:ascii="sans-serif" w:hAnsi="sans-serif" w:eastAsia="sans-serif" w:cs="sans-serif"/>
          <w:i w:val="0"/>
          <w:iCs w:val="0"/>
          <w:caps w:val="0"/>
          <w:color w:val="000000"/>
          <w:spacing w:val="0"/>
          <w:sz w:val="27"/>
          <w:szCs w:val="27"/>
          <w:u w:val="single"/>
        </w:rPr>
        <w:t xml:space="preserve">宿迁市洋河高级中学后勤服务外包项目</w:t>
      </w:r>
      <w:r>
        <w:rPr>
          <w:rFonts w:hint="eastAsia"/>
          <w:color w:val="000000"/>
          <w:sz w:val="28"/>
        </w:rPr>
        <w:t xml:space="preserve">招标文件相关要求，承诺如下：完全响应本项目采购需求“第四部分、采购需求-三、物业管理服务内容及标准-3.1基本服务、3.2公用设施设备维护服务、</w:t>
      </w:r>
      <w:r>
        <w:rPr>
          <w:rFonts w:hint="eastAsia" w:ascii="宋体" w:hAnsi="宋体" w:eastAsia="宋体" w:cs="宋体"/>
          <w:color w:val="000000"/>
          <w:sz w:val="28"/>
        </w:rPr>
        <w:t xml:space="preserve">3.3宿舍管理服务</w:t>
      </w:r>
      <w:r>
        <w:rPr>
          <w:rFonts w:hint="eastAsia"/>
          <w:color w:val="000000"/>
          <w:sz w:val="28"/>
        </w:rPr>
        <w:t xml:space="preserve">”，如我单位中标，将按照响应内容进行履约。如我单位投标文件的响应方案优于采购需求，将按投标文件履约。</w:t>
      </w:r>
      <w:r/>
    </w:p>
    <w:p>
      <w:pPr>
        <w:ind w:firstLine="560"/>
        <w:spacing w:line="500" w:lineRule="exact"/>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line="500" w:lineRule="exac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3834"/>
        <w:spacing w:line="500" w:lineRule="exact"/>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rPr>
          <w:rFonts w:hint="eastAsia" w:ascii="宋体" w:hAnsi="宋体" w:cs="宋体"/>
          <w:color w:val="000000"/>
          <w:sz w:val="28"/>
        </w:rPr>
        <w:t xml:space="preserve">  </w:t>
      </w:r>
      <w:r/>
    </w:p>
    <w:p>
      <w:pPr>
        <w:jc w:val="center"/>
        <w:spacing w:after="200"/>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pStyle w:val="1147"/>
        <w:jc w:val="both"/>
        <w:spacing w:line="500" w:lineRule="exact"/>
        <w:rPr>
          <w:rFonts w:hint="eastAsia" w:ascii="宋体" w:hAnsi="宋体" w:eastAsia="宋体" w:cs="宋体"/>
          <w:b/>
          <w:sz w:val="30"/>
          <w:szCs w:val="30"/>
        </w:rPr>
      </w:pPr>
      <w:r>
        <w:rPr>
          <w:rFonts w:hint="eastAsia" w:ascii="宋体" w:hAnsi="宋体" w:eastAsia="宋体" w:cs="宋体"/>
          <w:b/>
          <w:sz w:val="32"/>
        </w:rPr>
        <w:t xml:space="preserve"> </w:t>
      </w:r>
      <w:r>
        <w:rPr>
          <w:rFonts w:hint="eastAsia" w:ascii="宋体" w:hAnsi="宋体" w:eastAsia="宋体" w:cs="宋体"/>
          <w:b/>
          <w:sz w:val="30"/>
          <w:szCs w:val="30"/>
        </w:rPr>
        <w:t xml:space="preserve">2、相关服务方案 </w:t>
      </w:r>
      <w:r/>
    </w:p>
    <w:p>
      <w:pPr>
        <w:pStyle w:val="1147"/>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jc w:val="center"/>
        <w:spacing w:after="200"/>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jc w:val="center"/>
        <w:spacing w:after="200"/>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rPr>
          <w:rFonts w:hint="eastAsia" w:ascii="宋体" w:hAnsi="宋体" w:cs="宋体"/>
          <w:b/>
          <w:color w:val="000000"/>
          <w:sz w:val="40"/>
        </w:rPr>
      </w:pPr>
      <w:r>
        <w:rPr>
          <w:rFonts w:hint="eastAsia" w:ascii="宋体" w:hAnsi="宋体" w:cs="宋体"/>
          <w:b/>
          <w:color w:val="000000"/>
          <w:sz w:val="40"/>
        </w:rPr>
        <w:br w:type="page" w:clear="all"/>
      </w:r>
      <w:r/>
    </w:p>
    <w:p>
      <w:pPr>
        <w:pStyle w:val="1117"/>
        <w:rPr>
          <w:rFonts w:hint="eastAsia" w:ascii="宋体" w:hAnsi="宋体" w:eastAsia="宋体" w:cs="宋体"/>
        </w:rPr>
        <w:outlineLvl w:val="1"/>
      </w:pPr>
      <w:r>
        <w:rPr>
          <w:rFonts w:hint="eastAsia" w:ascii="宋体" w:hAnsi="宋体" w:eastAsia="宋体" w:cs="宋体"/>
        </w:rPr>
        <w:t xml:space="preserve">十</w:t>
      </w:r>
      <w:r>
        <w:rPr>
          <w:rFonts w:hint="eastAsia" w:ascii="宋体" w:hAnsi="宋体" w:eastAsia="宋体" w:cs="宋体"/>
          <w:lang w:val="en-US" w:eastAsia="zh-CN"/>
        </w:rPr>
        <w:t xml:space="preserve">一</w:t>
      </w:r>
      <w:r>
        <w:rPr>
          <w:rFonts w:hint="eastAsia" w:ascii="宋体" w:hAnsi="宋体" w:eastAsia="宋体" w:cs="宋体"/>
        </w:rPr>
        <w:t xml:space="preserve">、服务要求承诺（二）及相关服务方案</w:t>
      </w:r>
      <w:r/>
    </w:p>
    <w:p>
      <w:pPr>
        <w:pStyle w:val="1147"/>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147"/>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1、服务要求承诺（二）</w:t>
      </w:r>
      <w:r/>
    </w:p>
    <w:p>
      <w:pPr>
        <w:pStyle w:val="1147"/>
        <w:jc w:val="both"/>
        <w:spacing w:line="500" w:lineRule="exact"/>
        <w:rPr>
          <w:rFonts w:hint="eastAsia" w:ascii="宋体" w:hAnsi="宋体" w:eastAsia="宋体" w:cs="宋体"/>
          <w:color w:val="000000"/>
          <w:sz w:val="28"/>
          <w:szCs w:val="22"/>
          <w:u w:val="single"/>
        </w:rPr>
      </w:pPr>
      <w:r>
        <w:rPr>
          <w:rFonts w:hint="eastAsia" w:ascii="宋体" w:hAnsi="宋体" w:eastAsia="宋体" w:cs="宋体"/>
          <w:color w:val="000000"/>
          <w:sz w:val="28"/>
          <w:szCs w:val="22"/>
          <w:u w:val="single"/>
        </w:rPr>
      </w:r>
      <w:r/>
    </w:p>
    <w:p>
      <w:pPr>
        <w:pStyle w:val="1147"/>
        <w:jc w:val="both"/>
        <w:spacing w:line="500" w:lineRule="exact"/>
        <w:rPr>
          <w:rFonts w:hint="eastAsia" w:ascii="宋体" w:hAnsi="宋体" w:cs="宋体"/>
          <w:sz w:val="28"/>
          <w:szCs w:val="28"/>
          <w:u w:val="single"/>
        </w:rPr>
      </w:pPr>
      <w:r>
        <w:rPr>
          <w:rFonts w:hint="eastAsia" w:ascii="宋体" w:hAnsi="宋体" w:eastAsia="宋体" w:cs="宋体"/>
          <w:color w:val="000000"/>
          <w:sz w:val="28"/>
          <w:szCs w:val="22"/>
          <w:u w:val="single"/>
          <w:lang w:val="en-US" w:eastAsia="zh-CN" w:bidi="ar-SA"/>
        </w:rPr>
        <w:t xml:space="preserve">宿迁市洋河高级中学</w:t>
      </w:r>
      <w:r>
        <w:rPr>
          <w:rFonts w:hint="eastAsia" w:ascii="宋体" w:hAnsi="宋体" w:cs="宋体"/>
          <w:sz w:val="28"/>
          <w:szCs w:val="28"/>
          <w:u w:val="single"/>
        </w:rPr>
        <w:t xml:space="preserve">：</w:t>
      </w:r>
      <w:r/>
    </w:p>
    <w:p>
      <w:pPr>
        <w:pStyle w:val="1252"/>
        <w:ind w:firstLine="480"/>
        <w:spacing w:after="195" w:line="435" w:lineRule="atLeast"/>
        <w:rPr>
          <w:rFonts w:hint="eastAsia"/>
          <w:sz w:val="28"/>
          <w:szCs w:val="28"/>
        </w:rPr>
      </w:pPr>
      <w:r>
        <w:rPr>
          <w:rFonts w:hint="eastAsia"/>
          <w:sz w:val="28"/>
          <w:szCs w:val="28"/>
        </w:rPr>
        <w:t xml:space="preserve"> </w:t>
      </w:r>
      <w:r>
        <w:rPr>
          <w:rFonts w:hint="eastAsia" w:ascii="宋体" w:hAnsi="宋体" w:cs="宋体"/>
          <w:sz w:val="28"/>
          <w:szCs w:val="28"/>
        </w:rPr>
        <w:t xml:space="preserve"> 根据</w:t>
      </w:r>
      <w:r>
        <w:rPr>
          <w:rFonts w:hint="eastAsia" w:ascii="宋体" w:hAnsi="宋体" w:cs="宋体"/>
          <w:color w:val="000000"/>
          <w:sz w:val="28"/>
          <w:u w:val="single"/>
        </w:rPr>
        <w:t xml:space="preserve"> JSZC-321300-JZCG-G2025-0081</w:t>
      </w:r>
      <w:r>
        <w:rPr>
          <w:rFonts w:hint="eastAsia" w:ascii="宋体" w:hAnsi="宋体" w:cs="宋体"/>
          <w:color w:val="000000"/>
          <w:sz w:val="28"/>
        </w:rPr>
        <w:t xml:space="preserve">号</w:t>
      </w:r>
      <w:r>
        <w:rPr>
          <w:rFonts w:ascii="sans-serif" w:hAnsi="sans-serif" w:eastAsia="sans-serif" w:cs="sans-serif"/>
          <w:i w:val="0"/>
          <w:iCs w:val="0"/>
          <w:caps w:val="0"/>
          <w:color w:val="000000"/>
          <w:spacing w:val="0"/>
          <w:sz w:val="27"/>
          <w:szCs w:val="27"/>
          <w:u w:val="single"/>
        </w:rPr>
        <w:t xml:space="preserve">宿迁市洋河高级中学后勤服务外包项目</w:t>
      </w:r>
      <w:r>
        <w:rPr>
          <w:rFonts w:hint="eastAsia"/>
          <w:color w:val="000000"/>
          <w:sz w:val="28"/>
          <w:szCs w:val="28"/>
        </w:rPr>
        <w:t xml:space="preserve">招标文件相关要求，承诺如下：完全响应本项目采购需求“第四部分、采购需求-三、物业管理服务内容及标准-</w:t>
      </w:r>
      <w:r>
        <w:rPr>
          <w:rFonts w:hint="eastAsia" w:ascii="宋体" w:hAnsi="宋体" w:eastAsia="宋体" w:cs="宋体"/>
          <w:color w:val="000000"/>
          <w:sz w:val="28"/>
          <w:szCs w:val="28"/>
        </w:rPr>
        <w:t xml:space="preserve">3.4</w:t>
      </w:r>
      <w:r>
        <w:rPr>
          <w:rFonts w:hint="eastAsia" w:ascii="宋体" w:hAnsi="宋体" w:eastAsia="宋体" w:cs="宋体"/>
          <w:color w:val="000000"/>
          <w:sz w:val="28"/>
          <w:szCs w:val="28"/>
          <w:lang w:val="en-US" w:eastAsia="zh-CN"/>
        </w:rPr>
        <w:t xml:space="preserve">保洁</w:t>
      </w:r>
      <w:r>
        <w:rPr>
          <w:rFonts w:hint="eastAsia" w:ascii="宋体" w:hAnsi="宋体" w:eastAsia="宋体" w:cs="宋体"/>
          <w:color w:val="000000"/>
          <w:sz w:val="28"/>
          <w:szCs w:val="28"/>
        </w:rPr>
        <w:t xml:space="preserve">服务、3.5</w:t>
      </w:r>
      <w:r>
        <w:rPr>
          <w:rFonts w:hint="eastAsia" w:ascii="宋体" w:hAnsi="宋体" w:eastAsia="宋体" w:cs="宋体"/>
          <w:color w:val="000000"/>
          <w:sz w:val="28"/>
          <w:szCs w:val="28"/>
          <w:lang w:val="en-US" w:eastAsia="zh-CN"/>
        </w:rPr>
        <w:t xml:space="preserve">水电工</w:t>
      </w:r>
      <w:r>
        <w:rPr>
          <w:rFonts w:hint="eastAsia" w:ascii="宋体" w:hAnsi="宋体" w:eastAsia="宋体" w:cs="宋体"/>
          <w:color w:val="000000"/>
          <w:sz w:val="28"/>
          <w:szCs w:val="28"/>
        </w:rPr>
        <w:t xml:space="preserve">服务</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3.6</w:t>
      </w:r>
      <w:r>
        <w:rPr>
          <w:rFonts w:hint="eastAsia" w:cs="宋体"/>
          <w:color w:val="000000"/>
          <w:sz w:val="28"/>
          <w:szCs w:val="28"/>
          <w:lang w:val="en-US" w:eastAsia="zh-CN"/>
        </w:rPr>
        <w:t xml:space="preserve">暖通工</w:t>
      </w:r>
      <w:r>
        <w:rPr>
          <w:rFonts w:hint="eastAsia" w:ascii="宋体" w:hAnsi="宋体" w:eastAsia="宋体" w:cs="宋体"/>
          <w:color w:val="000000"/>
          <w:sz w:val="28"/>
          <w:szCs w:val="28"/>
          <w:lang w:val="en-US" w:eastAsia="zh-CN"/>
        </w:rPr>
        <w:t xml:space="preserve">服务</w:t>
      </w:r>
      <w:r>
        <w:rPr>
          <w:rFonts w:hint="eastAsia"/>
          <w:color w:val="000000"/>
          <w:sz w:val="28"/>
          <w:szCs w:val="28"/>
        </w:rPr>
        <w:t xml:space="preserve">”，如我单位中标，将按照响应内容进行履约。如我单位投标文件的响应方案优于采购需求，将按投标文件履约。</w:t>
      </w:r>
      <w:r/>
    </w:p>
    <w:p>
      <w:pPr>
        <w:ind w:firstLine="560"/>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ind w:firstLine="560"/>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p>
    <w:p>
      <w:pPr>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 </w:t>
      </w:r>
      <w:r>
        <w:rPr>
          <w:rFonts w:hint="eastAsia" w:ascii="宋体" w:hAnsi="宋体" w:cs="宋体"/>
          <w:b/>
          <w:sz w:val="30"/>
          <w:szCs w:val="30"/>
        </w:rPr>
        <w:t xml:space="preserve">  </w:t>
      </w:r>
      <w:r/>
    </w:p>
    <w:p>
      <w:pPr>
        <w:pStyle w:val="1147"/>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pStyle w:val="1147"/>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jc w:val="center"/>
        <w:spacing w:after="2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jc w:val="center"/>
        <w:spacing w:after="2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spacing w:after="2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jc w:val="center"/>
        <w:spacing w:after="200"/>
        <w:rPr>
          <w:rFonts w:hint="eastAsia"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0"/>
          <w:szCs w:val="30"/>
        </w:rPr>
      </w:r>
      <w:r/>
    </w:p>
    <w:p>
      <w:pPr>
        <w:jc w:val="center"/>
        <w:spacing w:after="200"/>
        <w:rPr>
          <w:rFonts w:hint="eastAsia"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0"/>
          <w:szCs w:val="30"/>
        </w:rPr>
      </w:r>
      <w:r/>
    </w:p>
    <w:p>
      <w:pPr>
        <w:spacing w:after="200"/>
        <w:rPr>
          <w:rFonts w:hint="eastAsia" w:ascii="宋体" w:hAnsi="宋体" w:cs="宋体"/>
          <w:b/>
          <w:bCs/>
          <w:color w:val="000000"/>
          <w:sz w:val="40"/>
          <w:szCs w:val="4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40"/>
          <w:szCs w:val="40"/>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sz w:val="32"/>
          <w:szCs w:val="24"/>
        </w:rPr>
        <w:t xml:space="preserve">十</w:t>
      </w:r>
      <w:r>
        <w:rPr>
          <w:rFonts w:hint="eastAsia" w:ascii="宋体" w:hAnsi="宋体" w:cs="宋体"/>
          <w:b/>
          <w:sz w:val="32"/>
          <w:szCs w:val="24"/>
          <w:lang w:val="en-US" w:eastAsia="zh-CN"/>
        </w:rPr>
        <w:t xml:space="preserve">二</w:t>
      </w:r>
      <w:r>
        <w:rPr>
          <w:rFonts w:hint="eastAsia" w:ascii="宋体" w:hAnsi="宋体" w:cs="宋体"/>
          <w:b/>
          <w:sz w:val="32"/>
          <w:szCs w:val="24"/>
        </w:rPr>
        <w:t xml:space="preserve">、考核标准承诺</w:t>
      </w:r>
      <w:r/>
    </w:p>
    <w:p>
      <w:pPr>
        <w:pStyle w:val="1117"/>
        <w:rPr>
          <w:rFonts w:hint="eastAsia" w:ascii="宋体" w:hAnsi="宋体" w:eastAsia="宋体" w:cs="宋体"/>
        </w:rPr>
      </w:pPr>
      <w:r>
        <w:rPr>
          <w:rFonts w:hint="eastAsia" w:ascii="宋体" w:hAnsi="宋体" w:eastAsia="宋体" w:cs="宋体"/>
        </w:rPr>
      </w:r>
      <w:r/>
    </w:p>
    <w:p>
      <w:pPr>
        <w:pStyle w:val="1147"/>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pStyle w:val="1147"/>
        <w:jc w:val="both"/>
        <w:spacing w:line="500" w:lineRule="exact"/>
        <w:rPr>
          <w:rFonts w:hint="eastAsia" w:ascii="宋体" w:hAnsi="宋体" w:cs="宋体"/>
          <w:sz w:val="28"/>
          <w:szCs w:val="28"/>
          <w:u w:val="single"/>
        </w:rPr>
      </w:pPr>
      <w:r>
        <w:rPr>
          <w:rFonts w:hint="eastAsia" w:ascii="宋体" w:hAnsi="宋体" w:eastAsia="宋体" w:cs="宋体"/>
          <w:color w:val="000000"/>
          <w:sz w:val="28"/>
          <w:szCs w:val="22"/>
          <w:u w:val="single"/>
          <w:lang w:val="en-US" w:eastAsia="zh-CN" w:bidi="ar-SA"/>
        </w:rPr>
        <w:t xml:space="preserve">宿迁市洋河高级中学</w:t>
      </w:r>
      <w:r>
        <w:rPr>
          <w:rFonts w:hint="eastAsia" w:ascii="宋体" w:hAnsi="宋体" w:cs="宋体"/>
          <w:sz w:val="28"/>
          <w:szCs w:val="28"/>
          <w:u w:val="single"/>
        </w:rPr>
        <w:t xml:space="preserve">：</w:t>
      </w:r>
      <w:r/>
    </w:p>
    <w:p>
      <w:pPr>
        <w:ind w:firstLine="560"/>
        <w:spacing w:line="480" w:lineRule="exact"/>
        <w:rPr>
          <w:rFonts w:hint="eastAsia" w:ascii="宋体" w:hAnsi="宋体" w:cs="宋体"/>
          <w:sz w:val="20"/>
        </w:rPr>
      </w:pPr>
      <w:r>
        <w:rPr>
          <w:rFonts w:hint="eastAsia" w:ascii="宋体" w:hAnsi="宋体" w:cs="宋体"/>
          <w:sz w:val="28"/>
          <w:szCs w:val="28"/>
        </w:rPr>
        <w:t xml:space="preserve"> 根据</w:t>
      </w:r>
      <w:r>
        <w:rPr>
          <w:rFonts w:hint="eastAsia" w:ascii="宋体" w:hAnsi="宋体" w:cs="宋体"/>
          <w:color w:val="000000"/>
          <w:sz w:val="28"/>
          <w:u w:val="single"/>
        </w:rPr>
        <w:t xml:space="preserve"> JSZC-321300-JZCG-G2025-0081</w:t>
      </w:r>
      <w:r>
        <w:rPr>
          <w:rFonts w:hint="eastAsia" w:ascii="宋体" w:hAnsi="宋体" w:cs="宋体"/>
          <w:color w:val="000000"/>
          <w:sz w:val="28"/>
        </w:rPr>
        <w:t xml:space="preserve">号</w:t>
      </w:r>
      <w:r>
        <w:rPr>
          <w:rFonts w:ascii="sans-serif" w:hAnsi="sans-serif" w:eastAsia="sans-serif" w:cs="sans-serif"/>
          <w:i w:val="0"/>
          <w:iCs w:val="0"/>
          <w:caps w:val="0"/>
          <w:color w:val="000000"/>
          <w:spacing w:val="0"/>
          <w:sz w:val="27"/>
          <w:szCs w:val="27"/>
          <w:u w:val="single"/>
        </w:rPr>
        <w:t xml:space="preserve">宿迁市洋河高级中学后勤服务外包项目</w:t>
      </w:r>
      <w:r>
        <w:rPr>
          <w:rFonts w:hint="eastAsia" w:ascii="宋体" w:hAnsi="宋体" w:cs="宋体"/>
          <w:color w:val="000000"/>
          <w:sz w:val="28"/>
        </w:rPr>
        <w:t xml:space="preserve">招标文件相关要求，承诺如下：完全响应本项目采购需求“五、考核标准”，如我单位中标，将按照响应内容进行履约。如我单位投标文件的响应方案优于采购需求，将按投标文件履约。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单位名称（盖CA电子公章）：</w:t>
      </w:r>
      <w:r/>
    </w:p>
    <w:p>
      <w:pPr>
        <w:rPr>
          <w:rFonts w:hint="eastAsia" w:ascii="宋体" w:hAnsi="黑体" w:eastAsia="黑体" w:cs="黑体"/>
          <w:color w:val="000000"/>
          <w:sz w:val="32"/>
          <w:szCs w:val="32"/>
        </w:rPr>
      </w:pPr>
      <w:r>
        <w:rPr>
          <w:rFonts w:hint="eastAsia" w:ascii="宋体" w:hAnsi="黑体" w:eastAsia="黑体" w:cs="黑体"/>
          <w:color w:val="000000"/>
          <w:sz w:val="32"/>
          <w:szCs w:val="32"/>
        </w:rPr>
        <w:br w:type="page" w:clear="all"/>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十</w:t>
      </w:r>
      <w:r>
        <w:rPr>
          <w:rFonts w:hint="eastAsia" w:ascii="宋体" w:hAnsi="黑体" w:eastAsia="黑体" w:cs="黑体"/>
          <w:color w:val="000000"/>
          <w:sz w:val="32"/>
          <w:szCs w:val="32"/>
          <w:lang w:val="en-US" w:eastAsia="zh-CN"/>
        </w:rPr>
        <w:t xml:space="preserve">三</w:t>
      </w:r>
      <w:r>
        <w:rPr>
          <w:rFonts w:hint="eastAsia" w:ascii="宋体" w:hAnsi="黑体" w:eastAsia="黑体" w:cs="黑体"/>
          <w:color w:val="000000"/>
          <w:sz w:val="32"/>
          <w:szCs w:val="32"/>
        </w:rPr>
        <w:t xml:space="preserve">、投标所需其他材料</w:t>
      </w:r>
      <w:r/>
    </w:p>
    <w:p>
      <w:pPr>
        <w:pStyle w:val="1131"/>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106"/>
        <w:ind w:firstLine="482"/>
        <w:spacing w:line="360" w:lineRule="auto"/>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r>
      <w:r/>
    </w:p>
    <w:p>
      <w:pPr>
        <w:pStyle w:val="1085"/>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r>
      <w:r/>
    </w:p>
    <w:p>
      <w:pPr>
        <w:pStyle w:val="1131"/>
        <w:spacing w:line="480" w:lineRule="exact"/>
        <w:rPr>
          <w:color w:val="000000"/>
          <w:sz w:val="24"/>
          <w:szCs w:val="24"/>
        </w:rPr>
      </w:pPr>
      <w:r>
        <w:rPr>
          <w:color w:val="000000"/>
          <w:sz w:val="24"/>
          <w:szCs w:val="24"/>
        </w:rPr>
      </w:r>
      <w:r/>
    </w:p>
    <w:p>
      <w:pPr>
        <w:pStyle w:val="1131"/>
        <w:ind w:firstLine="420"/>
        <w:spacing w:line="480" w:lineRule="exact"/>
        <w:rPr>
          <w:sz w:val="24"/>
          <w:szCs w:val="24"/>
        </w:rPr>
      </w:pP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egoe UI">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6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6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6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6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6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13"/>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98"/>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64"/>
    <w:next w:val="765"/>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customStyle="1">
    <w:name w:val="Normal1"/>
    <w:next w:val="755"/>
    <w:uiPriority w:val="0"/>
    <w:qFormat/>
    <w:pPr>
      <w:jc w:val="both"/>
      <w:widowControl w:val="off"/>
    </w:pPr>
    <w:rPr>
      <w:rFonts w:hint="default" w:ascii="Calibri" w:hAnsi="Calibri" w:eastAsia="宋体" w:cs="Times New Roman"/>
      <w:sz w:val="21"/>
      <w:szCs w:val="22"/>
      <w:lang w:val="en-US" w:eastAsia="zh-CN" w:bidi="ar-SA"/>
    </w:rPr>
  </w:style>
  <w:style w:type="paragraph" w:styleId="765" w:customStyle="1">
    <w:name w:val="Normal_19"/>
    <w:next w:val="766"/>
    <w:uiPriority w:val="0"/>
    <w:qFormat/>
    <w:rPr>
      <w:rFonts w:hint="default" w:ascii="黑体" w:hAnsi="黑体" w:eastAsia="黑体" w:cs="黑体"/>
      <w:b/>
      <w:sz w:val="32"/>
      <w:szCs w:val="24"/>
      <w:lang w:val="en-US" w:eastAsia="zh-CN" w:bidi="ar-SA"/>
    </w:rPr>
  </w:style>
  <w:style w:type="paragraph" w:styleId="766" w:customStyle="1">
    <w:name w:val="Normal11"/>
    <w:next w:val="767"/>
    <w:uiPriority w:val="0"/>
    <w:qFormat/>
    <w:pPr>
      <w:jc w:val="both"/>
      <w:widowControl w:val="off"/>
    </w:pPr>
    <w:rPr>
      <w:rFonts w:hint="default" w:ascii="Times New Roman" w:hAnsi="Times New Roman" w:eastAsia="宋体" w:cs="Times New Roman"/>
      <w:szCs w:val="21"/>
      <w:lang w:val="en-US" w:eastAsia="zh-CN" w:bidi="ar-SA"/>
    </w:rPr>
  </w:style>
  <w:style w:type="paragraph" w:styleId="767" w:customStyle="1">
    <w:name w:val="Body Text First Indent1"/>
    <w:basedOn w:val="768"/>
    <w:uiPriority w:val="99"/>
    <w:unhideWhenUsed/>
    <w:qFormat/>
    <w:pPr>
      <w:ind w:firstLine="420"/>
    </w:pPr>
  </w:style>
  <w:style w:type="paragraph" w:styleId="768" w:customStyle="1">
    <w:name w:val="Body Text1"/>
    <w:basedOn w:val="769"/>
    <w:uiPriority w:val="99"/>
    <w:unhideWhenUsed/>
    <w:qFormat/>
    <w:pPr>
      <w:spacing w:after="120"/>
    </w:pPr>
  </w:style>
  <w:style w:type="paragraph" w:styleId="769" w:customStyle="1">
    <w:name w:val="Normal12"/>
    <w:next w:val="767"/>
    <w:uiPriority w:val="0"/>
    <w:qFormat/>
    <w:pPr>
      <w:jc w:val="both"/>
      <w:widowControl w:val="off"/>
    </w:pPr>
    <w:rPr>
      <w:rFonts w:hint="default" w:ascii="Times New Roman" w:hAnsi="Times New Roman" w:eastAsia="宋体" w:cs="Times New Roman"/>
      <w:szCs w:val="21"/>
      <w:lang w:val="en-US" w:eastAsia="zh-CN" w:bidi="ar-SA"/>
    </w:rPr>
  </w:style>
  <w:style w:type="paragraph" w:styleId="770">
    <w:name w:val="toc 7"/>
    <w:basedOn w:val="752"/>
    <w:next w:val="752"/>
    <w:uiPriority w:val="39"/>
    <w:unhideWhenUsed/>
    <w:qFormat/>
    <w:pPr>
      <w:ind w:left="1701"/>
      <w:spacing w:after="57"/>
    </w:pPr>
  </w:style>
  <w:style w:type="paragraph" w:styleId="771">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toc 5"/>
    <w:basedOn w:val="752"/>
    <w:next w:val="752"/>
    <w:uiPriority w:val="39"/>
    <w:unhideWhenUsed/>
    <w:qFormat/>
    <w:pPr>
      <w:ind w:left="1134"/>
      <w:spacing w:after="57"/>
    </w:pPr>
  </w:style>
  <w:style w:type="paragraph" w:styleId="773">
    <w:name w:val="toc 3"/>
    <w:basedOn w:val="752"/>
    <w:next w:val="752"/>
    <w:uiPriority w:val="39"/>
    <w:unhideWhenUsed/>
    <w:qFormat/>
    <w:pPr>
      <w:ind w:left="567"/>
      <w:spacing w:after="57"/>
    </w:pPr>
  </w:style>
  <w:style w:type="paragraph" w:styleId="774">
    <w:name w:val="toc 8"/>
    <w:basedOn w:val="752"/>
    <w:next w:val="752"/>
    <w:uiPriority w:val="39"/>
    <w:unhideWhenUsed/>
    <w:qFormat/>
    <w:pPr>
      <w:ind w:left="1984"/>
      <w:spacing w:after="57"/>
    </w:pPr>
  </w:style>
  <w:style w:type="paragraph" w:styleId="775">
    <w:name w:val="endnote text"/>
    <w:basedOn w:val="752"/>
    <w:uiPriority w:val="99"/>
    <w:semiHidden/>
    <w:unhideWhenUsed/>
    <w:qFormat/>
    <w:rPr>
      <w:sz w:val="20"/>
    </w:rPr>
  </w:style>
  <w:style w:type="paragraph" w:styleId="776">
    <w:name w:val="Footer"/>
    <w:basedOn w:val="752"/>
    <w:uiPriority w:val="99"/>
    <w:unhideWhenUsed/>
    <w:qFormat/>
    <w:pPr>
      <w:tabs>
        <w:tab w:val="center" w:pos="7143" w:leader="none"/>
        <w:tab w:val="right" w:pos="14287" w:leader="none"/>
      </w:tabs>
    </w:pPr>
  </w:style>
  <w:style w:type="paragraph" w:styleId="777">
    <w:name w:val="Header"/>
    <w:basedOn w:val="752"/>
    <w:uiPriority w:val="99"/>
    <w:unhideWhenUsed/>
    <w:qFormat/>
    <w:pPr>
      <w:tabs>
        <w:tab w:val="center" w:pos="7143" w:leader="none"/>
        <w:tab w:val="right" w:pos="14287" w:leader="none"/>
      </w:tabs>
    </w:pPr>
  </w:style>
  <w:style w:type="paragraph" w:styleId="778">
    <w:name w:val="toc 1"/>
    <w:basedOn w:val="752"/>
    <w:next w:val="752"/>
    <w:uiPriority w:val="39"/>
    <w:unhideWhenUsed/>
    <w:qFormat/>
    <w:pPr>
      <w:spacing w:after="57"/>
    </w:pPr>
  </w:style>
  <w:style w:type="paragraph" w:styleId="779">
    <w:name w:val="toc 4"/>
    <w:basedOn w:val="752"/>
    <w:next w:val="752"/>
    <w:uiPriority w:val="39"/>
    <w:unhideWhenUsed/>
    <w:qFormat/>
    <w:pPr>
      <w:ind w:left="850"/>
      <w:spacing w:after="57"/>
    </w:pPr>
  </w:style>
  <w:style w:type="paragraph" w:styleId="780">
    <w:name w:val="Subtitle"/>
    <w:basedOn w:val="752"/>
    <w:next w:val="752"/>
    <w:uiPriority w:val="11"/>
    <w:qFormat/>
    <w:pPr>
      <w:spacing w:before="200" w:after="200"/>
    </w:pPr>
    <w:rPr>
      <w:sz w:val="24"/>
      <w:szCs w:val="24"/>
    </w:rPr>
  </w:style>
  <w:style w:type="paragraph" w:styleId="781">
    <w:name w:val="footnote text"/>
    <w:basedOn w:val="752"/>
    <w:uiPriority w:val="99"/>
    <w:semiHidden/>
    <w:unhideWhenUsed/>
    <w:qFormat/>
    <w:pPr>
      <w:spacing w:after="40"/>
    </w:pPr>
    <w:rPr>
      <w:sz w:val="18"/>
    </w:rPr>
  </w:style>
  <w:style w:type="paragraph" w:styleId="782">
    <w:name w:val="toc 6"/>
    <w:basedOn w:val="752"/>
    <w:next w:val="752"/>
    <w:uiPriority w:val="39"/>
    <w:unhideWhenUsed/>
    <w:qFormat/>
    <w:pPr>
      <w:ind w:left="1417"/>
      <w:spacing w:after="57"/>
    </w:pPr>
  </w:style>
  <w:style w:type="paragraph" w:styleId="783">
    <w:name w:val="table of figures"/>
    <w:basedOn w:val="752"/>
    <w:next w:val="752"/>
    <w:uiPriority w:val="99"/>
    <w:unhideWhenUsed/>
    <w:qFormat/>
  </w:style>
  <w:style w:type="paragraph" w:styleId="784">
    <w:name w:val="toc 2"/>
    <w:basedOn w:val="752"/>
    <w:next w:val="752"/>
    <w:uiPriority w:val="39"/>
    <w:unhideWhenUsed/>
    <w:qFormat/>
    <w:pPr>
      <w:ind w:left="283"/>
      <w:spacing w:after="57"/>
    </w:pPr>
  </w:style>
  <w:style w:type="paragraph" w:styleId="785">
    <w:name w:val="toc 9"/>
    <w:basedOn w:val="752"/>
    <w:next w:val="752"/>
    <w:uiPriority w:val="39"/>
    <w:unhideWhenUsed/>
    <w:qFormat/>
    <w:pPr>
      <w:ind w:left="2268"/>
      <w:spacing w:after="57"/>
    </w:pPr>
  </w:style>
  <w:style w:type="paragraph" w:styleId="786">
    <w:name w:val="Title"/>
    <w:basedOn w:val="752"/>
    <w:next w:val="752"/>
    <w:uiPriority w:val="10"/>
    <w:qFormat/>
    <w:pPr>
      <w:contextualSpacing/>
      <w:spacing w:before="300" w:after="200"/>
    </w:pPr>
    <w:rPr>
      <w:sz w:val="48"/>
      <w:szCs w:val="48"/>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62"/>
    <w:uiPriority w:val="22"/>
    <w:qFormat/>
    <w:rPr>
      <w:b/>
    </w:r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footnote reference"/>
    <w:uiPriority w:val="99"/>
    <w:unhideWhenUsed/>
    <w:qFormat/>
    <w:rPr>
      <w:vertAlign w:val="superscript"/>
    </w:rPr>
  </w:style>
  <w:style w:type="table" w:styleId="792"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6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hint="default" w:ascii="Times New Roman" w:hAnsi="Times New Roman" w:eastAsia="宋体" w:cs="Times New Roman"/>
    </w:rPr>
  </w:style>
  <w:style w:type="paragraph" w:styleId="812">
    <w:name w:val="List Paragraph"/>
    <w:basedOn w:val="752"/>
    <w:uiPriority w:val="34"/>
    <w:qFormat/>
    <w:pPr>
      <w:contextualSpacing/>
      <w:ind w:left="720"/>
    </w:pPr>
  </w:style>
  <w:style w:type="paragraph" w:styleId="813">
    <w:name w:val="No Spacing"/>
    <w:uiPriority w:val="1"/>
    <w:qFormat/>
    <w:rPr>
      <w:rFonts w:hint="default" w:ascii="Times New Roman" w:hAnsi="Times New Roman" w:eastAsia="宋体" w:cs="Times New Roman"/>
      <w:lang w:val="en-US" w:eastAsia="zh-CN" w:bidi="ar-SA"/>
    </w:rPr>
  </w:style>
  <w:style w:type="paragraph" w:styleId="814">
    <w:name w:val="Quote"/>
    <w:basedOn w:val="752"/>
    <w:next w:val="752"/>
    <w:uiPriority w:val="29"/>
    <w:qFormat/>
    <w:pPr>
      <w:ind w:left="720" w:right="720"/>
    </w:pPr>
    <w:rPr>
      <w:i/>
    </w:rPr>
  </w:style>
  <w:style w:type="paragraph" w:styleId="815">
    <w:name w:val="Intense Quote"/>
    <w:basedOn w:val="752"/>
    <w:next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6" w:customStyle="1">
    <w:name w:val="标题 11"/>
    <w:basedOn w:val="752"/>
    <w:next w:val="752"/>
    <w:link w:val="827"/>
    <w:uiPriority w:val="0"/>
    <w:qFormat/>
    <w:pPr>
      <w:keepLines/>
      <w:keepNext/>
      <w:spacing w:before="480" w:after="200"/>
      <w:outlineLvl w:val="0"/>
    </w:pPr>
    <w:rPr>
      <w:rFonts w:ascii="Arial" w:hAnsi="Arial" w:eastAsia="Arial" w:cs="Arial"/>
      <w:sz w:val="40"/>
      <w:szCs w:val="40"/>
    </w:rPr>
  </w:style>
  <w:style w:type="paragraph" w:styleId="817" w:customStyle="1">
    <w:name w:val="标题 2111"/>
    <w:basedOn w:val="752"/>
    <w:next w:val="752"/>
    <w:link w:val="828"/>
    <w:uiPriority w:val="0"/>
    <w:qFormat/>
    <w:pPr>
      <w:keepLines/>
      <w:keepNext/>
      <w:spacing w:before="260" w:after="260" w:line="413" w:lineRule="auto"/>
      <w:outlineLvl w:val="1"/>
    </w:pPr>
    <w:rPr>
      <w:rFonts w:ascii="Arial" w:hAnsi="Arial" w:eastAsia="黑体"/>
      <w:b/>
      <w:sz w:val="32"/>
      <w:szCs w:val="20"/>
    </w:rPr>
  </w:style>
  <w:style w:type="paragraph" w:styleId="818" w:customStyle="1">
    <w:name w:val="标题 312"/>
    <w:basedOn w:val="764"/>
    <w:next w:val="765"/>
    <w:link w:val="830"/>
    <w:uiPriority w:val="0"/>
    <w:qFormat/>
    <w:pPr>
      <w:keepLines/>
      <w:keepNext/>
      <w:spacing w:before="320" w:after="200"/>
      <w:outlineLvl w:val="2"/>
    </w:pPr>
    <w:rPr>
      <w:rFonts w:ascii="Arial" w:hAnsi="Arial" w:eastAsia="Arial" w:cs="Arial"/>
      <w:sz w:val="30"/>
      <w:szCs w:val="30"/>
    </w:rPr>
  </w:style>
  <w:style w:type="paragraph" w:styleId="819" w:customStyle="1">
    <w:name w:val="标题 411"/>
    <w:basedOn w:val="752"/>
    <w:next w:val="752"/>
    <w:link w:val="831"/>
    <w:uiPriority w:val="0"/>
    <w:qFormat/>
    <w:pPr>
      <w:jc w:val="center"/>
      <w:keepNext/>
      <w:outlineLvl w:val="3"/>
    </w:pPr>
    <w:rPr>
      <w:rFonts w:eastAsia="新宋体"/>
      <w:sz w:val="30"/>
      <w:szCs w:val="21"/>
    </w:rPr>
  </w:style>
  <w:style w:type="paragraph" w:styleId="820" w:customStyle="1">
    <w:name w:val="标题 51"/>
    <w:basedOn w:val="752"/>
    <w:next w:val="752"/>
    <w:link w:val="832"/>
    <w:uiPriority w:val="0"/>
    <w:qFormat/>
    <w:pPr>
      <w:keepLines/>
      <w:keepNext/>
      <w:spacing w:before="320" w:after="200"/>
      <w:outlineLvl w:val="4"/>
    </w:pPr>
    <w:rPr>
      <w:rFonts w:ascii="Arial" w:hAnsi="Arial" w:eastAsia="Arial" w:cs="Arial"/>
      <w:b/>
      <w:bCs/>
      <w:sz w:val="24"/>
      <w:szCs w:val="24"/>
    </w:rPr>
  </w:style>
  <w:style w:type="paragraph" w:styleId="821" w:customStyle="1">
    <w:name w:val="标题 61"/>
    <w:basedOn w:val="752"/>
    <w:next w:val="752"/>
    <w:link w:val="833"/>
    <w:uiPriority w:val="0"/>
    <w:qFormat/>
    <w:pPr>
      <w:keepLines/>
      <w:keepNext/>
      <w:spacing w:before="320" w:after="200"/>
      <w:outlineLvl w:val="5"/>
    </w:pPr>
    <w:rPr>
      <w:rFonts w:ascii="Arial" w:hAnsi="Arial" w:eastAsia="Arial" w:cs="Arial"/>
      <w:b/>
      <w:bCs/>
      <w:sz w:val="22"/>
    </w:rPr>
  </w:style>
  <w:style w:type="paragraph" w:styleId="822" w:customStyle="1">
    <w:name w:val="标题 71"/>
    <w:basedOn w:val="752"/>
    <w:next w:val="752"/>
    <w:link w:val="834"/>
    <w:uiPriority w:val="0"/>
    <w:qFormat/>
    <w:pPr>
      <w:keepLines/>
      <w:keepNext/>
      <w:spacing w:before="320" w:after="200"/>
      <w:outlineLvl w:val="6"/>
    </w:pPr>
    <w:rPr>
      <w:rFonts w:ascii="Arial" w:hAnsi="Arial" w:eastAsia="Arial" w:cs="Arial"/>
      <w:b/>
      <w:bCs/>
      <w:i/>
      <w:iCs/>
      <w:sz w:val="22"/>
    </w:rPr>
  </w:style>
  <w:style w:type="paragraph" w:styleId="823" w:customStyle="1">
    <w:name w:val="标题 81"/>
    <w:basedOn w:val="752"/>
    <w:next w:val="752"/>
    <w:link w:val="835"/>
    <w:uiPriority w:val="0"/>
    <w:qFormat/>
    <w:pPr>
      <w:keepLines/>
      <w:keepNext/>
      <w:spacing w:before="320" w:after="200"/>
      <w:outlineLvl w:val="7"/>
    </w:pPr>
    <w:rPr>
      <w:rFonts w:ascii="Arial" w:hAnsi="Arial" w:eastAsia="Arial" w:cs="Arial"/>
      <w:i/>
      <w:iCs/>
      <w:sz w:val="22"/>
    </w:rPr>
  </w:style>
  <w:style w:type="paragraph" w:styleId="824" w:customStyle="1">
    <w:name w:val="标题 91"/>
    <w:basedOn w:val="752"/>
    <w:next w:val="752"/>
    <w:link w:val="836"/>
    <w:uiPriority w:val="0"/>
    <w:qFormat/>
    <w:pPr>
      <w:keepLines/>
      <w:keepNext/>
      <w:spacing w:before="320" w:after="200"/>
      <w:outlineLvl w:val="8"/>
    </w:pPr>
    <w:rPr>
      <w:rFonts w:ascii="Arial" w:hAnsi="Arial" w:eastAsia="Arial" w:cs="Arial"/>
      <w:i/>
      <w:iCs/>
      <w:szCs w:val="21"/>
    </w:rPr>
  </w:style>
  <w:style w:type="character" w:styleId="825" w:customStyle="1">
    <w:name w:val="默认段落字体1"/>
    <w:uiPriority w:val="1"/>
    <w:unhideWhenUsed/>
    <w:qFormat/>
  </w:style>
  <w:style w:type="table" w:styleId="826" w:customStyle="1">
    <w:name w:val="普通表格1"/>
    <w:uiPriority w:val="99"/>
    <w:unhideWhenUsed/>
    <w:qFormat/>
    <w:tblPr>
      <w:tblCellMar>
        <w:left w:w="0" w:type="dxa"/>
        <w:top w:w="0" w:type="dxa"/>
        <w:right w:w="0" w:type="dxa"/>
        <w:bottom w:w="0" w:type="dxa"/>
      </w:tblCellMar>
    </w:tblPr>
  </w:style>
  <w:style w:type="character" w:styleId="827" w:customStyle="1">
    <w:name w:val="标题 1 字符"/>
    <w:link w:val="816"/>
    <w:uiPriority w:val="0"/>
    <w:qFormat/>
    <w:rPr>
      <w:rFonts w:ascii="Arial" w:hAnsi="Arial" w:eastAsia="Arial" w:cs="Arial"/>
      <w:sz w:val="40"/>
      <w:szCs w:val="40"/>
    </w:rPr>
  </w:style>
  <w:style w:type="character" w:styleId="828" w:customStyle="1">
    <w:name w:val="标题 2 字符"/>
    <w:link w:val="817"/>
    <w:uiPriority w:val="0"/>
    <w:qFormat/>
    <w:rPr>
      <w:rFonts w:ascii="Arial" w:hAnsi="Arial" w:eastAsia="Arial" w:cs="Arial"/>
      <w:sz w:val="34"/>
    </w:rPr>
  </w:style>
  <w:style w:type="paragraph" w:styleId="829" w:customStyle="1">
    <w:name w:val="标题 311"/>
    <w:basedOn w:val="764"/>
    <w:next w:val="765"/>
    <w:uiPriority w:val="9"/>
    <w:qFormat/>
    <w:pPr>
      <w:keepLines/>
      <w:keepNext/>
      <w:spacing w:before="320" w:after="200"/>
      <w:outlineLvl w:val="2"/>
    </w:pPr>
    <w:rPr>
      <w:rFonts w:ascii="Arial" w:hAnsi="Arial" w:eastAsia="Arial" w:cs="Arial"/>
      <w:sz w:val="30"/>
      <w:szCs w:val="30"/>
    </w:rPr>
  </w:style>
  <w:style w:type="character" w:styleId="830" w:customStyle="1">
    <w:name w:val="标题 3 字符"/>
    <w:link w:val="818"/>
    <w:uiPriority w:val="0"/>
    <w:qFormat/>
    <w:rPr>
      <w:rFonts w:ascii="Arial" w:hAnsi="Arial" w:eastAsia="Arial" w:cs="Arial"/>
      <w:sz w:val="30"/>
      <w:szCs w:val="30"/>
    </w:rPr>
  </w:style>
  <w:style w:type="character" w:styleId="831" w:customStyle="1">
    <w:name w:val="标题 4 字符"/>
    <w:link w:val="819"/>
    <w:uiPriority w:val="0"/>
    <w:qFormat/>
    <w:rPr>
      <w:rFonts w:ascii="Arial" w:hAnsi="Arial" w:eastAsia="Arial" w:cs="Arial"/>
      <w:b/>
      <w:bCs/>
      <w:sz w:val="26"/>
      <w:szCs w:val="26"/>
    </w:rPr>
  </w:style>
  <w:style w:type="character" w:styleId="832" w:customStyle="1">
    <w:name w:val="标题 5 字符"/>
    <w:link w:val="820"/>
    <w:uiPriority w:val="0"/>
    <w:qFormat/>
    <w:rPr>
      <w:rFonts w:ascii="Arial" w:hAnsi="Arial" w:eastAsia="Arial" w:cs="Arial"/>
      <w:b/>
      <w:bCs/>
      <w:sz w:val="24"/>
      <w:szCs w:val="24"/>
    </w:rPr>
  </w:style>
  <w:style w:type="character" w:styleId="833" w:customStyle="1">
    <w:name w:val="标题 6 字符"/>
    <w:link w:val="821"/>
    <w:uiPriority w:val="0"/>
    <w:qFormat/>
    <w:rPr>
      <w:rFonts w:ascii="Arial" w:hAnsi="Arial" w:eastAsia="Arial" w:cs="Arial"/>
      <w:b/>
      <w:bCs/>
      <w:sz w:val="22"/>
      <w:szCs w:val="22"/>
    </w:rPr>
  </w:style>
  <w:style w:type="character" w:styleId="834" w:customStyle="1">
    <w:name w:val="标题 7 字符"/>
    <w:link w:val="822"/>
    <w:uiPriority w:val="0"/>
    <w:qFormat/>
    <w:rPr>
      <w:rFonts w:ascii="Arial" w:hAnsi="Arial" w:eastAsia="Arial" w:cs="Arial"/>
      <w:b/>
      <w:bCs/>
      <w:i/>
      <w:iCs/>
      <w:sz w:val="22"/>
      <w:szCs w:val="22"/>
    </w:rPr>
  </w:style>
  <w:style w:type="character" w:styleId="835" w:customStyle="1">
    <w:name w:val="标题 8 字符"/>
    <w:link w:val="823"/>
    <w:uiPriority w:val="0"/>
    <w:qFormat/>
    <w:rPr>
      <w:rFonts w:ascii="Arial" w:hAnsi="Arial" w:eastAsia="Arial" w:cs="Arial"/>
      <w:i/>
      <w:iCs/>
      <w:sz w:val="22"/>
      <w:szCs w:val="22"/>
    </w:rPr>
  </w:style>
  <w:style w:type="character" w:styleId="836" w:customStyle="1">
    <w:name w:val="标题 9 字符"/>
    <w:link w:val="824"/>
    <w:uiPriority w:val="0"/>
    <w:qFormat/>
    <w:rPr>
      <w:rFonts w:ascii="Arial" w:hAnsi="Arial" w:eastAsia="Arial" w:cs="Arial"/>
      <w:i/>
      <w:iCs/>
      <w:sz w:val="21"/>
      <w:szCs w:val="21"/>
    </w:rPr>
  </w:style>
  <w:style w:type="paragraph" w:styleId="837" w:customStyle="1">
    <w:name w:val="列表 31"/>
    <w:basedOn w:val="752"/>
    <w:uiPriority w:val="0"/>
    <w:qFormat/>
    <w:pPr>
      <w:ind w:left="100" w:hanging="200"/>
    </w:pPr>
    <w:rPr>
      <w:rFonts w:ascii="Times New Roman" w:hAnsi="Times New Roman"/>
      <w:szCs w:val="21"/>
    </w:rPr>
  </w:style>
  <w:style w:type="paragraph" w:styleId="838" w:customStyle="1">
    <w:name w:val="目录 71"/>
    <w:basedOn w:val="752"/>
    <w:next w:val="752"/>
    <w:uiPriority w:val="0"/>
    <w:unhideWhenUsed/>
    <w:qFormat/>
    <w:pPr>
      <w:ind w:left="1701"/>
      <w:spacing w:after="57"/>
    </w:pPr>
  </w:style>
  <w:style w:type="paragraph" w:styleId="839" w:customStyle="1">
    <w:name w:val="正文缩进11"/>
    <w:basedOn w:val="752"/>
    <w:link w:val="840"/>
    <w:uiPriority w:val="0"/>
    <w:qFormat/>
    <w:pPr>
      <w:ind w:firstLine="420"/>
    </w:pPr>
    <w:rPr>
      <w:rFonts w:ascii="宋体"/>
      <w:color w:val="000000"/>
      <w:sz w:val="24"/>
      <w:szCs w:val="20"/>
    </w:rPr>
  </w:style>
  <w:style w:type="character" w:styleId="840" w:customStyle="1">
    <w:name w:val="正文缩进 字符"/>
    <w:link w:val="839"/>
    <w:uiPriority w:val="0"/>
    <w:qFormat/>
    <w:rPr>
      <w:rFonts w:ascii="宋体" w:hAnsi="Calibri"/>
      <w:color w:val="000000"/>
      <w:sz w:val="24"/>
    </w:rPr>
  </w:style>
  <w:style w:type="paragraph" w:styleId="841" w:customStyle="1">
    <w:name w:val="题注1"/>
    <w:basedOn w:val="752"/>
    <w:next w:val="752"/>
    <w:uiPriority w:val="35"/>
    <w:qFormat/>
    <w:pPr>
      <w:spacing w:line="276" w:lineRule="auto"/>
    </w:pPr>
    <w:rPr>
      <w:b/>
      <w:bCs/>
      <w:color w:val="5b9bd5"/>
      <w:sz w:val="18"/>
      <w:szCs w:val="18"/>
    </w:rPr>
  </w:style>
  <w:style w:type="paragraph" w:styleId="842" w:customStyle="1">
    <w:name w:val="文档结构图1"/>
    <w:basedOn w:val="752"/>
    <w:link w:val="843"/>
    <w:uiPriority w:val="0"/>
    <w:semiHidden/>
    <w:qFormat/>
    <w:pPr>
      <w:shd w:val="clear" w:color="auto" w:fill="000080"/>
    </w:pPr>
    <w:rPr>
      <w:rFonts w:ascii="Times New Roman" w:hAnsi="Times New Roman"/>
      <w:szCs w:val="21"/>
    </w:rPr>
  </w:style>
  <w:style w:type="character" w:styleId="843" w:customStyle="1">
    <w:name w:val="文档结构图 字符"/>
    <w:link w:val="842"/>
    <w:uiPriority w:val="0"/>
    <w:semiHidden/>
    <w:qFormat/>
    <w:rPr>
      <w:sz w:val="21"/>
      <w:szCs w:val="21"/>
      <w:shd w:val="clear" w:color="auto" w:fill="000080"/>
    </w:rPr>
  </w:style>
  <w:style w:type="paragraph" w:styleId="844" w:customStyle="1">
    <w:name w:val="批注文字11"/>
    <w:basedOn w:val="752"/>
    <w:link w:val="845"/>
    <w:uiPriority w:val="0"/>
    <w:semiHidden/>
    <w:qFormat/>
    <w:pPr>
      <w:jc w:val="left"/>
    </w:pPr>
    <w:rPr>
      <w:rFonts w:ascii="Times New Roman" w:hAnsi="Times New Roman"/>
      <w:szCs w:val="21"/>
    </w:rPr>
  </w:style>
  <w:style w:type="character" w:styleId="845" w:customStyle="1">
    <w:name w:val="批注文字 字符"/>
    <w:link w:val="844"/>
    <w:uiPriority w:val="0"/>
    <w:semiHidden/>
    <w:qFormat/>
    <w:rPr>
      <w:sz w:val="21"/>
      <w:szCs w:val="21"/>
    </w:rPr>
  </w:style>
  <w:style w:type="paragraph" w:styleId="846" w:customStyle="1">
    <w:name w:val="正文文本 31"/>
    <w:basedOn w:val="752"/>
    <w:link w:val="847"/>
    <w:uiPriority w:val="0"/>
    <w:qFormat/>
    <w:rPr>
      <w:rFonts w:ascii="仿宋_GB2312" w:hAnsi="Arial" w:eastAsia="仿宋_GB2312"/>
      <w:sz w:val="32"/>
      <w:szCs w:val="32"/>
    </w:rPr>
  </w:style>
  <w:style w:type="character" w:styleId="847" w:customStyle="1">
    <w:name w:val="正文文本 3 字符"/>
    <w:link w:val="846"/>
    <w:uiPriority w:val="0"/>
    <w:qFormat/>
    <w:rPr>
      <w:rFonts w:ascii="仿宋_GB2312" w:hAnsi="Arial" w:eastAsia="仿宋_GB2312"/>
      <w:sz w:val="32"/>
      <w:szCs w:val="32"/>
    </w:rPr>
  </w:style>
  <w:style w:type="paragraph" w:styleId="848" w:customStyle="1">
    <w:name w:val="正文文本111"/>
    <w:basedOn w:val="752"/>
    <w:uiPriority w:val="0"/>
    <w:semiHidden/>
    <w:qFormat/>
    <w:rPr>
      <w:rFonts w:ascii="仿宋" w:hAnsi="仿宋" w:eastAsia="仿宋" w:cs="仿宋"/>
      <w:sz w:val="32"/>
      <w:szCs w:val="32"/>
      <w:lang w:eastAsia="en-US"/>
    </w:rPr>
  </w:style>
  <w:style w:type="paragraph" w:styleId="849" w:customStyle="1">
    <w:name w:val="正文文本缩进11"/>
    <w:basedOn w:val="752"/>
    <w:link w:val="850"/>
    <w:uiPriority w:val="0"/>
    <w:qFormat/>
    <w:pPr>
      <w:ind w:firstLine="225"/>
    </w:pPr>
    <w:rPr>
      <w:rFonts w:ascii="仿宋_GB2312" w:eastAsia="仿宋_GB2312"/>
      <w:sz w:val="32"/>
    </w:rPr>
  </w:style>
  <w:style w:type="character" w:styleId="850" w:customStyle="1">
    <w:name w:val="正文文本缩进 字符1"/>
    <w:link w:val="849"/>
    <w:uiPriority w:val="0"/>
    <w:qFormat/>
    <w:rPr>
      <w:rFonts w:ascii="仿宋_GB2312" w:hAnsi="Calibri" w:eastAsia="仿宋_GB2312"/>
      <w:sz w:val="32"/>
      <w:szCs w:val="22"/>
    </w:rPr>
  </w:style>
  <w:style w:type="paragraph" w:styleId="851" w:customStyle="1">
    <w:name w:val="列表 21"/>
    <w:basedOn w:val="752"/>
    <w:uiPriority w:val="0"/>
    <w:qFormat/>
    <w:pPr>
      <w:ind w:left="100" w:hanging="200"/>
    </w:pPr>
    <w:rPr>
      <w:rFonts w:ascii="Times New Roman" w:hAnsi="Times New Roman"/>
      <w:szCs w:val="21"/>
    </w:rPr>
  </w:style>
  <w:style w:type="paragraph" w:styleId="852" w:customStyle="1">
    <w:name w:val="目录 51"/>
    <w:basedOn w:val="752"/>
    <w:next w:val="752"/>
    <w:uiPriority w:val="0"/>
    <w:unhideWhenUsed/>
    <w:qFormat/>
    <w:pPr>
      <w:ind w:left="1134"/>
      <w:spacing w:after="57"/>
    </w:pPr>
  </w:style>
  <w:style w:type="paragraph" w:styleId="853" w:customStyle="1">
    <w:name w:val="目录 31"/>
    <w:basedOn w:val="752"/>
    <w:next w:val="752"/>
    <w:uiPriority w:val="0"/>
    <w:unhideWhenUsed/>
    <w:qFormat/>
    <w:pPr>
      <w:ind w:left="567"/>
      <w:spacing w:after="57"/>
    </w:pPr>
  </w:style>
  <w:style w:type="paragraph" w:styleId="854" w:customStyle="1">
    <w:name w:val="纯文本11"/>
    <w:basedOn w:val="752"/>
    <w:link w:val="855"/>
    <w:uiPriority w:val="0"/>
    <w:qFormat/>
    <w:rPr>
      <w:rFonts w:ascii="宋体" w:hAnsi="Courier New" w:cs="Courier New"/>
      <w:szCs w:val="21"/>
    </w:rPr>
  </w:style>
  <w:style w:type="character" w:styleId="855" w:customStyle="1">
    <w:name w:val="纯文本 字符"/>
    <w:link w:val="854"/>
    <w:uiPriority w:val="0"/>
    <w:qFormat/>
    <w:rPr>
      <w:rFonts w:ascii="宋体" w:hAnsi="Courier New" w:cs="Courier New"/>
      <w:sz w:val="21"/>
      <w:szCs w:val="21"/>
    </w:rPr>
  </w:style>
  <w:style w:type="paragraph" w:styleId="856" w:customStyle="1">
    <w:name w:val="目录 81"/>
    <w:basedOn w:val="752"/>
    <w:next w:val="752"/>
    <w:uiPriority w:val="0"/>
    <w:unhideWhenUsed/>
    <w:qFormat/>
    <w:pPr>
      <w:ind w:left="1984"/>
      <w:spacing w:after="57"/>
    </w:pPr>
  </w:style>
  <w:style w:type="paragraph" w:styleId="857" w:customStyle="1">
    <w:name w:val="日期1"/>
    <w:basedOn w:val="752"/>
    <w:next w:val="752"/>
    <w:link w:val="858"/>
    <w:uiPriority w:val="0"/>
    <w:qFormat/>
    <w:rPr>
      <w:rFonts w:ascii="Times New Roman" w:hAnsi="Times New Roman"/>
      <w:sz w:val="24"/>
      <w:szCs w:val="24"/>
    </w:rPr>
  </w:style>
  <w:style w:type="character" w:styleId="858" w:customStyle="1">
    <w:name w:val="日期 字符"/>
    <w:link w:val="857"/>
    <w:uiPriority w:val="0"/>
    <w:qFormat/>
    <w:rPr>
      <w:sz w:val="24"/>
      <w:szCs w:val="24"/>
    </w:rPr>
  </w:style>
  <w:style w:type="paragraph" w:styleId="859" w:customStyle="1">
    <w:name w:val="正文文本缩进 21"/>
    <w:basedOn w:val="752"/>
    <w:link w:val="860"/>
    <w:uiPriority w:val="0"/>
    <w:qFormat/>
    <w:pPr>
      <w:ind w:left="630" w:firstLine="645"/>
    </w:pPr>
    <w:rPr>
      <w:rFonts w:ascii="Arial" w:hAnsi="Arial" w:eastAsia="仿宋_GB2312" w:cs="Arial"/>
      <w:sz w:val="32"/>
      <w:szCs w:val="32"/>
    </w:rPr>
  </w:style>
  <w:style w:type="character" w:styleId="860" w:customStyle="1">
    <w:name w:val="正文文本缩进 2 字符"/>
    <w:link w:val="859"/>
    <w:uiPriority w:val="0"/>
    <w:qFormat/>
    <w:rPr>
      <w:rFonts w:ascii="Arial" w:hAnsi="Arial" w:eastAsia="仿宋_GB2312" w:cs="Arial"/>
      <w:sz w:val="32"/>
      <w:szCs w:val="32"/>
    </w:rPr>
  </w:style>
  <w:style w:type="paragraph" w:styleId="861" w:customStyle="1">
    <w:name w:val="尾注文本1"/>
    <w:basedOn w:val="752"/>
    <w:link w:val="862"/>
    <w:uiPriority w:val="99"/>
    <w:unhideWhenUsed/>
    <w:qFormat/>
    <w:rPr>
      <w:sz w:val="20"/>
    </w:rPr>
  </w:style>
  <w:style w:type="character" w:styleId="862" w:customStyle="1">
    <w:name w:val="尾注文本 字符"/>
    <w:link w:val="861"/>
    <w:uiPriority w:val="99"/>
    <w:qFormat/>
    <w:rPr>
      <w:sz w:val="20"/>
    </w:rPr>
  </w:style>
  <w:style w:type="paragraph" w:styleId="863" w:customStyle="1">
    <w:name w:val="批注框文本1"/>
    <w:basedOn w:val="752"/>
    <w:link w:val="864"/>
    <w:uiPriority w:val="0"/>
    <w:qFormat/>
    <w:rPr>
      <w:rFonts w:ascii="Times New Roman" w:hAnsi="Times New Roman"/>
      <w:sz w:val="18"/>
      <w:szCs w:val="18"/>
    </w:rPr>
  </w:style>
  <w:style w:type="character" w:styleId="864" w:customStyle="1">
    <w:name w:val="批注框文本 字符"/>
    <w:link w:val="863"/>
    <w:uiPriority w:val="0"/>
    <w:qFormat/>
    <w:rPr>
      <w:sz w:val="18"/>
      <w:szCs w:val="18"/>
    </w:rPr>
  </w:style>
  <w:style w:type="paragraph" w:styleId="865" w:customStyle="1">
    <w:name w:val="页脚111"/>
    <w:basedOn w:val="752"/>
    <w:link w:val="866"/>
    <w:uiPriority w:val="99"/>
    <w:qFormat/>
    <w:pPr>
      <w:jc w:val="left"/>
      <w:tabs>
        <w:tab w:val="center" w:pos="4153" w:leader="none"/>
        <w:tab w:val="right" w:pos="8306" w:leader="none"/>
      </w:tabs>
    </w:pPr>
    <w:rPr>
      <w:sz w:val="18"/>
      <w:szCs w:val="18"/>
    </w:rPr>
  </w:style>
  <w:style w:type="character" w:styleId="866" w:customStyle="1">
    <w:name w:val="页脚 字符"/>
    <w:link w:val="865"/>
    <w:uiPriority w:val="99"/>
    <w:qFormat/>
  </w:style>
  <w:style w:type="paragraph" w:styleId="867" w:customStyle="1">
    <w:name w:val="页眉1"/>
    <w:basedOn w:val="752"/>
    <w:link w:val="868"/>
    <w:uiPriority w:val="0"/>
    <w:qFormat/>
    <w:pPr>
      <w:jc w:val="center"/>
      <w:tabs>
        <w:tab w:val="center" w:pos="4153" w:leader="none"/>
        <w:tab w:val="right" w:pos="8306" w:leader="none"/>
      </w:tabs>
    </w:pPr>
    <w:rPr>
      <w:sz w:val="18"/>
      <w:szCs w:val="18"/>
    </w:rPr>
  </w:style>
  <w:style w:type="character" w:styleId="868" w:customStyle="1">
    <w:name w:val="页眉 字符"/>
    <w:link w:val="867"/>
    <w:uiPriority w:val="0"/>
    <w:qFormat/>
    <w:rPr>
      <w:rFonts w:ascii="Calibri" w:hAnsi="Calibri"/>
      <w:sz w:val="18"/>
      <w:szCs w:val="18"/>
    </w:rPr>
  </w:style>
  <w:style w:type="paragraph" w:styleId="869" w:customStyle="1">
    <w:name w:val="目录 11"/>
    <w:basedOn w:val="752"/>
    <w:next w:val="752"/>
    <w:uiPriority w:val="0"/>
    <w:qFormat/>
    <w:pPr>
      <w:jc w:val="left"/>
      <w:spacing w:before="120" w:after="120"/>
    </w:pPr>
    <w:rPr>
      <w:rFonts w:cs="Calibri"/>
      <w:b/>
      <w:bCs/>
      <w:caps/>
      <w:sz w:val="20"/>
      <w:szCs w:val="20"/>
    </w:rPr>
  </w:style>
  <w:style w:type="paragraph" w:styleId="870" w:customStyle="1">
    <w:name w:val="目录 41"/>
    <w:basedOn w:val="752"/>
    <w:next w:val="752"/>
    <w:uiPriority w:val="0"/>
    <w:unhideWhenUsed/>
    <w:qFormat/>
    <w:pPr>
      <w:ind w:left="850"/>
      <w:spacing w:after="57"/>
    </w:pPr>
  </w:style>
  <w:style w:type="paragraph" w:styleId="871" w:customStyle="1">
    <w:name w:val="副标题1"/>
    <w:basedOn w:val="752"/>
    <w:next w:val="752"/>
    <w:link w:val="872"/>
    <w:uiPriority w:val="11"/>
    <w:qFormat/>
    <w:pPr>
      <w:spacing w:before="200" w:after="200"/>
    </w:pPr>
    <w:rPr>
      <w:sz w:val="24"/>
      <w:szCs w:val="24"/>
    </w:rPr>
  </w:style>
  <w:style w:type="character" w:styleId="872" w:customStyle="1">
    <w:name w:val="副标题 字符"/>
    <w:link w:val="871"/>
    <w:uiPriority w:val="11"/>
    <w:qFormat/>
    <w:rPr>
      <w:sz w:val="24"/>
      <w:szCs w:val="24"/>
    </w:rPr>
  </w:style>
  <w:style w:type="paragraph" w:styleId="873" w:customStyle="1">
    <w:name w:val="列表1"/>
    <w:basedOn w:val="752"/>
    <w:uiPriority w:val="0"/>
    <w:qFormat/>
    <w:pPr>
      <w:ind w:left="200" w:hanging="200"/>
    </w:pPr>
    <w:rPr>
      <w:rFonts w:ascii="Times New Roman" w:hAnsi="Times New Roman"/>
      <w:szCs w:val="21"/>
    </w:rPr>
  </w:style>
  <w:style w:type="paragraph" w:styleId="874" w:customStyle="1">
    <w:name w:val="脚注文本11"/>
    <w:basedOn w:val="752"/>
    <w:link w:val="875"/>
    <w:uiPriority w:val="99"/>
    <w:unhideWhenUsed/>
    <w:qFormat/>
    <w:pPr>
      <w:spacing w:after="40"/>
    </w:pPr>
    <w:rPr>
      <w:sz w:val="18"/>
    </w:rPr>
  </w:style>
  <w:style w:type="character" w:styleId="875" w:customStyle="1">
    <w:name w:val="脚注文本 字符"/>
    <w:link w:val="874"/>
    <w:uiPriority w:val="99"/>
    <w:qFormat/>
    <w:rPr>
      <w:sz w:val="18"/>
    </w:rPr>
  </w:style>
  <w:style w:type="paragraph" w:styleId="876" w:customStyle="1">
    <w:name w:val="目录 61"/>
    <w:basedOn w:val="752"/>
    <w:next w:val="752"/>
    <w:uiPriority w:val="0"/>
    <w:unhideWhenUsed/>
    <w:qFormat/>
    <w:pPr>
      <w:ind w:left="1417"/>
      <w:spacing w:after="57"/>
    </w:pPr>
  </w:style>
  <w:style w:type="paragraph" w:styleId="877" w:customStyle="1">
    <w:name w:val="正文文本缩进 31"/>
    <w:basedOn w:val="752"/>
    <w:link w:val="878"/>
    <w:uiPriority w:val="0"/>
    <w:qFormat/>
    <w:pPr>
      <w:ind w:left="645" w:firstLine="645"/>
    </w:pPr>
    <w:rPr>
      <w:rFonts w:ascii="Arial" w:hAnsi="Arial" w:eastAsia="仿宋_GB2312" w:cs="Arial"/>
      <w:color w:val="ffff00"/>
      <w:sz w:val="32"/>
      <w:szCs w:val="32"/>
    </w:rPr>
  </w:style>
  <w:style w:type="character" w:styleId="878" w:customStyle="1">
    <w:name w:val="正文文本缩进 3 字符"/>
    <w:link w:val="877"/>
    <w:uiPriority w:val="0"/>
    <w:qFormat/>
    <w:rPr>
      <w:rFonts w:ascii="Arial" w:hAnsi="Arial" w:eastAsia="仿宋_GB2312" w:cs="Arial"/>
      <w:color w:val="ffff00"/>
      <w:sz w:val="32"/>
      <w:szCs w:val="32"/>
    </w:rPr>
  </w:style>
  <w:style w:type="paragraph" w:styleId="879" w:customStyle="1">
    <w:name w:val="图表目录1"/>
    <w:basedOn w:val="752"/>
    <w:next w:val="752"/>
    <w:uiPriority w:val="0"/>
    <w:unhideWhenUsed/>
    <w:qFormat/>
  </w:style>
  <w:style w:type="paragraph" w:styleId="880" w:customStyle="1">
    <w:name w:val="目录 21"/>
    <w:basedOn w:val="752"/>
    <w:next w:val="752"/>
    <w:uiPriority w:val="0"/>
    <w:qFormat/>
    <w:pPr>
      <w:ind w:left="210"/>
      <w:jc w:val="left"/>
    </w:pPr>
    <w:rPr>
      <w:rFonts w:cs="Calibri"/>
      <w:smallCaps/>
      <w:sz w:val="20"/>
      <w:szCs w:val="20"/>
    </w:rPr>
  </w:style>
  <w:style w:type="paragraph" w:styleId="881" w:customStyle="1">
    <w:name w:val="目录 91"/>
    <w:basedOn w:val="752"/>
    <w:next w:val="752"/>
    <w:uiPriority w:val="0"/>
    <w:unhideWhenUsed/>
    <w:qFormat/>
    <w:pPr>
      <w:ind w:left="2268"/>
      <w:spacing w:after="57"/>
    </w:pPr>
  </w:style>
  <w:style w:type="paragraph" w:styleId="882" w:customStyle="1">
    <w:name w:val="正文文本 21"/>
    <w:basedOn w:val="752"/>
    <w:link w:val="883"/>
    <w:uiPriority w:val="0"/>
    <w:qFormat/>
    <w:pPr>
      <w:jc w:val="center"/>
      <w:widowControl/>
    </w:pPr>
    <w:rPr>
      <w:rFonts w:ascii="楷体_GB2312" w:hAnsi="Times New Roman" w:eastAsia="楷体_GB2312"/>
      <w:sz w:val="28"/>
      <w:szCs w:val="28"/>
    </w:rPr>
  </w:style>
  <w:style w:type="character" w:styleId="883" w:customStyle="1">
    <w:name w:val="正文文本 2 字符"/>
    <w:link w:val="882"/>
    <w:uiPriority w:val="0"/>
    <w:qFormat/>
    <w:rPr>
      <w:rFonts w:ascii="楷体_GB2312" w:eastAsia="楷体_GB2312"/>
      <w:sz w:val="28"/>
      <w:szCs w:val="28"/>
    </w:rPr>
  </w:style>
  <w:style w:type="paragraph" w:styleId="884" w:customStyle="1">
    <w:name w:val="HTML 预设格式1"/>
    <w:basedOn w:val="752"/>
    <w:link w:val="88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85" w:customStyle="1">
    <w:name w:val="HTML 预设格式 字符"/>
    <w:link w:val="884"/>
    <w:uiPriority w:val="99"/>
    <w:qFormat/>
    <w:rPr>
      <w:rFonts w:ascii="宋体" w:hAnsi="宋体"/>
      <w:sz w:val="24"/>
      <w:szCs w:val="24"/>
    </w:rPr>
  </w:style>
  <w:style w:type="paragraph" w:styleId="886" w:customStyle="1">
    <w:name w:val="普通(网站)1111"/>
    <w:basedOn w:val="752"/>
    <w:uiPriority w:val="99"/>
    <w:qFormat/>
    <w:pPr>
      <w:jc w:val="left"/>
      <w:spacing w:before="100" w:beforeAutospacing="1" w:after="100" w:afterAutospacing="1"/>
      <w:widowControl/>
    </w:pPr>
    <w:rPr>
      <w:rFonts w:ascii="宋体" w:hAnsi="宋体" w:cs="宋体"/>
      <w:sz w:val="24"/>
      <w:szCs w:val="24"/>
    </w:rPr>
  </w:style>
  <w:style w:type="paragraph" w:styleId="887" w:customStyle="1">
    <w:name w:val="索引 11"/>
    <w:basedOn w:val="752"/>
    <w:next w:val="752"/>
    <w:uiPriority w:val="0"/>
    <w:semiHidden/>
    <w:qFormat/>
    <w:pPr>
      <w:spacing w:line="240" w:lineRule="atLeast"/>
    </w:pPr>
    <w:rPr>
      <w:rFonts w:ascii="Times New Roman" w:hAnsi="Times New Roman"/>
      <w:b/>
      <w:bCs/>
      <w:szCs w:val="21"/>
    </w:rPr>
  </w:style>
  <w:style w:type="paragraph" w:styleId="888" w:customStyle="1">
    <w:name w:val="标题11"/>
    <w:basedOn w:val="752"/>
    <w:next w:val="752"/>
    <w:link w:val="889"/>
    <w:uiPriority w:val="10"/>
    <w:qFormat/>
    <w:pPr>
      <w:contextualSpacing/>
      <w:spacing w:before="300" w:after="200"/>
    </w:pPr>
    <w:rPr>
      <w:sz w:val="48"/>
      <w:szCs w:val="48"/>
    </w:rPr>
  </w:style>
  <w:style w:type="character" w:styleId="889" w:customStyle="1">
    <w:name w:val="标题 字符"/>
    <w:link w:val="888"/>
    <w:uiPriority w:val="10"/>
    <w:qFormat/>
    <w:rPr>
      <w:sz w:val="48"/>
      <w:szCs w:val="48"/>
    </w:rPr>
  </w:style>
  <w:style w:type="paragraph" w:styleId="890" w:customStyle="1">
    <w:name w:val="批注主题1"/>
    <w:basedOn w:val="844"/>
    <w:next w:val="844"/>
    <w:link w:val="891"/>
    <w:uiPriority w:val="0"/>
    <w:semiHidden/>
    <w:qFormat/>
    <w:rPr>
      <w:b/>
      <w:bCs/>
    </w:rPr>
  </w:style>
  <w:style w:type="character" w:styleId="891" w:customStyle="1">
    <w:name w:val="批注主题 字符"/>
    <w:link w:val="890"/>
    <w:uiPriority w:val="0"/>
    <w:semiHidden/>
    <w:qFormat/>
    <w:rPr>
      <w:b/>
      <w:bCs/>
      <w:sz w:val="21"/>
      <w:szCs w:val="21"/>
    </w:rPr>
  </w:style>
  <w:style w:type="paragraph" w:styleId="892" w:customStyle="1">
    <w:name w:val="正文首行缩进 211"/>
    <w:basedOn w:val="849"/>
    <w:link w:val="893"/>
    <w:uiPriority w:val="0"/>
    <w:qFormat/>
    <w:pPr>
      <w:ind w:firstLine="420"/>
      <w:spacing w:line="360" w:lineRule="auto"/>
    </w:pPr>
    <w:rPr>
      <w:rFonts w:ascii="宋体" w:hAnsi="宋体" w:eastAsia="宋体"/>
      <w:sz w:val="21"/>
      <w:szCs w:val="20"/>
    </w:rPr>
  </w:style>
  <w:style w:type="character" w:styleId="893" w:customStyle="1">
    <w:name w:val="正文文本首行缩进 2 字符"/>
    <w:link w:val="892"/>
    <w:uiPriority w:val="0"/>
    <w:qFormat/>
    <w:rPr>
      <w:rFonts w:ascii="宋体" w:hAnsi="宋体" w:eastAsia="仿宋_GB2312"/>
      <w:sz w:val="21"/>
      <w:szCs w:val="22"/>
    </w:rPr>
  </w:style>
  <w:style w:type="table" w:styleId="894" w:customStyle="1">
    <w:name w:val="网格型1"/>
    <w:basedOn w:val="826"/>
    <w:uiPriority w:val="0"/>
    <w:qFormat/>
    <w:pPr>
      <w:jc w:val="both"/>
      <w:widowControl w:val="off"/>
    </w:pPr>
    <w:tblPr>
      <w:tblCellMar>
        <w:left w:w="0" w:type="dxa"/>
        <w:top w:w="0" w:type="dxa"/>
        <w:right w:w="0" w:type="dxa"/>
        <w:bottom w:w="0" w:type="dxa"/>
      </w:tblCellMar>
    </w:tblPr>
  </w:style>
  <w:style w:type="character" w:styleId="895" w:customStyle="1">
    <w:name w:val="要点1"/>
    <w:uiPriority w:val="0"/>
    <w:qFormat/>
    <w:rPr>
      <w:b/>
      <w:bCs/>
    </w:rPr>
  </w:style>
  <w:style w:type="character" w:styleId="896" w:customStyle="1">
    <w:name w:val="尾注引用1"/>
    <w:uiPriority w:val="99"/>
    <w:unhideWhenUsed/>
    <w:qFormat/>
    <w:rPr>
      <w:vertAlign w:val="superscript"/>
    </w:rPr>
  </w:style>
  <w:style w:type="character" w:styleId="897" w:customStyle="1">
    <w:name w:val="页码11"/>
    <w:uiPriority w:val="0"/>
    <w:qFormat/>
  </w:style>
  <w:style w:type="character" w:styleId="898" w:customStyle="1">
    <w:name w:val="已访问的超链接1"/>
    <w:uiPriority w:val="0"/>
    <w:qFormat/>
    <w:rPr>
      <w:color w:val="800080"/>
      <w:u w:val="single"/>
    </w:rPr>
  </w:style>
  <w:style w:type="character" w:styleId="899" w:customStyle="1">
    <w:name w:val="超链接1"/>
    <w:uiPriority w:val="0"/>
    <w:qFormat/>
    <w:rPr>
      <w:color w:val="0000ff"/>
      <w:u w:val="single"/>
    </w:rPr>
  </w:style>
  <w:style w:type="character" w:styleId="900" w:customStyle="1">
    <w:name w:val="批注引用1"/>
    <w:uiPriority w:val="0"/>
    <w:semiHidden/>
    <w:qFormat/>
    <w:rPr>
      <w:sz w:val="21"/>
      <w:szCs w:val="21"/>
    </w:rPr>
  </w:style>
  <w:style w:type="character" w:styleId="901" w:customStyle="1">
    <w:name w:val="脚注引用1"/>
    <w:uiPriority w:val="99"/>
    <w:unhideWhenUsed/>
    <w:qFormat/>
    <w:rPr>
      <w:vertAlign w:val="superscript"/>
    </w:rPr>
  </w:style>
  <w:style w:type="character" w:styleId="902" w:customStyle="1">
    <w:name w:val="16"/>
    <w:uiPriority w:val="0"/>
    <w:qFormat/>
    <w:rPr>
      <w:rFonts w:ascii="Calibri" w:hAnsi="Calibri"/>
      <w:sz w:val="21"/>
      <w:szCs w:val="22"/>
      <w:lang w:val="en-US" w:eastAsia="zh-CN" w:bidi="ar-SA"/>
    </w:rPr>
  </w:style>
  <w:style w:type="paragraph" w:styleId="903" w:customStyle="1">
    <w:name w:val="正文首行缩进 21"/>
    <w:basedOn w:val="904"/>
    <w:next w:val="752"/>
    <w:uiPriority w:val="0"/>
    <w:qFormat/>
    <w:pPr>
      <w:ind w:firstLine="420"/>
      <w:spacing w:line="360" w:lineRule="auto"/>
    </w:pPr>
    <w:rPr>
      <w:rFonts w:ascii="宋体" w:hAnsi="宋体" w:eastAsia="宋体"/>
      <w:sz w:val="21"/>
      <w:szCs w:val="20"/>
    </w:rPr>
  </w:style>
  <w:style w:type="paragraph" w:styleId="904" w:customStyle="1">
    <w:name w:val="正文文本缩进1"/>
    <w:basedOn w:val="752"/>
    <w:next w:val="905"/>
    <w:uiPriority w:val="0"/>
    <w:qFormat/>
    <w:pPr>
      <w:ind w:firstLine="645"/>
    </w:pPr>
    <w:rPr>
      <w:rFonts w:ascii="楷体_GB2312" w:eastAsia="楷体_GB2312"/>
      <w:sz w:val="32"/>
      <w:szCs w:val="32"/>
    </w:rPr>
  </w:style>
  <w:style w:type="paragraph" w:styleId="905" w:customStyle="1">
    <w:name w:val="寄信人地址1"/>
    <w:basedOn w:val="752"/>
    <w:uiPriority w:val="0"/>
    <w:qFormat/>
    <w:rPr>
      <w:rFonts w:ascii="Arial" w:hAnsi="Arial"/>
    </w:rPr>
  </w:style>
  <w:style w:type="paragraph" w:styleId="906" w:customStyle="1">
    <w:name w:val="标题 41"/>
    <w:basedOn w:val="907"/>
    <w:next w:val="75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07" w:customStyle="1">
    <w:name w:val="Normal_20"/>
    <w:next w:val="908"/>
    <w:uiPriority w:val="0"/>
    <w:qFormat/>
    <w:rPr>
      <w:rFonts w:hint="default" w:ascii="黑体" w:hAnsi="黑体" w:eastAsia="黑体" w:cs="黑体"/>
      <w:b/>
      <w:sz w:val="32"/>
      <w:szCs w:val="24"/>
      <w:lang w:val="en-US" w:eastAsia="zh-CN" w:bidi="ar-SA"/>
    </w:rPr>
  </w:style>
  <w:style w:type="paragraph" w:styleId="908" w:customStyle="1">
    <w:name w:val="Body Text First Indent_2"/>
    <w:basedOn w:val="907"/>
    <w:uiPriority w:val="0"/>
    <w:qFormat/>
    <w:pPr>
      <w:ind w:firstLine="100"/>
      <w:spacing w:after="120"/>
    </w:pPr>
  </w:style>
  <w:style w:type="paragraph" w:styleId="909" w:customStyle="1">
    <w:name w:val="脚注文本1"/>
    <w:basedOn w:val="752"/>
    <w:uiPriority w:val="0"/>
    <w:qFormat/>
    <w:pPr>
      <w:jc w:val="left"/>
    </w:pPr>
    <w:rPr>
      <w:rFonts w:eastAsia="Times New Roman"/>
      <w:sz w:val="18"/>
      <w:szCs w:val="24"/>
    </w:rPr>
  </w:style>
  <w:style w:type="table" w:styleId="910" w:customStyle="1">
    <w:name w:val="无格式表格 11"/>
    <w:basedOn w:val="826"/>
    <w:uiPriority w:val="59"/>
    <w:qFormat/>
    <w:tblPr>
      <w:tblCellMar>
        <w:left w:w="0" w:type="dxa"/>
        <w:top w:w="0" w:type="dxa"/>
        <w:right w:w="0" w:type="dxa"/>
        <w:bottom w:w="0" w:type="dxa"/>
      </w:tblCellMar>
    </w:tblPr>
  </w:style>
  <w:style w:type="table" w:styleId="911" w:customStyle="1">
    <w:name w:val="无格式表格 21"/>
    <w:basedOn w:val="826"/>
    <w:uiPriority w:val="59"/>
    <w:qFormat/>
    <w:tblPr>
      <w:tblCellMar>
        <w:left w:w="0" w:type="dxa"/>
        <w:top w:w="0" w:type="dxa"/>
        <w:right w:w="0" w:type="dxa"/>
        <w:bottom w:w="0" w:type="dxa"/>
      </w:tblCellMar>
    </w:tblPr>
  </w:style>
  <w:style w:type="table" w:styleId="912" w:customStyle="1">
    <w:name w:val="无格式表格 31"/>
    <w:basedOn w:val="826"/>
    <w:uiPriority w:val="99"/>
    <w:qFormat/>
    <w:tblPr>
      <w:tblCellMar>
        <w:left w:w="0" w:type="dxa"/>
        <w:top w:w="0" w:type="dxa"/>
        <w:right w:w="0" w:type="dxa"/>
        <w:bottom w:w="0" w:type="dxa"/>
      </w:tblCellMar>
    </w:tblPr>
  </w:style>
  <w:style w:type="table" w:styleId="913" w:customStyle="1">
    <w:name w:val="无格式表格 41"/>
    <w:basedOn w:val="826"/>
    <w:uiPriority w:val="99"/>
    <w:qFormat/>
    <w:tblPr>
      <w:tblCellMar>
        <w:left w:w="0" w:type="dxa"/>
        <w:top w:w="0" w:type="dxa"/>
        <w:right w:w="0" w:type="dxa"/>
        <w:bottom w:w="0" w:type="dxa"/>
      </w:tblCellMar>
    </w:tblPr>
  </w:style>
  <w:style w:type="table" w:styleId="914" w:customStyle="1">
    <w:name w:val="无格式表格 51"/>
    <w:basedOn w:val="826"/>
    <w:uiPriority w:val="99"/>
    <w:qFormat/>
    <w:tblPr>
      <w:tblCellMar>
        <w:left w:w="0" w:type="dxa"/>
        <w:top w:w="0" w:type="dxa"/>
        <w:right w:w="0" w:type="dxa"/>
        <w:bottom w:w="0" w:type="dxa"/>
      </w:tblCellMar>
    </w:tblPr>
  </w:style>
  <w:style w:type="table" w:styleId="915" w:customStyle="1">
    <w:name w:val="网格表 1 浅色1"/>
    <w:basedOn w:val="826"/>
    <w:uiPriority w:val="99"/>
    <w:qFormat/>
    <w:tblPr>
      <w:tblCellMar>
        <w:left w:w="0" w:type="dxa"/>
        <w:top w:w="0" w:type="dxa"/>
        <w:right w:w="0" w:type="dxa"/>
        <w:bottom w:w="0" w:type="dxa"/>
      </w:tblCellMar>
    </w:tblPr>
  </w:style>
  <w:style w:type="table" w:styleId="916" w:customStyle="1">
    <w:name w:val="网格表 21"/>
    <w:basedOn w:val="826"/>
    <w:uiPriority w:val="99"/>
    <w:qFormat/>
    <w:tblPr>
      <w:tblCellMar>
        <w:left w:w="0" w:type="dxa"/>
        <w:top w:w="0" w:type="dxa"/>
        <w:right w:w="0" w:type="dxa"/>
        <w:bottom w:w="0" w:type="dxa"/>
      </w:tblCellMar>
    </w:tblPr>
  </w:style>
  <w:style w:type="table" w:styleId="917" w:customStyle="1">
    <w:name w:val="网格表 31"/>
    <w:basedOn w:val="826"/>
    <w:uiPriority w:val="99"/>
    <w:qFormat/>
    <w:tblPr>
      <w:tblCellMar>
        <w:left w:w="0" w:type="dxa"/>
        <w:top w:w="0" w:type="dxa"/>
        <w:right w:w="0" w:type="dxa"/>
        <w:bottom w:w="0" w:type="dxa"/>
      </w:tblCellMar>
    </w:tblPr>
  </w:style>
  <w:style w:type="table" w:styleId="918" w:customStyle="1">
    <w:name w:val="网格表 41"/>
    <w:basedOn w:val="826"/>
    <w:uiPriority w:val="59"/>
    <w:qFormat/>
    <w:tblPr>
      <w:tblCellMar>
        <w:left w:w="0" w:type="dxa"/>
        <w:top w:w="0" w:type="dxa"/>
        <w:right w:w="0" w:type="dxa"/>
        <w:bottom w:w="0" w:type="dxa"/>
      </w:tblCellMar>
    </w:tblPr>
  </w:style>
  <w:style w:type="table" w:styleId="919" w:customStyle="1">
    <w:name w:val="网格表 5 深色1"/>
    <w:basedOn w:val="826"/>
    <w:uiPriority w:val="99"/>
    <w:qFormat/>
    <w:tblPr>
      <w:tblCellMar>
        <w:left w:w="0" w:type="dxa"/>
        <w:top w:w="0" w:type="dxa"/>
        <w:right w:w="0" w:type="dxa"/>
        <w:bottom w:w="0" w:type="dxa"/>
      </w:tblCellMar>
    </w:tblPr>
  </w:style>
  <w:style w:type="table" w:styleId="920" w:customStyle="1">
    <w:name w:val="网格表 6 彩色1"/>
    <w:basedOn w:val="826"/>
    <w:uiPriority w:val="99"/>
    <w:qFormat/>
    <w:tblPr>
      <w:tblCellMar>
        <w:left w:w="0" w:type="dxa"/>
        <w:top w:w="0" w:type="dxa"/>
        <w:right w:w="0" w:type="dxa"/>
        <w:bottom w:w="0" w:type="dxa"/>
      </w:tblCellMar>
    </w:tblPr>
  </w:style>
  <w:style w:type="table" w:styleId="921" w:customStyle="1">
    <w:name w:val="网格表 7 彩色1"/>
    <w:basedOn w:val="826"/>
    <w:uiPriority w:val="99"/>
    <w:qFormat/>
    <w:tblPr>
      <w:tblCellMar>
        <w:left w:w="0" w:type="dxa"/>
        <w:top w:w="0" w:type="dxa"/>
        <w:right w:w="0" w:type="dxa"/>
        <w:bottom w:w="0" w:type="dxa"/>
      </w:tblCellMar>
    </w:tblPr>
  </w:style>
  <w:style w:type="table" w:styleId="922" w:customStyle="1">
    <w:name w:val="清单表 1 浅色1"/>
    <w:basedOn w:val="826"/>
    <w:uiPriority w:val="99"/>
    <w:qFormat/>
    <w:tblPr>
      <w:tblCellMar>
        <w:left w:w="0" w:type="dxa"/>
        <w:top w:w="0" w:type="dxa"/>
        <w:right w:w="0" w:type="dxa"/>
        <w:bottom w:w="0" w:type="dxa"/>
      </w:tblCellMar>
    </w:tblPr>
  </w:style>
  <w:style w:type="table" w:styleId="923" w:customStyle="1">
    <w:name w:val="清单表 21"/>
    <w:basedOn w:val="826"/>
    <w:uiPriority w:val="99"/>
    <w:qFormat/>
    <w:tblPr>
      <w:tblCellMar>
        <w:left w:w="0" w:type="dxa"/>
        <w:top w:w="0" w:type="dxa"/>
        <w:right w:w="0" w:type="dxa"/>
        <w:bottom w:w="0" w:type="dxa"/>
      </w:tblCellMar>
    </w:tblPr>
  </w:style>
  <w:style w:type="table" w:styleId="924" w:customStyle="1">
    <w:name w:val="清单表 31"/>
    <w:basedOn w:val="826"/>
    <w:uiPriority w:val="99"/>
    <w:qFormat/>
    <w:tblPr>
      <w:tblCellMar>
        <w:left w:w="0" w:type="dxa"/>
        <w:top w:w="0" w:type="dxa"/>
        <w:right w:w="0" w:type="dxa"/>
        <w:bottom w:w="0" w:type="dxa"/>
      </w:tblCellMar>
    </w:tblPr>
  </w:style>
  <w:style w:type="table" w:styleId="925" w:customStyle="1">
    <w:name w:val="清单表 41"/>
    <w:basedOn w:val="826"/>
    <w:uiPriority w:val="99"/>
    <w:qFormat/>
    <w:tblPr>
      <w:tblCellMar>
        <w:left w:w="0" w:type="dxa"/>
        <w:top w:w="0" w:type="dxa"/>
        <w:right w:w="0" w:type="dxa"/>
        <w:bottom w:w="0" w:type="dxa"/>
      </w:tblCellMar>
    </w:tblPr>
  </w:style>
  <w:style w:type="table" w:styleId="926" w:customStyle="1">
    <w:name w:val="清单表 5 深色1"/>
    <w:basedOn w:val="826"/>
    <w:uiPriority w:val="99"/>
    <w:qFormat/>
    <w:tblPr>
      <w:tblCellMar>
        <w:left w:w="0" w:type="dxa"/>
        <w:top w:w="0" w:type="dxa"/>
        <w:right w:w="0" w:type="dxa"/>
        <w:bottom w:w="0" w:type="dxa"/>
      </w:tblCellMar>
    </w:tblPr>
  </w:style>
  <w:style w:type="table" w:styleId="927" w:customStyle="1">
    <w:name w:val="清单表 6 彩色1"/>
    <w:basedOn w:val="826"/>
    <w:uiPriority w:val="99"/>
    <w:qFormat/>
    <w:tblPr>
      <w:tblCellMar>
        <w:left w:w="0" w:type="dxa"/>
        <w:top w:w="0" w:type="dxa"/>
        <w:right w:w="0" w:type="dxa"/>
        <w:bottom w:w="0" w:type="dxa"/>
      </w:tblCellMar>
    </w:tblPr>
  </w:style>
  <w:style w:type="table" w:styleId="928" w:customStyle="1">
    <w:name w:val="清单表 7 彩色1"/>
    <w:basedOn w:val="826"/>
    <w:uiPriority w:val="99"/>
    <w:qFormat/>
    <w:tblPr>
      <w:tblCellMar>
        <w:left w:w="0" w:type="dxa"/>
        <w:top w:w="0" w:type="dxa"/>
        <w:right w:w="0" w:type="dxa"/>
        <w:bottom w:w="0" w:type="dxa"/>
      </w:tblCellMar>
    </w:tblPr>
  </w:style>
  <w:style w:type="paragraph" w:styleId="929" w:customStyle="1">
    <w:name w:val="TOC 标题1"/>
    <w:uiPriority w:val="39"/>
    <w:unhideWhenUsed/>
    <w:qFormat/>
    <w:rPr>
      <w:rFonts w:hint="default" w:ascii="Times New Roman" w:hAnsi="Times New Roman" w:eastAsia="宋体" w:cs="Times New Roman"/>
      <w:lang w:val="en-US" w:eastAsia="zh-CN" w:bidi="ar-SA"/>
    </w:rPr>
  </w:style>
  <w:style w:type="paragraph" w:styleId="930" w:customStyle="1">
    <w:name w:val="TOC 标题111"/>
    <w:uiPriority w:val="39"/>
    <w:unhideWhenUsed/>
    <w:qFormat/>
    <w:rPr>
      <w:rFonts w:hint="default" w:ascii="Times New Roman" w:hAnsi="Times New Roman" w:eastAsia="宋体" w:cs="Times New Roman"/>
      <w:lang w:val="en-US" w:eastAsia="zh-CN" w:bidi="ar-SA"/>
    </w:rPr>
  </w:style>
  <w:style w:type="paragraph" w:styleId="931" w:customStyle="1">
    <w:name w:val="Normal_21"/>
    <w:basedOn w:val="932"/>
    <w:next w:val="932"/>
    <w:uiPriority w:val="0"/>
    <w:qFormat/>
    <w:rPr>
      <w:rFonts w:ascii="Times New Roman" w:hAnsi="Times New Roman"/>
      <w:szCs w:val="24"/>
    </w:rPr>
  </w:style>
  <w:style w:type="paragraph" w:styleId="93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33" w:customStyle="1">
    <w:name w:val="正文_17"/>
    <w:next w:val="9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4" w:customStyle="1">
    <w:name w:val="标题 4_1"/>
    <w:basedOn w:val="933"/>
    <w:next w:val="93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5" w:customStyle="1">
    <w:name w:val="Heading 1 Char"/>
    <w:uiPriority w:val="9"/>
    <w:qFormat/>
    <w:rPr>
      <w:rFonts w:ascii="Arial" w:hAnsi="Arial" w:eastAsia="Arial" w:cs="Arial"/>
      <w:sz w:val="40"/>
      <w:szCs w:val="40"/>
    </w:rPr>
  </w:style>
  <w:style w:type="character" w:styleId="936" w:customStyle="1">
    <w:name w:val="Heading 2 Char"/>
    <w:uiPriority w:val="9"/>
    <w:qFormat/>
    <w:rPr>
      <w:rFonts w:ascii="Arial" w:hAnsi="Arial" w:eastAsia="Arial" w:cs="Arial"/>
      <w:sz w:val="34"/>
    </w:rPr>
  </w:style>
  <w:style w:type="character" w:styleId="937" w:customStyle="1">
    <w:name w:val="Heading 3 Char"/>
    <w:uiPriority w:val="9"/>
    <w:qFormat/>
    <w:rPr>
      <w:rFonts w:ascii="Arial" w:hAnsi="Arial" w:eastAsia="Arial" w:cs="Arial"/>
      <w:sz w:val="30"/>
      <w:szCs w:val="30"/>
    </w:rPr>
  </w:style>
  <w:style w:type="character" w:styleId="938" w:customStyle="1">
    <w:name w:val="Heading 4 Char"/>
    <w:uiPriority w:val="9"/>
    <w:qFormat/>
    <w:rPr>
      <w:rFonts w:ascii="Arial" w:hAnsi="Arial" w:eastAsia="Arial" w:cs="Arial"/>
      <w:b/>
      <w:bCs/>
      <w:sz w:val="26"/>
      <w:szCs w:val="26"/>
    </w:rPr>
  </w:style>
  <w:style w:type="character" w:styleId="939" w:customStyle="1">
    <w:name w:val="Heading 5 Char"/>
    <w:uiPriority w:val="9"/>
    <w:qFormat/>
    <w:rPr>
      <w:rFonts w:ascii="Arial" w:hAnsi="Arial" w:eastAsia="Arial" w:cs="Arial"/>
      <w:b/>
      <w:bCs/>
      <w:sz w:val="24"/>
      <w:szCs w:val="24"/>
    </w:rPr>
  </w:style>
  <w:style w:type="character" w:styleId="940" w:customStyle="1">
    <w:name w:val="Heading 6 Char"/>
    <w:uiPriority w:val="9"/>
    <w:qFormat/>
    <w:rPr>
      <w:rFonts w:ascii="Arial" w:hAnsi="Arial" w:eastAsia="Arial" w:cs="Arial"/>
      <w:b/>
      <w:bCs/>
      <w:sz w:val="22"/>
      <w:szCs w:val="22"/>
    </w:rPr>
  </w:style>
  <w:style w:type="character" w:styleId="941" w:customStyle="1">
    <w:name w:val="Heading 7 Char"/>
    <w:uiPriority w:val="9"/>
    <w:qFormat/>
    <w:rPr>
      <w:rFonts w:ascii="Arial" w:hAnsi="Arial" w:eastAsia="Arial" w:cs="Arial"/>
      <w:b/>
      <w:bCs/>
      <w:i/>
      <w:iCs/>
      <w:sz w:val="22"/>
      <w:szCs w:val="22"/>
    </w:rPr>
  </w:style>
  <w:style w:type="character" w:styleId="942" w:customStyle="1">
    <w:name w:val="Heading 8 Char"/>
    <w:uiPriority w:val="9"/>
    <w:qFormat/>
    <w:rPr>
      <w:rFonts w:ascii="Arial" w:hAnsi="Arial" w:eastAsia="Arial" w:cs="Arial"/>
      <w:i/>
      <w:iCs/>
      <w:sz w:val="22"/>
      <w:szCs w:val="22"/>
    </w:rPr>
  </w:style>
  <w:style w:type="character" w:styleId="943" w:customStyle="1">
    <w:name w:val="Heading 9 Char"/>
    <w:uiPriority w:val="9"/>
    <w:qFormat/>
    <w:rPr>
      <w:rFonts w:ascii="Arial" w:hAnsi="Arial" w:eastAsia="Arial" w:cs="Arial"/>
      <w:i/>
      <w:iCs/>
      <w:sz w:val="21"/>
      <w:szCs w:val="21"/>
    </w:rPr>
  </w:style>
  <w:style w:type="character" w:styleId="944" w:customStyle="1">
    <w:name w:val="Title Char"/>
    <w:uiPriority w:val="10"/>
    <w:qFormat/>
    <w:rPr>
      <w:sz w:val="48"/>
      <w:szCs w:val="48"/>
    </w:rPr>
  </w:style>
  <w:style w:type="character" w:styleId="945" w:customStyle="1">
    <w:name w:val="Subtitle Char"/>
    <w:uiPriority w:val="11"/>
    <w:qFormat/>
    <w:rPr>
      <w:sz w:val="24"/>
      <w:szCs w:val="24"/>
    </w:rPr>
  </w:style>
  <w:style w:type="character" w:styleId="946" w:customStyle="1">
    <w:name w:val="Quote Char"/>
    <w:uiPriority w:val="29"/>
    <w:qFormat/>
    <w:rPr>
      <w:i/>
    </w:rPr>
  </w:style>
  <w:style w:type="character" w:styleId="947" w:customStyle="1">
    <w:name w:val="Intense Quote Char"/>
    <w:uiPriority w:val="30"/>
    <w:qFormat/>
    <w:rPr>
      <w:i/>
    </w:rPr>
  </w:style>
  <w:style w:type="character" w:styleId="948" w:customStyle="1">
    <w:name w:val="Caption Char"/>
    <w:uiPriority w:val="99"/>
    <w:qFormat/>
  </w:style>
  <w:style w:type="character" w:styleId="949" w:customStyle="1">
    <w:name w:val="Footnote Text Char"/>
    <w:uiPriority w:val="99"/>
    <w:qFormat/>
    <w:rPr>
      <w:sz w:val="18"/>
    </w:rPr>
  </w:style>
  <w:style w:type="character" w:styleId="950" w:customStyle="1">
    <w:name w:val="Endnote Text Char"/>
    <w:uiPriority w:val="99"/>
    <w:qFormat/>
    <w:rPr>
      <w:sz w:val="20"/>
    </w:rPr>
  </w:style>
  <w:style w:type="paragraph" w:styleId="951" w:customStyle="1">
    <w:name w:val="列表段落1"/>
    <w:basedOn w:val="752"/>
    <w:uiPriority w:val="0"/>
    <w:qFormat/>
    <w:pPr>
      <w:contextualSpacing/>
      <w:ind w:left="720"/>
    </w:pPr>
  </w:style>
  <w:style w:type="paragraph" w:styleId="952" w:customStyle="1">
    <w:name w:val="无间隔1"/>
    <w:uiPriority w:val="99"/>
    <w:qFormat/>
    <w:rPr>
      <w:rFonts w:hint="default" w:ascii="Times New Roman" w:hAnsi="Times New Roman" w:eastAsia="宋体" w:cs="Times New Roman"/>
      <w:lang w:val="en-US" w:eastAsia="zh-CN" w:bidi="ar-SA"/>
    </w:rPr>
  </w:style>
  <w:style w:type="paragraph" w:styleId="953" w:customStyle="1">
    <w:name w:val="引用1"/>
    <w:basedOn w:val="752"/>
    <w:next w:val="752"/>
    <w:link w:val="954"/>
    <w:uiPriority w:val="29"/>
    <w:qFormat/>
    <w:pPr>
      <w:ind w:left="720" w:right="720"/>
    </w:pPr>
    <w:rPr>
      <w:i/>
    </w:rPr>
  </w:style>
  <w:style w:type="character" w:styleId="954" w:customStyle="1">
    <w:name w:val="引用 字符"/>
    <w:link w:val="953"/>
    <w:uiPriority w:val="29"/>
    <w:qFormat/>
    <w:rPr>
      <w:i/>
    </w:rPr>
  </w:style>
  <w:style w:type="paragraph" w:styleId="955" w:customStyle="1">
    <w:name w:val="明显引用1"/>
    <w:basedOn w:val="752"/>
    <w:next w:val="752"/>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字符"/>
    <w:link w:val="955"/>
    <w:uiPriority w:val="30"/>
    <w:qFormat/>
    <w:rPr>
      <w:i/>
    </w:rPr>
  </w:style>
  <w:style w:type="character" w:styleId="957" w:customStyle="1">
    <w:name w:val="Header Char"/>
    <w:uiPriority w:val="99"/>
    <w:qFormat/>
  </w:style>
  <w:style w:type="character" w:styleId="958" w:customStyle="1">
    <w:name w:val="Footer Char"/>
    <w:uiPriority w:val="99"/>
    <w:qFormat/>
  </w:style>
  <w:style w:type="table" w:styleId="959" w:customStyle="1">
    <w:name w:val="Table Grid Light"/>
    <w:basedOn w:val="826"/>
    <w:uiPriority w:val="59"/>
    <w:qFormat/>
    <w:tblPr>
      <w:tblCellMar>
        <w:left w:w="0" w:type="dxa"/>
        <w:top w:w="0" w:type="dxa"/>
        <w:right w:w="0" w:type="dxa"/>
        <w:bottom w:w="0" w:type="dxa"/>
      </w:tblCellMar>
    </w:tblPr>
  </w:style>
  <w:style w:type="table" w:styleId="960" w:customStyle="1">
    <w:name w:val="Grid Table 1 Light - Accent 1"/>
    <w:basedOn w:val="826"/>
    <w:uiPriority w:val="99"/>
    <w:qFormat/>
    <w:tblPr>
      <w:tblCellMar>
        <w:left w:w="0" w:type="dxa"/>
        <w:top w:w="0" w:type="dxa"/>
        <w:right w:w="0" w:type="dxa"/>
        <w:bottom w:w="0" w:type="dxa"/>
      </w:tblCellMar>
    </w:tblPr>
  </w:style>
  <w:style w:type="table" w:styleId="961" w:customStyle="1">
    <w:name w:val="Grid Table 1 Light - Accent 2"/>
    <w:basedOn w:val="826"/>
    <w:uiPriority w:val="99"/>
    <w:qFormat/>
    <w:tblPr>
      <w:tblCellMar>
        <w:left w:w="0" w:type="dxa"/>
        <w:top w:w="0" w:type="dxa"/>
        <w:right w:w="0" w:type="dxa"/>
        <w:bottom w:w="0" w:type="dxa"/>
      </w:tblCellMar>
    </w:tblPr>
  </w:style>
  <w:style w:type="table" w:styleId="962" w:customStyle="1">
    <w:name w:val="Grid Table 1 Light - Accent 3"/>
    <w:basedOn w:val="826"/>
    <w:uiPriority w:val="99"/>
    <w:qFormat/>
    <w:tblPr>
      <w:tblCellMar>
        <w:left w:w="0" w:type="dxa"/>
        <w:top w:w="0" w:type="dxa"/>
        <w:right w:w="0" w:type="dxa"/>
        <w:bottom w:w="0" w:type="dxa"/>
      </w:tblCellMar>
    </w:tblPr>
  </w:style>
  <w:style w:type="table" w:styleId="963" w:customStyle="1">
    <w:name w:val="Grid Table 1 Light - Accent 4"/>
    <w:basedOn w:val="826"/>
    <w:uiPriority w:val="99"/>
    <w:qFormat/>
    <w:tblPr>
      <w:tblCellMar>
        <w:left w:w="0" w:type="dxa"/>
        <w:top w:w="0" w:type="dxa"/>
        <w:right w:w="0" w:type="dxa"/>
        <w:bottom w:w="0" w:type="dxa"/>
      </w:tblCellMar>
    </w:tblPr>
  </w:style>
  <w:style w:type="table" w:styleId="964" w:customStyle="1">
    <w:name w:val="Grid Table 1 Light - Accent 5"/>
    <w:basedOn w:val="826"/>
    <w:uiPriority w:val="99"/>
    <w:qFormat/>
    <w:tblPr>
      <w:tblCellMar>
        <w:left w:w="0" w:type="dxa"/>
        <w:top w:w="0" w:type="dxa"/>
        <w:right w:w="0" w:type="dxa"/>
        <w:bottom w:w="0" w:type="dxa"/>
      </w:tblCellMar>
    </w:tblPr>
  </w:style>
  <w:style w:type="table" w:styleId="965" w:customStyle="1">
    <w:name w:val="Grid Table 1 Light - Accent 6"/>
    <w:basedOn w:val="826"/>
    <w:uiPriority w:val="99"/>
    <w:qFormat/>
    <w:tblPr>
      <w:tblCellMar>
        <w:left w:w="0" w:type="dxa"/>
        <w:top w:w="0" w:type="dxa"/>
        <w:right w:w="0" w:type="dxa"/>
        <w:bottom w:w="0" w:type="dxa"/>
      </w:tblCellMar>
    </w:tblPr>
  </w:style>
  <w:style w:type="table" w:styleId="966" w:customStyle="1">
    <w:name w:val="Grid Table 2 - Accent 1"/>
    <w:basedOn w:val="826"/>
    <w:uiPriority w:val="99"/>
    <w:qFormat/>
    <w:tblPr>
      <w:tblCellMar>
        <w:left w:w="0" w:type="dxa"/>
        <w:top w:w="0" w:type="dxa"/>
        <w:right w:w="0" w:type="dxa"/>
        <w:bottom w:w="0" w:type="dxa"/>
      </w:tblCellMar>
    </w:tblPr>
  </w:style>
  <w:style w:type="table" w:styleId="967" w:customStyle="1">
    <w:name w:val="Grid Table 2 - Accent 2"/>
    <w:basedOn w:val="826"/>
    <w:uiPriority w:val="99"/>
    <w:qFormat/>
    <w:tblPr>
      <w:tblCellMar>
        <w:left w:w="0" w:type="dxa"/>
        <w:top w:w="0" w:type="dxa"/>
        <w:right w:w="0" w:type="dxa"/>
        <w:bottom w:w="0" w:type="dxa"/>
      </w:tblCellMar>
    </w:tblPr>
  </w:style>
  <w:style w:type="table" w:styleId="968" w:customStyle="1">
    <w:name w:val="Grid Table 2 - Accent 3"/>
    <w:basedOn w:val="826"/>
    <w:uiPriority w:val="99"/>
    <w:qFormat/>
    <w:tblPr>
      <w:tblCellMar>
        <w:left w:w="0" w:type="dxa"/>
        <w:top w:w="0" w:type="dxa"/>
        <w:right w:w="0" w:type="dxa"/>
        <w:bottom w:w="0" w:type="dxa"/>
      </w:tblCellMar>
    </w:tblPr>
  </w:style>
  <w:style w:type="table" w:styleId="969" w:customStyle="1">
    <w:name w:val="Grid Table 2 - Accent 4"/>
    <w:basedOn w:val="826"/>
    <w:uiPriority w:val="99"/>
    <w:qFormat/>
    <w:tblPr>
      <w:tblCellMar>
        <w:left w:w="0" w:type="dxa"/>
        <w:top w:w="0" w:type="dxa"/>
        <w:right w:w="0" w:type="dxa"/>
        <w:bottom w:w="0" w:type="dxa"/>
      </w:tblCellMar>
    </w:tblPr>
  </w:style>
  <w:style w:type="table" w:styleId="970" w:customStyle="1">
    <w:name w:val="Grid Table 2 - Accent 5"/>
    <w:basedOn w:val="826"/>
    <w:uiPriority w:val="99"/>
    <w:qFormat/>
    <w:tblPr>
      <w:tblCellMar>
        <w:left w:w="0" w:type="dxa"/>
        <w:top w:w="0" w:type="dxa"/>
        <w:right w:w="0" w:type="dxa"/>
        <w:bottom w:w="0" w:type="dxa"/>
      </w:tblCellMar>
    </w:tblPr>
  </w:style>
  <w:style w:type="table" w:styleId="971" w:customStyle="1">
    <w:name w:val="Grid Table 2 - Accent 6"/>
    <w:basedOn w:val="826"/>
    <w:uiPriority w:val="99"/>
    <w:qFormat/>
    <w:tblPr>
      <w:tblCellMar>
        <w:left w:w="0" w:type="dxa"/>
        <w:top w:w="0" w:type="dxa"/>
        <w:right w:w="0" w:type="dxa"/>
        <w:bottom w:w="0" w:type="dxa"/>
      </w:tblCellMar>
    </w:tblPr>
  </w:style>
  <w:style w:type="table" w:styleId="972" w:customStyle="1">
    <w:name w:val="Grid Table 3 - Accent 1"/>
    <w:basedOn w:val="826"/>
    <w:uiPriority w:val="99"/>
    <w:qFormat/>
    <w:tblPr>
      <w:tblCellMar>
        <w:left w:w="0" w:type="dxa"/>
        <w:top w:w="0" w:type="dxa"/>
        <w:right w:w="0" w:type="dxa"/>
        <w:bottom w:w="0" w:type="dxa"/>
      </w:tblCellMar>
    </w:tblPr>
  </w:style>
  <w:style w:type="table" w:styleId="973" w:customStyle="1">
    <w:name w:val="Grid Table 3 - Accent 2"/>
    <w:basedOn w:val="826"/>
    <w:uiPriority w:val="99"/>
    <w:qFormat/>
    <w:tblPr>
      <w:tblCellMar>
        <w:left w:w="0" w:type="dxa"/>
        <w:top w:w="0" w:type="dxa"/>
        <w:right w:w="0" w:type="dxa"/>
        <w:bottom w:w="0" w:type="dxa"/>
      </w:tblCellMar>
    </w:tblPr>
  </w:style>
  <w:style w:type="table" w:styleId="974" w:customStyle="1">
    <w:name w:val="Grid Table 3 - Accent 3"/>
    <w:basedOn w:val="826"/>
    <w:uiPriority w:val="99"/>
    <w:qFormat/>
    <w:tblPr>
      <w:tblCellMar>
        <w:left w:w="0" w:type="dxa"/>
        <w:top w:w="0" w:type="dxa"/>
        <w:right w:w="0" w:type="dxa"/>
        <w:bottom w:w="0" w:type="dxa"/>
      </w:tblCellMar>
    </w:tblPr>
  </w:style>
  <w:style w:type="table" w:styleId="975" w:customStyle="1">
    <w:name w:val="Grid Table 3 - Accent 4"/>
    <w:basedOn w:val="826"/>
    <w:uiPriority w:val="99"/>
    <w:qFormat/>
    <w:tblPr>
      <w:tblCellMar>
        <w:left w:w="0" w:type="dxa"/>
        <w:top w:w="0" w:type="dxa"/>
        <w:right w:w="0" w:type="dxa"/>
        <w:bottom w:w="0" w:type="dxa"/>
      </w:tblCellMar>
    </w:tblPr>
  </w:style>
  <w:style w:type="table" w:styleId="976" w:customStyle="1">
    <w:name w:val="Grid Table 3 - Accent 5"/>
    <w:basedOn w:val="826"/>
    <w:uiPriority w:val="99"/>
    <w:qFormat/>
    <w:tblPr>
      <w:tblCellMar>
        <w:left w:w="0" w:type="dxa"/>
        <w:top w:w="0" w:type="dxa"/>
        <w:right w:w="0" w:type="dxa"/>
        <w:bottom w:w="0" w:type="dxa"/>
      </w:tblCellMar>
    </w:tblPr>
  </w:style>
  <w:style w:type="table" w:styleId="977" w:customStyle="1">
    <w:name w:val="Grid Table 3 - Accent 6"/>
    <w:basedOn w:val="826"/>
    <w:uiPriority w:val="99"/>
    <w:qFormat/>
    <w:tblPr>
      <w:tblCellMar>
        <w:left w:w="0" w:type="dxa"/>
        <w:top w:w="0" w:type="dxa"/>
        <w:right w:w="0" w:type="dxa"/>
        <w:bottom w:w="0" w:type="dxa"/>
      </w:tblCellMar>
    </w:tblPr>
  </w:style>
  <w:style w:type="table" w:styleId="978" w:customStyle="1">
    <w:name w:val="Grid Table 4 - Accent 1"/>
    <w:basedOn w:val="826"/>
    <w:uiPriority w:val="59"/>
    <w:qFormat/>
    <w:tblPr>
      <w:tblCellMar>
        <w:left w:w="0" w:type="dxa"/>
        <w:top w:w="0" w:type="dxa"/>
        <w:right w:w="0" w:type="dxa"/>
        <w:bottom w:w="0" w:type="dxa"/>
      </w:tblCellMar>
    </w:tblPr>
  </w:style>
  <w:style w:type="table" w:styleId="979" w:customStyle="1">
    <w:name w:val="Grid Table 4 - Accent 2"/>
    <w:basedOn w:val="826"/>
    <w:uiPriority w:val="59"/>
    <w:qFormat/>
    <w:tblPr>
      <w:tblCellMar>
        <w:left w:w="0" w:type="dxa"/>
        <w:top w:w="0" w:type="dxa"/>
        <w:right w:w="0" w:type="dxa"/>
        <w:bottom w:w="0" w:type="dxa"/>
      </w:tblCellMar>
    </w:tblPr>
  </w:style>
  <w:style w:type="table" w:styleId="980" w:customStyle="1">
    <w:name w:val="Grid Table 4 - Accent 3"/>
    <w:basedOn w:val="826"/>
    <w:uiPriority w:val="59"/>
    <w:qFormat/>
    <w:tblPr>
      <w:tblCellMar>
        <w:left w:w="0" w:type="dxa"/>
        <w:top w:w="0" w:type="dxa"/>
        <w:right w:w="0" w:type="dxa"/>
        <w:bottom w:w="0" w:type="dxa"/>
      </w:tblCellMar>
    </w:tblPr>
  </w:style>
  <w:style w:type="table" w:styleId="981" w:customStyle="1">
    <w:name w:val="Grid Table 4 - Accent 4"/>
    <w:basedOn w:val="826"/>
    <w:uiPriority w:val="59"/>
    <w:qFormat/>
    <w:tblPr>
      <w:tblCellMar>
        <w:left w:w="0" w:type="dxa"/>
        <w:top w:w="0" w:type="dxa"/>
        <w:right w:w="0" w:type="dxa"/>
        <w:bottom w:w="0" w:type="dxa"/>
      </w:tblCellMar>
    </w:tblPr>
  </w:style>
  <w:style w:type="table" w:styleId="982" w:customStyle="1">
    <w:name w:val="Grid Table 4 - Accent 5"/>
    <w:basedOn w:val="826"/>
    <w:uiPriority w:val="59"/>
    <w:qFormat/>
    <w:tblPr>
      <w:tblCellMar>
        <w:left w:w="0" w:type="dxa"/>
        <w:top w:w="0" w:type="dxa"/>
        <w:right w:w="0" w:type="dxa"/>
        <w:bottom w:w="0" w:type="dxa"/>
      </w:tblCellMar>
    </w:tblPr>
  </w:style>
  <w:style w:type="table" w:styleId="983" w:customStyle="1">
    <w:name w:val="Grid Table 4 - Accent 6"/>
    <w:basedOn w:val="826"/>
    <w:uiPriority w:val="59"/>
    <w:qFormat/>
    <w:tblPr>
      <w:tblCellMar>
        <w:left w:w="0" w:type="dxa"/>
        <w:top w:w="0" w:type="dxa"/>
        <w:right w:w="0" w:type="dxa"/>
        <w:bottom w:w="0" w:type="dxa"/>
      </w:tblCellMar>
    </w:tblPr>
  </w:style>
  <w:style w:type="table" w:styleId="984" w:customStyle="1">
    <w:name w:val="Grid Table 5 Dark- Accent 1"/>
    <w:basedOn w:val="826"/>
    <w:uiPriority w:val="99"/>
    <w:qFormat/>
    <w:tblPr>
      <w:tblCellMar>
        <w:left w:w="0" w:type="dxa"/>
        <w:top w:w="0" w:type="dxa"/>
        <w:right w:w="0" w:type="dxa"/>
        <w:bottom w:w="0" w:type="dxa"/>
      </w:tblCellMar>
    </w:tblPr>
  </w:style>
  <w:style w:type="table" w:styleId="985" w:customStyle="1">
    <w:name w:val="Grid Table 5 Dark - Accent 2"/>
    <w:basedOn w:val="826"/>
    <w:uiPriority w:val="99"/>
    <w:qFormat/>
    <w:tblPr>
      <w:tblCellMar>
        <w:left w:w="0" w:type="dxa"/>
        <w:top w:w="0" w:type="dxa"/>
        <w:right w:w="0" w:type="dxa"/>
        <w:bottom w:w="0" w:type="dxa"/>
      </w:tblCellMar>
    </w:tblPr>
  </w:style>
  <w:style w:type="table" w:styleId="986" w:customStyle="1">
    <w:name w:val="Grid Table 5 Dark - Accent 3"/>
    <w:basedOn w:val="826"/>
    <w:uiPriority w:val="99"/>
    <w:qFormat/>
    <w:tblPr>
      <w:tblCellMar>
        <w:left w:w="0" w:type="dxa"/>
        <w:top w:w="0" w:type="dxa"/>
        <w:right w:w="0" w:type="dxa"/>
        <w:bottom w:w="0" w:type="dxa"/>
      </w:tblCellMar>
    </w:tblPr>
  </w:style>
  <w:style w:type="table" w:styleId="987" w:customStyle="1">
    <w:name w:val="Grid Table 5 Dark- Accent 4"/>
    <w:basedOn w:val="826"/>
    <w:uiPriority w:val="99"/>
    <w:qFormat/>
    <w:tblPr>
      <w:tblCellMar>
        <w:left w:w="0" w:type="dxa"/>
        <w:top w:w="0" w:type="dxa"/>
        <w:right w:w="0" w:type="dxa"/>
        <w:bottom w:w="0" w:type="dxa"/>
      </w:tblCellMar>
    </w:tblPr>
  </w:style>
  <w:style w:type="table" w:styleId="988" w:customStyle="1">
    <w:name w:val="Grid Table 5 Dark - Accent 5"/>
    <w:basedOn w:val="826"/>
    <w:uiPriority w:val="99"/>
    <w:qFormat/>
    <w:tblPr>
      <w:tblCellMar>
        <w:left w:w="0" w:type="dxa"/>
        <w:top w:w="0" w:type="dxa"/>
        <w:right w:w="0" w:type="dxa"/>
        <w:bottom w:w="0" w:type="dxa"/>
      </w:tblCellMar>
    </w:tblPr>
  </w:style>
  <w:style w:type="table" w:styleId="989" w:customStyle="1">
    <w:name w:val="Grid Table 5 Dark - Accent 6"/>
    <w:basedOn w:val="826"/>
    <w:uiPriority w:val="99"/>
    <w:qFormat/>
    <w:tblPr>
      <w:tblCellMar>
        <w:left w:w="0" w:type="dxa"/>
        <w:top w:w="0" w:type="dxa"/>
        <w:right w:w="0" w:type="dxa"/>
        <w:bottom w:w="0" w:type="dxa"/>
      </w:tblCellMar>
    </w:tblPr>
  </w:style>
  <w:style w:type="table" w:styleId="990" w:customStyle="1">
    <w:name w:val="Grid Table 6 Colorful - Accent 1"/>
    <w:basedOn w:val="826"/>
    <w:uiPriority w:val="99"/>
    <w:qFormat/>
    <w:tblPr>
      <w:tblCellMar>
        <w:left w:w="0" w:type="dxa"/>
        <w:top w:w="0" w:type="dxa"/>
        <w:right w:w="0" w:type="dxa"/>
        <w:bottom w:w="0" w:type="dxa"/>
      </w:tblCellMar>
    </w:tblPr>
  </w:style>
  <w:style w:type="table" w:styleId="991" w:customStyle="1">
    <w:name w:val="Grid Table 6 Colorful - Accent 2"/>
    <w:basedOn w:val="826"/>
    <w:uiPriority w:val="99"/>
    <w:qFormat/>
    <w:tblPr>
      <w:tblCellMar>
        <w:left w:w="0" w:type="dxa"/>
        <w:top w:w="0" w:type="dxa"/>
        <w:right w:w="0" w:type="dxa"/>
        <w:bottom w:w="0" w:type="dxa"/>
      </w:tblCellMar>
    </w:tblPr>
  </w:style>
  <w:style w:type="table" w:styleId="992" w:customStyle="1">
    <w:name w:val="Grid Table 6 Colorful - Accent 3"/>
    <w:basedOn w:val="826"/>
    <w:uiPriority w:val="99"/>
    <w:qFormat/>
    <w:tblPr>
      <w:tblCellMar>
        <w:left w:w="0" w:type="dxa"/>
        <w:top w:w="0" w:type="dxa"/>
        <w:right w:w="0" w:type="dxa"/>
        <w:bottom w:w="0" w:type="dxa"/>
      </w:tblCellMar>
    </w:tblPr>
  </w:style>
  <w:style w:type="table" w:styleId="993" w:customStyle="1">
    <w:name w:val="Grid Table 6 Colorful - Accent 4"/>
    <w:basedOn w:val="826"/>
    <w:uiPriority w:val="99"/>
    <w:qFormat/>
    <w:tblPr>
      <w:tblCellMar>
        <w:left w:w="0" w:type="dxa"/>
        <w:top w:w="0" w:type="dxa"/>
        <w:right w:w="0" w:type="dxa"/>
        <w:bottom w:w="0" w:type="dxa"/>
      </w:tblCellMar>
    </w:tblPr>
  </w:style>
  <w:style w:type="table" w:styleId="994" w:customStyle="1">
    <w:name w:val="Grid Table 6 Colorful - Accent 5"/>
    <w:basedOn w:val="826"/>
    <w:uiPriority w:val="99"/>
    <w:qFormat/>
    <w:tblPr>
      <w:tblCellMar>
        <w:left w:w="0" w:type="dxa"/>
        <w:top w:w="0" w:type="dxa"/>
        <w:right w:w="0" w:type="dxa"/>
        <w:bottom w:w="0" w:type="dxa"/>
      </w:tblCellMar>
    </w:tblPr>
  </w:style>
  <w:style w:type="table" w:styleId="995" w:customStyle="1">
    <w:name w:val="Grid Table 6 Colorful - Accent 6"/>
    <w:basedOn w:val="826"/>
    <w:uiPriority w:val="99"/>
    <w:qFormat/>
    <w:tblPr>
      <w:tblCellMar>
        <w:left w:w="0" w:type="dxa"/>
        <w:top w:w="0" w:type="dxa"/>
        <w:right w:w="0" w:type="dxa"/>
        <w:bottom w:w="0" w:type="dxa"/>
      </w:tblCellMar>
    </w:tblPr>
  </w:style>
  <w:style w:type="table" w:styleId="996" w:customStyle="1">
    <w:name w:val="Grid Table 7 Colorful - Accent 1"/>
    <w:basedOn w:val="826"/>
    <w:uiPriority w:val="99"/>
    <w:qFormat/>
    <w:tblPr>
      <w:tblCellMar>
        <w:left w:w="0" w:type="dxa"/>
        <w:top w:w="0" w:type="dxa"/>
        <w:right w:w="0" w:type="dxa"/>
        <w:bottom w:w="0" w:type="dxa"/>
      </w:tblCellMar>
    </w:tblPr>
  </w:style>
  <w:style w:type="table" w:styleId="997" w:customStyle="1">
    <w:name w:val="Grid Table 7 Colorful - Accent 2"/>
    <w:basedOn w:val="826"/>
    <w:uiPriority w:val="99"/>
    <w:qFormat/>
    <w:tblPr>
      <w:tblCellMar>
        <w:left w:w="0" w:type="dxa"/>
        <w:top w:w="0" w:type="dxa"/>
        <w:right w:w="0" w:type="dxa"/>
        <w:bottom w:w="0" w:type="dxa"/>
      </w:tblCellMar>
    </w:tblPr>
  </w:style>
  <w:style w:type="table" w:styleId="998" w:customStyle="1">
    <w:name w:val="Grid Table 7 Colorful - Accent 3"/>
    <w:basedOn w:val="826"/>
    <w:uiPriority w:val="99"/>
    <w:qFormat/>
    <w:tblPr>
      <w:tblCellMar>
        <w:left w:w="0" w:type="dxa"/>
        <w:top w:w="0" w:type="dxa"/>
        <w:right w:w="0" w:type="dxa"/>
        <w:bottom w:w="0" w:type="dxa"/>
      </w:tblCellMar>
    </w:tblPr>
  </w:style>
  <w:style w:type="table" w:styleId="999" w:customStyle="1">
    <w:name w:val="Grid Table 7 Colorful - Accent 4"/>
    <w:basedOn w:val="826"/>
    <w:uiPriority w:val="99"/>
    <w:qFormat/>
    <w:tblPr>
      <w:tblCellMar>
        <w:left w:w="0" w:type="dxa"/>
        <w:top w:w="0" w:type="dxa"/>
        <w:right w:w="0" w:type="dxa"/>
        <w:bottom w:w="0" w:type="dxa"/>
      </w:tblCellMar>
    </w:tblPr>
  </w:style>
  <w:style w:type="table" w:styleId="1000" w:customStyle="1">
    <w:name w:val="Grid Table 7 Colorful - Accent 5"/>
    <w:basedOn w:val="826"/>
    <w:uiPriority w:val="99"/>
    <w:qFormat/>
    <w:tblPr>
      <w:tblCellMar>
        <w:left w:w="0" w:type="dxa"/>
        <w:top w:w="0" w:type="dxa"/>
        <w:right w:w="0" w:type="dxa"/>
        <w:bottom w:w="0" w:type="dxa"/>
      </w:tblCellMar>
    </w:tblPr>
  </w:style>
  <w:style w:type="table" w:styleId="1001" w:customStyle="1">
    <w:name w:val="Grid Table 7 Colorful - Accent 6"/>
    <w:basedOn w:val="826"/>
    <w:uiPriority w:val="99"/>
    <w:qFormat/>
    <w:tblPr>
      <w:tblCellMar>
        <w:left w:w="0" w:type="dxa"/>
        <w:top w:w="0" w:type="dxa"/>
        <w:right w:w="0" w:type="dxa"/>
        <w:bottom w:w="0" w:type="dxa"/>
      </w:tblCellMar>
    </w:tblPr>
  </w:style>
  <w:style w:type="table" w:styleId="1002" w:customStyle="1">
    <w:name w:val="List Table 1 Light - Accent 1"/>
    <w:basedOn w:val="826"/>
    <w:uiPriority w:val="99"/>
    <w:qFormat/>
    <w:tblPr>
      <w:tblCellMar>
        <w:left w:w="0" w:type="dxa"/>
        <w:top w:w="0" w:type="dxa"/>
        <w:right w:w="0" w:type="dxa"/>
        <w:bottom w:w="0" w:type="dxa"/>
      </w:tblCellMar>
    </w:tblPr>
  </w:style>
  <w:style w:type="table" w:styleId="1003" w:customStyle="1">
    <w:name w:val="List Table 1 Light - Accent 2"/>
    <w:basedOn w:val="826"/>
    <w:uiPriority w:val="99"/>
    <w:qFormat/>
    <w:tblPr>
      <w:tblCellMar>
        <w:left w:w="0" w:type="dxa"/>
        <w:top w:w="0" w:type="dxa"/>
        <w:right w:w="0" w:type="dxa"/>
        <w:bottom w:w="0" w:type="dxa"/>
      </w:tblCellMar>
    </w:tblPr>
  </w:style>
  <w:style w:type="table" w:styleId="1004" w:customStyle="1">
    <w:name w:val="List Table 1 Light - Accent 3"/>
    <w:basedOn w:val="826"/>
    <w:uiPriority w:val="99"/>
    <w:qFormat/>
    <w:tblPr>
      <w:tblCellMar>
        <w:left w:w="0" w:type="dxa"/>
        <w:top w:w="0" w:type="dxa"/>
        <w:right w:w="0" w:type="dxa"/>
        <w:bottom w:w="0" w:type="dxa"/>
      </w:tblCellMar>
    </w:tblPr>
  </w:style>
  <w:style w:type="table" w:styleId="1005" w:customStyle="1">
    <w:name w:val="List Table 1 Light - Accent 4"/>
    <w:basedOn w:val="826"/>
    <w:uiPriority w:val="99"/>
    <w:qFormat/>
    <w:tblPr>
      <w:tblCellMar>
        <w:left w:w="0" w:type="dxa"/>
        <w:top w:w="0" w:type="dxa"/>
        <w:right w:w="0" w:type="dxa"/>
        <w:bottom w:w="0" w:type="dxa"/>
      </w:tblCellMar>
    </w:tblPr>
  </w:style>
  <w:style w:type="table" w:styleId="1006" w:customStyle="1">
    <w:name w:val="List Table 1 Light - Accent 5"/>
    <w:basedOn w:val="826"/>
    <w:uiPriority w:val="99"/>
    <w:qFormat/>
    <w:tblPr>
      <w:tblCellMar>
        <w:left w:w="0" w:type="dxa"/>
        <w:top w:w="0" w:type="dxa"/>
        <w:right w:w="0" w:type="dxa"/>
        <w:bottom w:w="0" w:type="dxa"/>
      </w:tblCellMar>
    </w:tblPr>
  </w:style>
  <w:style w:type="table" w:styleId="1007" w:customStyle="1">
    <w:name w:val="List Table 1 Light - Accent 6"/>
    <w:basedOn w:val="826"/>
    <w:uiPriority w:val="99"/>
    <w:qFormat/>
    <w:tblPr>
      <w:tblCellMar>
        <w:left w:w="0" w:type="dxa"/>
        <w:top w:w="0" w:type="dxa"/>
        <w:right w:w="0" w:type="dxa"/>
        <w:bottom w:w="0" w:type="dxa"/>
      </w:tblCellMar>
    </w:tblPr>
  </w:style>
  <w:style w:type="table" w:styleId="1008" w:customStyle="1">
    <w:name w:val="List Table 2 - Accent 1"/>
    <w:basedOn w:val="826"/>
    <w:uiPriority w:val="99"/>
    <w:qFormat/>
    <w:tblPr>
      <w:tblCellMar>
        <w:left w:w="0" w:type="dxa"/>
        <w:top w:w="0" w:type="dxa"/>
        <w:right w:w="0" w:type="dxa"/>
        <w:bottom w:w="0" w:type="dxa"/>
      </w:tblCellMar>
    </w:tblPr>
  </w:style>
  <w:style w:type="table" w:styleId="1009" w:customStyle="1">
    <w:name w:val="List Table 2 - Accent 2"/>
    <w:basedOn w:val="826"/>
    <w:uiPriority w:val="99"/>
    <w:qFormat/>
    <w:tblPr>
      <w:tblCellMar>
        <w:left w:w="0" w:type="dxa"/>
        <w:top w:w="0" w:type="dxa"/>
        <w:right w:w="0" w:type="dxa"/>
        <w:bottom w:w="0" w:type="dxa"/>
      </w:tblCellMar>
    </w:tblPr>
  </w:style>
  <w:style w:type="table" w:styleId="1010" w:customStyle="1">
    <w:name w:val="List Table 2 - Accent 3"/>
    <w:basedOn w:val="826"/>
    <w:uiPriority w:val="99"/>
    <w:qFormat/>
    <w:tblPr>
      <w:tblCellMar>
        <w:left w:w="0" w:type="dxa"/>
        <w:top w:w="0" w:type="dxa"/>
        <w:right w:w="0" w:type="dxa"/>
        <w:bottom w:w="0" w:type="dxa"/>
      </w:tblCellMar>
    </w:tblPr>
  </w:style>
  <w:style w:type="table" w:styleId="1011" w:customStyle="1">
    <w:name w:val="List Table 2 - Accent 4"/>
    <w:basedOn w:val="826"/>
    <w:uiPriority w:val="99"/>
    <w:qFormat/>
    <w:tblPr>
      <w:tblCellMar>
        <w:left w:w="0" w:type="dxa"/>
        <w:top w:w="0" w:type="dxa"/>
        <w:right w:w="0" w:type="dxa"/>
        <w:bottom w:w="0" w:type="dxa"/>
      </w:tblCellMar>
    </w:tblPr>
  </w:style>
  <w:style w:type="table" w:styleId="1012" w:customStyle="1">
    <w:name w:val="List Table 2 - Accent 5"/>
    <w:basedOn w:val="826"/>
    <w:uiPriority w:val="99"/>
    <w:qFormat/>
    <w:tblPr>
      <w:tblCellMar>
        <w:left w:w="0" w:type="dxa"/>
        <w:top w:w="0" w:type="dxa"/>
        <w:right w:w="0" w:type="dxa"/>
        <w:bottom w:w="0" w:type="dxa"/>
      </w:tblCellMar>
    </w:tblPr>
  </w:style>
  <w:style w:type="table" w:styleId="1013" w:customStyle="1">
    <w:name w:val="List Table 2 - Accent 6"/>
    <w:basedOn w:val="826"/>
    <w:uiPriority w:val="99"/>
    <w:qFormat/>
    <w:tblPr>
      <w:tblCellMar>
        <w:left w:w="0" w:type="dxa"/>
        <w:top w:w="0" w:type="dxa"/>
        <w:right w:w="0" w:type="dxa"/>
        <w:bottom w:w="0" w:type="dxa"/>
      </w:tblCellMar>
    </w:tblPr>
  </w:style>
  <w:style w:type="table" w:styleId="1014" w:customStyle="1">
    <w:name w:val="List Table 3 - Accent 1"/>
    <w:basedOn w:val="826"/>
    <w:uiPriority w:val="99"/>
    <w:qFormat/>
    <w:tblPr>
      <w:tblCellMar>
        <w:left w:w="0" w:type="dxa"/>
        <w:top w:w="0" w:type="dxa"/>
        <w:right w:w="0" w:type="dxa"/>
        <w:bottom w:w="0" w:type="dxa"/>
      </w:tblCellMar>
    </w:tblPr>
  </w:style>
  <w:style w:type="table" w:styleId="1015" w:customStyle="1">
    <w:name w:val="List Table 3 - Accent 2"/>
    <w:basedOn w:val="826"/>
    <w:uiPriority w:val="99"/>
    <w:qFormat/>
    <w:tblPr>
      <w:tblCellMar>
        <w:left w:w="0" w:type="dxa"/>
        <w:top w:w="0" w:type="dxa"/>
        <w:right w:w="0" w:type="dxa"/>
        <w:bottom w:w="0" w:type="dxa"/>
      </w:tblCellMar>
    </w:tblPr>
  </w:style>
  <w:style w:type="table" w:styleId="1016" w:customStyle="1">
    <w:name w:val="List Table 3 - Accent 3"/>
    <w:basedOn w:val="826"/>
    <w:uiPriority w:val="99"/>
    <w:qFormat/>
    <w:tblPr>
      <w:tblCellMar>
        <w:left w:w="0" w:type="dxa"/>
        <w:top w:w="0" w:type="dxa"/>
        <w:right w:w="0" w:type="dxa"/>
        <w:bottom w:w="0" w:type="dxa"/>
      </w:tblCellMar>
    </w:tblPr>
  </w:style>
  <w:style w:type="table" w:styleId="1017" w:customStyle="1">
    <w:name w:val="List Table 3 - Accent 4"/>
    <w:basedOn w:val="826"/>
    <w:uiPriority w:val="99"/>
    <w:qFormat/>
    <w:tblPr>
      <w:tblCellMar>
        <w:left w:w="0" w:type="dxa"/>
        <w:top w:w="0" w:type="dxa"/>
        <w:right w:w="0" w:type="dxa"/>
        <w:bottom w:w="0" w:type="dxa"/>
      </w:tblCellMar>
    </w:tblPr>
  </w:style>
  <w:style w:type="table" w:styleId="1018" w:customStyle="1">
    <w:name w:val="List Table 3 - Accent 5"/>
    <w:basedOn w:val="826"/>
    <w:uiPriority w:val="99"/>
    <w:qFormat/>
    <w:tblPr>
      <w:tblCellMar>
        <w:left w:w="0" w:type="dxa"/>
        <w:top w:w="0" w:type="dxa"/>
        <w:right w:w="0" w:type="dxa"/>
        <w:bottom w:w="0" w:type="dxa"/>
      </w:tblCellMar>
    </w:tblPr>
  </w:style>
  <w:style w:type="table" w:styleId="1019" w:customStyle="1">
    <w:name w:val="List Table 3 - Accent 6"/>
    <w:basedOn w:val="826"/>
    <w:uiPriority w:val="99"/>
    <w:qFormat/>
    <w:tblPr>
      <w:tblCellMar>
        <w:left w:w="0" w:type="dxa"/>
        <w:top w:w="0" w:type="dxa"/>
        <w:right w:w="0" w:type="dxa"/>
        <w:bottom w:w="0" w:type="dxa"/>
      </w:tblCellMar>
    </w:tblPr>
  </w:style>
  <w:style w:type="table" w:styleId="1020" w:customStyle="1">
    <w:name w:val="List Table 4 - Accent 1"/>
    <w:basedOn w:val="826"/>
    <w:uiPriority w:val="99"/>
    <w:qFormat/>
    <w:tblPr>
      <w:tblCellMar>
        <w:left w:w="0" w:type="dxa"/>
        <w:top w:w="0" w:type="dxa"/>
        <w:right w:w="0" w:type="dxa"/>
        <w:bottom w:w="0" w:type="dxa"/>
      </w:tblCellMar>
    </w:tblPr>
  </w:style>
  <w:style w:type="table" w:styleId="1021" w:customStyle="1">
    <w:name w:val="List Table 4 - Accent 2"/>
    <w:basedOn w:val="826"/>
    <w:uiPriority w:val="99"/>
    <w:qFormat/>
    <w:tblPr>
      <w:tblCellMar>
        <w:left w:w="0" w:type="dxa"/>
        <w:top w:w="0" w:type="dxa"/>
        <w:right w:w="0" w:type="dxa"/>
        <w:bottom w:w="0" w:type="dxa"/>
      </w:tblCellMar>
    </w:tblPr>
  </w:style>
  <w:style w:type="table" w:styleId="1022" w:customStyle="1">
    <w:name w:val="List Table 4 - Accent 3"/>
    <w:basedOn w:val="826"/>
    <w:uiPriority w:val="99"/>
    <w:qFormat/>
    <w:tblPr>
      <w:tblCellMar>
        <w:left w:w="0" w:type="dxa"/>
        <w:top w:w="0" w:type="dxa"/>
        <w:right w:w="0" w:type="dxa"/>
        <w:bottom w:w="0" w:type="dxa"/>
      </w:tblCellMar>
    </w:tblPr>
  </w:style>
  <w:style w:type="table" w:styleId="1023" w:customStyle="1">
    <w:name w:val="List Table 4 - Accent 4"/>
    <w:basedOn w:val="826"/>
    <w:uiPriority w:val="99"/>
    <w:qFormat/>
    <w:tblPr>
      <w:tblCellMar>
        <w:left w:w="0" w:type="dxa"/>
        <w:top w:w="0" w:type="dxa"/>
        <w:right w:w="0" w:type="dxa"/>
        <w:bottom w:w="0" w:type="dxa"/>
      </w:tblCellMar>
    </w:tblPr>
  </w:style>
  <w:style w:type="table" w:styleId="1024" w:customStyle="1">
    <w:name w:val="List Table 4 - Accent 5"/>
    <w:basedOn w:val="826"/>
    <w:uiPriority w:val="99"/>
    <w:qFormat/>
    <w:tblPr>
      <w:tblCellMar>
        <w:left w:w="0" w:type="dxa"/>
        <w:top w:w="0" w:type="dxa"/>
        <w:right w:w="0" w:type="dxa"/>
        <w:bottom w:w="0" w:type="dxa"/>
      </w:tblCellMar>
    </w:tblPr>
  </w:style>
  <w:style w:type="table" w:styleId="1025" w:customStyle="1">
    <w:name w:val="List Table 4 - Accent 6"/>
    <w:basedOn w:val="826"/>
    <w:uiPriority w:val="99"/>
    <w:qFormat/>
    <w:tblPr>
      <w:tblCellMar>
        <w:left w:w="0" w:type="dxa"/>
        <w:top w:w="0" w:type="dxa"/>
        <w:right w:w="0" w:type="dxa"/>
        <w:bottom w:w="0" w:type="dxa"/>
      </w:tblCellMar>
    </w:tblPr>
  </w:style>
  <w:style w:type="table" w:styleId="1026" w:customStyle="1">
    <w:name w:val="List Table 5 Dark - Accent 1"/>
    <w:basedOn w:val="826"/>
    <w:uiPriority w:val="99"/>
    <w:qFormat/>
    <w:tblPr>
      <w:tblCellMar>
        <w:left w:w="0" w:type="dxa"/>
        <w:top w:w="0" w:type="dxa"/>
        <w:right w:w="0" w:type="dxa"/>
        <w:bottom w:w="0" w:type="dxa"/>
      </w:tblCellMar>
    </w:tblPr>
  </w:style>
  <w:style w:type="table" w:styleId="1027" w:customStyle="1">
    <w:name w:val="List Table 5 Dark - Accent 2"/>
    <w:basedOn w:val="826"/>
    <w:uiPriority w:val="99"/>
    <w:qFormat/>
    <w:tblPr>
      <w:tblCellMar>
        <w:left w:w="0" w:type="dxa"/>
        <w:top w:w="0" w:type="dxa"/>
        <w:right w:w="0" w:type="dxa"/>
        <w:bottom w:w="0" w:type="dxa"/>
      </w:tblCellMar>
    </w:tblPr>
  </w:style>
  <w:style w:type="table" w:styleId="1028" w:customStyle="1">
    <w:name w:val="List Table 5 Dark - Accent 3"/>
    <w:basedOn w:val="826"/>
    <w:uiPriority w:val="99"/>
    <w:qFormat/>
    <w:tblPr>
      <w:tblCellMar>
        <w:left w:w="0" w:type="dxa"/>
        <w:top w:w="0" w:type="dxa"/>
        <w:right w:w="0" w:type="dxa"/>
        <w:bottom w:w="0" w:type="dxa"/>
      </w:tblCellMar>
    </w:tblPr>
  </w:style>
  <w:style w:type="table" w:styleId="1029" w:customStyle="1">
    <w:name w:val="List Table 5 Dark - Accent 4"/>
    <w:basedOn w:val="826"/>
    <w:uiPriority w:val="99"/>
    <w:qFormat/>
    <w:tblPr>
      <w:tblCellMar>
        <w:left w:w="0" w:type="dxa"/>
        <w:top w:w="0" w:type="dxa"/>
        <w:right w:w="0" w:type="dxa"/>
        <w:bottom w:w="0" w:type="dxa"/>
      </w:tblCellMar>
    </w:tblPr>
  </w:style>
  <w:style w:type="table" w:styleId="1030" w:customStyle="1">
    <w:name w:val="List Table 5 Dark - Accent 5"/>
    <w:basedOn w:val="826"/>
    <w:uiPriority w:val="99"/>
    <w:qFormat/>
    <w:tblPr>
      <w:tblCellMar>
        <w:left w:w="0" w:type="dxa"/>
        <w:top w:w="0" w:type="dxa"/>
        <w:right w:w="0" w:type="dxa"/>
        <w:bottom w:w="0" w:type="dxa"/>
      </w:tblCellMar>
    </w:tblPr>
  </w:style>
  <w:style w:type="table" w:styleId="1031" w:customStyle="1">
    <w:name w:val="List Table 5 Dark - Accent 6"/>
    <w:basedOn w:val="826"/>
    <w:uiPriority w:val="99"/>
    <w:qFormat/>
    <w:tblPr>
      <w:tblCellMar>
        <w:left w:w="0" w:type="dxa"/>
        <w:top w:w="0" w:type="dxa"/>
        <w:right w:w="0" w:type="dxa"/>
        <w:bottom w:w="0" w:type="dxa"/>
      </w:tblCellMar>
    </w:tblPr>
  </w:style>
  <w:style w:type="table" w:styleId="1032" w:customStyle="1">
    <w:name w:val="List Table 6 Colorful - Accent 1"/>
    <w:basedOn w:val="826"/>
    <w:uiPriority w:val="99"/>
    <w:qFormat/>
    <w:tblPr>
      <w:tblCellMar>
        <w:left w:w="0" w:type="dxa"/>
        <w:top w:w="0" w:type="dxa"/>
        <w:right w:w="0" w:type="dxa"/>
        <w:bottom w:w="0" w:type="dxa"/>
      </w:tblCellMar>
    </w:tblPr>
  </w:style>
  <w:style w:type="table" w:styleId="1033" w:customStyle="1">
    <w:name w:val="List Table 6 Colorful - Accent 2"/>
    <w:basedOn w:val="826"/>
    <w:uiPriority w:val="99"/>
    <w:qFormat/>
    <w:tblPr>
      <w:tblCellMar>
        <w:left w:w="0" w:type="dxa"/>
        <w:top w:w="0" w:type="dxa"/>
        <w:right w:w="0" w:type="dxa"/>
        <w:bottom w:w="0" w:type="dxa"/>
      </w:tblCellMar>
    </w:tblPr>
  </w:style>
  <w:style w:type="table" w:styleId="1034" w:customStyle="1">
    <w:name w:val="List Table 6 Colorful - Accent 3"/>
    <w:basedOn w:val="826"/>
    <w:uiPriority w:val="99"/>
    <w:qFormat/>
    <w:tblPr>
      <w:tblCellMar>
        <w:left w:w="0" w:type="dxa"/>
        <w:top w:w="0" w:type="dxa"/>
        <w:right w:w="0" w:type="dxa"/>
        <w:bottom w:w="0" w:type="dxa"/>
      </w:tblCellMar>
    </w:tblPr>
  </w:style>
  <w:style w:type="table" w:styleId="1035" w:customStyle="1">
    <w:name w:val="List Table 6 Colorful - Accent 4"/>
    <w:basedOn w:val="826"/>
    <w:uiPriority w:val="99"/>
    <w:qFormat/>
    <w:tblPr>
      <w:tblCellMar>
        <w:left w:w="0" w:type="dxa"/>
        <w:top w:w="0" w:type="dxa"/>
        <w:right w:w="0" w:type="dxa"/>
        <w:bottom w:w="0" w:type="dxa"/>
      </w:tblCellMar>
    </w:tblPr>
  </w:style>
  <w:style w:type="table" w:styleId="1036" w:customStyle="1">
    <w:name w:val="List Table 6 Colorful - Accent 5"/>
    <w:basedOn w:val="826"/>
    <w:uiPriority w:val="99"/>
    <w:qFormat/>
    <w:tblPr>
      <w:tblCellMar>
        <w:left w:w="0" w:type="dxa"/>
        <w:top w:w="0" w:type="dxa"/>
        <w:right w:w="0" w:type="dxa"/>
        <w:bottom w:w="0" w:type="dxa"/>
      </w:tblCellMar>
    </w:tblPr>
  </w:style>
  <w:style w:type="table" w:styleId="1037" w:customStyle="1">
    <w:name w:val="List Table 6 Colorful - Accent 6"/>
    <w:basedOn w:val="826"/>
    <w:uiPriority w:val="99"/>
    <w:qFormat/>
    <w:tblPr>
      <w:tblCellMar>
        <w:left w:w="0" w:type="dxa"/>
        <w:top w:w="0" w:type="dxa"/>
        <w:right w:w="0" w:type="dxa"/>
        <w:bottom w:w="0" w:type="dxa"/>
      </w:tblCellMar>
    </w:tblPr>
  </w:style>
  <w:style w:type="table" w:styleId="1038" w:customStyle="1">
    <w:name w:val="List Table 7 Colorful - Accent 1"/>
    <w:basedOn w:val="826"/>
    <w:uiPriority w:val="99"/>
    <w:qFormat/>
    <w:tblPr>
      <w:tblCellMar>
        <w:left w:w="0" w:type="dxa"/>
        <w:top w:w="0" w:type="dxa"/>
        <w:right w:w="0" w:type="dxa"/>
        <w:bottom w:w="0" w:type="dxa"/>
      </w:tblCellMar>
    </w:tblPr>
  </w:style>
  <w:style w:type="table" w:styleId="1039" w:customStyle="1">
    <w:name w:val="List Table 7 Colorful - Accent 2"/>
    <w:basedOn w:val="826"/>
    <w:uiPriority w:val="99"/>
    <w:qFormat/>
    <w:tblPr>
      <w:tblCellMar>
        <w:left w:w="0" w:type="dxa"/>
        <w:top w:w="0" w:type="dxa"/>
        <w:right w:w="0" w:type="dxa"/>
        <w:bottom w:w="0" w:type="dxa"/>
      </w:tblCellMar>
    </w:tblPr>
  </w:style>
  <w:style w:type="table" w:styleId="1040" w:customStyle="1">
    <w:name w:val="List Table 7 Colorful - Accent 3"/>
    <w:basedOn w:val="826"/>
    <w:uiPriority w:val="99"/>
    <w:qFormat/>
    <w:tblPr>
      <w:tblCellMar>
        <w:left w:w="0" w:type="dxa"/>
        <w:top w:w="0" w:type="dxa"/>
        <w:right w:w="0" w:type="dxa"/>
        <w:bottom w:w="0" w:type="dxa"/>
      </w:tblCellMar>
    </w:tblPr>
  </w:style>
  <w:style w:type="table" w:styleId="1041" w:customStyle="1">
    <w:name w:val="List Table 7 Colorful - Accent 4"/>
    <w:basedOn w:val="826"/>
    <w:uiPriority w:val="99"/>
    <w:qFormat/>
    <w:tblPr>
      <w:tblCellMar>
        <w:left w:w="0" w:type="dxa"/>
        <w:top w:w="0" w:type="dxa"/>
        <w:right w:w="0" w:type="dxa"/>
        <w:bottom w:w="0" w:type="dxa"/>
      </w:tblCellMar>
    </w:tblPr>
  </w:style>
  <w:style w:type="table" w:styleId="1042" w:customStyle="1">
    <w:name w:val="List Table 7 Colorful - Accent 5"/>
    <w:basedOn w:val="826"/>
    <w:uiPriority w:val="99"/>
    <w:qFormat/>
    <w:tblPr>
      <w:tblCellMar>
        <w:left w:w="0" w:type="dxa"/>
        <w:top w:w="0" w:type="dxa"/>
        <w:right w:w="0" w:type="dxa"/>
        <w:bottom w:w="0" w:type="dxa"/>
      </w:tblCellMar>
    </w:tblPr>
  </w:style>
  <w:style w:type="table" w:styleId="1043" w:customStyle="1">
    <w:name w:val="List Table 7 Colorful - Accent 6"/>
    <w:basedOn w:val="826"/>
    <w:uiPriority w:val="99"/>
    <w:qFormat/>
    <w:tblPr>
      <w:tblCellMar>
        <w:left w:w="0" w:type="dxa"/>
        <w:top w:w="0" w:type="dxa"/>
        <w:right w:w="0" w:type="dxa"/>
        <w:bottom w:w="0" w:type="dxa"/>
      </w:tblCellMar>
    </w:tblPr>
  </w:style>
  <w:style w:type="table" w:styleId="1044" w:customStyle="1">
    <w:name w:val="Lined - Accent"/>
    <w:basedOn w:val="826"/>
    <w:uiPriority w:val="99"/>
    <w:qFormat/>
    <w:rPr>
      <w:color w:val="404040"/>
    </w:rPr>
    <w:tblPr>
      <w:tblCellMar>
        <w:left w:w="0" w:type="dxa"/>
        <w:top w:w="0" w:type="dxa"/>
        <w:right w:w="0" w:type="dxa"/>
        <w:bottom w:w="0" w:type="dxa"/>
      </w:tblCellMar>
    </w:tblPr>
  </w:style>
  <w:style w:type="table" w:styleId="1045" w:customStyle="1">
    <w:name w:val="Lined - Accent 1"/>
    <w:basedOn w:val="826"/>
    <w:uiPriority w:val="99"/>
    <w:qFormat/>
    <w:rPr>
      <w:color w:val="404040"/>
    </w:rPr>
    <w:tblPr>
      <w:tblCellMar>
        <w:left w:w="0" w:type="dxa"/>
        <w:top w:w="0" w:type="dxa"/>
        <w:right w:w="0" w:type="dxa"/>
        <w:bottom w:w="0" w:type="dxa"/>
      </w:tblCellMar>
    </w:tblPr>
  </w:style>
  <w:style w:type="table" w:styleId="1046" w:customStyle="1">
    <w:name w:val="Lined - Accent 2"/>
    <w:basedOn w:val="826"/>
    <w:uiPriority w:val="99"/>
    <w:qFormat/>
    <w:rPr>
      <w:color w:val="404040"/>
    </w:rPr>
    <w:tblPr>
      <w:tblCellMar>
        <w:left w:w="0" w:type="dxa"/>
        <w:top w:w="0" w:type="dxa"/>
        <w:right w:w="0" w:type="dxa"/>
        <w:bottom w:w="0" w:type="dxa"/>
      </w:tblCellMar>
    </w:tblPr>
  </w:style>
  <w:style w:type="table" w:styleId="1047" w:customStyle="1">
    <w:name w:val="Lined - Accent 3"/>
    <w:basedOn w:val="826"/>
    <w:uiPriority w:val="99"/>
    <w:qFormat/>
    <w:rPr>
      <w:color w:val="404040"/>
    </w:rPr>
    <w:tblPr>
      <w:tblCellMar>
        <w:left w:w="0" w:type="dxa"/>
        <w:top w:w="0" w:type="dxa"/>
        <w:right w:w="0" w:type="dxa"/>
        <w:bottom w:w="0" w:type="dxa"/>
      </w:tblCellMar>
    </w:tblPr>
  </w:style>
  <w:style w:type="table" w:styleId="1048" w:customStyle="1">
    <w:name w:val="Lined - Accent 4"/>
    <w:basedOn w:val="826"/>
    <w:uiPriority w:val="99"/>
    <w:qFormat/>
    <w:rPr>
      <w:color w:val="404040"/>
    </w:rPr>
    <w:tblPr>
      <w:tblCellMar>
        <w:left w:w="0" w:type="dxa"/>
        <w:top w:w="0" w:type="dxa"/>
        <w:right w:w="0" w:type="dxa"/>
        <w:bottom w:w="0" w:type="dxa"/>
      </w:tblCellMar>
    </w:tblPr>
  </w:style>
  <w:style w:type="table" w:styleId="1049" w:customStyle="1">
    <w:name w:val="Lined - Accent 5"/>
    <w:basedOn w:val="826"/>
    <w:uiPriority w:val="99"/>
    <w:qFormat/>
    <w:rPr>
      <w:color w:val="404040"/>
    </w:rPr>
    <w:tblPr>
      <w:tblCellMar>
        <w:left w:w="0" w:type="dxa"/>
        <w:top w:w="0" w:type="dxa"/>
        <w:right w:w="0" w:type="dxa"/>
        <w:bottom w:w="0" w:type="dxa"/>
      </w:tblCellMar>
    </w:tblPr>
  </w:style>
  <w:style w:type="table" w:styleId="1050" w:customStyle="1">
    <w:name w:val="Lined - Accent 6"/>
    <w:basedOn w:val="826"/>
    <w:uiPriority w:val="99"/>
    <w:qFormat/>
    <w:rPr>
      <w:color w:val="404040"/>
    </w:rPr>
    <w:tblPr>
      <w:tblCellMar>
        <w:left w:w="0" w:type="dxa"/>
        <w:top w:w="0" w:type="dxa"/>
        <w:right w:w="0" w:type="dxa"/>
        <w:bottom w:w="0" w:type="dxa"/>
      </w:tblCellMar>
    </w:tblPr>
  </w:style>
  <w:style w:type="table" w:styleId="1051" w:customStyle="1">
    <w:name w:val="Bordered &amp; Lined - Accent"/>
    <w:basedOn w:val="826"/>
    <w:uiPriority w:val="99"/>
    <w:qFormat/>
    <w:rPr>
      <w:color w:val="404040"/>
    </w:rPr>
    <w:tblPr>
      <w:tblCellMar>
        <w:left w:w="0" w:type="dxa"/>
        <w:top w:w="0" w:type="dxa"/>
        <w:right w:w="0" w:type="dxa"/>
        <w:bottom w:w="0" w:type="dxa"/>
      </w:tblCellMar>
    </w:tblPr>
  </w:style>
  <w:style w:type="table" w:styleId="1052" w:customStyle="1">
    <w:name w:val="Bordered &amp; Lined - Accent 1"/>
    <w:basedOn w:val="826"/>
    <w:uiPriority w:val="99"/>
    <w:qFormat/>
    <w:rPr>
      <w:color w:val="404040"/>
    </w:rPr>
    <w:tblPr>
      <w:tblCellMar>
        <w:left w:w="0" w:type="dxa"/>
        <w:top w:w="0" w:type="dxa"/>
        <w:right w:w="0" w:type="dxa"/>
        <w:bottom w:w="0" w:type="dxa"/>
      </w:tblCellMar>
    </w:tblPr>
  </w:style>
  <w:style w:type="table" w:styleId="1053" w:customStyle="1">
    <w:name w:val="Bordered &amp; Lined - Accent 2"/>
    <w:basedOn w:val="826"/>
    <w:uiPriority w:val="99"/>
    <w:qFormat/>
    <w:rPr>
      <w:color w:val="404040"/>
    </w:rPr>
    <w:tblPr>
      <w:tblCellMar>
        <w:left w:w="0" w:type="dxa"/>
        <w:top w:w="0" w:type="dxa"/>
        <w:right w:w="0" w:type="dxa"/>
        <w:bottom w:w="0" w:type="dxa"/>
      </w:tblCellMar>
    </w:tblPr>
  </w:style>
  <w:style w:type="table" w:styleId="1054" w:customStyle="1">
    <w:name w:val="Bordered &amp; Lined - Accent 3"/>
    <w:basedOn w:val="826"/>
    <w:uiPriority w:val="99"/>
    <w:qFormat/>
    <w:rPr>
      <w:color w:val="404040"/>
    </w:rPr>
    <w:tblPr>
      <w:tblCellMar>
        <w:left w:w="0" w:type="dxa"/>
        <w:top w:w="0" w:type="dxa"/>
        <w:right w:w="0" w:type="dxa"/>
        <w:bottom w:w="0" w:type="dxa"/>
      </w:tblCellMar>
    </w:tblPr>
  </w:style>
  <w:style w:type="table" w:styleId="1055" w:customStyle="1">
    <w:name w:val="Bordered &amp; Lined - Accent 4"/>
    <w:basedOn w:val="826"/>
    <w:uiPriority w:val="99"/>
    <w:qFormat/>
    <w:rPr>
      <w:color w:val="404040"/>
    </w:rPr>
    <w:tblPr>
      <w:tblCellMar>
        <w:left w:w="0" w:type="dxa"/>
        <w:top w:w="0" w:type="dxa"/>
        <w:right w:w="0" w:type="dxa"/>
        <w:bottom w:w="0" w:type="dxa"/>
      </w:tblCellMar>
    </w:tblPr>
  </w:style>
  <w:style w:type="table" w:styleId="1056" w:customStyle="1">
    <w:name w:val="Bordered &amp; Lined - Accent 5"/>
    <w:basedOn w:val="826"/>
    <w:uiPriority w:val="99"/>
    <w:qFormat/>
    <w:rPr>
      <w:color w:val="404040"/>
    </w:rPr>
    <w:tblPr>
      <w:tblCellMar>
        <w:left w:w="0" w:type="dxa"/>
        <w:top w:w="0" w:type="dxa"/>
        <w:right w:w="0" w:type="dxa"/>
        <w:bottom w:w="0" w:type="dxa"/>
      </w:tblCellMar>
    </w:tblPr>
  </w:style>
  <w:style w:type="table" w:styleId="1057" w:customStyle="1">
    <w:name w:val="Bordered &amp; Lined - Accent 6"/>
    <w:basedOn w:val="826"/>
    <w:uiPriority w:val="99"/>
    <w:qFormat/>
    <w:rPr>
      <w:color w:val="404040"/>
    </w:rPr>
    <w:tblPr>
      <w:tblCellMar>
        <w:left w:w="0" w:type="dxa"/>
        <w:top w:w="0" w:type="dxa"/>
        <w:right w:w="0" w:type="dxa"/>
        <w:bottom w:w="0" w:type="dxa"/>
      </w:tblCellMar>
    </w:tblPr>
  </w:style>
  <w:style w:type="table" w:styleId="1058" w:customStyle="1">
    <w:name w:val="Bordered"/>
    <w:basedOn w:val="826"/>
    <w:uiPriority w:val="99"/>
    <w:qFormat/>
    <w:tblPr>
      <w:tblCellMar>
        <w:left w:w="0" w:type="dxa"/>
        <w:top w:w="0" w:type="dxa"/>
        <w:right w:w="0" w:type="dxa"/>
        <w:bottom w:w="0" w:type="dxa"/>
      </w:tblCellMar>
    </w:tblPr>
  </w:style>
  <w:style w:type="table" w:styleId="1059" w:customStyle="1">
    <w:name w:val="Bordered - Accent 1"/>
    <w:basedOn w:val="826"/>
    <w:uiPriority w:val="99"/>
    <w:qFormat/>
    <w:tblPr>
      <w:tblCellMar>
        <w:left w:w="0" w:type="dxa"/>
        <w:top w:w="0" w:type="dxa"/>
        <w:right w:w="0" w:type="dxa"/>
        <w:bottom w:w="0" w:type="dxa"/>
      </w:tblCellMar>
    </w:tblPr>
  </w:style>
  <w:style w:type="table" w:styleId="1060" w:customStyle="1">
    <w:name w:val="Bordered - Accent 2"/>
    <w:basedOn w:val="826"/>
    <w:uiPriority w:val="99"/>
    <w:qFormat/>
    <w:tblPr>
      <w:tblCellMar>
        <w:left w:w="0" w:type="dxa"/>
        <w:top w:w="0" w:type="dxa"/>
        <w:right w:w="0" w:type="dxa"/>
        <w:bottom w:w="0" w:type="dxa"/>
      </w:tblCellMar>
    </w:tblPr>
  </w:style>
  <w:style w:type="table" w:styleId="1061" w:customStyle="1">
    <w:name w:val="Bordered - Accent 3"/>
    <w:basedOn w:val="826"/>
    <w:uiPriority w:val="99"/>
    <w:qFormat/>
    <w:tblPr>
      <w:tblCellMar>
        <w:left w:w="0" w:type="dxa"/>
        <w:top w:w="0" w:type="dxa"/>
        <w:right w:w="0" w:type="dxa"/>
        <w:bottom w:w="0" w:type="dxa"/>
      </w:tblCellMar>
    </w:tblPr>
  </w:style>
  <w:style w:type="table" w:styleId="1062" w:customStyle="1">
    <w:name w:val="Bordered - Accent 4"/>
    <w:basedOn w:val="826"/>
    <w:uiPriority w:val="99"/>
    <w:qFormat/>
    <w:tblPr>
      <w:tblCellMar>
        <w:left w:w="0" w:type="dxa"/>
        <w:top w:w="0" w:type="dxa"/>
        <w:right w:w="0" w:type="dxa"/>
        <w:bottom w:w="0" w:type="dxa"/>
      </w:tblCellMar>
    </w:tblPr>
  </w:style>
  <w:style w:type="table" w:styleId="1063" w:customStyle="1">
    <w:name w:val="Bordered - Accent 5"/>
    <w:basedOn w:val="826"/>
    <w:uiPriority w:val="99"/>
    <w:qFormat/>
    <w:tblPr>
      <w:tblCellMar>
        <w:left w:w="0" w:type="dxa"/>
        <w:top w:w="0" w:type="dxa"/>
        <w:right w:w="0" w:type="dxa"/>
        <w:bottom w:w="0" w:type="dxa"/>
      </w:tblCellMar>
    </w:tblPr>
  </w:style>
  <w:style w:type="table" w:styleId="1064" w:customStyle="1">
    <w:name w:val="Bordered - Accent 6"/>
    <w:basedOn w:val="826"/>
    <w:uiPriority w:val="99"/>
    <w:qFormat/>
    <w:tblPr>
      <w:tblCellMar>
        <w:left w:w="0" w:type="dxa"/>
        <w:top w:w="0" w:type="dxa"/>
        <w:right w:w="0" w:type="dxa"/>
        <w:bottom w:w="0" w:type="dxa"/>
      </w:tblCellMar>
    </w:tblPr>
  </w:style>
  <w:style w:type="paragraph" w:styleId="1065" w:customStyle="1">
    <w:name w:val="TOC 标题11"/>
    <w:uiPriority w:val="39"/>
    <w:unhideWhenUsed/>
    <w:qFormat/>
    <w:rPr>
      <w:rFonts w:hint="default" w:ascii="Times New Roman" w:hAnsi="Times New Roman" w:eastAsia="宋体" w:cs="Times New Roman"/>
      <w:lang w:val="en-US" w:eastAsia="zh-CN" w:bidi="ar-SA"/>
    </w:rPr>
  </w:style>
  <w:style w:type="paragraph" w:styleId="1066" w:customStyle="1">
    <w:name w:val="Normal_0"/>
    <w:uiPriority w:val="0"/>
    <w:qFormat/>
    <w:rPr>
      <w:rFonts w:hint="default" w:ascii="黑体" w:hAnsi="黑体" w:eastAsia="黑体" w:cs="Times New Roman"/>
      <w:b/>
      <w:sz w:val="32"/>
      <w:szCs w:val="24"/>
      <w:lang w:val="en-US" w:eastAsia="zh-CN" w:bidi="ar-SA"/>
    </w:rPr>
  </w:style>
  <w:style w:type="paragraph" w:styleId="1067" w:customStyle="1">
    <w:name w:val="正文1"/>
    <w:next w:val="767"/>
    <w:uiPriority w:val="0"/>
    <w:qFormat/>
    <w:rPr>
      <w:rFonts w:hint="default" w:ascii="Times New Roman" w:hAnsi="Times New Roman" w:eastAsia="Times New Roman" w:cs="Times New Roman"/>
      <w:sz w:val="24"/>
      <w:szCs w:val="24"/>
      <w:lang w:val="en-US" w:eastAsia="zh-CN" w:bidi="ar-SA"/>
    </w:rPr>
  </w:style>
  <w:style w:type="paragraph" w:styleId="1068" w:customStyle="1">
    <w:name w:val="Normal_0_3"/>
    <w:uiPriority w:val="0"/>
    <w:qFormat/>
    <w:rPr>
      <w:rFonts w:hint="default" w:ascii="黑体" w:hAnsi="黑体" w:eastAsia="黑体" w:cs="黑体"/>
      <w:b/>
      <w:sz w:val="32"/>
      <w:szCs w:val="24"/>
      <w:lang w:val="en-US" w:eastAsia="zh-CN" w:bidi="ar-SA"/>
    </w:rPr>
  </w:style>
  <w:style w:type="paragraph" w:styleId="1069" w:customStyle="1">
    <w:name w:val="正文首行缩进 2_0"/>
    <w:basedOn w:val="1070"/>
    <w:uiPriority w:val="0"/>
    <w:qFormat/>
    <w:pPr>
      <w:ind w:left="200" w:firstLine="200"/>
      <w:spacing w:after="120"/>
    </w:pPr>
    <w:rPr>
      <w:rFonts w:ascii="Times New Roman" w:hAnsi="Times New Roman"/>
      <w:sz w:val="24"/>
      <w:szCs w:val="24"/>
    </w:rPr>
  </w:style>
  <w:style w:type="paragraph" w:styleId="1070" w:customStyle="1">
    <w:name w:val="正文文本缩进_0"/>
    <w:basedOn w:val="1071"/>
    <w:uiPriority w:val="0"/>
    <w:qFormat/>
    <w:pPr>
      <w:ind w:firstLine="225"/>
    </w:pPr>
    <w:rPr>
      <w:rFonts w:ascii="仿宋_GB2312" w:eastAsia="仿宋_GB2312"/>
      <w:sz w:val="32"/>
    </w:rPr>
  </w:style>
  <w:style w:type="paragraph" w:styleId="1071" w:customStyle="1">
    <w:name w:val="正文_2"/>
    <w:next w:val="1070"/>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Normal_0_2"/>
    <w:next w:val="1073"/>
    <w:uiPriority w:val="0"/>
    <w:qFormat/>
    <w:rPr>
      <w:rFonts w:hint="default" w:ascii="黑体" w:hAnsi="黑体" w:eastAsia="黑体" w:cs="黑体"/>
      <w:b/>
      <w:sz w:val="32"/>
      <w:szCs w:val="24"/>
      <w:lang w:val="en-US" w:eastAsia="zh-CN" w:bidi="ar-SA"/>
    </w:rPr>
  </w:style>
  <w:style w:type="paragraph" w:styleId="1073" w:customStyle="1">
    <w:name w:val="Body Text First Indent_1"/>
    <w:basedOn w:val="769"/>
    <w:uiPriority w:val="99"/>
    <w:unhideWhenUsed/>
    <w:qFormat/>
    <w:pPr>
      <w:ind w:firstLine="420"/>
      <w:spacing w:after="120"/>
    </w:pPr>
    <w:rPr>
      <w:rFonts w:eastAsia="Times New Roman"/>
    </w:rPr>
  </w:style>
  <w:style w:type="paragraph" w:styleId="107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5" w:customStyle="1">
    <w:name w:val="Normal_0_1"/>
    <w:next w:val="1076"/>
    <w:uiPriority w:val="0"/>
    <w:qFormat/>
    <w:rPr>
      <w:rFonts w:hint="default" w:ascii="黑体" w:hAnsi="黑体" w:eastAsia="黑体" w:cs="黑体"/>
      <w:b/>
      <w:sz w:val="32"/>
      <w:szCs w:val="24"/>
      <w:lang w:val="en-US" w:eastAsia="zh-CN" w:bidi="ar-SA"/>
    </w:rPr>
  </w:style>
  <w:style w:type="paragraph" w:styleId="1076" w:customStyle="1">
    <w:name w:val="Body Text First Indent_0"/>
    <w:basedOn w:val="1077"/>
    <w:uiPriority w:val="99"/>
    <w:unhideWhenUsed/>
    <w:qFormat/>
    <w:pPr>
      <w:ind w:firstLine="420"/>
      <w:spacing w:after="120"/>
    </w:pPr>
  </w:style>
  <w:style w:type="paragraph" w:styleId="1077" w:customStyle="1">
    <w:name w:val="正文3"/>
    <w:next w:val="1078"/>
    <w:uiPriority w:val="0"/>
    <w:qFormat/>
    <w:rPr>
      <w:rFonts w:hint="default" w:ascii="Times New Roman" w:hAnsi="Times New Roman" w:eastAsia="Times New Roman" w:cs="Times New Roman"/>
      <w:sz w:val="24"/>
      <w:szCs w:val="24"/>
      <w:lang w:val="en-US" w:eastAsia="zh-CN" w:bidi="ar-SA"/>
    </w:rPr>
  </w:style>
  <w:style w:type="paragraph" w:styleId="1078" w:customStyle="1">
    <w:name w:val="正文首行缩进3"/>
    <w:basedOn w:val="1067"/>
    <w:uiPriority w:val="99"/>
    <w:unhideWhenUsed/>
    <w:qFormat/>
    <w:pPr>
      <w:ind w:firstLine="420"/>
      <w:spacing w:after="120"/>
    </w:pPr>
    <w:rPr>
      <w:sz w:val="20"/>
    </w:rPr>
  </w:style>
  <w:style w:type="paragraph" w:styleId="1079" w:customStyle="1">
    <w:name w:val="Normal_1_1"/>
    <w:uiPriority w:val="0"/>
    <w:qFormat/>
    <w:rPr>
      <w:rFonts w:hint="default" w:ascii="黑体" w:hAnsi="黑体" w:eastAsia="黑体" w:cs="黑体"/>
      <w:b/>
      <w:sz w:val="32"/>
      <w:szCs w:val="24"/>
      <w:lang w:val="en-US" w:eastAsia="zh-CN" w:bidi="ar-SA"/>
    </w:rPr>
  </w:style>
  <w:style w:type="paragraph" w:styleId="108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2_0"/>
    <w:uiPriority w:val="0"/>
    <w:qFormat/>
    <w:rPr>
      <w:rFonts w:hint="default" w:ascii="黑体" w:hAnsi="黑体" w:eastAsia="黑体" w:cs="黑体"/>
      <w:b/>
      <w:sz w:val="32"/>
      <w:szCs w:val="24"/>
      <w:lang w:val="en-US" w:eastAsia="zh-CN" w:bidi="ar-SA"/>
    </w:rPr>
  </w:style>
  <w:style w:type="paragraph" w:styleId="108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4_0"/>
    <w:uiPriority w:val="0"/>
    <w:qFormat/>
    <w:rPr>
      <w:rFonts w:hint="default" w:ascii="黑体" w:hAnsi="黑体" w:eastAsia="黑体" w:cs="黑体"/>
      <w:b/>
      <w:sz w:val="32"/>
      <w:szCs w:val="24"/>
      <w:lang w:val="en-US" w:eastAsia="zh-CN" w:bidi="ar-SA"/>
    </w:rPr>
  </w:style>
  <w:style w:type="paragraph" w:styleId="108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Normal_6_0"/>
    <w:uiPriority w:val="0"/>
    <w:qFormat/>
    <w:rPr>
      <w:rFonts w:hint="default" w:ascii="黑体" w:hAnsi="黑体" w:eastAsia="黑体" w:cs="黑体"/>
      <w:b/>
      <w:sz w:val="32"/>
      <w:szCs w:val="24"/>
      <w:lang w:val="en-US" w:eastAsia="zh-CN" w:bidi="ar-SA"/>
    </w:rPr>
  </w:style>
  <w:style w:type="paragraph" w:styleId="108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90" w:customStyle="1">
    <w:name w:val="Normal_7_0"/>
    <w:uiPriority w:val="0"/>
    <w:qFormat/>
    <w:rPr>
      <w:rFonts w:hint="default" w:ascii="黑体" w:hAnsi="黑体" w:eastAsia="黑体" w:cs="黑体"/>
      <w:b/>
      <w:sz w:val="32"/>
      <w:szCs w:val="24"/>
      <w:lang w:val="en-US" w:eastAsia="zh-CN" w:bidi="ar-SA"/>
    </w:rPr>
  </w:style>
  <w:style w:type="paragraph" w:styleId="109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3" w:customStyle="1">
    <w:name w:val="Normal_10_0"/>
    <w:uiPriority w:val="0"/>
    <w:qFormat/>
    <w:rPr>
      <w:rFonts w:hint="default" w:ascii="黑体" w:hAnsi="黑体" w:eastAsia="黑体" w:cs="黑体"/>
      <w:b/>
      <w:sz w:val="32"/>
      <w:szCs w:val="24"/>
      <w:lang w:val="en-US" w:eastAsia="zh-CN" w:bidi="ar-SA"/>
    </w:rPr>
  </w:style>
  <w:style w:type="paragraph" w:styleId="109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正文首行缩进 2_1"/>
    <w:basedOn w:val="1096"/>
    <w:next w:val="1098"/>
    <w:uiPriority w:val="0"/>
    <w:qFormat/>
    <w:pPr>
      <w:ind w:left="200" w:firstLine="200"/>
      <w:spacing w:after="120"/>
    </w:pPr>
    <w:rPr>
      <w:rFonts w:ascii="Times New Roman"/>
      <w:szCs w:val="24"/>
    </w:rPr>
  </w:style>
  <w:style w:type="paragraph" w:styleId="1096" w:customStyle="1">
    <w:name w:val="正文文本缩进_1"/>
    <w:basedOn w:val="1097"/>
    <w:next w:val="1095"/>
    <w:uiPriority w:val="0"/>
    <w:qFormat/>
    <w:pPr>
      <w:ind w:firstLine="225"/>
    </w:pPr>
    <w:rPr>
      <w:rFonts w:ascii="仿宋_GB2312" w:eastAsia="仿宋_GB2312"/>
      <w:sz w:val="32"/>
    </w:rPr>
  </w:style>
  <w:style w:type="paragraph" w:styleId="1097" w:customStyle="1">
    <w:name w:val="正文_18"/>
    <w:next w:val="1096"/>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xl53_0"/>
    <w:next w:val="109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Normal_11_0"/>
    <w:uiPriority w:val="0"/>
    <w:qFormat/>
    <w:rPr>
      <w:rFonts w:hint="default" w:ascii="黑体" w:hAnsi="黑体" w:eastAsia="黑体" w:cs="黑体"/>
      <w:b/>
      <w:sz w:val="32"/>
      <w:szCs w:val="24"/>
      <w:lang w:val="en-US" w:eastAsia="zh-CN" w:bidi="ar-SA"/>
    </w:rPr>
  </w:style>
  <w:style w:type="paragraph" w:styleId="110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5" w:customStyle="1">
    <w:name w:val="列出段落_2"/>
    <w:basedOn w:val="1103"/>
    <w:uiPriority w:val="34"/>
    <w:qFormat/>
    <w:pPr>
      <w:ind w:firstLine="420"/>
    </w:pPr>
  </w:style>
  <w:style w:type="paragraph" w:styleId="1106" w:customStyle="1">
    <w:name w:val="Normal_13_0"/>
    <w:uiPriority w:val="0"/>
    <w:qFormat/>
    <w:rPr>
      <w:rFonts w:hint="default" w:ascii="黑体" w:hAnsi="黑体" w:eastAsia="黑体" w:cs="黑体"/>
      <w:b/>
      <w:sz w:val="32"/>
      <w:szCs w:val="24"/>
      <w:lang w:val="en-US" w:eastAsia="zh-CN" w:bidi="ar-SA"/>
    </w:rPr>
  </w:style>
  <w:style w:type="paragraph" w:styleId="110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纯文本_0_0"/>
    <w:basedOn w:val="1107"/>
    <w:uiPriority w:val="0"/>
    <w:unhideWhenUsed/>
    <w:qFormat/>
    <w:rPr>
      <w:rFonts w:ascii="宋体" w:hAnsi="Courier New"/>
      <w:szCs w:val="21"/>
    </w:rPr>
  </w:style>
  <w:style w:type="paragraph" w:styleId="110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14_0"/>
    <w:uiPriority w:val="0"/>
    <w:qFormat/>
    <w:rPr>
      <w:rFonts w:hint="default" w:ascii="黑体" w:hAnsi="黑体" w:eastAsia="黑体" w:cs="黑体"/>
      <w:b/>
      <w:sz w:val="32"/>
      <w:szCs w:val="24"/>
      <w:lang w:val="en-US" w:eastAsia="zh-CN" w:bidi="ar-SA"/>
    </w:rPr>
  </w:style>
  <w:style w:type="paragraph" w:styleId="111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Normal_15_0"/>
    <w:uiPriority w:val="0"/>
    <w:qFormat/>
    <w:rPr>
      <w:rFonts w:hint="default" w:ascii="黑体" w:hAnsi="黑体" w:eastAsia="黑体" w:cs="黑体"/>
      <w:b/>
      <w:sz w:val="32"/>
      <w:szCs w:val="24"/>
      <w:lang w:val="en-US" w:eastAsia="zh-CN" w:bidi="ar-SA"/>
    </w:rPr>
  </w:style>
  <w:style w:type="paragraph" w:styleId="111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6_0"/>
    <w:uiPriority w:val="0"/>
    <w:qFormat/>
    <w:rPr>
      <w:rFonts w:hint="default" w:ascii="黑体" w:hAnsi="黑体" w:eastAsia="黑体" w:cs="黑体"/>
      <w:b/>
      <w:sz w:val="32"/>
      <w:szCs w:val="24"/>
      <w:lang w:val="en-US" w:eastAsia="zh-CN" w:bidi="ar-SA"/>
    </w:rPr>
  </w:style>
  <w:style w:type="paragraph" w:styleId="111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_17_0"/>
    <w:uiPriority w:val="0"/>
    <w:qFormat/>
    <w:rPr>
      <w:rFonts w:hint="default" w:ascii="黑体" w:hAnsi="黑体" w:eastAsia="黑体" w:cs="黑体"/>
      <w:b/>
      <w:sz w:val="32"/>
      <w:szCs w:val="24"/>
      <w:lang w:val="en-US" w:eastAsia="zh-CN" w:bidi="ar-SA"/>
    </w:rPr>
  </w:style>
  <w:style w:type="paragraph" w:styleId="111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Normal_18_0"/>
    <w:uiPriority w:val="0"/>
    <w:qFormat/>
    <w:rPr>
      <w:rFonts w:hint="default" w:ascii="黑体" w:hAnsi="黑体" w:eastAsia="黑体" w:cs="黑体"/>
      <w:b/>
      <w:sz w:val="32"/>
      <w:szCs w:val="24"/>
      <w:lang w:val="en-US" w:eastAsia="zh-CN" w:bidi="ar-SA"/>
    </w:rPr>
  </w:style>
  <w:style w:type="paragraph" w:styleId="112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Normal_14_0_0"/>
    <w:uiPriority w:val="0"/>
    <w:qFormat/>
    <w:rPr>
      <w:rFonts w:hint="default" w:ascii="黑体" w:hAnsi="黑体" w:eastAsia="黑体" w:cs="Times New Roman"/>
      <w:b/>
      <w:sz w:val="32"/>
      <w:szCs w:val="24"/>
      <w:lang w:val="en-US" w:eastAsia="zh-CN" w:bidi="ar-SA"/>
    </w:rPr>
  </w:style>
  <w:style w:type="paragraph" w:styleId="112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Normal Indent_0"/>
    <w:basedOn w:val="907"/>
    <w:uiPriority w:val="0"/>
    <w:qFormat/>
    <w:pPr>
      <w:ind w:firstLine="420"/>
    </w:pPr>
    <w:rPr>
      <w:rFonts w:ascii="宋体" w:eastAsia="Times New Roman"/>
      <w:color w:val="000000"/>
      <w:sz w:val="24"/>
      <w:szCs w:val="20"/>
    </w:rPr>
  </w:style>
  <w:style w:type="paragraph" w:styleId="1130" w:customStyle="1">
    <w:name w:val="Heading 3_0"/>
    <w:basedOn w:val="907"/>
    <w:next w:val="907"/>
    <w:uiPriority w:val="0"/>
    <w:qFormat/>
    <w:pPr>
      <w:keepLines/>
      <w:keepNext/>
      <w:spacing w:before="260" w:after="260" w:line="413" w:lineRule="auto"/>
      <w:outlineLvl w:val="2"/>
    </w:pPr>
    <w:rPr>
      <w:rFonts w:ascii="Times New Roman" w:hAnsi="Times New Roman" w:eastAsia="Times New Roman"/>
      <w:szCs w:val="20"/>
    </w:rPr>
  </w:style>
  <w:style w:type="paragraph" w:styleId="113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2"/>
    <w:basedOn w:val="752"/>
    <w:uiPriority w:val="0"/>
    <w:qFormat/>
    <w:pPr>
      <w:ind w:firstLine="510"/>
      <w:spacing w:before="156" w:line="360" w:lineRule="auto"/>
    </w:pPr>
    <w:rPr>
      <w:sz w:val="24"/>
      <w:szCs w:val="20"/>
    </w:rPr>
  </w:style>
  <w:style w:type="paragraph" w:styleId="113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3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5" w:customStyle="1">
    <w:name w:val="Normal_19_1_0"/>
    <w:next w:val="1136"/>
    <w:uiPriority w:val="0"/>
    <w:qFormat/>
    <w:pPr>
      <w:jc w:val="both"/>
      <w:widowControl w:val="off"/>
    </w:pPr>
    <w:rPr>
      <w:rFonts w:hint="default" w:ascii="Calibri" w:hAnsi="Calibri" w:eastAsia="宋体" w:cs="Times New Roman"/>
      <w:szCs w:val="24"/>
      <w:lang w:val="en-US" w:eastAsia="zh-CN" w:bidi="ar-SA"/>
    </w:rPr>
  </w:style>
  <w:style w:type="paragraph" w:styleId="1136" w:customStyle="1">
    <w:name w:val="正文_16_0"/>
    <w:basedOn w:val="1097"/>
    <w:next w:val="1095"/>
    <w:uiPriority w:val="0"/>
    <w:qFormat/>
    <w:rPr>
      <w:rFonts w:ascii="Times New Roman" w:hAnsi="Times New Roman"/>
    </w:rPr>
  </w:style>
  <w:style w:type="paragraph" w:styleId="1137" w:customStyle="1">
    <w:name w:val="Normal_19_0"/>
    <w:basedOn w:val="764"/>
    <w:next w:val="1138"/>
    <w:uiPriority w:val="0"/>
    <w:qFormat/>
    <w:rPr>
      <w:szCs w:val="24"/>
    </w:rPr>
  </w:style>
  <w:style w:type="paragraph" w:styleId="1138" w:customStyle="1">
    <w:name w:val="Body Text First Indent_1_0"/>
    <w:basedOn w:val="1137"/>
    <w:uiPriority w:val="0"/>
    <w:qFormat/>
    <w:pPr>
      <w:ind w:firstLine="100"/>
      <w:spacing w:after="120"/>
    </w:pPr>
  </w:style>
  <w:style w:type="paragraph" w:styleId="1139" w:customStyle="1">
    <w:name w:val="Body Text_0"/>
    <w:basedOn w:val="1137"/>
    <w:uiPriority w:val="0"/>
    <w:qFormat/>
    <w:pPr>
      <w:spacing w:line="60" w:lineRule="auto"/>
    </w:pPr>
    <w:rPr>
      <w:rFonts w:ascii="仿宋_GB2312" w:eastAsia="仿宋_GB2312"/>
      <w:sz w:val="32"/>
    </w:rPr>
  </w:style>
  <w:style w:type="paragraph" w:styleId="1140" w:customStyle="1">
    <w:name w:val="Normal_19_1"/>
    <w:next w:val="907"/>
    <w:uiPriority w:val="0"/>
    <w:qFormat/>
    <w:pPr>
      <w:jc w:val="both"/>
      <w:widowControl w:val="off"/>
    </w:pPr>
    <w:rPr>
      <w:rFonts w:hint="default" w:ascii="Calibri" w:hAnsi="Calibri" w:eastAsia="宋体" w:cs="Times New Roman"/>
      <w:szCs w:val="24"/>
      <w:lang w:val="en-US" w:eastAsia="zh-CN" w:bidi="ar-SA"/>
    </w:rPr>
  </w:style>
  <w:style w:type="paragraph" w:styleId="1141"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3" w:customStyle="1">
    <w:name w:val="正文1_1"/>
    <w:basedOn w:val="1091"/>
    <w:uiPriority w:val="0"/>
    <w:qFormat/>
    <w:pPr>
      <w:jc w:val="both"/>
      <w:widowControl w:val="off"/>
    </w:pPr>
    <w:rPr>
      <w:sz w:val="20"/>
      <w:szCs w:val="20"/>
    </w:rPr>
  </w:style>
  <w:style w:type="paragraph" w:styleId="114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6" w:customStyle="1">
    <w:name w:val="Normal_16_1"/>
    <w:uiPriority w:val="0"/>
    <w:qFormat/>
    <w:rPr>
      <w:rFonts w:hint="default" w:ascii="黑体" w:hAnsi="黑体" w:eastAsia="黑体" w:cs="Times New Roman"/>
      <w:b/>
      <w:sz w:val="32"/>
      <w:szCs w:val="24"/>
      <w:lang w:val="en-US" w:eastAsia="zh-CN" w:bidi="ar-SA"/>
    </w:rPr>
  </w:style>
  <w:style w:type="paragraph" w:styleId="1147" w:customStyle="1">
    <w:name w:val="Normal_19_0_1"/>
    <w:uiPriority w:val="0"/>
    <w:qFormat/>
    <w:rPr>
      <w:rFonts w:hint="default" w:ascii="Tahoma" w:hAnsi="Tahoma" w:eastAsia="微软雅黑" w:cs="Times New Roman"/>
      <w:lang w:val="en-US" w:eastAsia="zh-CN" w:bidi="ar-SA"/>
    </w:rPr>
  </w:style>
  <w:style w:type="paragraph" w:styleId="114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9"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50" w:customStyle="1">
    <w:name w:val="Normal_17_0_0"/>
    <w:uiPriority w:val="0"/>
    <w:qFormat/>
    <w:rPr>
      <w:rFonts w:hint="default" w:ascii="黑体" w:hAnsi="黑体" w:eastAsia="黑体" w:cs="Times New Roman"/>
      <w:b/>
      <w:sz w:val="32"/>
      <w:szCs w:val="24"/>
      <w:lang w:val="en-US" w:eastAsia="zh-CN" w:bidi="ar-SA"/>
    </w:rPr>
  </w:style>
  <w:style w:type="paragraph" w:styleId="1151" w:customStyle="1">
    <w:name w:val="Normal_19_0_1_0"/>
    <w:uiPriority w:val="0"/>
    <w:qFormat/>
    <w:rPr>
      <w:rFonts w:hint="default" w:ascii="Tahoma" w:hAnsi="Tahoma" w:eastAsia="微软雅黑" w:cs="Times New Roman"/>
      <w:lang w:val="en-US" w:eastAsia="zh-CN" w:bidi="ar-SA"/>
    </w:rPr>
  </w:style>
  <w:style w:type="paragraph" w:styleId="1152" w:customStyle="1">
    <w:name w:val="Normal_19_3"/>
    <w:next w:val="1153"/>
    <w:uiPriority w:val="0"/>
    <w:qFormat/>
    <w:pPr>
      <w:jc w:val="both"/>
      <w:widowControl w:val="off"/>
    </w:pPr>
    <w:rPr>
      <w:rFonts w:hint="default" w:ascii="Calibri" w:hAnsi="Calibri" w:eastAsia="Times New Roman" w:cs="Times New Roman"/>
      <w:szCs w:val="24"/>
      <w:lang w:val="en-US" w:eastAsia="zh-CN" w:bidi="ar-SA"/>
    </w:rPr>
  </w:style>
  <w:style w:type="paragraph" w:styleId="115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5" w:customStyle="1">
    <w:name w:val="custom-tag-placeholder-class"/>
    <w:uiPriority w:val="0"/>
    <w:qFormat/>
  </w:style>
  <w:style w:type="paragraph" w:styleId="1156" w:customStyle="1">
    <w:name w:val="Normal_19_0_0"/>
    <w:basedOn w:val="907"/>
    <w:next w:val="1157"/>
    <w:uiPriority w:val="0"/>
    <w:qFormat/>
    <w:rPr>
      <w:rFonts w:ascii="Calibri" w:hAnsi="Calibri" w:eastAsia="Times New Roman"/>
      <w:sz w:val="24"/>
    </w:rPr>
  </w:style>
  <w:style w:type="paragraph" w:styleId="1157" w:customStyle="1">
    <w:name w:val="Body Text First Indent_1_0_0"/>
    <w:basedOn w:val="1156"/>
    <w:uiPriority w:val="0"/>
    <w:qFormat/>
    <w:pPr>
      <w:ind w:firstLine="100"/>
      <w:spacing w:after="120"/>
    </w:pPr>
  </w:style>
  <w:style w:type="paragraph" w:styleId="1158" w:customStyle="1">
    <w:name w:val="正文首行缩进1"/>
    <w:basedOn w:val="1159"/>
    <w:uiPriority w:val="0"/>
    <w:qFormat/>
    <w:pPr>
      <w:ind w:firstLine="100"/>
      <w:spacing w:after="120" w:line="240" w:lineRule="auto"/>
    </w:pPr>
    <w:rPr>
      <w:rFonts w:ascii="Times New Roman" w:hAnsi="Times New Roman" w:eastAsia="宋体"/>
      <w:sz w:val="21"/>
    </w:rPr>
  </w:style>
  <w:style w:type="paragraph" w:styleId="1159" w:customStyle="1">
    <w:name w:val="正文文本1"/>
    <w:basedOn w:val="752"/>
    <w:uiPriority w:val="0"/>
    <w:qFormat/>
    <w:pPr>
      <w:spacing w:line="60" w:lineRule="auto"/>
    </w:pPr>
    <w:rPr>
      <w:rFonts w:ascii="仿宋_GB2312" w:eastAsia="仿宋_GB2312"/>
      <w:sz w:val="32"/>
    </w:rPr>
  </w:style>
  <w:style w:type="paragraph" w:styleId="116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List Paragraph_0"/>
    <w:basedOn w:val="1071"/>
    <w:uiPriority w:val="0"/>
    <w:qFormat/>
    <w:pPr>
      <w:ind w:firstLine="420"/>
    </w:pPr>
  </w:style>
  <w:style w:type="paragraph" w:styleId="1162" w:customStyle="1">
    <w:name w:val="纯文本_1"/>
    <w:basedOn w:val="1160"/>
    <w:uiPriority w:val="0"/>
    <w:qFormat/>
    <w:rPr>
      <w:rFonts w:ascii="宋体" w:hAnsi="Times New Roman"/>
      <w:sz w:val="20"/>
      <w:szCs w:val="21"/>
    </w:rPr>
  </w:style>
  <w:style w:type="paragraph" w:styleId="1163" w:customStyle="1">
    <w:name w:val="正文_16_0_0"/>
    <w:next w:val="933"/>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正文_11_0"/>
    <w:basedOn w:val="933"/>
    <w:uiPriority w:val="0"/>
    <w:qFormat/>
    <w:rPr>
      <w:rFonts w:ascii="Calibri" w:hAnsi="Calibri"/>
      <w:szCs w:val="20"/>
    </w:rPr>
  </w:style>
  <w:style w:type="paragraph" w:styleId="1165" w:customStyle="1">
    <w:name w:val="Normal_19_0_0_0"/>
    <w:basedOn w:val="764"/>
    <w:uiPriority w:val="0"/>
    <w:qFormat/>
    <w:rPr>
      <w:rFonts w:cs="黑体"/>
      <w:szCs w:val="24"/>
    </w:rPr>
  </w:style>
  <w:style w:type="paragraph" w:styleId="1166" w:customStyle="1">
    <w:name w:val="无间隔11"/>
    <w:basedOn w:val="1077"/>
    <w:uiPriority w:val="0"/>
    <w:qFormat/>
    <w:rPr>
      <w:rFonts w:ascii="Calibri" w:hAnsi="Calibri" w:cs="Calibri"/>
    </w:rPr>
  </w:style>
  <w:style w:type="paragraph" w:styleId="1167" w:customStyle="1">
    <w:name w:val="标题 31"/>
    <w:basedOn w:val="1077"/>
    <w:next w:val="1077"/>
    <w:uiPriority w:val="0"/>
    <w:qFormat/>
    <w:pPr>
      <w:keepLines/>
      <w:keepNext/>
      <w:spacing w:before="260" w:after="260" w:line="413" w:lineRule="auto"/>
      <w:outlineLvl w:val="2"/>
    </w:pPr>
    <w:rPr>
      <w:b/>
      <w:sz w:val="32"/>
      <w:szCs w:val="20"/>
    </w:rPr>
  </w:style>
  <w:style w:type="character" w:styleId="1168" w:customStyle="1">
    <w:name w:val="标题 2 Char_0"/>
    <w:link w:val="1169"/>
    <w:uiPriority w:val="0"/>
    <w:qFormat/>
    <w:rPr>
      <w:rFonts w:ascii="Arial" w:hAnsi="Arial" w:eastAsia="黑体"/>
      <w:b/>
      <w:sz w:val="32"/>
      <w:szCs w:val="22"/>
    </w:rPr>
  </w:style>
  <w:style w:type="paragraph" w:styleId="1169" w:customStyle="1">
    <w:name w:val="标题 21"/>
    <w:basedOn w:val="765"/>
    <w:next w:val="765"/>
    <w:link w:val="1168"/>
    <w:uiPriority w:val="0"/>
    <w:unhideWhenUsed/>
    <w:qFormat/>
    <w:pPr>
      <w:keepLines/>
      <w:keepNext/>
      <w:spacing w:before="260" w:after="260" w:line="413" w:lineRule="auto"/>
      <w:outlineLvl w:val="1"/>
    </w:pPr>
    <w:rPr>
      <w:rFonts w:ascii="Arial" w:hAnsi="Arial"/>
      <w:szCs w:val="22"/>
    </w:rPr>
  </w:style>
  <w:style w:type="paragraph" w:styleId="1170" w:customStyle="1">
    <w:name w:val="Normal_19_1_0_0"/>
    <w:next w:val="1171"/>
    <w:uiPriority w:val="0"/>
    <w:qFormat/>
    <w:pPr>
      <w:jc w:val="both"/>
      <w:widowControl w:val="off"/>
    </w:pPr>
    <w:rPr>
      <w:rFonts w:hint="default" w:ascii="Calibri" w:hAnsi="Calibri" w:eastAsia="宋体" w:cs="Times New Roman"/>
      <w:sz w:val="21"/>
      <w:szCs w:val="24"/>
      <w:lang w:val="en-US" w:eastAsia="zh-CN" w:bidi="ar-SA"/>
    </w:rPr>
  </w:style>
  <w:style w:type="paragraph" w:styleId="117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2" w:customStyle="1">
    <w:name w:val="正文1_0_0"/>
    <w:basedOn w:val="765"/>
    <w:uiPriority w:val="0"/>
    <w:qFormat/>
    <w:pPr>
      <w:ind w:left="357" w:firstLine="420"/>
      <w:spacing w:line="360" w:lineRule="auto"/>
    </w:pPr>
    <w:rPr>
      <w:rFonts w:eastAsia="Times New Roman" w:cs="Arial"/>
    </w:rPr>
  </w:style>
  <w:style w:type="paragraph" w:styleId="1173"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1174" w:customStyle="1">
    <w:name w:val="正文空2字"/>
    <w:basedOn w:val="1175"/>
    <w:uiPriority w:val="99"/>
    <w:qFormat/>
    <w:pPr>
      <w:ind w:firstLine="640"/>
      <w:spacing w:line="560" w:lineRule="exact"/>
      <w:widowControl w:val="off"/>
    </w:pPr>
    <w:rPr>
      <w:rFonts w:ascii="仿宋_GB2312" w:hAnsi="仿宋_GB2312" w:cs="仿宋_GB2312"/>
      <w:lang w:val="zh-TW"/>
    </w:rPr>
  </w:style>
  <w:style w:type="paragraph" w:styleId="1175" w:customStyle="1">
    <w:name w:val="左对齐正文"/>
    <w:uiPriority w:val="99"/>
    <w:qFormat/>
    <w:rPr>
      <w:rFonts w:hint="default" w:ascii="Calibri" w:hAnsi="Calibri" w:eastAsia="仿宋_GB2312" w:cs="Calibri"/>
      <w:sz w:val="32"/>
      <w:szCs w:val="32"/>
      <w:lang w:val="en-US" w:eastAsia="zh-CN" w:bidi="ar-SA"/>
    </w:rPr>
  </w:style>
  <w:style w:type="paragraph" w:styleId="1176" w:customStyle="1">
    <w:name w:val="普通(网站)1"/>
    <w:basedOn w:val="752"/>
    <w:uiPriority w:val="0"/>
    <w:qFormat/>
    <w:rPr>
      <w:sz w:val="24"/>
    </w:rPr>
  </w:style>
  <w:style w:type="paragraph" w:styleId="1177" w:customStyle="1">
    <w:name w:val="正文文本_0"/>
    <w:basedOn w:val="1071"/>
    <w:next w:val="1178"/>
    <w:uiPriority w:val="0"/>
    <w:qFormat/>
    <w:pPr>
      <w:spacing w:line="60" w:lineRule="auto"/>
    </w:pPr>
    <w:rPr>
      <w:rFonts w:ascii="仿宋_GB2312" w:eastAsia="仿宋_GB2312"/>
      <w:sz w:val="32"/>
    </w:rPr>
  </w:style>
  <w:style w:type="paragraph" w:styleId="1178" w:customStyle="1">
    <w:name w:val="正文缩进_1"/>
    <w:basedOn w:val="1071"/>
    <w:next w:val="1071"/>
    <w:uiPriority w:val="0"/>
    <w:qFormat/>
    <w:pPr>
      <w:ind w:firstLine="420"/>
    </w:pPr>
    <w:rPr>
      <w:rFonts w:ascii="宋体"/>
      <w:color w:val="000000"/>
      <w:sz w:val="24"/>
      <w:szCs w:val="20"/>
    </w:rPr>
  </w:style>
  <w:style w:type="paragraph" w:styleId="1179" w:customStyle="1">
    <w:name w:val="Table Paragraph"/>
    <w:basedOn w:val="907"/>
    <w:uiPriority w:val="1"/>
    <w:qFormat/>
    <w:rPr>
      <w:rFonts w:ascii="宋体" w:hAnsi="宋体" w:cs="宋体"/>
      <w:sz w:val="22"/>
      <w:lang w:val="zh-CN" w:bidi="zh-CN"/>
    </w:rPr>
  </w:style>
  <w:style w:type="paragraph" w:styleId="1180" w:customStyle="1">
    <w:name w:val="Normal_19_2"/>
    <w:basedOn w:val="1181"/>
    <w:uiPriority w:val="0"/>
    <w:qFormat/>
    <w:rPr>
      <w:rFonts w:ascii="Times New Roman" w:hAnsi="Times New Roman"/>
      <w:szCs w:val="21"/>
    </w:rPr>
  </w:style>
  <w:style w:type="paragraph" w:styleId="118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文本2"/>
    <w:basedOn w:val="931"/>
    <w:uiPriority w:val="0"/>
    <w:qFormat/>
    <w:pPr>
      <w:spacing w:line="60" w:lineRule="auto"/>
    </w:pPr>
    <w:rPr>
      <w:rFonts w:ascii="仿宋_GB2312" w:eastAsia="仿宋_GB2312"/>
      <w:sz w:val="32"/>
      <w:szCs w:val="22"/>
    </w:rPr>
  </w:style>
  <w:style w:type="paragraph" w:styleId="1183" w:customStyle="1">
    <w:name w:val="正文1_0"/>
    <w:basedOn w:val="1160"/>
    <w:uiPriority w:val="0"/>
    <w:qFormat/>
    <w:pPr>
      <w:ind w:left="357" w:firstLine="420"/>
      <w:jc w:val="left"/>
      <w:spacing w:line="360" w:lineRule="auto"/>
      <w:widowControl/>
    </w:pPr>
    <w:rPr>
      <w:rFonts w:cs="Arial"/>
      <w:szCs w:val="20"/>
    </w:rPr>
  </w:style>
  <w:style w:type="paragraph" w:styleId="1184" w:customStyle="1">
    <w:name w:val="Normal_19_2_0"/>
    <w:basedOn w:val="1185"/>
    <w:uiPriority w:val="0"/>
    <w:qFormat/>
    <w:rPr>
      <w:rFonts w:ascii="Times New Roman" w:hAnsi="Times New Roman"/>
      <w:szCs w:val="21"/>
    </w:rPr>
  </w:style>
  <w:style w:type="paragraph" w:styleId="1185"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正文缩进1"/>
    <w:basedOn w:val="752"/>
    <w:uiPriority w:val="0"/>
    <w:qFormat/>
    <w:pPr>
      <w:ind w:firstLine="420"/>
      <w:jc w:val="left"/>
    </w:pPr>
    <w:rPr>
      <w:rFonts w:ascii="宋体"/>
      <w:sz w:val="24"/>
    </w:rPr>
  </w:style>
  <w:style w:type="paragraph" w:styleId="1187" w:customStyle="1">
    <w:name w:val="纯文本1"/>
    <w:basedOn w:val="932"/>
    <w:uiPriority w:val="0"/>
    <w:qFormat/>
    <w:rPr>
      <w:rFonts w:ascii="宋体" w:hAnsi="Courier New"/>
    </w:rPr>
  </w:style>
  <w:style w:type="paragraph" w:styleId="1188" w:customStyle="1">
    <w:name w:val="Normal_21_0"/>
    <w:next w:val="11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Heading 1_0"/>
    <w:basedOn w:val="1188"/>
    <w:next w:val="1188"/>
    <w:uiPriority w:val="0"/>
    <w:qFormat/>
    <w:pPr>
      <w:jc w:val="center"/>
      <w:keepLines/>
      <w:keepNext/>
      <w:spacing w:before="240" w:after="120" w:line="300" w:lineRule="auto"/>
      <w:outlineLvl w:val="0"/>
    </w:pPr>
    <w:rPr>
      <w:rFonts w:ascii="宋体"/>
      <w:b/>
      <w:sz w:val="32"/>
      <w:szCs w:val="20"/>
    </w:rPr>
  </w:style>
  <w:style w:type="paragraph" w:styleId="1190"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91" w:customStyle="1">
    <w:name w:val="正文文本 字符"/>
    <w:uiPriority w:val="0"/>
    <w:qFormat/>
    <w:rPr>
      <w:rFonts w:ascii="楷体_GB2312" w:hAnsi="Arial" w:eastAsia="楷体_GB2312" w:cs="Times New Roman"/>
      <w:sz w:val="28"/>
      <w:szCs w:val="28"/>
    </w:rPr>
  </w:style>
  <w:style w:type="character" w:styleId="1192" w:customStyle="1">
    <w:name w:val="正文文本缩进 字符"/>
    <w:uiPriority w:val="0"/>
    <w:qFormat/>
    <w:rPr>
      <w:rFonts w:ascii="楷体_GB2312" w:hAnsi="Times New Roman" w:eastAsia="楷体_GB2312" w:cs="Times New Roman"/>
      <w:sz w:val="32"/>
      <w:szCs w:val="32"/>
    </w:rPr>
  </w:style>
  <w:style w:type="character" w:styleId="1193" w:customStyle="1">
    <w:name w:val="正文文本 字符1"/>
    <w:uiPriority w:val="0"/>
    <w:qFormat/>
    <w:rPr>
      <w:rFonts w:ascii="Calibri" w:hAnsi="Calibri"/>
      <w:sz w:val="28"/>
      <w:szCs w:val="24"/>
    </w:rPr>
  </w:style>
  <w:style w:type="character" w:styleId="1194" w:customStyle="1">
    <w:name w:val="正文文本首行缩进 字符"/>
    <w:uiPriority w:val="0"/>
    <w:qFormat/>
    <w:rPr>
      <w:rFonts w:ascii="仿宋_GB2312" w:hAnsi="Calibri" w:eastAsia="仿宋_GB2312"/>
      <w:sz w:val="30"/>
      <w:szCs w:val="30"/>
    </w:rPr>
  </w:style>
  <w:style w:type="paragraph" w:styleId="1195" w:customStyle="1">
    <w:name w:val="索引 41"/>
    <w:basedOn w:val="752"/>
    <w:next w:val="752"/>
    <w:uiPriority w:val="0"/>
    <w:semiHidden/>
    <w:qFormat/>
    <w:pPr>
      <w:ind w:left="1260"/>
    </w:pPr>
    <w:rPr>
      <w:rFonts w:eastAsia="Calibri" w:cs="宋体"/>
      <w:sz w:val="20"/>
      <w:szCs w:val="21"/>
      <w:lang w:val="zh-CN"/>
    </w:rPr>
  </w:style>
  <w:style w:type="character" w:styleId="1196" w:customStyle="1">
    <w:name w:val="font5 Char"/>
    <w:uiPriority w:val="0"/>
    <w:qFormat/>
    <w:rPr>
      <w:rFonts w:ascii="宋体" w:hAnsi="宋体" w:eastAsia="宋体"/>
      <w:sz w:val="28"/>
      <w:szCs w:val="28"/>
      <w:lang w:val="en-US" w:eastAsia="zh-CN" w:bidi="ar-SA"/>
    </w:rPr>
  </w:style>
  <w:style w:type="character" w:styleId="1197" w:customStyle="1">
    <w:name w:val="二级目录 Char"/>
    <w:link w:val="1198"/>
    <w:uiPriority w:val="0"/>
    <w:qFormat/>
    <w:rPr>
      <w:b/>
      <w:sz w:val="30"/>
      <w:szCs w:val="28"/>
    </w:rPr>
  </w:style>
  <w:style w:type="paragraph" w:styleId="1198" w:customStyle="1">
    <w:name w:val="二级目录"/>
    <w:next w:val="752"/>
    <w:link w:val="1197"/>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9" w:customStyle="1">
    <w:name w:val="列出段落 Char"/>
    <w:link w:val="1200"/>
    <w:uiPriority w:val="0"/>
    <w:qFormat/>
    <w:rPr>
      <w:rFonts w:ascii="Calibri" w:hAnsi="Calibri"/>
      <w:sz w:val="24"/>
      <w:szCs w:val="24"/>
      <w:lang w:eastAsia="en-US" w:bidi="en-US"/>
    </w:rPr>
  </w:style>
  <w:style w:type="paragraph" w:styleId="1200" w:customStyle="1">
    <w:name w:val="列出段落1"/>
    <w:basedOn w:val="752"/>
    <w:link w:val="1199"/>
    <w:uiPriority w:val="0"/>
    <w:qFormat/>
    <w:pPr>
      <w:contextualSpacing/>
      <w:ind w:left="720"/>
      <w:jc w:val="left"/>
      <w:widowControl/>
    </w:pPr>
    <w:rPr>
      <w:sz w:val="24"/>
      <w:szCs w:val="24"/>
      <w:lang w:eastAsia="en-US" w:bidi="en-US"/>
    </w:rPr>
  </w:style>
  <w:style w:type="paragraph" w:styleId="1201" w:customStyle="1">
    <w:name w:val="Body Text(ch)"/>
    <w:basedOn w:val="752"/>
    <w:uiPriority w:val="0"/>
    <w:qFormat/>
    <w:pPr>
      <w:spacing w:after="120"/>
    </w:pPr>
    <w:rPr>
      <w:rFonts w:ascii="宋体" w:hAnsi="Arial"/>
      <w:bCs/>
      <w:iCs/>
      <w:szCs w:val="24"/>
    </w:rPr>
  </w:style>
  <w:style w:type="paragraph" w:styleId="1202" w:customStyle="1">
    <w:name w:val="xl2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3" w:customStyle="1">
    <w:name w:val="xl2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4" w:customStyle="1">
    <w:name w:val="Char"/>
    <w:basedOn w:val="752"/>
    <w:uiPriority w:val="0"/>
    <w:qFormat/>
    <w:pPr>
      <w:ind w:firstLine="200"/>
      <w:tabs>
        <w:tab w:val="left" w:pos="360" w:leader="none"/>
      </w:tabs>
    </w:pPr>
    <w:rPr>
      <w:rFonts w:ascii="Times New Roman" w:hAnsi="Times New Roman"/>
      <w:sz w:val="28"/>
      <w:szCs w:val="30"/>
    </w:rPr>
  </w:style>
  <w:style w:type="paragraph" w:styleId="1205" w:customStyle="1">
    <w:name w:val="Char1"/>
    <w:basedOn w:val="842"/>
    <w:uiPriority w:val="0"/>
    <w:qFormat/>
    <w:rPr>
      <w:rFonts w:ascii="Tahoma" w:hAnsi="Tahoma"/>
      <w:sz w:val="24"/>
      <w:szCs w:val="24"/>
    </w:rPr>
  </w:style>
  <w:style w:type="paragraph" w:styleId="1206" w:customStyle="1">
    <w:name w:val="table_lines"/>
    <w:basedOn w:val="752"/>
    <w:uiPriority w:val="0"/>
    <w:qFormat/>
    <w:pPr>
      <w:jc w:val="left"/>
      <w:widowControl/>
    </w:pPr>
    <w:rPr>
      <w:rFonts w:ascii="Times New Roman" w:hAnsi="Times New Roman"/>
      <w:sz w:val="20"/>
      <w:szCs w:val="20"/>
      <w:lang w:val="de-DE" w:eastAsia="de-DE"/>
    </w:rPr>
  </w:style>
  <w:style w:type="paragraph" w:styleId="1207"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8" w:customStyle="1">
    <w:name w:val="font7"/>
    <w:basedOn w:val="752"/>
    <w:uiPriority w:val="0"/>
    <w:qFormat/>
    <w:pPr>
      <w:jc w:val="left"/>
      <w:spacing w:before="100" w:beforeAutospacing="1" w:after="100" w:afterAutospacing="1"/>
      <w:widowControl/>
    </w:pPr>
    <w:rPr>
      <w:rFonts w:hint="eastAsia" w:ascii="宋体" w:hAnsi="宋体"/>
      <w:sz w:val="18"/>
      <w:szCs w:val="18"/>
    </w:rPr>
  </w:style>
  <w:style w:type="paragraph" w:styleId="1209" w:customStyle="1">
    <w:name w:val="Char Char Char Char"/>
    <w:basedOn w:val="842"/>
    <w:uiPriority w:val="0"/>
    <w:qFormat/>
    <w:pPr>
      <w:spacing w:line="360" w:lineRule="auto"/>
    </w:pPr>
    <w:rPr>
      <w:rFonts w:ascii="Tahoma" w:hAnsi="Tahoma"/>
      <w:sz w:val="24"/>
      <w:szCs w:val="24"/>
    </w:rPr>
  </w:style>
  <w:style w:type="paragraph" w:styleId="1210" w:customStyle="1">
    <w:name w:val="4"/>
    <w:basedOn w:val="752"/>
    <w:next w:val="877"/>
    <w:uiPriority w:val="0"/>
    <w:qFormat/>
    <w:pPr>
      <w:ind w:firstLine="420"/>
      <w:spacing w:line="360" w:lineRule="auto"/>
    </w:pPr>
    <w:rPr>
      <w:rFonts w:ascii="Times New Roman" w:hAnsi="Times New Roman"/>
      <w:color w:val="ff0000"/>
      <w:sz w:val="24"/>
      <w:szCs w:val="24"/>
    </w:rPr>
  </w:style>
  <w:style w:type="paragraph" w:styleId="1211" w:customStyle="1">
    <w:name w:val="普通 (Web)"/>
    <w:basedOn w:val="752"/>
    <w:uiPriority w:val="0"/>
    <w:qFormat/>
    <w:pPr>
      <w:jc w:val="left"/>
      <w:spacing w:before="100" w:beforeAutospacing="1" w:after="100" w:afterAutospacing="1"/>
      <w:widowControl/>
    </w:pPr>
    <w:rPr>
      <w:rFonts w:ascii="宋体" w:hAnsi="宋体"/>
      <w:sz w:val="24"/>
      <w:szCs w:val="24"/>
    </w:rPr>
  </w:style>
  <w:style w:type="paragraph" w:styleId="1212" w:customStyle="1">
    <w:name w:val="Char Char Char Char Char Char Char Char Char Char"/>
    <w:basedOn w:val="752"/>
    <w:uiPriority w:val="0"/>
    <w:qFormat/>
    <w:pPr>
      <w:spacing w:line="360" w:lineRule="auto"/>
    </w:pPr>
    <w:rPr>
      <w:rFonts w:ascii="Times New Roman" w:hAnsi="Times New Roman"/>
      <w:sz w:val="24"/>
      <w:szCs w:val="20"/>
    </w:rPr>
  </w:style>
  <w:style w:type="paragraph" w:styleId="1213" w:customStyle="1">
    <w:name w:val="样式1"/>
    <w:basedOn w:val="752"/>
    <w:uiPriority w:val="0"/>
    <w:qFormat/>
    <w:pPr>
      <w:numPr>
        <w:ilvl w:val="0"/>
        <w:numId w:val="2"/>
      </w:numPr>
      <w:tabs>
        <w:tab w:val="left" w:pos="709" w:leader="none"/>
      </w:tabs>
    </w:pPr>
    <w:rPr>
      <w:rFonts w:ascii="宋体" w:hAnsi="宋体"/>
      <w:szCs w:val="21"/>
    </w:rPr>
  </w:style>
  <w:style w:type="paragraph" w:styleId="1214" w:customStyle="1">
    <w:name w:val="font6"/>
    <w:basedOn w:val="752"/>
    <w:uiPriority w:val="0"/>
    <w:qFormat/>
    <w:pPr>
      <w:jc w:val="left"/>
      <w:spacing w:before="100" w:beforeAutospacing="1" w:after="100" w:afterAutospacing="1"/>
      <w:widowControl/>
    </w:pPr>
    <w:rPr>
      <w:rFonts w:hint="eastAsia" w:ascii="宋体" w:hAnsi="宋体"/>
      <w:sz w:val="28"/>
      <w:szCs w:val="28"/>
      <w:u w:val="single"/>
    </w:rPr>
  </w:style>
  <w:style w:type="paragraph" w:styleId="1215" w:customStyle="1">
    <w:name w:val="xl25"/>
    <w:basedOn w:val="7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6" w:customStyle="1">
    <w:name w:val="图标"/>
    <w:basedOn w:val="752"/>
    <w:next w:val="75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7" w:customStyle="1">
    <w:name w:val="标题3"/>
    <w:basedOn w:val="752"/>
    <w:next w:val="752"/>
    <w:uiPriority w:val="0"/>
    <w:qFormat/>
    <w:pPr>
      <w:ind w:firstLine="624"/>
      <w:spacing w:line="590" w:lineRule="atLeast"/>
    </w:pPr>
    <w:rPr>
      <w:rFonts w:ascii="方正黑体_GBK" w:hAnsi="Times New Roman" w:eastAsia="方正黑体_GBK"/>
      <w:sz w:val="32"/>
      <w:szCs w:val="32"/>
    </w:rPr>
  </w:style>
  <w:style w:type="paragraph" w:styleId="1218" w:customStyle="1">
    <w:name w:val="xl24"/>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9" w:customStyle="1">
    <w:name w:val="xl29"/>
    <w:basedOn w:val="7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0" w:customStyle="1">
    <w:name w:val="Char 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1221" w:customStyle="1">
    <w:name w:val="xl2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2" w:customStyle="1">
    <w:name w:val="Char Char Char Char Char Char Char Char1"/>
    <w:basedOn w:val="752"/>
    <w:uiPriority w:val="0"/>
    <w:qFormat/>
    <w:pPr>
      <w:jc w:val="left"/>
      <w:spacing w:after="160" w:line="240" w:lineRule="exact"/>
      <w:widowControl/>
    </w:pPr>
    <w:rPr>
      <w:rFonts w:ascii="Verdana" w:hAnsi="Verdana"/>
      <w:sz w:val="20"/>
      <w:szCs w:val="20"/>
      <w:lang w:eastAsia="en-US"/>
    </w:rPr>
  </w:style>
  <w:style w:type="paragraph" w:styleId="1223" w:customStyle="1">
    <w:name w:val="xl30"/>
    <w:basedOn w:val="752"/>
    <w:uiPriority w:val="0"/>
    <w:qFormat/>
    <w:pPr>
      <w:jc w:val="center"/>
      <w:spacing w:before="100" w:beforeAutospacing="1" w:after="100" w:afterAutospacing="1"/>
      <w:widowControl/>
    </w:pPr>
    <w:rPr>
      <w:rFonts w:ascii="宋体" w:hAnsi="宋体"/>
      <w:b/>
      <w:bCs/>
      <w:sz w:val="36"/>
      <w:szCs w:val="36"/>
    </w:rPr>
  </w:style>
  <w:style w:type="paragraph" w:styleId="1224" w:customStyle="1">
    <w:name w:val="Char Char Char Char1"/>
    <w:basedOn w:val="842"/>
    <w:uiPriority w:val="0"/>
    <w:qFormat/>
    <w:pPr>
      <w:spacing w:line="360" w:lineRule="auto"/>
    </w:pPr>
    <w:rPr>
      <w:rFonts w:ascii="Tahoma" w:hAnsi="Tahoma"/>
      <w:sz w:val="24"/>
      <w:szCs w:val="24"/>
    </w:rPr>
  </w:style>
  <w:style w:type="paragraph" w:styleId="1225" w:customStyle="1">
    <w:name w:val="table_1stline"/>
    <w:basedOn w:val="752"/>
    <w:uiPriority w:val="0"/>
    <w:qFormat/>
    <w:pPr>
      <w:jc w:val="left"/>
      <w:spacing w:before="120"/>
      <w:widowControl/>
    </w:pPr>
    <w:rPr>
      <w:rFonts w:ascii="Times New Roman" w:hAnsi="Times New Roman"/>
      <w:bCs/>
      <w:sz w:val="20"/>
      <w:szCs w:val="20"/>
      <w:lang w:val="de-DE" w:eastAsia="de-DE"/>
    </w:rPr>
  </w:style>
  <w:style w:type="paragraph" w:styleId="1226" w:customStyle="1">
    <w:name w:val="font5"/>
    <w:basedOn w:val="752"/>
    <w:uiPriority w:val="0"/>
    <w:qFormat/>
    <w:pPr>
      <w:jc w:val="left"/>
      <w:spacing w:before="100" w:beforeAutospacing="1" w:after="100" w:afterAutospacing="1"/>
      <w:widowControl/>
    </w:pPr>
    <w:rPr>
      <w:rFonts w:hint="eastAsia" w:ascii="宋体" w:hAnsi="宋体"/>
      <w:sz w:val="28"/>
      <w:szCs w:val="28"/>
    </w:rPr>
  </w:style>
  <w:style w:type="paragraph" w:styleId="1227" w:customStyle="1">
    <w:name w:val="标题1"/>
    <w:basedOn w:val="752"/>
    <w:next w:val="75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8"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9" w:customStyle="1">
    <w:name w:val="Table Normal"/>
    <w:uiPriority w:val="0"/>
    <w:qFormat/>
    <w:tblPr>
      <w:tblCellMar>
        <w:left w:w="0" w:type="dxa"/>
        <w:top w:w="0" w:type="dxa"/>
        <w:right w:w="0" w:type="dxa"/>
        <w:bottom w:w="0" w:type="dxa"/>
      </w:tblCellMar>
    </w:tblPr>
  </w:style>
  <w:style w:type="paragraph" w:styleId="1230" w:customStyle="1">
    <w:name w:val="正文文本12"/>
    <w:basedOn w:val="752"/>
    <w:uiPriority w:val="1"/>
    <w:qFormat/>
    <w:pPr>
      <w:ind w:left="120"/>
    </w:pPr>
    <w:rPr>
      <w:rFonts w:ascii="宋体" w:hAnsi="宋体" w:cs="宋体"/>
      <w:szCs w:val="21"/>
      <w:lang w:val="zh-CN" w:bidi="zh-CN"/>
    </w:rPr>
  </w:style>
  <w:style w:type="paragraph" w:styleId="1231" w:customStyle="1">
    <w:name w:val="首行缩进"/>
    <w:basedOn w:val="752"/>
    <w:uiPriority w:val="0"/>
    <w:qFormat/>
    <w:pPr>
      <w:ind w:firstLine="480"/>
    </w:pPr>
    <w:rPr>
      <w:rFonts w:ascii="Times New Roman" w:hAnsi="Times New Roman"/>
      <w:szCs w:val="21"/>
      <w:lang w:val="zh-CN"/>
    </w:rPr>
  </w:style>
  <w:style w:type="paragraph" w:styleId="1232" w:customStyle="1">
    <w:name w:val="部分1"/>
    <w:basedOn w:val="75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3" w:customStyle="1">
    <w:name w:val="15"/>
    <w:uiPriority w:val="0"/>
    <w:qFormat/>
    <w:rPr>
      <w:rFonts w:ascii="Times New Roman" w:hAnsi="Times New Roman" w:cs="Times New Roman"/>
    </w:rPr>
  </w:style>
  <w:style w:type="paragraph" w:styleId="1234" w:customStyle="1">
    <w:name w:val="正文文本缩进 2_0"/>
    <w:basedOn w:val="1071"/>
    <w:uiPriority w:val="0"/>
    <w:qFormat/>
    <w:pPr>
      <w:ind w:firstLine="720"/>
      <w:jc w:val="left"/>
      <w:spacing w:line="540" w:lineRule="exact"/>
    </w:pPr>
    <w:rPr>
      <w:rFonts w:ascii="仿宋_GB2312" w:hAnsi="仿宋_GB2312" w:cs="宋体"/>
      <w:sz w:val="32"/>
      <w:szCs w:val="32"/>
    </w:rPr>
  </w:style>
  <w:style w:type="character" w:styleId="1235" w:customStyle="1">
    <w:name w:val="10"/>
    <w:uiPriority w:val="0"/>
    <w:qFormat/>
    <w:rPr>
      <w:rFonts w:ascii="Times New Roman" w:hAnsi="Times New Roman" w:cs="Times New Roman"/>
    </w:rPr>
  </w:style>
  <w:style w:type="paragraph" w:styleId="1236" w:customStyle="1">
    <w:name w:val="正文_16_1"/>
    <w:basedOn w:val="752"/>
    <w:uiPriority w:val="0"/>
    <w:qFormat/>
    <w:rPr>
      <w:rFonts w:ascii="Times New Roman" w:hAnsi="Times New Roman"/>
      <w:szCs w:val="21"/>
    </w:rPr>
  </w:style>
  <w:style w:type="paragraph" w:styleId="1237" w:customStyle="1">
    <w:name w:val="页脚1"/>
    <w:basedOn w:val="752"/>
    <w:uiPriority w:val="0"/>
    <w:qFormat/>
    <w:pPr>
      <w:jc w:val="left"/>
      <w:tabs>
        <w:tab w:val="center" w:pos="4153" w:leader="none"/>
        <w:tab w:val="right" w:pos="8306" w:leader="none"/>
      </w:tabs>
    </w:pPr>
    <w:rPr>
      <w:sz w:val="18"/>
      <w:szCs w:val="18"/>
    </w:rPr>
  </w:style>
  <w:style w:type="character" w:styleId="1238" w:customStyle="1">
    <w:name w:val="页码1"/>
    <w:uiPriority w:val="0"/>
    <w:qFormat/>
  </w:style>
  <w:style w:type="paragraph" w:styleId="1239" w:customStyle="1">
    <w:name w:val="*正文"/>
    <w:basedOn w:val="839"/>
    <w:uiPriority w:val="0"/>
    <w:qFormat/>
    <w:pPr>
      <w:ind w:firstLine="200"/>
    </w:pPr>
    <w:rPr>
      <w:rFonts w:hAnsi="宋体"/>
      <w:szCs w:val="24"/>
    </w:rPr>
  </w:style>
  <w:style w:type="paragraph" w:styleId="1240" w:customStyle="1">
    <w:name w:val="*正文_0"/>
    <w:basedOn w:val="1241"/>
    <w:uiPriority w:val="0"/>
    <w:qFormat/>
    <w:pPr>
      <w:ind w:firstLine="200"/>
      <w:spacing w:line="360" w:lineRule="auto"/>
    </w:pPr>
    <w:rPr>
      <w:rFonts w:ascii="宋体" w:hAnsi="宋体" w:eastAsia="Arial" w:cs="Arial"/>
      <w:color w:val="000000"/>
      <w:sz w:val="24"/>
    </w:rPr>
  </w:style>
  <w:style w:type="paragraph" w:styleId="1241" w:customStyle="1">
    <w:name w:val="正文缩进_2"/>
    <w:basedOn w:val="1094"/>
    <w:uiPriority w:val="0"/>
    <w:unhideWhenUsed/>
    <w:qFormat/>
    <w:pPr>
      <w:ind w:firstLine="420"/>
      <w:jc w:val="left"/>
      <w:widowControl/>
    </w:pPr>
    <w:rPr>
      <w:rFonts w:ascii="Times New Roman" w:hAnsi="Times New Roman"/>
      <w:sz w:val="20"/>
      <w:szCs w:val="24"/>
    </w:rPr>
  </w:style>
  <w:style w:type="paragraph" w:styleId="1242" w:customStyle="1">
    <w:name w:val="*正文_0_0"/>
    <w:basedOn w:val="1094"/>
    <w:uiPriority w:val="0"/>
    <w:qFormat/>
    <w:pPr>
      <w:ind w:firstLine="200"/>
      <w:jc w:val="left"/>
      <w:spacing w:line="360" w:lineRule="auto"/>
      <w:widowControl/>
    </w:pPr>
    <w:rPr>
      <w:rFonts w:ascii="宋体" w:hAnsi="宋体" w:eastAsia="Arial" w:cs="Arial"/>
      <w:color w:val="000000"/>
      <w:sz w:val="24"/>
      <w:szCs w:val="24"/>
    </w:rPr>
  </w:style>
  <w:style w:type="paragraph" w:styleId="1243" w:customStyle="1">
    <w:name w:val="无间隔1_0_0"/>
    <w:basedOn w:val="1094"/>
    <w:uiPriority w:val="0"/>
    <w:qFormat/>
    <w:rPr>
      <w:rFonts w:ascii="Times New Roman" w:hAnsi="Times New Roman"/>
      <w:szCs w:val="21"/>
    </w:rPr>
  </w:style>
  <w:style w:type="paragraph" w:styleId="1244"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5" w:customStyle="1">
    <w:name w:val="标题 4_0"/>
    <w:basedOn w:val="1246"/>
    <w:next w:val="1246"/>
    <w:uiPriority w:val="9"/>
    <w:unhideWhenUsed/>
    <w:qFormat/>
    <w:pPr>
      <w:keepLines/>
      <w:keepNext/>
      <w:spacing w:before="280" w:after="290" w:line="372" w:lineRule="auto"/>
      <w:outlineLvl w:val="3"/>
    </w:pPr>
    <w:rPr>
      <w:rFonts w:ascii="Arial" w:hAnsi="Arial" w:eastAsia="黑体"/>
      <w:b/>
      <w:sz w:val="28"/>
    </w:rPr>
  </w:style>
  <w:style w:type="paragraph" w:styleId="1246" w:customStyle="1">
    <w:name w:val="正文4"/>
    <w:uiPriority w:val="0"/>
    <w:qFormat/>
    <w:pPr>
      <w:jc w:val="both"/>
      <w:widowControl w:val="off"/>
    </w:pPr>
    <w:rPr>
      <w:rFonts w:hint="default" w:ascii="Calibri" w:hAnsi="Calibri" w:eastAsia="宋体" w:cs="Times New Roman"/>
      <w:lang w:val="en-US" w:eastAsia="zh-CN" w:bidi="ar-SA"/>
    </w:rPr>
  </w:style>
  <w:style w:type="paragraph" w:styleId="1247"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8" w:customStyle="1">
    <w:name w:val="p17_0_0"/>
    <w:basedOn w:val="1137"/>
    <w:uiPriority w:val="0"/>
    <w:qFormat/>
    <w:pPr>
      <w:jc w:val="left"/>
      <w:spacing w:before="100" w:beforeAutospacing="1" w:after="100" w:afterAutospacing="1"/>
      <w:widowControl/>
    </w:pPr>
    <w:rPr>
      <w:rFonts w:ascii="宋体" w:hAnsi="宋体" w:eastAsia="Times New Roman" w:cs="宋体"/>
      <w:sz w:val="24"/>
    </w:rPr>
  </w:style>
  <w:style w:type="paragraph" w:styleId="1249" w:customStyle="1">
    <w:name w:val="p17_0"/>
    <w:basedOn w:val="765"/>
    <w:uiPriority w:val="0"/>
    <w:qFormat/>
    <w:pPr>
      <w:spacing w:before="100" w:beforeAutospacing="1" w:after="100" w:afterAutospacing="1"/>
    </w:pPr>
    <w:rPr>
      <w:rFonts w:ascii="宋体" w:hAnsi="宋体" w:eastAsia="Times New Roman" w:cs="宋体"/>
      <w:sz w:val="24"/>
    </w:rPr>
  </w:style>
  <w:style w:type="paragraph" w:styleId="1250" w:customStyle="1">
    <w:name w:val="普通(网站)11"/>
    <w:basedOn w:val="752"/>
    <w:uiPriority w:val="99"/>
    <w:qFormat/>
    <w:rPr>
      <w:sz w:val="24"/>
    </w:rPr>
  </w:style>
  <w:style w:type="paragraph" w:styleId="125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52" w:customStyle="1">
    <w:name w:val="普通(网站)111"/>
    <w:basedOn w:val="752"/>
    <w:uiPriority w:val="99"/>
    <w:qFormat/>
    <w:pPr>
      <w:jc w:val="left"/>
      <w:spacing w:before="100" w:beforeAutospacing="1" w:after="100" w:afterAutospacing="1"/>
      <w:widowControl/>
    </w:pPr>
    <w:rPr>
      <w:rFonts w:ascii="宋体" w:hAnsi="宋体" w:cs="宋体"/>
      <w:sz w:val="24"/>
      <w:szCs w:val="24"/>
    </w:rPr>
  </w:style>
  <w:style w:type="paragraph" w:styleId="1253" w:customStyle="1">
    <w:name w:val="批注文字1"/>
    <w:basedOn w:val="752"/>
    <w:uiPriority w:val="99"/>
    <w:qFormat/>
    <w:pPr>
      <w:jc w:val="left"/>
    </w:pPr>
    <w:rPr>
      <w:rFonts w:ascii="Times New Roman" w:hAnsi="Times New Roman"/>
      <w:szCs w:val="21"/>
    </w:rPr>
  </w:style>
  <w:style w:type="paragraph" w:styleId="1254" w:customStyle="1">
    <w:name w:val="标题 511"/>
    <w:basedOn w:val="752"/>
    <w:next w:val="752"/>
    <w:uiPriority w:val="9"/>
    <w:qFormat/>
    <w:pPr>
      <w:keepLines/>
      <w:keepNext/>
      <w:spacing w:before="320" w:after="200"/>
      <w:outlineLvl w:val="4"/>
    </w:pPr>
    <w:rPr>
      <w:rFonts w:ascii="Arial" w:hAnsi="Arial" w:eastAsia="Arial" w:cs="Arial"/>
      <w:b/>
      <w:bCs/>
      <w:sz w:val="24"/>
      <w:szCs w:val="24"/>
    </w:rPr>
  </w:style>
  <w:style w:type="paragraph" w:styleId="1255" w:customStyle="1">
    <w:name w:val="正文文本4"/>
    <w:basedOn w:val="931"/>
    <w:uiPriority w:val="0"/>
    <w:qFormat/>
    <w:pPr>
      <w:spacing w:line="60" w:lineRule="auto"/>
    </w:pPr>
    <w:rPr>
      <w:rFonts w:ascii="仿宋_GB2312" w:eastAsia="仿宋_GB2312"/>
      <w:sz w:val="32"/>
      <w:szCs w:val="22"/>
    </w:rPr>
  </w:style>
  <w:style w:type="paragraph" w:styleId="1256"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257" w:customStyle="1">
    <w:name w:val="页脚11"/>
    <w:basedOn w:val="752"/>
    <w:uiPriority w:val="99"/>
    <w:qFormat/>
    <w:pPr>
      <w:jc w:val="left"/>
      <w:tabs>
        <w:tab w:val="center" w:pos="4153" w:leader="none"/>
        <w:tab w:val="right" w:pos="8306" w:leader="none"/>
      </w:tabs>
    </w:pPr>
    <w:rPr>
      <w:sz w:val="18"/>
      <w:szCs w:val="18"/>
    </w:rPr>
  </w:style>
  <w:style w:type="paragraph" w:styleId="1258" w:customStyle="1">
    <w:name w:val="修订2"/>
    <w:uiPriority w:val="99"/>
    <w:unhideWhenUsed/>
    <w:qFormat/>
    <w:rPr>
      <w:rFonts w:hint="default" w:ascii="Calibri" w:hAnsi="Calibri" w:eastAsia="宋体" w:cs="Times New Roman"/>
      <w:sz w:val="21"/>
      <w:szCs w:val="22"/>
      <w:lang w:val="en-US" w:eastAsia="zh-CN" w:bidi="ar-SA"/>
    </w:rPr>
  </w:style>
  <w:style w:type="paragraph" w:styleId="1259" w:customStyle="1">
    <w:name w:val="标题 211"/>
    <w:next w:val="752"/>
    <w:uiPriority w:val="0"/>
    <w:qFormat/>
    <w:pPr>
      <w:jc w:val="both"/>
      <w:keepLines/>
      <w:keepNext/>
      <w:spacing w:before="260" w:after="260" w:line="413" w:lineRule="auto"/>
      <w:widowControl w:val="off"/>
      <w:outlineLvl w:val="1"/>
    </w:pPr>
    <w:rPr>
      <w:rFonts w:hint="default" w:ascii="Arial" w:hAnsi="Arial" w:eastAsia="黑体" w:cs="Times New Roman"/>
      <w:b/>
      <w:sz w:val="32"/>
      <w:lang w:val="en-US" w:eastAsia="zh-CN" w:bidi="ar-SA"/>
    </w:rPr>
  </w:style>
  <w:style w:type="paragraph" w:styleId="1260"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1" w:customStyle="1">
    <w:name w:val="Revision"/>
    <w:hidden/>
    <w:uiPriority w:val="99"/>
    <w:unhideWhenUsed/>
    <w:qFormat/>
    <w:rPr>
      <w:rFonts w:hint="default" w:ascii="Calibri" w:hAnsi="Calibri" w:eastAsia="宋体" w:cs="Times New Roman"/>
      <w:sz w:val="21"/>
      <w:szCs w:val="22"/>
      <w:lang w:val="en-US" w:eastAsia="zh-CN" w:bidi="ar-SA"/>
    </w:rPr>
  </w:style>
  <w:style w:type="numbering" w:styleId="15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唐霆</cp:lastModifiedBy>
  <cp:revision>10</cp:revision>
  <dcterms:created xsi:type="dcterms:W3CDTF">2023-07-23T13:07:00Z</dcterms:created>
  <dcterms:modified xsi:type="dcterms:W3CDTF">2025-11-10T09:20:20Z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eyJoZGlkIjoiZTYwN2ViNzUwMDI0ODA1NzZlODJiMzdkOGMxODg3YWMiLCJ1c2VySWQiOiI3MTcyMjkzNzkifQ==</vt:lpwstr>
  </property>
  <property fmtid="{D5CDD505-2E9C-101B-9397-08002B2CF9AE}" pid="3" name="KSOProductBuildVer">
    <vt:lpwstr>2052-12.1.0.23542</vt:lpwstr>
  </property>
  <property fmtid="{D5CDD505-2E9C-101B-9397-08002B2CF9AE}" pid="4" name="ICV">
    <vt:lpwstr>40C7A457F53A42C794695AD287FC8FEF_13</vt:lpwstr>
  </property>
</Properties>
</file>