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rPr>
          <w:rFonts w:eastAsia="黑体"/>
          <w:b/>
          <w:bCs/>
          <w:sz w:val="84"/>
        </w:rPr>
      </w:pPr>
      <w:r>
        <w:rPr>
          <w:rFonts w:hint="eastAsia" w:eastAsia="黑体"/>
          <w:b/>
          <w:bCs/>
          <w:sz w:val="84"/>
        </w:rPr>
        <w:t xml:space="preserve">                    </w:t>
      </w:r>
      <w:r/>
    </w:p>
    <w:p>
      <w:pPr>
        <w:pStyle w:val="1053"/>
        <w:ind w:firstLine="0"/>
        <w:jc w:val="center"/>
        <w:rPr>
          <w:rFonts w:eastAsia="黑体"/>
          <w:b/>
          <w:bCs/>
          <w:sz w:val="84"/>
        </w:rPr>
      </w:pPr>
      <w:r>
        <w:rPr>
          <w:rFonts w:hint="eastAsia" w:eastAsia="黑体"/>
          <w:b/>
          <w:bCs/>
          <w:sz w:val="84"/>
        </w:rPr>
        <w:t xml:space="preserve">招　标　文　件</w:t>
      </w:r>
      <w:r/>
    </w:p>
    <w:p>
      <w:pPr>
        <w:pStyle w:val="1053"/>
        <w:ind w:firstLine="643"/>
        <w:rPr>
          <w:b/>
          <w:bCs/>
          <w:sz w:val="32"/>
        </w:rPr>
      </w:pPr>
      <w:r>
        <w:rPr>
          <w:b/>
          <w:bCs/>
          <w:sz w:val="32"/>
        </w:rPr>
      </w:r>
      <w:r/>
    </w:p>
    <w:p>
      <w:pPr>
        <w:pStyle w:val="1053"/>
        <w:ind w:firstLine="643"/>
        <w:rPr>
          <w:rFonts w:hint="eastAsia"/>
          <w:b/>
          <w:bCs/>
          <w:sz w:val="32"/>
        </w:rPr>
      </w:pPr>
      <w:r>
        <w:rPr>
          <w:rFonts w:hint="eastAsia"/>
          <w:b/>
          <w:bCs/>
          <w:sz w:val="32"/>
        </w:rPr>
        <w:t xml:space="preserve">项目名称：扬州市邗江区市场监督管理局2024年食品安全抽检服务项目</w:t>
      </w:r>
      <w:r/>
    </w:p>
    <w:p>
      <w:pPr>
        <w:pStyle w:val="1053"/>
        <w:ind w:firstLine="643"/>
        <w:rPr>
          <w:b/>
          <w:color w:val="ff0000"/>
          <w:sz w:val="30"/>
          <w:szCs w:val="30"/>
        </w:rPr>
      </w:pPr>
      <w:r>
        <w:rPr>
          <w:rFonts w:hint="eastAsia"/>
          <w:b/>
          <w:bCs/>
          <w:sz w:val="32"/>
        </w:rPr>
        <w:t xml:space="preserve">项目编号：JSZC-321003-JZCG-G2024-0014  </w:t>
      </w:r>
      <w:r>
        <w:rPr>
          <w:rFonts w:hint="eastAsia" w:ascii="Arial" w:hAnsi="Arial"/>
          <w:b/>
          <w:bCs/>
          <w:sz w:val="32"/>
          <w:szCs w:val="24"/>
        </w:rPr>
        <w:t xml:space="preserve">      </w:t>
      </w:r>
      <w:r>
        <w:rPr>
          <w:color w:val="ff0000"/>
        </w:rPr>
        <w:t xml:space="preserve">  </w:t>
      </w:r>
      <w:r>
        <w:rPr>
          <w:b/>
          <w:color w:val="ff0000"/>
          <w:sz w:val="30"/>
          <w:szCs w:val="30"/>
        </w:rPr>
        <w:t xml:space="preserve"> </w:t>
      </w:r>
      <w:r/>
    </w:p>
    <w:p>
      <w:pPr>
        <w:pStyle w:val="1053"/>
        <w:ind w:firstLine="0"/>
        <w:spacing w:before="0" w:after="0"/>
        <w:rPr>
          <w:rFonts w:ascii="宋体" w:hAnsi="宋体"/>
        </w:rPr>
      </w:pPr>
      <w:r>
        <w:rPr>
          <w:rFonts w:ascii="宋体" w:hAnsi="宋体"/>
        </w:rPr>
      </w:r>
      <w:r/>
    </w:p>
    <w:p>
      <w:pPr>
        <w:pStyle w:val="1053"/>
        <w:ind w:firstLine="0"/>
        <w:spacing w:before="0" w:after="0"/>
        <w:rPr>
          <w:rFonts w:ascii="宋体" w:hAnsi="宋体"/>
        </w:rPr>
      </w:pPr>
      <w:r>
        <w:rPr>
          <w:rFonts w:ascii="宋体" w:hAnsi="宋体"/>
        </w:rPr>
      </w:r>
      <w:r/>
    </w:p>
    <w:p>
      <w:pPr>
        <w:pStyle w:val="1053"/>
        <w:ind w:firstLine="0"/>
        <w:spacing w:before="0" w:after="0"/>
        <w:rPr>
          <w:rFonts w:ascii="宋体" w:hAnsi="宋体"/>
        </w:rPr>
      </w:pPr>
      <w:r>
        <w:rPr>
          <w:rFonts w:ascii="宋体" w:hAnsi="宋体"/>
        </w:rPr>
      </w:r>
      <w:r/>
    </w:p>
    <w:p>
      <w:pPr>
        <w:pStyle w:val="1053"/>
        <w:ind w:firstLine="0"/>
        <w:spacing w:before="0" w:after="0"/>
        <w:rPr>
          <w:rFonts w:ascii="宋体" w:hAnsi="宋体"/>
        </w:rPr>
      </w:pPr>
      <w:r/>
      <w:bookmarkStart w:id="203" w:name="_GoBack"/>
      <w:r/>
      <w:bookmarkEnd w:id="203"/>
      <w:r/>
      <w:r/>
    </w:p>
    <w:p>
      <w:pPr>
        <w:pStyle w:val="1053"/>
        <w:ind w:firstLine="0"/>
        <w:spacing w:before="0" w:after="0"/>
        <w:rPr>
          <w:rFonts w:ascii="宋体" w:hAnsi="宋体"/>
        </w:rPr>
      </w:pPr>
      <w:r>
        <w:rPr>
          <w:rFonts w:ascii="宋体" w:hAnsi="宋体"/>
        </w:rPr>
      </w:r>
      <w:r/>
    </w:p>
    <w:p>
      <w:pPr>
        <w:pStyle w:val="1053"/>
        <w:ind w:firstLine="0"/>
        <w:spacing w:before="0" w:after="0"/>
        <w:rPr>
          <w:rFonts w:ascii="宋体" w:hAnsi="宋体"/>
        </w:rPr>
      </w:pPr>
      <w:r>
        <w:rPr>
          <w:rFonts w:ascii="宋体" w:hAnsi="宋体"/>
        </w:rPr>
      </w:r>
      <w:r/>
    </w:p>
    <w:p>
      <w:pPr>
        <w:pStyle w:val="1053"/>
        <w:ind w:firstLine="0"/>
        <w:jc w:val="center"/>
        <w:rPr>
          <w:b/>
          <w:bCs/>
          <w:sz w:val="32"/>
        </w:rPr>
      </w:pPr>
      <w:r>
        <w:rPr>
          <w:rFonts w:hint="eastAsia"/>
          <w:b/>
          <w:bCs/>
          <w:sz w:val="32"/>
        </w:rPr>
        <w:t xml:space="preserve">扬州市公共资源交易中心邗江分中心</w:t>
      </w:r>
      <w:r/>
    </w:p>
    <w:p>
      <w:pPr>
        <w:pStyle w:val="1053"/>
        <w:ind w:firstLine="0"/>
        <w:jc w:val="center"/>
        <w:rPr>
          <w:b/>
          <w:bCs/>
          <w:sz w:val="32"/>
        </w:rPr>
      </w:pPr>
      <w:r>
        <w:rPr>
          <w:rFonts w:hint="eastAsia"/>
          <w:b/>
          <w:bCs/>
          <w:sz w:val="32"/>
        </w:rPr>
        <w:t xml:space="preserve">2024年6月</w:t>
      </w:r>
      <w:r/>
    </w:p>
    <w:p>
      <w:pPr>
        <w:pStyle w:val="1053"/>
        <w:ind w:firstLine="0"/>
        <w:rPr>
          <w:u w:val="single"/>
        </w:rPr>
      </w:pPr>
      <w:r>
        <w:rPr>
          <w:rFonts w:hint="eastAsia"/>
        </w:rPr>
        <w:t xml:space="preserve">                        </w:t>
      </w:r>
      <w:r/>
    </w:p>
    <w:p>
      <w:pPr>
        <w:pStyle w:val="1053"/>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……………………………………18</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……………………………………22</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………………………62</w:t>
      </w:r>
      <w:r/>
    </w:p>
    <w:p>
      <w:pPr>
        <w:numPr>
          <w:ilvl w:val="0"/>
          <w:numId w:val="4"/>
        </w:numPr>
        <w:spacing w:line="480" w:lineRule="auto"/>
        <w:outlineLvl w:val="0"/>
      </w:pPr>
      <w:r>
        <w:rPr>
          <w:rFonts w:hint="eastAsia" w:ascii="黑体" w:hAnsi="宋体" w:eastAsia="黑体"/>
          <w:sz w:val="36"/>
        </w:rPr>
        <w:t xml:space="preserve">投标文件格式</w:t>
      </w:r>
      <w:r>
        <w:rPr>
          <w:rFonts w:hint="eastAsia" w:ascii="黑体" w:hAnsi="Showcard Gothic" w:eastAsia="黑体"/>
          <w:sz w:val="36"/>
        </w:rPr>
        <w:t xml:space="preserve">………………………………67</w:t>
      </w:r>
      <w:r/>
    </w:p>
    <w:p>
      <w:r/>
      <w:r/>
    </w:p>
    <w:p>
      <w:pPr>
        <w:jc w:val="left"/>
        <w:widowControl/>
        <w:rPr>
          <w:rFonts w:ascii="黑体" w:eastAsia="黑体"/>
          <w:sz w:val="44"/>
          <w:szCs w:val="44"/>
        </w:rPr>
      </w:pPr>
      <w:r>
        <w:rPr>
          <w:rFonts w:ascii="黑体" w:eastAsia="黑体"/>
          <w:sz w:val="44"/>
          <w:szCs w:val="44"/>
        </w:rPr>
        <w:br w:type="page" w:clear="all"/>
      </w:r>
      <w:r/>
    </w:p>
    <w:p>
      <w:pPr>
        <w:pStyle w:val="847"/>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扬州市邗江区市场监督管理局]的委托，扬州市公共资源交易中心邗江分中心就[扬州市邗江区市场监督管理局2024年食品安全抽检服务项目]([JSZC-321003-JZCG-G2024-0014])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 (扬州市邗江区市场监督管理局2024年食品安全抽检服务项目) 招标项目的潜在投标人可在“江苏政府采购网”“扬州市政府采购网”“扬州市邗江区政府采购网”自行免费下载招标文件，并于</w:t>
      </w:r>
      <w:r>
        <w:rPr>
          <w:rFonts w:hint="eastAsia" w:ascii="宋体" w:hAnsi="宋体"/>
          <w:sz w:val="24"/>
          <w:szCs w:val="24"/>
          <w:highlight w:val="none"/>
        </w:rPr>
        <w:t xml:space="preserve">2024年6月</w:t>
      </w:r>
      <w:r>
        <w:rPr>
          <w:rFonts w:hint="eastAsia" w:ascii="宋体" w:hAnsi="宋体"/>
          <w:sz w:val="24"/>
          <w:szCs w:val="24"/>
          <w:highlight w:val="none"/>
          <w:lang w:val="en-US" w:eastAsia="zh-CN"/>
        </w:rPr>
        <w:t xml:space="preserve">26</w:t>
      </w:r>
      <w:r>
        <w:rPr>
          <w:rFonts w:hint="eastAsia" w:ascii="宋体" w:hAnsi="宋体"/>
          <w:sz w:val="24"/>
          <w:szCs w:val="24"/>
          <w:highlight w:val="none"/>
        </w:rPr>
        <w:t xml:space="preserve">日</w:t>
      </w:r>
      <w:r>
        <w:rPr>
          <w:rFonts w:ascii="宋体" w:hAnsi="宋体"/>
          <w:sz w:val="24"/>
          <w:szCs w:val="24"/>
          <w:highlight w:val="none"/>
        </w:rPr>
        <w:t xml:space="preserve">09</w:t>
      </w:r>
      <w:r>
        <w:rPr>
          <w:rFonts w:hint="eastAsia" w:ascii="宋体" w:hAnsi="宋体"/>
          <w:sz w:val="24"/>
          <w:szCs w:val="24"/>
          <w:highlight w:val="none"/>
        </w:rPr>
        <w:t xml:space="preserve">点</w:t>
      </w:r>
      <w:r>
        <w:rPr>
          <w:rFonts w:ascii="宋体" w:hAnsi="宋体"/>
          <w:sz w:val="24"/>
          <w:szCs w:val="24"/>
          <w:highlight w:val="none"/>
        </w:rPr>
        <w:t xml:space="preserve">00</w:t>
      </w:r>
      <w:r>
        <w:rPr>
          <w:rFonts w:hint="eastAsia" w:ascii="宋体" w:hAnsi="宋体"/>
          <w:sz w:val="24"/>
          <w:szCs w:val="24"/>
          <w:highlight w:val="none"/>
        </w:rPr>
        <w:t xml:space="preserve">分（北京时间）前</w:t>
      </w:r>
      <w:r>
        <w:rPr>
          <w:rFonts w:hint="eastAsia" w:ascii="宋体" w:hAnsi="宋体"/>
          <w:sz w:val="24"/>
          <w:szCs w:val="24"/>
        </w:rPr>
        <w:t xml:space="preserve">递交投标</w:t>
      </w:r>
      <w:r>
        <w:rPr>
          <w:rFonts w:ascii="宋体" w:hAnsi="宋体"/>
          <w:sz w:val="24"/>
          <w:szCs w:val="24"/>
        </w:rPr>
        <w:t xml:space="preserve">文件</w:t>
      </w:r>
      <w:r>
        <w:rPr>
          <w:rFonts w:hint="eastAsia" w:ascii="宋体" w:hAnsi="宋体"/>
          <w:sz w:val="24"/>
          <w:szCs w:val="24"/>
        </w:rPr>
        <w:t xml:space="preserve">。</w:t>
      </w:r>
      <w:r/>
    </w:p>
    <w:p>
      <w:pPr>
        <w:pStyle w:val="809"/>
        <w:ind w:firstLine="498"/>
        <w:spacing w:before="156" w:after="156" w:line="360" w:lineRule="auto"/>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1.项目编号：JSZC-321003-JZCG-G2024-0014</w:t>
      </w:r>
      <w:r/>
    </w:p>
    <w:p>
      <w:pPr>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扬州市邗江区市场监督管理局2024年食品安全抽检服务项目</w:t>
      </w:r>
      <w:r/>
    </w:p>
    <w:p>
      <w:pPr>
        <w:ind w:firstLine="480"/>
        <w:rPr>
          <w:rFonts w:hint="eastAsia" w:ascii="宋体" w:hAnsi="宋体"/>
          <w:sz w:val="24"/>
          <w:szCs w:val="24"/>
        </w:rPr>
      </w:pPr>
      <w:r>
        <w:rPr>
          <w:rFonts w:hint="eastAsia" w:ascii="宋体" w:hAnsi="宋体"/>
          <w:sz w:val="24"/>
          <w:szCs w:val="24"/>
        </w:rPr>
        <w:t xml:space="preserve">3.预算金额：</w:t>
      </w:r>
      <w:bookmarkStart w:id="12" w:name="_Hlk161165858"/>
      <w:r>
        <w:rPr>
          <w:rFonts w:hint="eastAsia" w:ascii="宋体" w:hAnsi="宋体"/>
          <w:sz w:val="24"/>
          <w:szCs w:val="24"/>
          <w:lang w:val="en-US" w:eastAsia="zh-CN"/>
        </w:rPr>
        <w:t xml:space="preserve">人民币</w:t>
      </w:r>
      <w:r>
        <w:rPr>
          <w:rFonts w:hint="eastAsia" w:ascii="宋体" w:hAnsi="宋体"/>
          <w:sz w:val="24"/>
          <w:szCs w:val="24"/>
        </w:rPr>
        <w:t xml:space="preserve">384万元。</w:t>
      </w:r>
      <w:bookmarkEnd w:id="12"/>
      <w:r/>
      <w:r/>
    </w:p>
    <w:p>
      <w:pPr>
        <w:ind w:firstLine="480"/>
        <w:rPr>
          <w:rFonts w:ascii="宋体" w:hAnsi="宋体"/>
          <w:sz w:val="24"/>
          <w:szCs w:val="24"/>
        </w:rPr>
      </w:pPr>
      <w:r>
        <w:rPr>
          <w:rFonts w:hint="eastAsia" w:ascii="宋体" w:hAnsi="宋体"/>
          <w:sz w:val="24"/>
          <w:szCs w:val="24"/>
        </w:rPr>
        <w:t xml:space="preserve">4.本项目设定最高限价，</w:t>
      </w:r>
      <w:bookmarkStart w:id="13" w:name="_Hlk161165874"/>
      <w:r>
        <w:rPr>
          <w:rFonts w:hint="eastAsia" w:ascii="宋体" w:hAnsi="宋体"/>
          <w:sz w:val="24"/>
          <w:szCs w:val="24"/>
        </w:rPr>
        <w:t xml:space="preserve">人民币384万元/年，单价控制价800元/批次，投标人以单价报价。</w:t>
      </w:r>
      <w:bookmarkEnd w:id="13"/>
      <w:r/>
      <w:r/>
    </w:p>
    <w:p>
      <w:pPr>
        <w:ind w:firstLine="480"/>
        <w:rPr>
          <w:rFonts w:ascii="宋体" w:hAnsi="宋体"/>
          <w:sz w:val="24"/>
          <w:szCs w:val="24"/>
        </w:rPr>
      </w:pPr>
      <w:r>
        <w:rPr>
          <w:rFonts w:hint="eastAsia" w:ascii="宋体" w:hAnsi="宋体"/>
          <w:sz w:val="24"/>
          <w:szCs w:val="24"/>
        </w:rPr>
        <w:t xml:space="preserve">本项目共分八个包（详见第四章采购需求），投标人可对本次采购的单个包或全部包进行投标，只能中一个包。投某一包时，必须响应该包的全部内容，并在投标文件中注明包号。评标、定标顺序依次从一包至八包，在前一包作为中标第一候选人的单位在后续包无中标资格，兼投不兼中。</w:t>
      </w:r>
      <w:r/>
    </w:p>
    <w:tbl>
      <w:tblPr>
        <w:tblStyle w:val="76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2693"/>
        <w:gridCol w:w="2899"/>
        <w:gridCol w:w="1686"/>
      </w:tblGrid>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包号</w:t>
            </w:r>
            <w:r/>
          </w:p>
        </w:tc>
        <w:tc>
          <w:tcPr>
            <w:tcW w:w="269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检测批次（暂定数量）</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检测批次预算(暂定)</w:t>
            </w:r>
            <w:r/>
          </w:p>
        </w:tc>
        <w:tc>
          <w:tcPr>
            <w:tcW w:w="1686"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备注</w:t>
            </w:r>
            <w:r/>
          </w:p>
        </w:tc>
      </w:tr>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A包</w:t>
            </w:r>
            <w:r/>
          </w:p>
        </w:tc>
        <w:tc>
          <w:tcPr>
            <w:tcW w:w="2693" w:type="dxa"/>
            <w:vAlign w:val="center"/>
            <w:textDirection w:val="lrTb"/>
            <w:noWrap w:val="false"/>
          </w:tcPr>
          <w:p>
            <w:pPr>
              <w:jc w:val="center"/>
              <w:spacing w:line="360" w:lineRule="exact"/>
              <w:rPr>
                <w:rFonts w:ascii="宋体" w:hAnsi="宋体" w:cs="宋体"/>
              </w:rPr>
            </w:pPr>
            <w:r>
              <w:rPr>
                <w:rFonts w:ascii="宋体" w:hAnsi="宋体" w:cs="宋体"/>
              </w:rPr>
              <w:t xml:space="preserve">6</w:t>
            </w:r>
            <w:r>
              <w:rPr>
                <w:rFonts w:hint="eastAsia" w:ascii="宋体" w:hAnsi="宋体" w:cs="宋体"/>
              </w:rPr>
              <w:t xml:space="preserve">90批次/年</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55.2万元</w:t>
            </w:r>
            <w:r/>
          </w:p>
        </w:tc>
        <w:tc>
          <w:tcPr>
            <w:tcW w:w="1686" w:type="dxa"/>
            <w:vAlign w:val="center"/>
            <w:vMerge w:val="restart"/>
            <w:textDirection w:val="lrTb"/>
            <w:noWrap w:val="false"/>
          </w:tcPr>
          <w:p>
            <w:pPr>
              <w:jc w:val="center"/>
              <w:spacing w:line="360" w:lineRule="exact"/>
              <w:rPr>
                <w:rFonts w:ascii="宋体" w:hAnsi="宋体" w:cs="宋体"/>
                <w:b/>
                <w:bCs/>
              </w:rPr>
            </w:pPr>
            <w:r>
              <w:rPr>
                <w:rFonts w:hint="eastAsia" w:ascii="宋体" w:hAnsi="宋体" w:cs="宋体"/>
                <w:b/>
                <w:bCs/>
              </w:rPr>
              <w:t xml:space="preserve">每个分包的批次数量会根据任务完成质量等情况调整。</w:t>
            </w:r>
            <w:r/>
          </w:p>
        </w:tc>
      </w:tr>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B包</w:t>
            </w:r>
            <w:r/>
          </w:p>
        </w:tc>
        <w:tc>
          <w:tcPr>
            <w:tcW w:w="2693" w:type="dxa"/>
            <w:vAlign w:val="center"/>
            <w:textDirection w:val="lrTb"/>
            <w:noWrap w:val="false"/>
          </w:tcPr>
          <w:p>
            <w:pPr>
              <w:jc w:val="center"/>
              <w:spacing w:line="360" w:lineRule="exact"/>
              <w:rPr>
                <w:rFonts w:ascii="宋体" w:hAnsi="宋体" w:cs="宋体"/>
              </w:rPr>
            </w:pPr>
            <w:r>
              <w:rPr>
                <w:rFonts w:ascii="宋体" w:hAnsi="宋体" w:cs="宋体"/>
              </w:rPr>
              <w:t xml:space="preserve">6</w:t>
            </w:r>
            <w:r>
              <w:rPr>
                <w:rFonts w:hint="eastAsia" w:ascii="宋体" w:hAnsi="宋体" w:cs="宋体"/>
              </w:rPr>
              <w:t xml:space="preserve">70批次/年</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53.6万元</w:t>
            </w:r>
            <w:r/>
          </w:p>
        </w:tc>
        <w:tc>
          <w:tcPr>
            <w:tcW w:w="1686" w:type="dxa"/>
            <w:vAlign w:val="center"/>
            <w:vMerge w:val="continue"/>
            <w:textDirection w:val="lrTb"/>
            <w:noWrap w:val="false"/>
          </w:tcPr>
          <w:p>
            <w:pPr>
              <w:jc w:val="center"/>
              <w:spacing w:line="360" w:lineRule="exact"/>
              <w:rPr>
                <w:rFonts w:ascii="宋体" w:hAnsi="宋体" w:cs="宋体"/>
              </w:rPr>
            </w:pPr>
            <w:r>
              <w:rPr>
                <w:rFonts w:ascii="宋体" w:hAnsi="宋体" w:cs="宋体"/>
              </w:rPr>
            </w:r>
            <w:r/>
          </w:p>
        </w:tc>
      </w:tr>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C包</w:t>
            </w:r>
            <w:r/>
          </w:p>
        </w:tc>
        <w:tc>
          <w:tcPr>
            <w:tcW w:w="2693" w:type="dxa"/>
            <w:vAlign w:val="center"/>
            <w:textDirection w:val="lrTb"/>
            <w:noWrap w:val="false"/>
          </w:tcPr>
          <w:p>
            <w:pPr>
              <w:jc w:val="center"/>
              <w:spacing w:line="360" w:lineRule="exact"/>
              <w:rPr>
                <w:rFonts w:ascii="宋体" w:hAnsi="宋体" w:cs="宋体"/>
              </w:rPr>
            </w:pPr>
            <w:r>
              <w:rPr>
                <w:rFonts w:ascii="宋体" w:hAnsi="宋体" w:cs="宋体"/>
              </w:rPr>
              <w:t xml:space="preserve">6</w:t>
            </w:r>
            <w:r>
              <w:rPr>
                <w:rFonts w:hint="eastAsia" w:ascii="宋体" w:hAnsi="宋体" w:cs="宋体"/>
              </w:rPr>
              <w:t xml:space="preserve">40批次/年</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51.2万元</w:t>
            </w:r>
            <w:r/>
          </w:p>
        </w:tc>
        <w:tc>
          <w:tcPr>
            <w:tcW w:w="1686" w:type="dxa"/>
            <w:vAlign w:val="center"/>
            <w:vMerge w:val="continue"/>
            <w:textDirection w:val="lrTb"/>
            <w:noWrap w:val="false"/>
          </w:tcPr>
          <w:p>
            <w:pPr>
              <w:jc w:val="center"/>
              <w:spacing w:line="360" w:lineRule="exact"/>
              <w:rPr>
                <w:rFonts w:ascii="宋体" w:hAnsi="宋体" w:cs="宋体"/>
              </w:rPr>
            </w:pPr>
            <w:r>
              <w:rPr>
                <w:rFonts w:ascii="宋体" w:hAnsi="宋体" w:cs="宋体"/>
              </w:rPr>
            </w:r>
            <w:r/>
          </w:p>
        </w:tc>
      </w:tr>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D包</w:t>
            </w:r>
            <w:r/>
          </w:p>
        </w:tc>
        <w:tc>
          <w:tcPr>
            <w:tcW w:w="269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610批次/年</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48.8万元</w:t>
            </w:r>
            <w:r/>
          </w:p>
        </w:tc>
        <w:tc>
          <w:tcPr>
            <w:tcW w:w="1686" w:type="dxa"/>
            <w:vAlign w:val="center"/>
            <w:vMerge w:val="continue"/>
            <w:textDirection w:val="lrTb"/>
            <w:noWrap w:val="false"/>
          </w:tcPr>
          <w:p>
            <w:pPr>
              <w:jc w:val="center"/>
              <w:spacing w:line="360" w:lineRule="exact"/>
              <w:rPr>
                <w:rFonts w:ascii="宋体" w:hAnsi="宋体" w:cs="宋体"/>
              </w:rPr>
            </w:pPr>
            <w:r>
              <w:rPr>
                <w:rFonts w:ascii="宋体" w:hAnsi="宋体" w:cs="宋体"/>
              </w:rPr>
            </w:r>
            <w:r/>
          </w:p>
        </w:tc>
      </w:tr>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E包</w:t>
            </w:r>
            <w:r/>
          </w:p>
        </w:tc>
        <w:tc>
          <w:tcPr>
            <w:tcW w:w="2693" w:type="dxa"/>
            <w:vAlign w:val="center"/>
            <w:textDirection w:val="lrTb"/>
            <w:noWrap w:val="false"/>
          </w:tcPr>
          <w:p>
            <w:pPr>
              <w:jc w:val="center"/>
              <w:spacing w:line="360" w:lineRule="exact"/>
              <w:rPr>
                <w:rFonts w:ascii="宋体" w:hAnsi="宋体" w:cs="宋体"/>
              </w:rPr>
            </w:pPr>
            <w:r>
              <w:rPr>
                <w:rFonts w:ascii="宋体" w:hAnsi="宋体" w:cs="宋体"/>
              </w:rPr>
              <w:t xml:space="preserve">5</w:t>
            </w:r>
            <w:r>
              <w:rPr>
                <w:rFonts w:hint="eastAsia" w:ascii="宋体" w:hAnsi="宋体" w:cs="宋体"/>
              </w:rPr>
              <w:t xml:space="preserve">90批次/年</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47.2万元</w:t>
            </w:r>
            <w:r/>
          </w:p>
        </w:tc>
        <w:tc>
          <w:tcPr>
            <w:tcW w:w="1686" w:type="dxa"/>
            <w:vAlign w:val="center"/>
            <w:vMerge w:val="continue"/>
            <w:textDirection w:val="lrTb"/>
            <w:noWrap w:val="false"/>
          </w:tcPr>
          <w:p>
            <w:pPr>
              <w:jc w:val="center"/>
              <w:spacing w:line="360" w:lineRule="exact"/>
              <w:rPr>
                <w:rFonts w:ascii="宋体" w:hAnsi="宋体" w:cs="宋体"/>
              </w:rPr>
            </w:pPr>
            <w:r>
              <w:rPr>
                <w:rFonts w:ascii="宋体" w:hAnsi="宋体" w:cs="宋体"/>
              </w:rPr>
            </w:r>
            <w:r/>
          </w:p>
        </w:tc>
      </w:tr>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F包</w:t>
            </w:r>
            <w:r/>
          </w:p>
        </w:tc>
        <w:tc>
          <w:tcPr>
            <w:tcW w:w="2693" w:type="dxa"/>
            <w:vAlign w:val="center"/>
            <w:textDirection w:val="lrTb"/>
            <w:noWrap w:val="false"/>
          </w:tcPr>
          <w:p>
            <w:pPr>
              <w:jc w:val="center"/>
              <w:spacing w:line="360" w:lineRule="exact"/>
              <w:rPr>
                <w:rFonts w:ascii="宋体" w:hAnsi="宋体" w:cs="宋体"/>
              </w:rPr>
            </w:pPr>
            <w:r>
              <w:rPr>
                <w:rFonts w:ascii="宋体" w:hAnsi="宋体" w:cs="宋体"/>
              </w:rPr>
              <w:t xml:space="preserve">5</w:t>
            </w:r>
            <w:r>
              <w:rPr>
                <w:rFonts w:hint="eastAsia" w:ascii="宋体" w:hAnsi="宋体" w:cs="宋体"/>
              </w:rPr>
              <w:t xml:space="preserve">60批次/年</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44.8万元</w:t>
            </w:r>
            <w:r/>
          </w:p>
        </w:tc>
        <w:tc>
          <w:tcPr>
            <w:tcW w:w="1686" w:type="dxa"/>
            <w:vAlign w:val="center"/>
            <w:vMerge w:val="continue"/>
            <w:textDirection w:val="lrTb"/>
            <w:noWrap w:val="false"/>
          </w:tcPr>
          <w:p>
            <w:pPr>
              <w:jc w:val="center"/>
              <w:spacing w:line="360" w:lineRule="exact"/>
              <w:rPr>
                <w:rFonts w:ascii="宋体" w:hAnsi="宋体" w:cs="宋体"/>
              </w:rPr>
            </w:pPr>
            <w:r>
              <w:rPr>
                <w:rFonts w:ascii="宋体" w:hAnsi="宋体" w:cs="宋体"/>
              </w:rPr>
            </w:r>
            <w:r/>
          </w:p>
        </w:tc>
      </w:tr>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G包</w:t>
            </w:r>
            <w:r/>
          </w:p>
        </w:tc>
        <w:tc>
          <w:tcPr>
            <w:tcW w:w="2693" w:type="dxa"/>
            <w:vAlign w:val="center"/>
            <w:textDirection w:val="lrTb"/>
            <w:noWrap w:val="false"/>
          </w:tcPr>
          <w:p>
            <w:pPr>
              <w:jc w:val="center"/>
              <w:spacing w:line="360" w:lineRule="exact"/>
              <w:rPr>
                <w:rFonts w:ascii="宋体" w:hAnsi="宋体" w:cs="宋体"/>
              </w:rPr>
            </w:pPr>
            <w:r>
              <w:rPr>
                <w:rFonts w:ascii="宋体" w:hAnsi="宋体" w:cs="宋体"/>
              </w:rPr>
              <w:t xml:space="preserve">5</w:t>
            </w:r>
            <w:r>
              <w:rPr>
                <w:rFonts w:hint="eastAsia" w:ascii="宋体" w:hAnsi="宋体" w:cs="宋体"/>
              </w:rPr>
              <w:t xml:space="preserve">40批次/年</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43.2万元</w:t>
            </w:r>
            <w:r/>
          </w:p>
        </w:tc>
        <w:tc>
          <w:tcPr>
            <w:tcW w:w="1686" w:type="dxa"/>
            <w:vAlign w:val="center"/>
            <w:vMerge w:val="continue"/>
            <w:textDirection w:val="lrTb"/>
            <w:noWrap w:val="false"/>
          </w:tcPr>
          <w:p>
            <w:pPr>
              <w:jc w:val="center"/>
              <w:spacing w:line="360" w:lineRule="exact"/>
              <w:rPr>
                <w:rFonts w:ascii="宋体" w:hAnsi="宋体" w:cs="宋体"/>
              </w:rPr>
            </w:pPr>
            <w:r>
              <w:rPr>
                <w:rFonts w:ascii="宋体" w:hAnsi="宋体" w:cs="宋体"/>
              </w:rPr>
            </w:r>
            <w:r/>
          </w:p>
        </w:tc>
      </w:tr>
      <w:tr>
        <w:trPr/>
        <w:tc>
          <w:tcPr>
            <w:tcW w:w="1244"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H包</w:t>
            </w:r>
            <w:r/>
          </w:p>
        </w:tc>
        <w:tc>
          <w:tcPr>
            <w:tcW w:w="2693"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500批次/年</w:t>
            </w:r>
            <w:r/>
          </w:p>
        </w:tc>
        <w:tc>
          <w:tcPr>
            <w:tcW w:w="2899" w:type="dxa"/>
            <w:textDirection w:val="lrTb"/>
            <w:noWrap w:val="false"/>
          </w:tcPr>
          <w:p>
            <w:pPr>
              <w:jc w:val="center"/>
              <w:spacing w:line="360" w:lineRule="exact"/>
              <w:rPr>
                <w:rFonts w:ascii="宋体" w:hAnsi="宋体" w:cs="宋体"/>
              </w:rPr>
            </w:pPr>
            <w:r>
              <w:rPr>
                <w:rFonts w:hint="eastAsia" w:ascii="宋体" w:hAnsi="宋体" w:cs="宋体"/>
              </w:rPr>
              <w:t xml:space="preserve">40万元</w:t>
            </w:r>
            <w:r/>
          </w:p>
        </w:tc>
        <w:tc>
          <w:tcPr>
            <w:tcW w:w="1686" w:type="dxa"/>
            <w:vAlign w:val="center"/>
            <w:vMerge w:val="continue"/>
            <w:textDirection w:val="lrTb"/>
            <w:noWrap w:val="false"/>
          </w:tcPr>
          <w:p>
            <w:pPr>
              <w:jc w:val="center"/>
              <w:spacing w:line="360" w:lineRule="exact"/>
              <w:rPr>
                <w:rFonts w:ascii="宋体" w:hAnsi="宋体" w:cs="宋体"/>
              </w:rPr>
            </w:pPr>
            <w:r>
              <w:rPr>
                <w:rFonts w:ascii="宋体" w:hAnsi="宋体" w:cs="宋体"/>
              </w:rPr>
            </w:r>
            <w:r/>
          </w:p>
        </w:tc>
      </w:tr>
    </w:tbl>
    <w:p>
      <w:pPr>
        <w:ind w:firstLine="480"/>
        <w:rPr>
          <w:rFonts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p>
    <w:p>
      <w:pPr>
        <w:ind w:firstLine="480"/>
        <w:rPr>
          <w:rFonts w:ascii="宋体" w:hAnsi="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p>
    <w:p>
      <w:pPr>
        <w:pStyle w:val="797"/>
        <w:ind w:firstLine="480"/>
        <w:spacing w:before="0" w:beforeAutospacing="0" w:after="0" w:afterAutospacing="0"/>
        <w:rPr>
          <w:rFonts w:cs="Times New Roman"/>
        </w:rPr>
      </w:pPr>
      <w:r>
        <w:rPr>
          <w:rFonts w:hint="eastAsia" w:cs="Times New Roman"/>
        </w:rPr>
        <w:t xml:space="preserve">7.本项目（是/否）接受联合体：不接受联合体</w:t>
      </w:r>
      <w:r/>
    </w:p>
    <w:p>
      <w:pPr>
        <w:pStyle w:val="797"/>
        <w:ind w:firstLine="480"/>
        <w:spacing w:before="0" w:beforeAutospacing="0" w:after="0" w:afterAutospacing="0"/>
        <w:rPr>
          <w:rFonts w:cs="Times New Roman"/>
        </w:rPr>
      </w:pPr>
      <w:r>
        <w:rPr>
          <w:rFonts w:hint="eastAsia" w:cs="Times New Roman"/>
        </w:rPr>
        <w:t xml:space="preserve">8.本项目（是/否）接受进口产品投标：不接受进口产品</w:t>
      </w:r>
      <w:r/>
    </w:p>
    <w:p>
      <w:pPr>
        <w:pStyle w:val="809"/>
        <w:ind w:firstLine="498"/>
        <w:spacing w:before="156" w:after="156" w:line="360" w:lineRule="auto"/>
      </w:pPr>
      <w:r/>
      <w:bookmarkStart w:id="14" w:name="_Toc38985264"/>
      <w:r/>
      <w:bookmarkStart w:id="15" w:name="_Toc35393791"/>
      <w:r/>
      <w:bookmarkStart w:id="16" w:name="_Toc28359003"/>
      <w:r/>
      <w:bookmarkStart w:id="17" w:name="_Toc28359080"/>
      <w:r/>
      <w:bookmarkStart w:id="18" w:name="_Toc35393622"/>
      <w:r>
        <w:rPr>
          <w:rFonts w:hint="eastAsia"/>
        </w:rPr>
        <w:t xml:space="preserve">二、申请人的资格要求：</w:t>
      </w:r>
      <w:bookmarkEnd w:id="14"/>
      <w:r/>
      <w:bookmarkEnd w:id="15"/>
      <w:r/>
      <w:bookmarkEnd w:id="16"/>
      <w:r/>
      <w:bookmarkEnd w:id="17"/>
      <w:r/>
      <w:bookmarkEnd w:id="18"/>
      <w:r/>
      <w:r/>
    </w:p>
    <w:p>
      <w:pPr>
        <w:pStyle w:val="797"/>
        <w:ind w:firstLine="480"/>
        <w:spacing w:before="0" w:beforeAutospacing="0" w:after="0" w:afterAutospacing="0"/>
        <w:rPr>
          <w:rFonts w:cs="Times New Roman"/>
        </w:rPr>
      </w:pPr>
      <w:r/>
      <w:bookmarkStart w:id="19" w:name="_Toc38985265"/>
      <w:r/>
      <w:bookmarkStart w:id="20" w:name="_Toc28359004"/>
      <w:r/>
      <w:bookmarkStart w:id="21" w:name="_Toc35393792"/>
      <w:r/>
      <w:bookmarkStart w:id="22" w:name="_Toc28359081"/>
      <w:r/>
      <w:bookmarkStart w:id="23" w:name="_Toc35393623"/>
      <w:r>
        <w:rPr>
          <w:rFonts w:hint="eastAsia" w:cs="Times New Roman"/>
        </w:rPr>
        <w:t xml:space="preserve">（一）满足《中华人民共和国政府采购法》第二十二条规定：</w:t>
      </w:r>
      <w:r/>
    </w:p>
    <w:p>
      <w:pPr>
        <w:pStyle w:val="797"/>
        <w:ind w:firstLine="480"/>
        <w:spacing w:before="0" w:beforeAutospacing="0" w:after="0" w:afterAutospacing="0"/>
        <w:rPr>
          <w:rFonts w:cs="Times New Roman"/>
        </w:rPr>
      </w:pPr>
      <w:r>
        <w:rPr>
          <w:rFonts w:hint="eastAsia" w:cs="Times New Roman"/>
        </w:rPr>
        <w:t xml:space="preserve">1.法人或者其他组织的营业执照等证明文件，自然人的身份证明；</w:t>
      </w:r>
      <w:r/>
    </w:p>
    <w:p>
      <w:pPr>
        <w:pStyle w:val="797"/>
        <w:ind w:firstLine="480"/>
        <w:spacing w:before="0" w:beforeAutospacing="0" w:after="0" w:afterAutospacing="0"/>
        <w:rPr>
          <w:rFonts w:cs="Times New Roman"/>
        </w:rPr>
      </w:pPr>
      <w:r>
        <w:rPr>
          <w:rFonts w:hint="eastAsia" w:cs="Times New Roman"/>
        </w:rPr>
        <w:t xml:space="preserve">2.上一年度的财务状况报告（成立不满一年无需提供）；</w:t>
      </w:r>
      <w:r/>
    </w:p>
    <w:p>
      <w:pPr>
        <w:pStyle w:val="797"/>
        <w:ind w:firstLine="480"/>
        <w:spacing w:before="0" w:beforeAutospacing="0" w:after="0" w:afterAutospacing="0"/>
        <w:rPr>
          <w:rFonts w:cs="Times New Roman"/>
        </w:rPr>
      </w:pPr>
      <w:r>
        <w:rPr>
          <w:rFonts w:hint="eastAsia" w:cs="Times New Roma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97"/>
        <w:ind w:firstLine="480"/>
        <w:spacing w:before="0" w:beforeAutospacing="0" w:after="0" w:afterAutospacing="0"/>
        <w:rPr>
          <w:rFonts w:cs="Times New Roman"/>
        </w:rPr>
      </w:pPr>
      <w:r>
        <w:rPr>
          <w:rFonts w:hint="eastAsia" w:cs="Times New Roman"/>
        </w:rPr>
        <w:t xml:space="preserve">4.具备履行合同所必需的设备和专业技术能力的书面声明；</w:t>
      </w:r>
      <w:r/>
    </w:p>
    <w:p>
      <w:pPr>
        <w:pStyle w:val="797"/>
        <w:ind w:firstLine="480"/>
        <w:spacing w:before="0" w:beforeAutospacing="0" w:after="0" w:afterAutospacing="0"/>
        <w:rPr>
          <w:rFonts w:cs="Times New Roman"/>
        </w:rPr>
      </w:pPr>
      <w:r>
        <w:rPr>
          <w:rFonts w:hint="eastAsia" w:cs="Times New Roman"/>
        </w:rPr>
        <w:t xml:space="preserve">5.参加政府采购活动前3年内在经营活动中没有重大违法记录的书面声明；</w:t>
      </w:r>
      <w:r/>
    </w:p>
    <w:p>
      <w:pPr>
        <w:pStyle w:val="797"/>
        <w:ind w:firstLine="480"/>
        <w:spacing w:before="0" w:beforeAutospacing="0" w:after="0" w:afterAutospacing="0"/>
        <w:rPr>
          <w:rFonts w:cs="Times New Roman"/>
        </w:rPr>
      </w:pPr>
      <w:r>
        <w:rPr>
          <w:rFonts w:hint="eastAsia" w:cs="Times New Roman"/>
        </w:rPr>
        <w:t xml:space="preserve">6.供应商信用承诺函。</w:t>
      </w:r>
      <w:r/>
    </w:p>
    <w:p>
      <w:pPr>
        <w:pStyle w:val="797"/>
        <w:ind w:firstLine="480"/>
        <w:spacing w:before="0" w:beforeAutospacing="0" w:after="0" w:afterAutospacing="0"/>
        <w:rPr>
          <w:rFonts w:cs="Times New Roman"/>
        </w:rPr>
      </w:pPr>
      <w:r>
        <w:rPr>
          <w:rFonts w:hint="eastAsia" w:cs="Times New Roman"/>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80"/>
        <w:rPr>
          <w:rFonts w:ascii="宋体" w:hAnsi="宋体"/>
          <w:bCs/>
          <w:i/>
          <w:sz w:val="24"/>
          <w:szCs w:val="24"/>
          <w:u w:val="single"/>
        </w:rPr>
      </w:pPr>
      <w:r>
        <w:rPr>
          <w:rFonts w:hint="eastAsia" w:ascii="宋体" w:hAnsi="宋体"/>
          <w:sz w:val="24"/>
          <w:szCs w:val="24"/>
        </w:rPr>
        <w:t xml:space="preserve">（二）落实政府采购政策需满足的资格要求：</w:t>
      </w:r>
      <w:r>
        <w:rPr>
          <w:rFonts w:hint="eastAsia" w:ascii="宋体" w:hAnsi="宋体"/>
          <w:i/>
          <w:iCs/>
          <w:sz w:val="24"/>
          <w:szCs w:val="24"/>
          <w:u w:val="single"/>
        </w:rPr>
        <w:t xml:space="preserve">无</w:t>
      </w:r>
      <w:r/>
    </w:p>
    <w:p>
      <w:pPr>
        <w:pStyle w:val="797"/>
        <w:ind w:firstLine="480"/>
        <w:jc w:val="both"/>
        <w:rPr>
          <w:rFonts w:cs="Times New Roman"/>
        </w:rPr>
      </w:pPr>
      <w:r>
        <w:rPr>
          <w:rFonts w:hint="eastAsia" w:cs="Times New Roman"/>
        </w:rPr>
        <w:t xml:space="preserve">（三）本项目的特定资格要求：</w:t>
      </w:r>
      <w:r>
        <w:rPr>
          <w:rFonts w:hint="eastAsia"/>
          <w:i/>
          <w:iCs/>
          <w:szCs w:val="21"/>
          <w:u w:val="single"/>
        </w:rPr>
        <w:t xml:space="preserve">投标人具备检验检测机构资质认定证书</w:t>
      </w:r>
      <w:r>
        <w:rPr>
          <w:i/>
          <w:iCs/>
          <w:szCs w:val="21"/>
          <w:u w:val="single"/>
        </w:rPr>
        <w:t xml:space="preserve">{</w:t>
      </w:r>
      <w:r>
        <w:rPr>
          <w:rFonts w:hint="eastAsia"/>
          <w:i/>
          <w:iCs/>
          <w:szCs w:val="21"/>
          <w:u w:val="single"/>
        </w:rPr>
        <w:t xml:space="preserve">省级及以上市场监督局（质量技术监督局）认可，含直辖市}（C</w:t>
      </w:r>
      <w:r>
        <w:rPr>
          <w:i/>
          <w:iCs/>
          <w:szCs w:val="21"/>
          <w:u w:val="single"/>
        </w:rPr>
        <w:t xml:space="preserve">MA</w:t>
      </w:r>
      <w:r>
        <w:rPr>
          <w:rFonts w:hint="eastAsia"/>
          <w:i/>
          <w:iCs/>
          <w:szCs w:val="21"/>
          <w:u w:val="single"/>
        </w:rPr>
        <w:t xml:space="preserve">）</w:t>
      </w:r>
      <w:r/>
    </w:p>
    <w:p>
      <w:pPr>
        <w:pStyle w:val="849"/>
        <w:jc w:val="left"/>
        <w:keepLines w:val="0"/>
        <w:keepNext w:val="0"/>
        <w:widowControl/>
        <w:rPr>
          <w:rFonts w:ascii="Times New Roman" w:hAnsi="Times New Roman" w:eastAsia="宋体"/>
          <w:sz w:val="32"/>
          <w:szCs w:val="32"/>
        </w:rPr>
      </w:pPr>
      <w:r>
        <w:rPr>
          <w:rFonts w:hint="eastAsia" w:ascii="Times New Roman" w:hAnsi="Times New Roman" w:eastAsia="宋体"/>
          <w:sz w:val="32"/>
          <w:szCs w:val="32"/>
        </w:rPr>
        <w:t xml:space="preserve">三、获取采购文件</w:t>
      </w:r>
      <w:r/>
    </w:p>
    <w:p>
      <w:pPr>
        <w:pStyle w:val="797"/>
        <w:ind w:firstLine="480"/>
        <w:spacing w:before="0" w:beforeAutospacing="0" w:after="0" w:afterAutospacing="0"/>
        <w:rPr>
          <w:rFonts w:cs="Times New Roman"/>
          <w:highlight w:val="none"/>
        </w:rPr>
      </w:pPr>
      <w:r>
        <w:rPr>
          <w:rFonts w:hint="eastAsia" w:cs="Times New Roman"/>
          <w:highlight w:val="none"/>
        </w:rPr>
        <w:t xml:space="preserve">时间：</w:t>
      </w:r>
      <w:r/>
    </w:p>
    <w:p>
      <w:pPr>
        <w:pStyle w:val="797"/>
        <w:ind w:firstLine="480"/>
        <w:spacing w:before="0" w:beforeAutospacing="0" w:after="0" w:afterAutospacing="0"/>
        <w:rPr>
          <w:rFonts w:cs="Times New Roman"/>
          <w:highlight w:val="none"/>
        </w:rPr>
      </w:pPr>
      <w:r>
        <w:rPr>
          <w:rFonts w:hint="eastAsia" w:cs="Times New Roman"/>
          <w:highlight w:val="none"/>
        </w:rPr>
        <w:t xml:space="preserve">2024年06月05日至2024年06月</w:t>
      </w:r>
      <w:r>
        <w:rPr>
          <w:rFonts w:hint="eastAsia" w:cs="Times New Roman"/>
          <w:highlight w:val="none"/>
          <w:lang w:val="en-US" w:eastAsia="zh-CN"/>
        </w:rPr>
        <w:t xml:space="preserve">26</w:t>
      </w:r>
      <w:r>
        <w:rPr>
          <w:rFonts w:hint="eastAsia" w:cs="Times New Roman"/>
          <w:highlight w:val="none"/>
        </w:rPr>
        <w:t xml:space="preserve">日，每天上午00:00-12:00，下午12:00-23:59（北京时间，法定节假日除外）</w:t>
      </w:r>
      <w:r/>
    </w:p>
    <w:p>
      <w:pPr>
        <w:pStyle w:val="797"/>
        <w:ind w:firstLine="480"/>
        <w:spacing w:before="0" w:beforeAutospacing="0" w:after="0" w:afterAutospacing="0"/>
        <w:rPr>
          <w:rFonts w:cs="Times New Roman"/>
          <w:highlight w:val="none"/>
        </w:rPr>
      </w:pPr>
      <w:r>
        <w:rPr>
          <w:rFonts w:hint="eastAsia" w:cs="Times New Roman"/>
          <w:highlight w:val="none"/>
        </w:rPr>
        <w:t xml:space="preserve">地点：扬州市邗江区政府采购网，扬州市政府采购网,江苏省政府采购网 </w:t>
      </w:r>
      <w:r/>
    </w:p>
    <w:p>
      <w:pPr>
        <w:pStyle w:val="797"/>
        <w:ind w:firstLine="480"/>
        <w:spacing w:before="0" w:beforeAutospacing="0" w:after="0" w:afterAutospacing="0"/>
        <w:rPr>
          <w:rFonts w:cs="Times New Roman"/>
          <w:highlight w:val="none"/>
        </w:rPr>
      </w:pPr>
      <w:r>
        <w:rPr>
          <w:rFonts w:hint="eastAsia" w:cs="Times New Roman"/>
          <w:highlight w:val="none"/>
        </w:rPr>
        <w:t xml:space="preserve">方式：网上获取 </w:t>
      </w:r>
      <w:r/>
    </w:p>
    <w:p>
      <w:pPr>
        <w:pStyle w:val="797"/>
        <w:ind w:firstLine="480"/>
        <w:spacing w:before="0" w:beforeAutospacing="0" w:after="0" w:afterAutospacing="0"/>
        <w:rPr>
          <w:rFonts w:cs="Times New Roman"/>
          <w:highlight w:val="none"/>
        </w:rPr>
      </w:pPr>
      <w:r>
        <w:rPr>
          <w:rFonts w:hint="eastAsia" w:cs="Times New Roman"/>
          <w:highlight w:val="none"/>
        </w:rPr>
        <w:t xml:space="preserve">售价：0.00元 </w:t>
      </w:r>
      <w:r/>
    </w:p>
    <w:p>
      <w:pPr>
        <w:pStyle w:val="849"/>
        <w:jc w:val="left"/>
        <w:keepLines w:val="0"/>
        <w:keepNext w:val="0"/>
        <w:widowControl/>
        <w:rPr>
          <w:rFonts w:ascii="Times New Roman" w:hAnsi="Times New Roman" w:eastAsia="宋体"/>
          <w:sz w:val="32"/>
          <w:szCs w:val="32"/>
          <w:highlight w:val="none"/>
        </w:rPr>
      </w:pPr>
      <w:r>
        <w:rPr>
          <w:rFonts w:hint="eastAsia" w:ascii="Times New Roman" w:hAnsi="Times New Roman" w:eastAsia="宋体"/>
          <w:sz w:val="32"/>
          <w:szCs w:val="32"/>
          <w:highlight w:val="none"/>
        </w:rPr>
        <w:t xml:space="preserve">四、响应文件提交</w:t>
      </w:r>
      <w:r/>
    </w:p>
    <w:p>
      <w:pPr>
        <w:pStyle w:val="797"/>
        <w:ind w:firstLine="480"/>
        <w:spacing w:before="0" w:beforeAutospacing="0" w:after="0" w:afterAutospacing="0"/>
        <w:rPr>
          <w:rFonts w:cs="Times New Roman"/>
          <w:highlight w:val="none"/>
        </w:rPr>
      </w:pPr>
      <w:r>
        <w:rPr>
          <w:rFonts w:hint="eastAsia" w:cs="Times New Roman"/>
          <w:highlight w:val="none"/>
        </w:rPr>
        <w:t xml:space="preserve">截止时间：2024-06-</w:t>
      </w:r>
      <w:r>
        <w:rPr>
          <w:rFonts w:hint="eastAsia" w:cs="Times New Roman"/>
          <w:highlight w:val="none"/>
          <w:lang w:val="en-US" w:eastAsia="zh-CN"/>
        </w:rPr>
        <w:t xml:space="preserve">26</w:t>
      </w:r>
      <w:r>
        <w:rPr>
          <w:rFonts w:hint="eastAsia" w:cs="Times New Roman"/>
          <w:highlight w:val="none"/>
        </w:rPr>
        <w:t xml:space="preserve">  09:00 （北京时间）</w:t>
      </w:r>
      <w:r/>
    </w:p>
    <w:p>
      <w:pPr>
        <w:pStyle w:val="797"/>
        <w:ind w:firstLine="480"/>
        <w:spacing w:before="0" w:beforeAutospacing="0" w:after="0" w:afterAutospacing="0"/>
        <w:rPr>
          <w:rFonts w:cs="Times New Roman"/>
          <w:highlight w:val="none"/>
        </w:rPr>
      </w:pPr>
      <w:r>
        <w:rPr>
          <w:rFonts w:hint="eastAsia" w:cs="Times New Roman"/>
          <w:highlight w:val="none"/>
        </w:rPr>
        <w:t xml:space="preserve">地点：苏采云平台 </w:t>
      </w:r>
      <w:r/>
    </w:p>
    <w:p>
      <w:pPr>
        <w:pStyle w:val="849"/>
        <w:jc w:val="left"/>
        <w:keepLines w:val="0"/>
        <w:keepNext w:val="0"/>
        <w:widowControl/>
        <w:rPr>
          <w:rFonts w:ascii="Times New Roman" w:hAnsi="Times New Roman" w:eastAsia="宋体"/>
          <w:sz w:val="32"/>
          <w:szCs w:val="32"/>
          <w:highlight w:val="none"/>
        </w:rPr>
      </w:pPr>
      <w:r>
        <w:rPr>
          <w:rFonts w:hint="eastAsia" w:ascii="Times New Roman" w:hAnsi="Times New Roman" w:eastAsia="宋体"/>
          <w:sz w:val="32"/>
          <w:szCs w:val="32"/>
          <w:highlight w:val="none"/>
        </w:rPr>
        <w:t xml:space="preserve">五、开启</w:t>
      </w:r>
      <w:r/>
    </w:p>
    <w:p>
      <w:pPr>
        <w:pStyle w:val="797"/>
        <w:ind w:firstLine="480"/>
        <w:spacing w:before="0" w:beforeAutospacing="0" w:after="0" w:afterAutospacing="0"/>
        <w:rPr>
          <w:rFonts w:cs="Times New Roman"/>
          <w:highlight w:val="none"/>
        </w:rPr>
      </w:pPr>
      <w:r>
        <w:rPr>
          <w:rFonts w:hint="eastAsia" w:cs="Times New Roman"/>
          <w:highlight w:val="none"/>
        </w:rPr>
        <w:t xml:space="preserve">时间：2024-06-</w:t>
      </w:r>
      <w:r>
        <w:rPr>
          <w:rFonts w:hint="eastAsia" w:cs="Times New Roman"/>
          <w:highlight w:val="none"/>
          <w:lang w:val="en-US" w:eastAsia="zh-CN"/>
        </w:rPr>
        <w:t xml:space="preserve">26</w:t>
      </w:r>
      <w:r>
        <w:rPr>
          <w:rFonts w:hint="eastAsia" w:cs="Times New Roman"/>
          <w:highlight w:val="none"/>
        </w:rPr>
        <w:t xml:space="preserve">  09:00 （北京时间）</w:t>
      </w:r>
      <w:r/>
    </w:p>
    <w:p>
      <w:pPr>
        <w:pStyle w:val="797"/>
        <w:ind w:firstLine="480"/>
        <w:spacing w:before="0" w:beforeAutospacing="0" w:after="0" w:afterAutospacing="0"/>
        <w:rPr>
          <w:rFonts w:cs="Times New Roman"/>
        </w:rPr>
      </w:pPr>
      <w:r>
        <w:rPr>
          <w:rFonts w:hint="eastAsia" w:cs="Times New Roman"/>
          <w:highlight w:val="none"/>
        </w:rPr>
        <w:t xml:space="preserve">地点：</w:t>
      </w:r>
      <w:r>
        <w:rPr>
          <w:rFonts w:hint="eastAsia"/>
          <w:highlight w:val="none"/>
          <w:u w:val="single"/>
        </w:rPr>
        <w:t xml:space="preserve">扬州市邗江区百祥路35号邗江人防大楼4楼第五</w:t>
      </w:r>
      <w:r>
        <w:rPr>
          <w:rFonts w:hint="eastAsia"/>
          <w:u w:val="single"/>
        </w:rPr>
        <w:t xml:space="preserve">开标室</w:t>
      </w:r>
      <w:r>
        <w:rPr>
          <w:rFonts w:hint="eastAsia" w:cs="Times New Roman"/>
        </w:rPr>
        <w:t xml:space="preserve"> </w:t>
      </w:r>
      <w:r/>
    </w:p>
    <w:p>
      <w:pPr>
        <w:pStyle w:val="849"/>
        <w:jc w:val="left"/>
        <w:keepLines w:val="0"/>
        <w:keepNext w:val="0"/>
        <w:widowControl/>
        <w:rPr>
          <w:rFonts w:ascii="Times New Roman" w:hAnsi="Times New Roman" w:eastAsia="宋体"/>
          <w:sz w:val="32"/>
          <w:szCs w:val="32"/>
        </w:rPr>
      </w:pPr>
      <w:r>
        <w:rPr>
          <w:rFonts w:hint="eastAsia" w:ascii="Times New Roman" w:hAnsi="Times New Roman" w:eastAsia="宋体"/>
          <w:sz w:val="32"/>
          <w:szCs w:val="32"/>
        </w:rPr>
        <w:t xml:space="preserve">六、公告期限</w:t>
      </w:r>
      <w:r/>
    </w:p>
    <w:p>
      <w:pPr>
        <w:pStyle w:val="797"/>
        <w:ind w:firstLine="480"/>
        <w:spacing w:before="0" w:beforeAutospacing="0" w:after="0" w:afterAutospacing="0"/>
        <w:rPr>
          <w:rFonts w:cs="Times New Roman"/>
        </w:rPr>
      </w:pPr>
      <w:r>
        <w:rPr>
          <w:rFonts w:hint="eastAsia" w:cs="Times New Roman"/>
        </w:rPr>
        <w:t xml:space="preserve">自本公告发布之日起5个工作日。</w:t>
      </w:r>
      <w:r/>
    </w:p>
    <w:p>
      <w:pPr>
        <w:pStyle w:val="849"/>
        <w:jc w:val="left"/>
        <w:keepLines w:val="0"/>
        <w:keepNext w:val="0"/>
        <w:widowControl/>
        <w:rPr>
          <w:rFonts w:ascii="Times New Roman" w:hAnsi="Times New Roman" w:eastAsia="宋体"/>
          <w:sz w:val="32"/>
          <w:szCs w:val="32"/>
        </w:rPr>
      </w:pPr>
      <w:r>
        <w:rPr>
          <w:rFonts w:hint="eastAsia" w:ascii="Times New Roman" w:hAnsi="Times New Roman" w:eastAsia="宋体"/>
          <w:sz w:val="32"/>
          <w:szCs w:val="32"/>
        </w:rPr>
        <w:t xml:space="preserve">七、其他补充事宜</w:t>
      </w:r>
      <w:r/>
    </w:p>
    <w:p>
      <w:pPr>
        <w:pStyle w:val="797"/>
        <w:ind w:firstLine="480"/>
        <w:spacing w:before="0" w:beforeAutospacing="0" w:after="0" w:afterAutospacing="0"/>
        <w:rPr>
          <w:rFonts w:cs="Times New Roman"/>
        </w:rPr>
      </w:pPr>
      <w:r>
        <w:rPr>
          <w:rFonts w:hint="eastAsia" w:cs="Times New Roman"/>
        </w:rPr>
        <w:t xml:space="preserve">无</w:t>
      </w:r>
      <w:r/>
    </w:p>
    <w:p>
      <w:pPr>
        <w:pStyle w:val="849"/>
        <w:jc w:val="left"/>
        <w:keepLines w:val="0"/>
        <w:keepNext w:val="0"/>
        <w:widowControl/>
        <w:rPr>
          <w:rFonts w:ascii="Times New Roman" w:hAnsi="Times New Roman" w:eastAsia="宋体"/>
          <w:sz w:val="32"/>
          <w:szCs w:val="32"/>
        </w:rPr>
      </w:pPr>
      <w:r>
        <w:rPr>
          <w:rFonts w:hint="eastAsia" w:ascii="Times New Roman" w:hAnsi="Times New Roman" w:eastAsia="宋体"/>
          <w:sz w:val="32"/>
          <w:szCs w:val="32"/>
        </w:rPr>
        <w:t xml:space="preserve">八、凡对本次采购提出询问，请按以下方式联系。</w:t>
      </w:r>
      <w:r/>
    </w:p>
    <w:p>
      <w:pPr>
        <w:pStyle w:val="797"/>
        <w:ind w:firstLine="480"/>
        <w:spacing w:before="0" w:beforeAutospacing="0" w:after="0" w:afterAutospacing="0"/>
        <w:rPr>
          <w:rFonts w:cs="Times New Roman"/>
        </w:rPr>
      </w:pPr>
      <w:r>
        <w:rPr>
          <w:rFonts w:hint="eastAsia" w:cs="Times New Roman"/>
        </w:rPr>
        <w:t xml:space="preserve">1.采购人信息</w:t>
      </w:r>
      <w:r/>
    </w:p>
    <w:p>
      <w:pPr>
        <w:pStyle w:val="797"/>
        <w:ind w:firstLine="480"/>
        <w:rPr>
          <w:rFonts w:cs="Times New Roman"/>
        </w:rPr>
      </w:pPr>
      <w:r>
        <w:rPr>
          <w:rFonts w:hint="eastAsia" w:cs="Times New Roman"/>
        </w:rPr>
        <w:t xml:space="preserve">名 称：扬州市邗江区市场监督管理局</w:t>
      </w:r>
      <w:r/>
    </w:p>
    <w:p>
      <w:pPr>
        <w:pStyle w:val="797"/>
        <w:ind w:firstLine="480"/>
        <w:rPr>
          <w:rFonts w:cs="Times New Roman"/>
        </w:rPr>
      </w:pPr>
      <w:r>
        <w:rPr>
          <w:rFonts w:hint="eastAsia" w:cs="Times New Roman"/>
        </w:rPr>
        <w:t xml:space="preserve">地 址：扬州市邗江区邗上南路（邗江区政府南大院内）</w:t>
      </w:r>
      <w:r/>
    </w:p>
    <w:p>
      <w:pPr>
        <w:pStyle w:val="797"/>
        <w:ind w:firstLine="480"/>
        <w:rPr>
          <w:rFonts w:cs="Times New Roman"/>
        </w:rPr>
      </w:pPr>
      <w:r>
        <w:rPr>
          <w:rFonts w:hint="eastAsia" w:cs="Times New Roman"/>
        </w:rPr>
        <w:t xml:space="preserve">联系人：</w:t>
      </w:r>
      <w:bookmarkStart w:id="24" w:name="DWCGLXR_1"/>
      <w:r>
        <w:rPr>
          <w:rFonts w:hint="eastAsia" w:cs="Times New Roman"/>
        </w:rPr>
        <w:t xml:space="preserve">徐轩</w:t>
      </w:r>
      <w:bookmarkEnd w:id="24"/>
      <w:r/>
      <w:r/>
    </w:p>
    <w:p>
      <w:pPr>
        <w:pStyle w:val="797"/>
        <w:ind w:firstLine="480"/>
        <w:rPr>
          <w:rFonts w:cs="Times New Roman"/>
        </w:rPr>
      </w:pPr>
      <w:r>
        <w:rPr>
          <w:rFonts w:hint="eastAsia" w:cs="Times New Roman"/>
        </w:rPr>
        <w:t xml:space="preserve">联系方式：</w:t>
      </w:r>
      <w:bookmarkStart w:id="25" w:name="DWCGRDH_1"/>
      <w:r>
        <w:rPr>
          <w:rFonts w:hint="eastAsia" w:cs="Times New Roman"/>
        </w:rPr>
        <w:t xml:space="preserve">0514-87981106</w:t>
      </w:r>
      <w:bookmarkEnd w:id="25"/>
      <w:r/>
      <w:r/>
    </w:p>
    <w:p>
      <w:pPr>
        <w:pStyle w:val="797"/>
        <w:ind w:firstLine="480"/>
        <w:rPr>
          <w:rFonts w:cs="Times New Roman"/>
        </w:rPr>
      </w:pPr>
      <w:r>
        <w:rPr>
          <w:rFonts w:hint="eastAsia" w:cs="Times New Roman"/>
        </w:rPr>
        <w:t xml:space="preserve">2.采购代理机构信息（如有）</w:t>
      </w:r>
      <w:r/>
    </w:p>
    <w:p>
      <w:pPr>
        <w:pStyle w:val="797"/>
        <w:ind w:firstLine="480"/>
        <w:rPr>
          <w:rFonts w:cs="Times New Roman"/>
        </w:rPr>
      </w:pPr>
      <w:r>
        <w:rPr>
          <w:rFonts w:hint="eastAsia" w:cs="Times New Roman"/>
        </w:rPr>
        <w:t xml:space="preserve">单位名称：扬州市公共资源交易中心邗江分中心</w:t>
      </w:r>
      <w:r/>
    </w:p>
    <w:p>
      <w:pPr>
        <w:ind w:firstLine="480"/>
        <w:spacing w:line="360" w:lineRule="auto"/>
        <w:rPr>
          <w:rFonts w:ascii="宋体" w:hAnsi="宋体"/>
          <w:sz w:val="24"/>
          <w:szCs w:val="24"/>
          <w:u w:val="single"/>
        </w:rPr>
      </w:pPr>
      <w:r>
        <w:rPr>
          <w:rFonts w:hint="eastAsia" w:ascii="宋体" w:hAnsi="宋体"/>
          <w:sz w:val="24"/>
          <w:szCs w:val="24"/>
        </w:rPr>
        <w:t xml:space="preserve">单位地址：</w:t>
      </w:r>
      <w:r>
        <w:rPr>
          <w:rFonts w:hint="eastAsia" w:ascii="宋体" w:hAnsi="宋体"/>
          <w:sz w:val="24"/>
          <w:szCs w:val="24"/>
          <w:u w:val="single"/>
        </w:rPr>
        <w:t xml:space="preserve">扬州市邗江区百祥路35号邗江人防大楼</w:t>
      </w:r>
      <w:r/>
    </w:p>
    <w:p>
      <w:pPr>
        <w:ind w:firstLine="480"/>
        <w:spacing w:line="360"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蒋媛媛</w:t>
      </w:r>
      <w:r/>
    </w:p>
    <w:p>
      <w:pPr>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0514-82882970</w:t>
      </w:r>
      <w:r/>
    </w:p>
    <w:p>
      <w:pPr>
        <w:pStyle w:val="797"/>
        <w:ind w:firstLine="480"/>
        <w:rPr>
          <w:rFonts w:cs="Times New Roman"/>
        </w:rPr>
      </w:pPr>
      <w:r>
        <w:rPr>
          <w:rFonts w:hint="eastAsia" w:cs="Times New Roman"/>
        </w:rPr>
        <w:t xml:space="preserve">3.项目联系方式</w:t>
      </w:r>
      <w:r/>
    </w:p>
    <w:p>
      <w:pPr>
        <w:pStyle w:val="797"/>
        <w:ind w:firstLine="480"/>
        <w:rPr>
          <w:u w:val="single"/>
        </w:rPr>
      </w:pPr>
      <w:r>
        <w:rPr>
          <w:rFonts w:hint="eastAsia" w:cs="Times New Roman"/>
        </w:rPr>
        <w:t xml:space="preserve">项目联系人：</w:t>
      </w:r>
      <w:r>
        <w:rPr>
          <w:rFonts w:hint="eastAsia"/>
          <w:u w:val="single"/>
        </w:rPr>
        <w:t xml:space="preserve">蒋媛媛</w:t>
      </w:r>
      <w:r/>
    </w:p>
    <w:p>
      <w:pPr>
        <w:ind w:firstLine="480"/>
        <w:spacing w:line="360" w:lineRule="auto"/>
        <w:rPr>
          <w:rFonts w:ascii="宋体" w:hAnsi="宋体"/>
          <w:sz w:val="24"/>
          <w:szCs w:val="24"/>
          <w:u w:val="single"/>
        </w:rPr>
      </w:pPr>
      <w:r>
        <w:rPr>
          <w:rFonts w:hint="eastAsia" w:ascii="宋体" w:hAnsi="宋体"/>
          <w:sz w:val="24"/>
          <w:szCs w:val="24"/>
        </w:rPr>
        <w:t xml:space="preserve">电话：</w:t>
      </w:r>
      <w:r>
        <w:rPr>
          <w:rFonts w:hint="eastAsia" w:ascii="宋体" w:hAnsi="宋体"/>
          <w:sz w:val="24"/>
          <w:szCs w:val="24"/>
          <w:u w:val="single"/>
        </w:rPr>
        <w:t xml:space="preserve">0514-82882970</w:t>
      </w:r>
      <w:r/>
    </w:p>
    <w:p>
      <w:pPr>
        <w:pStyle w:val="1087"/>
        <w:spacing w:before="145" w:after="145" w:line="360" w:lineRule="auto"/>
      </w:pPr>
      <w:r>
        <w:rPr>
          <w:rFonts w:hint="eastAsia"/>
        </w:rPr>
        <w:t xml:space="preserve">九、其他</w:t>
      </w:r>
      <w:r/>
    </w:p>
    <w:p>
      <w:pPr>
        <w:ind w:firstLine="480"/>
        <w:jc w:val="left"/>
        <w:spacing w:line="360" w:lineRule="auto"/>
        <w:rPr>
          <w:rFonts w:ascii="宋体" w:hAnsi="宋体"/>
          <w:sz w:val="24"/>
          <w:szCs w:val="24"/>
        </w:rPr>
      </w:pPr>
      <w:r>
        <w:rPr>
          <w:rFonts w:hint="eastAsia" w:ascii="宋体" w:hAnsi="宋体"/>
          <w:sz w:val="24"/>
          <w:szCs w:val="24"/>
        </w:rPr>
        <w:t xml:space="preserve">1. 根据省财政厅《关于更换全省政府采购交易系统CA数字证书和电</w:t>
      </w:r>
      <w:r>
        <w:rPr>
          <w:rFonts w:hint="eastAsia" w:ascii="宋体" w:hAnsi="宋体"/>
          <w:sz w:val="24"/>
          <w:szCs w:val="24"/>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spacing w:line="360" w:lineRule="auto"/>
        <w:rPr>
          <w:rFonts w:ascii="宋体" w:hAnsi="宋体"/>
          <w:sz w:val="24"/>
          <w:szCs w:val="24"/>
        </w:rPr>
      </w:pPr>
      <w:r>
        <w:rPr>
          <w:rFonts w:hint="eastAsia" w:ascii="宋体" w:hAnsi="宋体"/>
          <w:sz w:val="24"/>
          <w:szCs w:val="24"/>
        </w:rPr>
        <w:t xml:space="preserve"> </w:t>
      </w:r>
      <w:r/>
    </w:p>
    <w:p>
      <w:pPr>
        <w:spacing w:line="360" w:lineRule="auto"/>
        <w:rPr>
          <w:rFonts w:ascii="宋体" w:hAnsi="宋体"/>
          <w:sz w:val="24"/>
          <w:szCs w:val="24"/>
        </w:rPr>
      </w:pPr>
      <w:r>
        <w:rPr>
          <w:rFonts w:hint="eastAsia" w:ascii="宋体" w:hAnsi="宋体"/>
          <w:sz w:val="24"/>
          <w:szCs w:val="24"/>
        </w:rPr>
        <w:t xml:space="preserve">领取CA和办理电子签章（请至扬州市文昌东路9号广陵新城市民中心1号楼5楼办理，具体联系方式：18952716110）。</w:t>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2. 有关本次招标的事项若存在变动或修改，敬请及时关注扬州市公共资源交易中心在“江苏政府采购网”、“扬州市政府采购网”发布的更正公告。</w:t>
      </w:r>
      <w:r/>
    </w:p>
    <w:p>
      <w:pPr>
        <w:ind w:firstLine="480"/>
        <w:spacing w:line="360" w:lineRule="auto"/>
        <w:rPr>
          <w:rFonts w:ascii="宋体" w:hAnsi="宋体"/>
          <w:sz w:val="24"/>
          <w:szCs w:val="24"/>
        </w:rPr>
      </w:pPr>
      <w:r>
        <w:rPr>
          <w:rFonts w:hint="eastAsia" w:ascii="宋体" w:hAnsi="宋体"/>
          <w:sz w:val="24"/>
          <w:szCs w:val="24"/>
        </w:rPr>
        <w:t xml:space="preserve">3. 本次招标不收取投标保证金。</w:t>
      </w:r>
      <w:r/>
    </w:p>
    <w:p>
      <w:pPr>
        <w:pStyle w:val="809"/>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19"/>
      <w:r/>
      <w:bookmarkEnd w:id="20"/>
      <w:r/>
      <w:bookmarkEnd w:id="21"/>
      <w:r/>
      <w:bookmarkEnd w:id="22"/>
      <w:r/>
      <w:bookmarkEnd w:id="23"/>
      <w:r/>
      <w:r/>
    </w:p>
    <w:p>
      <w:pPr>
        <w:pStyle w:val="797"/>
      </w:pPr>
      <w:r/>
      <w:r/>
    </w:p>
    <w:p>
      <w:pPr>
        <w:pStyle w:val="849"/>
        <w:ind w:firstLine="2429"/>
        <w:jc w:val="both"/>
        <w:rPr>
          <w:rFonts w:ascii="黑体" w:eastAsia="黑体"/>
          <w:b w:val="0"/>
          <w:bCs w:val="0"/>
        </w:rPr>
      </w:pPr>
      <w:r/>
      <w:bookmarkStart w:id="26" w:name="_Toc120614211"/>
      <w:r>
        <w:rPr>
          <w:rFonts w:hint="eastAsia" w:ascii="黑体" w:eastAsia="黑体"/>
        </w:rPr>
        <w:t xml:space="preserve">第二章  </w:t>
      </w:r>
      <w:bookmarkEnd w:id="1"/>
      <w:r/>
      <w:bookmarkEnd w:id="2"/>
      <w:r/>
      <w:bookmarkEnd w:id="3"/>
      <w:r/>
      <w:bookmarkEnd w:id="4"/>
      <w:r/>
      <w:bookmarkEnd w:id="5"/>
      <w:r/>
      <w:bookmarkEnd w:id="26"/>
      <w:r/>
      <w:bookmarkStart w:id="27" w:name="_Toc20823274"/>
      <w:r/>
      <w:bookmarkStart w:id="28" w:name="_Toc513029202"/>
      <w:r/>
      <w:bookmarkStart w:id="29" w:name="_Toc120614213"/>
      <w:r/>
      <w:bookmarkStart w:id="30" w:name="_Toc16938518"/>
      <w:r>
        <w:rPr>
          <w:rFonts w:hint="eastAsia" w:ascii="黑体" w:eastAsia="黑体"/>
        </w:rPr>
        <w:t xml:space="preserve">投标人须知</w:t>
      </w:r>
      <w:bookmarkEnd w:id="27"/>
      <w:r/>
      <w:bookmarkEnd w:id="28"/>
      <w:r/>
      <w:bookmarkEnd w:id="29"/>
      <w:r/>
      <w:bookmarkEnd w:id="30"/>
      <w:r/>
      <w:r/>
    </w:p>
    <w:p>
      <w:pPr>
        <w:pStyle w:val="809"/>
        <w:ind w:firstLine="498"/>
        <w:spacing w:before="156" w:after="156" w:line="360" w:lineRule="auto"/>
      </w:pPr>
      <w:r/>
      <w:bookmarkStart w:id="31" w:name="_Toc16938519"/>
      <w:r/>
      <w:bookmarkStart w:id="32" w:name="_Toc513029203"/>
      <w:r/>
      <w:bookmarkStart w:id="33" w:name="_Toc120614214"/>
      <w:r/>
      <w:bookmarkStart w:id="34" w:name="_Toc20823275"/>
      <w:r>
        <w:rPr>
          <w:rFonts w:hint="eastAsia"/>
        </w:rPr>
        <w:t xml:space="preserve">一、总则</w:t>
      </w:r>
      <w:bookmarkEnd w:id="31"/>
      <w:r/>
      <w:bookmarkEnd w:id="32"/>
      <w:r/>
      <w:bookmarkEnd w:id="33"/>
      <w:r/>
      <w:bookmarkEnd w:id="34"/>
      <w:r/>
      <w:r/>
    </w:p>
    <w:p>
      <w:pPr>
        <w:pStyle w:val="851"/>
        <w:ind w:firstLine="420"/>
        <w:spacing w:before="0" w:after="0" w:line="240" w:lineRule="auto"/>
        <w:rPr>
          <w:b w:val="0"/>
          <w:bCs w:val="0"/>
        </w:rPr>
      </w:pPr>
      <w:r/>
      <w:bookmarkStart w:id="35" w:name="_Hlt16619475"/>
      <w:r/>
      <w:bookmarkEnd w:id="35"/>
      <w:r/>
      <w:bookmarkStart w:id="36" w:name="_Toc458694821"/>
      <w:r/>
      <w:bookmarkStart w:id="37" w:name="_Toc513029204"/>
      <w:r/>
      <w:bookmarkStart w:id="38" w:name="_Toc20823276"/>
      <w:r/>
      <w:bookmarkStart w:id="39" w:name="_Toc16938520"/>
      <w:r>
        <w:rPr>
          <w:rFonts w:hint="eastAsia"/>
          <w:b w:val="0"/>
          <w:bCs w:val="0"/>
        </w:rPr>
        <w:t xml:space="preserve">1</w:t>
      </w:r>
      <w:bookmarkEnd w:id="36"/>
      <w:r>
        <w:rPr>
          <w:rFonts w:hint="eastAsia"/>
          <w:b w:val="0"/>
          <w:bCs w:val="0"/>
        </w:rPr>
        <w:t xml:space="preserve">、招标方式</w:t>
      </w:r>
      <w:bookmarkEnd w:id="37"/>
      <w:r/>
      <w:bookmarkEnd w:id="38"/>
      <w:r/>
      <w:bookmarkEnd w:id="39"/>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851"/>
        <w:ind w:firstLine="420"/>
        <w:spacing w:before="0" w:after="0" w:line="240" w:lineRule="auto"/>
        <w:rPr>
          <w:b w:val="0"/>
          <w:bCs w:val="0"/>
        </w:rPr>
      </w:pPr>
      <w:r/>
      <w:bookmarkStart w:id="40" w:name="_Toc513029205"/>
      <w:r/>
      <w:bookmarkStart w:id="41" w:name="_Toc20823277"/>
      <w:r/>
      <w:bookmarkStart w:id="42" w:name="_Toc16938521"/>
      <w:r>
        <w:rPr>
          <w:rFonts w:hint="eastAsia"/>
          <w:b w:val="0"/>
          <w:bCs w:val="0"/>
        </w:rPr>
        <w:t xml:space="preserve">2、合格的投标人</w:t>
      </w:r>
      <w:bookmarkEnd w:id="40"/>
      <w:r/>
      <w:bookmarkEnd w:id="41"/>
      <w:r/>
      <w:bookmarkEnd w:id="4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851"/>
        <w:ind w:firstLine="420"/>
        <w:spacing w:before="0" w:after="0" w:line="240" w:lineRule="auto"/>
        <w:rPr>
          <w:b w:val="0"/>
          <w:bCs w:val="0"/>
        </w:rPr>
      </w:pPr>
      <w:r/>
      <w:bookmarkStart w:id="43" w:name="_Toc513029206"/>
      <w:r/>
      <w:bookmarkStart w:id="44" w:name="_Toc16938522"/>
      <w:r/>
      <w:bookmarkStart w:id="45" w:name="_Toc20823278"/>
      <w:r>
        <w:rPr>
          <w:rFonts w:hint="eastAsia"/>
          <w:b w:val="0"/>
          <w:bCs w:val="0"/>
        </w:rPr>
        <w:t xml:space="preserve">3、适用法律</w:t>
      </w:r>
      <w:bookmarkEnd w:id="43"/>
      <w:r/>
      <w:bookmarkEnd w:id="44"/>
      <w:r/>
      <w:bookmarkEnd w:id="45"/>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51"/>
        <w:ind w:firstLine="420"/>
        <w:spacing w:before="0" w:after="0" w:line="240" w:lineRule="auto"/>
        <w:rPr>
          <w:b w:val="0"/>
          <w:bCs w:val="0"/>
        </w:rPr>
      </w:pPr>
      <w:r/>
      <w:bookmarkStart w:id="46" w:name="_Toc462564067"/>
      <w:r/>
      <w:bookmarkStart w:id="47" w:name="_Toc20823279"/>
      <w:r/>
      <w:bookmarkStart w:id="48" w:name="_Toc513029207"/>
      <w:r/>
      <w:bookmarkStart w:id="49" w:name="_Toc16938523"/>
      <w:r>
        <w:rPr>
          <w:rFonts w:hint="eastAsia"/>
          <w:b w:val="0"/>
          <w:bCs w:val="0"/>
        </w:rPr>
        <w:t xml:space="preserve">4、投标费用</w:t>
      </w:r>
      <w:bookmarkEnd w:id="46"/>
      <w:r/>
      <w:bookmarkEnd w:id="47"/>
      <w:r/>
      <w:bookmarkEnd w:id="48"/>
      <w:r/>
      <w:bookmarkEnd w:id="49"/>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851"/>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09"/>
        <w:ind w:firstLine="321"/>
        <w:spacing w:before="156" w:after="156" w:line="360" w:lineRule="auto"/>
      </w:pPr>
      <w:r/>
      <w:bookmarkStart w:id="50" w:name="_Toc513029209"/>
      <w:r/>
      <w:bookmarkStart w:id="51" w:name="_Toc20823281"/>
      <w:r/>
      <w:bookmarkStart w:id="52" w:name="_Toc120614215"/>
      <w:r/>
      <w:bookmarkStart w:id="53" w:name="_Toc16938525"/>
      <w:r>
        <w:rPr>
          <w:rFonts w:hint="eastAsia"/>
        </w:rPr>
        <w:t xml:space="preserve">二、招标文件</w:t>
      </w:r>
      <w:bookmarkEnd w:id="50"/>
      <w:r/>
      <w:bookmarkEnd w:id="51"/>
      <w:r/>
      <w:bookmarkEnd w:id="52"/>
      <w:r/>
      <w:bookmarkEnd w:id="53"/>
      <w:r/>
      <w:r/>
    </w:p>
    <w:p>
      <w:pPr>
        <w:pStyle w:val="851"/>
        <w:ind w:firstLine="420"/>
        <w:spacing w:before="0" w:after="0" w:line="240" w:lineRule="auto"/>
        <w:rPr>
          <w:b w:val="0"/>
          <w:bCs w:val="0"/>
        </w:rPr>
      </w:pPr>
      <w:r/>
      <w:bookmarkStart w:id="54" w:name="_Toc513029210"/>
      <w:r/>
      <w:bookmarkStart w:id="55" w:name="_Toc16938526"/>
      <w:r/>
      <w:bookmarkStart w:id="56" w:name="_Toc20823282"/>
      <w:r>
        <w:rPr>
          <w:rFonts w:hint="eastAsia"/>
          <w:b w:val="0"/>
          <w:bCs w:val="0"/>
        </w:rPr>
        <w:t xml:space="preserve">6、招标文件构成</w:t>
      </w:r>
      <w:bookmarkEnd w:id="54"/>
      <w:r/>
      <w:bookmarkEnd w:id="55"/>
      <w:r/>
      <w:bookmarkEnd w:id="56"/>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560"/>
        <w:spacing w:before="0" w:after="0" w:line="240" w:lineRule="auto"/>
        <w:rPr>
          <w:b w:val="0"/>
          <w:bCs w:val="0"/>
        </w:rPr>
      </w:pPr>
      <w:r/>
      <w:bookmarkStart w:id="57" w:name="_Toc513029211"/>
      <w:r/>
      <w:bookmarkStart w:id="58" w:name="_Toc20823283"/>
      <w:r/>
      <w:bookmarkStart w:id="59" w:name="_Toc462564070"/>
      <w:r/>
      <w:bookmarkStart w:id="60" w:name="_Toc16938527"/>
      <w:r>
        <w:rPr>
          <w:rFonts w:hint="eastAsia"/>
          <w:b w:val="0"/>
          <w:bCs w:val="0"/>
        </w:rPr>
        <w:t xml:space="preserve">7、招标文件的澄清</w:t>
      </w:r>
      <w:bookmarkEnd w:id="57"/>
      <w:r/>
      <w:bookmarkEnd w:id="58"/>
      <w:r/>
      <w:bookmarkEnd w:id="59"/>
      <w:r/>
      <w:bookmarkEnd w:id="60"/>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851"/>
        <w:ind w:firstLine="560"/>
        <w:spacing w:before="0" w:after="0" w:line="240" w:lineRule="auto"/>
        <w:rPr>
          <w:b w:val="0"/>
          <w:bCs w:val="0"/>
        </w:rPr>
      </w:pPr>
      <w:r/>
      <w:bookmarkStart w:id="61" w:name="_Toc513029212"/>
      <w:r/>
      <w:bookmarkStart w:id="62" w:name="_Toc462564071"/>
      <w:r/>
      <w:bookmarkStart w:id="63" w:name="_Toc20823284"/>
      <w:r/>
      <w:bookmarkStart w:id="64" w:name="_Toc16938528"/>
      <w:r>
        <w:rPr>
          <w:rFonts w:hint="eastAsia"/>
          <w:b w:val="0"/>
          <w:bCs w:val="0"/>
        </w:rPr>
        <w:t xml:space="preserve">8、招标文件的修改</w:t>
      </w:r>
      <w:bookmarkEnd w:id="61"/>
      <w:r/>
      <w:bookmarkEnd w:id="62"/>
      <w:r/>
      <w:bookmarkEnd w:id="63"/>
      <w:r/>
      <w:bookmarkEnd w:id="64"/>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sz w:val="24"/>
        </w:rPr>
        <w:t xml:space="preserve">8.3招标文件的修改将在江苏政府采购网、扬州市政府采购网、扬州市邗江区政府采购网公布，补充文件将作为招标文件的组成部分，并对投标人具有约束力。</w:t>
      </w:r>
      <w:r/>
    </w:p>
    <w:p>
      <w:pPr>
        <w:pStyle w:val="809"/>
        <w:ind w:firstLine="482"/>
        <w:spacing w:before="156" w:after="156" w:line="360" w:lineRule="auto"/>
      </w:pPr>
      <w:r/>
      <w:bookmarkStart w:id="65" w:name="_Toc513029213"/>
      <w:r/>
      <w:bookmarkStart w:id="66" w:name="_Toc16938529"/>
      <w:r/>
      <w:bookmarkStart w:id="67" w:name="_Toc120614216"/>
      <w:r/>
      <w:bookmarkStart w:id="68" w:name="_Toc20823285"/>
      <w:r/>
      <w:bookmarkStart w:id="69" w:name="_Toc462564072"/>
      <w:r>
        <w:rPr>
          <w:rFonts w:hint="eastAsia"/>
        </w:rPr>
        <w:t xml:space="preserve">三、投标文件的编制</w:t>
      </w:r>
      <w:bookmarkEnd w:id="65"/>
      <w:r/>
      <w:bookmarkEnd w:id="66"/>
      <w:r/>
      <w:bookmarkEnd w:id="67"/>
      <w:r/>
      <w:bookmarkEnd w:id="68"/>
      <w:r/>
      <w:bookmarkEnd w:id="69"/>
      <w:r/>
      <w:r/>
    </w:p>
    <w:p>
      <w:pPr>
        <w:pStyle w:val="851"/>
        <w:ind w:firstLine="560"/>
        <w:spacing w:before="0" w:after="0" w:line="240" w:lineRule="auto"/>
        <w:rPr>
          <w:bCs w:val="0"/>
        </w:rPr>
      </w:pPr>
      <w:r/>
      <w:bookmarkStart w:id="70" w:name="_Toc16938530"/>
      <w:r/>
      <w:bookmarkStart w:id="71" w:name="_Toc462564073"/>
      <w:r/>
      <w:bookmarkStart w:id="72" w:name="_Toc513029214"/>
      <w:r/>
      <w:bookmarkStart w:id="73" w:name="_Toc20823286"/>
      <w:r>
        <w:rPr>
          <w:rFonts w:hint="eastAsia"/>
          <w:b w:val="0"/>
          <w:bCs w:val="0"/>
        </w:rPr>
        <w:t xml:space="preserve">9、投标文件的语言及度量衡单位</w:t>
      </w:r>
      <w:bookmarkEnd w:id="70"/>
      <w:r/>
      <w:bookmarkEnd w:id="71"/>
      <w:r/>
      <w:bookmarkEnd w:id="72"/>
      <w:r/>
      <w:bookmarkEnd w:id="73"/>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51"/>
        <w:ind w:firstLine="420"/>
        <w:spacing w:before="0" w:after="0" w:line="240" w:lineRule="auto"/>
        <w:rPr>
          <w:b w:val="0"/>
          <w:bCs w:val="0"/>
        </w:rPr>
      </w:pPr>
      <w:r/>
      <w:bookmarkStart w:id="74" w:name="_Toc16938531"/>
      <w:r/>
      <w:bookmarkStart w:id="75" w:name="_Toc462564074"/>
      <w:r/>
      <w:bookmarkStart w:id="76" w:name="_Toc20823287"/>
      <w:r/>
      <w:bookmarkStart w:id="77" w:name="_Toc513029215"/>
      <w:r>
        <w:rPr>
          <w:rFonts w:hint="eastAsia"/>
          <w:b w:val="0"/>
          <w:bCs w:val="0"/>
        </w:rPr>
        <w:t xml:space="preserve">10、投标文件构成</w:t>
      </w:r>
      <w:bookmarkEnd w:id="74"/>
      <w:r/>
      <w:bookmarkEnd w:id="75"/>
      <w:r/>
      <w:bookmarkEnd w:id="76"/>
      <w:r/>
      <w:bookmarkEnd w:id="77"/>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10.2如标书制作工具中格式和内容与“江苏政府采购网”发布的招标文件不一致，请以“江苏政府采购网”发布的招标文件为准。</w:t>
      </w:r>
      <w:r/>
    </w:p>
    <w:p>
      <w:pPr>
        <w:pStyle w:val="851"/>
        <w:ind w:firstLine="420"/>
        <w:spacing w:before="0" w:after="0" w:line="240" w:lineRule="auto"/>
        <w:rPr>
          <w:b w:val="0"/>
          <w:bCs w:val="0"/>
        </w:rPr>
      </w:pPr>
      <w:r/>
      <w:bookmarkStart w:id="78" w:name="_Hlt26670360"/>
      <w:r/>
      <w:bookmarkEnd w:id="78"/>
      <w:r/>
      <w:bookmarkStart w:id="79" w:name="_Hlt26668975"/>
      <w:r/>
      <w:bookmarkEnd w:id="79"/>
      <w:r/>
      <w:bookmarkStart w:id="80" w:name="_Hlt26954838"/>
      <w:r/>
      <w:bookmarkEnd w:id="80"/>
      <w:r/>
      <w:bookmarkStart w:id="81" w:name="_Toc49090509"/>
      <w:r/>
      <w:bookmarkStart w:id="82" w:name="_Toc513029219"/>
      <w:r/>
      <w:bookmarkStart w:id="83" w:name="_Toc14577354"/>
      <w:r/>
      <w:bookmarkStart w:id="84" w:name="_Toc49090507"/>
      <w:r/>
      <w:bookmarkStart w:id="85" w:name="_Toc513029216"/>
      <w:r/>
      <w:bookmarkStart w:id="86" w:name="_Toc14577357"/>
      <w:r>
        <w:rPr>
          <w:rFonts w:hint="eastAsia"/>
          <w:b w:val="0"/>
          <w:bCs w:val="0"/>
        </w:rPr>
        <w:t xml:space="preserve">11、证明投标人及投标标的符合招标文件规定的文件</w:t>
      </w:r>
      <w:bookmarkEnd w:id="81"/>
      <w:r/>
      <w:bookmarkEnd w:id="82"/>
      <w:r/>
      <w:bookmarkEnd w:id="83"/>
      <w:r/>
      <w:bookmarkEnd w:id="84"/>
      <w:r/>
      <w:bookmarkEnd w:id="85"/>
      <w:r/>
      <w:bookmarkEnd w:id="86"/>
      <w:r/>
      <w:r/>
    </w:p>
    <w:p>
      <w:pPr>
        <w:spacing w:line="480" w:lineRule="exact"/>
        <w:rPr>
          <w:rFonts w:ascii="宋体" w:hAnsi="宋体"/>
          <w:sz w:val="24"/>
          <w:szCs w:val="24"/>
        </w:rPr>
      </w:pPr>
      <w:r/>
      <w:bookmarkStart w:id="87" w:name="_Toc14577355"/>
      <w:r/>
      <w:bookmarkStart w:id="88" w:name="_Toc49090508"/>
      <w:r>
        <w:rPr>
          <w:rFonts w:hint="eastAsia" w:ascii="宋体" w:hAnsi="宋体"/>
          <w:sz w:val="24"/>
          <w:szCs w:val="24"/>
        </w:rPr>
        <w:t xml:space="preserve">    11.1投标人应按照法律、法规、规章和规范性文件以及招标文件要求提交证明文件，证明其及投标标的符合招标文件规定。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1"/>
        <w:ind w:firstLine="420"/>
        <w:spacing w:before="0" w:after="0" w:line="240" w:lineRule="auto"/>
        <w:rPr>
          <w:b w:val="0"/>
          <w:bCs w:val="0"/>
        </w:rPr>
      </w:pPr>
      <w:r>
        <w:rPr>
          <w:rFonts w:hint="eastAsia"/>
          <w:b w:val="0"/>
          <w:bCs w:val="0"/>
        </w:rPr>
        <w:t xml:space="preserve">12、投标分项报价</w:t>
      </w:r>
      <w:bookmarkEnd w:id="87"/>
      <w:r/>
      <w:bookmarkStart w:id="89" w:name="_Hlt26670373"/>
      <w:r/>
      <w:bookmarkEnd w:id="89"/>
      <w:r>
        <w:rPr>
          <w:rFonts w:hint="eastAsia"/>
          <w:b w:val="0"/>
          <w:bCs w:val="0"/>
        </w:rPr>
        <w:t xml:space="preserve">表</w:t>
      </w:r>
      <w:bookmarkEnd w:id="88"/>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投</w:t>
      </w:r>
      <w:bookmarkStart w:id="90" w:name="_Hlt26954840"/>
      <w:r/>
      <w:bookmarkEnd w:id="90"/>
      <w:r>
        <w:rPr>
          <w:rFonts w:hint="eastAsia" w:ascii="宋体" w:hAnsi="宋体"/>
          <w:sz w:val="24"/>
        </w:rPr>
        <w:t xml:space="preserve">标人应按照招标文件规定格式填报投标分项报价表</w:t>
      </w:r>
      <w:bookmarkStart w:id="91" w:name="_Hlt26670399"/>
      <w:r/>
      <w:bookmarkEnd w:id="91"/>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1"/>
        <w:ind w:firstLine="420"/>
        <w:spacing w:before="0" w:after="0" w:line="240" w:lineRule="auto"/>
        <w:rPr>
          <w:b w:val="0"/>
          <w:bCs w:val="0"/>
        </w:rPr>
      </w:pPr>
      <w:r/>
      <w:bookmarkStart w:id="92" w:name="_Hlt26670486"/>
      <w:r/>
      <w:bookmarkEnd w:id="92"/>
      <w:r/>
      <w:bookmarkStart w:id="93" w:name="_Hlt26670403"/>
      <w:r/>
      <w:bookmarkEnd w:id="93"/>
      <w:r/>
      <w:bookmarkStart w:id="94" w:name="_Hlt26954848"/>
      <w:r/>
      <w:bookmarkEnd w:id="94"/>
      <w:r/>
      <w:bookmarkStart w:id="95" w:name="_Hlt26954842"/>
      <w:r/>
      <w:bookmarkEnd w:id="95"/>
      <w:r/>
      <w:bookmarkStart w:id="96" w:name="_Hlt26670482"/>
      <w:r/>
      <w:bookmarkEnd w:id="96"/>
      <w:r/>
      <w:bookmarkStart w:id="97" w:name="_Hlt26954731"/>
      <w:r/>
      <w:bookmarkEnd w:id="97"/>
      <w:r/>
      <w:bookmarkStart w:id="98" w:name="_Hlt26954844"/>
      <w:r/>
      <w:bookmarkEnd w:id="98"/>
      <w:r/>
      <w:bookmarkStart w:id="99" w:name="_Hlt26954846"/>
      <w:r/>
      <w:bookmarkEnd w:id="99"/>
      <w:r/>
      <w:bookmarkStart w:id="100" w:name="_Hlt26668983"/>
      <w:r/>
      <w:bookmarkEnd w:id="100"/>
      <w:r/>
      <w:bookmarkStart w:id="101" w:name="_Hlt26670425"/>
      <w:r/>
      <w:bookmarkEnd w:id="101"/>
      <w:r>
        <w:rPr>
          <w:rFonts w:hint="eastAsia"/>
          <w:b w:val="0"/>
          <w:bCs w:val="0"/>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851"/>
        <w:ind w:firstLine="420"/>
        <w:spacing w:before="0" w:after="0" w:line="240" w:lineRule="auto"/>
        <w:rPr>
          <w:b w:val="0"/>
          <w:bCs w:val="0"/>
        </w:rPr>
      </w:pPr>
      <w:r/>
      <w:bookmarkStart w:id="102" w:name="_Toc49090510"/>
      <w:r/>
      <w:bookmarkStart w:id="103" w:name="_Toc14577359"/>
      <w:r>
        <w:rPr>
          <w:rFonts w:hint="eastAsia"/>
          <w:b w:val="0"/>
          <w:bCs w:val="0"/>
        </w:rPr>
        <w:t xml:space="preserve">14、投标函和开标一览表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02"/>
      <w:r/>
      <w:bookmarkEnd w:id="103"/>
      <w:r/>
      <w:r/>
    </w:p>
    <w:p>
      <w:pPr>
        <w:pStyle w:val="851"/>
        <w:ind w:firstLine="420"/>
        <w:spacing w:before="0" w:after="0" w:line="240" w:lineRule="auto"/>
        <w:rPr>
          <w:b w:val="0"/>
          <w:bCs w:val="0"/>
        </w:rPr>
      </w:pPr>
      <w:r/>
      <w:bookmarkStart w:id="104" w:name="_Hlt26954734"/>
      <w:r/>
      <w:bookmarkEnd w:id="104"/>
      <w:r/>
      <w:bookmarkStart w:id="105" w:name="_Hlt26954850"/>
      <w:r/>
      <w:bookmarkEnd w:id="105"/>
      <w:r/>
      <w:bookmarkStart w:id="106" w:name="_Hlt26670489"/>
      <w:r/>
      <w:bookmarkEnd w:id="106"/>
      <w:r/>
      <w:bookmarkStart w:id="107" w:name="_Toc14577360"/>
      <w:r/>
      <w:bookmarkStart w:id="108" w:name="_Toc49090511"/>
      <w:r>
        <w:rPr>
          <w:rFonts w:hint="eastAsia"/>
          <w:b w:val="0"/>
          <w:bCs w:val="0"/>
        </w:rPr>
        <w:t xml:space="preserve">15、投标有效期</w:t>
      </w:r>
      <w:bookmarkEnd w:id="107"/>
      <w:r/>
      <w:bookmarkEnd w:id="108"/>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1"/>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09"/>
        <w:ind w:firstLine="482"/>
        <w:spacing w:before="156" w:after="156" w:line="360" w:lineRule="auto"/>
      </w:pPr>
      <w:r/>
      <w:bookmarkStart w:id="109" w:name="_Hlt26954852"/>
      <w:r/>
      <w:bookmarkEnd w:id="109"/>
      <w:r/>
      <w:bookmarkStart w:id="110" w:name="_Hlt26954739"/>
      <w:r/>
      <w:bookmarkEnd w:id="110"/>
      <w:r/>
      <w:bookmarkStart w:id="111" w:name="_Toc20823296"/>
      <w:r/>
      <w:bookmarkStart w:id="112" w:name="_Toc16938540"/>
      <w:r/>
      <w:bookmarkStart w:id="113" w:name="_Toc513029224"/>
      <w:r/>
      <w:bookmarkStart w:id="114" w:name="_Toc120614217"/>
      <w:r>
        <w:rPr>
          <w:rFonts w:hint="eastAsia"/>
        </w:rPr>
        <w:t xml:space="preserve">四、投标文件的递交</w:t>
      </w:r>
      <w:bookmarkEnd w:id="111"/>
      <w:r/>
      <w:bookmarkEnd w:id="112"/>
      <w:r/>
      <w:bookmarkEnd w:id="113"/>
      <w:r/>
      <w:bookmarkEnd w:id="114"/>
      <w:r/>
      <w:r/>
    </w:p>
    <w:p>
      <w:pPr>
        <w:pStyle w:val="851"/>
        <w:ind w:firstLine="560"/>
        <w:spacing w:before="0" w:after="0" w:line="240" w:lineRule="auto"/>
        <w:rPr>
          <w:rFonts w:ascii="黑体"/>
          <w:b w:val="0"/>
          <w:bCs w:val="0"/>
        </w:rPr>
      </w:pPr>
      <w:r/>
      <w:bookmarkStart w:id="115" w:name="_Toc462564084"/>
      <w:r/>
      <w:bookmarkStart w:id="116" w:name="_Toc513029225"/>
      <w:r/>
      <w:bookmarkStart w:id="117" w:name="_Toc16938541"/>
      <w:r/>
      <w:bookmarkStart w:id="118" w:name="_Toc20823297"/>
      <w:r>
        <w:rPr>
          <w:rFonts w:hint="eastAsia"/>
          <w:b w:val="0"/>
          <w:bCs w:val="0"/>
        </w:rPr>
        <w:t xml:space="preserve">17、</w:t>
      </w:r>
      <w:r>
        <w:rPr>
          <w:rFonts w:hint="eastAsia" w:ascii="黑体"/>
          <w:b w:val="0"/>
          <w:bCs w:val="0"/>
        </w:rPr>
        <w:t xml:space="preserve">投标文件</w:t>
      </w:r>
      <w:bookmarkEnd w:id="115"/>
      <w:r/>
      <w:bookmarkEnd w:id="116"/>
      <w:r/>
      <w:bookmarkEnd w:id="117"/>
      <w:r/>
      <w:bookmarkEnd w:id="118"/>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90"/>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19" w:name="_Toc513029226"/>
      <w:r/>
      <w:bookmarkStart w:id="120" w:name="_Toc20823298"/>
      <w:r/>
      <w:bookmarkStart w:id="121" w:name="_Toc16938542"/>
      <w:r/>
      <w:r/>
    </w:p>
    <w:p>
      <w:pPr>
        <w:pStyle w:val="851"/>
        <w:ind w:firstLine="420"/>
        <w:rPr>
          <w:b w:val="0"/>
        </w:rPr>
      </w:pPr>
      <w:r>
        <w:rPr>
          <w:rFonts w:hint="eastAsia"/>
          <w:b w:val="0"/>
        </w:rPr>
        <w:t xml:space="preserve">18、投标截止</w:t>
      </w:r>
      <w:bookmarkEnd w:id="119"/>
      <w:r/>
      <w:bookmarkEnd w:id="120"/>
      <w:r/>
      <w:bookmarkEnd w:id="121"/>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851"/>
        <w:ind w:firstLine="420"/>
        <w:spacing w:before="0" w:after="0" w:line="240" w:lineRule="auto"/>
        <w:rPr>
          <w:b w:val="0"/>
          <w:bCs w:val="0"/>
        </w:rPr>
      </w:pPr>
      <w:r/>
      <w:bookmarkStart w:id="122" w:name="_Toc513029227"/>
      <w:r/>
      <w:bookmarkStart w:id="123" w:name="_Toc20823299"/>
      <w:r/>
      <w:bookmarkStart w:id="124" w:name="_Toc16938543"/>
      <w:r>
        <w:rPr>
          <w:rFonts w:hint="eastAsia"/>
          <w:b w:val="0"/>
          <w:bCs w:val="0"/>
        </w:rPr>
        <w:t xml:space="preserve">19、投标文件</w:t>
      </w:r>
      <w:bookmarkEnd w:id="122"/>
      <w:r/>
      <w:bookmarkEnd w:id="123"/>
      <w:r/>
      <w:bookmarkEnd w:id="124"/>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51"/>
        <w:ind w:firstLine="420"/>
        <w:spacing w:before="0" w:after="0" w:line="240" w:lineRule="auto"/>
        <w:rPr>
          <w:b w:val="0"/>
          <w:bCs w:val="0"/>
        </w:rPr>
      </w:pPr>
      <w:r/>
      <w:bookmarkStart w:id="125" w:name="_Toc513029228"/>
      <w:r/>
      <w:bookmarkStart w:id="126" w:name="_Toc16938544"/>
      <w:r/>
      <w:bookmarkStart w:id="127" w:name="_Toc20823300"/>
      <w:r>
        <w:rPr>
          <w:rFonts w:hint="eastAsia"/>
          <w:b w:val="0"/>
          <w:bCs w:val="0"/>
        </w:rPr>
        <w:t xml:space="preserve">20、投标文件的撤回和修改</w:t>
      </w:r>
      <w:bookmarkEnd w:id="125"/>
      <w:r/>
      <w:bookmarkEnd w:id="126"/>
      <w:r/>
      <w:bookmarkEnd w:id="127"/>
      <w:r/>
      <w:r/>
    </w:p>
    <w:p>
      <w:pPr>
        <w:ind w:firstLine="480"/>
        <w:spacing w:line="480" w:lineRule="exact"/>
        <w:rPr>
          <w:rFonts w:ascii="宋体" w:hAnsi="宋体"/>
          <w:sz w:val="24"/>
        </w:rPr>
      </w:pPr>
      <w:r>
        <w:rPr>
          <w:rFonts w:hint="eastAsia" w:ascii="宋体" w:hAnsi="宋体"/>
          <w:sz w:val="24"/>
        </w:rPr>
        <w:t xml:space="preserve">20.1投标文件的撤回</w:t>
      </w:r>
      <w:r/>
    </w:p>
    <w:p>
      <w:pPr>
        <w:ind w:firstLine="480"/>
        <w:spacing w:line="480" w:lineRule="exact"/>
        <w:rPr>
          <w:rFonts w:ascii="宋体" w:hAnsi="宋体"/>
          <w:sz w:val="24"/>
        </w:rPr>
      </w:pPr>
      <w:r>
        <w:rPr>
          <w:rFonts w:hint="eastAsia" w:ascii="宋体" w:hAnsi="宋体"/>
          <w:sz w:val="24"/>
        </w:rPr>
        <w:t xml:space="preserve">21.1.1电子投标文件的撤回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09"/>
        <w:ind w:firstLine="482"/>
        <w:spacing w:before="156" w:after="156" w:line="360" w:lineRule="auto"/>
      </w:pPr>
      <w:r/>
      <w:bookmarkStart w:id="128" w:name="_Toc20823301"/>
      <w:r/>
      <w:bookmarkStart w:id="129" w:name="_Toc513029229"/>
      <w:r/>
      <w:bookmarkStart w:id="130" w:name="_Toc120614218"/>
      <w:r/>
      <w:bookmarkStart w:id="131" w:name="_Toc16938545"/>
      <w:r>
        <w:rPr>
          <w:rFonts w:hint="eastAsia"/>
        </w:rPr>
        <w:t xml:space="preserve">五、开标与评标</w:t>
      </w:r>
      <w:bookmarkEnd w:id="128"/>
      <w:r/>
      <w:bookmarkEnd w:id="129"/>
      <w:r/>
      <w:bookmarkEnd w:id="130"/>
      <w:r/>
      <w:bookmarkEnd w:id="131"/>
      <w:r/>
      <w:r/>
    </w:p>
    <w:p>
      <w:pPr>
        <w:pStyle w:val="851"/>
        <w:ind w:firstLine="420"/>
        <w:spacing w:before="0" w:after="0" w:line="240" w:lineRule="auto"/>
        <w:rPr>
          <w:b w:val="0"/>
          <w:bCs w:val="0"/>
        </w:rPr>
      </w:pPr>
      <w:r/>
      <w:bookmarkStart w:id="132" w:name="_Toc16938546"/>
      <w:r/>
      <w:bookmarkStart w:id="133" w:name="_Toc513029230"/>
      <w:r/>
      <w:bookmarkStart w:id="134" w:name="_Toc20823302"/>
      <w:r>
        <w:rPr>
          <w:rFonts w:hint="eastAsia"/>
          <w:b w:val="0"/>
          <w:bCs w:val="0"/>
        </w:rPr>
        <w:t xml:space="preserve">21、开标</w:t>
      </w:r>
      <w:bookmarkEnd w:id="132"/>
      <w:r/>
      <w:bookmarkEnd w:id="133"/>
      <w:r/>
      <w:bookmarkEnd w:id="134"/>
      <w:r/>
      <w:r/>
    </w:p>
    <w:p>
      <w:pPr>
        <w:ind w:firstLine="480"/>
        <w:spacing w:line="480" w:lineRule="exact"/>
        <w:rPr>
          <w:rFonts w:ascii="宋体" w:hAnsi="宋体"/>
          <w:sz w:val="24"/>
          <w:szCs w:val="24"/>
        </w:rPr>
      </w:pPr>
      <w:r>
        <w:rPr>
          <w:rFonts w:hint="eastAsia" w:ascii="宋体" w:hAnsi="宋体"/>
          <w:sz w:val="24"/>
          <w:szCs w:val="24"/>
        </w:rPr>
        <w:t xml:space="preserve">21.1交易中心将在招标公告中规定的时间和地点组织公开开标。投标人应当按照《操作手册》规定，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21.2开标仪式由交易中心组织。苏采云系统将自动对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80" w:lineRule="exact"/>
        <w:rPr>
          <w:rFonts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8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851"/>
        <w:ind w:firstLine="420"/>
        <w:spacing w:before="0" w:after="0" w:line="240" w:lineRule="auto"/>
        <w:rPr>
          <w:b w:val="0"/>
          <w:bCs w:val="0"/>
        </w:rPr>
      </w:pPr>
      <w:r/>
      <w:bookmarkStart w:id="135" w:name="_Toc16938547"/>
      <w:r/>
      <w:bookmarkStart w:id="136" w:name="_Toc20823303"/>
      <w:r/>
      <w:bookmarkStart w:id="137" w:name="_Toc513029231"/>
      <w:r>
        <w:rPr>
          <w:rFonts w:hint="eastAsia"/>
          <w:b w:val="0"/>
          <w:bCs w:val="0"/>
        </w:rPr>
        <w:t xml:space="preserve">22、评标委员会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51"/>
        <w:ind w:firstLine="420"/>
        <w:spacing w:before="0" w:after="0" w:line="240" w:lineRule="auto"/>
        <w:rPr>
          <w:rFonts w:ascii="黑体"/>
          <w:b w:val="0"/>
          <w:bCs w:val="0"/>
        </w:rPr>
      </w:pPr>
      <w:r>
        <w:rPr>
          <w:rFonts w:hint="eastAsia" w:ascii="黑体"/>
          <w:b w:val="0"/>
          <w:bCs w:val="0"/>
        </w:rPr>
        <w:t xml:space="preserve">23、评标过程的保密与公正</w:t>
      </w:r>
      <w:bookmarkEnd w:id="135"/>
      <w:r/>
      <w:bookmarkEnd w:id="136"/>
      <w:r/>
      <w:bookmarkEnd w:id="137"/>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23.4采用综合评分法的项目，未中标的投标人可于中标结果公告期限届满之日起通过苏采云系统查看自己的评审得分及排序情况。</w:t>
      </w:r>
      <w:r/>
    </w:p>
    <w:p>
      <w:pPr>
        <w:pStyle w:val="851"/>
        <w:ind w:firstLine="420"/>
        <w:spacing w:before="0" w:after="0" w:line="240" w:lineRule="auto"/>
        <w:rPr>
          <w:b w:val="0"/>
          <w:bCs w:val="0"/>
        </w:rPr>
      </w:pPr>
      <w:r/>
      <w:bookmarkStart w:id="138" w:name="_Toc16938548"/>
      <w:r/>
      <w:bookmarkStart w:id="139" w:name="_Toc513029232"/>
      <w:r/>
      <w:bookmarkStart w:id="140" w:name="_Toc20823304"/>
      <w:r>
        <w:rPr>
          <w:rFonts w:hint="eastAsia"/>
          <w:b w:val="0"/>
          <w:bCs w:val="0"/>
        </w:rPr>
        <w:t xml:space="preserve">24、投标文件的澄清</w:t>
      </w:r>
      <w:bookmarkEnd w:id="138"/>
      <w:r/>
      <w:bookmarkEnd w:id="139"/>
      <w:r/>
      <w:bookmarkEnd w:id="14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24.3接到评委会澄清、说明和补正要求的投标人如未按规定做出澄清、说明和补正，其风险由投标人自行承担。</w:t>
      </w:r>
      <w:r/>
    </w:p>
    <w:p>
      <w:pPr>
        <w:pStyle w:val="851"/>
        <w:ind w:firstLine="420"/>
        <w:spacing w:before="0" w:after="0" w:line="240" w:lineRule="auto"/>
        <w:rPr>
          <w:b w:val="0"/>
          <w:bCs w:val="0"/>
        </w:rPr>
      </w:pPr>
      <w:r/>
      <w:bookmarkStart w:id="141" w:name="_Toc16938549"/>
      <w:r/>
      <w:bookmarkStart w:id="142" w:name="_Toc513029233"/>
      <w:r/>
      <w:bookmarkStart w:id="143" w:name="_Toc20823305"/>
      <w:r>
        <w:rPr>
          <w:rFonts w:hint="eastAsia"/>
          <w:b w:val="0"/>
          <w:bCs w:val="0"/>
        </w:rPr>
        <w:t xml:space="preserve">25、对投标文件的初审</w:t>
      </w:r>
      <w:bookmarkEnd w:id="141"/>
      <w:r/>
      <w:bookmarkEnd w:id="142"/>
      <w:r/>
      <w:bookmarkEnd w:id="143"/>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3未通过资格审查或符合性审查的投标人，交易中心将在苏采云系统中告知未通过资格审查或符合性审查的原因，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rPr>
        <w:t xml:space="preserve">苏采云系统告知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44" w:name="_Toc20823306"/>
      <w:r/>
      <w:bookmarkStart w:id="145" w:name="_Toc513029234"/>
      <w:r/>
      <w:bookmarkStart w:id="146" w:name="_Toc16938550"/>
      <w:r>
        <w:rPr>
          <w:rFonts w:hint="eastAsia" w:ascii="宋体" w:hAnsi="宋体"/>
          <w:sz w:val="24"/>
        </w:rPr>
        <w:t xml:space="preserve">25.6投标人在开、评标全过程中应保持通讯畅通，及时登录苏采云系统查阅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851"/>
        <w:ind w:firstLine="420"/>
        <w:spacing w:before="0" w:after="0" w:line="240" w:lineRule="auto"/>
        <w:rPr>
          <w:b w:val="0"/>
          <w:bCs w:val="0"/>
        </w:rPr>
      </w:pPr>
      <w:r>
        <w:rPr>
          <w:rFonts w:hint="eastAsia"/>
          <w:b w:val="0"/>
          <w:bCs w:val="0"/>
        </w:rPr>
        <w:t xml:space="preserve">26、</w:t>
      </w:r>
      <w:bookmarkEnd w:id="144"/>
      <w:r/>
      <w:bookmarkEnd w:id="145"/>
      <w:r/>
      <w:bookmarkEnd w:id="146"/>
      <w:r>
        <w:rPr>
          <w:rFonts w:hint="eastAsia"/>
          <w:b w:val="0"/>
          <w:bCs w:val="0"/>
        </w:rPr>
        <w:t xml:space="preserve">无效投标条款和废标条款</w:t>
      </w:r>
      <w:r/>
    </w:p>
    <w:p>
      <w:pPr>
        <w:ind w:left="479"/>
        <w:spacing w:line="440" w:lineRule="exact"/>
        <w:rPr>
          <w:rFonts w:ascii="宋体" w:hAnsi="宋体"/>
          <w:bCs/>
          <w:sz w:val="24"/>
        </w:rPr>
      </w:pPr>
      <w:r/>
      <w:bookmarkStart w:id="147" w:name="_Toc20823307"/>
      <w:r/>
      <w:bookmarkStart w:id="148" w:name="_Toc513029235"/>
      <w:r/>
      <w:bookmarkStart w:id="149" w:name="_Toc16938551"/>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.1.1投标人在苏采云系统规定的时间内未成功解密电子投标文件的。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26.1.8投标人被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26.2.5因苏采云系统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09"/>
        <w:ind w:firstLine="482"/>
        <w:spacing w:before="156" w:after="156" w:line="360" w:lineRule="auto"/>
      </w:pPr>
      <w:r/>
      <w:bookmarkStart w:id="150" w:name="_Toc120614219"/>
      <w:r>
        <w:rPr>
          <w:rFonts w:hint="eastAsia"/>
        </w:rPr>
        <w:t xml:space="preserve">六、</w:t>
      </w:r>
      <w:bookmarkEnd w:id="147"/>
      <w:r/>
      <w:bookmarkEnd w:id="148"/>
      <w:r/>
      <w:bookmarkEnd w:id="149"/>
      <w:r>
        <w:rPr>
          <w:rFonts w:hint="eastAsia"/>
        </w:rPr>
        <w:t xml:space="preserve">定标</w:t>
      </w:r>
      <w:bookmarkEnd w:id="150"/>
      <w:r/>
      <w:r/>
    </w:p>
    <w:p>
      <w:pPr>
        <w:pStyle w:val="851"/>
        <w:ind w:firstLine="600"/>
        <w:spacing w:before="0" w:after="0" w:line="240" w:lineRule="auto"/>
        <w:rPr>
          <w:rFonts w:ascii="黑体" w:hAnsi="宋体"/>
          <w:b w:val="0"/>
          <w:sz w:val="30"/>
          <w:szCs w:val="30"/>
        </w:rPr>
      </w:pPr>
      <w:r/>
      <w:bookmarkStart w:id="151" w:name="_Toc513029238"/>
      <w:r/>
      <w:bookmarkStart w:id="152" w:name="_Toc16938554"/>
      <w:r/>
      <w:bookmarkStart w:id="153" w:name="_Toc20823310"/>
      <w:r>
        <w:rPr>
          <w:rFonts w:hint="eastAsia" w:ascii="黑体" w:hAnsi="宋体"/>
          <w:b w:val="0"/>
          <w:sz w:val="30"/>
          <w:szCs w:val="30"/>
        </w:rPr>
        <w:t xml:space="preserve">27、</w:t>
      </w:r>
      <w:bookmarkEnd w:id="151"/>
      <w:r>
        <w:rPr>
          <w:rFonts w:hint="eastAsia" w:ascii="黑体" w:hAnsi="宋体"/>
          <w:b w:val="0"/>
          <w:sz w:val="30"/>
          <w:szCs w:val="30"/>
        </w:rPr>
        <w:t xml:space="preserve">确定</w:t>
      </w:r>
      <w:bookmarkEnd w:id="152"/>
      <w:r/>
      <w:bookmarkEnd w:id="153"/>
      <w:r>
        <w:rPr>
          <w:rFonts w:hint="eastAsia" w:ascii="黑体" w:hAnsi="宋体"/>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27.2采购人应根据评委会推荐的中标候选人确定中标人。</w:t>
      </w:r>
      <w:r/>
    </w:p>
    <w:p>
      <w:pPr>
        <w:ind w:firstLine="480"/>
        <w:spacing w:line="480" w:lineRule="exact"/>
        <w:rPr>
          <w:rFonts w:ascii="宋体" w:hAnsi="宋体"/>
          <w:bCs/>
          <w:sz w:val="24"/>
        </w:rPr>
      </w:pPr>
      <w:r>
        <w:rPr>
          <w:rFonts w:hint="eastAsia" w:ascii="宋体" w:hAnsi="宋体"/>
          <w:bCs/>
          <w:sz w:val="24"/>
          <w:szCs w:val="24"/>
        </w:rPr>
        <w:t xml:space="preserve">27.3</w:t>
      </w:r>
      <w:r>
        <w:rPr>
          <w:rFonts w:hint="eastAsia" w:ascii="宋体" w:hAnsi="宋体"/>
          <w:sz w:val="24"/>
          <w:szCs w:val="24"/>
        </w:rPr>
        <w:t xml:space="preserve">交易中心将在“江苏政府采</w:t>
      </w:r>
      <w:r>
        <w:rPr>
          <w:rFonts w:hint="eastAsia" w:ascii="宋体" w:hAnsi="宋体"/>
          <w:bCs/>
          <w:sz w:val="24"/>
        </w:rPr>
        <w:t xml:space="preserve">购网”、“扬州市政府采购网”、“扬州市邗江区政府采购网”发布中标公告，公告期限为1个工作日。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5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51"/>
        <w:ind w:firstLine="600"/>
        <w:spacing w:before="0" w:after="0" w:line="240" w:lineRule="auto"/>
        <w:rPr>
          <w:rFonts w:ascii="黑体" w:hAnsi="宋体"/>
          <w:b w:val="0"/>
          <w:sz w:val="30"/>
          <w:szCs w:val="30"/>
        </w:rPr>
      </w:pPr>
      <w:r>
        <w:rPr>
          <w:rFonts w:hint="eastAsia" w:ascii="黑体" w:hAnsi="宋体"/>
          <w:b w:val="0"/>
          <w:sz w:val="30"/>
          <w:szCs w:val="30"/>
        </w:rPr>
        <w:t xml:space="preserve">28、质疑处理</w:t>
      </w:r>
      <w:bookmarkEnd w:id="154"/>
      <w:r/>
      <w:r/>
    </w:p>
    <w:p>
      <w:pPr>
        <w:ind w:firstLine="480"/>
        <w:spacing w:line="48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51"/>
        <w:ind w:firstLine="600"/>
        <w:spacing w:before="0" w:after="0" w:line="240" w:lineRule="auto"/>
        <w:rPr>
          <w:rFonts w:ascii="黑体" w:hAnsi="宋体"/>
          <w:b w:val="0"/>
          <w:sz w:val="30"/>
          <w:szCs w:val="30"/>
        </w:rPr>
      </w:pPr>
      <w:r>
        <w:rPr>
          <w:rFonts w:hint="eastAsia" w:ascii="黑体" w:hAnsi="宋体"/>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9"/>
        <w:spacing w:before="156" w:after="156" w:line="360" w:lineRule="auto"/>
      </w:pPr>
      <w:r/>
      <w:bookmarkStart w:id="155" w:name="_Toc513029236"/>
      <w:r/>
      <w:bookmarkStart w:id="156" w:name="_Toc120614220"/>
      <w:r/>
      <w:bookmarkStart w:id="157" w:name="_Toc20823308"/>
      <w:r/>
      <w:bookmarkStart w:id="158" w:name="_Toc16938552"/>
      <w:r>
        <w:rPr>
          <w:rFonts w:hint="eastAsia"/>
        </w:rPr>
        <w:t xml:space="preserve">七、授予合同</w:t>
      </w:r>
      <w:bookmarkEnd w:id="155"/>
      <w:r/>
      <w:bookmarkEnd w:id="156"/>
      <w:r/>
      <w:bookmarkEnd w:id="157"/>
      <w:r/>
      <w:bookmarkEnd w:id="158"/>
      <w:r/>
      <w:r/>
    </w:p>
    <w:p>
      <w:pPr>
        <w:pStyle w:val="851"/>
        <w:ind w:firstLine="600"/>
        <w:spacing w:before="0" w:after="0" w:line="240" w:lineRule="auto"/>
        <w:rPr>
          <w:rFonts w:ascii="黑体" w:hAnsi="宋体"/>
          <w:b w:val="0"/>
          <w:sz w:val="30"/>
          <w:szCs w:val="30"/>
        </w:rPr>
      </w:pPr>
      <w:r/>
      <w:bookmarkStart w:id="159" w:name="_Toc20823309"/>
      <w:r/>
      <w:bookmarkStart w:id="160" w:name="_Toc513029237"/>
      <w:r/>
      <w:bookmarkStart w:id="161" w:name="_Toc16938553"/>
      <w:r>
        <w:rPr>
          <w:rFonts w:hint="eastAsia" w:ascii="黑体" w:hAnsi="宋体"/>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.l中标人应当在中标通知书发出之日起十五日内，按照招标文件确定的事项与采购人签订政府采购合同。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bookmarkEnd w:id="159"/>
      <w:r/>
      <w:bookmarkEnd w:id="160"/>
      <w:r/>
      <w:bookmarkEnd w:id="161"/>
      <w:r/>
      <w:r/>
    </w:p>
    <w:p>
      <w:pPr>
        <w:pStyle w:val="851"/>
        <w:ind w:firstLine="600"/>
        <w:spacing w:before="0" w:after="0" w:line="240" w:lineRule="auto"/>
        <w:rPr>
          <w:rFonts w:ascii="黑体" w:hAnsi="宋体"/>
          <w:b w:val="0"/>
          <w:sz w:val="30"/>
          <w:szCs w:val="30"/>
        </w:rPr>
      </w:pPr>
      <w:r/>
      <w:bookmarkStart w:id="162" w:name="_Toc20823314"/>
      <w:r/>
      <w:bookmarkStart w:id="163" w:name="_Toc16938558"/>
      <w:r/>
      <w:bookmarkStart w:id="164" w:name="_Toc120614221"/>
      <w:r/>
      <w:bookmarkStart w:id="165" w:name="_Toc479757207"/>
      <w:r/>
      <w:bookmarkStart w:id="166" w:name="_Toc513029242"/>
      <w:r>
        <w:rPr>
          <w:rFonts w:hint="eastAsia" w:ascii="黑体" w:hAnsi="宋体"/>
          <w:b w:val="0"/>
          <w:sz w:val="30"/>
          <w:szCs w:val="30"/>
        </w:rPr>
        <w:t xml:space="preserve">31、政府采购履约资金扶持政策</w:t>
      </w:r>
      <w:r/>
    </w:p>
    <w:p>
      <w:pPr>
        <w:pStyle w:val="765"/>
      </w:pPr>
      <w:r>
        <w:rPr>
          <w:rFonts w:hint="eastAsia" w:ascii="宋体" w:hAnsi="宋体"/>
          <w:bCs/>
          <w:sz w:val="24"/>
        </w:rPr>
        <w:t xml:space="preserve">中标人可凭政府采购合同办理融资贷款，详情请见江苏政府采购网“政采贷”专栏。</w:t>
      </w:r>
      <w:r/>
    </w:p>
    <w:p>
      <w:pPr>
        <w:pStyle w:val="765"/>
      </w:pPr>
      <w:r/>
      <w:r/>
    </w:p>
    <w:p>
      <w:pPr>
        <w:jc w:val="left"/>
        <w:widowControl/>
        <w:rPr>
          <w:rFonts w:ascii="黑体" w:eastAsia="黑体"/>
          <w:bCs/>
          <w:sz w:val="44"/>
          <w:szCs w:val="28"/>
        </w:rPr>
      </w:pPr>
      <w:r>
        <w:rPr>
          <w:rFonts w:ascii="黑体" w:eastAsia="黑体"/>
          <w:bCs/>
          <w:sz w:val="44"/>
        </w:rPr>
        <w:br w:type="page" w:clear="all"/>
      </w:r>
      <w:r/>
    </w:p>
    <w:p>
      <w:pPr>
        <w:pStyle w:val="847"/>
        <w:rPr>
          <w:rFonts w:ascii="黑体" w:eastAsia="黑体"/>
          <w:bCs/>
          <w:sz w:val="44"/>
        </w:rPr>
      </w:pPr>
      <w:r>
        <w:rPr>
          <w:rFonts w:hint="eastAsia" w:ascii="黑体" w:eastAsia="黑体"/>
          <w:bCs/>
          <w:sz w:val="44"/>
        </w:rPr>
        <w:t xml:space="preserve">第三章  合同</w:t>
      </w:r>
      <w:bookmarkEnd w:id="162"/>
      <w:r/>
      <w:bookmarkEnd w:id="163"/>
      <w:r/>
      <w:bookmarkEnd w:id="164"/>
      <w:r/>
      <w:bookmarkEnd w:id="165"/>
      <w:r/>
      <w:bookmarkEnd w:id="166"/>
      <w:r>
        <w:rPr>
          <w:rFonts w:hint="eastAsia" w:ascii="黑体" w:eastAsia="黑体"/>
          <w:bCs/>
          <w:sz w:val="44"/>
        </w:rPr>
        <w:t xml:space="preserve">文本</w:t>
      </w:r>
      <w:r/>
    </w:p>
    <w:p>
      <w:pPr>
        <w:ind w:firstLine="480"/>
        <w:spacing w:line="500" w:lineRule="exact"/>
        <w:rPr>
          <w:rFonts w:ascii="宋体" w:hAnsi="宋体"/>
          <w:bCs/>
          <w:sz w:val="24"/>
        </w:rPr>
      </w:pPr>
      <w:r/>
      <w:bookmarkStart w:id="167" w:name="_Toc513029243"/>
      <w:r/>
      <w:bookmarkStart w:id="168" w:name="_Toc16938559"/>
      <w:r/>
      <w:bookmarkStart w:id="169" w:name="_Toc20823315"/>
      <w:r>
        <w:rPr>
          <w:rFonts w:hint="eastAsia" w:ascii="宋体" w:hAnsi="宋体"/>
          <w:bCs/>
          <w:sz w:val="24"/>
        </w:rPr>
        <w:t xml:space="preserve">以下为中标后签定本项目合同的通用条款，中标人不得提出实质性的修改。</w:t>
      </w:r>
      <w:r/>
    </w:p>
    <w:p>
      <w:pPr>
        <w:jc w:val="center"/>
      </w:pPr>
      <w:r/>
      <w:r/>
    </w:p>
    <w:p>
      <w:pPr>
        <w:jc w:val="center"/>
        <w:rPr>
          <w:b/>
          <w:bCs/>
          <w:sz w:val="30"/>
          <w:szCs w:val="30"/>
        </w:rPr>
      </w:pPr>
      <w:r>
        <w:rPr>
          <w:rFonts w:hint="eastAsia"/>
          <w:b/>
          <w:sz w:val="30"/>
          <w:szCs w:val="30"/>
        </w:rPr>
        <w:t xml:space="preserve">江苏省政府采购合同（服务）（合同编号）</w:t>
      </w:r>
      <w:r/>
    </w:p>
    <w:p>
      <w:pPr>
        <w:pStyle w:val="777"/>
        <w:jc w:val="left"/>
        <w:spacing w:before="120" w:after="120"/>
        <w:rPr>
          <w:rFonts w:hAnsi="宋体"/>
          <w:sz w:val="24"/>
          <w:szCs w:val="24"/>
        </w:rPr>
      </w:pPr>
      <w:r>
        <w:rPr>
          <w:rFonts w:hAnsi="宋体"/>
          <w:sz w:val="24"/>
          <w:szCs w:val="24"/>
        </w:rPr>
        <w:t xml:space="preserve">项</w:t>
      </w:r>
      <w:r>
        <w:rPr>
          <w:rFonts w:hint="eastAsia" w:hAnsi="宋体"/>
          <w:sz w:val="24"/>
          <w:szCs w:val="24"/>
        </w:rPr>
        <w:t xml:space="preserve"> </w:t>
      </w:r>
      <w:r>
        <w:rPr>
          <w:rFonts w:hAnsi="宋体"/>
          <w:sz w:val="24"/>
          <w:szCs w:val="24"/>
        </w:rPr>
        <w:t xml:space="preserve">目</w:t>
      </w:r>
      <w:r>
        <w:rPr>
          <w:rFonts w:hint="eastAsia" w:hAnsi="宋体"/>
          <w:sz w:val="24"/>
          <w:szCs w:val="24"/>
        </w:rPr>
        <w:t xml:space="preserve"> 名 称</w:t>
      </w:r>
      <w:r>
        <w:rPr>
          <w:rFonts w:hAnsi="宋体"/>
          <w:sz w:val="24"/>
          <w:szCs w:val="24"/>
        </w:rPr>
        <w:t xml:space="preserve">：扬州市邗江区市场监督管理局2024年食品安全抽检服务项目                                      项</w:t>
      </w:r>
      <w:r>
        <w:rPr>
          <w:rFonts w:hint="eastAsia" w:hAnsi="宋体"/>
          <w:sz w:val="24"/>
          <w:szCs w:val="24"/>
        </w:rPr>
        <w:t xml:space="preserve"> </w:t>
      </w:r>
      <w:r>
        <w:rPr>
          <w:rFonts w:hAnsi="宋体"/>
          <w:sz w:val="24"/>
          <w:szCs w:val="24"/>
        </w:rPr>
        <w:t xml:space="preserve">目</w:t>
      </w:r>
      <w:r>
        <w:rPr>
          <w:rFonts w:hint="eastAsia" w:hAnsi="宋体"/>
          <w:sz w:val="24"/>
          <w:szCs w:val="24"/>
        </w:rPr>
        <w:t xml:space="preserve"> </w:t>
      </w:r>
      <w:r>
        <w:rPr>
          <w:rFonts w:hAnsi="宋体"/>
          <w:sz w:val="24"/>
          <w:szCs w:val="24"/>
        </w:rPr>
        <w:t xml:space="preserve">编</w:t>
      </w:r>
      <w:r>
        <w:rPr>
          <w:rFonts w:hint="eastAsia" w:hAnsi="宋体"/>
          <w:sz w:val="24"/>
          <w:szCs w:val="24"/>
        </w:rPr>
        <w:t xml:space="preserve"> </w:t>
      </w:r>
      <w:r>
        <w:rPr>
          <w:rFonts w:hAnsi="宋体"/>
          <w:sz w:val="24"/>
          <w:szCs w:val="24"/>
        </w:rPr>
        <w:t xml:space="preserve">号：</w:t>
      </w:r>
      <w:r/>
    </w:p>
    <w:p>
      <w:pPr>
        <w:pStyle w:val="777"/>
        <w:spacing w:before="120" w:after="120"/>
        <w:rPr>
          <w:rFonts w:hAnsi="宋体"/>
          <w:sz w:val="24"/>
          <w:szCs w:val="24"/>
        </w:rPr>
      </w:pPr>
      <w:r>
        <w:rPr>
          <w:rFonts w:hAnsi="宋体"/>
          <w:sz w:val="24"/>
          <w:szCs w:val="24"/>
        </w:rPr>
        <w:t xml:space="preserve">甲方：（买方）_________</w:t>
      </w:r>
      <w:r/>
    </w:p>
    <w:p>
      <w:pPr>
        <w:pStyle w:val="777"/>
        <w:spacing w:before="120" w:after="120"/>
        <w:rPr>
          <w:rFonts w:hAnsi="宋体"/>
          <w:sz w:val="24"/>
          <w:szCs w:val="24"/>
        </w:rPr>
      </w:pPr>
      <w:r>
        <w:rPr>
          <w:rFonts w:hAnsi="宋体"/>
          <w:sz w:val="24"/>
          <w:szCs w:val="24"/>
        </w:rPr>
        <w:t xml:space="preserve">乙方：（卖方）_________</w:t>
      </w:r>
      <w:r/>
    </w:p>
    <w:p>
      <w:pPr>
        <w:pStyle w:val="77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扬州市公共资源交易中心邗江分中心</w:t>
      </w:r>
      <w:r>
        <w:rPr>
          <w:rFonts w:hint="eastAsia" w:hAnsi="宋体"/>
          <w:sz w:val="24"/>
          <w:szCs w:val="24"/>
          <w:u w:val="single"/>
        </w:rPr>
        <w:t xml:space="preserve">         </w:t>
      </w:r>
      <w:r>
        <w:rPr>
          <w:rFonts w:hAnsi="宋体"/>
          <w:sz w:val="24"/>
          <w:szCs w:val="24"/>
        </w:rPr>
        <w:t xml:space="preserve">项目公开招标的结果，签署本合同。</w:t>
      </w:r>
      <w:r/>
    </w:p>
    <w:p>
      <w:pPr>
        <w:pStyle w:val="77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7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77"/>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77"/>
        <w:spacing w:before="120" w:after="120"/>
        <w:rPr>
          <w:rFonts w:hAnsi="宋体"/>
          <w:sz w:val="24"/>
          <w:szCs w:val="24"/>
        </w:rPr>
      </w:pPr>
      <w:r>
        <w:rPr>
          <w:rFonts w:hint="eastAsia" w:hAnsi="宋体"/>
          <w:sz w:val="24"/>
          <w:szCs w:val="24"/>
        </w:rPr>
        <w:t xml:space="preserve">1.3 标的数量（规模）：</w:t>
      </w:r>
      <w:r/>
    </w:p>
    <w:p>
      <w:pPr>
        <w:pStyle w:val="777"/>
        <w:spacing w:before="120" w:after="120"/>
        <w:rPr>
          <w:rFonts w:hAnsi="宋体"/>
          <w:sz w:val="24"/>
          <w:szCs w:val="24"/>
        </w:rPr>
      </w:pPr>
      <w:r>
        <w:rPr>
          <w:rFonts w:hint="eastAsia" w:hAnsi="宋体"/>
          <w:sz w:val="24"/>
          <w:szCs w:val="24"/>
        </w:rPr>
        <w:t xml:space="preserve">1.4 履行时间（期限）：</w:t>
      </w:r>
      <w:r/>
    </w:p>
    <w:p>
      <w:pPr>
        <w:pStyle w:val="777"/>
        <w:spacing w:before="120" w:after="120"/>
        <w:rPr>
          <w:rFonts w:hAnsi="宋体"/>
          <w:sz w:val="24"/>
          <w:szCs w:val="24"/>
        </w:rPr>
      </w:pPr>
      <w:r>
        <w:rPr>
          <w:rFonts w:hint="eastAsia" w:hAnsi="宋体"/>
          <w:sz w:val="24"/>
          <w:szCs w:val="24"/>
        </w:rPr>
        <w:t xml:space="preserve">1.5 履行地点：</w:t>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777"/>
        <w:spacing w:before="120" w:after="120"/>
        <w:rPr>
          <w:rFonts w:hAnsi="宋体"/>
          <w:b/>
          <w:sz w:val="24"/>
          <w:szCs w:val="24"/>
        </w:rPr>
      </w:pPr>
      <w:r>
        <w:rPr>
          <w:rFonts w:hAnsi="宋体"/>
          <w:b/>
          <w:sz w:val="24"/>
          <w:szCs w:val="24"/>
        </w:rPr>
        <w:t xml:space="preserve">二、合同金额</w:t>
      </w:r>
      <w:r/>
    </w:p>
    <w:p>
      <w:pPr>
        <w:pStyle w:val="77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每批次（_______________元/批次）人民币</w:t>
      </w:r>
      <w:r>
        <w:rPr>
          <w:rFonts w:hint="eastAsia" w:hAnsi="宋体"/>
          <w:sz w:val="24"/>
          <w:szCs w:val="24"/>
        </w:rPr>
        <w:t xml:space="preserve">或其他币种</w:t>
      </w:r>
      <w:r>
        <w:rPr>
          <w:rFonts w:hAnsi="宋体"/>
          <w:sz w:val="24"/>
          <w:szCs w:val="24"/>
        </w:rPr>
        <w:t xml:space="preserve">。</w:t>
      </w:r>
      <w:r/>
    </w:p>
    <w:p>
      <w:pPr>
        <w:pStyle w:val="777"/>
        <w:spacing w:before="120" w:after="120"/>
        <w:rPr>
          <w:rFonts w:hAnsi="宋体"/>
          <w:b/>
          <w:sz w:val="24"/>
          <w:szCs w:val="24"/>
        </w:rPr>
      </w:pPr>
      <w:r>
        <w:rPr>
          <w:rFonts w:hAnsi="宋体"/>
          <w:b/>
          <w:sz w:val="24"/>
          <w:szCs w:val="24"/>
        </w:rPr>
        <w:t xml:space="preserve">三、技术资料</w:t>
      </w:r>
      <w:r/>
    </w:p>
    <w:p>
      <w:pPr>
        <w:pStyle w:val="777"/>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7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7"/>
        <w:ind w:left="412" w:hanging="412"/>
        <w:spacing w:before="120" w:after="120"/>
        <w:rPr>
          <w:rFonts w:hAnsi="宋体"/>
          <w:b/>
          <w:sz w:val="24"/>
          <w:szCs w:val="24"/>
        </w:rPr>
      </w:pPr>
      <w:r>
        <w:rPr>
          <w:rFonts w:hAnsi="宋体"/>
          <w:b/>
          <w:sz w:val="24"/>
          <w:szCs w:val="24"/>
        </w:rPr>
        <w:t xml:space="preserve">四、知识产权</w:t>
      </w:r>
      <w:r/>
    </w:p>
    <w:p>
      <w:pPr>
        <w:pStyle w:val="777"/>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77"/>
        <w:spacing w:before="120" w:after="120"/>
        <w:rPr>
          <w:rFonts w:hAnsi="宋体"/>
          <w:sz w:val="24"/>
          <w:szCs w:val="24"/>
          <w:u w:val="single"/>
        </w:rPr>
      </w:pPr>
      <w:r>
        <w:rPr>
          <w:rFonts w:hAnsi="宋体"/>
          <w:b/>
          <w:sz w:val="24"/>
          <w:szCs w:val="24"/>
        </w:rPr>
        <w:t xml:space="preserve">五、产权担保</w:t>
      </w:r>
      <w:r/>
    </w:p>
    <w:p>
      <w:pPr>
        <w:pStyle w:val="77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77"/>
        <w:ind w:left="410" w:hanging="410"/>
        <w:spacing w:before="120" w:after="120"/>
        <w:rPr>
          <w:rFonts w:hAnsi="宋体"/>
          <w:b/>
          <w:color w:val="0000ff"/>
          <w:sz w:val="24"/>
          <w:szCs w:val="24"/>
        </w:rPr>
      </w:pPr>
      <w:r>
        <w:rPr>
          <w:rFonts w:hAnsi="宋体"/>
          <w:b/>
          <w:sz w:val="24"/>
          <w:szCs w:val="24"/>
        </w:rPr>
        <w:t xml:space="preserve">六、履约保证金</w:t>
      </w:r>
      <w:r/>
    </w:p>
    <w:p>
      <w:pPr>
        <w:pStyle w:val="777"/>
        <w:ind w:left="408" w:hanging="408"/>
        <w:spacing w:before="120" w:after="120"/>
        <w:rPr>
          <w:rFonts w:hAnsi="宋体"/>
          <w:sz w:val="24"/>
          <w:szCs w:val="24"/>
        </w:rPr>
      </w:pPr>
      <w:r>
        <w:rPr>
          <w:rFonts w:hAnsi="宋体"/>
          <w:sz w:val="24"/>
          <w:szCs w:val="24"/>
        </w:rPr>
        <w:t xml:space="preserve">6.1 乙方交纳人民币__</w:t>
      </w:r>
      <w:r>
        <w:rPr>
          <w:rFonts w:hAnsi="宋体"/>
          <w:sz w:val="24"/>
          <w:szCs w:val="24"/>
          <w:u w:val="single"/>
        </w:rPr>
        <w:t xml:space="preserve">_</w:t>
      </w:r>
      <w:r>
        <w:rPr>
          <w:rFonts w:hint="eastAsia" w:hAnsi="宋体"/>
          <w:sz w:val="24"/>
          <w:szCs w:val="24"/>
          <w:u w:val="single"/>
        </w:rPr>
        <w:t xml:space="preserve">零</w:t>
      </w:r>
      <w:r>
        <w:rPr>
          <w:rFonts w:hAnsi="宋体"/>
          <w:sz w:val="24"/>
          <w:szCs w:val="24"/>
        </w:rPr>
        <w:t xml:space="preserve">___元作为本合同的履约保证金。</w:t>
      </w:r>
      <w:r>
        <w:rPr>
          <w:rFonts w:hint="eastAsia" w:hAnsi="宋体"/>
          <w:sz w:val="24"/>
          <w:szCs w:val="24"/>
        </w:rPr>
        <w:t xml:space="preserve">（不得超过合同金额的10%）</w:t>
      </w:r>
      <w:r/>
    </w:p>
    <w:p>
      <w:pPr>
        <w:pStyle w:val="77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777"/>
        <w:ind w:left="408" w:hanging="408"/>
        <w:spacing w:before="120" w:after="120"/>
        <w:rPr>
          <w:rFonts w:hAnsi="宋体"/>
          <w:sz w:val="24"/>
          <w:szCs w:val="24"/>
        </w:rPr>
      </w:pPr>
      <w:r>
        <w:rPr>
          <w:rFonts w:hint="eastAsia" w:hAnsi="宋体"/>
          <w:sz w:val="24"/>
          <w:szCs w:val="24"/>
        </w:rPr>
        <w:t xml:space="preserve">6.2.1履约保证金退还方式：无</w:t>
      </w:r>
      <w:r/>
    </w:p>
    <w:p>
      <w:pPr>
        <w:pStyle w:val="777"/>
        <w:ind w:left="408" w:hanging="408"/>
        <w:spacing w:before="120" w:after="120"/>
        <w:rPr>
          <w:rFonts w:hAnsi="宋体"/>
          <w:sz w:val="24"/>
          <w:szCs w:val="24"/>
        </w:rPr>
      </w:pPr>
      <w:r>
        <w:rPr>
          <w:rFonts w:hint="eastAsia" w:hAnsi="宋体"/>
          <w:sz w:val="24"/>
          <w:szCs w:val="24"/>
        </w:rPr>
        <w:t xml:space="preserve">6.2.2履约保证金退还时间：无</w:t>
      </w:r>
      <w:r/>
    </w:p>
    <w:p>
      <w:pPr>
        <w:pStyle w:val="777"/>
        <w:ind w:left="408" w:hanging="408"/>
        <w:spacing w:before="120" w:after="120"/>
        <w:rPr>
          <w:rFonts w:hAnsi="宋体"/>
          <w:sz w:val="24"/>
          <w:szCs w:val="24"/>
        </w:rPr>
      </w:pPr>
      <w:r>
        <w:rPr>
          <w:rFonts w:hint="eastAsia" w:hAnsi="宋体"/>
          <w:sz w:val="24"/>
          <w:szCs w:val="24"/>
        </w:rPr>
        <w:t xml:space="preserve">6.2.3履约保证金退还条件：无</w:t>
      </w:r>
      <w:r/>
    </w:p>
    <w:p>
      <w:pPr>
        <w:pStyle w:val="777"/>
        <w:ind w:left="408" w:hanging="408"/>
        <w:spacing w:before="120" w:after="120"/>
        <w:rPr>
          <w:rFonts w:hAnsi="宋体"/>
          <w:sz w:val="24"/>
          <w:szCs w:val="24"/>
        </w:rPr>
      </w:pPr>
      <w:r>
        <w:rPr>
          <w:rFonts w:hint="eastAsia" w:hAnsi="宋体"/>
          <w:sz w:val="24"/>
          <w:szCs w:val="24"/>
        </w:rPr>
        <w:t xml:space="preserve">6.2.4履约保证金不予退还的情形：无</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7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77"/>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777"/>
        <w:spacing w:before="120" w:after="120"/>
        <w:rPr>
          <w:rFonts w:hAnsi="宋体"/>
          <w:sz w:val="24"/>
          <w:szCs w:val="24"/>
          <w:u w:val="single"/>
        </w:rPr>
      </w:pPr>
      <w:r>
        <w:rPr>
          <w:rFonts w:hint="eastAsia" w:hAnsi="宋体"/>
          <w:sz w:val="24"/>
          <w:szCs w:val="24"/>
          <w:u w:val="single"/>
        </w:rPr>
        <w:t xml:space="preserve">8.1.1预付款支付时间：</w:t>
      </w:r>
      <w:bookmarkStart w:id="170" w:name="_Hlk161166087"/>
      <w:r>
        <w:rPr>
          <w:rFonts w:hint="eastAsia" w:hAnsi="宋体"/>
          <w:sz w:val="24"/>
          <w:szCs w:val="24"/>
          <w:u w:val="single"/>
        </w:rPr>
        <w:t xml:space="preserve">中标价即合同价（每年），合同签订后甲方自收到乙方的发票10个工作日内付至合同价</w:t>
      </w:r>
      <w:r>
        <w:rPr>
          <w:rFonts w:hint="eastAsia" w:hAnsi="宋体"/>
          <w:sz w:val="24"/>
          <w:szCs w:val="24"/>
          <w:highlight w:val="none"/>
          <w:u w:val="single"/>
        </w:rPr>
        <w:t xml:space="preserve">的30%作为预</w:t>
      </w:r>
      <w:r>
        <w:rPr>
          <w:rFonts w:hint="eastAsia" w:hAnsi="宋体"/>
          <w:sz w:val="24"/>
          <w:szCs w:val="24"/>
          <w:u w:val="single"/>
        </w:rPr>
        <w:t xml:space="preserve">付款。</w:t>
      </w:r>
      <w:r/>
    </w:p>
    <w:p>
      <w:pPr>
        <w:pStyle w:val="777"/>
        <w:spacing w:before="120" w:after="120"/>
        <w:rPr>
          <w:rFonts w:hAnsi="宋体"/>
          <w:sz w:val="24"/>
          <w:szCs w:val="24"/>
          <w:u w:val="single"/>
        </w:rPr>
      </w:pPr>
      <w:r>
        <w:rPr>
          <w:rFonts w:hint="eastAsia" w:hAnsi="宋体"/>
          <w:sz w:val="24"/>
          <w:szCs w:val="24"/>
          <w:u w:val="single"/>
        </w:rPr>
        <w:t xml:space="preserve">8.1.2尾款支付时间：</w:t>
      </w:r>
      <w:bookmarkEnd w:id="170"/>
      <w:r>
        <w:rPr>
          <w:rFonts w:hint="eastAsia" w:hAnsi="宋体"/>
          <w:sz w:val="24"/>
          <w:szCs w:val="24"/>
          <w:u w:val="single"/>
        </w:rPr>
        <w:t xml:space="preserve">所有批次项目检测结束后，经甲方确认检测结果无异议收到发票后10个工作日内，按实结算。</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77"/>
        <w:ind w:left="480" w:hanging="480"/>
        <w:spacing w:before="120" w:after="120"/>
        <w:rPr>
          <w:rFonts w:hAnsi="宋体"/>
          <w:sz w:val="24"/>
          <w:szCs w:val="24"/>
        </w:rPr>
      </w:pPr>
      <w:r>
        <w:rPr>
          <w:rFonts w:hint="eastAsia" w:hAnsi="宋体"/>
          <w:sz w:val="24"/>
          <w:szCs w:val="24"/>
        </w:rPr>
        <w:t xml:space="preserve">10.1甲方依法组织履约验收工作。</w:t>
      </w:r>
      <w:r/>
    </w:p>
    <w:p>
      <w:pPr>
        <w:pStyle w:val="777"/>
        <w:ind w:left="480" w:hanging="480"/>
        <w:spacing w:before="120" w:after="120"/>
        <w:rPr>
          <w:rFonts w:hAnsi="宋体"/>
          <w:sz w:val="24"/>
          <w:szCs w:val="24"/>
        </w:rPr>
      </w:pPr>
      <w:r>
        <w:rPr>
          <w:rFonts w:hint="eastAsia" w:hAnsi="宋体"/>
          <w:sz w:val="24"/>
          <w:szCs w:val="24"/>
        </w:rPr>
        <w:t xml:space="preserve">10.2甲方在组织履约验收前，将根据项目特点制定验收方案，明确履约验收的</w:t>
      </w:r>
      <w:r/>
    </w:p>
    <w:p>
      <w:pPr>
        <w:pStyle w:val="777"/>
        <w:spacing w:before="120" w:after="120"/>
        <w:rPr>
          <w:rFonts w:hAnsi="宋体"/>
          <w:sz w:val="24"/>
          <w:szCs w:val="24"/>
        </w:rPr>
      </w:pPr>
      <w:r>
        <w:rPr>
          <w:rFonts w:hint="eastAsia" w:hAnsi="宋体"/>
          <w:sz w:val="24"/>
          <w:szCs w:val="24"/>
        </w:rPr>
        <w:t xml:space="preserve">时间、方式、程序等内容，并可根据项目特点对服务期内的服务实施情况进行分期考核，综合考核情况和服务效果进行验收。乙方应根据验收方案内容做好相应配合工作。</w:t>
      </w:r>
      <w:r/>
    </w:p>
    <w:p>
      <w:pPr>
        <w:pStyle w:val="777"/>
        <w:ind w:left="480" w:hanging="480"/>
        <w:spacing w:before="120" w:after="120"/>
        <w:rPr>
          <w:rFonts w:hAnsi="宋体"/>
          <w:sz w:val="24"/>
          <w:szCs w:val="24"/>
        </w:rPr>
      </w:pPr>
      <w:r>
        <w:rPr>
          <w:rFonts w:hint="eastAsia" w:hAnsi="宋体"/>
          <w:sz w:val="24"/>
          <w:szCs w:val="24"/>
        </w:rPr>
        <w:t xml:space="preserve">10.3对于实际使用人和甲方分离的项目，甲方邀请实际使用人参与验收。</w:t>
      </w:r>
      <w:r/>
    </w:p>
    <w:p>
      <w:pPr>
        <w:pStyle w:val="777"/>
        <w:ind w:left="480" w:hanging="480"/>
        <w:spacing w:before="120" w:after="120"/>
        <w:rPr>
          <w:rFonts w:hAnsi="宋体"/>
          <w:sz w:val="24"/>
          <w:szCs w:val="24"/>
        </w:rPr>
      </w:pPr>
      <w:r>
        <w:rPr>
          <w:rFonts w:hint="eastAsia" w:hAnsi="宋体"/>
          <w:sz w:val="24"/>
          <w:szCs w:val="24"/>
        </w:rPr>
        <w:t xml:space="preserve">10.4如有必要，甲方邀请参加本项目的其他供应商或第三方专业机构及专家参</w:t>
      </w:r>
      <w:r/>
    </w:p>
    <w:p>
      <w:pPr>
        <w:pStyle w:val="777"/>
        <w:ind w:left="480" w:hanging="480"/>
        <w:spacing w:before="120" w:after="120"/>
        <w:rPr>
          <w:rFonts w:hAnsi="宋体"/>
          <w:sz w:val="24"/>
          <w:szCs w:val="24"/>
        </w:rPr>
      </w:pPr>
      <w:r>
        <w:rPr>
          <w:rFonts w:hint="eastAsia" w:hAnsi="宋体"/>
          <w:sz w:val="24"/>
          <w:szCs w:val="24"/>
        </w:rPr>
        <w:t xml:space="preserve">与验收，相关意见将作为验收书的参考资料。</w:t>
      </w:r>
      <w:r/>
    </w:p>
    <w:p>
      <w:pPr>
        <w:pStyle w:val="777"/>
        <w:ind w:left="480" w:hanging="480"/>
        <w:spacing w:before="120" w:after="120"/>
        <w:rPr>
          <w:rFonts w:hAnsi="宋体"/>
          <w:sz w:val="24"/>
          <w:szCs w:val="24"/>
        </w:rPr>
      </w:pPr>
      <w:r>
        <w:rPr>
          <w:rFonts w:hint="eastAsia" w:hAnsi="宋体"/>
          <w:sz w:val="24"/>
          <w:szCs w:val="24"/>
        </w:rPr>
        <w:t xml:space="preserve">10.5甲方成立验收小组，按照采购合同的约定对乙方的履约情况进行验收。验</w:t>
      </w:r>
      <w:r/>
    </w:p>
    <w:p>
      <w:pPr>
        <w:pStyle w:val="777"/>
        <w:ind w:left="480" w:hanging="480"/>
        <w:spacing w:before="120" w:after="120"/>
        <w:rPr>
          <w:rFonts w:hAnsi="宋体"/>
          <w:sz w:val="24"/>
          <w:szCs w:val="24"/>
        </w:rPr>
      </w:pPr>
      <w:r>
        <w:rPr>
          <w:rFonts w:hint="eastAsia" w:hAnsi="宋体"/>
          <w:sz w:val="24"/>
          <w:szCs w:val="24"/>
        </w:rPr>
        <w:t xml:space="preserve">收时,甲方按照采购合同的约定对每一项技术、服务、安全标准的履约情况进行</w:t>
      </w:r>
      <w:r/>
    </w:p>
    <w:p>
      <w:pPr>
        <w:pStyle w:val="777"/>
        <w:ind w:left="480" w:hanging="480"/>
        <w:spacing w:before="120" w:after="120"/>
        <w:rPr>
          <w:rFonts w:hAnsi="宋体"/>
          <w:sz w:val="24"/>
          <w:szCs w:val="24"/>
        </w:rPr>
      </w:pPr>
      <w:r>
        <w:rPr>
          <w:rFonts w:hint="eastAsia" w:hAnsi="宋体"/>
          <w:sz w:val="24"/>
          <w:szCs w:val="24"/>
        </w:rPr>
        <w:t xml:space="preserve">确认。验收结束后,验收小组出具验收书,列明各项标准的验收情况及项目总体</w:t>
      </w:r>
      <w:r/>
    </w:p>
    <w:p>
      <w:pPr>
        <w:pStyle w:val="777"/>
        <w:ind w:left="480" w:hanging="480"/>
        <w:spacing w:before="120" w:after="120"/>
        <w:rPr>
          <w:rFonts w:hAnsi="宋体"/>
          <w:sz w:val="24"/>
          <w:szCs w:val="24"/>
        </w:rPr>
      </w:pPr>
      <w:r>
        <w:rPr>
          <w:rFonts w:hint="eastAsia" w:hAnsi="宋体"/>
          <w:sz w:val="24"/>
          <w:szCs w:val="24"/>
        </w:rPr>
        <w:t xml:space="preserve">评价,由验收双方共同签署。验收结果与采购合同约定的资金支付及履约保证金</w:t>
      </w:r>
      <w:r/>
    </w:p>
    <w:p>
      <w:pPr>
        <w:pStyle w:val="777"/>
        <w:ind w:left="480" w:hanging="480"/>
        <w:spacing w:before="120" w:after="120"/>
        <w:rPr>
          <w:rFonts w:hAnsi="宋体"/>
          <w:sz w:val="24"/>
          <w:szCs w:val="24"/>
        </w:rPr>
      </w:pPr>
      <w:r>
        <w:rPr>
          <w:rFonts w:hint="eastAsia" w:hAnsi="宋体"/>
          <w:sz w:val="24"/>
          <w:szCs w:val="24"/>
        </w:rPr>
        <w:t xml:space="preserve">返还条件挂钩。履约验收的各项资料存档备查。</w:t>
      </w:r>
      <w:r/>
    </w:p>
    <w:p>
      <w:pPr>
        <w:pStyle w:val="777"/>
        <w:ind w:left="480" w:hanging="480"/>
        <w:spacing w:before="120" w:after="120"/>
        <w:rPr>
          <w:rFonts w:hAnsi="宋体"/>
          <w:sz w:val="24"/>
          <w:szCs w:val="24"/>
        </w:rPr>
      </w:pPr>
      <w:r>
        <w:rPr>
          <w:rFonts w:hint="eastAsia" w:hAnsi="宋体"/>
          <w:sz w:val="24"/>
          <w:szCs w:val="24"/>
        </w:rPr>
        <w:t xml:space="preserve">10.6验收合格的项目,甲方根据采购合同的约定及时向乙方支付合同款项、退</w:t>
      </w:r>
      <w:r/>
    </w:p>
    <w:p>
      <w:pPr>
        <w:pStyle w:val="777"/>
        <w:ind w:left="480" w:hanging="480"/>
        <w:spacing w:before="120" w:after="120"/>
        <w:rPr>
          <w:rFonts w:hAnsi="宋体"/>
          <w:sz w:val="24"/>
          <w:szCs w:val="24"/>
        </w:rPr>
      </w:pPr>
      <w:r>
        <w:rPr>
          <w:rFonts w:hint="eastAsia" w:hAnsi="宋体"/>
          <w:sz w:val="24"/>
          <w:szCs w:val="24"/>
        </w:rPr>
        <w:t xml:space="preserve">还履约保证金。验收不合格的项目，甲方依法及时处理。采购合同的履行、违</w:t>
      </w:r>
      <w:r/>
    </w:p>
    <w:p>
      <w:pPr>
        <w:pStyle w:val="777"/>
        <w:ind w:left="480" w:hanging="480"/>
        <w:spacing w:before="120" w:after="120"/>
        <w:rPr>
          <w:rFonts w:hAnsi="宋体"/>
          <w:sz w:val="24"/>
          <w:szCs w:val="24"/>
        </w:rPr>
      </w:pPr>
      <w:r>
        <w:rPr>
          <w:rFonts w:hint="eastAsia" w:hAnsi="宋体"/>
          <w:sz w:val="24"/>
          <w:szCs w:val="24"/>
        </w:rPr>
        <w:t xml:space="preserve">约责任和解决争议的方式等适用《民法典》。乙方在履约过程中有政府采购法</w:t>
      </w:r>
      <w:r/>
    </w:p>
    <w:p>
      <w:pPr>
        <w:pStyle w:val="777"/>
        <w:ind w:left="480" w:hanging="480"/>
        <w:spacing w:before="120" w:after="120"/>
        <w:rPr>
          <w:rFonts w:hAnsi="宋体"/>
          <w:sz w:val="24"/>
          <w:szCs w:val="24"/>
        </w:rPr>
      </w:pPr>
      <w:r>
        <w:rPr>
          <w:rFonts w:hint="eastAsia" w:hAnsi="宋体"/>
          <w:sz w:val="24"/>
          <w:szCs w:val="24"/>
        </w:rPr>
        <w:t xml:space="preserve">律法规规定的违法违规情形的,甲方将及时报告本级财政部门。</w:t>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w:t>
      </w:r>
      <w:r/>
    </w:p>
    <w:p>
      <w:pPr>
        <w:pStyle w:val="777"/>
        <w:ind w:left="410" w:hanging="410"/>
        <w:spacing w:before="120" w:after="120"/>
        <w:rPr>
          <w:rFonts w:hAnsi="宋体"/>
          <w:sz w:val="24"/>
          <w:szCs w:val="24"/>
        </w:rPr>
      </w:pPr>
      <w:r>
        <w:rPr>
          <w:rFonts w:hint="eastAsia" w:hAnsi="宋体"/>
          <w:sz w:val="24"/>
          <w:szCs w:val="24"/>
        </w:rPr>
        <w:t xml:space="preserve">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p>
    <w:p>
      <w:pPr>
        <w:pStyle w:val="777"/>
        <w:ind w:left="410" w:hanging="410"/>
        <w:spacing w:before="120" w:after="120"/>
        <w:rPr>
          <w:rFonts w:hAnsi="宋体"/>
          <w:sz w:val="24"/>
          <w:szCs w:val="24"/>
        </w:rPr>
      </w:pPr>
      <w:r>
        <w:rPr>
          <w:rFonts w:hint="eastAsia" w:hAnsi="宋体"/>
          <w:sz w:val="24"/>
          <w:szCs w:val="24"/>
          <w:u w:val="single"/>
        </w:rPr>
        <w:t xml:space="preserve">    </w:t>
      </w:r>
      <w:r>
        <w:rPr>
          <w:rFonts w:hAnsi="宋体"/>
          <w:sz w:val="24"/>
          <w:szCs w:val="24"/>
        </w:rPr>
        <w:t xml:space="preserve">每日向乙方支付违约金。</w:t>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w:t>
      </w:r>
      <w:r/>
    </w:p>
    <w:p>
      <w:pPr>
        <w:pStyle w:val="777"/>
        <w:ind w:left="410" w:hanging="410"/>
        <w:spacing w:before="120" w:after="120"/>
        <w:rPr>
          <w:rFonts w:hAnsi="宋体"/>
          <w:sz w:val="24"/>
          <w:szCs w:val="24"/>
        </w:rPr>
      </w:pPr>
      <w:r>
        <w:rPr>
          <w:rFonts w:hAnsi="宋体"/>
          <w:sz w:val="24"/>
          <w:szCs w:val="24"/>
        </w:rPr>
        <w:t xml:space="preserve">方支付违约金，由甲方从待付</w:t>
      </w:r>
      <w:r>
        <w:rPr>
          <w:rFonts w:hint="eastAsia" w:hAnsi="宋体"/>
          <w:sz w:val="24"/>
          <w:szCs w:val="24"/>
        </w:rPr>
        <w:t xml:space="preserve">合同款项</w:t>
      </w:r>
      <w:r>
        <w:rPr>
          <w:rFonts w:hAnsi="宋体"/>
          <w:sz w:val="24"/>
          <w:szCs w:val="24"/>
        </w:rPr>
        <w:t xml:space="preserve">中扣除。逾期超过约定日期10个工作日</w:t>
      </w:r>
      <w:r/>
    </w:p>
    <w:p>
      <w:pPr>
        <w:pStyle w:val="777"/>
        <w:ind w:left="410" w:hanging="410"/>
        <w:spacing w:before="120" w:after="120"/>
        <w:rPr>
          <w:rFonts w:hAnsi="宋体"/>
          <w:sz w:val="24"/>
          <w:szCs w:val="24"/>
        </w:rPr>
      </w:pPr>
      <w:r>
        <w:rPr>
          <w:rFonts w:hAnsi="宋体"/>
          <w:sz w:val="24"/>
          <w:szCs w:val="24"/>
        </w:rPr>
        <w:t xml:space="preserve">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w:t>
      </w:r>
      <w:r/>
    </w:p>
    <w:p>
      <w:pPr>
        <w:pStyle w:val="777"/>
        <w:ind w:left="410" w:hanging="410"/>
        <w:spacing w:before="120" w:after="120"/>
        <w:rPr>
          <w:rFonts w:hAnsi="宋体"/>
          <w:sz w:val="24"/>
          <w:szCs w:val="24"/>
        </w:rPr>
      </w:pPr>
      <w:r>
        <w:rPr>
          <w:rFonts w:hAnsi="宋体"/>
          <w:sz w:val="24"/>
          <w:szCs w:val="24"/>
        </w:rPr>
        <w:t xml:space="preserve">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w:t>
      </w:r>
      <w:r/>
    </w:p>
    <w:p>
      <w:pPr>
        <w:pStyle w:val="777"/>
        <w:ind w:left="410" w:hanging="410"/>
        <w:spacing w:before="120" w:after="120"/>
        <w:rPr>
          <w:rFonts w:hAnsi="宋体"/>
          <w:sz w:val="24"/>
          <w:szCs w:val="24"/>
        </w:rPr>
      </w:pPr>
      <w:r>
        <w:rPr>
          <w:rFonts w:hAnsi="宋体"/>
          <w:sz w:val="24"/>
          <w:szCs w:val="24"/>
        </w:rPr>
        <w:t xml:space="preserve">甲方损失超过违约金的，超出部分由乙方继续承担赔偿责任。 </w:t>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p>
    <w:p>
      <w:pPr>
        <w:pStyle w:val="777"/>
        <w:ind w:left="410" w:hanging="410"/>
        <w:spacing w:before="120" w:after="120"/>
        <w:rPr>
          <w:rFonts w:hAnsi="宋体"/>
          <w:sz w:val="24"/>
          <w:szCs w:val="24"/>
        </w:rPr>
      </w:pP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7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.1在合同有效期内，任何一方因不可抗力事件导致不能履行合同，则合同履</w:t>
      </w:r>
      <w:r/>
    </w:p>
    <w:p>
      <w:pPr>
        <w:pStyle w:val="777"/>
        <w:ind w:left="480" w:hanging="480"/>
        <w:spacing w:before="120" w:after="120"/>
        <w:rPr>
          <w:rFonts w:hAnsi="宋体"/>
          <w:sz w:val="24"/>
          <w:szCs w:val="24"/>
        </w:rPr>
      </w:pPr>
      <w:r>
        <w:rPr>
          <w:rFonts w:hAnsi="宋体"/>
          <w:sz w:val="24"/>
          <w:szCs w:val="24"/>
        </w:rPr>
        <w:t xml:space="preserve">行期可延长，其延长期与不可抗力影响</w:t>
      </w:r>
      <w:r>
        <w:rPr>
          <w:rFonts w:hint="eastAsia" w:hAnsi="宋体"/>
          <w:sz w:val="24"/>
          <w:szCs w:val="24"/>
        </w:rPr>
        <w:t xml:space="preserve"> </w:t>
      </w:r>
      <w:r>
        <w:rPr>
          <w:rFonts w:hAnsi="宋体"/>
          <w:sz w:val="24"/>
          <w:szCs w:val="24"/>
        </w:rPr>
        <w:t xml:space="preserve">期相同。</w:t>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.2不可抗力事件发生后，应立即通知对方，并寄送有关权威机构出具的证明。</w:t>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.3不可抗力事件延续120天以上，双方应通过友好协商，确定是否继续履行合同。</w:t>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77"/>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7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77"/>
        <w:ind w:left="480" w:hanging="480"/>
        <w:spacing w:before="120" w:after="120" w:line="0" w:lineRule="atLeast"/>
        <w:rPr>
          <w:rFonts w:hAnsi="宋体"/>
          <w:sz w:val="24"/>
          <w:szCs w:val="24"/>
        </w:rPr>
      </w:pPr>
      <w:r>
        <w:rPr>
          <w:rFonts w:hAnsi="宋体"/>
          <w:sz w:val="24"/>
          <w:szCs w:val="24"/>
        </w:rPr>
        <w:t xml:space="preserve">  甲方：                        乙方： </w:t>
      </w:r>
      <w:r/>
    </w:p>
    <w:p>
      <w:pPr>
        <w:pStyle w:val="77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7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77"/>
        <w:ind w:firstLine="240"/>
        <w:spacing w:before="120" w:after="120" w:line="0" w:lineRule="atLeast"/>
        <w:rPr>
          <w:rFonts w:hAnsi="宋体"/>
          <w:sz w:val="24"/>
          <w:szCs w:val="24"/>
        </w:rPr>
      </w:pPr>
      <w:r>
        <w:rPr>
          <w:rFonts w:hint="eastAsia" w:hAnsi="宋体"/>
          <w:sz w:val="24"/>
          <w:szCs w:val="24"/>
        </w:rPr>
        <w:t xml:space="preserve">联系电话：                    联系电话：          </w:t>
      </w:r>
      <w:r/>
    </w:p>
    <w:p>
      <w:pPr>
        <w:pStyle w:val="777"/>
        <w:ind w:firstLine="240"/>
        <w:jc w:val="right"/>
        <w:spacing w:before="120" w:after="120" w:line="0" w:lineRule="atLeast"/>
        <w:rPr>
          <w:rFonts w:hAnsi="宋体"/>
          <w:sz w:val="24"/>
          <w:szCs w:val="24"/>
        </w:rPr>
      </w:pPr>
      <w:r>
        <w:rPr>
          <w:rFonts w:hint="eastAsia" w:hAnsi="宋体"/>
          <w:sz w:val="24"/>
          <w:szCs w:val="24"/>
        </w:rPr>
        <w:t xml:space="preserve">签订日期：      年    月   日</w:t>
      </w:r>
      <w:bookmarkEnd w:id="167"/>
      <w:r/>
      <w:bookmarkEnd w:id="168"/>
      <w:r/>
      <w:bookmarkEnd w:id="169"/>
      <w:r/>
      <w:r/>
    </w:p>
    <w:p>
      <w:pPr>
        <w:pStyle w:val="777"/>
        <w:jc w:val="center"/>
        <w:spacing w:before="120" w:after="120" w:line="0" w:lineRule="atLeast"/>
        <w:rPr>
          <w:rFonts w:hAnsi="宋体"/>
          <w:sz w:val="24"/>
          <w:szCs w:val="24"/>
        </w:rPr>
        <w:outlineLvl w:val="0"/>
      </w:pPr>
      <w:r/>
      <w:bookmarkStart w:id="171" w:name="_Hlt16619369"/>
      <w:r/>
      <w:bookmarkEnd w:id="171"/>
      <w:r/>
      <w:bookmarkStart w:id="172" w:name="_Hlt16619350"/>
      <w:r/>
      <w:bookmarkStart w:id="173" w:name="_Toc16938590"/>
      <w:r/>
      <w:bookmarkStart w:id="174" w:name="_Toc20823346"/>
      <w:r/>
      <w:bookmarkStart w:id="175" w:name="_Toc120614244"/>
      <w:r/>
      <w:bookmarkStart w:id="176" w:name="_Toc462564139"/>
      <w:r/>
      <w:bookmarkStart w:id="177" w:name="_Toc479757211"/>
      <w:r>
        <w:rPr>
          <w:rFonts w:ascii="黑体" w:eastAsia="黑体"/>
          <w:bCs/>
          <w:sz w:val="44"/>
        </w:rPr>
        <w:br w:type="page" w:clear="all"/>
      </w:r>
      <w:r>
        <w:rPr>
          <w:rFonts w:hint="eastAsia" w:ascii="黑体" w:eastAsia="黑体"/>
          <w:bCs/>
          <w:sz w:val="44"/>
        </w:rPr>
        <w:t xml:space="preserve">第</w:t>
      </w:r>
      <w:bookmarkEnd w:id="172"/>
      <w:r>
        <w:rPr>
          <w:rFonts w:hint="eastAsia" w:ascii="黑体" w:eastAsia="黑体"/>
          <w:bCs/>
          <w:sz w:val="44"/>
        </w:rPr>
        <w:t xml:space="preserve">四章 采购需求</w:t>
      </w:r>
      <w:bookmarkEnd w:id="173"/>
      <w:r/>
      <w:bookmarkEnd w:id="174"/>
      <w:r/>
      <w:bookmarkEnd w:id="175"/>
      <w:r/>
      <w:r/>
    </w:p>
    <w:p>
      <w:pPr>
        <w:ind w:firstLine="480"/>
        <w:keepLines w:val="0"/>
        <w:keepNext w:val="0"/>
        <w:pageBreakBefore w:val="0"/>
        <w:spacing w:line="400" w:lineRule="exact"/>
        <w:widowControl w:val="off"/>
        <w:rPr>
          <w:rFonts w:ascii="宋体" w:hAnsi="宋体"/>
          <w:color w:val="000000"/>
          <w:sz w:val="24"/>
          <w:szCs w:val="24"/>
        </w:rPr>
        <w:outlineLvl w:val="9"/>
      </w:pPr>
      <w:r/>
      <w:bookmarkStart w:id="178" w:name="_Toc49090575"/>
      <w:r/>
      <w:bookmarkStart w:id="179" w:name="_Toc26554093"/>
      <w:r/>
      <w:r/>
    </w:p>
    <w:p>
      <w:pPr>
        <w:ind w:firstLine="480"/>
        <w:keepLines w:val="0"/>
        <w:keepNext w:val="0"/>
        <w:pageBreakBefore w:val="0"/>
        <w:spacing w:line="400" w:lineRule="exact"/>
        <w:widowControl w:val="off"/>
        <w:rPr>
          <w:rFonts w:ascii="宋体" w:hAnsi="宋体"/>
          <w:color w:val="000000"/>
          <w:sz w:val="24"/>
          <w:szCs w:val="24"/>
        </w:rPr>
        <w:outlineLvl w:val="9"/>
      </w:pPr>
      <w:r>
        <w:rPr>
          <w:rFonts w:hint="eastAsia" w:ascii="宋体" w:hAnsi="宋体"/>
          <w:color w:val="000000"/>
          <w:sz w:val="24"/>
          <w:szCs w:val="24"/>
        </w:rPr>
        <w:t xml:space="preserve">项目属性:服务类项目。</w:t>
      </w:r>
      <w:r/>
    </w:p>
    <w:p>
      <w:pPr>
        <w:keepLines w:val="0"/>
        <w:keepNext w:val="0"/>
        <w:pageBreakBefore w:val="0"/>
        <w:spacing w:line="400" w:lineRule="exact"/>
        <w:widowControl w:val="off"/>
        <w:rPr>
          <w:sz w:val="24"/>
          <w:szCs w:val="24"/>
        </w:rPr>
        <w:outlineLvl w:val="9"/>
      </w:pPr>
      <w:r>
        <w:rPr>
          <w:sz w:val="24"/>
          <w:szCs w:val="24"/>
        </w:rPr>
      </w:r>
      <w:r/>
    </w:p>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其他要求</w:t>
      </w:r>
      <w:r/>
    </w:p>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1.严格执行政府采购关于支持</w:t>
      </w:r>
      <w:r>
        <w:rPr>
          <w:rFonts w:hint="eastAsia"/>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2.供应商对于投标产品的包装应按照“财办库〔2020〕123号《关于印发《商品包装政府采购需求标准（试行）》、《快递包装政府采购需求标准（试行）》的通知》”执行。</w:t>
      </w:r>
      <w:r/>
    </w:p>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3.采购标的对应的中小企业划分标准所属行业一览表</w:t>
      </w:r>
      <w:r/>
    </w:p>
    <w:tbl>
      <w:tblPr>
        <w:tblStyle w:val="808"/>
        <w:tblW w:w="87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940"/>
        <w:gridCol w:w="39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0" w:type="dxa"/>
            <w:vAlign w:val="center"/>
            <w:textDirection w:val="lrTb"/>
            <w:noWrap w:val="false"/>
          </w:tcPr>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6" w:type="dxa"/>
            <w:vAlign w:val="center"/>
            <w:textDirection w:val="lrTb"/>
            <w:noWrap w:val="false"/>
          </w:tcPr>
          <w:p>
            <w:pPr>
              <w:ind w:firstLine="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0" w:type="dxa"/>
            <w:vAlign w:val="top"/>
            <w:textDirection w:val="lrTb"/>
            <w:noWrap w:val="false"/>
          </w:tcPr>
          <w:p>
            <w:pPr>
              <w:jc w:val="left"/>
              <w:keepLines w:val="0"/>
              <w:keepNext w:val="0"/>
              <w:pageBreakBefore w:val="0"/>
              <w:spacing w:line="400" w:lineRule="exact"/>
              <w:widowControl w:val="off"/>
              <w:rPr>
                <w:rFonts w:hint="eastAsia"/>
                <w:sz w:val="24"/>
                <w:szCs w:val="24"/>
              </w:rPr>
              <w:outlineLvl w:val="9"/>
            </w:pPr>
            <w:r>
              <w:rPr>
                <w:rFonts w:ascii="Segoe UI" w:hAnsi="Segoe UI" w:eastAsia="Segoe UI" w:cs="Segoe UI"/>
                <w:i w:val="0"/>
                <w:caps w:val="0"/>
                <w:spacing w:val="0"/>
                <w:sz w:val="24"/>
                <w:szCs w:val="24"/>
                <w:shd w:val="clear" w:color="auto" w:fill="ffffff"/>
              </w:rPr>
              <w:t xml:space="preserve">扬州市邗江区市场监督管理局2024年食品安全抽检服务项目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6" w:type="dxa"/>
            <w:vAlign w:val="top"/>
            <w:textDirection w:val="lrTb"/>
            <w:noWrap w:val="false"/>
          </w:tcPr>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t xml:space="preserve">其他未列明行业</w:t>
            </w:r>
            <w:r/>
          </w:p>
        </w:tc>
      </w:tr>
    </w:tbl>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r>
      <w:r/>
    </w:p>
    <w:p>
      <w:pPr>
        <w:ind w:firstLine="420"/>
        <w:jc w:val="left"/>
        <w:keepLines w:val="0"/>
        <w:keepNext w:val="0"/>
        <w:pageBreakBefore w:val="0"/>
        <w:spacing w:line="400" w:lineRule="exact"/>
        <w:widowControl w:val="off"/>
        <w:rPr>
          <w:rFonts w:hint="eastAsia"/>
          <w:sz w:val="24"/>
          <w:szCs w:val="24"/>
        </w:rPr>
        <w:outlineLvl w:val="9"/>
      </w:pPr>
      <w:r>
        <w:rPr>
          <w:rFonts w:hint="eastAsia"/>
          <w:sz w:val="24"/>
          <w:szCs w:val="24"/>
        </w:rPr>
      </w:r>
      <w:r/>
    </w:p>
    <w:p>
      <w:pPr>
        <w:ind w:firstLine="420"/>
        <w:jc w:val="left"/>
        <w:keepLines w:val="0"/>
        <w:keepNext w:val="0"/>
        <w:pageBreakBefore w:val="0"/>
        <w:spacing w:line="400" w:lineRule="exact"/>
        <w:widowControl w:val="off"/>
        <w:rPr>
          <w:sz w:val="24"/>
          <w:szCs w:val="24"/>
        </w:rPr>
        <w:outlineLvl w:val="9"/>
      </w:pPr>
      <w:r>
        <w:rPr>
          <w:rFonts w:hint="eastAsia"/>
          <w:sz w:val="24"/>
          <w:szCs w:val="24"/>
        </w:rPr>
        <w:t xml:space="preserve">注： 本章内容里斜体且有下划线部分为实质性要求和条件，投标文件不满足的，视为无效投标处理。请各供应商制作电子投标文件时，将实质性响应的内容在政府采购交易系统</w:t>
      </w:r>
      <w:r>
        <w:rPr>
          <w:sz w:val="24"/>
          <w:szCs w:val="24"/>
        </w:rPr>
        <w:t xml:space="preserve">“</w:t>
      </w:r>
      <w:r>
        <w:rPr>
          <w:rFonts w:hint="eastAsia"/>
          <w:sz w:val="24"/>
          <w:szCs w:val="24"/>
        </w:rPr>
        <w:t xml:space="preserve">符合证明文件格式</w:t>
      </w:r>
      <w:r>
        <w:rPr>
          <w:sz w:val="24"/>
          <w:szCs w:val="24"/>
        </w:rPr>
        <w:t xml:space="preserve">”</w:t>
      </w:r>
      <w:r>
        <w:rPr>
          <w:rFonts w:hint="eastAsia"/>
          <w:sz w:val="24"/>
          <w:szCs w:val="24"/>
        </w:rPr>
        <w:t xml:space="preserve">中准确填写或上传。</w:t>
      </w:r>
      <w:r/>
    </w:p>
    <w:p>
      <w:pPr>
        <w:ind w:firstLine="420"/>
        <w:jc w:val="left"/>
        <w:keepLines w:val="0"/>
        <w:keepNext w:val="0"/>
        <w:pageBreakBefore w:val="0"/>
        <w:spacing w:line="400" w:lineRule="exact"/>
        <w:widowControl w:val="off"/>
        <w:rPr>
          <w:rFonts w:ascii="宋体" w:hAnsi="宋体" w:cs="仿宋"/>
          <w:b/>
          <w:bCs/>
          <w:i/>
          <w:iCs/>
          <w:sz w:val="24"/>
          <w:szCs w:val="24"/>
          <w:u w:val="single"/>
        </w:rPr>
        <w:outlineLvl w:val="9"/>
      </w:pPr>
      <w:r>
        <w:rPr>
          <w:rFonts w:hint="eastAsia" w:ascii="宋体" w:hAnsi="宋体" w:cs="仿宋"/>
          <w:b/>
          <w:bCs/>
          <w:i/>
          <w:iCs/>
          <w:sz w:val="24"/>
          <w:szCs w:val="24"/>
          <w:u w:val="single"/>
        </w:rPr>
        <w:t xml:space="preserve">（1）因承检机构原因造成的检测程序违法、检测结果错误，由此造成招标人在行政复议中被确认违法或行政诉讼败诉，承检机构应当承担相关法律责任，包括赔偿招标人损失、支付违约金等，违约金为5万元/批次起。 （提供承诺函扫描上传）</w:t>
      </w:r>
      <w:r/>
    </w:p>
    <w:p>
      <w:pPr>
        <w:ind w:firstLine="420"/>
        <w:jc w:val="left"/>
        <w:keepLines w:val="0"/>
        <w:keepNext w:val="0"/>
        <w:pageBreakBefore w:val="0"/>
        <w:spacing w:line="400" w:lineRule="exact"/>
        <w:widowControl w:val="off"/>
        <w:rPr>
          <w:rFonts w:ascii="宋体" w:hAnsi="宋体" w:cs="仿宋"/>
          <w:b/>
          <w:bCs/>
          <w:i/>
          <w:iCs/>
          <w:sz w:val="24"/>
          <w:szCs w:val="24"/>
          <w:u w:val="single"/>
        </w:rPr>
        <w:outlineLvl w:val="9"/>
      </w:pPr>
      <w:r>
        <w:rPr>
          <w:rFonts w:hint="eastAsia" w:ascii="宋体" w:hAnsi="宋体" w:cs="仿宋"/>
          <w:b/>
          <w:bCs/>
          <w:i/>
          <w:iCs/>
          <w:sz w:val="24"/>
          <w:szCs w:val="24"/>
          <w:u w:val="single"/>
        </w:rPr>
        <w:t xml:space="preserve">（2）承检机构需对参与评审的实验室人员、设备、资质等数据的独立性（不综合累计公司多个实验室的人员、设备、资质等数据）、不使用非食品检验实验室的相关资料进行投标、及该实验室到采购单位的时间进行承诺。（提供承诺函扫描上传）</w:t>
      </w:r>
      <w:r/>
    </w:p>
    <w:p>
      <w:pPr>
        <w:ind w:firstLine="420"/>
        <w:jc w:val="left"/>
        <w:keepLines w:val="0"/>
        <w:keepNext w:val="0"/>
        <w:pageBreakBefore w:val="0"/>
        <w:spacing w:line="400" w:lineRule="exact"/>
        <w:widowControl w:val="off"/>
        <w:rPr>
          <w:rFonts w:ascii="宋体" w:hAnsi="宋体" w:cs="仿宋"/>
          <w:b/>
          <w:bCs/>
          <w:i/>
          <w:iCs/>
          <w:sz w:val="24"/>
          <w:szCs w:val="24"/>
          <w:u w:val="single"/>
        </w:rPr>
        <w:outlineLvl w:val="9"/>
      </w:pPr>
      <w:r>
        <w:rPr>
          <w:rFonts w:hint="eastAsia" w:ascii="宋体" w:hAnsi="宋体" w:cs="仿宋"/>
          <w:b/>
          <w:bCs/>
          <w:i/>
          <w:iCs/>
          <w:sz w:val="24"/>
          <w:szCs w:val="24"/>
          <w:u w:val="single"/>
        </w:rPr>
        <w:t xml:space="preserve">（3）承检机构的工作未达到本次招标要求的 （例如：服务响应时间超过招标规定时间要求的），招标人有权要求承检机构进行整改，如整改后仍达不到要求的招标人有权要求立即终止合同，并有权追究其违约责任。（提供承诺函扫描上传）</w:t>
      </w:r>
      <w:r/>
    </w:p>
    <w:p>
      <w:pPr>
        <w:ind w:firstLine="420"/>
        <w:jc w:val="left"/>
        <w:keepLines w:val="0"/>
        <w:keepNext w:val="0"/>
        <w:pageBreakBefore w:val="0"/>
        <w:spacing w:line="400" w:lineRule="exact"/>
        <w:widowControl w:val="off"/>
        <w:rPr>
          <w:rFonts w:ascii="宋体" w:hAnsi="宋体" w:cs="仿宋"/>
          <w:b/>
          <w:bCs/>
          <w:i/>
          <w:sz w:val="24"/>
          <w:szCs w:val="24"/>
          <w:u w:val="single"/>
        </w:rPr>
        <w:outlineLvl w:val="9"/>
      </w:pPr>
      <w:r>
        <w:rPr>
          <w:rFonts w:ascii="宋体" w:hAnsi="宋体" w:cs="仿宋"/>
          <w:b/>
          <w:bCs/>
          <w:i/>
          <w:sz w:val="24"/>
          <w:szCs w:val="24"/>
          <w:u w:val="single"/>
        </w:rPr>
      </w:r>
      <w:r/>
    </w:p>
    <w:p>
      <w:pPr>
        <w:keepLines w:val="0"/>
        <w:keepNext w:val="0"/>
        <w:pageBreakBefore w:val="0"/>
        <w:spacing w:line="400" w:lineRule="exact"/>
        <w:widowControl w:val="off"/>
        <w:rPr>
          <w:rFonts w:ascii="宋体" w:hAnsi="宋体"/>
          <w:b/>
          <w:bCs/>
          <w:sz w:val="24"/>
          <w:szCs w:val="24"/>
        </w:rPr>
        <w:outlineLvl w:val="9"/>
      </w:pPr>
      <w:r>
        <w:rPr>
          <w:rFonts w:hint="eastAsia" w:ascii="宋体" w:hAnsi="宋体"/>
          <w:b/>
          <w:bCs/>
          <w:sz w:val="24"/>
          <w:szCs w:val="24"/>
        </w:rPr>
        <w:t xml:space="preserve">（一）</w:t>
      </w:r>
      <w:r>
        <w:rPr>
          <w:rFonts w:ascii="宋体" w:hAnsi="宋体"/>
          <w:b/>
          <w:bCs/>
          <w:sz w:val="24"/>
          <w:szCs w:val="24"/>
        </w:rPr>
        <w:t xml:space="preserve">招标内容</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扬州市邗江区食品安全抽检服务项目</w:t>
      </w:r>
      <w:r>
        <w:rPr>
          <w:rFonts w:ascii="宋体" w:hAnsi="宋体"/>
          <w:sz w:val="24"/>
          <w:szCs w:val="24"/>
        </w:rPr>
        <w:t xml:space="preserve">。</w:t>
      </w:r>
      <w:r/>
    </w:p>
    <w:p>
      <w:pPr>
        <w:keepLines w:val="0"/>
        <w:keepNext w:val="0"/>
        <w:pageBreakBefore w:val="0"/>
        <w:spacing w:line="400" w:lineRule="exact"/>
        <w:widowControl w:val="off"/>
        <w:rPr>
          <w:rFonts w:ascii="宋体" w:hAnsi="宋体"/>
          <w:b/>
          <w:bCs/>
          <w:sz w:val="24"/>
          <w:szCs w:val="24"/>
        </w:rPr>
        <w:outlineLvl w:val="9"/>
      </w:pPr>
      <w:r>
        <w:rPr>
          <w:rFonts w:hint="eastAsia" w:ascii="宋体" w:hAnsi="宋体"/>
          <w:b/>
          <w:bCs/>
          <w:sz w:val="24"/>
          <w:szCs w:val="24"/>
        </w:rPr>
        <w:t xml:space="preserve">（二）</w:t>
      </w:r>
      <w:r>
        <w:rPr>
          <w:rFonts w:ascii="宋体" w:hAnsi="宋体"/>
          <w:b/>
          <w:bCs/>
          <w:sz w:val="24"/>
          <w:szCs w:val="24"/>
        </w:rPr>
        <w:t xml:space="preserve">招标项目概况</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按照国家市场监管总局、省市场监管局食品安全抽检监测工作计划安排及指标要求，为顺利完成扬州市邗江区市场监督管理局年度食品抽检任务，确保抽检目标完成，需要选择具备食品检验检测资质及能力的抽检机构开展食品抽检工作，服务期限自合同签订之日起至2024年12月31日。 </w:t>
      </w:r>
      <w:r/>
    </w:p>
    <w:p>
      <w:pPr>
        <w:ind w:firstLine="72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本项目是扬州市邗江区食品安全抽检服务项目，服务内容包括：2</w:t>
      </w:r>
      <w:r>
        <w:rPr>
          <w:rFonts w:ascii="宋体" w:hAnsi="宋体"/>
          <w:sz w:val="24"/>
          <w:szCs w:val="24"/>
        </w:rPr>
        <w:t xml:space="preserve">0</w:t>
      </w:r>
      <w:r>
        <w:rPr>
          <w:rFonts w:hint="eastAsia" w:ascii="宋体" w:hAnsi="宋体"/>
          <w:sz w:val="24"/>
          <w:szCs w:val="24"/>
        </w:rPr>
        <w:t xml:space="preserve">24年在种养殖屠宰环节、食品生产环节、食品流通环节、食品餐饮环节开展</w:t>
      </w:r>
      <w:r>
        <w:rPr>
          <w:rFonts w:ascii="宋体" w:hAnsi="宋体"/>
          <w:sz w:val="24"/>
          <w:szCs w:val="24"/>
        </w:rPr>
        <w:t xml:space="preserve">4</w:t>
      </w:r>
      <w:r>
        <w:rPr>
          <w:rFonts w:hint="eastAsia" w:ascii="宋体" w:hAnsi="宋体"/>
          <w:sz w:val="24"/>
          <w:szCs w:val="24"/>
        </w:rPr>
        <w:t xml:space="preserve">5</w:t>
      </w:r>
      <w:r>
        <w:rPr>
          <w:rFonts w:ascii="宋体" w:hAnsi="宋体"/>
          <w:sz w:val="24"/>
          <w:szCs w:val="24"/>
        </w:rPr>
        <w:t xml:space="preserve">00</w:t>
      </w:r>
      <w:r>
        <w:rPr>
          <w:rFonts w:hint="eastAsia" w:ascii="宋体" w:hAnsi="宋体"/>
          <w:sz w:val="24"/>
          <w:szCs w:val="24"/>
        </w:rPr>
        <w:t xml:space="preserve">批次抽检和机动批次300批次。主要包含抽检品种包括粮食及粮食制品、食用油（油脂）及其制品、调味品、肉及肉制品、乳制品、饮料、方便食品等食品。</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上述所列检测批次为暂定数量，仅作参考，投标人必须充分考虑价格变动和实际检测批次的风险，合同采用固定单价形式签订，最终按实际检测批次进行结算。</w:t>
      </w:r>
      <w:r/>
    </w:p>
    <w:tbl>
      <w:tblPr>
        <w:tblStyle w:val="76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2693"/>
        <w:gridCol w:w="2899"/>
        <w:gridCol w:w="1686"/>
      </w:tblGrid>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包号</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检测批次（暂定数量）</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检测批次预算(暂定)</w:t>
            </w:r>
            <w:r/>
          </w:p>
        </w:tc>
        <w:tc>
          <w:tcPr>
            <w:tcW w:w="1686"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备注</w:t>
            </w:r>
            <w:r/>
          </w:p>
        </w:tc>
      </w:tr>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A包</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t xml:space="preserve">6</w:t>
            </w:r>
            <w:r>
              <w:rPr>
                <w:rFonts w:hint="eastAsia" w:ascii="宋体" w:hAnsi="宋体" w:cs="宋体"/>
                <w:sz w:val="24"/>
                <w:szCs w:val="24"/>
              </w:rPr>
              <w:t xml:space="preserve">90批次/年</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55.2万元</w:t>
            </w:r>
            <w:r/>
          </w:p>
        </w:tc>
        <w:tc>
          <w:tcPr>
            <w:tcW w:w="1686" w:type="dxa"/>
            <w:vAlign w:val="center"/>
            <w:vMerge w:val="restart"/>
            <w:textDirection w:val="lrTb"/>
            <w:noWrap w:val="false"/>
          </w:tcPr>
          <w:p>
            <w:pPr>
              <w:jc w:val="center"/>
              <w:keepLines w:val="0"/>
              <w:keepNext w:val="0"/>
              <w:pageBreakBefore w:val="0"/>
              <w:spacing w:line="400" w:lineRule="exact"/>
              <w:widowControl w:val="off"/>
              <w:rPr>
                <w:rFonts w:ascii="宋体" w:hAnsi="宋体" w:cs="宋体"/>
                <w:b/>
                <w:bCs/>
                <w:sz w:val="24"/>
                <w:szCs w:val="24"/>
              </w:rPr>
              <w:outlineLvl w:val="9"/>
            </w:pPr>
            <w:r>
              <w:rPr>
                <w:rFonts w:hint="eastAsia" w:ascii="宋体" w:hAnsi="宋体" w:cs="宋体"/>
                <w:b/>
                <w:bCs/>
                <w:sz w:val="24"/>
                <w:szCs w:val="24"/>
              </w:rPr>
              <w:t xml:space="preserve">每个分包的批次数量会根据任务完成质量等情况调整。</w:t>
            </w:r>
            <w:r/>
          </w:p>
        </w:tc>
      </w:tr>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B包</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t xml:space="preserve">6</w:t>
            </w:r>
            <w:r>
              <w:rPr>
                <w:rFonts w:hint="eastAsia" w:ascii="宋体" w:hAnsi="宋体" w:cs="宋体"/>
                <w:sz w:val="24"/>
                <w:szCs w:val="24"/>
              </w:rPr>
              <w:t xml:space="preserve">70批次/年</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53.6万元</w:t>
            </w:r>
            <w:r/>
          </w:p>
        </w:tc>
        <w:tc>
          <w:tcPr>
            <w:tcW w:w="1686" w:type="dxa"/>
            <w:vAlign w:val="center"/>
            <w:vMerge w:val="continue"/>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r>
            <w:r/>
          </w:p>
        </w:tc>
      </w:tr>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C包</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t xml:space="preserve">6</w:t>
            </w:r>
            <w:r>
              <w:rPr>
                <w:rFonts w:hint="eastAsia" w:ascii="宋体" w:hAnsi="宋体" w:cs="宋体"/>
                <w:sz w:val="24"/>
                <w:szCs w:val="24"/>
              </w:rPr>
              <w:t xml:space="preserve">40批次/年</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51.2万元</w:t>
            </w:r>
            <w:r/>
          </w:p>
        </w:tc>
        <w:tc>
          <w:tcPr>
            <w:tcW w:w="1686" w:type="dxa"/>
            <w:vAlign w:val="center"/>
            <w:vMerge w:val="continue"/>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r>
            <w:r/>
          </w:p>
        </w:tc>
      </w:tr>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D包</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610批次/年</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48.8万元</w:t>
            </w:r>
            <w:r/>
          </w:p>
        </w:tc>
        <w:tc>
          <w:tcPr>
            <w:tcW w:w="1686" w:type="dxa"/>
            <w:vAlign w:val="center"/>
            <w:vMerge w:val="continue"/>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r>
            <w:r/>
          </w:p>
        </w:tc>
      </w:tr>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E包</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t xml:space="preserve">5</w:t>
            </w:r>
            <w:r>
              <w:rPr>
                <w:rFonts w:hint="eastAsia" w:ascii="宋体" w:hAnsi="宋体" w:cs="宋体"/>
                <w:sz w:val="24"/>
                <w:szCs w:val="24"/>
              </w:rPr>
              <w:t xml:space="preserve">90批次/年</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47.2万元</w:t>
            </w:r>
            <w:r/>
          </w:p>
        </w:tc>
        <w:tc>
          <w:tcPr>
            <w:tcW w:w="1686" w:type="dxa"/>
            <w:vAlign w:val="center"/>
            <w:vMerge w:val="continue"/>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r>
            <w:r/>
          </w:p>
        </w:tc>
      </w:tr>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F包</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t xml:space="preserve">5</w:t>
            </w:r>
            <w:r>
              <w:rPr>
                <w:rFonts w:hint="eastAsia" w:ascii="宋体" w:hAnsi="宋体" w:cs="宋体"/>
                <w:sz w:val="24"/>
                <w:szCs w:val="24"/>
              </w:rPr>
              <w:t xml:space="preserve">60批次/年</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44.8万元</w:t>
            </w:r>
            <w:r/>
          </w:p>
        </w:tc>
        <w:tc>
          <w:tcPr>
            <w:tcW w:w="1686" w:type="dxa"/>
            <w:vAlign w:val="center"/>
            <w:vMerge w:val="continue"/>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r>
            <w:r/>
          </w:p>
        </w:tc>
      </w:tr>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G包</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t xml:space="preserve">5</w:t>
            </w:r>
            <w:r>
              <w:rPr>
                <w:rFonts w:hint="eastAsia" w:ascii="宋体" w:hAnsi="宋体" w:cs="宋体"/>
                <w:sz w:val="24"/>
                <w:szCs w:val="24"/>
              </w:rPr>
              <w:t xml:space="preserve">40批次/年</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43.2万元</w:t>
            </w:r>
            <w:r/>
          </w:p>
        </w:tc>
        <w:tc>
          <w:tcPr>
            <w:tcW w:w="1686" w:type="dxa"/>
            <w:vAlign w:val="center"/>
            <w:vMerge w:val="continue"/>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r>
            <w:r/>
          </w:p>
        </w:tc>
      </w:tr>
      <w:tr>
        <w:trPr/>
        <w:tc>
          <w:tcPr>
            <w:tcW w:w="1244"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H包</w:t>
            </w:r>
            <w:r/>
          </w:p>
        </w:tc>
        <w:tc>
          <w:tcPr>
            <w:tcW w:w="2693" w:type="dxa"/>
            <w:vAlign w:val="center"/>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500批次/年</w:t>
            </w:r>
            <w:r/>
          </w:p>
        </w:tc>
        <w:tc>
          <w:tcPr>
            <w:tcW w:w="2899" w:type="dxa"/>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hint="eastAsia" w:ascii="宋体" w:hAnsi="宋体" w:cs="宋体"/>
                <w:sz w:val="24"/>
                <w:szCs w:val="24"/>
              </w:rPr>
              <w:t xml:space="preserve">40万元</w:t>
            </w:r>
            <w:r/>
          </w:p>
        </w:tc>
        <w:tc>
          <w:tcPr>
            <w:tcW w:w="1686" w:type="dxa"/>
            <w:vAlign w:val="center"/>
            <w:vMerge w:val="continue"/>
            <w:textDirection w:val="lrTb"/>
            <w:noWrap w:val="false"/>
          </w:tcPr>
          <w:p>
            <w:pPr>
              <w:jc w:val="center"/>
              <w:keepLines w:val="0"/>
              <w:keepNext w:val="0"/>
              <w:pageBreakBefore w:val="0"/>
              <w:spacing w:line="400" w:lineRule="exact"/>
              <w:widowControl w:val="off"/>
              <w:rPr>
                <w:rFonts w:ascii="宋体" w:hAnsi="宋体" w:cs="宋体"/>
                <w:sz w:val="24"/>
                <w:szCs w:val="24"/>
              </w:rPr>
              <w:outlineLvl w:val="9"/>
            </w:pPr>
            <w:r>
              <w:rPr>
                <w:rFonts w:ascii="宋体" w:hAnsi="宋体" w:cs="宋体"/>
                <w:sz w:val="24"/>
                <w:szCs w:val="24"/>
              </w:rPr>
            </w:r>
            <w:r/>
          </w:p>
        </w:tc>
      </w:tr>
    </w:tbl>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上述检测批次包含部分机动抽检约</w:t>
      </w:r>
      <w:r>
        <w:rPr>
          <w:rFonts w:ascii="宋体" w:hAnsi="宋体"/>
          <w:sz w:val="24"/>
          <w:szCs w:val="24"/>
        </w:rPr>
        <w:t xml:space="preserve">300</w:t>
      </w:r>
      <w:r>
        <w:rPr>
          <w:rFonts w:hint="eastAsia" w:ascii="宋体" w:hAnsi="宋体"/>
          <w:sz w:val="24"/>
          <w:szCs w:val="24"/>
        </w:rPr>
        <w:t xml:space="preserve">批次，涉及食品生产、流通及餐饮服务环节，具体任务分配，招标人根据应急和机动情况安排。</w:t>
      </w:r>
      <w:r/>
    </w:p>
    <w:p>
      <w:pPr>
        <w:ind w:firstLine="480"/>
        <w:keepLines w:val="0"/>
        <w:keepNext w:val="0"/>
        <w:pageBreakBefore w:val="0"/>
        <w:spacing w:line="400" w:lineRule="exact"/>
        <w:widowControl w:val="off"/>
        <w:rPr>
          <w:sz w:val="24"/>
          <w:szCs w:val="24"/>
        </w:rPr>
        <w:outlineLvl w:val="9"/>
      </w:pPr>
      <w:r>
        <w:rPr>
          <w:rFonts w:hint="eastAsia"/>
          <w:sz w:val="24"/>
          <w:szCs w:val="24"/>
        </w:rPr>
        <w:t xml:space="preserve">本项目</w:t>
      </w:r>
      <w:r>
        <w:rPr>
          <w:rFonts w:hint="eastAsia" w:ascii="宋体" w:hAnsi="宋体" w:cs="宋体"/>
          <w:sz w:val="24"/>
          <w:szCs w:val="24"/>
        </w:rPr>
        <w:t xml:space="preserve">具备食品安全监督抽检和风险监测工作相适应的实验场所，建有食品、农产品保存专用冷库，有与食品抽检工作相匹配的专职抽样人员和检验人员，具备满足食品抽检工作要求的抽样工具、车辆及特殊贮存条件要求的运输设备。</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合同履行期限：自合同签订之日起至2024年12月31日。招标人自合同签订之日起根据工作需要对中标人进行考核。</w:t>
      </w:r>
      <w:r/>
    </w:p>
    <w:p>
      <w:pPr>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采购最高限价：人民币384万元/年。单价控制价800元/批次</w:t>
      </w:r>
      <w:r/>
    </w:p>
    <w:p>
      <w:pPr>
        <w:ind w:firstLine="482"/>
        <w:keepLines w:val="0"/>
        <w:keepNext w:val="0"/>
        <w:pageBreakBefore w:val="0"/>
        <w:spacing w:line="400" w:lineRule="exact"/>
        <w:widowControl w:val="off"/>
        <w:rPr>
          <w:rFonts w:ascii="宋体" w:hAnsi="宋体"/>
          <w:sz w:val="24"/>
          <w:szCs w:val="24"/>
        </w:rPr>
        <w:outlineLvl w:val="9"/>
      </w:pPr>
      <w:r>
        <w:rPr>
          <w:rFonts w:hint="eastAsia" w:ascii="宋体" w:hAnsi="宋体"/>
          <w:b/>
          <w:bCs/>
          <w:sz w:val="24"/>
          <w:szCs w:val="24"/>
        </w:rPr>
        <w:t xml:space="preserve">本项目共分八个包，投标人可对本次采购的单个包或全部包进行投标，只能中一个包。投某一包时，必须响应该包的全部内容，并在投标文件中注明包号。评标、定标顺序依次从一包至八包，在前一包作为中标第一候选人的单位在后续包无中标资格，兼投不兼中</w:t>
      </w:r>
      <w:r>
        <w:rPr>
          <w:rFonts w:hint="eastAsia" w:ascii="宋体" w:hAnsi="宋体"/>
          <w:sz w:val="24"/>
          <w:szCs w:val="24"/>
        </w:rPr>
        <w:t xml:space="preserve">。</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合同履行期限：自合同签订之日起至2024年12月31日。招标人自合同签订之日起根据工作需要对中标人进行考核。</w:t>
      </w:r>
      <w:r/>
    </w:p>
    <w:p>
      <w:pPr>
        <w:ind w:firstLine="482"/>
        <w:keepLines w:val="0"/>
        <w:keepNext w:val="0"/>
        <w:pageBreakBefore w:val="0"/>
        <w:spacing w:line="400" w:lineRule="exact"/>
        <w:widowControl w:val="off"/>
        <w:rPr>
          <w:rFonts w:ascii="宋体" w:hAnsi="宋体"/>
          <w:sz w:val="24"/>
          <w:szCs w:val="24"/>
        </w:rPr>
        <w:outlineLvl w:val="9"/>
      </w:pPr>
      <w:r>
        <w:rPr>
          <w:rFonts w:hint="eastAsia" w:ascii="宋体" w:hAnsi="宋体"/>
          <w:b/>
          <w:bCs/>
          <w:sz w:val="24"/>
          <w:szCs w:val="24"/>
        </w:rPr>
        <w:t xml:space="preserve">投标人可以按招标文件要求有选择地只投其中一个或几个包，也可以投全部包。</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sz w:val="24"/>
          <w:szCs w:val="24"/>
        </w:rPr>
        <w:t xml:space="preserve"> </w:t>
      </w:r>
      <w:r>
        <w:rPr>
          <w:rFonts w:hint="eastAsia" w:ascii="宋体" w:hAnsi="宋体"/>
          <w:b/>
          <w:bCs/>
          <w:sz w:val="24"/>
          <w:szCs w:val="24"/>
        </w:rPr>
        <w:t xml:space="preserve">（三）</w:t>
      </w:r>
      <w:r>
        <w:rPr>
          <w:rFonts w:ascii="宋体" w:hAnsi="宋体"/>
          <w:b/>
          <w:bCs/>
          <w:sz w:val="24"/>
          <w:szCs w:val="24"/>
        </w:rPr>
        <w:t xml:space="preserve">本项目</w:t>
      </w:r>
      <w:r>
        <w:rPr>
          <w:rFonts w:hint="eastAsia" w:ascii="宋体" w:hAnsi="宋体"/>
          <w:b/>
          <w:bCs/>
          <w:sz w:val="24"/>
          <w:szCs w:val="24"/>
        </w:rPr>
        <w:t xml:space="preserve">技术要求</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1、计划安排</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采购人制定抽样计划后，应及时将检测批次、品种、检验项目以及具体任务分配等通知承检机构。 </w:t>
      </w:r>
      <w:r/>
    </w:p>
    <w:p>
      <w:pPr>
        <w:keepLines w:val="0"/>
        <w:keepNext w:val="0"/>
        <w:pageBreakBefore w:val="0"/>
        <w:spacing w:line="400" w:lineRule="exact"/>
        <w:widowControl w:val="off"/>
        <w:rPr>
          <w:rFonts w:hint="eastAsia" w:ascii="宋体" w:hAnsi="宋体"/>
          <w:b/>
          <w:sz w:val="24"/>
          <w:szCs w:val="24"/>
        </w:rPr>
        <w:outlineLvl w:val="9"/>
      </w:pPr>
      <w:r>
        <w:rPr>
          <w:rFonts w:hint="eastAsia" w:ascii="宋体" w:hAnsi="宋体"/>
          <w:b/>
          <w:sz w:val="24"/>
          <w:szCs w:val="24"/>
        </w:rPr>
        <w:t xml:space="preserve">2、项目技术响应及实施方案要求</w:t>
      </w:r>
      <w:r/>
    </w:p>
    <w:p>
      <w:pPr>
        <w:ind w:firstLine="480"/>
        <w:keepLines w:val="0"/>
        <w:keepNext w:val="0"/>
        <w:pageBreakBefore w:val="0"/>
        <w:spacing w:line="400" w:lineRule="exact"/>
        <w:widowControl w:val="off"/>
        <w:rPr>
          <w:rFonts w:ascii="宋体" w:hAnsi="宋体" w:eastAsia="宋体" w:cs="宋体"/>
          <w:sz w:val="24"/>
          <w:szCs w:val="24"/>
        </w:rPr>
        <w:outlineLvl w:val="9"/>
      </w:pPr>
      <w:r>
        <w:rPr>
          <w:rFonts w:ascii="宋体" w:hAnsi="宋体" w:eastAsia="宋体" w:cs="宋体"/>
          <w:sz w:val="24"/>
          <w:szCs w:val="24"/>
        </w:rPr>
        <w:t xml:space="preserve">（1）技术响应要求：</w:t>
      </w:r>
      <w:r/>
    </w:p>
    <w:p>
      <w:pPr>
        <w:ind w:firstLine="480"/>
        <w:keepLines w:val="0"/>
        <w:keepNext w:val="0"/>
        <w:pageBreakBefore w:val="0"/>
        <w:spacing w:line="400" w:lineRule="exact"/>
        <w:widowControl w:val="off"/>
        <w:rPr>
          <w:rFonts w:ascii="宋体" w:hAnsi="宋体" w:eastAsia="宋体" w:cs="宋体"/>
          <w:sz w:val="24"/>
          <w:szCs w:val="24"/>
          <w:highlight w:val="none"/>
        </w:rPr>
        <w:outlineLvl w:val="9"/>
      </w:pPr>
      <w:r>
        <w:rPr>
          <w:rFonts w:ascii="宋体" w:hAnsi="宋体" w:eastAsia="宋体" w:cs="宋体"/>
          <w:sz w:val="24"/>
          <w:szCs w:val="24"/>
        </w:rPr>
        <w:t xml:space="preserve">投标人应当具备专业的产品检测能力，需具备与本项目工作相适应的实验场所，建有食品、农产品保存专用冷库，检测实验室场所能够按照检验参数类别、产品类别和功能类别进行功能区划分，各功能区设备</w:t>
      </w:r>
      <w:r>
        <w:rPr>
          <w:rFonts w:ascii="宋体" w:hAnsi="宋体" w:eastAsia="宋体" w:cs="宋体"/>
          <w:sz w:val="24"/>
          <w:szCs w:val="24"/>
          <w:highlight w:val="none"/>
        </w:rPr>
        <w:t xml:space="preserve">布局合理，需具备在计量校准有效期内的实验室大、中型检验检测设备，需具有与食品抽检工作相匹配的专职抽样人员和检验人员，为保证抽检工作顺利推进，投标人能顺利有效应对突发紧急任务，食品抽样人员不少于5名，食品检验人员不少于10名。投标人需具备满足食品抽检工作要求的抽样工具、车辆及特殊贮存条件要求的运输设备。</w:t>
      </w:r>
      <w:r/>
    </w:p>
    <w:p>
      <w:pPr>
        <w:ind w:firstLine="480"/>
        <w:keepLines w:val="0"/>
        <w:keepNext w:val="0"/>
        <w:pageBreakBefore w:val="0"/>
        <w:spacing w:line="400" w:lineRule="exact"/>
        <w:widowControl w:val="off"/>
        <w:rPr>
          <w:rFonts w:hint="eastAsia" w:ascii="宋体" w:hAnsi="宋体"/>
          <w:sz w:val="24"/>
          <w:szCs w:val="24"/>
          <w:highlight w:val="none"/>
        </w:rPr>
        <w:outlineLvl w:val="9"/>
      </w:pPr>
      <w:r>
        <w:rPr>
          <w:rFonts w:hint="eastAsia" w:ascii="宋体" w:hAnsi="宋体"/>
          <w:sz w:val="24"/>
          <w:szCs w:val="24"/>
          <w:highlight w:val="none"/>
        </w:rPr>
        <w:t xml:space="preserve">（2）实施方案要求：</w:t>
      </w:r>
      <w:r/>
    </w:p>
    <w:p>
      <w:pPr>
        <w:ind w:firstLine="480"/>
        <w:keepLines w:val="0"/>
        <w:keepNext w:val="0"/>
        <w:pageBreakBefore w:val="0"/>
        <w:spacing w:line="400" w:lineRule="exact"/>
        <w:widowControl w:val="off"/>
        <w:rPr>
          <w:rFonts w:hint="eastAsia" w:ascii="宋体" w:hAnsi="宋体"/>
          <w:sz w:val="24"/>
          <w:szCs w:val="24"/>
          <w:highlight w:val="none"/>
        </w:rPr>
        <w:outlineLvl w:val="9"/>
      </w:pPr>
      <w:r>
        <w:rPr>
          <w:rFonts w:hint="eastAsia" w:ascii="宋体" w:hAnsi="宋体"/>
          <w:sz w:val="24"/>
          <w:szCs w:val="24"/>
          <w:highlight w:val="none"/>
        </w:rPr>
        <w:t xml:space="preserve">本抽检项目覆盖全区种养殖屠宰、生产环节、流通环节、餐饮等环节，粮食及粮食制品、食用油（油脂）及其制品、调味品、肉及肉制品、乳制品、饮料、方便食品等品种，投标人需对本项目检制定合理、科学、详细的服务方案；</w:t>
      </w:r>
      <w:r/>
    </w:p>
    <w:p>
      <w:pPr>
        <w:ind w:firstLine="480"/>
        <w:keepLines w:val="0"/>
        <w:keepNext w:val="0"/>
        <w:pageBreakBefore w:val="0"/>
        <w:spacing w:line="400" w:lineRule="exact"/>
        <w:widowControl w:val="off"/>
        <w:rPr>
          <w:rFonts w:hint="eastAsia" w:ascii="宋体" w:hAnsi="宋体"/>
          <w:sz w:val="24"/>
          <w:szCs w:val="24"/>
          <w:highlight w:val="none"/>
        </w:rPr>
        <w:outlineLvl w:val="9"/>
      </w:pPr>
      <w:r>
        <w:rPr>
          <w:rFonts w:hint="eastAsia" w:ascii="宋体" w:hAnsi="宋体"/>
          <w:sz w:val="24"/>
          <w:szCs w:val="24"/>
          <w:highlight w:val="none"/>
        </w:rPr>
        <w:t xml:space="preserve">投标人需综合考虑检验费、取样交通费、购样费、税金等，保证投标成本的合理性。</w:t>
      </w:r>
      <w:r/>
    </w:p>
    <w:p>
      <w:pPr>
        <w:ind w:firstLine="480"/>
        <w:keepLines w:val="0"/>
        <w:keepNext w:val="0"/>
        <w:pageBreakBefore w:val="0"/>
        <w:spacing w:line="400" w:lineRule="exact"/>
        <w:widowControl w:val="off"/>
        <w:rPr>
          <w:rFonts w:hint="eastAsia" w:ascii="宋体" w:hAnsi="宋体"/>
          <w:sz w:val="24"/>
          <w:szCs w:val="24"/>
          <w:highlight w:val="none"/>
        </w:rPr>
        <w:outlineLvl w:val="9"/>
      </w:pPr>
      <w:r>
        <w:rPr>
          <w:rFonts w:hint="eastAsia" w:ascii="宋体" w:hAnsi="宋体"/>
          <w:sz w:val="24"/>
          <w:szCs w:val="24"/>
          <w:highlight w:val="none"/>
        </w:rPr>
        <w:t xml:space="preserve">本项目实施方案需考虑可能出现的食品中毒事件、消费者投诉、突击性专项抽检等突发事件，投标人需对上述突发事件制定科学合理的应急响应方案。</w:t>
      </w:r>
      <w:r/>
    </w:p>
    <w:p>
      <w:pPr>
        <w:ind w:firstLine="480"/>
        <w:keepLines w:val="0"/>
        <w:keepNext w:val="0"/>
        <w:pageBreakBefore w:val="0"/>
        <w:spacing w:line="400" w:lineRule="exact"/>
        <w:widowControl w:val="off"/>
        <w:rPr>
          <w:rFonts w:hint="eastAsia" w:ascii="宋体" w:hAnsi="宋体"/>
          <w:sz w:val="24"/>
          <w:szCs w:val="24"/>
          <w:highlight w:val="none"/>
        </w:rPr>
        <w:outlineLvl w:val="9"/>
      </w:pPr>
      <w:r>
        <w:rPr>
          <w:rFonts w:hint="eastAsia" w:ascii="宋体" w:hAnsi="宋体"/>
          <w:sz w:val="24"/>
          <w:szCs w:val="24"/>
          <w:highlight w:val="none"/>
        </w:rPr>
        <w:t xml:space="preserve">本项目要求投标供应商拥有良好的实验室管理体系，投标人要加强对样品采集、实验室检测、数据报送等关键环节的质量控制，投标人需对自身的抽检数据质量的把控能力制定要点齐全、条理清晰的抽检数据质量控制方案。</w:t>
      </w:r>
      <w:r/>
    </w:p>
    <w:p>
      <w:pPr>
        <w:ind w:firstLine="480"/>
        <w:keepLines w:val="0"/>
        <w:keepNext w:val="0"/>
        <w:pageBreakBefore w:val="0"/>
        <w:spacing w:line="400" w:lineRule="exact"/>
        <w:widowControl w:val="off"/>
        <w:rPr>
          <w:rFonts w:hint="eastAsia" w:ascii="宋体" w:hAnsi="宋体"/>
          <w:sz w:val="24"/>
          <w:szCs w:val="24"/>
          <w:highlight w:val="none"/>
        </w:rPr>
        <w:outlineLvl w:val="9"/>
      </w:pPr>
      <w:r>
        <w:rPr>
          <w:rFonts w:hint="eastAsia" w:ascii="宋体" w:hAnsi="宋体"/>
          <w:sz w:val="24"/>
          <w:szCs w:val="24"/>
          <w:highlight w:val="none"/>
        </w:rPr>
        <w:t xml:space="preserve">投标人需理性分析本项目的重点、难点，并对以上分析结果提供具有针对性的具体保障措施。</w:t>
      </w:r>
      <w:r/>
    </w:p>
    <w:p>
      <w:pPr>
        <w:ind w:firstLine="480"/>
        <w:keepLines w:val="0"/>
        <w:keepNext w:val="0"/>
        <w:pageBreakBefore w:val="0"/>
        <w:spacing w:line="400" w:lineRule="exact"/>
        <w:widowControl w:val="off"/>
        <w:rPr>
          <w:rFonts w:hint="eastAsia" w:ascii="宋体" w:hAnsi="宋体"/>
          <w:sz w:val="24"/>
          <w:szCs w:val="24"/>
          <w:highlight w:val="none"/>
        </w:rPr>
        <w:outlineLvl w:val="9"/>
      </w:pPr>
      <w:r>
        <w:rPr>
          <w:rFonts w:hint="eastAsia" w:ascii="宋体" w:hAnsi="宋体"/>
          <w:sz w:val="24"/>
          <w:szCs w:val="24"/>
          <w:highlight w:val="none"/>
        </w:rPr>
        <w:t xml:space="preserve">除本项目所列的抽检任务外，承检机构如能为邗江区提供其他伴随、增值服务，请结合自身实际，提供全面、合理的服务方案。</w:t>
      </w:r>
      <w:r/>
    </w:p>
    <w:p>
      <w:pPr>
        <w:numPr>
          <w:ilvl w:val="0"/>
          <w:numId w:val="5"/>
        </w:numPr>
        <w:ind w:firstLine="480"/>
        <w:keepLines w:val="0"/>
        <w:keepNext w:val="0"/>
        <w:pageBreakBefore w:val="0"/>
        <w:spacing w:line="400" w:lineRule="exact"/>
        <w:widowControl w:val="off"/>
        <w:rPr>
          <w:rFonts w:hint="eastAsia" w:ascii="宋体" w:hAnsi="宋体"/>
          <w:sz w:val="24"/>
          <w:szCs w:val="24"/>
          <w:highlight w:val="none"/>
        </w:rPr>
        <w:outlineLvl w:val="9"/>
      </w:pPr>
      <w:r>
        <w:rPr>
          <w:rFonts w:hint="eastAsia" w:ascii="宋体" w:hAnsi="宋体"/>
          <w:sz w:val="24"/>
          <w:szCs w:val="24"/>
          <w:highlight w:val="none"/>
        </w:rPr>
        <w:t xml:space="preserve">其他：</w:t>
      </w:r>
      <w:r/>
    </w:p>
    <w:p>
      <w:pPr>
        <w:numPr>
          <w:ilvl w:val="0"/>
          <w:numId w:val="0"/>
        </w:numPr>
        <w:ind w:firstLine="480"/>
        <w:keepLines w:val="0"/>
        <w:keepNext w:val="0"/>
        <w:pageBreakBefore w:val="0"/>
        <w:spacing w:line="400" w:lineRule="exact"/>
        <w:widowControl w:val="off"/>
        <w:rPr>
          <w:rFonts w:ascii="宋体" w:hAnsi="宋体"/>
          <w:sz w:val="24"/>
          <w:szCs w:val="24"/>
          <w:highlight w:val="none"/>
        </w:rPr>
        <w:outlineLvl w:val="9"/>
      </w:pPr>
      <w:r>
        <w:rPr>
          <w:rFonts w:hint="eastAsia" w:ascii="宋体" w:hAnsi="宋体"/>
          <w:sz w:val="24"/>
          <w:szCs w:val="24"/>
          <w:highlight w:val="none"/>
        </w:rPr>
        <w:t xml:space="preserve">如承检机构近两年内承担过与本项目相类似的任务，请提供被</w:t>
      </w:r>
      <w:r>
        <w:rPr>
          <w:rFonts w:ascii="宋体" w:hAnsi="宋体"/>
          <w:sz w:val="24"/>
          <w:szCs w:val="24"/>
          <w:highlight w:val="none"/>
        </w:rPr>
        <w:t xml:space="preserve">服务</w:t>
      </w:r>
      <w:r>
        <w:rPr>
          <w:rFonts w:hint="eastAsia" w:ascii="宋体" w:hAnsi="宋体"/>
          <w:sz w:val="24"/>
          <w:szCs w:val="24"/>
          <w:highlight w:val="none"/>
        </w:rPr>
        <w:t xml:space="preserve">单位出具的相关项目</w:t>
      </w:r>
      <w:r>
        <w:rPr>
          <w:rFonts w:ascii="宋体" w:hAnsi="宋体"/>
          <w:sz w:val="24"/>
          <w:szCs w:val="24"/>
          <w:highlight w:val="none"/>
        </w:rPr>
        <w:t xml:space="preserve">综合评价</w:t>
      </w:r>
      <w:r>
        <w:rPr>
          <w:rFonts w:hint="eastAsia" w:ascii="宋体" w:hAnsi="宋体"/>
          <w:sz w:val="24"/>
          <w:szCs w:val="24"/>
          <w:highlight w:val="none"/>
        </w:rPr>
        <w:t xml:space="preserve">及相关证明材料。若投标人有与本项目相关的专利、科研课题或项目，请提供相关证明材料。</w:t>
      </w:r>
      <w:r/>
    </w:p>
    <w:p>
      <w:pPr>
        <w:keepLines w:val="0"/>
        <w:keepNext w:val="0"/>
        <w:pageBreakBefore w:val="0"/>
        <w:spacing w:line="400" w:lineRule="exact"/>
        <w:widowControl w:val="off"/>
        <w:rPr>
          <w:rFonts w:ascii="宋体" w:hAnsi="宋体"/>
          <w:b/>
          <w:sz w:val="24"/>
          <w:szCs w:val="24"/>
          <w:highlight w:val="none"/>
        </w:rPr>
        <w:outlineLvl w:val="9"/>
      </w:pPr>
      <w:r>
        <w:rPr>
          <w:rFonts w:hint="eastAsia" w:ascii="宋体" w:hAnsi="宋体"/>
          <w:b/>
          <w:sz w:val="24"/>
          <w:szCs w:val="24"/>
          <w:highlight w:val="none"/>
        </w:rPr>
        <w:t xml:space="preserve">3、检测要求 </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承检机构应当在接到抽样检验任务后两日内，编制《检测细则》，内容包括抽样方法、检验项目、检验标准、判定原则等。</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（1）检验项目应依据检验任务、食品标准（国家标准）、标签明示值确定。 </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（2）抽样方法、检验标准、判定原则应依据食品标准（国家标准）以及国家食品药品监督管理局的有关食品抽样要求编制，涉及安全性指标的项目不得低于国家强制性标准要求。 </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（3）如涉及标签的单项判定，应按国家相关标签标识标准要求判定。 </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4）检验结论应采用以下用语：样品检验项目全部合格时，其检验结论为“经抽样检验，所检项目符合GB--标准要求”；样品检验项目有一项及以上不合格时，其检验结论为“经抽样检验，××项目不符合GB--标准要求，检验结论为不合格”。 《检测细则》应当经采购人认可方可实施。 </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3、时间要求 </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按照计划安排，所有取样工作均在2024年10月31日前完成，因采购人原因造成取样延迟的，不得追究承检机构责任；因承检机构原因造成取样延迟的，承检机构应当按每批次50元/天支付采购人赔偿金。取样完成后，承检机构应及时进行检验，并在二十个工作日内出具检验结论，并保证检验结果准确。 </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4、取样要求 </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1）采购人根据情况派出执法人员参加现场取样，确定被检单位，承检机构应当派两名以上(包括两名)有资质的工作人员参与取样，并确保按照国家规定的采样规则进行取样。具体取样食品品种由采购人执法人员根据抽检计划决定，抽样过程填制《食品抽样检验工作单》。 </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（2）乙方取样时，应同时提取能够满足复检需要的足够的备样。样本、备样应当购买，购样费用由承检机构支付。取样后，在甲方监督下按要求封存样本及备样，由承检机构工作人员一同带回并妥善保管。</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（3）对于采购人要求的紧急抽样，投标人应在2 小时内到达现场。采集的用于微生物及其致病因子检验的样品必须在采样后 4 小时内开始检测，生鲜样品采集在采样当日开始检测。 </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5、样品保存要求 </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食品安全监督抽检的检验结论合格的，承检机构应当自检验结论作出之日起3个月内妥善保存复检备份样品；复检备份样品剩余保质期不足3个月的，应当保存至保质期结束。检验结论不合格的，承检机构应当自检验结论作出之日起6个月内妥善保存复检备份样品；复检备份样品剩余保质期不足6个月的，应当保存至保质期结束。 针对食品抽样过程中对有特殊保存要求的样品管理，投标人应具备相应的速冻及冷藏运输条件。 </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6、出具检测报告 </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1）检验报告出来后，乙方应将不合格报告于两个工作日内及时送达甲方，合格报告十个工作日内送达。当月实施抽检的结果汇总表（电子版及文字版）等相关材料，乙方于收集完全后2个工作日内统一提交甲方。 </w:t>
      </w:r>
      <w:r/>
    </w:p>
    <w:p>
      <w:pPr>
        <w:ind w:firstLine="24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2）检验结果为合格的，承检机构应印制检验报告一式四份，一份自己留存，三份交给招标人；检验结果为不合格的，承检机构应印制检验报告一式五份，一份自己留存，一份以快递或挂号信形式移送至不合格样品标称生产者并保留相关票据，三份交给招标人。 </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7、操作办法 </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本次检测任务分为农产品、食品生产、流通和餐饮服务，采购人将组织中标承检机构分别承担相应的承检任务，具体操作时确定。</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8、验收标准</w:t>
      </w:r>
      <w:r/>
    </w:p>
    <w:p>
      <w:pPr>
        <w:pStyle w:val="889"/>
        <w:keepLines w:val="0"/>
        <w:keepNext w:val="0"/>
        <w:pageBreakBefore w:val="0"/>
        <w:spacing w:line="400" w:lineRule="exact"/>
        <w:widowControl w:val="off"/>
        <w:rPr>
          <w:sz w:val="24"/>
          <w:szCs w:val="24"/>
        </w:rPr>
        <w:outlineLvl w:val="9"/>
      </w:pPr>
      <w:r>
        <w:rPr>
          <w:rFonts w:hint="eastAsia" w:ascii="宋体" w:hAnsi="宋体"/>
          <w:sz w:val="24"/>
          <w:szCs w:val="24"/>
        </w:rPr>
        <w:t xml:space="preserve">承检机构应当在接到抽样检验任务后两日内，按《检测细则》</w:t>
      </w:r>
      <w:r>
        <w:rPr>
          <w:rFonts w:hint="eastAsia"/>
          <w:sz w:val="24"/>
          <w:szCs w:val="24"/>
        </w:rPr>
        <w:t xml:space="preserve">及时进行检验，并在二十个工作日内出具检验结论，并保证检验结果准确。</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9、费用结算 </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所有批次项目检测结束后，经采购人确认检测结果无异议后，按实结算。 </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10、违约责任 </w:t>
      </w:r>
      <w:r/>
    </w:p>
    <w:p>
      <w:pPr>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1）因承检机构原因造成的检测程序违法、检测结果错误，由此造成招标人在行政复议中被确认违法或行政诉讼败诉，承检机构应当承担相关法律责任，包括赔偿招标人损失、支付违约金等，违约金为5万元/批次起。 （提供承诺函扫描上传）</w:t>
      </w:r>
      <w:r/>
    </w:p>
    <w:p>
      <w:pPr>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2）承检机构需对参与评审的实验室人员、设备、资质等数据的独立性（不综合累计公司多个实验室的人员、设备、资质等数据）、不使用非食品检验实验室的相关资料进行投标、及该实验室到采购单位的时间进行承诺。（提供承诺函扫描上传）</w:t>
      </w:r>
      <w:r/>
    </w:p>
    <w:p>
      <w:pPr>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（3）承检机构的工作未达到本次招标要求的 （例如：服务响应时间超过招标规定时间要求的），招标人有权要求承检机构进行整改，如整改后仍达不到要求的招标人有权要求立即终止合同，并有权追究其违约责任。（提供承诺函扫描上传）</w:t>
      </w:r>
      <w:r/>
    </w:p>
    <w:p>
      <w:pPr>
        <w:keepLines w:val="0"/>
        <w:keepNext w:val="0"/>
        <w:pageBreakBefore w:val="0"/>
        <w:spacing w:line="400" w:lineRule="exact"/>
        <w:widowControl w:val="off"/>
        <w:rPr>
          <w:rFonts w:ascii="宋体" w:hAnsi="宋体"/>
          <w:b/>
          <w:bCs/>
          <w:sz w:val="24"/>
          <w:szCs w:val="24"/>
        </w:rPr>
        <w:outlineLvl w:val="9"/>
      </w:pPr>
      <w:r>
        <w:rPr>
          <w:rFonts w:hint="eastAsia" w:ascii="宋体" w:hAnsi="宋体"/>
          <w:b/>
          <w:bCs/>
          <w:sz w:val="24"/>
          <w:szCs w:val="24"/>
        </w:rPr>
        <w:t xml:space="preserve">11、报价要求</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cs="宋体"/>
          <w:sz w:val="24"/>
          <w:szCs w:val="24"/>
        </w:rPr>
        <w:t xml:space="preserve">监督抽检和风险监测市场指</w:t>
      </w:r>
      <w:r>
        <w:rPr>
          <w:rFonts w:ascii="宋体" w:hAnsi="宋体" w:cs="宋体"/>
          <w:sz w:val="24"/>
          <w:szCs w:val="24"/>
        </w:rPr>
        <w:t xml:space="preserve">导价</w:t>
      </w:r>
      <w:r>
        <w:rPr>
          <w:rFonts w:hint="eastAsia" w:ascii="宋体" w:hAnsi="宋体" w:cs="宋体"/>
          <w:sz w:val="24"/>
          <w:szCs w:val="24"/>
        </w:rPr>
        <w:t xml:space="preserve">建议</w:t>
      </w:r>
      <w:r>
        <w:rPr>
          <w:rFonts w:ascii="宋体" w:hAnsi="宋体" w:cs="宋体"/>
          <w:sz w:val="24"/>
          <w:szCs w:val="24"/>
        </w:rPr>
        <w:t xml:space="preserve">为</w:t>
      </w:r>
      <w:r>
        <w:rPr>
          <w:rFonts w:hint="eastAsia" w:ascii="宋体" w:hAnsi="宋体" w:cs="宋体"/>
          <w:b/>
          <w:bCs/>
          <w:sz w:val="24"/>
          <w:szCs w:val="24"/>
        </w:rPr>
        <w:t xml:space="preserve">800</w:t>
      </w:r>
      <w:r>
        <w:rPr>
          <w:rFonts w:ascii="宋体" w:hAnsi="宋体" w:cs="宋体"/>
          <w:b/>
          <w:bCs/>
          <w:sz w:val="24"/>
          <w:szCs w:val="24"/>
        </w:rPr>
        <w:t xml:space="preserve">元/批次</w:t>
      </w:r>
      <w:r>
        <w:rPr>
          <w:rFonts w:hint="eastAsia" w:ascii="宋体" w:hAnsi="宋体" w:cs="宋体"/>
          <w:sz w:val="24"/>
          <w:szCs w:val="24"/>
        </w:rPr>
        <w:t xml:space="preserve">。</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（四）服务时间</w:t>
      </w:r>
      <w:r/>
    </w:p>
    <w:p>
      <w:pPr>
        <w:ind w:firstLine="48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自合同签订之日起至2024年12月31 日。</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（五）其他需说明的事项</w:t>
      </w:r>
      <w:r/>
    </w:p>
    <w:p>
      <w:pPr>
        <w:ind w:firstLine="480"/>
        <w:keepLines w:val="0"/>
        <w:keepNext w:val="0"/>
        <w:pageBreakBefore w:val="0"/>
        <w:spacing w:line="400" w:lineRule="exact"/>
        <w:widowControl w:val="off"/>
        <w:rPr>
          <w:rFonts w:ascii="宋体" w:hAnsi="宋体"/>
          <w:bCs/>
          <w:sz w:val="24"/>
          <w:szCs w:val="24"/>
        </w:rPr>
        <w:outlineLvl w:val="9"/>
      </w:pPr>
      <w:r>
        <w:rPr>
          <w:rFonts w:hint="eastAsia" w:ascii="宋体" w:hAnsi="宋体"/>
          <w:sz w:val="24"/>
          <w:szCs w:val="24"/>
        </w:rPr>
        <w:t xml:space="preserve">采购人</w:t>
      </w:r>
      <w:r>
        <w:rPr>
          <w:rFonts w:hint="eastAsia" w:ascii="宋体" w:hAnsi="宋体"/>
          <w:bCs/>
          <w:sz w:val="24"/>
          <w:szCs w:val="24"/>
        </w:rPr>
        <w:t xml:space="preserve">另安排有一部分机动批次，涉及食品生产、流通及餐饮服务环节，作为案件</w:t>
      </w:r>
      <w:r>
        <w:rPr>
          <w:rFonts w:ascii="宋体" w:hAnsi="宋体"/>
          <w:bCs/>
          <w:sz w:val="24"/>
          <w:szCs w:val="24"/>
        </w:rPr>
        <w:t xml:space="preserve">稽查、</w:t>
      </w:r>
      <w:r>
        <w:rPr>
          <w:rFonts w:hint="eastAsia" w:ascii="宋体" w:hAnsi="宋体"/>
          <w:bCs/>
          <w:sz w:val="24"/>
          <w:szCs w:val="24"/>
        </w:rPr>
        <w:t xml:space="preserve">日常检查、</w:t>
      </w:r>
      <w:r>
        <w:rPr>
          <w:rFonts w:ascii="宋体" w:hAnsi="宋体"/>
          <w:bCs/>
          <w:sz w:val="24"/>
          <w:szCs w:val="24"/>
        </w:rPr>
        <w:t xml:space="preserve">专项整治、突发事件处置等使用</w:t>
      </w:r>
      <w:r>
        <w:rPr>
          <w:rFonts w:hint="eastAsia" w:ascii="宋体" w:hAnsi="宋体"/>
          <w:bCs/>
          <w:sz w:val="24"/>
          <w:szCs w:val="24"/>
        </w:rPr>
        <w:t xml:space="preserve">，具体批次以实际发生批次为准。承检机构需按照</w:t>
      </w:r>
      <w:r>
        <w:rPr>
          <w:rFonts w:hint="eastAsia" w:ascii="宋体" w:hAnsi="宋体"/>
          <w:sz w:val="24"/>
          <w:szCs w:val="24"/>
        </w:rPr>
        <w:t xml:space="preserve">采购人</w:t>
      </w:r>
      <w:r>
        <w:rPr>
          <w:rFonts w:hint="eastAsia" w:ascii="宋体" w:hAnsi="宋体"/>
          <w:bCs/>
          <w:sz w:val="24"/>
          <w:szCs w:val="24"/>
        </w:rPr>
        <w:t xml:space="preserve">要求的时间响应到达现场进行抽样，并按照</w:t>
      </w:r>
      <w:r>
        <w:rPr>
          <w:rFonts w:hint="eastAsia" w:ascii="宋体" w:hAnsi="宋体"/>
          <w:sz w:val="24"/>
          <w:szCs w:val="24"/>
        </w:rPr>
        <w:t xml:space="preserve">采购人</w:t>
      </w:r>
      <w:r>
        <w:rPr>
          <w:rFonts w:hint="eastAsia" w:ascii="宋体" w:hAnsi="宋体"/>
          <w:bCs/>
          <w:sz w:val="24"/>
          <w:szCs w:val="24"/>
        </w:rPr>
        <w:t xml:space="preserve">要求的时间内检测并出具检测报告。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                                                                                                                                                                                         </w:t>
      </w:r>
      <w:r/>
    </w:p>
    <w:p>
      <w:pPr>
        <w:ind w:firstLine="480"/>
        <w:keepLines w:val="0"/>
        <w:keepNext w:val="0"/>
        <w:pageBreakBefore w:val="0"/>
        <w:spacing w:line="400" w:lineRule="exact"/>
        <w:widowControl w:val="off"/>
        <w:rPr>
          <w:rFonts w:ascii="宋体" w:hAnsi="宋体"/>
          <w:bCs/>
          <w:sz w:val="24"/>
          <w:szCs w:val="24"/>
        </w:rPr>
        <w:outlineLvl w:val="9"/>
      </w:pPr>
      <w:r>
        <w:rPr>
          <w:rFonts w:hint="eastAsia" w:ascii="宋体" w:hAnsi="宋体"/>
          <w:bCs/>
          <w:sz w:val="24"/>
          <w:szCs w:val="24"/>
        </w:rPr>
        <w:t xml:space="preserve">为提高抽检工作实效，承检机构需参加由</w:t>
      </w:r>
      <w:r>
        <w:rPr>
          <w:rFonts w:hint="eastAsia" w:ascii="宋体" w:hAnsi="宋体"/>
          <w:sz w:val="24"/>
          <w:szCs w:val="24"/>
        </w:rPr>
        <w:t xml:space="preserve">采购人</w:t>
      </w:r>
      <w:r>
        <w:rPr>
          <w:rFonts w:hint="eastAsia" w:ascii="宋体" w:hAnsi="宋体"/>
          <w:bCs/>
          <w:sz w:val="24"/>
          <w:szCs w:val="24"/>
        </w:rPr>
        <w:t xml:space="preserve">组织的与食品抽样检测工作有关的宣传、培训活动等。</w:t>
      </w:r>
      <w:r/>
    </w:p>
    <w:p>
      <w:pPr>
        <w:keepLines w:val="0"/>
        <w:keepNext w:val="0"/>
        <w:pageBreakBefore w:val="0"/>
        <w:spacing w:line="400" w:lineRule="exact"/>
        <w:widowControl w:val="off"/>
        <w:rPr>
          <w:rFonts w:ascii="宋体" w:hAnsi="宋体"/>
          <w:b/>
          <w:sz w:val="24"/>
          <w:szCs w:val="24"/>
        </w:rPr>
        <w:outlineLvl w:val="9"/>
      </w:pPr>
      <w:r>
        <w:rPr>
          <w:rFonts w:hint="eastAsia" w:ascii="宋体" w:hAnsi="宋体"/>
          <w:b/>
          <w:sz w:val="24"/>
          <w:szCs w:val="24"/>
        </w:rPr>
        <w:t xml:space="preserve">（六）抽检品种及项目范围 </w:t>
      </w:r>
      <w:r/>
    </w:p>
    <w:p>
      <w:pPr>
        <w:ind w:firstLine="480"/>
        <w:keepLines w:val="0"/>
        <w:keepNext w:val="0"/>
        <w:pageBreakBefore w:val="0"/>
        <w:spacing w:line="400" w:lineRule="exact"/>
        <w:widowControl w:val="off"/>
        <w:rPr>
          <w:rFonts w:ascii="宋体" w:hAnsi="宋体" w:cs="宋体"/>
          <w:sz w:val="24"/>
          <w:szCs w:val="24"/>
        </w:rPr>
        <w:outlineLvl w:val="9"/>
      </w:pPr>
      <w:r>
        <w:rPr>
          <w:rFonts w:hint="eastAsia" w:ascii="宋体" w:hAnsi="宋体"/>
          <w:sz w:val="24"/>
          <w:szCs w:val="24"/>
        </w:rPr>
        <w:t xml:space="preserve">根据国家市场监管总局下发的《2023年食品安全监督抽检计划》中规定的2024年食品安全抽检品种、项目表和食用农产品抽检品种、项目表为范围开展检测工作。</w:t>
      </w:r>
      <w:r>
        <w:rPr>
          <w:rFonts w:hint="eastAsia" w:ascii="宋体" w:hAnsi="宋体" w:cs="宋体"/>
          <w:sz w:val="24"/>
          <w:szCs w:val="24"/>
        </w:rPr>
        <w:t xml:space="preserve">（注：国家市场监管总局或江苏省市场监管局下发的抽检计划有更新，招标人有权按照实际情况进行调整。）</w:t>
      </w:r>
      <w:r/>
    </w:p>
    <w:p>
      <w:pPr>
        <w:ind w:firstLine="720"/>
        <w:keepLines w:val="0"/>
        <w:keepNext w:val="0"/>
        <w:pageBreakBefore w:val="0"/>
        <w:spacing w:line="400" w:lineRule="exact"/>
        <w:widowControl w:val="off"/>
        <w:rPr>
          <w:rFonts w:ascii="宋体" w:hAnsi="宋体"/>
          <w:sz w:val="24"/>
          <w:szCs w:val="24"/>
        </w:rPr>
        <w:outlineLvl w:val="9"/>
      </w:pPr>
      <w:r>
        <w:rPr>
          <w:rFonts w:hint="eastAsia" w:ascii="宋体" w:hAnsi="宋体"/>
          <w:sz w:val="24"/>
          <w:szCs w:val="24"/>
        </w:rPr>
        <w:t xml:space="preserve">附表：2024年食品安全监督抽检品种、项目表</w:t>
      </w:r>
      <w:r/>
    </w:p>
    <w:p>
      <w:pPr>
        <w:rPr>
          <w:sz w:val="24"/>
          <w:szCs w:val="24"/>
        </w:rPr>
      </w:pPr>
      <w:r>
        <w:rPr>
          <w:sz w:val="24"/>
          <w:szCs w:val="24"/>
        </w:rPr>
      </w:r>
      <w:r/>
    </w:p>
    <w:p>
      <w:pPr>
        <w:pStyle w:val="772"/>
        <w:rPr>
          <w:sz w:val="24"/>
          <w:szCs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 xml:space="preserve">2024年食品安全监督抽检品种、项目表</w:t>
      </w:r>
      <w:r/>
    </w:p>
    <w:tbl>
      <w:tblPr>
        <w:tblStyle w:val="764"/>
        <w:tblW w:w="14174" w:type="dxa"/>
        <w:tblInd w:w="0" w:type="dxa"/>
        <w:tblLayout w:type="fixed"/>
        <w:tblCellMar>
          <w:left w:w="108" w:type="dxa"/>
          <w:top w:w="0" w:type="dxa"/>
          <w:right w:w="108" w:type="dxa"/>
          <w:bottom w:w="0" w:type="dxa"/>
        </w:tblCellMar>
        <w:tblLook w:val="04A0" w:firstRow="1" w:lastRow="0" w:firstColumn="1" w:lastColumn="0" w:noHBand="0" w:noVBand="1"/>
      </w:tblPr>
      <w:tblGrid>
        <w:gridCol w:w="769"/>
        <w:gridCol w:w="1200"/>
        <w:gridCol w:w="1211"/>
        <w:gridCol w:w="1308"/>
        <w:gridCol w:w="1596"/>
        <w:gridCol w:w="802"/>
        <w:gridCol w:w="7288"/>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b/>
                <w:bCs/>
                <w:sz w:val="20"/>
                <w:szCs w:val="20"/>
              </w:rPr>
            </w:pPr>
            <w:r>
              <w:rPr>
                <w:rFonts w:hint="eastAsia"/>
                <w:b/>
                <w:bCs/>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b/>
                <w:bCs/>
                <w:sz w:val="20"/>
                <w:szCs w:val="20"/>
              </w:rPr>
            </w:pPr>
            <w:r>
              <w:rPr>
                <w:rFonts w:hint="eastAsia"/>
                <w:b/>
                <w:bCs/>
                <w:sz w:val="20"/>
                <w:szCs w:val="20"/>
              </w:rPr>
              <w:t xml:space="preserve">食品大类（一级）</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b/>
                <w:bCs/>
                <w:sz w:val="20"/>
                <w:szCs w:val="20"/>
              </w:rPr>
            </w:pPr>
            <w:r>
              <w:rPr>
                <w:rFonts w:hint="eastAsia"/>
                <w:b/>
                <w:bCs/>
                <w:sz w:val="20"/>
                <w:szCs w:val="20"/>
              </w:rPr>
              <w:t xml:space="preserve">食品亚类（二级）</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b/>
                <w:bCs/>
                <w:sz w:val="20"/>
                <w:szCs w:val="20"/>
              </w:rPr>
            </w:pPr>
            <w:r>
              <w:rPr>
                <w:rFonts w:hint="eastAsia"/>
                <w:b/>
                <w:bCs/>
                <w:sz w:val="20"/>
                <w:szCs w:val="20"/>
              </w:rPr>
              <w:t xml:space="preserve">食品品种（三级）</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b/>
                <w:bCs/>
                <w:sz w:val="20"/>
                <w:szCs w:val="20"/>
              </w:rPr>
            </w:pPr>
            <w:r>
              <w:rPr>
                <w:rFonts w:hint="eastAsia"/>
                <w:b/>
                <w:bCs/>
                <w:sz w:val="20"/>
                <w:szCs w:val="20"/>
              </w:rPr>
              <w:t xml:space="preserve">食品细类 </w:t>
            </w:r>
            <w:r/>
          </w:p>
          <w:p>
            <w:pPr>
              <w:jc w:val="center"/>
              <w:widowControl/>
              <w:rPr>
                <w:b/>
                <w:bCs/>
                <w:sz w:val="20"/>
                <w:szCs w:val="20"/>
              </w:rPr>
            </w:pPr>
            <w:r>
              <w:rPr>
                <w:rFonts w:hint="eastAsia"/>
                <w:b/>
                <w:bCs/>
                <w:sz w:val="20"/>
                <w:szCs w:val="20"/>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b/>
                <w:bCs/>
                <w:sz w:val="20"/>
                <w:szCs w:val="20"/>
              </w:rPr>
            </w:pPr>
            <w:r>
              <w:rPr>
                <w:rFonts w:hint="eastAsia"/>
                <w:b/>
                <w:bCs/>
                <w:sz w:val="20"/>
                <w:szCs w:val="20"/>
              </w:rPr>
              <w:t xml:space="preserve">风险等级</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center"/>
              <w:widowControl/>
              <w:rPr>
                <w:b/>
                <w:bCs/>
                <w:sz w:val="20"/>
                <w:szCs w:val="20"/>
              </w:rPr>
            </w:pPr>
            <w:r>
              <w:rPr>
                <w:rFonts w:hint="eastAsia"/>
                <w:b/>
                <w:bCs/>
                <w:sz w:val="20"/>
                <w:szCs w:val="20"/>
              </w:rPr>
              <w:t xml:space="preserve">抽检项目</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镉（以Cd计）、苯并[a]芘、玉米赤霉烯酮、脱氧雪腐镰刀菌烯醇、赭曲霉毒素A、黄曲霉毒素B1、偶氮甲酰胺、过氧化苯甲酰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铅（以Pb计）、镉（以Cd计）、无机砷（以As计）、苯并[a]芘、黄曲霉毒素B1、赭曲霉毒素A</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铅（以Pb计）、黄曲霉毒素B1、脱氢乙酸及其钠盐（以脱氢乙酸计）、合成着色剂（柠檬黄、日落黄）</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 Pb 计）、镉（以Cd计）、黄曲霉毒素B1、赭曲霉毒素A</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玉米粉（片、渣）</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苯并</w:t>
            </w:r>
            <w:r>
              <w:rPr>
                <w:rStyle w:val="1156"/>
              </w:rPr>
              <w:t xml:space="preserve">[a]</w:t>
            </w:r>
            <w:r>
              <w:rPr>
                <w:rStyle w:val="1155"/>
                <w:rFonts w:hint="default"/>
              </w:rPr>
              <w:t xml:space="preserve">芘、黄曲霉毒素</w:t>
            </w:r>
            <w:r>
              <w:rPr>
                <w:rStyle w:val="1156"/>
              </w:rPr>
              <w:t xml:space="preserve">B1</w:t>
            </w:r>
            <w:r>
              <w:rPr>
                <w:rStyle w:val="1155"/>
                <w:rFonts w:hint="default"/>
              </w:rPr>
              <w:t xml:space="preserve">、赭曲霉毒素</w:t>
            </w:r>
            <w:r>
              <w:rPr>
                <w:rStyle w:val="1156"/>
              </w:rPr>
              <w:t xml:space="preserve">A</w:t>
            </w:r>
            <w:r>
              <w:rPr>
                <w:rStyle w:val="1155"/>
                <w:rFonts w:hint="default"/>
              </w:rPr>
              <w:t xml:space="preserve">、玉米赤霉烯酮、脱氧雪腐镰刀菌烯醇</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铅（以Pb计）、镉（以Cd计）、总汞（以Hg计）、无机砷（以As计）、苯并[a]芘</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铅（以Pb计）、铬（以Cr计）、赭曲霉毒素A</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铅（以Pb计）、苯甲酸及其钠盐（以苯甲酸计）、山梨酸及其钾盐（以山梨酸计）、脱氢乙酸及其钠盐（以脱氢乙酸计）、二氧化硫残留量、柠檬黄</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脱氢乙酸及其钠盐（以脱氢乙酸计）、糖精钠（以糖精计）、甜蜜素（以环己基氨基磺酸计）、安赛蜜、合成着色剂（柠檬黄、胭脂红）、菌落总数、大肠菌群、沙门氏菌、金黄色葡萄球菌</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米粉制品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苯甲酸及其钠盐（以苯甲酸计）、山梨酸及其钾盐（以山梨酸计）、脱氢乙酸及其钠盐（以脱氢乙酸计）、二氧化硫残留量、菌落总数、大肠菌群、沙门氏菌、金黄色葡萄球菌</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黄曲霉毒素B1、苯甲酸及其钠盐（以苯甲酸计）、山梨酸及其钾盐（以山梨酸计）、脱氢乙酸及其钠盐（以脱氢乙酸计）、菌落总数、大肠菌群、沙门氏菌、金黄色葡萄球菌</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酸值/酸价、过氧化值、黄曲霉毒素B1、铅（以Pb计）、苯并[a]芘、溶剂残留量、特丁基对苯二酚（TBHQ）</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酸值/酸价、过氧化值、黄曲霉毒素B1、铅（以Pb计）、苯并[a]芘、特丁基对苯二酚（TBHQ）</w:t>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芝麻油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酸值/酸价、过氧化值、铅（以Pb计）、苯并[a]芘、溶剂残留量、乙基麦芽酚</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橄榄油、油橄榄果渣油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酸值/酸价、过氧化值、铅（以Pb计）、溶剂残留量、特丁基对苯二酚（TBHQ）</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酸值/酸价、过氧化值、铅（以Pb计）、苯并[a]芘、溶剂残留量、特丁基对苯二酚（TBHQ）、乙基麦芽酚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酸值/酸价、过氧化值、铅（以Pb计）、苯并[a]芘、溶剂残留量、特丁基对苯二酚（TBHQ）</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食用植物调和油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酸价、过氧化值、铅（以Pb计）、苯并[a]芘、溶剂残留量、特丁基对苯二酚（TBHQ）、乙基麦芽酚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油茶籽油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酸值/酸价、过氧化值、铅（以Pb计）、苯并[a]芘、溶剂残留量、特丁基对苯二酚（TBHQ）</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酸值/酸价、过氧化值、铅（以Pb计）、苯并[a]芘、溶剂残留量、特丁基对苯二酚（TBHQ）</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酸价、过氧化值、丙二醛、铅（以Pb计）、苯并[a]芘</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酸价（以脂肪计）、过氧化值（以脂肪计）、铅（以Pb计）、大肠菌群、霉菌</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5"/>
                <w:rFonts w:hint="default"/>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5"/>
                <w:rFonts w:hint="default"/>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5"/>
                <w:rFonts w:hint="default"/>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黄豆酱、甜面酱等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氨基酸态氮、黄曲霉毒素B1、苯甲酸及其钠盐（以苯甲酸计）、山梨酸及其钾盐（以山梨酸计）、脱氢乙酸及其钠盐（以脱氢乙酸计）、防腐剂混合使用时各自用量占其最大使用量的比例之和、糖精钠（以糖精计）、三氯蔗糖、甜蜜素（以环己基氨基磺酸计）、安赛蜜、大肠菌群</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5"/>
                <w:rFonts w:hint="default"/>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氨基酸态氮（以氮计）、苯甲酸及其钠盐（以苯甲酸计）、山梨酸及其钾盐（以山梨酸计）、脱氢乙酸及其钠盐（以脱氢乙酸计）、糖精钠（以糖精计）、甜蜜素（以环己基氨基磺酸计）、三氯蔗糖</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香辛料调味油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酸价/酸值、过氧化值、铅（以Pb计）</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辣椒、花椒、辣椒粉、花椒粉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铅（以Pb计）、罗丹明B、苏丹红Ⅰ、苏丹红Ⅱ、苏丹用Ⅲ、苏丹红Ⅳ、脱氢乙酸及其钠盐（以脱氢乙酸计）、二氧化硫残留量、合成着色剂（柠檬黄、日落黄、胭脂红）、沙门氏菌</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其他香辛料调味品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脱氢乙酸及其钠盐（以脱氢乙酸计）、二氧化硫残留量、甜蜜素（以环己基氨基磺酸计）、合成着色剂（柠檬黄、日落黄、苋菜红、胭脂红、亮蓝）、丙溴磷、氯氰菊酯和高效氯氰菊酯、多菌灵、沙门氏菌</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5"/>
                <w:rFonts w:hint="default"/>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鸡粉、鸡精调味料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谷氨酸钠、呈味核苷酸二钠、铅（以Pb计）、糖精钠（以糖精计）、甜蜜素（以环己基氨基磺酸计）、菌落总数、大肠菌群</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苏丹红Ⅰ、苏丹红Ⅱ、苏丹用Ⅲ、苏丹红Ⅳ、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蛋黄酱、沙拉酱</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二氧化钛</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坚果与籽类的泥（酱）</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酸价/酸值、过氧化值、铅（以Pb计）、黄曲霉毒素B1</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脱氢乙酸及其钠盐（以脱氢乙酸计）、防腐剂混合使用时各自用量占其最大使用量的比例之和、甜蜜素（以环己基氨基磺酸计）、二氧化硫残留量</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火锅底料、麻辣烫底料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罂粟碱、吗啡、可待因、那可丁、苯甲酸及其钠盐（以苯甲酸计）、山梨酸及其钾盐（以山梨酸计）、脱氢乙酸及其钠盐（以脱氢乙酸计）、防腐剂混合使用时各自用量占其最大使用量的比例之和</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其他半固体调味料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罗丹明B、罂粟碱、吗啡、可待因、那可丁、苯甲酸及其钠盐（以苯甲酸计）、山梨酸及其钾盐（以山梨酸计）、脱氢乙酸及其钠盐（以脱氢乙酸计）、防腐剂混合使用时各自用量占其最大使用量的比例之和、甜蜜素（以环己基氨基磺酸计）、安赛蜜</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液体复合调味料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蚝油、虾油、鱼露</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氨基酸态氮、苯甲酸及其钠盐（以苯甲酸计）、山梨酸及其钾盐（以山梨酸计）、脱氢乙酸及其钠盐（以脱氢乙酸计）、防腐剂混合使用时各自用量占其最大使用量的比例之和、菌落总数、大肠菌群</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其他液体调味料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5"/>
                <w:rFonts w:hint="default"/>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7"/>
                <w:rFonts w:hint="default"/>
              </w:rPr>
              <w:t xml:space="preserve">谷氨酸钠</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普通食用盐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氯化钠、钡（以Ba计）、碘（以I计）、铅（以Pb计）、总砷（以As计）、镉（以Cd计）、总汞（以Hg计）、亚铁氰化钾/亚铁氰化钠（以亚铁氰根计）</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低钠食用盐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氯化钾、钡（以Ba计）、碘（以I计）、铅（以Pb计）、总砷（以As计）、镉（以Cd计）、总汞（以Hg计）、亚铁氰化钾/亚铁氰化钠（以亚铁氰根计）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风味食用盐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钡（以Ba计）、铅（以Pb计）、总砷（以As计）、镉（以Cd计）、总汞（以Hg计）、亚铁氰化钾/亚铁氰化钠（以亚铁氰根计）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特殊工艺食用盐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氯化钠、钡（以Ba计）、碘（以I计）、铅（以Pb计）、总砷（以As计）、镉（以Cd计）、总汞（以Hg计）、亚铁氰化钾/亚铁氰化钠（以亚铁氰根计）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铅（以Pb计）、总砷（以As计）、镉（以Cd计）、总汞（以Hg计）、亚铁氰化钾/亚铁氰化钠（以亚铁氰根计）、亚硝酸盐（以NaNO2计）</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预制肉制品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调理肉制品（非速冻）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铅（以Pb计）、苯甲酸及其钠盐（以苯甲酸计）、山梨酸及其钾盐（以山梨酸计）、脱氢乙酸及其钠盐（以脱氢乙酸计）、氯霉素</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过氧化值（以脂肪计）、铅（以Pb计）、总砷（以As计）、亚硝酸盐（以亚硝酸钠计）、苯甲酸及其钠盐（以苯甲酸计）、山梨酸及其钾盐（以山梨酸计）、胭脂红、诱惑红、苋菜红、酸性红、氯霉素</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亚硝酸盐（以亚硝酸钠计）、纳他霉素、氯霉素、大肠菌群、沙门氏菌、金黄色葡萄球菌、单核细胞增生李斯特氏菌、致泻大肠埃希氏菌</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镉（以Cd计）、铬（以Cr计）、总砷（以As计）、N-二甲基亚硝胺、亚硝酸盐（以亚硝酸钠计）、苯甲酸及其钠盐（以苯甲酸计）、山梨酸及其钾盐（以山梨酸计）、脱氢乙酸及其钠盐（以脱氢乙酸计）、纳他霉素、防腐剂混合使用时各自用量占其最大使用量的比例之和、柠檬黄、日落黄、胭脂红、糖精钠（以糖精计）、氯霉素、酸性橙Ⅱ、菌落总数、大肠菌群、沙门氏菌、金黄色葡萄球菌、单核细胞增生李斯特氏菌、致泻大肠埃希氏菌、商业无菌</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N-二甲基亚硝胺、亚硝酸盐（以亚硝酸钠计）、苯甲酸及其钠盐（以苯甲酸计）、山梨酸及其钾盐（以山梨酸计）、沙门氏菌、金黄色葡萄球菌、单核细胞增生李斯特氏菌、致泻大肠埃希氏菌</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铬（以Cr计）、N-二甲基亚硝胺、苯甲酸及其钠盐（以苯甲酸计）、山梨酸及其钾盐（以山梨酸计）、脱氢乙酸及其钠盐（以脱氢乙酸计）、防腐剂混合使用时各自用量占其最大使用量的比例之和、胭脂红、氯霉素、菌落总数、大肠菌群、沙门氏菌、金黄色葡萄球菌、单核细胞增生李斯特氏菌、致泻大肠埃希氏菌</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并[a]芘、N-二甲基亚硝胺、亚硝酸盐（以亚硝酸钠计）、苯甲酸及其钠盐（以苯甲酸计）、山梨酸及其钾盐（以山梨酸计）、纳他霉素、糖精钠（以糖精计）、柠檬黄、日落黄、胭脂红、氯霉素、菌落总数、大肠菌群、沙门氏菌、金黄色葡萄球菌、单核细胞增生李斯特氏菌、致泻大肠埃希氏菌</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亚硝酸盐（以亚硝酸钠计）、苯甲酸及其钠盐（以苯甲酸计）、山梨酸及其钾盐（以山梨酸计）、脱氢乙酸及其钠盐（以脱氢乙酸计）、纳他霉素、防腐剂混合使用时各自用量占其最大使用量的比例之和、胭脂红、诱惑红、氯霉素、菌落总数、大肠菌群、沙门氏菌、金黄色葡萄球菌、单核细胞增生李斯特氏菌、致泻大肠埃希氏菌</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巴氏杀菌乳</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蛋白质、酸度、三聚氰胺、铅（以Pb计）、丙二醇、沙门氏菌、金黄色葡萄球菌、菌落总数、大肠菌群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灭菌乳</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蛋白质、非脂乳固体、酸度、脂肪、三聚氰胺、铅（以Pb计）、丙二醇、商业无菌</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高温杀菌乳</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蛋白质、酸度、三聚氰胺、沙门氏菌、菌落总数、大肠菌群</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发酵乳</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脂肪、蛋白质、酸度、乳酸菌数、山梨酸及其钾盐（以山梨酸计）、三聚氰胺、铅（以Pb计）、金黄色葡萄球菌、沙门氏菌、大肠菌群、酵母、霉菌</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调制乳</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蛋白质、三聚氰胺、铅（以Pb计）、商业无菌、菌落总数、大肠菌群</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乳粉</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全脂乳粉、脱脂乳粉、部分脱脂乳粉、调制乳粉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蛋白质、脂肪、三聚氰胺、铅（以Pb计）、菌落总数、大肠菌群</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乳清粉和乳清蛋白粉（企业原料）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脱盐乳清粉、非脱盐乳清粉、浓缩乳清蛋白粉、分离乳清蛋白粉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蛋白质、三聚氰胺</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sz w:val="18"/>
                <w:szCs w:val="18"/>
              </w:rPr>
              <w:t xml:space="preserve">其他乳制品（浓缩乳制品、奶油、干酪、固态成型产品）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浓缩乳制品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蛋白质、三聚氰胺、商业无菌、菌落总数、大肠菌群</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稀奶油、奶油和无水奶油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脂肪、酸度、三聚氰胺、沙门氏菌、商业无菌、菌落总数、大肠菌群、霉菌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干酪、再制干酪、干酪制品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三聚氰胺、金黄色葡萄球菌、沙门氏菌、单核细胞增生李斯特氏菌、菌落总数、大肠菌群、霉菌</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奶片、奶条等固态成型产品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蛋白质、脱氢乙酸及其钠盐（以脱氢乙酸计）、三聚氰胺、沙门氏菌</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包装饮用水</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饮用天然矿泉水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界限指标、铅（以Pb计）、总砷（以As计）、镉（以Cd计）、总汞（以Hg计）、镍、溴酸盐、硝酸盐（以NO3-计）、亚硝酸盐（以NO2-计）、大肠菌群、铜绿假单胞菌</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饮用纯净水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电导率、耗氧量（以O2计）、铅（以Pb计）、总砷（以As计）、镉（以Cd计）、亚硝酸盐（以NO2-计）、余氯（游离氯）、溴酸盐、三氯甲烷、大肠菌群、铜绿假单胞菌</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其他类饮用水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耗氧量（以O2计）、铅（以Pb计）、总砷（以As计）、镉（以Cd计）、亚硝酸盐（以NO2-计）、余氯（游离氯）、溴酸盐、三氯甲烷、大肠菌群、铜绿假单胞菌</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展青霉素、苯甲酸及其钠盐（以苯甲酸计）、山梨酸及其钾盐（以山梨酸计）、脱氢乙酸及其钠盐（以脱氢乙酸计）、防腐剂混合使用时各自用量占其最大使用量的比例之和、安赛蜜、甜蜜素（以环己基氨基磺酸计）、合成着色剂（苋菜红、胭脂红、柠檬黄、日落黄、亮蓝）、菌落总数、大肠菌群、霉菌、酵母</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乳酸菌数、三聚氰胺、苯甲酸及其钠盐（以苯甲酸计）、山梨酸及其钾盐（以山梨酸计）、脱氢乙酸及其钠盐（以脱氢乙酸计）、防腐剂混合使用时各自用量占其最大使用量的比例之和、菌落总数、大肠菌群、霉菌、酵母、商业无菌</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二氧化碳气容量、苯甲酸及其钠盐（以苯甲酸计）、山梨酸及其钾盐（以山梨酸计）、防腐剂混合使用时各自用量占其最大使用量的比例之和、甜蜜素（以环己基氨基磺酸计）、阿斯巴甜、菌落总数、霉菌、酵母</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茶多酚、咖啡因、脱氢乙酸及其钠盐（以脱氢乙酸计）、菌落总数</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铅（以Pb计）、苯甲酸及其钠盐（以苯甲酸计）、山梨酸及其钾盐（以山梨酸计）、防腐剂混合使用时各自用量占其最大使用量的比例之和、糖精钠（以糖精计）、合成着色剂（苋菜红、胭脂红、柠檬黄、日落黄、亮蓝）、相同色泽着色剂混合使用时各自用量占其最大使用量的比例之和、菌落总数、大肠菌群、霉菌</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脱氢乙酸及其钠盐（以脱氢乙酸计）、防腐剂混合使用时各自用量占其最大使用量的比例之和、糖精钠（以糖精计）、甜蜜素（以环己基氨基磺酸计）、安赛蜜、合成着色剂（苋菜红、胭脂红、柠檬黄、日落黄、亮蓝）、菌落总数、大肠菌群、霉菌、酵母</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方便面</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油炸面、非油炸面、方便米粉（米线）、方便粉丝</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水分、酸价（以脂肪计）（KOH）、过氧化值（以脂肪计）、菌落总数、大肠菌群、霉菌</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苯甲酸及其钠盐（以苯甲酸计）、山梨酸及其钾盐（以山梨酸计）、脱氢乙酸及其钠盐（以脱氢乙酸计）、糖精钠（以糖精计）、甜蜜素（以环己基氨基磺酸计）、安赛蜜、三氯蔗糖、合成着色剂（柠檬黄、日落黄）、菌落总数、大肠菌群、霉菌、沙门氏菌、金黄色葡萄球菌</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其他方便食品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方便粥、方便盒饭、冷面及其他熟制方便食品等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铅（以Pb计）、黄曲霉毒素B1、苯甲酸及其钠盐（以苯甲酸计）、山梨酸及其钾盐（以山梨酸计）、糖精钠（以糖精计）、菌落总数、大肠菌群、霉菌、沙门氏菌、金黄色葡萄球菌</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山梨酸及其钾盐（以山梨酸计）、铝的残留量（干样品，以Al计）、脱氢乙酸及其钠盐（以脱氢乙酸计）、甜蜜素（以环己基氨基磺酸计）、糖精钠（以糖精计）、二氧化硫残留量、苯甲酸及其钠盐（以苯甲酸计）、合成着色剂（柠檬黄、日落黄、胭脂红、苋菜红、亮蓝、新红、赤藓红、靛蓝、诱惑红、酸性红、喹啉黄）、菌落总数、大肠菌群、金黄色葡萄球菌、沙门氏菌、霉菌</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畜禽水产罐头</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畜禽肉类罐头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铅（以Pb计）、镉（以Cd计）、苯甲酸及其钠盐（以苯甲酸计）、山梨酸及其钾盐（以山梨酸计）、糖精钠（以糖精计）、商业无菌</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水产动物类罐头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组胺、铅（以Pb计）、无机砷（以As计）、脱氢乙酸及其钠盐（以脱氢乙酸计）、苯甲酸及其钠盐（以苯甲酸计）、山梨酸及其钾盐（以山梨酸计）、糖精钠（以糖精计）、甜蜜素（以环己基氨基磺酸计）、商业无菌</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水果类罐头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蔬菜类罐头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铅（以Pb计）、合成着色剂（柠檬黄、日落黄、亮蓝）、脱氢乙酸及其钠盐（以脱氢乙酸计）、苯甲酸及其钠盐（以苯甲酸计）、山梨酸及其钾盐（以山梨酸计）、乙二胺四乙酸二钠、二氧化硫残留量、商业无菌</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食用菌罐头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铅（以Pb计）、脱氢乙酸及其钠盐（以脱氢乙酸计）、苯甲酸及其钠盐（以苯甲酸计）、乙二胺四乙酸二钠、二氧化硫残留量、商业无菌</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黄曲霉毒素B1、脱氢乙酸及其钠盐（以脱氢乙酸计）、苯甲酸及其钠盐（以苯甲酸计）、山梨酸及其钾盐（以山梨酸计）、乙二胺四乙酸二钠、商业无菌</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5"/>
                <w:rFonts w:hint="default"/>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5"/>
                <w:rFonts w:hint="default"/>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冰淇淋、雪糕、雪泥、冰棍、食用冰、甜味冰、其他类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蛋白质、甜蜜素（以环己基氨基磺酸计）、糖精钠（以糖精计）、安赛蜜、三氯蔗糖、菌落总数、大肠菌群、沙门氏菌、单核细胞增生李斯特氏菌</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速冻面米生制品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过氧化值（以脂肪计）、黄曲霉毒素B1、铅（以Pb计）、糖精钠（以糖精计）、甜蜜素（以环己基氨基磺酸计）、柠檬黄、日落黄、苋菜红、亮蓝</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速冻面米熟制品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过氧化值（以脂肪计）、黄曲霉毒素B1、铅（以Pb计）、糖精钠（以糖精计）、甜蜜素（以环己基氨基磺酸计）、柠檬黄、日落黄、苋菜红、亮蓝、菌落总数、大肠菌群、沙门氏菌、金黄色葡萄球菌、</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速冻调制食品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过氧化值（以脂肪计）、铅（以Pb计）、铬（以Cr计）、氯霉素、胭脂红、柠檬黄、日落黄、诱惑红、亚硝酸盐、菌落总数、大肠菌群、沙门氏菌、金黄色葡萄球菌、单核细胞增生李斯特氏菌</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挥发性盐基氮、苯甲酸及其钠盐（以苯甲酸计）、山梨酸及其钾盐（以山梨酸计）、菌落总数、大肠菌群、沙门氏菌、副溶血性弧菌、单核细胞增生李斯特氏菌</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速冻其他食品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铅（以Pb计）、黄曲霉毒素B1</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铅（以Pb计）、镉（以Cd计）、糖精钠（以糖精计）</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铅（以Pb计）、镉（以Cd计）、菌落总数、大肠菌群、霉菌、沙门氏菌、金黄色葡萄球菌</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膨化食品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含油型膨化食品和非含油型膨化食品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水分、酸价（以脂肪计）（KOH）、过氧化值（以脂肪计）、黄曲霉毒素B1、糖精钠（以糖精计）、苯甲酸及其钠盐（以苯甲酸计）、山梨酸及其钾盐（以山梨酸计）、甜蜜素（以环己基氨基磺酸计）、菌落总数、大肠菌群、沙门氏菌、金黄色葡萄球菌</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薯类食品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干制薯类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酸价（以脂肪计）（KOH）、过氧化值（以脂肪计）、菌落总数、大肠菌群、铅（以Pb计）、沙门氏菌、金黄色葡萄球菌</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冷冻薯类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薯泥（酱）类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铅（以Pb计）、苯甲酸及其钠盐（以苯甲酸计）、山梨酸及其钾盐（以山梨酸计）、商业无菌、沙门氏菌、金黄色葡萄球菌</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薯粉类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其他薯类食品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铅（以Pb计）、沙门氏菌、金黄色葡萄球菌</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sz w:val="18"/>
                <w:szCs w:val="18"/>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巧克力及巧克力制品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巧克力、巧克力制品、代可可脂巧克力及代可可脂巧克力制品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铅（以Pb计）、沙门氏菌</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铅（以Pb计）、山梨酸及其钾盐（以山梨酸计）、苯甲酸及其钠盐（以苯甲酸计）、糖精钠（以糖精计）、甜蜜素（以环己基氨基磺酸计）、菌落总数、大肠菌群、霉菌、酵母</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绿茶、红茶、乌龙茶、黄茶、白茶、黑茶、花茶、袋泡茶、紧压茶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铅（以Pb计）、草甘膦、吡虫啉、乙酰甲胺磷、联苯菊酯、灭多威、三氯杀螨醇、氰戊菊酯和S-氰戊菊酯、甲拌磷、克百威、水胺硫磷、氧乐果、毒死蜱、啶虫脒、多菌灵、茚虫威、柠檬黄、日落黄</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含茶制品和代用茶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速溶茶类、其它含茶制品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铅（以Pb计）、菌落总数、大肠菌群、霉菌、霉菌及酵母</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铅（以Pb计）、二氧化硫残留量、啶虫脒、克百威、毒死蜱、吡虫啉、氯氟氰菊酯和高效氯氟氰菊酯、霉菌</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蒸馏酒</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白酒、白酒（液态）、白酒（原酒）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酒精度、铅（以Pb计）、甲醇、氰化物（以HCN计）、糖精钠（以糖精计）、甜蜜素（以环己基氨基磺酸计）、三氯蔗糖、安赛蜜</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发酵酒</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酒精度、氨基酸态氮、苯甲酸及其钠盐（以苯甲酸计）、山梨酸及其钾盐（以山梨酸计）、糖精钠（以糖精计）、甜蜜素（以环己基氨基磺酸计）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酒精度、甲醛</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酒精度、甲醇、苯甲酸及其钠盐（以苯甲酸计）、山梨酸及其钾盐（以山梨酸计）、糖精钠（以糖精计）、二氧化硫残留量、甜蜜素（以环己基氨基磺酸计）、三氯蔗糖、柠檬黄、日落黄、新红、胭脂红、赤藓红、苋菜红、诱惑红、酸性红、亮蓝</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酒精度、展青霉素、糖精钠（以糖精计）、甜蜜素（以环己基氨基磺酸计）、安赛蜜、二氧化硫残留量、酸性红</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以蒸馏酒及食用酒精为酒基的配制酒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酒精度、甲醇、氰化物（以HCN计）、甜蜜素（以环己基氨基磺酸计）、安赛蜜</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以发酵酒为酒基的配制酒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酒精度、苯甲酸及其钠盐（以苯甲酸计）、山梨酸及其钾盐（以山梨酸计）、甜蜜素（以环己基氨基磺酸计）、防腐剂混合使用时各自用量占其最大使用量的比例之和、安赛蜜</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酒精度、铅（以Pb计）、甲醇、氰化物（以HCN计）、三氯蔗糖</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酒精度、苯甲酸及其钠盐（以苯甲酸计）、山梨酸及其钾盐（以山梨酸计）、糖精钠（以糖精计）、甜蜜素（以环己基氨基磺酸计）、安赛蜜</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亚硝酸盐（以NaNO2计）、苯甲酸及其钠盐（以苯甲酸计）、山梨酸及其钾盐（以山梨酸计）、脱氢乙酸及其钠盐（以脱氢乙酸计）、糖精钠（以糖精计）、甜蜜素（以环己基氨基磺酸计）、二氧化硫残留量、防腐剂混合使用时各自用量占其最大使用量的比例之和、安赛蜜、合成着色剂（柠檬黄、日落黄）、大肠菌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铅（以Pb计）、苯甲酸及其钠盐（以苯甲酸计）、山梨酸及其钾盐（以山梨酸计）、二氧化硫残留量、合成着色剂（柠檬黄、日落黄、胭脂红、苋菜红、亮蓝）</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铅（以Pb计）、苯甲酸及其钠盐（以苯甲酸计）、山梨酸及其钾盐（以山梨酸计）、二氧化硫残留量</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食用菌制品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干制食用菌</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铅（以Pb计）、总砷（以As计）、镉（以Cd计）、总汞（以Hg计）、甲基汞（以Hg计）、苯甲酸及其钠盐（以苯甲酸计）</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腌渍食用菌</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苯甲酸及其钠盐（以苯甲酸计）、山梨酸及其钾盐（以山梨酸计）、脱氢乙酸及其钠盐（以脱氢乙酸计）、防腐剂混合使用时各自用量占其最大使用量的比例之和</w:t>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8"/>
                <w:rFonts w:hint="default"/>
              </w:rPr>
              <w:t xml:space="preserve">蜜饯</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蜜饯类、凉果类、果脯类、话化类、果糕类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脱氢乙酸及其钠盐（以脱氢乙酸计）、防腐剂混合使用时各自用量占其最大使用量的比例之和、糖精钠（以糖精计）、甜蜜素（以环己基氨基磺酸计）、安赛蜜、二氧化硫残留量、亮蓝、柠檬黄、日落黄、苋菜红、胭脂红、相同色泽着色剂混合使用时各自用量占其最大使用量的比例之和、乙二胺四乙酸二钠、菌落总数、大肠菌群、霉菌</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8"/>
                <w:rFonts w:hint="default"/>
              </w:rPr>
              <w:t xml:space="preserve">水果干制品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水果干制品（含干枸杞）</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啶虫脒、吡虫啉、克百威、炔螨特、毒死蜱、氯氟氰菊酯和高效氯氟氰菊酯、氯氰菊酯和高效氯氰菊酯、苯甲酸及其钠盐（以苯甲酸计）、山梨酸及其钾盐（以山梨酸计）、脱氢乙酸及其钠盐（以脱氢乙酸计）、糖精钠（以糖精计）、二氧化硫残留量、亮蓝、柠檬黄、日落黄、苋菜红、胭脂红、菌落总数、大肠菌群、霉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铅（以Pb计）、脱氢乙酸及其钠盐（以脱氢乙酸计）、菌落总数、大肠菌群、霉菌、商业无菌</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开心果、杏仁、扁桃仁、松仁、瓜子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铅（以Pb计）、黄曲霉毒素B1、苯甲酸及其钠盐（以苯甲酸计）、山梨酸及其钾盐（以山梨酸计）、脱氢乙酸及其钠盐（以脱氢乙酸计）、二氧化硫残留量、糖精钠（以糖精计）、甜蜜素（以环己基氨基磺酸计）、安赛蜜、大肠菌群、霉菌</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铅（以Pb计）、黄曲霉毒素B1、苯甲酸及其钠盐（以苯甲酸计）、山梨酸及其钾盐（以山梨酸计）、脱氢乙酸及其钠盐（以脱氢乙酸计）、二氧化硫残留量、糖精钠（以糖精计）、甜蜜素（以环己基氨基磺酸计）、安赛蜜、大肠菌群、霉菌</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铅（以Pb计）、苯甲酸及其钠盐（以苯甲酸计）、山梨酸及其钾盐（以山梨酸计）、菌落总数、大肠菌群、沙门氏菌</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菌落总数、大肠菌群、沙门氏菌</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菌落总数、大肠菌群、沙门氏菌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铅（以Pb计）、苯甲酸及其钠盐（以苯甲酸计）、山梨酸及其钾盐（以山梨酸计）、脱氢乙酸及其钠盐（以脱氢乙酸计）、菌落总数、大肠菌群、沙门氏菌</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可可及焙烤咖啡产品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咖啡因、铅（以Pb计）、赭曲霉毒素A</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铅（以Pb计）、沙门氏菌</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食糖</w:t>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蔗糖分、还原糖分、色值、干燥失重、二氧化硫残留量、螨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总糖分、还原糖分、色值、干燥失重、二氧化硫残留量、螨</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赤砂糖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总糖分、不溶于水杂质、干燥失重、二氧化硫残留量、螨、合成着色剂（柠檬黄、新红、苋菜红、胭脂红、日落黄、诱惑红、酸性红、喹啉黄、赤藓红）</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总糖分、不溶于水杂质、干燥失重、二氧化硫残留量、螨、合成着色剂（柠檬黄、新红、苋菜红、胭脂红、日落黄、诱惑红、酸性红、喹啉黄、赤藓红）</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蔗糖分、还原糖分、色值、干燥失重、二氧化硫残留量、螨、合成着色剂（柠檬黄、新红、苋菜红、胭脂红、日落黄、诱惑红、酸性红、喹啉黄、赤藓红）</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冰片糖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总糖分、还原糖分、干燥失重、二氧化硫残留量、螨、合成着色剂（柠檬黄、新红、苋菜红、胭脂红、日落黄、诱惑红、酸性红、喹啉黄、赤藓红）</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方糖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蔗糖分、还原糖分、色值、干燥失重、二氧化硫残留量、螨</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其他糖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蔗糖分、总糖分、色值、还原糖分、干燥失重、二氧化硫残留量、螨、合成着色剂（柠檬黄、新红、苋菜红、胭脂红、日落黄、诱惑红、酸性红、喹啉黄、赤藓红）</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干制水产品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藻类干制品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铅（以Pb计）、菌落总数、大肠菌群</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预制动物性水产干制品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过氧化值（以脂肪计）、铅（以Pb计）、镉（以Cd计）、多氯联苯、N-二甲基亚硝胺、苯甲酸及其钠盐（以苯甲酸计）、山梨酸及其钾盐（以山梨酸计）、合成着色剂（柠檬黄、胭脂红、日落黄）</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盐渍鱼</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过氧化值（以脂肪计）、组胺、铅（以Pb计）、镉（以Cd计）、多氯联苯、N-二甲基亚硝胺、苯甲酸及其钠盐（以苯甲酸计）、山梨酸及其钾盐（以山梨酸计）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盐渍藻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鱼糜制品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预制鱼糜制品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挥发性盐基氮、铅（以Pb计）、多氯联苯、苯甲酸及其钠盐（以苯甲酸计）、山梨酸及其钾盐（以山梨酸计）、脱氢乙酸及其钠盐（以脱氢乙酸计）</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铅（以Pb计）、镉（以Cd计）、多氯联苯、N-二甲基亚硝胺、苯甲酸及其钠盐（以苯甲酸计）、山梨酸及其钾盐（以山梨酸计）、甜蜜素（以环己基氨基磺酸计）、脱氢乙酸及其钠盐（以脱氢乙酸计）</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生食水产品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生食动物性水产品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挥发性盐基氮、铅（以Pb计）、多氯联苯、苯甲酸及其钠盐（以苯甲酸计）、山梨酸及其钾盐（以山梨酸计）、铝的残留量（以即食海蜇中Al计）、菌落总数、大肠菌群、沙门氏菌、副溶血性弧菌、单核细胞增生李斯特氏菌</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铅（以Pb计）、苯甲酸及其钠盐（以苯甲酸计）、山梨酸及其钾盐（以山梨酸计）、脱氢乙酸及其钠盐（以脱氢乙酸计）、柠檬黄、防腐剂混合使用时各自用量占其最大使用量的比例之和、菌落总数</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铅（以Pb计）、菌落总数、大肠菌群、霉菌和酵母、二氧化硫残留量、脱氢乙酸及其钠盐（以脱氢乙酸计）、葛根素</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淀粉制品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粉丝粉条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铝的残留量（干样品，以Al计）、二氧化硫残留量、合成着色剂（柠檬黄、新红、苋菜红、靛蓝、胭脂红、日落黄、诱惑红、亮蓝、酸性红、喹啉黄、赤藓红）</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其他淀粉制品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铝的残留量（干样品，以Al计）、二氧化硫残留量、合成着色剂（柠檬黄、新红、苋菜红、靛蓝、胭脂红、日落黄、诱惑红、亮蓝、酸性红、喹啉黄、赤藓红）、相同色泽着色剂混合使用时各自用量占其最大使用量的比例之和</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总砷（以As计）、葡萄糖含量（以干基计，质量分数）、IMO含量（占干物质，质量分数）、IG2+P+IG3含量（占干物质，质量分数）、果糖（占干基比）、果糖+葡萄糖（占干基比）、5-羟甲基糠醛（以吸光度计）、果糖+葡萄糖含量（以干物质计）、果糖含量（以干物质计）、麦芽糖含量（以干物质计，质量分数）、干物质（固形物）、硫酸灰分</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铅（以Pb计）、苯甲酸及其钠盐（以苯甲酸计）、山梨酸及其钾盐（以山梨酸计）、糖精钠（以糖精计）、甜蜜素（以环己基氨基磺酸计）、安赛蜜、铝的残留量（干样品，以Al计）、丙酸及其钠盐、钙盐（以丙酸计）、脱氢乙酸及其钠盐（以脱氢乙酸计）、纳他霉素、三氯蔗糖、丙二醇、合成着色剂（柠檬黄、日落黄、胭脂红、苋菜红、亮蓝、新红、赤藓红、靛蓝、诱惑红、酸性红、喹啉黄）、防腐剂混合使用时各自用量占其最大使用量的比例之和、菌落总数、大肠菌群、金黄色葡萄球菌、沙门氏菌、霉菌</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糖精钠（以糖精计）、苯甲酸及其钠盐（以苯甲酸计）、山梨酸及其钾盐（以山梨酸计）、铝的残留量（干样品，以Al计）、丙酸及其钠盐、钙盐（以丙酸计）、脱氢乙酸及其钠盐（以脱氢乙酸计）、纳他霉素、甜蜜素（以环己基氨基磺酸计）、合成着色剂（柠檬黄、日落黄、胭脂红、苋菜红、亮蓝、新红、赤藓红、靛蓝、诱惑红、酸性红、喹啉黄）、防腐剂混合使用时各自用量占其最大使用量的比例之和、菌落总数、大肠菌群、金黄色葡萄球菌、沙门氏菌、霉菌</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rStyle w:val="1154"/>
                <w:rFonts w:hint="default"/>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center"/>
              <w:widowControl/>
              <w:rPr>
                <w:rStyle w:val="1154"/>
                <w:rFonts w:hint="default"/>
              </w:rPr>
            </w:pPr>
            <w:r>
              <w:rPr>
                <w:rStyle w:val="1154"/>
                <w:rFonts w:hint="default"/>
              </w:rPr>
              <w:t xml:space="preserve">过氧化值（以脂肪计）、甜蜜素（以环己基氨基磺酸计）、山梨酸及其钾盐（以山梨酸计）、脱氢乙酸及其钠盐（以脱氢乙酸计）、糖精钠（以糖精计）、安赛蜜、菌落总数、大肠菌群、金黄色葡萄球菌、沙门氏菌、霉菌、商业无菌</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腐乳、豆豉、纳豆等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黄曲霉毒素B₁、苯甲酸及其钠盐（以苯甲酸计）、山梨酸及其钾盐（以山梨酸计）、脱氢乙酸及其钠盐（以脱氢乙酸计）、糖精钠（以糖精计）、甜蜜素（以环己基氨基磺酸计）、铝的残留量（干样品，以Al计）、大肠菌群</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非发酵性豆制品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腐竹、油皮及其再制品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蛋白质、铅（以Pb计）、碱性嫩黄、苯甲酸及其钠盐（以苯甲酸计）、山梨酸及其钾盐（以山梨酸计）、脱氢乙酸及其钠盐（以脱氢乙酸计）、二氧化硫残留量、铝的残留量（干样品，以Al计）、柠檬黄、日落黄</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豆干、豆腐、豆皮等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Al计）、柠檬黄、日落黄、大肠菌群、金黄色葡萄球菌</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其他豆制品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大豆蛋白类制品等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铅（以Pb计）、苯甲酸及其钠盐（以苯甲酸计）、山梨酸及其钾盐（以山梨酸计）、脱氢乙酸及其钠盐（以脱氢乙酸计）、糖精钠（以糖精计）、三氯蔗糖、铝的残留量（干样品，以Al计）、大肠菌群</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果糖和葡萄糖、蔗糖、铅（以Pb计）、山梨酸及其钾盐（以山梨酸计）、氯霉素、呋喃西林代谢物、呋喃唑酮代谢物、甲硝唑、双甲脒、氟胺氰菊酯、诺氟沙星、氧氟沙星、培氟沙星、菌落总数、霉菌计数、嗜渗酵母计数</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9"/>
              </w:rPr>
              <w:t xml:space="preserve">10-</w:t>
            </w:r>
            <w:r>
              <w:rPr>
                <w:rStyle w:val="1154"/>
                <w:rFonts w:hint="default"/>
              </w:rPr>
              <w:t xml:space="preserve">羟基</w:t>
            </w:r>
            <w:r>
              <w:rPr>
                <w:rStyle w:val="1159"/>
              </w:rPr>
              <w:t xml:space="preserve">-2-</w:t>
            </w:r>
            <w:r>
              <w:rPr>
                <w:rStyle w:val="1154"/>
                <w:rFonts w:hint="default"/>
              </w:rPr>
              <w:t xml:space="preserve">癸烯酸、酸度、呋喃西林代谢物</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铅（以Pb计）、菌落总数、大肠菌群、霉菌</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山梨酸及其钾盐（以山梨酸计）、菌落总数、合成着色剂（柠檬黄、日落黄）</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氨基酸、10-羟基-2-癸烯酸、蛋白质、二十二碳六烯酸、二十碳五烯酸、泛酸、钙、还原糖、肌醇、赖氨酸、绿原酸、铁、维生素A、维生素B1、维生素B12、维生素B2、维生素B6、维生素C、维生素D、维生素D3、维生素E、硒、锌、烟酸、烟酰胺、叶酸、免疫球蛋白IgG、总黄酮、总皂苷、总蒽醌、吡啶甲酸铬、水分、可溶性固形物、酸价、过氧化值、崩解时限、灰分、铅（Pb）、总砷（As）、总汞（Hg）、硬胶囊壳中的铬、菌落总数、大肠菌群、霉菌和酵母、金黄色葡萄球菌、沙门氏菌</w:t>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婴幼儿辅助食品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婴幼儿谷类辅助食品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婴幼儿谷物辅助食品、婴幼儿高蛋白谷物辅助食品、婴幼儿生制类谷物辅助食品、婴幼儿饼干或其他婴幼儿谷物辅助食品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能量、蛋白质、脂肪、亚油酸、月桂酸占总脂肪的比值、肉豆蔻酸占总脂肪的比值、维生素A、维生素D、维生素B1、钙、铁、锌、钠、维生素E、维生素B2、维生素B6、维生素B12、烟酸、叶酸、泛酸、维生素C、生物素、磷、碘、钾、水分、不溶性膳食纤维、脲酶活性定性测定、铅（以Pb计）、无机砷（以As计）、锡（以Sn计）、镉（以Cd计）、黄曲霉毒素B1、硝酸盐（以NaNO3计）、亚硝酸盐（以NaNO2计）、菌落总数、大肠菌群、沙门氏菌、二十二碳六烯酸、花生四烯酸、金黄色葡萄球菌</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婴幼儿辅助食品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婴幼儿罐装辅助食品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泥（糊）状罐装食品、颗粒状罐装食品、汁类罐装食品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蛋白质、脂肪、总钠、铅（以Pb计）、无机砷（以As计）、总汞（以Hg计）、锡（以Sn计）、硝酸盐（以NaNO3计）、亚硝酸盐（以NaNO2计）、商业无菌、霉菌</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辅食营养素补充食品、辅食营养素补充片、辅食营养素撒剂</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钙、铁、锌、维生素A、维生素D、维生素B1、维生素B2、维生素K1、烟酸（烟酰胺）、维生素B6、叶酸、维生素B12、泛酸、胆碱、生物素、维生素C、二十二碳六烯酸、脲酶活性定性、铅（以Pb计）、总砷（以As计）、黄曲霉毒素M1、黄曲霉毒素B1、硝酸盐（以NaNO3计）、亚硝酸盐（以NaNO2计）、菌落总数、大肠菌群、沙门氏菌、金黄色葡萄球菌</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孕妇及乳母营养补充食品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铁、维生素A、维生素D、叶酸、维生素B12、钙、镁、锌、硒、维生素E、维生素K、维生素B1、维生素B2、维生素B6、烟酸（烟酰胺）、泛酸、胆碱、生物素、维生素C、二十二碳六烯酸、脲酶活性定性、铅（以Pb计）、总砷（以As计）、硝酸盐（以NaNO3计）、亚硝酸盐（以NaNO2计）、黄曲霉毒素M1、黄曲霉毒素B1、大肠菌群、沙门氏菌、金黄色葡萄球菌</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运动营养食品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咖啡因、肌酸、肽类、维生素A、维生素D、维生素E、维生素B1、维生素B2、维生素B6、维生素B12、维生素C、叶酸、烟酸、生物素、泛酸、钙、钠、钾、镁、铁、锌、硒、铜、碘、锰、磷、钼、铬、左旋肉碱、牛磺酸、铅（以Pb计）、总砷（以As计）、黄曲霉毒素M1、黄曲霉毒素B1、沙门氏菌、金黄色葡萄球菌</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特殊医学用途婴儿配方食品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特殊医学用途婴儿配方食品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脂肪、亚油酸、α-亚麻酸、亚油酸与α-亚麻酸比值、终产品脂肪中月桂酸和肉豆蔻酸（十四烷酸）总量占总脂肪酸的比值、芥酸与总脂肪酸比值、反式脂肪酸与总脂肪酸比值、碳水化合物、维生素A、维生素D、维生素E、维生素K1、维生素B1、维生素B2、维生素B6、维生素B12、烟酸（烟酰胺）、叶酸、泛酸、维生素C、生物素、钠、钾、铜、镁、铁、锌、锰、钙、磷、钙磷比值、碘、氯、硒、铬、钼、胆碱、肌醇、牛磺酸、左旋肉碱</w:t>
            </w:r>
            <w:r>
              <w:rPr>
                <w:sz w:val="18"/>
                <w:szCs w:val="18"/>
              </w:rPr>
              <w:t xml:space="preserve">、二十二碳六烯酸与总脂肪酸比、二十碳四烯酸与总脂肪酸比、二十二碳六烯酸（22:6 n-3）与二十碳四烯酸（20:4 n-6）的比、长链不饱和脂肪酸中二十碳五烯酸（20:5 n-3）的量与二十二碳六烯酸的量的比、二十二碳六烯酸、二十碳四烯酸、水分、灰分、杂质度、脲酶活性定性测定、核苷酸、叶黄素、铅（以Pb计）、锡（以Sn计）、黄曲霉毒素M1、黄曲霉毒素B1、硝酸盐（以NaNO3计）、亚硝酸盐（以NaNO2计）、三聚氰胺、菌落总数、大肠菌群、沙门氏菌、金黄色葡萄球菌、克罗诺杆菌属（阪崎肠杆菌）、商业无菌、果聚糖</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蛋白质、亚油酸供能比、α-亚麻</w:t>
            </w:r>
            <w:r>
              <w:rPr>
                <w:sz w:val="18"/>
                <w:szCs w:val="18"/>
              </w:rPr>
              <w:t xml:space="preserve">酸供能比、维生素A、维生素D、维生素E、维生素K1、维生素B1、维生素B2、维生素B6、维生素B12、烟酸（烟酰胺）、叶酸、泛酸、维生素C、生物素、钠、钾、铜、镁、铁、锌、锰、钙、磷、碘、氯、硒、铬、钼、氟、胆碱、肌醇、牛磺酸、左旋肉碱、二十二碳六烯酸与总脂肪酸比、二十碳四烯酸与总脂肪酸比、二十二碳六烯酸、二十碳四烯酸、核苷酸、铅（以Pb计）、锡（以Sn计）、黄曲霉毒素M1、黄曲霉毒素B1、硝酸盐（以NaNO3计）、亚硝酸盐（以NaNO2计）、三聚氰胺、菌落总数、大肠菌群、沙门氏菌、金黄色葡萄球菌、商业无菌</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非全营养配方食品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锡（以Sn计）、黄曲霉毒素M1、黄曲霉毒素B1、硝酸盐（以NaNO3计）、亚硝酸盐（以NaNO2计）、三聚氰胺、菌落总数、大肠菌群、沙门氏菌、金黄色葡萄球菌、商业无菌、企业标准/注册的产品技术要求中规定的质量指标</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特定全营养配方食品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以Pb计）、锡（以Sn计）、黄曲霉毒素M1、黄曲霉毒素B1、硝酸盐（以NaNO3计）、亚硝酸盐（以NaNO2计）、三聚氰胺、菌落总数、大肠菌群、沙门氏菌、金黄色葡萄球菌、商业无菌、企业标准/注册的产品技术要求中规定的质量指标</w: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5"/>
                <w:rFonts w:hint="default"/>
              </w:rPr>
              <w:t xml:space="preserve">婴幼儿配方食品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sz w:val="18"/>
                <w:szCs w:val="18"/>
              </w:rPr>
              <w:t xml:space="preserve">婴幼儿配方食品（湿法工艺、干法工艺、干湿法混合工艺）</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乳基婴儿配方食品、豆基婴儿配方食品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脂肪、碳水化合物、乳糖占碳水化合物总量、亚油酸、α-亚麻酸、亚油酸与α-亚麻酸比值、终产品脂肪中月桂酸和肉豆蔻酸（十四烷酸）总量占总脂肪酸的比值、芥酸与总脂肪酸比值、反式脂肪酸与总脂肪酸比值、维生素A、维生素D、维生素E、维生素K1、维生素B1、维生素B2、维生素B6、维生素B12、烟酸（烟酰胺）、叶酸、泛酸、维生素C、生物素、钠、钾、铜、镁、铁、锌、锰、钙、磷、钙磷比值、碘、氯、硒、胆碱、肌醇、牛磺酸、左旋肉碱、二十二碳六烯酸（DHA）、二十二碳六烯酸（22:6 n-3）与总脂肪</w:t>
            </w:r>
            <w:r>
              <w:rPr>
                <w:sz w:val="18"/>
                <w:szCs w:val="18"/>
              </w:rPr>
              <w:t xml:space="preserve">酸比、二十碳四烯酸（AA/ARA）、二十碳四烯酸与总脂肪酸比、二十二碳六烯酸（22:6 n-3）与二十碳四烯酸（20:4 n-6）的比、二十碳五烯酸（20:5 n-3）的量与二十二碳六烯酸（22:6 n-3）的量的比、果聚糖、水分、灰分、杂质度、叶黄素、核苷酸、脲酶活性定性测定、铅（以Pb计）、黄曲霉毒素B1或黄曲霉毒素M1、硝酸盐（以NaNO3计）、亚硝酸盐（以NaNO2计）、三聚氰胺、香兰素、乙基香兰素、菌落总数、大肠菌群、金黄色葡萄球菌、沙门氏菌、阪崎肠杆菌/克罗诺杆菌属（阪崎肠杆菌）、锡、果糖、蔗糖</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婴幼儿配方食品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sz w:val="18"/>
                <w:szCs w:val="18"/>
              </w:rPr>
              <w:t xml:space="preserve">婴幼儿配方食品（湿法工艺、干法工艺、干湿法混合工艺）</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较大婴儿配方食品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乳基较大婴儿配方食品、豆基较大婴儿配方食品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脂肪、亚油酸、α-亚麻酸、亚油酸与α-亚麻酸比值、终产品脂肪中月桂酸和肉豆蔻酸（十四烷酸）总量占总脂肪酸的比值、反式脂肪酸与总脂肪酸比值、芥酸与总脂肪酸比值、碳水化合物、乳糖占碳水化合物总量、维生素A、维生素D、维生素E、维生素K1、维生素B1、维生素B2、维生素B6、维生素B12、烟酸（烟酰胺）、叶酸、泛酸、维生素C、生物素、钠、钾、铜、镁、铁、锌、钙、磷、钙磷比值、碘、氯、锰、硒、胆碱、肌醇、牛磺酸、左旋肉碱、二十二碳</w:t>
            </w:r>
            <w:r>
              <w:rPr>
                <w:sz w:val="18"/>
                <w:szCs w:val="18"/>
              </w:rPr>
              <w:t xml:space="preserve">六烯酸（DHA）、二十二碳六烯酸（22:6 n-3）与总脂肪酸比、二十碳四烯酸（AA/ARA）、二十碳四烯酸与总脂肪酸比、二十二碳六烯酸（22:6 n-3）与二十碳四烯酸（20:4 n-6）的比、二十碳五烯酸（20:5 n-3）的量与二十二碳六烯酸（22:6 n-3）的量的比、水分、灰分、杂质度、叶黄素、核苷酸、果聚糖、三聚氰胺、铅（以Pb计）、硝酸盐（以NaNO3计）、亚硝酸盐（以NaNO2计）、脲酶活性定性测定、黄曲霉毒素B1或黄曲霉毒素M1、菌落总数、大肠菌群、沙门氏菌、金黄色葡萄球菌、锡、果糖、蔗糖</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幼儿配方食品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幼儿配方食品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蛋白质、脂肪、亚油酸、α-亚麻酸、亚油酸与α-亚麻酸比值、乳糖占碳水化合物总量、反式脂肪酸与总脂肪酸比值、碳水化合物、维生素A、维生素D、维生素E、维生素K1、维生素B1、维生素B2、</w:t>
            </w:r>
            <w:r>
              <w:rPr>
                <w:sz w:val="18"/>
                <w:szCs w:val="18"/>
              </w:rPr>
              <w:t xml:space="preserve">维生素B6、维生素B12、烟酸（烟酰胺）、叶酸、泛酸、维生素C、生物素、钠、钾、铜、镁、铁、锌、钙、磷、钙磷比值、碘、氯、锰、硒、胆碱、肌醇、牛磺酸、左旋肉碱、二十二碳六烯酸（DHA）、二十二碳六烯酸（22:6 n-3）与总脂肪酸比、二十碳四烯酸（AA/ARA）、二十碳四烯酸与总脂肪酸比、水分、灰分、杂质度、叶黄素、核苷酸、果聚糖、三聚氰胺、铅（以Pb计）、硝酸盐（以NaNO3计）、亚硝酸盐（以NaNO2计）、脲酶活性定性测定、黄曲霉毒素B1或黄曲霉毒素M1、菌落总数、大肠菌群、沙门氏菌、金黄色葡萄球菌、锡</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sz w:val="18"/>
                <w:szCs w:val="18"/>
              </w:rPr>
              <w:t xml:space="preserve">小麦粉制品</w:t>
            </w:r>
            <w:r/>
          </w:p>
          <w:p>
            <w:pPr>
              <w:jc w:val="center"/>
              <w:widowControl/>
              <w:rPr>
                <w:sz w:val="18"/>
                <w:szCs w:val="18"/>
              </w:rPr>
            </w:pPr>
            <w:r>
              <w:rPr>
                <w:sz w:val="18"/>
                <w:szCs w:val="18"/>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馒头花卷（自制）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苯甲酸及其钠盐（以苯甲酸计）、山梨酸及其钾盐（以山梨酸计）、糖精钠（以糖精计）、脱氢乙酸及其钠盐（以脱氢乙酸计）、甜蜜素（以环己基氨基磺酸计）</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rFonts w:ascii="宋体" w:hAnsi="宋体" w:cs="宋体"/>
                <w:sz w:val="18"/>
                <w:szCs w:val="18"/>
              </w:rPr>
            </w:pPr>
            <w:r>
              <w:rPr>
                <w:rFonts w:ascii="宋体" w:hAnsi="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包子（自制）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苯甲酸及其钠盐（以苯甲酸计）、山梨酸及其钾盐（以山梨酸计）、糖精钠（以糖精计）、脱氢乙酸及其钠盐（以脱氢乙酸计）、甜蜜素（以环己基氨基磺酸计）</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rFonts w:ascii="宋体" w:hAnsi="宋体" w:cs="宋体"/>
                <w:sz w:val="18"/>
                <w:szCs w:val="18"/>
              </w:rPr>
            </w:pPr>
            <w:r>
              <w:rPr>
                <w:rFonts w:ascii="宋体" w:hAnsi="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油饼油条（自制）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铝的残留量（干样品,以Al计）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sz w:val="18"/>
                <w:szCs w:val="18"/>
              </w:rPr>
              <w:t xml:space="preserve">肉制品</w:t>
            </w:r>
            <w:r/>
          </w:p>
          <w:p>
            <w:pPr>
              <w:jc w:val="center"/>
              <w:widowControl/>
              <w:rPr>
                <w:sz w:val="18"/>
                <w:szCs w:val="18"/>
              </w:rPr>
            </w:pPr>
            <w:r>
              <w:rPr>
                <w:sz w:val="18"/>
                <w:szCs w:val="18"/>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sz w:val="18"/>
                <w:szCs w:val="18"/>
              </w:rPr>
              <w:t xml:space="preserve">熟肉制品</w:t>
            </w:r>
            <w:r/>
          </w:p>
          <w:p>
            <w:pPr>
              <w:jc w:val="center"/>
              <w:widowControl/>
              <w:rPr>
                <w:sz w:val="18"/>
                <w:szCs w:val="18"/>
              </w:rPr>
            </w:pPr>
            <w:r>
              <w:rPr>
                <w:sz w:val="18"/>
                <w:szCs w:val="18"/>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肉冻皮冻（自制）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铬（以Cr计）</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熏烧烤肉类（自制）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N-二甲基亚硝胺、苯并[α]芘、铅（以Pb计）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sz w:val="18"/>
                <w:szCs w:val="18"/>
              </w:rPr>
              <w:t xml:space="preserve">调味料</w:t>
            </w:r>
            <w:r/>
          </w:p>
          <w:p>
            <w:pPr>
              <w:jc w:val="center"/>
              <w:widowControl/>
              <w:rPr>
                <w:sz w:val="18"/>
                <w:szCs w:val="18"/>
              </w:rPr>
            </w:pPr>
            <w:r>
              <w:rPr>
                <w:sz w:val="18"/>
                <w:szCs w:val="18"/>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调味料</w:t>
            </w:r>
            <w:r/>
          </w:p>
          <w:p>
            <w:pPr>
              <w:jc w:val="center"/>
              <w:widowControl/>
              <w:rPr>
                <w:sz w:val="18"/>
                <w:szCs w:val="18"/>
              </w:rPr>
            </w:pPr>
            <w:r>
              <w:rPr>
                <w:sz w:val="18"/>
                <w:szCs w:val="18"/>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火锅麻辣烫底料（自制）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罂粟碱、吗啡、可待因、那可丁</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sz w:val="18"/>
                <w:szCs w:val="18"/>
              </w:rPr>
              <w:t xml:space="preserve">水产制品</w:t>
            </w:r>
            <w:r/>
          </w:p>
          <w:p>
            <w:pPr>
              <w:jc w:val="center"/>
              <w:widowControl/>
              <w:rPr>
                <w:sz w:val="18"/>
                <w:szCs w:val="18"/>
              </w:rPr>
            </w:pPr>
            <w:r>
              <w:rPr>
                <w:sz w:val="18"/>
                <w:szCs w:val="18"/>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预制水产制品（自制）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生食动物性水产品（自制）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铝的残留量（以即食海蜇中Al计）</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sz w:val="18"/>
                <w:szCs w:val="18"/>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坚果及籽类食品</w:t>
            </w:r>
            <w:r/>
          </w:p>
          <w:p>
            <w:pPr>
              <w:jc w:val="center"/>
              <w:widowControl/>
              <w:rPr>
                <w:sz w:val="18"/>
                <w:szCs w:val="18"/>
              </w:rPr>
            </w:pPr>
            <w:r>
              <w:rPr>
                <w:sz w:val="18"/>
                <w:szCs w:val="18"/>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花生制品（自制）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黄曲霉毒素B1 、苯甲酸及其钠盐（以苯甲酸计）、山梨酸及其钾盐（以山梨酸计）、脱氢乙酸及其钠盐（以脱氢乙酸计）</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餐饮具</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复用餐饮具</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复用餐饮具（餐馆自行消毒）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阴离子合成洗涤剂（以十二烷基苯磺酸钠计）、大肠菌群</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复用餐饮具（集中清洗消毒服务单位消毒）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阴离子合成洗涤剂（以十二烷基苯磺酸钠计）、大肠菌群</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焙烤食品</w:t>
            </w:r>
            <w:r/>
          </w:p>
          <w:p>
            <w:pPr>
              <w:jc w:val="center"/>
              <w:widowControl/>
              <w:rPr>
                <w:sz w:val="18"/>
                <w:szCs w:val="18"/>
              </w:rPr>
            </w:pPr>
            <w:r>
              <w:rPr>
                <w:sz w:val="18"/>
                <w:szCs w:val="18"/>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糕点（自制）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酸价（以脂肪计）（KOH）、过氧化值（以脂肪计）、山梨酸及其钾盐（以山梨酸计）、脱氢乙酸及其钠盐（以脱氢乙酸计）、防腐剂混合使用时各自用量占其最大使用量的比例之和、铝的残留量（干样品，以Al计）</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sz w:val="18"/>
                <w:szCs w:val="18"/>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煎炸过程用油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极性组分、酸价（以脂肪计）（KOH）</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sz w:val="18"/>
                <w:szCs w:val="18"/>
              </w:rPr>
              <w:t xml:space="preserve">淀粉制品（自制）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sz w:val="18"/>
                <w:szCs w:val="18"/>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铝的残留量（干样品，以Al计）</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sz w:val="18"/>
                <w:szCs w:val="18"/>
              </w:rPr>
            </w:pPr>
            <w:r>
              <w:rPr>
                <w:sz w:val="18"/>
                <w:szCs w:val="18"/>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sz w:val="18"/>
                <w:szCs w:val="18"/>
              </w:rPr>
            </w:pPr>
            <w:r>
              <w:rPr>
                <w:rStyle w:val="1154"/>
                <w:rFonts w:hint="default"/>
              </w:rPr>
              <w:t xml:space="preserve">餐饮食品</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jc w:val="center"/>
              <w:widowControl/>
              <w:rPr>
                <w:sz w:val="18"/>
                <w:szCs w:val="18"/>
              </w:rPr>
            </w:pPr>
            <w:r>
              <w:rPr>
                <w:rStyle w:val="1154"/>
                <w:rFonts w:hint="default"/>
              </w:rPr>
              <w:t xml:space="preserve">除上述类别的餐饮食品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根据各省实际情况而定</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铅（Pb）、砷（以As计）、致病性微生物</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砷（以As计）含量/无机砷含量、菌落总数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单一食品添加剂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明胶</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铬（Cr）、铅（Pb）、总砷（As）、二氧化硫、过氧化物</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山梨酸钾</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山梨酸钾（以C6H7KO2计）（以干基计）、干燥减量、氯化物（以Cl计）、硫酸盐（以SO4计）、醛（以HCHO计）、重金属（以Pb计）、砷（As）、铅（Pb）、澄清度、游离碱</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糖精钠</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糖精钠含量、干燥失重、总砷（以As计）、铅（Pb）、酸度和碱度、苯甲酸盐和水杨酸盐</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sz w:val="18"/>
                <w:szCs w:val="18"/>
              </w:rPr>
              <w:t xml:space="preserve">环己基氨基磺酸钠（又名甜蜜素）</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环己基氨基磺酸钠含量（以干基计）、硫酸盐（以SO4计）、pH（100g/L水溶液）、干燥减量、氨基磺酸、环己胺、双环己胺、吸光值（100g/L溶液）、透明度（以100g/L溶液的透光率表示）、重金属（以Pb计）、砷（As）</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赤藓糖醇</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赤藓糖醇（以C4H10O4计，以干基计）、干燥减量、灼烧残渣、还原糖（以葡萄糖计）、核糖醇和丙三醇（以干基计）、铅（Pb）</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总碱量（以Na2CO3计）（以干基计）、总碱量（以Na2CO3计）（以湿基计）、水不溶物（以干基计）、氯化物（以NaCl计）（以干基计）、铁（Fe）（以干基计）、铅（Pb）（以干基计）、砷（As）（以干基计）</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总碱量（以NaHCO3计）、干燥减量、pH（10g/L水溶液）、铵盐、澄清度、氯化物（以Cl计）、白度、砷（As）、重金属（以Pb计）</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总碱量（以NaOH计）、碳酸钠（Na2CO3）、砷（As）、重金属（以Pb计）、不溶物及有机杂质</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4"/>
                <w:rFonts w:hint="default"/>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单一食品添加剂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三氯蔗糖</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三氯蔗糖（以干基计）、比旋光度αm（20℃，D）、水分、灼烧残渣、水解产物、相关物质、甲醇、铅（Pb）</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铅（Pb）、总砷（以As计）</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sz w:val="18"/>
                <w:szCs w:val="18"/>
              </w:rPr>
              <w:t xml:space="preserve">铅（Pb）、总砷（以As计）、菌落总数、大肠菌群、大肠埃希氏菌、沙门氏菌、抗菌活性</w: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widowControl/>
              <w:rPr>
                <w:sz w:val="18"/>
                <w:szCs w:val="18"/>
              </w:rPr>
            </w:pPr>
            <w:r>
              <w:rPr>
                <w:sz w:val="18"/>
                <w:szCs w:val="18"/>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畜肉</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猪肉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挥发性盐基氮、呋喃唑酮代谢物、呋喃西林代谢物、氯霉素、五氯酚酸钠（以五氯酚计）、克伦特罗、莱克多巴胺、沙丁胺醇、喹乙醇、恩诺沙星、替米考星、磺胺类（总量）、甲氧苄啶、氟苯尼考、多西环素、地塞米松、甲硝唑、氯丙嗪、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挥发性盐基氮、呋喃唑酮代谢物、呋喃西林代谢物、氯霉素、五氯酚酸钠（以五氯酚计）、克伦特罗、莱克多巴胺、沙丁胺醇、恩诺沙星、磺胺类（总量）、甲氧苄啶、氟苯尼考、多西环素、地塞米松、林可霉素、倍他米松、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呋喃唑酮代谢物、呋喃西林代谢物、氯霉素、五氯酚酸钠（以五氯酚计）、克伦特罗、莱克多巴胺、沙丁胺醇、恩诺沙星、磺胺类（总量）、氟苯尼考、林可霉素、环丙氨嗪、土霉素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其他畜肉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呋喃唑酮代谢物、氯霉素、五氯酚酸钠（以五氯酚计）、克伦特罗、莱克多巴胺、沙丁胺醇、氧氟沙星、恩诺沙星</w: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禽肉</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鸡肉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挥发性盐基氮、呋喃唑酮代谢物、呋喃西林代谢物、呋喃它酮代谢物、氯霉素、五氯酚酸钠（以五氯酚计）、氧氟沙星、培氟沙星、诺氟沙星、恩诺沙星、沙拉沙星、替米考星、磺胺类（总量）、甲氧苄啶、氟苯尼考、多西环素、甲硝唑、尼卡巴嗪、环丙氨嗪、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w:t>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鸭肉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呋喃唑酮代谢物、呋喃妥因代谢物、氯霉素、五氯酚酸钠（以五氯酚计）、氧氟沙星、恩诺沙星、磺胺类（总量）、甲氧苄啶、氟苯尼考、多西环素、甲硝唑、环丙氨嗪、土霉素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其他禽肉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呋喃唑酮代谢物、氯霉素、五氯酚酸钠（以五氯酚计）、氧氟沙星、诺氟沙星、恩诺沙星、磺胺类（总量）、氟苯尼考、多西环素、甲硝唑、环丙氨嗪、土霉素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w:t>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镉（以</w:t>
            </w:r>
            <w:r>
              <w:rPr>
                <w:rStyle w:val="1156"/>
              </w:rPr>
              <w:t xml:space="preserve">Cd</w:t>
            </w:r>
            <w:r>
              <w:rPr>
                <w:rStyle w:val="1155"/>
                <w:rFonts w:hint="default"/>
              </w:rPr>
              <w:t xml:space="preserve">计）、呋喃唑酮代谢物、呋喃西林代谢物、氯霉素、五氯酚酸钠（以五氯酚计）、克伦特罗、莱克多巴胺、沙丁胺醇、恩诺沙星、磺胺类（总量）、甲氧苄啶、多西环素、氯丙嗪、土霉素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牛肝</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克伦特罗、莱克多巴胺、沙丁胺醇</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羊肝</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克伦特罗、莱克多巴胺、沙丁胺醇、磺胺类（总量）、环丙氨嗪</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猪肾</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呋喃西林代谢物、氯霉素、五氯酚酸钠（以五氯酚计）、克伦特罗、莱克多巴胺、沙丁胺醇、恩诺沙星、磺胺类（总量）、甲氧苄啶、土霉素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牛肾</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克伦特罗、莱克多巴胺、沙丁胺醇、恩诺沙星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羊肾</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镉（以</w:t>
            </w:r>
            <w:r>
              <w:rPr>
                <w:rStyle w:val="1156"/>
              </w:rPr>
              <w:t xml:space="preserve">Cd</w:t>
            </w:r>
            <w:r>
              <w:rPr>
                <w:rStyle w:val="1155"/>
                <w:rFonts w:hint="default"/>
              </w:rPr>
              <w:t xml:space="preserve">计）、克伦特罗、莱克多巴胺、沙丁胺醇、恩诺沙星、环丙氨嗪</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其他畜副产品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呋喃唑酮代谢物、呋喃西林代谢物、氯霉素、五氯酚酸钠（以五氯酚计）、克伦特罗、莱克多巴胺、沙丁胺醇、氧氟沙星、诺氟沙星、磺胺类（总量）</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禽副产品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鸡肝</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呋喃唑酮代谢物、呋喃西林代谢物、氯霉素、五氯酚酸钠（以五氯酚计）、氧氟沙星、恩诺沙星、环丙氨嗪</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其他禽副产品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呋喃唑酮代谢物、呋喃西林代谢物、氯霉素、五氯酚酸钠（以五氯酚计）、氧氟沙星、诺氟沙星、恩诺沙星、环丙氨嗪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w:t>
            </w:r>
            <w:r>
              <w:rPr>
                <w:rStyle w:val="1156"/>
              </w:rPr>
              <w:t xml:space="preserve">4-</w:t>
            </w:r>
            <w:r>
              <w:rPr>
                <w:rStyle w:val="1155"/>
                <w:rFonts w:hint="default"/>
              </w:rPr>
              <w:t xml:space="preserve">氯苯氧乙酸钠（以</w:t>
            </w:r>
            <w:r>
              <w:rPr>
                <w:rStyle w:val="1156"/>
              </w:rPr>
              <w:t xml:space="preserve">4-</w:t>
            </w:r>
            <w:r>
              <w:rPr>
                <w:rStyle w:val="1155"/>
                <w:rFonts w:hint="default"/>
              </w:rPr>
              <w:t xml:space="preserve">氯苯氧乙酸计）、</w:t>
            </w:r>
            <w:r>
              <w:rPr>
                <w:rStyle w:val="1156"/>
              </w:rPr>
              <w:t xml:space="preserve">6-</w:t>
            </w:r>
            <w:r>
              <w:rPr>
                <w:rStyle w:val="1155"/>
                <w:rFonts w:hint="default"/>
              </w:rPr>
              <w:t xml:space="preserve">苄基腺嘌呤（</w:t>
            </w:r>
            <w:r>
              <w:rPr>
                <w:rStyle w:val="1156"/>
              </w:rPr>
              <w:t xml:space="preserve">6-BA</w:t>
            </w:r>
            <w:r>
              <w:rPr>
                <w:rStyle w:val="1155"/>
                <w:rFonts w:hint="default"/>
              </w:rPr>
              <w:t xml:space="preserve">）、亚硫酸盐（以</w:t>
            </w:r>
            <w:r>
              <w:rPr>
                <w:rStyle w:val="1156"/>
              </w:rPr>
              <w:t xml:space="preserve">SO₂</w:t>
            </w:r>
            <w:r>
              <w:rPr>
                <w:rStyle w:val="1155"/>
                <w:rFonts w:hint="default"/>
              </w:rPr>
              <w:t xml:space="preserve">计）、总汞（以</w:t>
            </w:r>
            <w:r>
              <w:rPr>
                <w:rStyle w:val="1156"/>
              </w:rPr>
              <w:t xml:space="preserve">Hg</w:t>
            </w:r>
            <w:r>
              <w:rPr>
                <w:rStyle w:val="1155"/>
                <w:rFonts w:hint="default"/>
              </w:rPr>
              <w:t xml:space="preserve">计）</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镉（以</w:t>
            </w:r>
            <w:r>
              <w:rPr>
                <w:rStyle w:val="1156"/>
              </w:rPr>
              <w:t xml:space="preserve">Cd</w:t>
            </w:r>
            <w:r>
              <w:rPr>
                <w:rStyle w:val="1155"/>
                <w:rFonts w:hint="default"/>
              </w:rPr>
              <w:t xml:space="preserve">计）、百菌清、除虫脲、氯氟氰菊酯和高效氯氟氰菊酯、氯氰菊酯和高效氯氰菊酯、咪鲜胺和咪鲜胺锰盐</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鳞茎类蔬菜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计）、丙环唑、毒死蜱、甲拌磷、甲基异柳磷、克百威、氯氟氰菊酯和高效氯氟氰菊酯、噻虫嗪、三唑磷、水胺硫磷、戊唑醇、氧乐果</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阿维菌素、敌敌畏、毒死蜱、多菌灵、二甲戊灵、氟虫腈、腐霉利、甲胺磷、甲拌磷、甲基异柳磷、克百威、乐果、六六六、氯氟氰菊酯和高效氯氟氰菊酯、氯氰菊酯和高效氯氰菊酯、三唑磷、水胺硫磷、辛硫磷、氧乐果、乙酰甲胺磷</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芸薹属类蔬菜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镉（以</w:t>
            </w:r>
            <w:r>
              <w:rPr>
                <w:rStyle w:val="1156"/>
              </w:rPr>
              <w:t xml:space="preserve">Cd</w:t>
            </w:r>
            <w:r>
              <w:rPr>
                <w:rStyle w:val="1155"/>
                <w:rFonts w:hint="default"/>
              </w:rPr>
              <w:t xml:space="preserve">计）、吡虫啉、啶虫脒、毒死蜱、氟虫腈、甲拌磷、联苯菊酯</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结球甘蓝</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毒死蜱、甲胺磷、甲基异柳磷、克百威、乐果、灭线磷、噻虫嗪、三唑磷、氧乐果、乙酰甲胺磷</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计）、铬（以</w:t>
            </w:r>
            <w:r>
              <w:rPr>
                <w:rStyle w:val="1156"/>
              </w:rPr>
              <w:t xml:space="preserve">Cr</w:t>
            </w:r>
            <w:r>
              <w:rPr>
                <w:rStyle w:val="1155"/>
                <w:rFonts w:hint="default"/>
              </w:rPr>
              <w:t xml:space="preserve">计）、阿维菌素、毒死蜱、氟虫腈、腐霉利、甲氨基阿维菌素苯甲酸盐、甲拌磷、克百威、乐果、六六六、氯氟氰菊酯和高效氯氟氰菊酯、氯氰菊酯和高效氯氰菊酯、氧乐果、乙酰甲胺磷</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镉（以</w:t>
            </w:r>
            <w:r>
              <w:rPr>
                <w:rStyle w:val="1156"/>
              </w:rPr>
              <w:t xml:space="preserve">Cd</w:t>
            </w:r>
            <w:r>
              <w:rPr>
                <w:rStyle w:val="1155"/>
                <w:rFonts w:hint="default"/>
              </w:rPr>
              <w:t xml:space="preserve">计）、阿维菌素、吡虫啉、敌敌畏、毒死蜱、氟虫腈、甲胺磷、甲拌磷、克百威、乐果、水胺硫磷、氧乐果、乙酰甲胺磷</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普通白菜（小白菜、小油菜、青菜）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镉（以</w:t>
            </w:r>
            <w:r>
              <w:rPr>
                <w:rStyle w:val="1156"/>
              </w:rPr>
              <w:t xml:space="preserve">Cd</w:t>
            </w:r>
            <w:r>
              <w:rPr>
                <w:rStyle w:val="1155"/>
                <w:rFonts w:hint="default"/>
              </w:rPr>
              <w:t xml:space="preserve">计）、阿维菌素、吡虫啉、啶虫脒、毒死蜱、氟虫腈、甲氨基阿维菌素苯甲酸盐、甲胺磷、甲拌磷、甲基异柳磷、克百威、氯氟氰菊酯和高效氯氟氰菊酯、氯氰菊酯和高效氯氰菊酯、水胺硫磷、氧乐果、乙酰甲胺磷</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阿维菌素、百菌清、苯醚甲环唑、敌敌畏、啶虫脒、毒死蜱、二甲戊灵、氟虫腈、甲拌磷、甲基异柳磷、腈菌唑、克百威、乐果、氯氟氰菊酯和高效氯氟氰菊酯、噻虫胺、噻虫嗪、三氯杀螨醇、水胺硫磷、辛硫磷、氧乐果、乙酰甲胺磷</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阿维菌素、吡虫啉、啶虫脒、毒死蜱、氟虫腈、甲氨基阿维菌素苯甲酸盐、甲胺磷、甲拌磷、腈菌唑、克百威、氯氟氰菊酯和高效氯氟氰菊酯、灭多威、噻虫嗪、三氯杀螨醇、水胺硫磷、氧乐果、乙酰甲胺磷</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番茄</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计）、吡唑醚菌酯、敌敌畏、毒死蜱、腐霉利、甲拌磷、氯氟氰菊酯和高效氯氟氰菊酯、噻虫嗪、烯酰吗啉、氧乐果、乙酰甲胺磷</w: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倍硫磷、吡虫啉、吡唑醚菌酯、敌敌畏、啶虫脒、毒死蜱、氟虫腈、甲氨基阿维菌素苯甲酸盐、甲胺磷、甲拌磷、克百威、乐果、联苯菊酯、氯氟氰菊酯和高效氯氟氰菊酯、噻虫胺、噻虫嗪、三唑磷、杀扑磷、水胺硫磷、氧乐果、乙酰甲胺磷</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计）、吡唑醚菌酯、毒死蜱、氟虫腈、甲氨基阿维菌素苯甲酸盐、甲胺磷、甲拌磷、克百威、噻虫胺、噻虫嗪、霜霉威和霜霉威盐酸盐、水胺硫磷、氧乐果、乙酰甲胺磷</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甜椒</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镉（以</w:t>
            </w:r>
            <w:r>
              <w:rPr>
                <w:rStyle w:val="1156"/>
              </w:rPr>
              <w:t xml:space="preserve">Cd</w:t>
            </w:r>
            <w:r>
              <w:rPr>
                <w:rStyle w:val="1155"/>
                <w:rFonts w:hint="default"/>
              </w:rPr>
              <w:t xml:space="preserve">计）、阿维菌素、倍硫磷、吡虫啉、吡唑醚菌酯、毒死蜱、氟虫腈、克百威、噻虫胺、噻虫嗪、水胺硫磷、氧乐果</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瓜类蔬菜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阿维菌素、哒螨灵、敌敌畏、毒死蜱、腐霉利、甲氨基阿维菌素苯甲酸盐、甲拌磷、克百威、乐果、噻虫嗪、氧乐果、乙螨唑、乙酰甲胺磷、异丙威</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豆类蔬菜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菜豆</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吡虫啉、毒死蜱、多菌灵、甲氨基阿维菌素苯甲酸盐、甲胺磷、克百威、氯氟氰菊酯和高效氯氟氰菊酯、灭蝇胺、噻虫胺、三唑磷、水胺硫磷、氧乐果、乙酰甲胺磷</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阿维菌素、倍硫磷、啶虫脒、毒死蜱、氟虫腈、甲氨基阿维菌素苯甲酸盐、甲胺磷、甲拌磷、甲基异柳磷、克百威、乐果、氯氟氰菊酯和高效氯氟氰菊酯、氯唑磷、灭多威、灭蝇胺、噻虫胺、噻虫嗪、三唑磷、水胺硫磷、氧乐果、乙酰甲胺磷</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食荚豌豆</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吡唑醚菌酯、毒死蜱、多菌灵、甲氨基阿维菌素苯甲酸盐、灭蝇胺、噻虫胺、噻虫嗪、烯酰吗啉、氧乐果、乙酰甲胺磷</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计）、毒死蜱、氟虫腈、甲拌磷、氯氟氰菊酯和高效氯氟氰菊酯、噻虫胺、乙酰甲胺磷</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计）、吡虫啉、敌敌畏、毒死蜱、甲拌磷、克百威、六六六、氯氟氰菊酯和高效氯氟氰菊酯、氯氰菊酯和高效氯氰菊酯、氯唑磷、噻虫胺、噻虫嗪、氧乐果、二氧化硫残留量</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萝卜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计）、毒死蜱、甲胺磷、甲拌磷、甲基对硫磷、乐果、氯氟氰菊酯和高效氯氟氰菊酯、噻虫嗪、水胺硫磷、氧乐果</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铅（以</w:t>
            </w:r>
            <w:r>
              <w:rPr>
                <w:rStyle w:val="1156"/>
              </w:rPr>
              <w:t xml:space="preserve">Pb</w:t>
            </w:r>
            <w:r>
              <w:rPr>
                <w:rStyle w:val="1155"/>
                <w:rFonts w:hint="default"/>
              </w:rPr>
              <w:t xml:space="preserve">计）、毒死蜱、克百威、氯氟氰菊酯和高效氯氟氰菊酯、咪鲜胺和咪鲜胺锰盐、涕灭威</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淡水产品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淡水鱼</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rFonts w:ascii="宋体" w:hAnsi="宋体" w:cs="宋体"/>
                <w:sz w:val="18"/>
                <w:szCs w:val="18"/>
              </w:rPr>
            </w:pPr>
            <w:r>
              <w:rPr>
                <w:rStyle w:val="1155"/>
                <w:rFonts w:hint="default"/>
              </w:rPr>
              <w:t xml:space="preserve">挥发性盐基氮、镉（以</w:t>
            </w:r>
            <w:r>
              <w:rPr>
                <w:rStyle w:val="1156"/>
              </w:rPr>
              <w:t xml:space="preserve">Cd</w:t>
            </w:r>
            <w:r>
              <w:rPr>
                <w:rStyle w:val="1155"/>
                <w:rFonts w:hint="default"/>
              </w:rPr>
              <w:t xml:space="preserve">计）、多氯联苯、孔雀石绿、氯霉素、氟苯尼考、呋喃唑酮代谢物、呋喃西林代谢物、呋喃妥因代谢物、恩诺沙星、磺胺类（总量）、甲氧苄啶、甲硝唑、地西泮、五氯酚酸钠（以五氯酚计）、氧氟沙星、诺氟沙星、培氟沙星</w:t>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淡水虾</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rFonts w:ascii="宋体" w:hAnsi="宋体" w:cs="宋体"/>
                <w:sz w:val="18"/>
                <w:szCs w:val="18"/>
              </w:rPr>
            </w:pPr>
            <w:r>
              <w:rPr>
                <w:rStyle w:val="1155"/>
                <w:rFonts w:hint="default"/>
              </w:rPr>
              <w:t xml:space="preserve">镉（以</w:t>
            </w:r>
            <w:r>
              <w:rPr>
                <w:rStyle w:val="1156"/>
              </w:rPr>
              <w:t xml:space="preserve">Cd</w:t>
            </w:r>
            <w:r>
              <w:rPr>
                <w:rStyle w:val="1155"/>
                <w:rFonts w:hint="default"/>
              </w:rPr>
              <w:t xml:space="preserve">计）、孔雀石绿、氯霉素、呋喃唑酮代谢物、呋喃妥因代谢物、恩诺沙星、磺胺类（总量）、土霉素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四环素（组合含量）、五氯酚酸钠（以五氯酚计）、氧氟沙星、诺氟沙星</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淡水蟹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rFonts w:ascii="宋体" w:hAnsi="宋体" w:cs="宋体"/>
                <w:sz w:val="18"/>
                <w:szCs w:val="18"/>
              </w:rPr>
            </w:pPr>
            <w:r>
              <w:rPr>
                <w:rStyle w:val="1155"/>
                <w:rFonts w:hint="default"/>
              </w:rPr>
              <w:t xml:space="preserve">镉（以</w:t>
            </w:r>
            <w:r>
              <w:rPr>
                <w:rStyle w:val="1156"/>
              </w:rPr>
              <w:t xml:space="preserve">Cd</w:t>
            </w:r>
            <w:r>
              <w:rPr>
                <w:rStyle w:val="1155"/>
                <w:rFonts w:hint="default"/>
              </w:rPr>
              <w:t xml:space="preserve">计）、孔雀石绿、氯霉素、五氯酚酸钠（以五氯酚计）、呋喃唑酮代谢物、氧氟沙星</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海水产品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海水鱼</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rFonts w:ascii="宋体" w:hAnsi="宋体" w:cs="宋体"/>
                <w:sz w:val="18"/>
                <w:szCs w:val="18"/>
              </w:rPr>
            </w:pPr>
            <w:r>
              <w:rPr>
                <w:rStyle w:val="1155"/>
                <w:rFonts w:hint="default"/>
              </w:rPr>
              <w:t xml:space="preserve">挥发性盐基氮、组胺、镉（以</w:t>
            </w:r>
            <w:r>
              <w:rPr>
                <w:rStyle w:val="1156"/>
              </w:rPr>
              <w:t xml:space="preserve">Cd</w:t>
            </w:r>
            <w:r>
              <w:rPr>
                <w:rStyle w:val="1155"/>
                <w:rFonts w:hint="default"/>
              </w:rPr>
              <w:t xml:space="preserve">计）、多氯联苯、孔雀石绿、氯霉素、呋喃唑酮代谢物、呋喃它酮代谢物、呋喃西林代谢物、恩诺沙星、磺胺类（总量）、土霉素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四环素（组合含量）、甲氧苄啶、甲硝唑、五氯酚酸钠（以五氯酚计）、氧氟沙星</w:t>
            </w:r>
            <w:r>
              <w:rPr>
                <w:rStyle w:val="1156"/>
              </w:rPr>
              <w:t xml:space="preserve">b</w:t>
            </w:r>
            <w:r>
              <w:rPr>
                <w:rStyle w:val="1155"/>
                <w:rFonts w:hint="default"/>
              </w:rPr>
              <w:t xml:space="preserve">、培氟沙星、诺氟沙星</w:t>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海水虾</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rFonts w:ascii="宋体" w:hAnsi="宋体" w:cs="宋体"/>
                <w:sz w:val="18"/>
                <w:szCs w:val="18"/>
              </w:rPr>
            </w:pPr>
            <w:r>
              <w:rPr>
                <w:rStyle w:val="1155"/>
                <w:rFonts w:hint="default"/>
              </w:rPr>
              <w:t xml:space="preserve">挥发性盐基氮、镉（以</w:t>
            </w:r>
            <w:r>
              <w:rPr>
                <w:rStyle w:val="1156"/>
              </w:rPr>
              <w:t xml:space="preserve">Cd</w:t>
            </w:r>
            <w:r>
              <w:rPr>
                <w:rStyle w:val="1155"/>
                <w:rFonts w:hint="default"/>
              </w:rPr>
              <w:t xml:space="preserve">计）、二氧化硫残留量、孔雀石绿、氯霉素、呋喃唑酮代谢物、呋喃它酮代谢物、呋喃妥因代谢物、恩诺沙星、土霉素</w:t>
            </w:r>
            <w:r>
              <w:rPr>
                <w:rStyle w:val="1156"/>
              </w:rPr>
              <w:t xml:space="preserve">/</w:t>
            </w:r>
            <w:r>
              <w:rPr>
                <w:rStyle w:val="1155"/>
                <w:rFonts w:hint="default"/>
              </w:rPr>
              <w:t xml:space="preserve">金霉素</w:t>
            </w:r>
            <w:r>
              <w:rPr>
                <w:rStyle w:val="1156"/>
              </w:rPr>
              <w:t xml:space="preserve">/</w:t>
            </w:r>
            <w:r>
              <w:rPr>
                <w:rStyle w:val="1155"/>
                <w:rFonts w:hint="default"/>
              </w:rPr>
              <w:t xml:space="preserve">四环素（组合含量）、磺胺类（总量）、五氯酚酸钠（以五氯酚计）、诺氟沙星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海水蟹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rFonts w:ascii="宋体" w:hAnsi="宋体" w:cs="宋体"/>
                <w:sz w:val="18"/>
                <w:szCs w:val="18"/>
              </w:rPr>
            </w:pPr>
            <w:r>
              <w:rPr>
                <w:rStyle w:val="1155"/>
                <w:rFonts w:hint="default"/>
              </w:rPr>
              <w:t xml:space="preserve">镉（以</w:t>
            </w:r>
            <w:r>
              <w:rPr>
                <w:rStyle w:val="1156"/>
              </w:rPr>
              <w:t xml:space="preserve">Cd</w:t>
            </w:r>
            <w:r>
              <w:rPr>
                <w:rStyle w:val="1155"/>
                <w:rFonts w:hint="default"/>
              </w:rPr>
              <w:t xml:space="preserve">计）、二氧化硫残留量、孔雀石绿、氯霉素、呋喃妥因代谢物、诺氟沙星</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rFonts w:ascii="宋体" w:hAnsi="宋体" w:cs="宋体"/>
                <w:sz w:val="18"/>
                <w:szCs w:val="18"/>
              </w:rPr>
            </w:pPr>
            <w:r>
              <w:rPr>
                <w:rStyle w:val="1155"/>
                <w:rFonts w:hint="default"/>
              </w:rPr>
              <w:t xml:space="preserve">镉（以</w:t>
            </w:r>
            <w:r>
              <w:rPr>
                <w:rStyle w:val="1156"/>
              </w:rPr>
              <w:t xml:space="preserve">Cd</w:t>
            </w:r>
            <w:r>
              <w:rPr>
                <w:rStyle w:val="1155"/>
                <w:rFonts w:hint="default"/>
              </w:rPr>
              <w:t xml:space="preserve">计）、无机砷（以</w:t>
            </w:r>
            <w:r>
              <w:rPr>
                <w:rStyle w:val="1156"/>
              </w:rPr>
              <w:t xml:space="preserve">As</w:t>
            </w:r>
            <w:r>
              <w:rPr>
                <w:rStyle w:val="1155"/>
                <w:rFonts w:hint="default"/>
              </w:rPr>
              <w:t xml:space="preserve">计）、多氯联苯、孔雀石绿、氯霉素、氟苯尼考、呋喃唑酮代谢物、呋喃西林代谢物、呋喃妥因代谢物、恩诺沙星、磺胺类（总量）、氧氟沙星、五氯酚酸钠（以五氯酚计）</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5"/>
                <w:rFonts w:hint="default"/>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rFonts w:ascii="宋体" w:hAnsi="宋体" w:cs="宋体"/>
                <w:sz w:val="18"/>
                <w:szCs w:val="18"/>
              </w:rPr>
            </w:pPr>
            <w:r>
              <w:rPr>
                <w:rStyle w:val="1155"/>
                <w:rFonts w:hint="default"/>
              </w:rPr>
              <w:t xml:space="preserve">镉（以</w:t>
            </w:r>
            <w:r>
              <w:rPr>
                <w:rStyle w:val="1156"/>
              </w:rPr>
              <w:t xml:space="preserve">Cd</w:t>
            </w:r>
            <w:r>
              <w:rPr>
                <w:rStyle w:val="1155"/>
                <w:rFonts w:hint="default"/>
              </w:rPr>
              <w:t xml:space="preserve">计）、孔雀石绿、氯霉素、呋喃唑酮代谢物、呋喃西林代谢物、呋喃妥因代谢物、恩诺沙星、磺胺类（总量）、氟苯尼考、甲硝唑、氧氟沙星、诺氟沙星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仁果类水果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none" w:color="000000" w:sz="4" w:space="0"/>
              <w:left w:val="none" w:color="000000" w:sz="4" w:space="0"/>
              <w:bottom w:val="none" w:color="000000" w:sz="4" w:space="0"/>
              <w:right w:val="none" w:color="000000" w:sz="4" w:space="0"/>
            </w:tcBorders>
            <w:tcW w:w="7288" w:type="dxa"/>
            <w:vAlign w:val="center"/>
            <w:textDirection w:val="lrTb"/>
            <w:noWrap w:val="false"/>
          </w:tcPr>
          <w:p>
            <w:pPr>
              <w:widowControl/>
              <w:rPr>
                <w:sz w:val="18"/>
                <w:szCs w:val="18"/>
              </w:rPr>
            </w:pPr>
            <w:r>
              <w:rPr>
                <w:rStyle w:val="1154"/>
                <w:rFonts w:hint="default"/>
              </w:rPr>
              <w:t xml:space="preserve">敌敌畏、啶虫脒、毒死蜱、甲拌磷、克百威、氧乐果、三氯杀螨醇</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none" w:color="000000" w:sz="4" w:space="0"/>
              <w:left w:val="none" w:color="000000" w:sz="4" w:space="0"/>
              <w:bottom w:val="none" w:color="000000" w:sz="4" w:space="0"/>
              <w:right w:val="none" w:color="000000" w:sz="4" w:space="0"/>
            </w:tcBorders>
            <w:tcW w:w="1596" w:type="dxa"/>
            <w:vAlign w:val="center"/>
            <w:textDirection w:val="lrTb"/>
            <w:noWrap w:val="false"/>
          </w:tcPr>
          <w:p>
            <w:pPr>
              <w:jc w:val="center"/>
              <w:widowControl/>
              <w:rPr>
                <w:sz w:val="18"/>
                <w:szCs w:val="18"/>
              </w:rPr>
            </w:pPr>
            <w:r>
              <w:rPr>
                <w:rStyle w:val="1155"/>
                <w:rFonts w:hint="default"/>
              </w:rPr>
              <w:t xml:space="preserve">梨</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吡虫啉、敌敌畏、毒死蜱、多菌灵、克百威、氯氟氰菊酯和高效氯氟氰菊酯、氧乐果、水胺硫磷、苯醚甲环唑、咪鲜胺和咪鲜胺锰盐、噻虫嗪、乙螨唑</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核果类水果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枣</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多菌灵、氟虫腈、氰戊菊酯和</w:t>
            </w:r>
            <w:r>
              <w:rPr>
                <w:rStyle w:val="1159"/>
              </w:rPr>
              <w:t xml:space="preserve">S-</w:t>
            </w:r>
            <w:r>
              <w:rPr>
                <w:rStyle w:val="1154"/>
                <w:rFonts w:hint="default"/>
              </w:rPr>
              <w:t xml:space="preserve">氰戊菊酯、氧乐果、糖精钠（以糖精计）</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苯醚甲环唑、敌敌畏、多菌灵、氟硅唑、甲胺磷、克百威、氧乐果、溴氰菊酯、吡虫啉</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油桃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多菌灵、甲胺磷、克百威、氧乐果、敌敌畏、苯醚甲环唑、噻虫胺</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柑橘类水果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柑、橘</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苯醚甲环唑、丙溴磷、克百威、联苯菊酯、氯唑磷、三唑磷、水胺硫磷、氧乐果、氯氟氰菊酯和高效氯氟氰菊酯、甲拌磷、</w:t>
            </w:r>
            <w:r>
              <w:rPr>
                <w:rStyle w:val="1159"/>
              </w:rPr>
              <w:t xml:space="preserve">2,4-</w:t>
            </w:r>
            <w:r>
              <w:rPr>
                <w:rStyle w:val="1154"/>
                <w:rFonts w:hint="default"/>
              </w:rPr>
              <w:t xml:space="preserve">滴和</w:t>
            </w:r>
            <w:r>
              <w:rPr>
                <w:rStyle w:val="1159"/>
              </w:rPr>
              <w:t xml:space="preserve">2,4-</w:t>
            </w:r>
            <w:r>
              <w:rPr>
                <w:rStyle w:val="1154"/>
                <w:rFonts w:hint="default"/>
              </w:rPr>
              <w:t xml:space="preserve">滴钠盐、狄氏剂、毒死蜱、杀扑磷</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柚</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水胺硫磷、联苯菊酯、氯氟氰菊酯和高效氯氟氰菊酯、氯唑磷、多菌灵、克百威</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多菌灵、克百威、联苯菊酯、水胺硫磷、乙螨唑、氯唑磷</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橙</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丙溴磷、克百威、联苯菊酯、三唑磷、杀扑磷、水胺硫磷、氧乐果、</w:t>
            </w:r>
            <w:r>
              <w:rPr>
                <w:rStyle w:val="1159"/>
              </w:rPr>
              <w:t xml:space="preserve">2,4-</w:t>
            </w:r>
            <w:r>
              <w:rPr>
                <w:rStyle w:val="1154"/>
                <w:rFonts w:hint="default"/>
              </w:rPr>
              <w:t xml:space="preserve">滴和</w:t>
            </w:r>
            <w:r>
              <w:rPr>
                <w:rStyle w:val="1159"/>
              </w:rPr>
              <w:t xml:space="preserve">2,4-</w:t>
            </w:r>
            <w:r>
              <w:rPr>
                <w:rStyle w:val="1154"/>
                <w:rFonts w:hint="default"/>
              </w:rPr>
              <w:t xml:space="preserve">滴钠盐、苯醚甲环唑、狄氏剂、氯唑磷</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浆果和其他小型水果</w:t>
            </w:r>
            <w:r/>
          </w:p>
        </w:tc>
        <w:tc>
          <w:tcPr>
            <w:shd w:val="clear" w:color="auto" w:fill="auto"/>
            <w:tcBorders>
              <w:top w:val="single" w:color="000000" w:sz="4" w:space="0"/>
              <w:left w:val="non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葡萄</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苯醚甲环唑、己唑醇、克百威、氯氰菊酯和高效氯氰菊酯、霜霉威和霜霉威盐酸盐、氧乐果、氯氟氰菊酯和高效氯氟氰菊酯、氟虫腈、氯吡脲、联苯菊酯</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non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草莓</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阿维菌素、敌敌畏、多菌灵、克百威、烯酰吗啉、氧乐果、戊菌唑、吡虫啉、乙酰甲胺磷</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浆果和其他小型水果</w:t>
            </w:r>
            <w:r/>
          </w:p>
        </w:tc>
        <w:tc>
          <w:tcPr>
            <w:shd w:val="clear" w:color="auto" w:fill="auto"/>
            <w:tcBorders>
              <w:top w:val="single" w:color="000000" w:sz="4" w:space="0"/>
              <w:left w:val="non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猕猴桃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敌敌畏、多菌灵、氯吡脲、氧乐果</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non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桑葚</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脱氢乙酸及其钠盐（以脱氢乙酸计）、苯甲酸及其钠盐（以苯甲酸计）、山梨酸及其钾盐（以山梨酸计）、糖精钠（以糖精计）、三氯蔗糖、甜蜜素（以环己基氨基磺酸计）、多菌灵</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热带和亚热带水果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苯醚甲环唑、吡唑醚菌酯、多菌灵、氟虫腈、甲拌磷、腈苯唑、吡虫啉、噻虫胺、噻虫嗪、氟环唑、联苯菊酯、烯唑醇、百菌清、噻唑膦、狄氏剂</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苯醚甲环唑、多菌灵、戊唑醇、氧乐果、吡唑醚菌酯、噻虫胺、乙酰甲胺磷、吡虫啉、噻虫嗪、噻嗪酮</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火龙果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氟虫腈、甲胺磷、克百威、氧乐果、乙酰甲胺磷</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荔枝</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widowControl/>
              <w:rPr>
                <w:sz w:val="18"/>
                <w:szCs w:val="18"/>
              </w:rPr>
            </w:pPr>
            <w:r>
              <w:rPr>
                <w:rStyle w:val="1154"/>
                <w:rFonts w:hint="default"/>
              </w:rPr>
              <w:t xml:space="preserve">多菌灵、氧乐果、毒死蜱、苯醚甲环唑、氯氰菊酯和高效氯氰菊酯、氯氟氰菊酯和高效氯氟氰菊酯、吡唑醚菌酯、除虫脲、氰霜唑、氟吗啉</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杨梅</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脱氢乙酸及其钠盐（以脱氢乙酸计）、苯甲酸及其钠盐（以苯甲酸计）、山梨酸及其钾盐（以山梨酸计）、糖精钠（以糖精计）、三氯蔗糖、甜蜜素（以环己基氨基磺酸计）、敌敌畏、氧乐果</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龙眼</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二氧化硫残留量、克百威、氯氰菊酯和高效氯氰菊酯、氧乐果</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橄榄</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三氯蔗糖、糖精钠（以糖精计）、甜蜜素（以环己基氨基磺酸计）、多菌灵</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番木瓜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噻虫胺、噻虫嗪、乙酰甲胺磷</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5"/>
                <w:rFonts w:hint="default"/>
              </w:rPr>
              <w:t xml:space="preserve">瓜果类水果</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克百威、噻虫嗪、氧乐果、乙酰甲胺磷、苯醚甲环唑</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甜瓜类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克百威、烯酰吗啉、氧乐果、乙酰甲胺磷</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sz w:val="18"/>
                <w:szCs w:val="18"/>
              </w:rPr>
            </w:pPr>
            <w:r>
              <w:rPr>
                <w:rStyle w:val="1155"/>
                <w:rFonts w:hint="default"/>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5"/>
                <w:rFonts w:hint="default"/>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甲硝唑、地美硝唑、呋喃唑酮代谢物、氟虫腈、氯霉素、氟苯尼考、甲砜霉素、恩诺沙星、氧氟沙星、沙拉沙星、甲氧苄啶、磺胺类（总量）、多西环素、地克珠利、托曲珠利</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5"/>
                <w:rFonts w:hint="default"/>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5"/>
                <w:rFonts w:hint="default"/>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5"/>
                <w:rFonts w:hint="default"/>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呋喃唑酮代谢物、磺胺类（总量）、多西环素</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widowControl/>
              <w:rPr>
                <w:sz w:val="18"/>
                <w:szCs w:val="18"/>
              </w:rPr>
            </w:pPr>
            <w:r>
              <w:rPr>
                <w:rStyle w:val="1154"/>
                <w:rFonts w:hint="default"/>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sz w:val="18"/>
                <w:szCs w:val="18"/>
              </w:rPr>
            </w:pPr>
            <w:r>
              <w:rPr>
                <w:rStyle w:val="1154"/>
                <w:rFonts w:hint="default"/>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4"/>
                <w:rFonts w:hint="default"/>
              </w:rPr>
              <w:t xml:space="preserve">铅（以</w:t>
            </w:r>
            <w:r>
              <w:rPr>
                <w:rStyle w:val="1159"/>
              </w:rPr>
              <w:t xml:space="preserve">Pb</w:t>
            </w:r>
            <w:r>
              <w:rPr>
                <w:rStyle w:val="1154"/>
                <w:rFonts w:hint="default"/>
              </w:rPr>
              <w:t xml:space="preserve">计）、铬（以</w:t>
            </w:r>
            <w:r>
              <w:rPr>
                <w:rStyle w:val="1159"/>
              </w:rPr>
              <w:t xml:space="preserve">Cr</w:t>
            </w:r>
            <w:r>
              <w:rPr>
                <w:rStyle w:val="1154"/>
                <w:rFonts w:hint="default"/>
              </w:rPr>
              <w:t xml:space="preserve">计）、赭曲霉毒素</w:t>
            </w:r>
            <w:r>
              <w:rPr>
                <w:rStyle w:val="1159"/>
              </w:rPr>
              <w:t xml:space="preserve">A</w:t>
            </w:r>
            <w:r>
              <w:rPr>
                <w:rStyle w:val="1154"/>
                <w:rFonts w:hint="default"/>
              </w:rPr>
              <w:t xml:space="preserve">、吡虫啉、环丙唑醇</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jc w:val="center"/>
              <w:widowControl/>
              <w:rPr>
                <w:sz w:val="18"/>
                <w:szCs w:val="18"/>
              </w:rPr>
            </w:pPr>
            <w:r>
              <w:rPr>
                <w:rStyle w:val="1154"/>
                <w:rFonts w:hint="default"/>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jc w:val="center"/>
              <w:widowControl/>
              <w:rPr>
                <w:sz w:val="18"/>
                <w:szCs w:val="18"/>
              </w:rPr>
            </w:pPr>
            <w:r>
              <w:rPr>
                <w:rStyle w:val="1154"/>
                <w:rFonts w:hint="default"/>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生干坚果</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酸价（以脂肪计）（</w:t>
            </w:r>
            <w:r>
              <w:rPr>
                <w:rStyle w:val="1156"/>
              </w:rPr>
              <w:t xml:space="preserve">KOH</w:t>
            </w:r>
            <w:r>
              <w:rPr>
                <w:rStyle w:val="1155"/>
                <w:rFonts w:hint="default"/>
              </w:rPr>
              <w:t xml:space="preserve">）、过氧化值（以脂肪计）、铅（以</w:t>
            </w:r>
            <w:r>
              <w:rPr>
                <w:rStyle w:val="1156"/>
              </w:rPr>
              <w:t xml:space="preserve">Pb</w:t>
            </w:r>
            <w:r>
              <w:rPr>
                <w:rStyle w:val="1155"/>
                <w:rFonts w:hint="default"/>
              </w:rPr>
              <w:t xml:space="preserve">计）、吡虫啉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jc w:val="center"/>
              <w:rPr>
                <w:sz w:val="18"/>
                <w:szCs w:val="18"/>
              </w:rPr>
            </w:pPr>
            <w:r>
              <w:rPr>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widowControl/>
              <w:rPr>
                <w:sz w:val="18"/>
                <w:szCs w:val="18"/>
              </w:rPr>
            </w:pPr>
            <w:r>
              <w:rPr>
                <w:rStyle w:val="1154"/>
                <w:rFonts w:hint="default"/>
              </w:rPr>
              <w:t xml:space="preserve">生干籽类</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sz w:val="18"/>
                <w:szCs w:val="18"/>
              </w:rPr>
            </w:pPr>
            <w:r>
              <w:rPr>
                <w:rStyle w:val="1154"/>
                <w:rFonts w:hint="default"/>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left"/>
              <w:widowControl/>
              <w:rPr>
                <w:sz w:val="18"/>
                <w:szCs w:val="18"/>
              </w:rPr>
            </w:pPr>
            <w:r>
              <w:rPr>
                <w:rStyle w:val="1155"/>
                <w:rFonts w:hint="default"/>
              </w:rPr>
              <w:t xml:space="preserve">酸价（以脂肪计）（</w:t>
            </w:r>
            <w:r>
              <w:rPr>
                <w:rStyle w:val="1156"/>
              </w:rPr>
              <w:t xml:space="preserve">KOH</w:t>
            </w:r>
            <w:r>
              <w:rPr>
                <w:rStyle w:val="1155"/>
                <w:rFonts w:hint="default"/>
              </w:rPr>
              <w:t xml:space="preserve">）、过氧化值（以脂肪计）、铅（以</w:t>
            </w:r>
            <w:r>
              <w:rPr>
                <w:rStyle w:val="1156"/>
              </w:rPr>
              <w:t xml:space="preserve">Pb</w:t>
            </w:r>
            <w:r>
              <w:rPr>
                <w:rStyle w:val="1155"/>
                <w:rFonts w:hint="default"/>
              </w:rPr>
              <w:t xml:space="preserve">计）、镉（以</w:t>
            </w:r>
            <w:r>
              <w:rPr>
                <w:rStyle w:val="1156"/>
              </w:rPr>
              <w:t xml:space="preserve">Cd</w:t>
            </w:r>
            <w:r>
              <w:rPr>
                <w:rStyle w:val="1155"/>
                <w:rFonts w:hint="default"/>
              </w:rPr>
              <w:t xml:space="preserve">计）、黄曲霉毒素</w:t>
            </w:r>
            <w:r>
              <w:rPr>
                <w:rStyle w:val="1156"/>
              </w:rPr>
              <w:t xml:space="preserve">B1</w:t>
            </w:r>
            <w:r>
              <w:rPr>
                <w:rStyle w:val="1155"/>
                <w:rFonts w:hint="default"/>
              </w:rPr>
              <w:t xml:space="preserve">、噻虫嗪</w:t>
            </w:r>
            <w:r/>
          </w:p>
        </w:tc>
      </w:tr>
    </w:tbl>
    <w:p>
      <w:pPr>
        <w:rPr>
          <w:b/>
          <w:bCs/>
          <w:sz w:val="32"/>
          <w:szCs w:val="32"/>
        </w:rPr>
      </w:pPr>
      <w:r>
        <w:rPr>
          <w:b/>
          <w:bCs/>
          <w:sz w:val="32"/>
          <w:szCs w:val="32"/>
        </w:rPr>
      </w:r>
      <w:r/>
    </w:p>
    <w:p>
      <w:pPr>
        <w:pStyle w:val="809"/>
        <w:sectPr>
          <w:footnotePr/>
          <w:endnotePr/>
          <w:type w:val="nextPage"/>
          <w:pgSz w:w="16838" w:h="11906" w:orient="landscape"/>
          <w:pgMar w:top="1800" w:right="1440" w:bottom="1800" w:left="1440" w:header="851" w:footer="992" w:gutter="0"/>
          <w:cols w:num="1" w:sep="0" w:space="720" w:equalWidth="1"/>
          <w:docGrid w:linePitch="360"/>
        </w:sectPr>
      </w:pPr>
      <w:r/>
      <w:r/>
    </w:p>
    <w:p>
      <w:pPr>
        <w:rPr>
          <w:rFonts w:hAnsi="宋体" w:cs="宋体"/>
          <w:b/>
          <w:bCs/>
          <w:sz w:val="28"/>
          <w:szCs w:val="28"/>
        </w:rPr>
      </w:pPr>
      <w:r>
        <w:rPr>
          <w:rFonts w:hAnsi="宋体" w:cs="宋体"/>
          <w:b/>
          <w:bCs/>
          <w:sz w:val="28"/>
          <w:szCs w:val="28"/>
        </w:rPr>
      </w:r>
      <w:r/>
    </w:p>
    <w:p>
      <w:pPr>
        <w:jc w:val="center"/>
        <w:shd w:val="clear" w:color="auto" w:fill="ffffff"/>
        <w:widowControl/>
        <w:rPr>
          <w:rFonts w:ascii="宋体" w:hAnsi="宋体" w:cs="宋体"/>
          <w:b/>
          <w:bCs/>
          <w:sz w:val="24"/>
          <w:szCs w:val="24"/>
        </w:rPr>
      </w:pPr>
      <w:r>
        <w:rPr>
          <w:rFonts w:hint="eastAsia" w:ascii="宋体" w:hAnsi="宋体" w:cs="宋体"/>
          <w:b/>
          <w:bCs/>
          <w:sz w:val="24"/>
          <w:szCs w:val="24"/>
        </w:rPr>
        <w:t xml:space="preserve">扬州市邗江区食品检验检测机构管理考核措施</w:t>
      </w:r>
      <w:r/>
    </w:p>
    <w:p>
      <w:pPr>
        <w:jc w:val="center"/>
        <w:shd w:val="clear" w:color="auto" w:fill="ffffff"/>
        <w:widowControl/>
        <w:rPr>
          <w:rFonts w:ascii="宋体" w:hAnsi="宋体" w:cs="宋体"/>
          <w:bCs/>
          <w:sz w:val="24"/>
          <w:szCs w:val="24"/>
        </w:rPr>
      </w:pPr>
      <w:r>
        <w:rPr>
          <w:rFonts w:ascii="宋体" w:hAnsi="宋体" w:cs="宋体"/>
          <w:bCs/>
          <w:sz w:val="24"/>
          <w:szCs w:val="24"/>
        </w:rPr>
      </w:r>
      <w:r/>
    </w:p>
    <w:p>
      <w:pPr>
        <w:ind w:right="119"/>
        <w:jc w:val="left"/>
        <w:spacing w:line="360" w:lineRule="auto"/>
        <w:rPr>
          <w:rFonts w:ascii="宋体" w:hAnsi="宋体" w:cs="仿宋"/>
          <w:b/>
        </w:rPr>
      </w:pPr>
      <w:r>
        <w:rPr>
          <w:rFonts w:hint="eastAsia" w:ascii="宋体" w:hAnsi="宋体" w:cs="仿宋"/>
          <w:b/>
        </w:rPr>
        <w:t xml:space="preserve">（一）指导思想 </w:t>
      </w:r>
      <w:r/>
    </w:p>
    <w:p>
      <w:pPr>
        <w:ind w:right="119"/>
        <w:jc w:val="left"/>
        <w:spacing w:line="360" w:lineRule="auto"/>
        <w:rPr>
          <w:rFonts w:ascii="宋体" w:hAnsi="宋体" w:cs="仿宋"/>
        </w:rPr>
      </w:pPr>
      <w:r>
        <w:rPr>
          <w:rFonts w:hint="eastAsia" w:ascii="宋体" w:hAnsi="宋体" w:cs="仿宋"/>
        </w:rPr>
        <w:t xml:space="preserve">根据相关规定，对承检机构进行考核，是为了有效督促承担抽检任务的食品检验机构严格按照《食品检验工作规范》、《食品抽样检验管理办法》开展食品抽样、检验检测的重要手段，通过开展对承检机构检验资质、检验能力、质量控制等方面的考核，不断提高检验能力和管理水平，确保检验结果的客观公正，保障食品安全抽检任务顺利完成。</w:t>
      </w:r>
      <w:r/>
    </w:p>
    <w:p>
      <w:pPr>
        <w:spacing w:line="360" w:lineRule="auto"/>
        <w:rPr>
          <w:rFonts w:ascii="宋体" w:hAnsi="宋体" w:cs="仿宋"/>
          <w:b/>
        </w:rPr>
      </w:pPr>
      <w:r>
        <w:rPr>
          <w:rFonts w:hint="eastAsia" w:ascii="宋体" w:hAnsi="宋体" w:cs="仿宋"/>
          <w:b/>
        </w:rPr>
        <w:t xml:space="preserve">（二）考核对象</w:t>
      </w:r>
      <w:r/>
    </w:p>
    <w:p>
      <w:pPr>
        <w:ind w:right="119"/>
        <w:jc w:val="left"/>
        <w:spacing w:line="360" w:lineRule="auto"/>
        <w:rPr>
          <w:rFonts w:ascii="宋体" w:hAnsi="宋体" w:cs="仿宋"/>
        </w:rPr>
      </w:pPr>
      <w:r>
        <w:rPr>
          <w:rFonts w:hint="eastAsia" w:ascii="宋体" w:hAnsi="宋体" w:cs="仿宋"/>
        </w:rPr>
        <w:t xml:space="preserve">承担扬州市邗江区食品抽检监测任务的检验机构。</w:t>
      </w:r>
      <w:r/>
    </w:p>
    <w:p>
      <w:pPr>
        <w:spacing w:line="360" w:lineRule="auto"/>
        <w:rPr>
          <w:rFonts w:ascii="宋体" w:hAnsi="宋体" w:cs="仿宋"/>
          <w:b/>
        </w:rPr>
      </w:pPr>
      <w:r>
        <w:rPr>
          <w:rFonts w:hint="eastAsia" w:ascii="宋体" w:hAnsi="宋体" w:cs="仿宋"/>
          <w:b/>
        </w:rPr>
        <w:t xml:space="preserve">（三）考核内容</w:t>
      </w:r>
      <w:r/>
    </w:p>
    <w:p>
      <w:pPr>
        <w:ind w:right="119"/>
        <w:jc w:val="left"/>
        <w:spacing w:line="360" w:lineRule="auto"/>
        <w:rPr>
          <w:rFonts w:ascii="宋体" w:hAnsi="宋体" w:cs="仿宋"/>
        </w:rPr>
      </w:pPr>
      <w:r>
        <w:rPr>
          <w:rFonts w:hint="eastAsia" w:ascii="宋体" w:hAnsi="宋体" w:cs="仿宋"/>
        </w:rPr>
        <w:t xml:space="preserve">1.承检机构的检验资质、抽样和检验人员的资质、样品的抽取、运输和储存的规范性、仪器设备的使用和维护、检验过程、结果的质量控制等；</w:t>
      </w:r>
      <w:r/>
    </w:p>
    <w:p>
      <w:pPr>
        <w:ind w:right="119"/>
        <w:jc w:val="left"/>
        <w:spacing w:line="360" w:lineRule="auto"/>
        <w:rPr>
          <w:rFonts w:ascii="宋体" w:hAnsi="宋体" w:cs="仿宋"/>
        </w:rPr>
      </w:pPr>
      <w:r>
        <w:rPr>
          <w:rFonts w:hint="eastAsia" w:ascii="宋体" w:hAnsi="宋体" w:cs="仿宋"/>
        </w:rPr>
        <w:t xml:space="preserve">2.实验室质量管理水平和检验人员检测能力等；</w:t>
      </w:r>
      <w:r/>
    </w:p>
    <w:p>
      <w:pPr>
        <w:spacing w:line="360" w:lineRule="auto"/>
        <w:rPr>
          <w:rFonts w:ascii="宋体" w:hAnsi="宋体" w:cs="仿宋"/>
        </w:rPr>
      </w:pPr>
      <w:r>
        <w:rPr>
          <w:rFonts w:hint="eastAsia" w:ascii="宋体" w:hAnsi="宋体" w:cs="仿宋"/>
        </w:rPr>
        <w:t xml:space="preserve">3.检验报告合法性、规范性和时效性等；</w:t>
      </w:r>
      <w:r/>
    </w:p>
    <w:p>
      <w:pPr>
        <w:spacing w:line="360" w:lineRule="auto"/>
        <w:rPr>
          <w:rFonts w:ascii="宋体" w:hAnsi="宋体" w:cs="仿宋"/>
        </w:rPr>
      </w:pPr>
      <w:r>
        <w:rPr>
          <w:rFonts w:hint="eastAsia" w:ascii="宋体" w:hAnsi="宋体" w:cs="仿宋"/>
        </w:rPr>
        <w:t xml:space="preserve">4.承检机构周报、月报、阶段性任务完成情况，服务质量等。</w:t>
      </w:r>
      <w:r/>
    </w:p>
    <w:p>
      <w:pPr>
        <w:ind w:right="119"/>
        <w:jc w:val="left"/>
        <w:spacing w:line="360" w:lineRule="auto"/>
        <w:rPr>
          <w:rFonts w:ascii="宋体" w:hAnsi="宋体" w:cs="仿宋"/>
        </w:rPr>
      </w:pPr>
      <w:r>
        <w:rPr>
          <w:rFonts w:hint="eastAsia" w:ascii="宋体" w:hAnsi="宋体" w:cs="仿宋"/>
          <w:b/>
        </w:rPr>
        <w:t xml:space="preserve">（四）考核模式</w:t>
      </w:r>
      <w:r/>
    </w:p>
    <w:p>
      <w:pPr>
        <w:ind w:right="119"/>
        <w:jc w:val="left"/>
        <w:spacing w:line="360" w:lineRule="auto"/>
        <w:rPr>
          <w:rFonts w:ascii="宋体" w:hAnsi="宋体" w:cs="仿宋"/>
        </w:rPr>
      </w:pPr>
      <w:r>
        <w:rPr>
          <w:rFonts w:hint="eastAsia" w:ascii="宋体" w:hAnsi="宋体" w:cs="仿宋"/>
        </w:rPr>
        <w:t xml:space="preserve">飞行检查、现场核查、能力验证、留样再测、质控样检测、报告考核和数据质量考核等。</w:t>
      </w:r>
      <w:r/>
    </w:p>
    <w:p>
      <w:pPr>
        <w:spacing w:line="360" w:lineRule="auto"/>
        <w:rPr>
          <w:rFonts w:ascii="宋体" w:hAnsi="宋体" w:cs="仿宋"/>
        </w:rPr>
      </w:pPr>
      <w:r>
        <w:rPr>
          <w:rFonts w:hint="eastAsia" w:ascii="宋体" w:hAnsi="宋体" w:cs="仿宋"/>
        </w:rPr>
        <w:t xml:space="preserve">    1.飞行检查、现场核查考核重点：承检机构的检验资质、抽样及检验人员的资质、样品的抽取、样品运输和储存的规范性、仪器设备的使用和维护情况、检验结果的质量控制等。</w:t>
      </w:r>
      <w:r/>
    </w:p>
    <w:p>
      <w:pPr>
        <w:ind w:right="119" w:firstLine="420"/>
        <w:jc w:val="left"/>
        <w:spacing w:line="360" w:lineRule="auto"/>
        <w:rPr>
          <w:rFonts w:ascii="宋体" w:hAnsi="宋体" w:cs="仿宋"/>
        </w:rPr>
      </w:pPr>
      <w:r>
        <w:rPr>
          <w:rFonts w:hint="eastAsia" w:ascii="宋体" w:hAnsi="宋体" w:cs="仿宋"/>
        </w:rPr>
        <w:t xml:space="preserve">2.报告考核重点：检验报告合法性、规范性和时效性。由考核专家组</w:t>
      </w:r>
      <w:r>
        <w:rPr>
          <w:rFonts w:ascii="宋体" w:hAnsi="宋体" w:cs="仿宋"/>
        </w:rPr>
        <w:t xml:space="preserve">从承</w:t>
      </w:r>
      <w:r>
        <w:rPr>
          <w:rFonts w:hint="eastAsia" w:ascii="宋体" w:hAnsi="宋体" w:cs="仿宋"/>
        </w:rPr>
        <w:t xml:space="preserve">检</w:t>
      </w:r>
      <w:r>
        <w:rPr>
          <w:rFonts w:ascii="宋体" w:hAnsi="宋体" w:cs="仿宋"/>
        </w:rPr>
        <w:t xml:space="preserve">任务</w:t>
      </w:r>
      <w:r>
        <w:rPr>
          <w:rFonts w:hint="eastAsia" w:ascii="宋体" w:hAnsi="宋体" w:cs="仿宋"/>
        </w:rPr>
        <w:t xml:space="preserve">中按照抽样单编号抽取报告，每次从每家承检机构抽取检验报告</w:t>
      </w:r>
      <w:r>
        <w:rPr>
          <w:rFonts w:ascii="宋体" w:hAnsi="宋体" w:cs="仿宋"/>
        </w:rPr>
        <w:t xml:space="preserve">10</w:t>
      </w:r>
      <w:r>
        <w:rPr>
          <w:rFonts w:hint="eastAsia" w:ascii="宋体" w:hAnsi="宋体" w:cs="仿宋"/>
        </w:rPr>
        <w:t xml:space="preserve">份，</w:t>
      </w:r>
      <w:r>
        <w:rPr>
          <w:rFonts w:ascii="宋体" w:hAnsi="宋体" w:cs="仿宋"/>
        </w:rPr>
        <w:t xml:space="preserve">报告采取现场考核或</w:t>
      </w:r>
      <w:r>
        <w:rPr>
          <w:rFonts w:hint="eastAsia" w:ascii="宋体" w:hAnsi="宋体" w:cs="仿宋"/>
        </w:rPr>
        <w:t xml:space="preserve">通过</w:t>
      </w:r>
      <w:r>
        <w:rPr>
          <w:rFonts w:ascii="宋体" w:hAnsi="宋体" w:cs="仿宋"/>
        </w:rPr>
        <w:t xml:space="preserve">邮寄送达</w:t>
      </w:r>
      <w:r>
        <w:rPr>
          <w:rFonts w:hint="eastAsia" w:ascii="宋体" w:hAnsi="宋体" w:cs="仿宋"/>
        </w:rPr>
        <w:t xml:space="preserve">指定地点。各个承检机构根据抽样单编号寄送检验报告，检验报告均应在规定日期内邮出。用于考核的报告均为加盖了承检机构公章的纸质检验报告，并附有原始记录和抽样单复印件。</w:t>
      </w:r>
      <w:r/>
    </w:p>
    <w:p>
      <w:pPr>
        <w:ind w:right="119" w:firstLine="420"/>
        <w:jc w:val="left"/>
        <w:spacing w:line="360" w:lineRule="auto"/>
        <w:rPr>
          <w:rFonts w:ascii="宋体" w:hAnsi="宋体" w:cs="仿宋"/>
        </w:rPr>
      </w:pPr>
      <w:r>
        <w:rPr>
          <w:rFonts w:hint="eastAsia" w:ascii="宋体" w:hAnsi="宋体" w:cs="仿宋"/>
        </w:rPr>
        <w:t xml:space="preserve">3.能力验证、留样再测、质控样检测考核重点：监控实验室质量管理水平和检验人员检测能力，以确保检验结果的有效性和准确性。能力验证由</w:t>
      </w:r>
      <w:r>
        <w:rPr>
          <w:rFonts w:hint="eastAsia" w:ascii="宋体" w:hAnsi="宋体"/>
        </w:rPr>
        <w:t xml:space="preserve">扬州市邗江区食品药品安全委员会办公室</w:t>
      </w:r>
      <w:r>
        <w:rPr>
          <w:rFonts w:ascii="宋体" w:hAnsi="宋体" w:cs="仿宋"/>
        </w:rPr>
        <w:t xml:space="preserve">提供盲</w:t>
      </w:r>
      <w:r>
        <w:rPr>
          <w:rFonts w:hint="eastAsia" w:ascii="宋体" w:hAnsi="宋体" w:cs="仿宋"/>
        </w:rPr>
        <w:t xml:space="preserve">样</w:t>
      </w:r>
      <w:r>
        <w:rPr>
          <w:rFonts w:ascii="宋体" w:hAnsi="宋体" w:cs="仿宋"/>
        </w:rPr>
        <w:t xml:space="preserve">，</w:t>
      </w:r>
      <w:r>
        <w:rPr>
          <w:rFonts w:hint="eastAsia" w:ascii="宋体" w:hAnsi="宋体" w:cs="仿宋"/>
        </w:rPr>
        <w:t xml:space="preserve">考核</w:t>
      </w:r>
      <w:r>
        <w:rPr>
          <w:rFonts w:ascii="宋体" w:hAnsi="宋体" w:cs="仿宋"/>
        </w:rPr>
        <w:t xml:space="preserve">项目</w:t>
      </w:r>
      <w:r>
        <w:rPr>
          <w:rFonts w:hint="eastAsia" w:ascii="宋体" w:hAnsi="宋体" w:cs="仿宋"/>
        </w:rPr>
        <w:t xml:space="preserve">根据</w:t>
      </w:r>
      <w:r>
        <w:rPr>
          <w:rFonts w:ascii="宋体" w:hAnsi="宋体" w:cs="仿宋"/>
        </w:rPr>
        <w:t xml:space="preserve">情况</w:t>
      </w:r>
      <w:r>
        <w:rPr>
          <w:rFonts w:hint="eastAsia" w:ascii="宋体" w:hAnsi="宋体" w:cs="仿宋"/>
        </w:rPr>
        <w:t xml:space="preserve">确定，组织各机构报名参加，结果由能力验证参加者报至办公室。留样再测和质控样检测由</w:t>
      </w:r>
      <w:r>
        <w:rPr>
          <w:rFonts w:hint="eastAsia" w:ascii="宋体" w:hAnsi="宋体"/>
        </w:rPr>
        <w:t xml:space="preserve">扬州市邗江区食品药品安全委员会办公室</w:t>
      </w:r>
      <w:r>
        <w:rPr>
          <w:rFonts w:hint="eastAsia" w:ascii="宋体" w:hAnsi="宋体" w:cs="仿宋"/>
        </w:rPr>
        <w:t xml:space="preserve">制定方案，并负责调取、分发样品，每份样品随机选择原检验机构以外的其他三家承检机构开展检测。</w:t>
      </w:r>
      <w:r/>
    </w:p>
    <w:p>
      <w:pPr>
        <w:ind w:right="119" w:firstLine="420"/>
        <w:jc w:val="left"/>
        <w:spacing w:line="360" w:lineRule="auto"/>
        <w:rPr>
          <w:rFonts w:ascii="宋体" w:hAnsi="宋体" w:cs="仿宋"/>
        </w:rPr>
      </w:pPr>
      <w:r>
        <w:rPr>
          <w:rFonts w:hint="eastAsia" w:ascii="宋体" w:hAnsi="宋体" w:cs="仿宋"/>
        </w:rPr>
        <w:t xml:space="preserve">4、服务质量考核重点：食品协调科对各承检机构周报、月报、阶段性任务数据统计汇总上报情况、分析报告质量、服务水平、与抽样地区的协调配合情况、采购方满意度、被抽样企业（单位）的反馈意见进行综合评定计分。</w:t>
      </w:r>
      <w:r/>
    </w:p>
    <w:p>
      <w:pPr>
        <w:ind w:right="119"/>
        <w:jc w:val="left"/>
        <w:spacing w:line="360" w:lineRule="auto"/>
        <w:rPr>
          <w:rFonts w:ascii="宋体" w:hAnsi="宋体" w:cs="仿宋"/>
          <w:b/>
        </w:rPr>
      </w:pPr>
      <w:r>
        <w:rPr>
          <w:rFonts w:hint="eastAsia" w:ascii="宋体" w:hAnsi="宋体" w:cs="仿宋"/>
          <w:b/>
        </w:rPr>
        <w:t xml:space="preserve">（五）组织形式</w:t>
      </w:r>
      <w:r/>
    </w:p>
    <w:p>
      <w:pPr>
        <w:ind w:right="119" w:firstLine="420"/>
        <w:jc w:val="left"/>
        <w:spacing w:line="360" w:lineRule="auto"/>
        <w:rPr>
          <w:rFonts w:ascii="宋体" w:hAnsi="宋体" w:cs="仿宋"/>
        </w:rPr>
      </w:pPr>
      <w:r>
        <w:rPr>
          <w:rFonts w:hint="eastAsia" w:ascii="宋体" w:hAnsi="宋体" w:cs="仿宋"/>
        </w:rPr>
        <w:t xml:space="preserve">考核</w:t>
      </w:r>
      <w:r>
        <w:rPr>
          <w:rFonts w:ascii="宋体" w:hAnsi="宋体" w:cs="仿宋"/>
        </w:rPr>
        <w:t xml:space="preserve">时间选择在</w:t>
      </w:r>
      <w:r>
        <w:rPr>
          <w:rFonts w:hint="eastAsia" w:ascii="宋体" w:hAnsi="宋体" w:cs="仿宋"/>
        </w:rPr>
        <w:t xml:space="preserve">每批任务进行中或结束后，原则上每半年组织一次考核，考核组成员由</w:t>
      </w:r>
      <w:r>
        <w:rPr>
          <w:rFonts w:hint="eastAsia" w:ascii="宋体" w:hAnsi="宋体"/>
        </w:rPr>
        <w:t xml:space="preserve">扬州市邗江区食品药品安全委员会办公室</w:t>
      </w:r>
      <w:r>
        <w:rPr>
          <w:rFonts w:hint="eastAsia" w:ascii="宋体" w:hAnsi="宋体" w:cs="仿宋"/>
        </w:rPr>
        <w:t xml:space="preserve">专家库（含中标的各承检机构质量负责人）中随机选取。</w:t>
      </w:r>
      <w:r/>
    </w:p>
    <w:p>
      <w:pPr>
        <w:jc w:val="left"/>
        <w:widowControl/>
        <w:rPr>
          <w:rFonts w:ascii="宋体" w:hAnsi="宋体"/>
          <w:b/>
          <w:bCs/>
        </w:rPr>
      </w:pPr>
      <w:r>
        <w:rPr>
          <w:rFonts w:ascii="宋体" w:hAnsi="宋体"/>
          <w:b/>
          <w:bCs/>
        </w:rPr>
        <w:br w:type="page" w:clear="all"/>
      </w:r>
      <w:r/>
    </w:p>
    <w:p>
      <w:pPr>
        <w:pStyle w:val="760"/>
        <w:jc w:val="center"/>
        <w:rPr>
          <w:rFonts w:ascii="宋体" w:hAnsi="宋体"/>
          <w:sz w:val="36"/>
        </w:rPr>
      </w:pPr>
      <w:r>
        <w:rPr>
          <w:rFonts w:hint="eastAsia" w:ascii="宋体" w:hAnsi="宋体"/>
          <w:sz w:val="36"/>
        </w:rPr>
        <w:t xml:space="preserve">第五章 评标方法及评标标准</w:t>
      </w:r>
      <w:r/>
    </w:p>
    <w:p>
      <w:pPr>
        <w:pStyle w:val="1053"/>
        <w:ind w:firstLine="422"/>
        <w:rPr>
          <w:rFonts w:ascii="宋体" w:hAnsi="宋体"/>
          <w:b/>
          <w:sz w:val="21"/>
          <w:szCs w:val="21"/>
        </w:rPr>
      </w:pPr>
      <w:r>
        <w:rPr>
          <w:rFonts w:hint="eastAsia" w:ascii="宋体" w:hAnsi="宋体"/>
          <w:b/>
          <w:sz w:val="21"/>
          <w:szCs w:val="21"/>
        </w:rPr>
        <w:t xml:space="preserve">一、评标方法</w:t>
      </w:r>
      <w:r/>
    </w:p>
    <w:p>
      <w:pPr>
        <w:ind w:left="0" w:right="0" w:firstLine="0"/>
        <w:spacing w:before="240" w:after="240"/>
        <w:rPr>
          <w:sz w:val="28"/>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个包选取</w:t>
      </w:r>
      <w:r>
        <w:rPr>
          <w:rFonts w:ascii="Arial" w:hAnsi="Arial" w:eastAsia="Arial" w:cs="Arial"/>
          <w:color w:val="000000"/>
          <w:sz w:val="22"/>
          <w:szCs w:val="22"/>
        </w:rPr>
        <w:t xml:space="preserve">3</w:t>
      </w:r>
      <w:r>
        <w:rPr>
          <w:rFonts w:ascii="SimSun" w:hAnsi="SimSun" w:eastAsia="SimSun" w:cs="SimSun"/>
          <w:color w:val="000000"/>
          <w:sz w:val="22"/>
          <w:szCs w:val="22"/>
        </w:rPr>
        <w:t xml:space="preserve">名中标候选人。</w:t>
      </w:r>
      <w:r>
        <w:rPr>
          <w:sz w:val="22"/>
          <w:szCs w:val="22"/>
        </w:rPr>
      </w:r>
      <w:r/>
    </w:p>
    <w:p>
      <w:pPr>
        <w:ind w:firstLine="422"/>
        <w:spacing w:line="360" w:lineRule="auto"/>
        <w:rPr>
          <w:rFonts w:ascii="宋体" w:hAnsi="宋体"/>
          <w:b/>
        </w:rPr>
      </w:pPr>
      <w:r/>
      <w:bookmarkStart w:id="180" w:name="_Toc449017024"/>
      <w:r/>
      <w:bookmarkStart w:id="181" w:name="_Toc449016388"/>
      <w:r>
        <w:rPr>
          <w:rFonts w:hint="eastAsia" w:ascii="宋体" w:hAnsi="宋体"/>
          <w:b/>
        </w:rPr>
        <w:t xml:space="preserve">二、政府采购政策功能落实</w:t>
      </w:r>
      <w:bookmarkEnd w:id="180"/>
      <w:r/>
      <w:bookmarkEnd w:id="181"/>
      <w:r/>
      <w:r/>
    </w:p>
    <w:p>
      <w:pPr>
        <w:pStyle w:val="1053"/>
        <w:ind w:firstLine="420"/>
        <w:rPr>
          <w:rFonts w:ascii="宋体" w:hAnsi="宋体"/>
          <w:sz w:val="21"/>
          <w:szCs w:val="21"/>
        </w:rPr>
      </w:pPr>
      <w:r>
        <w:rPr>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53"/>
        <w:ind w:left="315" w:firstLine="105"/>
        <w:rPr>
          <w:rFonts w:ascii="宋体" w:hAnsi="宋体"/>
          <w:sz w:val="21"/>
          <w:szCs w:val="21"/>
        </w:rPr>
      </w:pPr>
      <w:r>
        <w:rPr>
          <w:rFonts w:hint="eastAsia" w:ascii="宋体" w:hAnsi="宋体"/>
          <w:sz w:val="21"/>
          <w:szCs w:val="21"/>
        </w:rPr>
        <w:t xml:space="preserve">1、小微型企业价格扣除</w:t>
      </w:r>
      <w:r/>
    </w:p>
    <w:p>
      <w:pPr>
        <w:pStyle w:val="1053"/>
        <w:ind w:firstLine="420"/>
        <w:rPr>
          <w:rFonts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1053"/>
        <w:ind w:firstLine="42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1053"/>
        <w:ind w:left="420" w:firstLine="0"/>
        <w:rPr>
          <w:rFonts w:ascii="宋体" w:hAnsi="宋体"/>
          <w:sz w:val="21"/>
          <w:szCs w:val="21"/>
        </w:rPr>
      </w:pPr>
      <w:r>
        <w:rPr>
          <w:rFonts w:hint="eastAsia" w:ascii="宋体" w:hAnsi="宋体"/>
          <w:sz w:val="21"/>
          <w:szCs w:val="21"/>
        </w:rPr>
        <w:t xml:space="preserve">2、残疾人福利单位价格扣除</w:t>
      </w:r>
      <w:r/>
    </w:p>
    <w:p>
      <w:pPr>
        <w:pStyle w:val="1053"/>
        <w:ind w:left="315" w:firstLine="105"/>
        <w:rPr>
          <w:rFonts w:ascii="宋体" w:hAnsi="宋体"/>
          <w:sz w:val="21"/>
          <w:szCs w:val="21"/>
        </w:rPr>
      </w:pPr>
      <w:r>
        <w:rPr>
          <w:rFonts w:hint="eastAsia" w:ascii="宋体" w:hAnsi="宋体"/>
          <w:sz w:val="21"/>
          <w:szCs w:val="21"/>
        </w:rPr>
        <w:t xml:space="preserve">（1）本项目对残疾人福利性单位视同小型、微型企业，给予20%的价格扣除，用扣除</w:t>
      </w:r>
      <w:r/>
    </w:p>
    <w:p>
      <w:pPr>
        <w:pStyle w:val="1053"/>
        <w:ind w:firstLine="0"/>
        <w:rPr>
          <w:rFonts w:ascii="宋体" w:hAnsi="宋体"/>
          <w:sz w:val="21"/>
          <w:szCs w:val="21"/>
        </w:rPr>
      </w:pPr>
      <w:r>
        <w:rPr>
          <w:rFonts w:hint="eastAsia" w:ascii="宋体" w:hAnsi="宋体"/>
          <w:sz w:val="21"/>
          <w:szCs w:val="21"/>
        </w:rPr>
        <w:t xml:space="preserve">后的价格参与评审。</w:t>
      </w:r>
      <w:r/>
    </w:p>
    <w:p>
      <w:pPr>
        <w:pStyle w:val="1053"/>
        <w:ind w:left="420" w:firstLine="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53"/>
        <w:ind w:left="420" w:firstLine="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053"/>
        <w:ind w:left="420" w:hanging="420"/>
        <w:rPr>
          <w:rFonts w:ascii="宋体" w:hAnsi="宋体"/>
          <w:sz w:val="21"/>
          <w:szCs w:val="21"/>
        </w:rPr>
      </w:pPr>
      <w:r>
        <w:rPr>
          <w:rFonts w:hint="eastAsia" w:ascii="宋体" w:hAnsi="宋体"/>
          <w:sz w:val="21"/>
          <w:szCs w:val="21"/>
        </w:rPr>
        <w:t xml:space="preserve">〔2017〕141号）。</w:t>
      </w:r>
      <w:r/>
    </w:p>
    <w:p>
      <w:pPr>
        <w:pStyle w:val="1053"/>
        <w:ind w:left="420" w:firstLine="0"/>
        <w:rPr>
          <w:rFonts w:ascii="宋体" w:hAnsi="宋体"/>
          <w:sz w:val="21"/>
          <w:szCs w:val="21"/>
        </w:rPr>
      </w:pPr>
      <w:r>
        <w:rPr>
          <w:rFonts w:hint="eastAsia" w:ascii="宋体" w:hAnsi="宋体"/>
          <w:sz w:val="21"/>
          <w:szCs w:val="21"/>
        </w:rPr>
        <w:t xml:space="preserve">3、监狱和戒毒企业价格扣除</w:t>
      </w:r>
      <w:r/>
    </w:p>
    <w:p>
      <w:pPr>
        <w:pStyle w:val="1053"/>
        <w:ind w:left="420" w:firstLine="0"/>
        <w:rPr>
          <w:rFonts w:ascii="宋体" w:hAnsi="宋体"/>
          <w:sz w:val="21"/>
          <w:szCs w:val="21"/>
        </w:rPr>
      </w:pPr>
      <w:r>
        <w:rPr>
          <w:rFonts w:hint="eastAsia" w:ascii="宋体" w:hAnsi="宋体"/>
          <w:sz w:val="21"/>
          <w:szCs w:val="21"/>
        </w:rPr>
        <w:t xml:space="preserve">（1）本项目对监狱和戒毒企业（简称监狱企业）视同小型、微型企业，给予20%的价</w:t>
      </w:r>
      <w:r/>
    </w:p>
    <w:p>
      <w:pPr>
        <w:pStyle w:val="1053"/>
        <w:ind w:firstLine="0"/>
        <w:rPr>
          <w:rFonts w:ascii="宋体" w:hAnsi="宋体"/>
          <w:sz w:val="21"/>
          <w:szCs w:val="21"/>
        </w:rPr>
      </w:pPr>
      <w:r>
        <w:rPr>
          <w:rFonts w:hint="eastAsia" w:ascii="宋体" w:hAnsi="宋体"/>
          <w:sz w:val="21"/>
          <w:szCs w:val="21"/>
        </w:rPr>
        <w:t xml:space="preserve">格扣除，用扣除后的价格参与评审。</w:t>
      </w:r>
      <w:r/>
    </w:p>
    <w:p>
      <w:pPr>
        <w:pStyle w:val="1053"/>
        <w:ind w:left="420" w:firstLine="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3"/>
        <w:ind w:left="420" w:firstLine="21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053"/>
        <w:ind w:firstLine="42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053"/>
        <w:ind w:left="420" w:firstLine="0"/>
        <w:rPr>
          <w:rFonts w:ascii="宋体" w:hAnsi="宋体"/>
          <w:sz w:val="21"/>
          <w:szCs w:val="21"/>
        </w:rPr>
      </w:pPr>
      <w:r>
        <w:rPr>
          <w:rFonts w:hint="eastAsia" w:ascii="宋体" w:hAnsi="宋体"/>
          <w:sz w:val="21"/>
          <w:szCs w:val="21"/>
        </w:rPr>
        <w:t xml:space="preserve">5、大中型企业和其他自然人、法人或者其他组织并与小型、微型企业（残疾人福利单</w:t>
      </w:r>
      <w:r/>
    </w:p>
    <w:p>
      <w:pPr>
        <w:pStyle w:val="1053"/>
        <w:ind w:left="420" w:hanging="420"/>
        <w:rPr>
          <w:rFonts w:ascii="宋体" w:hAnsi="宋体"/>
          <w:sz w:val="21"/>
          <w:szCs w:val="21"/>
        </w:rPr>
      </w:pPr>
      <w:r>
        <w:rPr>
          <w:rFonts w:hint="eastAsia" w:ascii="宋体" w:hAnsi="宋体"/>
          <w:sz w:val="21"/>
          <w:szCs w:val="21"/>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053"/>
        <w:ind w:left="420" w:firstLine="0"/>
        <w:rPr>
          <w:rFonts w:ascii="宋体" w:hAnsi="宋体"/>
          <w:sz w:val="21"/>
          <w:szCs w:val="21"/>
        </w:rPr>
      </w:pPr>
      <w:r>
        <w:rPr>
          <w:rFonts w:hint="eastAsia" w:ascii="宋体" w:hAnsi="宋体"/>
          <w:sz w:val="21"/>
          <w:szCs w:val="21"/>
        </w:rPr>
        <w:t xml:space="preserve">6、联合体各方均为小型、微型企业（残疾人福利单位、监狱企业）的，联合体享受20%价格扣除，用扣除后的价格参与评审。</w:t>
      </w:r>
      <w:r/>
    </w:p>
    <w:p>
      <w:pPr>
        <w:spacing w:line="540" w:lineRule="exact"/>
        <w:rPr>
          <w:rFonts w:ascii="宋体" w:hAnsi="宋体"/>
          <w:b/>
          <w:bCs/>
        </w:rPr>
      </w:pPr>
      <w:r>
        <w:rPr>
          <w:rFonts w:hint="eastAsia" w:ascii="宋体" w:hAnsi="宋体"/>
          <w:b/>
        </w:rPr>
        <w:t xml:space="preserve">三、评标标准</w:t>
      </w:r>
      <w:r/>
    </w:p>
    <w:tbl>
      <w:tblPr>
        <w:tblStyle w:val="764"/>
        <w:tblW w:w="977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1427"/>
        <w:gridCol w:w="1267"/>
        <w:gridCol w:w="5675"/>
      </w:tblGrid>
      <w:tr>
        <w:trPr>
          <w:trHeight w:val="460"/>
        </w:trPr>
        <w:tc>
          <w:tcPr>
            <w:gridSpan w:val="2"/>
            <w:tcBorders>
              <w:top w:val="single" w:color="auto" w:sz="4" w:space="0"/>
              <w:left w:val="single" w:color="auto" w:sz="4" w:space="0"/>
              <w:bottom w:val="single" w:color="auto" w:sz="4" w:space="0"/>
              <w:right w:val="single" w:color="auto" w:sz="4" w:space="0"/>
            </w:tcBorders>
            <w:tcW w:w="2833" w:type="dxa"/>
            <w:textDirection w:val="lrTb"/>
            <w:noWrap w:val="false"/>
          </w:tcPr>
          <w:p>
            <w:pPr>
              <w:jc w:val="center"/>
              <w:spacing w:line="360" w:lineRule="auto"/>
              <w:rPr>
                <w:rFonts w:ascii="宋体" w:hAnsi="宋体"/>
                <w:b/>
              </w:rPr>
            </w:pPr>
            <w:r>
              <w:rPr>
                <w:rFonts w:ascii="宋体" w:hAnsi="宋体"/>
              </w:rPr>
              <w:br w:type="page" w:clear="all"/>
            </w:r>
            <w:r>
              <w:rPr>
                <w:rFonts w:hint="eastAsia" w:ascii="宋体" w:hAnsi="宋体"/>
                <w:b/>
              </w:rPr>
              <w:t xml:space="preserve">评审因素</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60" w:lineRule="auto"/>
              <w:rPr>
                <w:rFonts w:ascii="宋体" w:hAnsi="宋体"/>
                <w:b/>
              </w:rPr>
            </w:pPr>
            <w:r>
              <w:rPr>
                <w:rFonts w:hint="eastAsia" w:ascii="宋体" w:hAnsi="宋体"/>
                <w:b/>
              </w:rPr>
              <w:t xml:space="preserve">分数</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center"/>
              <w:spacing w:line="360" w:lineRule="auto"/>
              <w:rPr>
                <w:rFonts w:ascii="宋体" w:hAnsi="宋体"/>
                <w:b/>
              </w:rPr>
            </w:pPr>
            <w:r>
              <w:rPr>
                <w:rFonts w:hint="eastAsia" w:ascii="宋体" w:hAnsi="宋体"/>
                <w:b/>
              </w:rPr>
              <w:t xml:space="preserve">评  分  标  准</w:t>
            </w:r>
            <w:r/>
          </w:p>
        </w:tc>
      </w:tr>
      <w:tr>
        <w:trPr>
          <w:trHeight w:val="782"/>
        </w:trPr>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320" w:lineRule="exact"/>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20" w:lineRule="exact"/>
              <w:rPr>
                <w:rFonts w:ascii="宋体" w:hAnsi="宋体"/>
              </w:rPr>
            </w:pPr>
            <w:r>
              <w:rPr>
                <w:rFonts w:hint="eastAsia" w:ascii="宋体" w:hAnsi="宋体"/>
              </w:rPr>
              <w:t xml:space="preserve">报价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ascii="宋体" w:hAnsi="宋体"/>
              </w:rPr>
              <w:t xml:space="preserve">（1</w:t>
            </w:r>
            <w:r>
              <w:rPr>
                <w:rFonts w:hint="eastAsia" w:ascii="宋体" w:hAnsi="宋体"/>
              </w:rPr>
              <w:t xml:space="preserve">0</w:t>
            </w:r>
            <w:r>
              <w:rPr>
                <w:rFonts w:ascii="宋体" w:hAnsi="宋体"/>
              </w:rPr>
              <w:t xml:space="preserve">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ind w:firstLine="420"/>
              <w:spacing w:line="320" w:lineRule="exact"/>
              <w:rPr>
                <w:rFonts w:ascii="宋体" w:hAnsi="宋体"/>
              </w:rPr>
            </w:pPr>
            <w:r>
              <w:rPr>
                <w:rFonts w:ascii="宋体" w:hAnsi="宋体"/>
              </w:rPr>
              <w:t xml:space="preserve">以满足招标文件要求的最低价格</w:t>
            </w:r>
            <w:r>
              <w:rPr>
                <w:rFonts w:hint="eastAsia" w:ascii="宋体" w:hAnsi="宋体"/>
              </w:rPr>
              <w:t xml:space="preserve">（单价）</w:t>
            </w:r>
            <w:r>
              <w:rPr>
                <w:rFonts w:ascii="宋体" w:hAnsi="宋体"/>
              </w:rPr>
              <w:t xml:space="preserve">为基准价，得满分1</w:t>
            </w:r>
            <w:r>
              <w:rPr>
                <w:rFonts w:hint="eastAsia" w:ascii="宋体" w:hAnsi="宋体"/>
              </w:rPr>
              <w:t xml:space="preserve">0</w:t>
            </w:r>
            <w:r>
              <w:rPr>
                <w:rFonts w:ascii="宋体" w:hAnsi="宋体"/>
              </w:rPr>
              <w:t xml:space="preserve">分，其它报价得分＝（基准价/其他报价）×1</w:t>
            </w:r>
            <w:r>
              <w:rPr>
                <w:rFonts w:hint="eastAsia" w:ascii="宋体" w:hAnsi="宋体"/>
              </w:rPr>
              <w:t xml:space="preserve">0</w:t>
            </w:r>
            <w:r>
              <w:rPr>
                <w:rFonts w:ascii="宋体" w:hAnsi="宋体"/>
              </w:rPr>
              <w:t xml:space="preserve">×100</w:t>
            </w:r>
            <w:r>
              <w:rPr>
                <w:rFonts w:hint="eastAsia" w:ascii="宋体" w:hAnsi="宋体"/>
              </w:rPr>
              <w:t xml:space="preserve">%</w:t>
            </w:r>
            <w:r>
              <w:rPr>
                <w:rFonts w:ascii="宋体" w:hAnsi="宋体"/>
              </w:rPr>
              <w:t xml:space="preserve">（小数保留2位）</w:t>
            </w:r>
            <w:r/>
          </w:p>
        </w:tc>
      </w:tr>
      <w:tr>
        <w:trPr>
          <w:trHeight w:val="353"/>
        </w:trPr>
        <w:tc>
          <w:tcPr>
            <w:tcBorders>
              <w:top w:val="single" w:color="auto" w:sz="4" w:space="0"/>
              <w:left w:val="single" w:color="auto" w:sz="4" w:space="0"/>
              <w:right w:val="single" w:color="auto" w:sz="4" w:space="0"/>
            </w:tcBorders>
            <w:tcW w:w="1406" w:type="dxa"/>
            <w:vAlign w:val="center"/>
            <w:vMerge w:val="restart"/>
            <w:textDirection w:val="lrTb"/>
            <w:noWrap w:val="false"/>
          </w:tcPr>
          <w:p>
            <w:pPr>
              <w:jc w:val="center"/>
              <w:spacing w:line="320" w:lineRule="exact"/>
              <w:rPr>
                <w:rFonts w:ascii="宋体" w:hAnsi="宋体"/>
              </w:rPr>
            </w:pPr>
            <w:r>
              <w:rPr>
                <w:rFonts w:hint="eastAsia" w:ascii="宋体" w:hAnsi="宋体"/>
              </w:rPr>
              <w:t xml:space="preserve">技术响应</w:t>
            </w:r>
            <w:r/>
          </w:p>
        </w:tc>
        <w:tc>
          <w:tcPr>
            <w:tcBorders>
              <w:top w:val="single" w:color="auto" w:sz="4" w:space="0"/>
              <w:left w:val="single" w:color="auto" w:sz="4" w:space="0"/>
              <w:right w:val="single" w:color="auto" w:sz="4" w:space="0"/>
            </w:tcBorders>
            <w:tcW w:w="1427" w:type="dxa"/>
            <w:vAlign w:val="center"/>
            <w:textDirection w:val="lrTb"/>
            <w:noWrap w:val="false"/>
          </w:tcPr>
          <w:p>
            <w:pPr>
              <w:jc w:val="center"/>
              <w:spacing w:line="320" w:lineRule="exact"/>
              <w:rPr>
                <w:rFonts w:ascii="宋体" w:hAnsi="宋体"/>
              </w:rPr>
            </w:pPr>
            <w:r>
              <w:rPr>
                <w:rFonts w:hint="eastAsia" w:ascii="宋体" w:hAnsi="宋体"/>
              </w:rPr>
              <w:t xml:space="preserve">检验项目覆盖率</w:t>
            </w:r>
            <w:r/>
          </w:p>
        </w:tc>
        <w:tc>
          <w:tcPr>
            <w:tcBorders>
              <w:top w:val="single" w:color="auto" w:sz="4" w:space="0"/>
              <w:left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ascii="宋体" w:hAnsi="宋体"/>
              </w:rPr>
              <w:t xml:space="preserve">（5分）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spacing w:line="0" w:lineRule="atLeast"/>
              <w:rPr>
                <w:rFonts w:ascii="宋体" w:hAnsi="宋体"/>
                <w:b/>
                <w:bCs/>
              </w:rPr>
            </w:pPr>
            <w:r>
              <w:rPr>
                <w:rFonts w:ascii="宋体" w:hAnsi="宋体"/>
                <w:b/>
                <w:bCs/>
              </w:rPr>
              <w:t xml:space="preserve">  1、基础能力（</w:t>
            </w:r>
            <w:r>
              <w:rPr>
                <w:rFonts w:hint="eastAsia" w:ascii="宋体" w:hAnsi="宋体"/>
                <w:b/>
                <w:bCs/>
              </w:rPr>
              <w:t xml:space="preserve">5</w:t>
            </w:r>
            <w:r>
              <w:rPr>
                <w:rFonts w:ascii="宋体" w:hAnsi="宋体"/>
                <w:b/>
                <w:bCs/>
              </w:rPr>
              <w:t xml:space="preserve">分）。</w:t>
            </w:r>
            <w:r/>
          </w:p>
          <w:p>
            <w:pPr>
              <w:numPr>
                <w:ilvl w:val="0"/>
                <w:numId w:val="0"/>
              </w:numPr>
              <w:spacing w:line="0" w:lineRule="atLeast"/>
              <w:rPr>
                <w:rFonts w:ascii="宋体" w:hAnsi="宋体" w:cs="宋体"/>
              </w:rPr>
            </w:pPr>
            <w:r>
              <w:rPr>
                <w:rFonts w:ascii="宋体" w:hAnsi="宋体"/>
              </w:rPr>
              <w:t xml:space="preserve">  供应商</w:t>
            </w:r>
            <w:r>
              <w:rPr>
                <w:rFonts w:hint="eastAsia" w:ascii="宋体" w:hAnsi="宋体" w:cs="宋体"/>
              </w:rPr>
              <w:t xml:space="preserve">对国抽细则2024版中</w:t>
            </w:r>
            <w:r>
              <w:rPr>
                <w:rFonts w:ascii="宋体" w:hAnsi="宋体" w:cs="宋体"/>
              </w:rPr>
              <w:t xml:space="preserve">33</w:t>
            </w:r>
            <w:r>
              <w:rPr>
                <w:rFonts w:hint="eastAsia" w:ascii="宋体" w:hAnsi="宋体" w:cs="宋体"/>
              </w:rPr>
              <w:t xml:space="preserve">类食品列出的各产品检验项目表的项目覆盖率在95%（不含）以下的不得分；95%得1分，每增加1%加1分，满分5分。</w:t>
            </w:r>
            <w:r/>
          </w:p>
          <w:p>
            <w:pPr>
              <w:jc w:val="left"/>
              <w:spacing w:line="0" w:lineRule="atLeast"/>
              <w:widowControl/>
              <w:rPr>
                <w:rFonts w:ascii="宋体" w:hAnsi="宋体" w:cs="宋体"/>
              </w:rPr>
            </w:pPr>
            <w:r>
              <w:rPr>
                <w:rFonts w:hint="eastAsia" w:ascii="宋体" w:hAnsi="宋体" w:cs="等线"/>
                <w:b/>
                <w:bCs/>
              </w:rPr>
              <w:t xml:space="preserve">  （</w:t>
            </w:r>
            <w:r>
              <w:rPr>
                <w:rFonts w:ascii="宋体" w:hAnsi="宋体" w:cs="等线"/>
                <w:b/>
                <w:bCs/>
              </w:rPr>
              <w:t xml:space="preserve">提供资质证书、</w:t>
            </w:r>
            <w:r>
              <w:rPr>
                <w:rFonts w:hint="eastAsia" w:ascii="宋体" w:hAnsi="宋体" w:cs="等线"/>
                <w:b/>
                <w:bCs/>
              </w:rPr>
              <w:t xml:space="preserve">资质</w:t>
            </w:r>
            <w:r>
              <w:rPr>
                <w:rFonts w:ascii="宋体" w:hAnsi="宋体" w:cs="等线"/>
                <w:b/>
                <w:bCs/>
              </w:rPr>
              <w:t xml:space="preserve">认定证书附表</w:t>
            </w:r>
            <w:r>
              <w:rPr>
                <w:rFonts w:hint="eastAsia" w:ascii="宋体" w:hAnsi="宋体" w:cs="等线"/>
                <w:b/>
                <w:bCs/>
              </w:rPr>
              <w:t xml:space="preserve">原件扫描件上传</w:t>
            </w:r>
            <w:r>
              <w:rPr>
                <w:rFonts w:ascii="宋体" w:hAnsi="宋体" w:cs="等线"/>
                <w:b/>
                <w:bCs/>
              </w:rPr>
              <w:t xml:space="preserve">，与</w:t>
            </w:r>
            <w:r>
              <w:rPr>
                <w:rFonts w:hint="eastAsia" w:ascii="宋体" w:hAnsi="宋体" w:cs="等线"/>
                <w:b/>
                <w:bCs/>
              </w:rPr>
              <w:t xml:space="preserve">2024</w:t>
            </w:r>
            <w:r>
              <w:rPr>
                <w:rFonts w:ascii="宋体" w:hAnsi="宋体" w:cs="等线"/>
                <w:b/>
                <w:bCs/>
              </w:rPr>
              <w:t xml:space="preserve">年国抽细则检验指标进行对照，标明对应资质附表中的页码，评委现场核对，证明资料不完整或不一致的不计分。</w:t>
            </w:r>
            <w:r>
              <w:rPr>
                <w:rFonts w:hint="eastAsia" w:ascii="宋体" w:hAnsi="宋体" w:cs="等线"/>
                <w:b/>
                <w:bCs/>
              </w:rPr>
              <w:t xml:space="preserve">）</w:t>
            </w:r>
            <w:r/>
          </w:p>
        </w:tc>
      </w:tr>
      <w:tr>
        <w:trPr>
          <w:trHeight w:val="558"/>
        </w:trPr>
        <w:tc>
          <w:tcPr>
            <w:tcBorders>
              <w:left w:val="single" w:color="auto" w:sz="4" w:space="0"/>
              <w:right w:val="single" w:color="auto" w:sz="4" w:space="0"/>
            </w:tcBorders>
            <w:tcW w:w="1406" w:type="dxa"/>
            <w:vMerge w:val="continue"/>
            <w:textDirection w:val="lrTb"/>
            <w:noWrap w:val="false"/>
          </w:tcPr>
          <w:p>
            <w:pPr>
              <w:jc w:val="center"/>
              <w:spacing w:line="320" w:lineRule="exact"/>
              <w:rPr>
                <w:rFonts w:ascii="宋体" w:hAnsi="宋体"/>
              </w:rPr>
            </w:pPr>
            <w:r>
              <w:rPr>
                <w:rFonts w:ascii="宋体" w:hAnsi="宋体"/>
              </w:rPr>
            </w:r>
            <w:r/>
          </w:p>
        </w:tc>
        <w:tc>
          <w:tcPr>
            <w:tcBorders>
              <w:left w:val="single" w:color="auto" w:sz="4" w:space="0"/>
              <w:bottom w:val="single" w:color="auto" w:sz="4" w:space="0"/>
              <w:right w:val="single" w:color="auto" w:sz="4" w:space="0"/>
            </w:tcBorders>
            <w:tcW w:w="1427" w:type="dxa"/>
            <w:vAlign w:val="center"/>
            <w:textDirection w:val="lrTb"/>
            <w:noWrap w:val="false"/>
          </w:tcPr>
          <w:p>
            <w:pPr>
              <w:jc w:val="center"/>
              <w:spacing w:line="320" w:lineRule="exact"/>
              <w:rPr>
                <w:rFonts w:ascii="宋体" w:hAnsi="宋体"/>
              </w:rPr>
            </w:pPr>
            <w:r>
              <w:rPr>
                <w:rFonts w:ascii="宋体" w:hAnsi="宋体"/>
              </w:rPr>
              <w:t xml:space="preserve">供应商能力</w:t>
            </w:r>
            <w:r>
              <w:rPr>
                <w:rFonts w:hint="eastAsia" w:ascii="宋体" w:hAnsi="宋体"/>
              </w:rPr>
              <w:t xml:space="preserve">及能力验证</w:t>
            </w:r>
            <w:r/>
          </w:p>
        </w:tc>
        <w:tc>
          <w:tcPr>
            <w:tcBorders>
              <w:left w:val="single" w:color="auto" w:sz="4" w:space="0"/>
              <w:bottom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hint="eastAsia" w:ascii="宋体" w:hAnsi="宋体"/>
              </w:rPr>
              <w:t xml:space="preserve">（12分）</w:t>
            </w:r>
            <w:r/>
          </w:p>
          <w:p>
            <w:pPr>
              <w:jc w:val="center"/>
              <w:spacing w:line="320" w:lineRule="exact"/>
              <w:rPr>
                <w:rFonts w:ascii="宋体" w:hAnsi="宋体"/>
                <w:b/>
                <w:bCs/>
              </w:rPr>
            </w:pPr>
            <w:r>
              <w:rPr>
                <w:rFonts w:ascii="宋体" w:hAnsi="宋体"/>
                <w:b/>
                <w:bCs/>
              </w:rPr>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spacing w:line="0" w:lineRule="atLeast"/>
              <w:rPr>
                <w:rFonts w:ascii="宋体" w:hAnsi="宋体"/>
                <w:b/>
                <w:bCs/>
              </w:rPr>
            </w:pPr>
            <w:r>
              <w:rPr>
                <w:rFonts w:ascii="宋体" w:hAnsi="宋体"/>
                <w:b/>
                <w:bCs/>
              </w:rPr>
              <w:t xml:space="preserve">  1、供应商能力情况（</w:t>
            </w:r>
            <w:r>
              <w:rPr>
                <w:rFonts w:hint="eastAsia" w:ascii="宋体" w:hAnsi="宋体"/>
                <w:b/>
                <w:bCs/>
              </w:rPr>
              <w:t xml:space="preserve">12</w:t>
            </w:r>
            <w:r>
              <w:rPr>
                <w:rFonts w:ascii="宋体" w:hAnsi="宋体"/>
                <w:b/>
                <w:bCs/>
              </w:rPr>
              <w:t xml:space="preserve">分）。</w:t>
            </w:r>
            <w:r/>
          </w:p>
          <w:p>
            <w:pPr>
              <w:spacing w:line="0" w:lineRule="atLeast"/>
              <w:rPr>
                <w:rFonts w:ascii="宋体" w:hAnsi="宋体"/>
                <w:b/>
                <w:bCs/>
              </w:rPr>
            </w:pPr>
            <w:r>
              <w:rPr>
                <w:rFonts w:hint="eastAsia" w:ascii="宋体" w:hAnsi="宋体"/>
                <w:b/>
                <w:bCs/>
              </w:rPr>
              <w:t xml:space="preserve"> （1）专业类产品检测能力（2分）</w:t>
            </w:r>
            <w:r/>
          </w:p>
          <w:p>
            <w:pPr>
              <w:spacing w:line="0" w:lineRule="atLeast"/>
              <w:rPr>
                <w:rFonts w:ascii="宋体" w:hAnsi="宋体"/>
              </w:rPr>
            </w:pPr>
            <w:r>
              <w:rPr>
                <w:rFonts w:hint="eastAsia" w:ascii="宋体" w:hAnsi="宋体"/>
              </w:rPr>
              <w:t xml:space="preserve">  ①投标人通过CATL考核的得1分；</w:t>
            </w:r>
            <w:r/>
          </w:p>
          <w:p>
            <w:pPr>
              <w:spacing w:line="0" w:lineRule="atLeast"/>
              <w:rPr>
                <w:rFonts w:ascii="宋体" w:hAnsi="宋体"/>
              </w:rPr>
            </w:pPr>
            <w:r>
              <w:rPr>
                <w:rFonts w:hint="eastAsia" w:ascii="宋体" w:hAnsi="宋体"/>
              </w:rPr>
              <w:t xml:space="preserve">  ②具有食品复检机构资质得0.5分，近两年来有提供与本 项目类似的复检服务的再得0.5分。</w:t>
            </w:r>
            <w:r/>
          </w:p>
          <w:p>
            <w:pPr>
              <w:jc w:val="left"/>
              <w:spacing w:line="0" w:lineRule="atLeast"/>
              <w:widowControl/>
              <w:rPr>
                <w:rFonts w:ascii="宋体" w:hAnsi="宋体" w:cs="等线"/>
                <w:b/>
                <w:bCs/>
              </w:rPr>
            </w:pPr>
            <w:r>
              <w:rPr>
                <w:rFonts w:hint="eastAsia" w:ascii="宋体" w:hAnsi="宋体" w:cs="等线"/>
                <w:b/>
                <w:bCs/>
              </w:rPr>
              <w:t xml:space="preserve"> （须提供相关证明材料原件扫描件上传）</w:t>
            </w:r>
            <w:r/>
          </w:p>
          <w:p>
            <w:pPr>
              <w:spacing w:line="0" w:lineRule="atLeast"/>
              <w:rPr>
                <w:rFonts w:ascii="宋体" w:hAnsi="宋体" w:cs="宋体"/>
                <w:b/>
                <w:bCs/>
              </w:rPr>
            </w:pPr>
            <w:r>
              <w:rPr>
                <w:rFonts w:hint="eastAsia" w:ascii="宋体" w:hAnsi="宋体"/>
                <w:b/>
                <w:bCs/>
              </w:rPr>
              <w:t xml:space="preserve">  （</w:t>
            </w:r>
            <w:r>
              <w:rPr>
                <w:rFonts w:ascii="宋体" w:hAnsi="宋体"/>
                <w:b/>
                <w:bCs/>
              </w:rPr>
              <w:t xml:space="preserve">2</w:t>
            </w:r>
            <w:r>
              <w:rPr>
                <w:rFonts w:hint="eastAsia" w:ascii="宋体" w:hAnsi="宋体"/>
                <w:b/>
                <w:bCs/>
              </w:rPr>
              <w:t xml:space="preserve">）</w:t>
            </w:r>
            <w:r>
              <w:rPr>
                <w:rFonts w:hint="eastAsia" w:ascii="宋体" w:hAnsi="宋体" w:cs="宋体"/>
                <w:b/>
                <w:bCs/>
              </w:rPr>
              <w:t xml:space="preserve">能力验证（10分）</w:t>
            </w:r>
            <w:r/>
          </w:p>
          <w:p>
            <w:pPr>
              <w:spacing w:line="0" w:lineRule="atLeast"/>
              <w:rPr>
                <w:rFonts w:ascii="宋体" w:hAnsi="宋体" w:cs="宋体"/>
              </w:rPr>
            </w:pPr>
            <w:r>
              <w:rPr>
                <w:rFonts w:hint="eastAsia" w:ascii="宋体" w:hAnsi="宋体" w:cs="宋体"/>
              </w:rPr>
              <w:t xml:space="preserve">  根据投标人2023年1月1日以来，投标人参加过相关机构组织的食品检测项目的实验室能力验证或省级及以上监管部门组织的盲样考核，并获得满意结果的，需包含农药残留、兽药残留、重金属、真菌毒素、食品添加剂、非法添加、微生物、动物源性成分、营养成分、转基因等10个领域，每个领域每次满意结果得 1分，满分10 分。同一领域参加多次的，按一次计算，不重复计分。本项最高得10分</w:t>
            </w:r>
            <w:r/>
          </w:p>
          <w:p>
            <w:pPr>
              <w:jc w:val="left"/>
              <w:spacing w:line="0" w:lineRule="atLeast"/>
              <w:widowControl/>
              <w:rPr>
                <w:rFonts w:ascii="宋体" w:hAnsi="宋体" w:cs="宋体"/>
              </w:rPr>
            </w:pPr>
            <w:r>
              <w:rPr>
                <w:rFonts w:hint="eastAsia" w:ascii="宋体" w:hAnsi="宋体" w:cs="等线"/>
                <w:b/>
                <w:bCs/>
              </w:rPr>
              <w:t xml:space="preserve">（须提供能力验证证书或相关证明文件原件扫描件上传）</w:t>
            </w:r>
            <w:r/>
          </w:p>
        </w:tc>
      </w:tr>
      <w:tr>
        <w:trPr>
          <w:trHeight w:val="1235"/>
        </w:trPr>
        <w:tc>
          <w:tcPr>
            <w:tcBorders>
              <w:left w:val="single" w:color="auto" w:sz="4" w:space="0"/>
              <w:right w:val="single" w:color="auto" w:sz="4" w:space="0"/>
            </w:tcBorders>
            <w:tcW w:w="1406" w:type="dxa"/>
            <w:vMerge w:val="continue"/>
            <w:textDirection w:val="lrTb"/>
            <w:noWrap w:val="false"/>
          </w:tcPr>
          <w:p>
            <w:pPr>
              <w:jc w:val="center"/>
              <w:spacing w:line="320" w:lineRule="exac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20" w:lineRule="exact"/>
              <w:rPr>
                <w:rFonts w:ascii="宋体" w:hAnsi="宋体"/>
              </w:rPr>
            </w:pPr>
            <w:r>
              <w:rPr>
                <w:rFonts w:ascii="宋体" w:hAnsi="宋体"/>
              </w:rPr>
              <w:t xml:space="preserve">实验室场地</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ascii="宋体" w:hAnsi="宋体"/>
              </w:rPr>
              <w:t xml:space="preserve">（</w:t>
            </w:r>
            <w:r>
              <w:rPr>
                <w:rFonts w:hint="eastAsia" w:ascii="宋体" w:hAnsi="宋体"/>
              </w:rPr>
              <w:t xml:space="preserve">5</w:t>
            </w:r>
            <w:r>
              <w:rPr>
                <w:rFonts w:ascii="宋体" w:hAnsi="宋体"/>
              </w:rPr>
              <w:t xml:space="preserve">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left"/>
              <w:rPr>
                <w:rFonts w:ascii="宋体" w:hAnsi="宋体" w:cs="宋体"/>
              </w:rPr>
            </w:pPr>
            <w:r>
              <w:rPr>
                <w:rFonts w:hint="eastAsia" w:ascii="宋体" w:hAnsi="宋体" w:cs="宋体"/>
              </w:rPr>
              <w:t xml:space="preserve">  具备食品安全监督抽检和风险监测工作相适应的实验场所，建有食品、农产品保存专用冷库，检测实验室场所能够按照检验参数类别、产品类别和功能类别进行功能区划分，各功能区设备布局合理等方面。评委根据供应商提供的具体内容进行打分：</w:t>
            </w:r>
            <w:r/>
          </w:p>
          <w:p>
            <w:pPr>
              <w:jc w:val="left"/>
              <w:rPr>
                <w:rFonts w:ascii="宋体" w:hAnsi="宋体" w:cs="宋体"/>
              </w:rPr>
            </w:pPr>
            <w:r>
              <w:rPr>
                <w:rFonts w:hint="eastAsia" w:ascii="宋体" w:hAnsi="宋体" w:cs="宋体"/>
              </w:rPr>
              <w:t xml:space="preserve">  建有食品、农产品保存专用冷库、功能区划分、布局合理，优于采购文件需求的得5分；</w:t>
            </w:r>
            <w:r/>
          </w:p>
          <w:p>
            <w:pPr>
              <w:jc w:val="left"/>
              <w:rPr>
                <w:rFonts w:ascii="宋体" w:hAnsi="宋体" w:cs="宋体"/>
              </w:rPr>
            </w:pPr>
            <w:r>
              <w:rPr>
                <w:rFonts w:hint="eastAsia" w:ascii="宋体" w:hAnsi="宋体" w:cs="宋体"/>
              </w:rPr>
              <w:t xml:space="preserve">  建有食品、农产品保存专用冷库、功能区划分、布局较合理，满足采购文件需求的得3分；</w:t>
            </w:r>
            <w:r/>
          </w:p>
          <w:p>
            <w:pPr>
              <w:jc w:val="left"/>
              <w:rPr>
                <w:rFonts w:ascii="宋体" w:hAnsi="宋体" w:cs="宋体"/>
              </w:rPr>
            </w:pPr>
            <w:r>
              <w:rPr>
                <w:rFonts w:hint="eastAsia" w:ascii="宋体" w:hAnsi="宋体" w:cs="宋体"/>
              </w:rPr>
              <w:t xml:space="preserve">  建有食品、农产品保存专用冷库、功能区划分、布局一般，通过后期优化能够满足采购文件需求的得1分；</w:t>
            </w:r>
            <w:r/>
          </w:p>
          <w:p>
            <w:pPr>
              <w:jc w:val="left"/>
              <w:rPr>
                <w:rFonts w:ascii="宋体" w:hAnsi="宋体" w:cs="宋体"/>
              </w:rPr>
            </w:pPr>
            <w:r>
              <w:rPr>
                <w:rFonts w:hint="eastAsia" w:ascii="宋体" w:hAnsi="宋体" w:cs="宋体"/>
              </w:rPr>
              <w:t xml:space="preserve">  其他情况或没有内容不得分。</w:t>
            </w:r>
            <w:r/>
          </w:p>
          <w:p>
            <w:pPr>
              <w:jc w:val="left"/>
              <w:rPr>
                <w:rFonts w:ascii="宋体" w:hAnsi="宋体" w:cs="宋体"/>
              </w:rPr>
            </w:pPr>
            <w:r>
              <w:rPr>
                <w:rFonts w:hint="eastAsia" w:ascii="宋体" w:hAnsi="宋体" w:cs="宋体"/>
              </w:rPr>
              <w:t xml:space="preserve">  提供实验室功能区平面图、样品冷库照片、设备布局图并对各功能区划分及设备布局进行说明，否则不得分。 </w:t>
            </w:r>
            <w:r/>
          </w:p>
          <w:p>
            <w:pPr>
              <w:spacing w:line="360" w:lineRule="exact"/>
              <w:rPr>
                <w:rFonts w:ascii="宋体" w:hAnsi="宋体" w:cs="等线"/>
                <w:b/>
                <w:bCs/>
              </w:rPr>
            </w:pPr>
            <w:r>
              <w:rPr>
                <w:rFonts w:hint="eastAsia" w:ascii="宋体" w:hAnsi="宋体" w:cs="等线"/>
                <w:b/>
                <w:bCs/>
              </w:rPr>
              <w:t xml:space="preserve">  注：1.</w:t>
            </w:r>
            <w:r>
              <w:rPr>
                <w:rFonts w:hint="eastAsia" w:ascii="宋体" w:hAnsi="宋体"/>
                <w:b/>
                <w:bCs/>
              </w:rPr>
              <w:t xml:space="preserve">投标文件中</w:t>
            </w:r>
            <w:r>
              <w:rPr>
                <w:rFonts w:hint="eastAsia" w:ascii="宋体" w:hAnsi="宋体" w:cs="等线"/>
                <w:b/>
                <w:bCs/>
              </w:rPr>
              <w:t xml:space="preserve">提供实验室平面布局图、各组成部分面积清单</w:t>
            </w:r>
            <w:r>
              <w:rPr>
                <w:rFonts w:hint="eastAsia" w:ascii="宋体" w:hAnsi="宋体"/>
                <w:b/>
                <w:bCs/>
              </w:rPr>
              <w:t xml:space="preserve">并加盖公章</w:t>
            </w:r>
            <w:r>
              <w:rPr>
                <w:rFonts w:hint="eastAsia" w:ascii="宋体" w:hAnsi="宋体" w:cs="等线"/>
                <w:b/>
                <w:bCs/>
              </w:rPr>
              <w:t xml:space="preserve">原件扫描件上传。</w:t>
            </w:r>
            <w:r/>
          </w:p>
          <w:p>
            <w:pPr>
              <w:ind w:firstLine="422"/>
              <w:jc w:val="left"/>
              <w:spacing w:line="320" w:lineRule="exact"/>
              <w:widowControl/>
              <w:rPr>
                <w:rFonts w:ascii="宋体" w:hAnsi="宋体" w:cs="宋体"/>
              </w:rPr>
            </w:pPr>
            <w:r>
              <w:rPr>
                <w:rFonts w:hint="eastAsia" w:ascii="宋体" w:hAnsi="宋体" w:cs="等线"/>
                <w:b/>
                <w:bCs/>
              </w:rPr>
              <w:t xml:space="preserve">2.房屋如为自有，投标文件中则提供房屋产权证明复印件并加盖公章；如为租赁，则提供有效的租赁合同及房屋产权证明原件扫描件上传。</w:t>
            </w:r>
            <w:r/>
          </w:p>
        </w:tc>
      </w:tr>
      <w:tr>
        <w:trPr>
          <w:trHeight w:val="850"/>
        </w:trPr>
        <w:tc>
          <w:tcPr>
            <w:tcBorders>
              <w:left w:val="single" w:color="auto" w:sz="4" w:space="0"/>
              <w:right w:val="single" w:color="auto" w:sz="4" w:space="0"/>
            </w:tcBorders>
            <w:tcW w:w="1406" w:type="dxa"/>
            <w:vMerge w:val="continue"/>
            <w:textDirection w:val="lrTb"/>
            <w:noWrap w:val="false"/>
          </w:tcPr>
          <w:p>
            <w:pPr>
              <w:jc w:val="center"/>
              <w:spacing w:line="320" w:lineRule="exac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20" w:lineRule="exact"/>
              <w:rPr>
                <w:rFonts w:ascii="宋体" w:hAnsi="宋体"/>
              </w:rPr>
            </w:pPr>
            <w:r>
              <w:rPr>
                <w:rFonts w:ascii="宋体" w:hAnsi="宋体"/>
              </w:rPr>
              <w:t xml:space="preserve">实验室设备</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ascii="宋体" w:hAnsi="宋体"/>
              </w:rPr>
              <w:t xml:space="preserve"> （4分）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spacing w:line="360" w:lineRule="exact"/>
              <w:rPr>
                <w:rFonts w:ascii="宋体" w:hAnsi="宋体"/>
              </w:rPr>
            </w:pPr>
            <w:r>
              <w:rPr>
                <w:rFonts w:hint="eastAsia" w:ascii="宋体" w:hAnsi="宋体"/>
              </w:rPr>
              <w:t xml:space="preserve">  具备在计量校准有效期内的实验室大、中型检验检测设备，包括液相色谱质谱联用仪、气相色谱质谱联用仪、电感耦合等离子体质谱仪、离子色谱仪、高效液相色谱仪、气相色谱仪、原子吸收光谱仪和原子荧光光谱仪共8类，每少一类扣 0.5分。 需一并提供有效的计量校准证书和购置发票或采购合同等其他证明材料原件扫描件上传，证明资料不完整或不一致的不计分。</w:t>
            </w:r>
            <w:r/>
          </w:p>
        </w:tc>
      </w:tr>
      <w:tr>
        <w:trPr>
          <w:trHeight w:val="841"/>
        </w:trPr>
        <w:tc>
          <w:tcPr>
            <w:tcBorders>
              <w:left w:val="single" w:color="auto" w:sz="4" w:space="0"/>
              <w:right w:val="single" w:color="auto" w:sz="4" w:space="0"/>
            </w:tcBorders>
            <w:tcW w:w="1406" w:type="dxa"/>
            <w:vMerge w:val="continue"/>
            <w:textDirection w:val="lrTb"/>
            <w:noWrap w:val="false"/>
          </w:tcPr>
          <w:p>
            <w:pPr>
              <w:jc w:val="center"/>
              <w:spacing w:line="320" w:lineRule="exac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20" w:lineRule="exact"/>
              <w:rPr>
                <w:rFonts w:ascii="宋体" w:hAnsi="宋体"/>
              </w:rPr>
            </w:pPr>
            <w:r>
              <w:rPr>
                <w:rFonts w:ascii="宋体" w:hAnsi="宋体"/>
              </w:rPr>
              <w:t xml:space="preserve">人员配备</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ascii="宋体" w:hAnsi="宋体"/>
              </w:rPr>
              <w:t xml:space="preserve">（</w:t>
            </w:r>
            <w:r>
              <w:rPr>
                <w:rFonts w:hint="eastAsia" w:ascii="宋体" w:hAnsi="宋体"/>
              </w:rPr>
              <w:t xml:space="preserve">10</w:t>
            </w:r>
            <w:r>
              <w:rPr>
                <w:rFonts w:ascii="宋体" w:hAnsi="宋体"/>
              </w:rPr>
              <w:t xml:space="preserve">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ind w:firstLine="420"/>
              <w:spacing w:line="320" w:lineRule="exact"/>
              <w:rPr>
                <w:rFonts w:ascii="宋体" w:hAnsi="宋体"/>
              </w:rPr>
            </w:pPr>
            <w:r>
              <w:rPr>
                <w:rFonts w:hint="eastAsia" w:ascii="宋体" w:hAnsi="宋体"/>
              </w:rPr>
              <w:t xml:space="preserve">具有与食品抽检工作相匹配的专职抽样人员和检验人员（提供人员食品岗位证明、</w:t>
            </w:r>
            <w:r>
              <w:rPr>
                <w:rFonts w:ascii="宋体" w:hAnsi="宋体"/>
              </w:rPr>
              <w:t xml:space="preserve">相关</w:t>
            </w:r>
            <w:r>
              <w:rPr>
                <w:rFonts w:hint="eastAsia" w:ascii="宋体" w:hAnsi="宋体"/>
              </w:rPr>
              <w:t xml:space="preserve">学历证明、职称证明、投标人近三个月任一份为其缴纳社保证明等原件扫描件上传，抽样人员和检验人员不能同时申报）。</w:t>
            </w:r>
            <w:r/>
          </w:p>
          <w:p>
            <w:pPr>
              <w:ind w:firstLine="422"/>
              <w:spacing w:line="320" w:lineRule="exact"/>
              <w:rPr>
                <w:rFonts w:ascii="宋体" w:hAnsi="宋体"/>
                <w:b/>
                <w:bCs/>
              </w:rPr>
            </w:pPr>
            <w:r>
              <w:rPr>
                <w:rFonts w:hint="eastAsia" w:ascii="宋体" w:hAnsi="宋体"/>
                <w:b/>
                <w:bCs/>
              </w:rPr>
              <w:t xml:space="preserve">1、人员数量（5分）</w:t>
            </w:r>
            <w:r/>
          </w:p>
          <w:p>
            <w:pPr>
              <w:ind w:firstLine="420"/>
              <w:spacing w:line="320" w:lineRule="exact"/>
              <w:rPr>
                <w:rFonts w:ascii="宋体" w:hAnsi="宋体"/>
              </w:rPr>
            </w:pPr>
            <w:r>
              <w:rPr>
                <w:rFonts w:hint="eastAsia" w:ascii="宋体" w:hAnsi="宋体"/>
              </w:rPr>
              <w:t xml:space="preserve">其中食品抽样人员15名以上（</w:t>
            </w:r>
            <w:r>
              <w:rPr>
                <w:rFonts w:ascii="宋体" w:hAnsi="宋体"/>
              </w:rPr>
              <w:t xml:space="preserve">含）</w:t>
            </w:r>
            <w:r>
              <w:rPr>
                <w:rFonts w:hint="eastAsia" w:ascii="宋体" w:hAnsi="宋体"/>
              </w:rPr>
              <w:t xml:space="preserve">得3分，10名（含）至15名得2分，5名（含）至10名得1分，5名以下不得分;</w:t>
            </w:r>
            <w:r/>
          </w:p>
          <w:p>
            <w:pPr>
              <w:ind w:firstLine="420"/>
              <w:spacing w:line="320" w:lineRule="exact"/>
              <w:rPr>
                <w:rFonts w:ascii="宋体" w:hAnsi="宋体"/>
              </w:rPr>
            </w:pPr>
            <w:r>
              <w:rPr>
                <w:rFonts w:hint="eastAsia" w:ascii="宋体" w:hAnsi="宋体"/>
              </w:rPr>
              <w:t xml:space="preserve">食品检验人员50名以上（</w:t>
            </w:r>
            <w:r>
              <w:rPr>
                <w:rFonts w:ascii="宋体" w:hAnsi="宋体"/>
              </w:rPr>
              <w:t xml:space="preserve">含）</w:t>
            </w:r>
            <w:r>
              <w:rPr>
                <w:rFonts w:hint="eastAsia" w:ascii="宋体" w:hAnsi="宋体"/>
              </w:rPr>
              <w:t xml:space="preserve">得</w:t>
            </w:r>
            <w:r>
              <w:rPr>
                <w:rFonts w:ascii="宋体" w:hAnsi="宋体"/>
              </w:rPr>
              <w:t xml:space="preserve">2</w:t>
            </w:r>
            <w:r>
              <w:rPr>
                <w:rFonts w:hint="eastAsia" w:ascii="宋体" w:hAnsi="宋体"/>
              </w:rPr>
              <w:t xml:space="preserve">分，</w:t>
            </w:r>
            <w:r>
              <w:rPr>
                <w:rFonts w:ascii="宋体" w:hAnsi="宋体"/>
              </w:rPr>
              <w:t xml:space="preserve">30</w:t>
            </w:r>
            <w:r>
              <w:rPr>
                <w:rFonts w:hint="eastAsia" w:ascii="宋体" w:hAnsi="宋体"/>
              </w:rPr>
              <w:t xml:space="preserve">名（含）至5</w:t>
            </w:r>
            <w:r>
              <w:rPr>
                <w:rFonts w:ascii="宋体" w:hAnsi="宋体"/>
              </w:rPr>
              <w:t xml:space="preserve">0</w:t>
            </w:r>
            <w:r>
              <w:rPr>
                <w:rFonts w:hint="eastAsia" w:ascii="宋体" w:hAnsi="宋体"/>
              </w:rPr>
              <w:t xml:space="preserve">名得</w:t>
            </w:r>
            <w:r>
              <w:rPr>
                <w:rFonts w:ascii="宋体" w:hAnsi="宋体"/>
              </w:rPr>
              <w:t xml:space="preserve">1.5</w:t>
            </w:r>
            <w:r>
              <w:rPr>
                <w:rFonts w:hint="eastAsia" w:ascii="宋体" w:hAnsi="宋体"/>
              </w:rPr>
              <w:t xml:space="preserve">分，</w:t>
            </w:r>
            <w:r>
              <w:rPr>
                <w:rFonts w:ascii="宋体" w:hAnsi="宋体"/>
              </w:rPr>
              <w:t xml:space="preserve">10</w:t>
            </w:r>
            <w:r>
              <w:rPr>
                <w:rFonts w:hint="eastAsia" w:ascii="宋体" w:hAnsi="宋体"/>
              </w:rPr>
              <w:t xml:space="preserve">名（含）至</w:t>
            </w:r>
            <w:r>
              <w:rPr>
                <w:rFonts w:ascii="宋体" w:hAnsi="宋体"/>
              </w:rPr>
              <w:t xml:space="preserve">30</w:t>
            </w:r>
            <w:r>
              <w:rPr>
                <w:rFonts w:hint="eastAsia" w:ascii="宋体" w:hAnsi="宋体"/>
              </w:rPr>
              <w:t xml:space="preserve">名得1分，</w:t>
            </w:r>
            <w:r>
              <w:rPr>
                <w:rFonts w:ascii="宋体" w:hAnsi="宋体"/>
              </w:rPr>
              <w:t xml:space="preserve">10</w:t>
            </w:r>
            <w:r>
              <w:rPr>
                <w:rFonts w:hint="eastAsia" w:ascii="宋体" w:hAnsi="宋体"/>
              </w:rPr>
              <w:t xml:space="preserve">名以下不得分。</w:t>
            </w:r>
            <w:r/>
          </w:p>
          <w:p>
            <w:pPr>
              <w:ind w:firstLine="422"/>
              <w:spacing w:line="320" w:lineRule="exact"/>
              <w:rPr>
                <w:rFonts w:ascii="宋体" w:hAnsi="宋体"/>
                <w:b/>
                <w:bCs/>
              </w:rPr>
            </w:pPr>
            <w:r>
              <w:rPr>
                <w:rFonts w:hint="eastAsia" w:ascii="宋体" w:hAnsi="宋体"/>
                <w:b/>
                <w:bCs/>
              </w:rPr>
              <w:t xml:space="preserve">2、人员实力（5分）</w:t>
            </w:r>
            <w:r/>
          </w:p>
          <w:p>
            <w:pPr>
              <w:ind w:firstLine="420"/>
              <w:spacing w:line="320" w:lineRule="exact"/>
              <w:rPr>
                <w:rFonts w:ascii="宋体" w:hAnsi="宋体"/>
              </w:rPr>
            </w:pPr>
            <w:r>
              <w:rPr>
                <w:rFonts w:hint="eastAsia" w:ascii="宋体" w:hAnsi="宋体"/>
              </w:rPr>
              <w:t xml:space="preserve">以食品检验人员中每有一名具有与本项目相关的高级职称或博士学位的得0</w:t>
            </w:r>
            <w:r>
              <w:rPr>
                <w:rFonts w:ascii="宋体" w:hAnsi="宋体"/>
              </w:rPr>
              <w:t xml:space="preserve">.5</w:t>
            </w:r>
            <w:r>
              <w:rPr>
                <w:rFonts w:hint="eastAsia" w:ascii="宋体" w:hAnsi="宋体"/>
              </w:rPr>
              <w:t xml:space="preserve">分，满分3.5分。</w:t>
            </w:r>
            <w:r/>
          </w:p>
          <w:p>
            <w:pPr>
              <w:ind w:firstLine="420"/>
              <w:spacing w:line="320" w:lineRule="exact"/>
              <w:rPr>
                <w:rFonts w:ascii="宋体" w:hAnsi="宋体"/>
              </w:rPr>
            </w:pPr>
            <w:r>
              <w:rPr>
                <w:rFonts w:hint="eastAsia" w:ascii="宋体" w:hAnsi="宋体"/>
              </w:rPr>
              <w:t xml:space="preserve">食品检验检测技术负责人(质量负责人)有正高级职称的得1.5分；有副高级及以上职称的得1分。不得与上面检验人员同时申报。</w:t>
            </w:r>
            <w:r/>
          </w:p>
          <w:p>
            <w:pPr>
              <w:spacing w:line="360" w:lineRule="exact"/>
              <w:rPr>
                <w:rFonts w:ascii="宋体" w:hAnsi="宋体"/>
              </w:rPr>
            </w:pPr>
            <w:r>
              <w:rPr>
                <w:rFonts w:hint="eastAsia" w:ascii="宋体" w:hAnsi="宋体" w:cs="等线"/>
                <w:b/>
                <w:bCs/>
              </w:rPr>
              <w:t xml:space="preserve">（职称和学历不重复计算得分）</w:t>
            </w:r>
            <w:r/>
          </w:p>
        </w:tc>
      </w:tr>
      <w:tr>
        <w:trPr>
          <w:trHeight w:val="593"/>
        </w:trPr>
        <w:tc>
          <w:tcPr>
            <w:tcBorders>
              <w:left w:val="single" w:color="auto" w:sz="4" w:space="0"/>
              <w:bottom w:val="single" w:color="auto" w:sz="4" w:space="0"/>
              <w:right w:val="single" w:color="auto" w:sz="4" w:space="0"/>
            </w:tcBorders>
            <w:tcW w:w="1406" w:type="dxa"/>
            <w:vMerge w:val="continue"/>
            <w:textDirection w:val="lrTb"/>
            <w:noWrap w:val="false"/>
          </w:tcPr>
          <w:p>
            <w:pPr>
              <w:jc w:val="center"/>
              <w:spacing w:line="320" w:lineRule="exac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tabs>
                <w:tab w:val="left" w:pos="312" w:leader="none"/>
                <w:tab w:val="decimal" w:pos="780" w:leader="none"/>
              </w:tabs>
              <w:rPr>
                <w:rFonts w:ascii="宋体" w:hAnsi="宋体"/>
              </w:rPr>
            </w:pPr>
            <w:r>
              <w:rPr>
                <w:rFonts w:ascii="宋体" w:hAnsi="宋体"/>
              </w:rPr>
              <w:t xml:space="preserve">运输实力</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tabs>
                <w:tab w:val="left" w:pos="312" w:leader="none"/>
                <w:tab w:val="decimal" w:pos="780" w:leader="none"/>
              </w:tabs>
              <w:rPr>
                <w:rFonts w:ascii="宋体" w:hAnsi="宋体"/>
              </w:rPr>
            </w:pPr>
            <w:r>
              <w:rPr>
                <w:rFonts w:ascii="宋体" w:hAnsi="宋体"/>
              </w:rPr>
              <w:t xml:space="preserve"> (6分)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tabs>
                <w:tab w:val="left" w:pos="312" w:leader="none"/>
                <w:tab w:val="decimal" w:pos="780" w:leader="none"/>
              </w:tabs>
              <w:rPr>
                <w:rFonts w:ascii="宋体" w:hAnsi="宋体"/>
              </w:rPr>
            </w:pPr>
            <w:r>
              <w:rPr>
                <w:rFonts w:hint="eastAsia" w:ascii="宋体" w:hAnsi="宋体"/>
              </w:rPr>
              <w:t xml:space="preserve">  投标人具备满足食品抽检工作要求的抽样工具、车辆及特殊贮存条件要求的运输设备情况。</w:t>
            </w:r>
            <w:r/>
          </w:p>
          <w:p>
            <w:pPr>
              <w:tabs>
                <w:tab w:val="left" w:pos="312" w:leader="none"/>
                <w:tab w:val="decimal" w:pos="780" w:leader="none"/>
              </w:tabs>
              <w:rPr>
                <w:rFonts w:ascii="宋体" w:hAnsi="宋体"/>
              </w:rPr>
            </w:pPr>
            <w:r>
              <w:rPr>
                <w:rFonts w:hint="eastAsia" w:ascii="宋体" w:hAnsi="宋体"/>
              </w:rPr>
              <w:t xml:space="preserve">  （1）投标人自有采样车每有一辆得</w:t>
            </w:r>
            <w:r>
              <w:rPr>
                <w:rFonts w:ascii="宋体" w:hAnsi="宋体"/>
              </w:rPr>
              <w:t xml:space="preserve">1</w:t>
            </w:r>
            <w:r>
              <w:rPr>
                <w:rFonts w:hint="eastAsia" w:ascii="宋体" w:hAnsi="宋体"/>
              </w:rPr>
              <w:t xml:space="preserve">分，租赁采样车每有一辆得</w:t>
            </w:r>
            <w:r>
              <w:rPr>
                <w:rFonts w:ascii="宋体" w:hAnsi="宋体"/>
              </w:rPr>
              <w:t xml:space="preserve">0.5</w:t>
            </w:r>
            <w:r>
              <w:rPr>
                <w:rFonts w:hint="eastAsia" w:ascii="宋体" w:hAnsi="宋体"/>
              </w:rPr>
              <w:t xml:space="preserve">分，满分</w:t>
            </w:r>
            <w:r>
              <w:rPr>
                <w:rFonts w:ascii="宋体" w:hAnsi="宋体"/>
              </w:rPr>
              <w:t xml:space="preserve">2</w:t>
            </w:r>
            <w:r>
              <w:rPr>
                <w:rFonts w:hint="eastAsia" w:ascii="宋体" w:hAnsi="宋体"/>
              </w:rPr>
              <w:t xml:space="preserve">分；</w:t>
            </w:r>
            <w:r/>
          </w:p>
          <w:p>
            <w:pPr>
              <w:tabs>
                <w:tab w:val="left" w:pos="312" w:leader="none"/>
                <w:tab w:val="decimal" w:pos="780" w:leader="none"/>
              </w:tabs>
              <w:rPr>
                <w:rFonts w:ascii="宋体" w:hAnsi="宋体"/>
              </w:rPr>
            </w:pPr>
            <w:r>
              <w:rPr>
                <w:rFonts w:hint="eastAsia" w:ascii="宋体" w:hAnsi="宋体"/>
              </w:rPr>
              <w:t xml:space="preserve">  （2）投标人自有冷藏车每有一辆得</w:t>
            </w:r>
            <w:r>
              <w:rPr>
                <w:rFonts w:ascii="宋体" w:hAnsi="宋体"/>
              </w:rPr>
              <w:t xml:space="preserve">1</w:t>
            </w:r>
            <w:r>
              <w:rPr>
                <w:rFonts w:hint="eastAsia" w:ascii="宋体" w:hAnsi="宋体"/>
              </w:rPr>
              <w:t xml:space="preserve">分，租赁冷藏车每有一辆得</w:t>
            </w:r>
            <w:r>
              <w:rPr>
                <w:rFonts w:ascii="宋体" w:hAnsi="宋体"/>
              </w:rPr>
              <w:t xml:space="preserve">0.5</w:t>
            </w:r>
            <w:r>
              <w:rPr>
                <w:rFonts w:hint="eastAsia" w:ascii="宋体" w:hAnsi="宋体"/>
              </w:rPr>
              <w:t xml:space="preserve">分，满分</w:t>
            </w:r>
            <w:r>
              <w:rPr>
                <w:rFonts w:ascii="宋体" w:hAnsi="宋体"/>
              </w:rPr>
              <w:t xml:space="preserve">2</w:t>
            </w:r>
            <w:r>
              <w:rPr>
                <w:rFonts w:hint="eastAsia" w:ascii="宋体" w:hAnsi="宋体"/>
              </w:rPr>
              <w:t xml:space="preserve">分；</w:t>
            </w:r>
            <w:r/>
          </w:p>
          <w:p>
            <w:pPr>
              <w:tabs>
                <w:tab w:val="left" w:pos="312" w:leader="none"/>
                <w:tab w:val="decimal" w:pos="780" w:leader="none"/>
              </w:tabs>
              <w:rPr>
                <w:rFonts w:ascii="宋体" w:hAnsi="宋体"/>
              </w:rPr>
            </w:pPr>
            <w:r>
              <w:rPr>
                <w:rFonts w:hint="eastAsia" w:ascii="宋体" w:hAnsi="宋体"/>
              </w:rPr>
              <w:t xml:space="preserve">  （</w:t>
            </w:r>
            <w:r>
              <w:rPr>
                <w:rFonts w:ascii="宋体" w:hAnsi="宋体"/>
              </w:rPr>
              <w:t xml:space="preserve">3</w:t>
            </w:r>
            <w:r>
              <w:rPr>
                <w:rFonts w:hint="eastAsia" w:ascii="宋体" w:hAnsi="宋体"/>
              </w:rPr>
              <w:t xml:space="preserve">）投标人具备用于样品保存的车载冷藏箱每有一个得0.25分，满分1分；</w:t>
            </w:r>
            <w:r/>
          </w:p>
          <w:p>
            <w:pPr>
              <w:ind w:firstLine="210"/>
              <w:rPr>
                <w:rFonts w:ascii="宋体" w:hAnsi="宋体"/>
              </w:rPr>
            </w:pPr>
            <w:r>
              <w:rPr>
                <w:rFonts w:hint="eastAsia" w:ascii="宋体" w:hAnsi="宋体"/>
              </w:rPr>
              <w:t xml:space="preserve">(4)具备抽样过程采样影像记录设备，有2台得0.5分，每增加2台加0.5分，满分1分。</w:t>
            </w:r>
            <w:r/>
          </w:p>
          <w:p>
            <w:pPr>
              <w:ind w:firstLine="422"/>
              <w:rPr>
                <w:rFonts w:hint="eastAsia" w:ascii="宋体" w:hAnsi="宋体" w:eastAsia="宋体" w:cs="等线"/>
                <w:b/>
                <w:bCs/>
                <w:lang w:eastAsia="zh-CN"/>
              </w:rPr>
            </w:pPr>
            <w:r>
              <w:rPr>
                <w:rFonts w:hint="eastAsia" w:ascii="宋体" w:hAnsi="宋体" w:cs="等线"/>
                <w:b/>
                <w:bCs/>
              </w:rPr>
              <w:t xml:space="preserve">（须提供以上车辆行驶证或车辆租赁协议及冷藏或保温设备及影像记录设备发票原件扫描件上传</w:t>
            </w:r>
            <w:r>
              <w:rPr>
                <w:rFonts w:hint="eastAsia" w:ascii="宋体" w:hAnsi="宋体" w:cs="等线"/>
                <w:b/>
                <w:bCs/>
                <w:lang w:eastAsia="zh-CN"/>
              </w:rPr>
              <w:t xml:space="preserve">）</w:t>
            </w:r>
            <w:r/>
          </w:p>
          <w:p>
            <w:pPr>
              <w:numPr>
                <w:ilvl w:val="0"/>
                <w:numId w:val="0"/>
              </w:numPr>
              <w:ind w:firstLine="420"/>
              <w:rPr>
                <w:rFonts w:hint="eastAsia"/>
              </w:rPr>
            </w:pPr>
            <w:r>
              <w:rPr>
                <w:rFonts w:hint="eastAsia"/>
              </w:rPr>
              <w:t xml:space="preserve">投标人自有车辆需提供：1、注册用户须和投标人名称或投标人法人代表名称一致，2、提供车辆所属证明材料、3、购车发票、行驶证（原件扫描上传）；</w:t>
            </w:r>
            <w:r/>
          </w:p>
          <w:p>
            <w:pPr>
              <w:numPr>
                <w:ilvl w:val="0"/>
                <w:numId w:val="0"/>
              </w:numPr>
              <w:ind w:firstLine="420"/>
              <w:rPr>
                <w:rFonts w:hint="eastAsia" w:eastAsia="宋体"/>
                <w:lang w:val="en-US" w:eastAsia="zh-CN"/>
              </w:rPr>
            </w:pPr>
            <w:r>
              <w:rPr>
                <w:rFonts w:hint="eastAsia"/>
              </w:rPr>
              <w:t xml:space="preserve">如投标人租赁车辆需提供租赁协议（原件扫描上传）</w:t>
            </w:r>
            <w:r/>
          </w:p>
        </w:tc>
      </w:tr>
      <w:tr>
        <w:trPr>
          <w:trHeight w:val="1266"/>
        </w:trPr>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320" w:lineRule="exact"/>
              <w:rPr>
                <w:rFonts w:ascii="宋体" w:hAnsi="宋体"/>
                <w:spacing w:val="-6"/>
              </w:rPr>
            </w:pPr>
            <w:r>
              <w:rPr>
                <w:rFonts w:hint="eastAsia" w:ascii="宋体" w:hAnsi="宋体"/>
                <w:spacing w:val="-6"/>
              </w:rPr>
              <w:t xml:space="preserve">项目实施方案</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20" w:lineRule="exact"/>
              <w:rPr>
                <w:rFonts w:ascii="宋体" w:hAnsi="宋体"/>
                <w:spacing w:val="-6"/>
              </w:rPr>
            </w:pPr>
            <w:r>
              <w:rPr>
                <w:rFonts w:ascii="宋体" w:hAnsi="宋体"/>
                <w:spacing w:val="-6"/>
              </w:rPr>
            </w:r>
            <w:r/>
          </w:p>
          <w:p>
            <w:pPr>
              <w:jc w:val="center"/>
              <w:spacing w:line="320" w:lineRule="exact"/>
              <w:rPr>
                <w:rFonts w:ascii="宋体" w:hAnsi="宋体"/>
                <w:spacing w:val="-6"/>
              </w:rPr>
            </w:pPr>
            <w:r>
              <w:rPr>
                <w:rFonts w:ascii="宋体" w:hAnsi="宋体"/>
                <w:spacing w:val="-6"/>
              </w:rPr>
            </w:r>
            <w:r/>
          </w:p>
          <w:p>
            <w:pPr>
              <w:jc w:val="center"/>
              <w:spacing w:line="320" w:lineRule="exact"/>
              <w:rPr>
                <w:rFonts w:ascii="宋体" w:hAnsi="宋体"/>
                <w:spacing w:val="-6"/>
              </w:rPr>
            </w:pPr>
            <w:r>
              <w:rPr>
                <w:rFonts w:ascii="宋体" w:hAnsi="宋体"/>
                <w:spacing w:val="-6"/>
              </w:rPr>
              <w:t xml:space="preserve">技术实施方案、应急</w:t>
            </w:r>
            <w:r>
              <w:rPr>
                <w:rFonts w:hint="eastAsia" w:ascii="宋体" w:hAnsi="宋体"/>
                <w:spacing w:val="-6"/>
              </w:rPr>
              <w:t xml:space="preserve">响应</w:t>
            </w:r>
            <w:r>
              <w:rPr>
                <w:rFonts w:ascii="宋体" w:hAnsi="宋体"/>
                <w:spacing w:val="-6"/>
              </w:rPr>
              <w:t xml:space="preserve">方案及质量保证措施</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spacing w:line="320" w:lineRule="exact"/>
              <w:rPr>
                <w:rFonts w:ascii="宋体" w:hAnsi="宋体"/>
              </w:rPr>
            </w:pPr>
            <w:r>
              <w:rPr>
                <w:rFonts w:ascii="宋体" w:hAnsi="宋体"/>
              </w:rPr>
            </w:r>
            <w:r/>
          </w:p>
          <w:p>
            <w:pPr>
              <w:jc w:val="center"/>
              <w:spacing w:line="320" w:lineRule="exact"/>
              <w:rPr>
                <w:rFonts w:ascii="宋体" w:hAnsi="宋体"/>
              </w:rPr>
            </w:pPr>
            <w:r>
              <w:rPr>
                <w:rFonts w:ascii="宋体" w:hAnsi="宋体"/>
              </w:rPr>
            </w:r>
            <w:r/>
          </w:p>
          <w:p>
            <w:pPr>
              <w:jc w:val="center"/>
              <w:spacing w:line="320" w:lineRule="exact"/>
              <w:rPr>
                <w:rFonts w:ascii="宋体" w:hAnsi="宋体"/>
              </w:rPr>
            </w:pPr>
            <w:r>
              <w:rPr>
                <w:rFonts w:ascii="宋体" w:hAnsi="宋体"/>
              </w:rPr>
              <w:t xml:space="preserve">（</w:t>
            </w:r>
            <w:r>
              <w:rPr>
                <w:rFonts w:hint="eastAsia" w:ascii="宋体" w:hAnsi="宋体"/>
              </w:rPr>
              <w:t xml:space="preserve">30</w:t>
            </w:r>
            <w:r>
              <w:rPr>
                <w:rFonts w:ascii="宋体" w:hAnsi="宋体"/>
              </w:rPr>
              <w:t xml:space="preserve">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ind w:firstLine="420"/>
              <w:spacing w:line="240" w:lineRule="atLeast"/>
              <w:rPr>
                <w:rFonts w:ascii="宋体" w:hAnsi="宋体"/>
                <w:szCs w:val="24"/>
              </w:rPr>
            </w:pPr>
            <w:r>
              <w:rPr>
                <w:rFonts w:hint="eastAsia" w:ascii="宋体" w:hAnsi="宋体"/>
                <w:szCs w:val="24"/>
              </w:rPr>
              <w:t xml:space="preserve">1、针对本项目的食品安全抽检</w:t>
            </w:r>
            <w:r>
              <w:rPr>
                <w:rFonts w:ascii="宋体" w:hAnsi="宋体"/>
                <w:szCs w:val="24"/>
              </w:rPr>
              <w:t xml:space="preserve">技术实施方案</w:t>
            </w:r>
            <w:r>
              <w:rPr>
                <w:rFonts w:hint="eastAsia" w:ascii="宋体" w:hAnsi="宋体"/>
                <w:szCs w:val="24"/>
              </w:rPr>
              <w:t xml:space="preserve">（5分）</w:t>
            </w:r>
            <w:r/>
          </w:p>
          <w:p>
            <w:pPr>
              <w:ind w:firstLine="420"/>
              <w:spacing w:line="240" w:lineRule="atLeast"/>
              <w:rPr>
                <w:rFonts w:ascii="宋体" w:hAnsi="宋体"/>
                <w:szCs w:val="24"/>
              </w:rPr>
            </w:pPr>
            <w:r>
              <w:rPr>
                <w:rFonts w:ascii="宋体" w:hAnsi="宋体"/>
                <w:szCs w:val="24"/>
              </w:rPr>
              <w:t xml:space="preserve">考察投标人对</w:t>
            </w:r>
            <w:r>
              <w:rPr>
                <w:rFonts w:hint="eastAsia" w:ascii="宋体" w:hAnsi="宋体"/>
                <w:szCs w:val="24"/>
              </w:rPr>
              <w:t xml:space="preserve">邗江区</w:t>
            </w:r>
            <w:r>
              <w:rPr>
                <w:rFonts w:ascii="宋体" w:hAnsi="宋体"/>
                <w:szCs w:val="24"/>
              </w:rPr>
              <w:t xml:space="preserve">食品抽检计划实施的保障情况</w:t>
            </w:r>
            <w:r>
              <w:rPr>
                <w:rFonts w:hint="eastAsia" w:ascii="宋体" w:hAnsi="宋体"/>
                <w:szCs w:val="24"/>
              </w:rPr>
              <w:t xml:space="preserve">，投标供应商应制定详细的服务方案，评委根据内容的合理性、科学性、可行性、服务性进行综合评分。方案优于招标文件要求的得5分，符合招标文件要求的得3分，不符合招标文件要求或未提供的得0分。</w:t>
            </w:r>
            <w:r/>
          </w:p>
          <w:p>
            <w:pPr>
              <w:ind w:firstLine="420"/>
              <w:spacing w:line="240" w:lineRule="atLeast"/>
              <w:rPr>
                <w:rFonts w:ascii="宋体" w:hAnsi="宋体"/>
                <w:szCs w:val="24"/>
              </w:rPr>
            </w:pPr>
            <w:r>
              <w:rPr>
                <w:rFonts w:hint="eastAsia" w:ascii="宋体" w:hAnsi="宋体"/>
                <w:szCs w:val="24"/>
              </w:rPr>
              <w:t xml:space="preserve">2、针对本项目的突发事件</w:t>
            </w:r>
            <w:r>
              <w:rPr>
                <w:rFonts w:ascii="宋体" w:hAnsi="宋体"/>
                <w:szCs w:val="24"/>
              </w:rPr>
              <w:t xml:space="preserve">应急</w:t>
            </w:r>
            <w:r>
              <w:rPr>
                <w:rFonts w:hint="eastAsia" w:ascii="宋体" w:hAnsi="宋体"/>
                <w:szCs w:val="24"/>
              </w:rPr>
              <w:t xml:space="preserve">响应</w:t>
            </w:r>
            <w:r>
              <w:rPr>
                <w:rFonts w:ascii="宋体" w:hAnsi="宋体"/>
                <w:szCs w:val="24"/>
              </w:rPr>
              <w:t xml:space="preserve">方案</w:t>
            </w:r>
            <w:r>
              <w:rPr>
                <w:rFonts w:hint="eastAsia" w:ascii="宋体" w:hAnsi="宋体"/>
                <w:szCs w:val="24"/>
              </w:rPr>
              <w:t xml:space="preserve">（5分）</w:t>
            </w:r>
            <w:r/>
          </w:p>
          <w:p>
            <w:pPr>
              <w:ind w:firstLine="420"/>
              <w:spacing w:line="240" w:lineRule="atLeast"/>
              <w:rPr>
                <w:rFonts w:ascii="宋体" w:hAnsi="宋体"/>
                <w:szCs w:val="24"/>
              </w:rPr>
            </w:pPr>
            <w:r>
              <w:rPr>
                <w:rFonts w:hint="eastAsia" w:ascii="宋体" w:hAnsi="宋体"/>
                <w:szCs w:val="24"/>
              </w:rPr>
              <w:t xml:space="preserve">由评委会根据投标供应商的应急事件处置预案，包括但不限于：食品中毒事件、消费者投诉、突击性专项抽检等事件的科学合理性、规范性、可行性、响应时效等进行综合评审，方案优于招标文件要求的得5分，符合招标文件要求的得3分，不符合招标文件要求或未提供的得0分。</w:t>
            </w:r>
            <w:r/>
          </w:p>
          <w:p>
            <w:pPr>
              <w:ind w:firstLine="420"/>
              <w:rPr>
                <w:rFonts w:ascii="宋体" w:hAnsi="宋体"/>
                <w:szCs w:val="24"/>
              </w:rPr>
            </w:pPr>
            <w:r>
              <w:rPr>
                <w:rFonts w:hint="eastAsia" w:ascii="宋体" w:hAnsi="宋体"/>
                <w:szCs w:val="24"/>
              </w:rPr>
              <w:t xml:space="preserve">3、投标人抽检数据质量控制方案（5分）</w:t>
            </w:r>
            <w:r/>
          </w:p>
          <w:p>
            <w:pPr>
              <w:ind w:firstLine="420"/>
              <w:rPr>
                <w:rFonts w:ascii="宋体" w:hAnsi="宋体"/>
                <w:szCs w:val="24"/>
              </w:rPr>
            </w:pPr>
            <w:r>
              <w:rPr>
                <w:rFonts w:hint="eastAsia" w:ascii="宋体" w:hAnsi="宋体"/>
                <w:szCs w:val="24"/>
              </w:rPr>
              <w:t xml:space="preserve">考察投标人针对抽检数据质量水平的把控能力，如何规范抽检数据，提高抽检工作数据质量等情况进行打分。方案优于招标文件要求的得5分，符合招标文件要求的得3分，不符合招标文件要求或未提供的得0分。</w:t>
            </w:r>
            <w:r/>
          </w:p>
          <w:p>
            <w:pPr>
              <w:ind w:firstLine="420"/>
              <w:rPr>
                <w:rFonts w:ascii="宋体" w:hAnsi="宋体"/>
                <w:szCs w:val="24"/>
              </w:rPr>
            </w:pPr>
            <w:r>
              <w:rPr>
                <w:rFonts w:hint="eastAsia" w:ascii="宋体" w:hAnsi="宋体"/>
                <w:szCs w:val="24"/>
              </w:rPr>
              <w:t xml:space="preserve">4、针对本项目的重点、难点分析及保障措施（5分）</w:t>
            </w:r>
            <w:r/>
          </w:p>
          <w:p>
            <w:pPr>
              <w:ind w:firstLine="420"/>
              <w:spacing w:line="240" w:lineRule="atLeast"/>
              <w:rPr>
                <w:rFonts w:ascii="宋体" w:hAnsi="宋体"/>
                <w:szCs w:val="24"/>
              </w:rPr>
            </w:pPr>
            <w:r>
              <w:rPr>
                <w:rFonts w:hint="eastAsia" w:ascii="宋体" w:hAnsi="宋体"/>
                <w:szCs w:val="24"/>
              </w:rPr>
              <w:t xml:space="preserve">考察投标人针对本项目的重点、难点进行详细分析并提供具有针对性的具体保障措施。方案优于招标文件要求的得5分，符合招标文件要求的得3分，不符合招标文件要求或未提供的得0分。</w:t>
            </w:r>
            <w:r/>
          </w:p>
          <w:p>
            <w:pPr>
              <w:ind w:firstLine="420"/>
              <w:rPr>
                <w:rFonts w:ascii="宋体" w:hAnsi="宋体"/>
                <w:szCs w:val="24"/>
              </w:rPr>
            </w:pPr>
            <w:r>
              <w:rPr>
                <w:rFonts w:hint="eastAsia" w:ascii="宋体" w:hAnsi="宋体"/>
                <w:szCs w:val="24"/>
              </w:rPr>
              <w:t xml:space="preserve">5、投标价格合理性评估（5分）</w:t>
            </w:r>
            <w:r/>
          </w:p>
          <w:p>
            <w:pPr>
              <w:ind w:firstLine="420"/>
              <w:spacing w:line="240" w:lineRule="atLeast"/>
              <w:rPr>
                <w:rFonts w:ascii="宋体" w:hAnsi="宋体"/>
                <w:szCs w:val="24"/>
              </w:rPr>
            </w:pPr>
            <w:r>
              <w:rPr>
                <w:rFonts w:ascii="宋体" w:hAnsi="宋体"/>
                <w:szCs w:val="24"/>
              </w:rPr>
              <w:t xml:space="preserve">考察投标人对投标成本分析、把控能力，投标成本包含检验费、取样交通费、购样费、税金等，是否符合市场行情。</w:t>
            </w:r>
            <w:r>
              <w:rPr>
                <w:rFonts w:hint="eastAsia" w:ascii="宋体" w:hAnsi="宋体"/>
                <w:szCs w:val="24"/>
              </w:rPr>
              <w:t xml:space="preserve">方案优于招标文件要求的得5分，符合招标文件要求的得3分，不符合招标文件要求或未提供的得0分。</w:t>
            </w:r>
            <w:r/>
          </w:p>
          <w:p>
            <w:pPr>
              <w:ind w:firstLine="420"/>
              <w:spacing w:line="240" w:lineRule="atLeast"/>
              <w:rPr>
                <w:rFonts w:ascii="宋体" w:hAnsi="宋体"/>
                <w:szCs w:val="24"/>
              </w:rPr>
            </w:pPr>
            <w:r>
              <w:rPr>
                <w:rFonts w:hint="eastAsia" w:ascii="宋体" w:hAnsi="宋体"/>
                <w:szCs w:val="24"/>
              </w:rPr>
              <w:t xml:space="preserve">6、针对本项目可以提供的其他伴随、增值服务（5分）</w:t>
            </w:r>
            <w:r/>
          </w:p>
          <w:p>
            <w:pPr>
              <w:ind w:firstLine="420"/>
              <w:spacing w:line="240" w:lineRule="atLeast"/>
              <w:rPr>
                <w:rFonts w:ascii="宋体" w:hAnsi="宋体"/>
                <w:szCs w:val="24"/>
              </w:rPr>
            </w:pPr>
            <w:r>
              <w:rPr>
                <w:rFonts w:hint="eastAsia" w:ascii="宋体" w:hAnsi="宋体"/>
                <w:szCs w:val="24"/>
              </w:rPr>
              <w:t xml:space="preserve">考察投标人除抽检任务外，为邗江区提供的其他伴随、增值服务等优劣情况进行打分。方案优于招标文件要求的得5分，符合招标文件要求的得3分，不符合招标文件要求或未提供的得0分。</w:t>
            </w:r>
            <w:r/>
          </w:p>
        </w:tc>
      </w:tr>
      <w:tr>
        <w:trPr>
          <w:trHeight w:val="1182"/>
        </w:trPr>
        <w:tc>
          <w:tcPr>
            <w:tcBorders>
              <w:top w:val="single" w:color="auto" w:sz="4" w:space="0"/>
              <w:left w:val="single" w:color="auto" w:sz="4" w:space="0"/>
              <w:right w:val="single" w:color="auto" w:sz="4" w:space="0"/>
            </w:tcBorders>
            <w:tcW w:w="1406" w:type="dxa"/>
            <w:vAlign w:val="center"/>
            <w:vMerge w:val="restart"/>
            <w:textDirection w:val="lrTb"/>
            <w:noWrap w:val="false"/>
          </w:tcPr>
          <w:p>
            <w:pPr>
              <w:jc w:val="center"/>
              <w:spacing w:line="320" w:lineRule="exact"/>
              <w:rPr>
                <w:rFonts w:ascii="宋体" w:hAnsi="宋体" w:cs="宋体"/>
              </w:rPr>
            </w:pPr>
            <w:r>
              <w:rPr>
                <w:rFonts w:hint="eastAsia" w:ascii="宋体" w:hAnsi="宋体" w:cs="宋体"/>
              </w:rPr>
              <w:t xml:space="preserve">企业经营业绩与信誉</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企业</w:t>
            </w:r>
            <w:r>
              <w:rPr>
                <w:rFonts w:ascii="宋体" w:hAnsi="宋体" w:cs="宋体"/>
              </w:rPr>
              <w:t xml:space="preserve">业绩</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ascii="宋体" w:hAnsi="宋体"/>
              </w:rPr>
              <w:t xml:space="preserve">(</w:t>
            </w:r>
            <w:r>
              <w:rPr>
                <w:rFonts w:hint="eastAsia" w:ascii="宋体" w:hAnsi="宋体"/>
              </w:rPr>
              <w:t xml:space="preserve">5</w:t>
            </w:r>
            <w:r>
              <w:rPr>
                <w:rFonts w:ascii="宋体" w:hAnsi="宋体"/>
              </w:rPr>
              <w:t xml:space="preserve">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left"/>
              <w:rPr>
                <w:rFonts w:ascii="宋体" w:hAnsi="宋体" w:cs="宋体"/>
              </w:rPr>
            </w:pPr>
            <w:r>
              <w:rPr>
                <w:rFonts w:hint="eastAsia" w:ascii="宋体" w:hAnsi="宋体" w:cs="宋体"/>
              </w:rPr>
              <w:t xml:space="preserve">  投标人</w:t>
            </w:r>
            <w:r>
              <w:rPr>
                <w:rFonts w:hint="eastAsia" w:ascii="宋体" w:hAnsi="宋体" w:cs="宋体"/>
                <w:highlight w:val="none"/>
              </w:rPr>
              <w:t xml:space="preserve">自</w:t>
            </w:r>
            <w:r>
              <w:rPr>
                <w:rFonts w:ascii="宋体" w:hAnsi="宋体" w:cs="Calibri"/>
                <w:highlight w:val="none"/>
              </w:rPr>
              <w:t xml:space="preserve">20</w:t>
            </w:r>
            <w:r>
              <w:rPr>
                <w:rFonts w:hint="eastAsia" w:ascii="宋体" w:hAnsi="宋体" w:cs="Calibri"/>
                <w:highlight w:val="none"/>
              </w:rPr>
              <w:t xml:space="preserve">2</w:t>
            </w:r>
            <w:r>
              <w:rPr>
                <w:rFonts w:hint="eastAsia" w:ascii="宋体" w:hAnsi="宋体" w:cs="Calibri"/>
                <w:highlight w:val="none"/>
                <w:lang w:val="en-US" w:eastAsia="zh-CN"/>
              </w:rPr>
              <w:t xml:space="preserve">2</w:t>
            </w:r>
            <w:r>
              <w:rPr>
                <w:rFonts w:hint="eastAsia" w:ascii="宋体" w:hAnsi="宋体" w:cs="宋体"/>
                <w:highlight w:val="none"/>
              </w:rPr>
              <w:t xml:space="preserve">年</w:t>
            </w:r>
            <w:r>
              <w:rPr>
                <w:rFonts w:ascii="宋体" w:hAnsi="宋体" w:cs="Calibri"/>
                <w:highlight w:val="none"/>
              </w:rPr>
              <w:t xml:space="preserve">1</w:t>
            </w:r>
            <w:r>
              <w:rPr>
                <w:rFonts w:hint="eastAsia" w:ascii="宋体" w:hAnsi="宋体" w:cs="宋体"/>
                <w:highlight w:val="none"/>
              </w:rPr>
              <w:t xml:space="preserve">月</w:t>
            </w:r>
            <w:r>
              <w:rPr>
                <w:rFonts w:ascii="宋体" w:hAnsi="宋体" w:cs="Calibri"/>
                <w:highlight w:val="none"/>
              </w:rPr>
              <w:t xml:space="preserve">1</w:t>
            </w:r>
            <w:r>
              <w:rPr>
                <w:rFonts w:hint="eastAsia" w:ascii="宋体" w:hAnsi="宋体" w:cs="宋体"/>
                <w:highlight w:val="none"/>
              </w:rPr>
              <w:t xml:space="preserve">日以来，</w:t>
            </w:r>
            <w:r>
              <w:rPr>
                <w:rFonts w:hint="eastAsia" w:ascii="宋体" w:hAnsi="宋体"/>
                <w:highlight w:val="none"/>
              </w:rPr>
              <w:t xml:space="preserve">承担过与项目相类似的任务的每次得1分；此项最高得5分。</w:t>
            </w:r>
            <w:r>
              <w:rPr>
                <w:rFonts w:hint="eastAsia" w:ascii="宋体" w:hAnsi="宋体" w:cs="等线"/>
                <w:b/>
                <w:bCs/>
                <w:highlight w:val="none"/>
              </w:rPr>
              <w:t xml:space="preserve">（提供合同或</w:t>
            </w:r>
            <w:r>
              <w:rPr>
                <w:rFonts w:hint="eastAsia" w:ascii="宋体" w:hAnsi="宋体" w:cs="等线"/>
                <w:b/>
                <w:bCs/>
                <w:highlight w:val="none"/>
                <w:lang w:val="en-US" w:eastAsia="zh-CN"/>
              </w:rPr>
              <w:t xml:space="preserve">相</w:t>
            </w:r>
            <w:r>
              <w:rPr>
                <w:rFonts w:hint="eastAsia" w:ascii="宋体" w:hAnsi="宋体" w:cs="等线"/>
                <w:b/>
                <w:bCs/>
                <w:lang w:val="en-US" w:eastAsia="zh-CN"/>
              </w:rPr>
              <w:t xml:space="preserve">关</w:t>
            </w:r>
            <w:r>
              <w:rPr>
                <w:rFonts w:hint="eastAsia" w:ascii="宋体" w:hAnsi="宋体" w:cs="等线"/>
                <w:b/>
                <w:bCs/>
              </w:rPr>
              <w:t xml:space="preserve">部门下达的任务委托书，原件扫描件上传。）</w:t>
            </w:r>
            <w:r/>
          </w:p>
        </w:tc>
      </w:tr>
      <w:tr>
        <w:trPr>
          <w:trHeight w:val="2801"/>
        </w:trPr>
        <w:tc>
          <w:tcPr>
            <w:tcBorders>
              <w:top w:val="single" w:color="auto" w:sz="4" w:space="0"/>
              <w:left w:val="single" w:color="auto" w:sz="4" w:space="0"/>
              <w:right w:val="single" w:color="auto" w:sz="4" w:space="0"/>
            </w:tcBorders>
            <w:tcW w:w="1406" w:type="dxa"/>
            <w:vMerge w:val="continue"/>
            <w:textDirection w:val="lrTb"/>
            <w:noWrap w:val="false"/>
          </w:tcPr>
          <w:p>
            <w:pPr>
              <w:jc w:val="center"/>
              <w:spacing w:line="320" w:lineRule="exac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60" w:lineRule="auto"/>
              <w:rPr>
                <w:rFonts w:ascii="宋体" w:hAnsi="宋体"/>
              </w:rPr>
            </w:pPr>
            <w:r>
              <w:rPr>
                <w:rFonts w:hint="eastAsia" w:ascii="宋体" w:hAnsi="宋体"/>
              </w:rPr>
              <w:t xml:space="preserve">被服务单位综合评价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60" w:lineRule="auto"/>
              <w:rPr>
                <w:rFonts w:ascii="宋体" w:hAnsi="宋体"/>
              </w:rPr>
            </w:pPr>
            <w:r>
              <w:rPr>
                <w:rFonts w:hint="eastAsia" w:ascii="宋体" w:hAnsi="宋体"/>
              </w:rPr>
              <w:t xml:space="preserve">（6分）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left"/>
              <w:rPr>
                <w:rFonts w:ascii="宋体" w:hAnsi="宋体"/>
                <w:b/>
                <w:bCs/>
              </w:rPr>
            </w:pPr>
            <w:r>
              <w:rPr>
                <w:rFonts w:ascii="宋体" w:hAnsi="宋体"/>
              </w:rPr>
              <w:t xml:space="preserve">  投标人提供近2年内</w:t>
            </w:r>
            <w:r>
              <w:rPr>
                <w:rFonts w:hint="eastAsia" w:ascii="宋体" w:hAnsi="宋体"/>
              </w:rPr>
              <w:t xml:space="preserve">（2022年1月1日以来）</w:t>
            </w:r>
            <w:r>
              <w:rPr>
                <w:rFonts w:ascii="宋体" w:hAnsi="宋体"/>
              </w:rPr>
              <w:t xml:space="preserve">服务过的</w:t>
            </w:r>
            <w:r>
              <w:rPr>
                <w:rFonts w:hint="eastAsia" w:ascii="宋体" w:hAnsi="宋体"/>
              </w:rPr>
              <w:t xml:space="preserve">单位相关项目</w:t>
            </w:r>
            <w:r>
              <w:rPr>
                <w:rFonts w:ascii="宋体" w:hAnsi="宋体"/>
              </w:rPr>
              <w:t xml:space="preserve">综合评价</w:t>
            </w:r>
            <w:r>
              <w:rPr>
                <w:rFonts w:hint="eastAsia" w:ascii="宋体" w:hAnsi="宋体"/>
              </w:rPr>
              <w:t xml:space="preserve">为</w:t>
            </w:r>
            <w:r>
              <w:rPr>
                <w:rFonts w:ascii="宋体" w:hAnsi="宋体"/>
              </w:rPr>
              <w:t xml:space="preserve">优秀</w:t>
            </w:r>
            <w:r>
              <w:rPr>
                <w:rFonts w:hint="eastAsia" w:ascii="宋体" w:hAnsi="宋体"/>
              </w:rPr>
              <w:t xml:space="preserve">或同等类别及以上的</w:t>
            </w:r>
            <w:r>
              <w:rPr>
                <w:rFonts w:ascii="宋体" w:hAnsi="宋体"/>
              </w:rPr>
              <w:t xml:space="preserve">次数情况：</w:t>
            </w:r>
            <w:r>
              <w:rPr>
                <w:rFonts w:hint="eastAsia" w:ascii="宋体" w:hAnsi="宋体"/>
              </w:rPr>
              <w:t xml:space="preserve">每有1次得1分，满分5分；其他等次不得分。</w:t>
            </w:r>
            <w:r>
              <w:rPr>
                <w:rFonts w:ascii="宋体" w:hAnsi="宋体"/>
                <w:b/>
                <w:bCs/>
              </w:rPr>
              <w:t xml:space="preserve">（提供加盖被服务单位公章的证明</w:t>
            </w:r>
            <w:r>
              <w:rPr>
                <w:rFonts w:hint="eastAsia" w:ascii="宋体" w:hAnsi="宋体"/>
                <w:b/>
                <w:bCs/>
              </w:rPr>
              <w:t xml:space="preserve">材料，</w:t>
            </w:r>
            <w:r>
              <w:rPr>
                <w:rFonts w:hint="eastAsia" w:ascii="宋体" w:hAnsi="宋体" w:cs="等线"/>
                <w:b/>
                <w:bCs/>
              </w:rPr>
              <w:t xml:space="preserve">原件扫描件上传。</w:t>
            </w:r>
            <w:r>
              <w:rPr>
                <w:rFonts w:ascii="宋体" w:hAnsi="宋体"/>
                <w:b/>
                <w:bCs/>
              </w:rPr>
              <w:t xml:space="preserve">）</w:t>
            </w:r>
            <w:r/>
          </w:p>
          <w:p>
            <w:pPr>
              <w:jc w:val="left"/>
              <w:rPr>
                <w:rFonts w:ascii="宋体" w:hAnsi="宋体"/>
              </w:rPr>
            </w:pPr>
            <w:r>
              <w:rPr>
                <w:rFonts w:ascii="宋体" w:hAnsi="宋体"/>
              </w:rPr>
              <w:t xml:space="preserve">  投标人提供近2年内</w:t>
            </w:r>
            <w:r>
              <w:rPr>
                <w:rFonts w:hint="eastAsia" w:ascii="宋体" w:hAnsi="宋体"/>
              </w:rPr>
              <w:t xml:space="preserve">（2022年1月1日以来）服务过的与本项目类似服务项目的数据质量抽查问题率情况：高于99%（含），得1分；高于98%（含），低于99%，得0.5分；低于98%，不得分。</w:t>
            </w:r>
            <w:r>
              <w:rPr>
                <w:rFonts w:ascii="宋体" w:hAnsi="宋体"/>
                <w:b/>
                <w:bCs/>
              </w:rPr>
              <w:t xml:space="preserve">（提供加盖被服务单位公章的证明</w:t>
            </w:r>
            <w:r>
              <w:rPr>
                <w:rFonts w:hint="eastAsia" w:ascii="宋体" w:hAnsi="宋体"/>
                <w:b/>
                <w:bCs/>
              </w:rPr>
              <w:t xml:space="preserve">材料，</w:t>
            </w:r>
            <w:r>
              <w:rPr>
                <w:rFonts w:hint="eastAsia" w:ascii="宋体" w:hAnsi="宋体" w:cs="等线"/>
                <w:b/>
                <w:bCs/>
              </w:rPr>
              <w:t xml:space="preserve">原件扫描件上传。</w:t>
            </w:r>
            <w:r>
              <w:rPr>
                <w:rFonts w:ascii="宋体" w:hAnsi="宋体"/>
                <w:b/>
                <w:bCs/>
              </w:rPr>
              <w:t xml:space="preserve">）</w:t>
            </w:r>
            <w:r/>
          </w:p>
        </w:tc>
      </w:tr>
      <w:tr>
        <w:trPr>
          <w:trHeight w:val="1997"/>
        </w:trPr>
        <w:tc>
          <w:tcPr>
            <w:tcBorders>
              <w:left w:val="single" w:color="auto" w:sz="4" w:space="0"/>
              <w:bottom w:val="single" w:color="auto" w:sz="4" w:space="0"/>
              <w:right w:val="single" w:color="auto" w:sz="4" w:space="0"/>
            </w:tcBorders>
            <w:tcW w:w="1406" w:type="dxa"/>
            <w:vMerge w:val="continue"/>
            <w:textDirection w:val="lrTb"/>
            <w:noWrap w:val="false"/>
          </w:tcPr>
          <w:p>
            <w:pPr>
              <w:jc w:val="center"/>
              <w:spacing w:line="320" w:lineRule="exac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20" w:lineRule="exact"/>
              <w:rPr>
                <w:rFonts w:ascii="宋体" w:hAnsi="宋体" w:cs="宋体"/>
              </w:rPr>
            </w:pPr>
            <w:r>
              <w:rPr>
                <w:rFonts w:hint="eastAsia" w:ascii="宋体" w:hAnsi="宋体"/>
              </w:rPr>
              <w:t xml:space="preserve">科研成果</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ascii="宋体" w:hAnsi="宋体"/>
              </w:rPr>
              <w:t xml:space="preserve">(4分)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left"/>
              <w:rPr>
                <w:rFonts w:ascii="宋体" w:hAnsi="宋体"/>
              </w:rPr>
            </w:pPr>
            <w:r>
              <w:rPr>
                <w:rFonts w:ascii="宋体" w:hAnsi="宋体"/>
              </w:rPr>
              <w:t xml:space="preserve">  1</w:t>
            </w:r>
            <w:r>
              <w:rPr>
                <w:rFonts w:hint="eastAsia" w:ascii="宋体" w:hAnsi="宋体"/>
              </w:rPr>
              <w:t xml:space="preserve">、投标人有与本项目相关的专利的每项得</w:t>
            </w:r>
            <w:r>
              <w:rPr>
                <w:rFonts w:ascii="宋体" w:hAnsi="宋体"/>
              </w:rPr>
              <w:t xml:space="preserve">1</w:t>
            </w:r>
            <w:r>
              <w:rPr>
                <w:rFonts w:hint="eastAsia" w:ascii="宋体" w:hAnsi="宋体"/>
              </w:rPr>
              <w:t xml:space="preserve">分，最高得</w:t>
            </w:r>
            <w:r>
              <w:rPr>
                <w:rFonts w:ascii="宋体" w:hAnsi="宋体"/>
              </w:rPr>
              <w:t xml:space="preserve">2</w:t>
            </w:r>
            <w:r>
              <w:rPr>
                <w:rFonts w:hint="eastAsia" w:ascii="宋体" w:hAnsi="宋体"/>
              </w:rPr>
              <w:t xml:space="preserve">分。</w:t>
            </w:r>
            <w:r>
              <w:rPr>
                <w:rFonts w:hint="eastAsia" w:ascii="宋体" w:hAnsi="宋体"/>
                <w:b/>
                <w:bCs/>
              </w:rPr>
              <w:t xml:space="preserve">（提供专利证书原件复印件扫描上传）</w:t>
            </w:r>
            <w:r>
              <w:rPr>
                <w:rFonts w:hint="eastAsia" w:ascii="宋体" w:hAnsi="宋体"/>
              </w:rPr>
              <w:t xml:space="preserve">；</w:t>
            </w:r>
            <w:r/>
          </w:p>
          <w:p>
            <w:pPr>
              <w:jc w:val="left"/>
              <w:rPr>
                <w:rFonts w:ascii="宋体" w:hAnsi="宋体" w:cs="宋体"/>
              </w:rPr>
            </w:pPr>
            <w:r>
              <w:rPr>
                <w:rFonts w:ascii="宋体" w:hAnsi="宋体"/>
              </w:rPr>
              <w:t xml:space="preserve">  2</w:t>
            </w:r>
            <w:r>
              <w:rPr>
                <w:rFonts w:hint="eastAsia" w:ascii="宋体" w:hAnsi="宋体"/>
              </w:rPr>
              <w:t xml:space="preserve">、承担与本项目相关的科研课题或项目，每有一个得</w:t>
            </w:r>
            <w:r>
              <w:rPr>
                <w:rFonts w:ascii="宋体" w:hAnsi="宋体"/>
              </w:rPr>
              <w:t xml:space="preserve">1</w:t>
            </w:r>
            <w:r>
              <w:rPr>
                <w:rFonts w:hint="eastAsia" w:ascii="宋体" w:hAnsi="宋体"/>
              </w:rPr>
              <w:t xml:space="preserve">分，本项目最高得</w:t>
            </w:r>
            <w:r>
              <w:rPr>
                <w:rFonts w:ascii="宋体" w:hAnsi="宋体"/>
              </w:rPr>
              <w:t xml:space="preserve">2</w:t>
            </w:r>
            <w:r>
              <w:rPr>
                <w:rFonts w:hint="eastAsia" w:ascii="宋体" w:hAnsi="宋体"/>
              </w:rPr>
              <w:t xml:space="preserve">分</w:t>
            </w:r>
            <w:r>
              <w:rPr>
                <w:rFonts w:hint="eastAsia" w:ascii="宋体" w:hAnsi="宋体" w:cs="等线"/>
                <w:b/>
                <w:bCs/>
              </w:rPr>
              <w:t xml:space="preserve">（提供承担课题的合同书及其他相关证明材料原件扫描件上传）。</w:t>
            </w:r>
            <w:r/>
          </w:p>
        </w:tc>
      </w:tr>
      <w:tr>
        <w:trPr>
          <w:trHeight w:val="2217"/>
        </w:trPr>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其他          </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60" w:lineRule="auto"/>
              <w:rPr>
                <w:rFonts w:ascii="宋体" w:hAnsi="宋体"/>
              </w:rPr>
            </w:pPr>
            <w:r>
              <w:rPr>
                <w:rFonts w:hint="eastAsia" w:ascii="宋体" w:hAnsi="宋体"/>
              </w:rPr>
              <w:t xml:space="preserve">应急响应</w:t>
            </w:r>
            <w:r/>
          </w:p>
          <w:p>
            <w:pPr>
              <w:jc w:val="center"/>
              <w:spacing w:line="360" w:lineRule="auto"/>
              <w:rPr>
                <w:rFonts w:ascii="宋体" w:hAnsi="宋体"/>
              </w:rPr>
            </w:pPr>
            <w:r>
              <w:rPr>
                <w:rFonts w:hint="eastAsia" w:ascii="宋体" w:hAnsi="宋体"/>
              </w:rPr>
              <w:t xml:space="preserve">时间</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320" w:lineRule="exact"/>
              <w:rPr>
                <w:rFonts w:ascii="宋体" w:hAnsi="宋体"/>
              </w:rPr>
            </w:pPr>
            <w:r>
              <w:rPr>
                <w:rFonts w:ascii="宋体" w:hAnsi="宋体"/>
              </w:rPr>
            </w:r>
            <w:r/>
          </w:p>
          <w:p>
            <w:pPr>
              <w:jc w:val="center"/>
              <w:spacing w:line="320" w:lineRule="exact"/>
              <w:rPr>
                <w:rFonts w:ascii="宋体" w:hAnsi="宋体"/>
              </w:rPr>
            </w:pPr>
            <w:r>
              <w:rPr>
                <w:rFonts w:hint="eastAsia" w:ascii="宋体" w:hAnsi="宋体"/>
              </w:rPr>
              <w:t xml:space="preserve">（3分）</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left"/>
              <w:rPr>
                <w:rFonts w:ascii="宋体" w:hAnsi="宋体" w:cs="宋体"/>
              </w:rPr>
            </w:pPr>
            <w:r>
              <w:rPr>
                <w:rFonts w:hint="eastAsia" w:ascii="宋体" w:hAnsi="宋体" w:cs="宋体"/>
              </w:rPr>
              <w:t xml:space="preserve">  接到采购人通知后应急响应时间（3分）</w:t>
            </w:r>
            <w:r/>
          </w:p>
          <w:p>
            <w:pPr>
              <w:jc w:val="left"/>
              <w:rPr>
                <w:rFonts w:ascii="宋体" w:hAnsi="宋体" w:cs="宋体"/>
              </w:rPr>
            </w:pPr>
            <w:r>
              <w:rPr>
                <w:rFonts w:hint="eastAsia" w:ascii="宋体" w:hAnsi="宋体" w:cs="宋体"/>
              </w:rPr>
              <w:t xml:space="preserve">  投标人承诺应急响应时间2小时（含）以内的得3分；</w:t>
            </w:r>
            <w:r/>
          </w:p>
          <w:p>
            <w:pPr>
              <w:jc w:val="left"/>
              <w:rPr>
                <w:rFonts w:ascii="宋体" w:hAnsi="宋体" w:cs="宋体"/>
              </w:rPr>
            </w:pPr>
            <w:r>
              <w:rPr>
                <w:rFonts w:hint="eastAsia" w:ascii="宋体" w:hAnsi="宋体" w:cs="宋体"/>
              </w:rPr>
              <w:t xml:space="preserve">  投标人承诺应急响应时间2小时（不含）至4小时（含）的得2分；</w:t>
            </w:r>
            <w:r/>
          </w:p>
          <w:p>
            <w:pPr>
              <w:jc w:val="left"/>
              <w:rPr>
                <w:rFonts w:ascii="宋体" w:hAnsi="宋体" w:cs="宋体"/>
              </w:rPr>
            </w:pPr>
            <w:r>
              <w:rPr>
                <w:rFonts w:hint="eastAsia" w:ascii="宋体" w:hAnsi="宋体" w:cs="宋体"/>
              </w:rPr>
              <w:t xml:space="preserve">  投标人承诺应急响应时间4小时（不含）以上得1分。</w:t>
            </w:r>
            <w:r/>
          </w:p>
          <w:p>
            <w:pPr>
              <w:jc w:val="left"/>
              <w:rPr>
                <w:rFonts w:ascii="宋体" w:hAnsi="宋体" w:cs="宋体"/>
                <w:b/>
                <w:bCs/>
              </w:rPr>
            </w:pPr>
            <w:r>
              <w:rPr>
                <w:rFonts w:hint="eastAsia" w:ascii="宋体" w:hAnsi="宋体" w:cs="宋体"/>
                <w:b/>
                <w:bCs/>
              </w:rPr>
              <w:t xml:space="preserve">注：实验室到采购单位时间</w:t>
            </w:r>
            <w:r>
              <w:rPr>
                <w:rFonts w:hint="eastAsia" w:ascii="宋体" w:hAnsi="宋体" w:cs="等线"/>
                <w:b/>
                <w:bCs/>
              </w:rPr>
              <w:t xml:space="preserve">（须提供应急响应承诺函原件扫描上传。）</w:t>
            </w:r>
            <w:r/>
          </w:p>
        </w:tc>
      </w:tr>
    </w:tbl>
    <w:p>
      <w:pPr>
        <w:jc w:val="center"/>
        <w:rPr>
          <w:sz w:val="24"/>
          <w:szCs w:val="24"/>
        </w:rPr>
        <w:sectPr>
          <w:headerReference w:type="default" r:id="rId9"/>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sz w:val="24"/>
          <w:szCs w:val="24"/>
        </w:rPr>
      </w:r>
      <w:r/>
    </w:p>
    <w:p>
      <w:pPr>
        <w:pStyle w:val="847"/>
        <w:rPr>
          <w:rFonts w:hint="eastAsia" w:ascii="黑体" w:eastAsia="黑体"/>
          <w:bCs/>
          <w:sz w:val="44"/>
        </w:rPr>
      </w:pPr>
      <w:r/>
      <w:bookmarkStart w:id="182" w:name="_Toc120614281"/>
      <w:r/>
      <w:r/>
    </w:p>
    <w:p>
      <w:pPr>
        <w:pStyle w:val="847"/>
        <w:rPr>
          <w:rFonts w:hint="eastAsia" w:ascii="黑体" w:eastAsia="黑体"/>
          <w:bCs/>
          <w:sz w:val="44"/>
        </w:rPr>
      </w:pPr>
      <w:r>
        <w:rPr>
          <w:rFonts w:hint="eastAsia" w:ascii="黑体" w:eastAsia="黑体"/>
          <w:bCs/>
          <w:sz w:val="44"/>
        </w:rPr>
      </w:r>
      <w:r/>
    </w:p>
    <w:p>
      <w:pPr>
        <w:pStyle w:val="847"/>
        <w:rPr>
          <w:rFonts w:ascii="黑体" w:eastAsia="黑体"/>
          <w:bCs/>
          <w:sz w:val="44"/>
        </w:rPr>
      </w:pPr>
      <w:r>
        <w:rPr>
          <w:rFonts w:hint="eastAsia" w:ascii="黑体" w:eastAsia="黑体"/>
          <w:bCs/>
          <w:sz w:val="44"/>
        </w:rPr>
        <w:t xml:space="preserve">第六章  投标</w:t>
      </w:r>
      <w:bookmarkEnd w:id="178"/>
      <w:r/>
      <w:bookmarkEnd w:id="179"/>
      <w:r/>
      <w:bookmarkEnd w:id="182"/>
      <w:r>
        <w:rPr>
          <w:rFonts w:hint="eastAsia" w:ascii="黑体" w:eastAsia="黑体"/>
          <w:bCs/>
          <w:sz w:val="44"/>
        </w:rPr>
        <w:t xml:space="preserve">文件格式</w:t>
      </w:r>
      <w:r/>
    </w:p>
    <w:p>
      <w:pPr>
        <w:jc w:val="center"/>
        <w:rPr>
          <w:rFonts w:ascii="宋体" w:hAnsi="宋体"/>
          <w:b/>
          <w:sz w:val="72"/>
        </w:rPr>
      </w:pPr>
      <w:r/>
      <w:bookmarkStart w:id="183" w:name="_Hlt26671244"/>
      <w:r/>
      <w:bookmarkEnd w:id="183"/>
      <w:r/>
      <w:bookmarkStart w:id="184" w:name="_Hlt26955039"/>
      <w:r/>
      <w:bookmarkEnd w:id="184"/>
      <w:r/>
      <w:bookmarkStart w:id="185" w:name="_Toc26554094"/>
      <w:r/>
      <w:bookmarkStart w:id="186" w:name="_Toc49090576"/>
      <w:r/>
      <w:bookmarkStart w:id="187"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color w:val="0000ff"/>
          <w:sz w:val="24"/>
        </w:rPr>
      </w:pPr>
      <w:r>
        <w:rPr>
          <w:rFonts w:hint="eastAsia" w:ascii="宋体" w:hAnsi="宋体"/>
          <w:sz w:val="24"/>
        </w:rPr>
        <w:t xml:space="preserve">十、企业报价折扣证明</w:t>
      </w:r>
      <w:r>
        <w:rPr>
          <w:rFonts w:hint="eastAsia" w:ascii="宋体" w:hAnsi="宋体"/>
          <w:color w:val="0000ff"/>
          <w:sz w:val="24"/>
        </w:rPr>
        <w:t xml:space="preserve">（</w:t>
      </w:r>
      <w:r>
        <w:rPr>
          <w:rFonts w:hint="eastAsia" w:ascii="宋体" w:hAnsi="宋体"/>
          <w:i/>
          <w:sz w:val="24"/>
          <w:u w:val="single"/>
        </w:rPr>
        <w:t xml:space="preserve">B包：中小企业声明函、</w:t>
      </w:r>
      <w:r>
        <w:rPr>
          <w:rFonts w:hint="eastAsia" w:ascii="宋体" w:hAnsi="宋体"/>
          <w:sz w:val="24"/>
        </w:rPr>
        <w:t xml:space="preserve">残疾人福利性单位声明函）</w:t>
      </w:r>
      <w:r/>
    </w:p>
    <w:p>
      <w:pPr>
        <w:ind w:firstLine="480"/>
        <w:spacing w:line="440" w:lineRule="exact"/>
        <w:rPr>
          <w:rFonts w:ascii="宋体" w:hAnsi="宋体"/>
          <w:sz w:val="24"/>
        </w:rPr>
      </w:pPr>
      <w:r>
        <w:rPr>
          <w:rFonts w:hint="eastAsia" w:ascii="宋体" w:hAnsi="宋体"/>
          <w:sz w:val="24"/>
        </w:rPr>
        <w:t xml:space="preserve">十一、联合体协议</w:t>
      </w:r>
      <w:r/>
    </w:p>
    <w:p>
      <w:pPr>
        <w:ind w:firstLine="480"/>
        <w:spacing w:line="440" w:lineRule="exact"/>
        <w:rPr>
          <w:rFonts w:ascii="宋体" w:hAnsi="宋体"/>
          <w:color w:val="0000ff"/>
          <w:sz w:val="24"/>
        </w:rPr>
      </w:pPr>
      <w:r>
        <w:rPr>
          <w:rFonts w:hint="eastAsia" w:ascii="宋体" w:hAnsi="宋体"/>
          <w:sz w:val="24"/>
        </w:rPr>
        <w:t xml:space="preserve">十二、投标分项报价表   </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sz w:val="24"/>
        </w:rPr>
      </w:pPr>
      <w:r>
        <w:rPr>
          <w:rFonts w:hint="eastAsia" w:ascii="宋体" w:hAnsi="宋体"/>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185"/>
      <w:r/>
      <w:bookmarkEnd w:id="186"/>
      <w:r/>
      <w:bookmarkEnd w:id="187"/>
      <w:r/>
      <w:r/>
    </w:p>
    <w:p>
      <w:pPr>
        <w:ind w:firstLine="480"/>
        <w:rPr>
          <w:rFonts w:ascii="宋体" w:hAnsi="宋体"/>
          <w:bCs/>
          <w:sz w:val="24"/>
        </w:rPr>
      </w:pPr>
      <w:r/>
      <w:bookmarkStart w:id="188"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765"/>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numPr>
          <w:ilvl w:val="0"/>
          <w:numId w:val="7"/>
        </w:numPr>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48"/>
        <w:ind w:firstLine="480"/>
        <w:rPr>
          <w:sz w:val="24"/>
          <w:szCs w:val="24"/>
        </w:rPr>
      </w:pPr>
      <w:r>
        <w:rPr>
          <w:rFonts w:hint="eastAsia"/>
          <w:sz w:val="24"/>
          <w:szCs w:val="24"/>
        </w:rPr>
        <w:t xml:space="preserve">本授权书声明：____________（投标人名称）授权________________（被授权人的姓名）为我方就</w:t>
      </w:r>
      <w:r>
        <w:rPr>
          <w:rFonts w:hint="eastAsia"/>
          <w:u w:val="single"/>
          <w:lang w:val="en-US" w:eastAsia="zh-CN"/>
        </w:rPr>
        <w:t xml:space="preserve">                 </w:t>
      </w:r>
      <w:r>
        <w:rPr>
          <w:rFonts w:hint="eastAsia"/>
          <w:sz w:val="24"/>
          <w:szCs w:val="24"/>
        </w:rPr>
        <w:t xml:space="preserve">号项目采购活动的合法代理人，以本单位名义全权处理一切与该项目采购有关的事务。</w:t>
      </w:r>
      <w:r/>
    </w:p>
    <w:p>
      <w:pPr>
        <w:pStyle w:val="1048"/>
        <w:ind w:firstLine="480"/>
        <w:rPr>
          <w:sz w:val="24"/>
          <w:szCs w:val="24"/>
        </w:rPr>
      </w:pPr>
      <w:r>
        <w:rPr>
          <w:rFonts w:hint="eastAsia"/>
          <w:sz w:val="24"/>
          <w:szCs w:val="24"/>
        </w:rPr>
        <w:t xml:space="preserve">本授权书于______年____月____日起生效，特此声明。</w:t>
      </w:r>
      <w:r/>
    </w:p>
    <w:p>
      <w:pPr>
        <w:pStyle w:val="1048"/>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48"/>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48"/>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48"/>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48"/>
        <w:ind w:firstLine="480"/>
        <w:rPr>
          <w:sz w:val="24"/>
          <w:szCs w:val="24"/>
        </w:rPr>
      </w:pPr>
      <w:r>
        <w:rPr>
          <w:rFonts w:hint="eastAsia"/>
          <w:sz w:val="24"/>
          <w:szCs w:val="24"/>
        </w:rPr>
        <w:t xml:space="preserve">      日期：</w:t>
      </w:r>
      <w:bookmarkStart w:id="189" w:name="_格式3__银行出具的资信证明"/>
      <w:r/>
      <w:bookmarkEnd w:id="189"/>
      <w:r/>
      <w:bookmarkStart w:id="190" w:name="_Hlt26955070"/>
      <w:r/>
      <w:bookmarkEnd w:id="190"/>
      <w:r/>
      <w:bookmarkStart w:id="191" w:name="_Hlt26671380"/>
      <w:r/>
      <w:bookmarkEnd w:id="191"/>
      <w:r>
        <w:rPr>
          <w:rFonts w:hint="eastAsia"/>
          <w:sz w:val="24"/>
          <w:szCs w:val="24"/>
          <w:u w:val="single"/>
        </w:rPr>
        <w:t xml:space="preserve">                                         </w:t>
      </w:r>
      <w:r/>
    </w:p>
    <w:p>
      <w:pPr>
        <w:pStyle w:val="765"/>
        <w:rPr>
          <w:i/>
          <w:sz w:val="24"/>
          <w:szCs w:val="24"/>
          <w:u w:val="single"/>
        </w:rPr>
      </w:pPr>
      <w:r>
        <w:rPr>
          <w:i/>
          <w:sz w:val="24"/>
          <w:szCs w:val="24"/>
          <w:u w:val="single"/>
        </w:rPr>
      </w:r>
      <w:r/>
    </w:p>
    <w:p>
      <w:pPr>
        <w:jc w:val="center"/>
        <w:rPr>
          <w:rFonts w:ascii="黑体" w:hAnsi="黑体" w:eastAsia="黑体"/>
          <w:i/>
          <w:sz w:val="32"/>
          <w:szCs w:val="32"/>
          <w:u w:val="single"/>
        </w:rPr>
      </w:pPr>
      <w:r>
        <w:rPr>
          <w:rFonts w:ascii="宋体" w:hAnsi="宋体"/>
          <w:sz w:val="24"/>
        </w:rPr>
        <w:br w:type="page" w:clear="all"/>
      </w:r>
      <w:r>
        <w:rPr>
          <w:rFonts w:hint="eastAsia" w:ascii="黑体" w:hAnsi="黑体" w:eastAsia="黑体"/>
          <w:i/>
          <w:sz w:val="32"/>
          <w:szCs w:val="32"/>
          <w:u w:val="single"/>
        </w:rPr>
        <w:t xml:space="preserve">九、投标函</w:t>
      </w:r>
      <w:r/>
    </w:p>
    <w:p>
      <w:pPr>
        <w:pStyle w:val="1053"/>
        <w:ind w:firstLine="0"/>
        <w:spacing w:before="0" w:after="0" w:line="420" w:lineRule="exact"/>
        <w:rPr>
          <w:rFonts w:ascii="宋体" w:hAnsi="宋体"/>
          <w:szCs w:val="21"/>
        </w:rPr>
      </w:pPr>
      <w:r>
        <w:rPr>
          <w:rFonts w:hint="eastAsia" w:ascii="宋体" w:hAnsi="宋体"/>
          <w:szCs w:val="21"/>
        </w:rPr>
        <w:t xml:space="preserve">致：扬州市公共资源交易中心邗江分中心</w:t>
      </w:r>
      <w:r/>
    </w:p>
    <w:p>
      <w:pPr>
        <w:pStyle w:val="1053"/>
        <w:spacing w:before="0" w:after="0" w:line="420" w:lineRule="exact"/>
        <w:rPr>
          <w:rFonts w:ascii="宋体" w:hAnsi="宋体"/>
          <w:szCs w:val="21"/>
        </w:rPr>
      </w:pPr>
      <w:r>
        <w:rPr>
          <w:rFonts w:hint="eastAsia" w:ascii="宋体" w:hAnsi="宋体"/>
          <w:szCs w:val="21"/>
        </w:rPr>
        <w:t xml:space="preserve">根据贵方的</w:t>
      </w:r>
      <w:r>
        <w:rPr>
          <w:rFonts w:hint="eastAsia"/>
          <w:lang w:val="en-US" w:eastAsia="zh-CN"/>
        </w:rPr>
        <w:t xml:space="preserve"> </w:t>
      </w:r>
      <w:r>
        <w:rPr>
          <w:rFonts w:hint="eastAsia"/>
          <w:u w:val="single"/>
          <w:lang w:val="en-US" w:eastAsia="zh-CN"/>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1053"/>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53"/>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5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5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53"/>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53"/>
        <w:ind w:left="420"/>
        <w:spacing w:before="0" w:after="0" w:line="420" w:lineRule="exact"/>
        <w:rPr>
          <w:rFonts w:ascii="宋体" w:hAnsi="宋体"/>
          <w:szCs w:val="21"/>
        </w:rPr>
      </w:pPr>
      <w:r>
        <w:rPr>
          <w:rFonts w:hint="eastAsia" w:ascii="宋体" w:hAnsi="宋体"/>
          <w:szCs w:val="21"/>
        </w:rPr>
        <w:t xml:space="preserve">地          址：</w:t>
      </w:r>
      <w:r/>
    </w:p>
    <w:p>
      <w:pPr>
        <w:pStyle w:val="1053"/>
        <w:ind w:left="420"/>
        <w:spacing w:before="0" w:after="0" w:line="420" w:lineRule="exact"/>
        <w:rPr>
          <w:rFonts w:ascii="宋体" w:hAnsi="宋体"/>
          <w:szCs w:val="21"/>
        </w:rPr>
      </w:pPr>
      <w:r>
        <w:rPr>
          <w:rFonts w:hint="eastAsia" w:ascii="宋体" w:hAnsi="宋体"/>
          <w:szCs w:val="21"/>
        </w:rPr>
        <w:t xml:space="preserve">邮          编：</w:t>
      </w:r>
      <w:r/>
    </w:p>
    <w:p>
      <w:pPr>
        <w:pStyle w:val="1053"/>
        <w:ind w:left="420"/>
        <w:spacing w:before="0" w:after="0" w:line="420" w:lineRule="exact"/>
        <w:rPr>
          <w:rFonts w:ascii="宋体" w:hAnsi="宋体"/>
          <w:szCs w:val="21"/>
        </w:rPr>
      </w:pPr>
      <w:r>
        <w:rPr>
          <w:rFonts w:hint="eastAsia" w:ascii="宋体" w:hAnsi="宋体"/>
          <w:szCs w:val="21"/>
        </w:rPr>
        <w:t xml:space="preserve">电          话：</w:t>
      </w:r>
      <w:r/>
    </w:p>
    <w:p>
      <w:pPr>
        <w:pStyle w:val="1053"/>
        <w:ind w:left="420"/>
        <w:spacing w:before="0" w:after="0" w:line="420" w:lineRule="exact"/>
        <w:rPr>
          <w:rFonts w:ascii="宋体" w:hAnsi="宋体"/>
          <w:szCs w:val="21"/>
        </w:rPr>
      </w:pPr>
      <w:r>
        <w:rPr>
          <w:rFonts w:hint="eastAsia" w:ascii="宋体" w:hAnsi="宋体"/>
          <w:szCs w:val="21"/>
        </w:rPr>
        <w:t xml:space="preserve">传          真：</w:t>
      </w:r>
      <w:r/>
    </w:p>
    <w:p>
      <w:pPr>
        <w:pStyle w:val="1053"/>
        <w:ind w:left="420"/>
        <w:spacing w:before="0" w:after="0" w:line="420" w:lineRule="exact"/>
        <w:rPr>
          <w:rFonts w:ascii="宋体" w:hAnsi="宋体"/>
          <w:szCs w:val="21"/>
        </w:rPr>
      </w:pPr>
      <w:r>
        <w:rPr>
          <w:rFonts w:hint="eastAsia" w:ascii="宋体" w:hAnsi="宋体"/>
          <w:szCs w:val="21"/>
        </w:rPr>
        <w:t xml:space="preserve">投标人开户行：</w:t>
      </w:r>
      <w:r/>
    </w:p>
    <w:p>
      <w:pPr>
        <w:pStyle w:val="1053"/>
        <w:ind w:left="420"/>
        <w:spacing w:before="0" w:after="0" w:line="420" w:lineRule="exact"/>
        <w:rPr>
          <w:rFonts w:ascii="宋体" w:hAnsi="宋体"/>
          <w:szCs w:val="21"/>
        </w:rPr>
      </w:pPr>
      <w:r>
        <w:rPr>
          <w:rFonts w:hint="eastAsia" w:ascii="宋体" w:hAnsi="宋体"/>
          <w:szCs w:val="21"/>
        </w:rPr>
        <w:t xml:space="preserve">账          号： </w:t>
      </w:r>
      <w:r/>
    </w:p>
    <w:p>
      <w:pPr>
        <w:pStyle w:val="1053"/>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hint="eastAsia" w:ascii="黑体" w:hAnsi="黑体" w:eastAsia="黑体"/>
          <w:b/>
          <w:i/>
          <w:iCs/>
          <w:sz w:val="32"/>
          <w:szCs w:val="32"/>
          <w:u w:val="single"/>
        </w:rPr>
      </w:pPr>
      <w:r>
        <w:rPr>
          <w:rFonts w:hint="eastAsia" w:ascii="黑体" w:hAnsi="黑体" w:eastAsia="黑体"/>
          <w:b/>
          <w:i/>
          <w:iCs/>
          <w:sz w:val="32"/>
          <w:szCs w:val="32"/>
          <w:u w:val="single"/>
        </w:rPr>
      </w:r>
      <w:r/>
    </w:p>
    <w:p>
      <w:pPr>
        <w:jc w:val="center"/>
        <w:spacing w:line="460" w:lineRule="exact"/>
        <w:rPr>
          <w:rFonts w:ascii="黑体" w:hAnsi="黑体" w:eastAsia="黑体"/>
          <w:b/>
          <w:sz w:val="32"/>
          <w:szCs w:val="32"/>
        </w:rPr>
      </w:pPr>
      <w:r>
        <w:rPr>
          <w:rFonts w:hint="eastAsia" w:ascii="黑体" w:hAnsi="黑体" w:eastAsia="黑体"/>
          <w:b/>
          <w:i/>
          <w:iCs/>
          <w:sz w:val="32"/>
          <w:szCs w:val="32"/>
          <w:u w:val="single"/>
        </w:rPr>
        <w:t xml:space="preserve">十、中小企业声明函（服务）</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采购编号为JSZC-321003-JZCG-G2024-0014，（</w:t>
      </w:r>
      <w:r>
        <w:rPr>
          <w:rFonts w:hint="eastAsia" w:ascii="宋体" w:hAnsi="宋体"/>
          <w:sz w:val="24"/>
          <w:szCs w:val="24"/>
          <w:u w:val="single"/>
        </w:rPr>
        <w:t xml:space="preserve">扬州市邗江区市场监督管理局2024年食品安全抽检服务项目</w:t>
      </w:r>
      <w:r>
        <w:rPr>
          <w:rFonts w:hint="eastAsia" w:ascii="宋体" w:hAnsi="宋体"/>
          <w:sz w:val="24"/>
          <w:szCs w:val="24"/>
        </w:rPr>
        <w:t xml:space="preserve">）（分包号：**）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属于其</w:t>
      </w:r>
      <w:r>
        <w:rPr>
          <w:rFonts w:hint="eastAsia" w:ascii="宋体" w:hAnsi="宋体"/>
          <w:color w:val="ff0000"/>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r/>
      <w:bookmarkStart w:id="192" w:name="_Toc150519795"/>
      <w:r/>
      <w:r/>
    </w:p>
    <w:p>
      <w:pPr>
        <w:jc w:val="center"/>
        <w:rPr>
          <w:rFonts w:cs="Arial"/>
          <w:b/>
          <w:sz w:val="28"/>
        </w:rPr>
      </w:pPr>
      <w:r>
        <w:rPr>
          <w:rFonts w:hint="eastAsia"/>
          <w:b/>
          <w:sz w:val="28"/>
        </w:rPr>
        <w:t xml:space="preserve">中小微企业划型标准</w:t>
      </w:r>
      <w:bookmarkEnd w:id="192"/>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64"/>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自愿组成联合体，参加扬州市公共资源交易中心邗江分中心组织的采购编号为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hint="eastAsia" w:ascii="黑体" w:hAnsi="黑体" w:eastAsia="黑体"/>
          <w:b/>
          <w:sz w:val="32"/>
          <w:szCs w:val="32"/>
        </w:rPr>
        <w:t xml:space="preserve">十二、投标分项报价表（分包号： </w:t>
      </w:r>
      <w:r>
        <w:rPr>
          <w:rFonts w:ascii="黑体" w:hAnsi="黑体" w:eastAsia="黑体"/>
          <w:b/>
          <w:sz w:val="32"/>
          <w:szCs w:val="32"/>
        </w:rPr>
        <w:t xml:space="preserve"> </w:t>
      </w:r>
      <w:r>
        <w:rPr>
          <w:rFonts w:hint="eastAsia" w:ascii="黑体" w:hAnsi="黑体" w:eastAsia="黑体"/>
          <w:b/>
          <w:sz w:val="32"/>
          <w:szCs w:val="32"/>
        </w:rPr>
        <w:t xml:space="preserve">）</w:t>
      </w:r>
      <w:r/>
    </w:p>
    <w:tbl>
      <w:tblPr>
        <w:tblStyle w:val="764"/>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733"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24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98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r>
      <w:tr>
        <w:trPr>
          <w:cantSplit/>
          <w:trHeight w:val="824"/>
        </w:trPr>
        <w:tc>
          <w:tcPr>
            <w:tcW w:w="2770" w:type="dxa"/>
            <w:vAlign w:val="center"/>
            <w:textDirection w:val="lrTb"/>
            <w:noWrap w:val="false"/>
          </w:tcPr>
          <w:p>
            <w:pPr>
              <w:jc w:val="center"/>
              <w:rPr>
                <w:rFonts w:hint="eastAsia" w:ascii="宋体" w:hAnsi="宋体"/>
                <w:szCs w:val="21"/>
              </w:rPr>
            </w:pPr>
            <w:r>
              <w:rPr>
                <w:rFonts w:hint="eastAsia" w:ascii="宋体" w:hAnsi="宋体"/>
                <w:szCs w:val="21"/>
              </w:rPr>
              <w:t xml:space="preserve">名称</w:t>
            </w:r>
            <w:r/>
          </w:p>
        </w:tc>
        <w:tc>
          <w:tcPr>
            <w:tcW w:w="1733"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W w:w="2409" w:type="dxa"/>
            <w:vAlign w:val="center"/>
            <w:textDirection w:val="lrTb"/>
            <w:noWrap w:val="false"/>
          </w:tcPr>
          <w:p>
            <w:pPr>
              <w:jc w:val="center"/>
              <w:rPr>
                <w:rFonts w:hint="eastAsia" w:ascii="宋体" w:hAnsi="宋体"/>
                <w:szCs w:val="21"/>
              </w:rPr>
            </w:pPr>
            <w:r>
              <w:rPr>
                <w:rFonts w:hint="eastAsia" w:ascii="宋体" w:hAnsi="宋体"/>
                <w:szCs w:val="21"/>
              </w:rPr>
              <w:t xml:space="preserve">单价</w:t>
            </w:r>
            <w:r/>
          </w:p>
        </w:tc>
        <w:tc>
          <w:tcPr>
            <w:tcW w:w="1985" w:type="dxa"/>
            <w:vAlign w:val="center"/>
            <w:textDirection w:val="lrTb"/>
            <w:noWrap w:val="false"/>
          </w:tcPr>
          <w:p>
            <w:pPr>
              <w:jc w:val="center"/>
              <w:rPr>
                <w:rFonts w:hint="eastAsia"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733" w:type="dxa"/>
            <w:vAlign w:val="center"/>
            <w:textDirection w:val="lrTb"/>
            <w:noWrap w:val="false"/>
          </w:tcPr>
          <w:p>
            <w:pPr>
              <w:rPr>
                <w:rFonts w:hint="eastAsia" w:ascii="宋体" w:hAnsi="宋体"/>
                <w:szCs w:val="21"/>
              </w:rPr>
            </w:pPr>
            <w:r>
              <w:rPr>
                <w:rFonts w:hint="eastAsia" w:ascii="宋体" w:hAnsi="宋体"/>
                <w:szCs w:val="21"/>
              </w:rPr>
            </w:r>
            <w:r/>
          </w:p>
        </w:tc>
        <w:tc>
          <w:tcPr>
            <w:tcW w:w="2409" w:type="dxa"/>
            <w:vAlign w:val="center"/>
            <w:textDirection w:val="lrTb"/>
            <w:noWrap w:val="false"/>
          </w:tcPr>
          <w:p>
            <w:pPr>
              <w:rPr>
                <w:rFonts w:hint="eastAsia" w:ascii="宋体" w:hAnsi="宋体"/>
                <w:szCs w:val="21"/>
              </w:rPr>
            </w:pPr>
            <w:r>
              <w:rPr>
                <w:rFonts w:hint="eastAsia" w:ascii="宋体" w:hAnsi="宋体"/>
                <w:szCs w:val="21"/>
              </w:rPr>
            </w:r>
            <w:r/>
          </w:p>
        </w:tc>
        <w:tc>
          <w:tcPr>
            <w:tcW w:w="1985"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733" w:type="dxa"/>
            <w:vAlign w:val="center"/>
            <w:textDirection w:val="lrTb"/>
            <w:noWrap w:val="false"/>
          </w:tcPr>
          <w:p>
            <w:pPr>
              <w:rPr>
                <w:rFonts w:hint="eastAsia" w:ascii="宋体" w:hAnsi="宋体"/>
                <w:szCs w:val="21"/>
              </w:rPr>
            </w:pPr>
            <w:r>
              <w:rPr>
                <w:rFonts w:hint="eastAsia" w:ascii="宋体" w:hAnsi="宋体"/>
                <w:szCs w:val="21"/>
              </w:rPr>
            </w:r>
            <w:r/>
          </w:p>
        </w:tc>
        <w:tc>
          <w:tcPr>
            <w:tcW w:w="2409" w:type="dxa"/>
            <w:vAlign w:val="center"/>
            <w:textDirection w:val="lrTb"/>
            <w:noWrap w:val="false"/>
          </w:tcPr>
          <w:p>
            <w:pPr>
              <w:rPr>
                <w:rFonts w:hint="eastAsia" w:ascii="宋体" w:hAnsi="宋体"/>
                <w:szCs w:val="21"/>
              </w:rPr>
            </w:pPr>
            <w:r>
              <w:rPr>
                <w:rFonts w:hint="eastAsia" w:ascii="宋体" w:hAnsi="宋体"/>
                <w:szCs w:val="21"/>
              </w:rPr>
            </w:r>
            <w:r/>
          </w:p>
        </w:tc>
        <w:tc>
          <w:tcPr>
            <w:tcW w:w="1985"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733" w:type="dxa"/>
            <w:vAlign w:val="center"/>
            <w:textDirection w:val="lrTb"/>
            <w:noWrap w:val="false"/>
          </w:tcPr>
          <w:p>
            <w:pPr>
              <w:rPr>
                <w:rFonts w:hint="eastAsia" w:ascii="宋体" w:hAnsi="宋体"/>
                <w:szCs w:val="21"/>
              </w:rPr>
            </w:pPr>
            <w:r>
              <w:rPr>
                <w:rFonts w:hint="eastAsia" w:ascii="宋体" w:hAnsi="宋体"/>
                <w:szCs w:val="21"/>
              </w:rPr>
            </w:r>
            <w:r/>
          </w:p>
        </w:tc>
        <w:tc>
          <w:tcPr>
            <w:tcW w:w="2409" w:type="dxa"/>
            <w:vAlign w:val="center"/>
            <w:textDirection w:val="lrTb"/>
            <w:noWrap w:val="false"/>
          </w:tcPr>
          <w:p>
            <w:pPr>
              <w:rPr>
                <w:rFonts w:hint="eastAsia" w:ascii="宋体" w:hAnsi="宋体"/>
                <w:szCs w:val="21"/>
              </w:rPr>
            </w:pPr>
            <w:r>
              <w:rPr>
                <w:rFonts w:hint="eastAsia" w:ascii="宋体" w:hAnsi="宋体"/>
                <w:szCs w:val="21"/>
              </w:rPr>
            </w:r>
            <w:r/>
          </w:p>
        </w:tc>
        <w:tc>
          <w:tcPr>
            <w:tcW w:w="1985"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580"/>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733" w:type="dxa"/>
            <w:vAlign w:val="center"/>
            <w:textDirection w:val="lrTb"/>
            <w:noWrap w:val="false"/>
          </w:tcPr>
          <w:p>
            <w:pPr>
              <w:rPr>
                <w:rFonts w:hint="eastAsia" w:ascii="宋体" w:hAnsi="宋体"/>
                <w:szCs w:val="21"/>
              </w:rPr>
            </w:pPr>
            <w:r>
              <w:rPr>
                <w:rFonts w:hint="eastAsia" w:ascii="宋体" w:hAnsi="宋体"/>
                <w:szCs w:val="21"/>
              </w:rPr>
            </w:r>
            <w:r/>
          </w:p>
        </w:tc>
        <w:tc>
          <w:tcPr>
            <w:tcW w:w="2409" w:type="dxa"/>
            <w:vAlign w:val="center"/>
            <w:textDirection w:val="lrTb"/>
            <w:noWrap w:val="false"/>
          </w:tcPr>
          <w:p>
            <w:pPr>
              <w:rPr>
                <w:rFonts w:hint="eastAsia" w:ascii="宋体" w:hAnsi="宋体"/>
                <w:szCs w:val="21"/>
              </w:rPr>
            </w:pPr>
            <w:r>
              <w:rPr>
                <w:rFonts w:hint="eastAsia" w:ascii="宋体" w:hAnsi="宋体"/>
                <w:szCs w:val="21"/>
              </w:rPr>
            </w:r>
            <w:r/>
          </w:p>
        </w:tc>
        <w:tc>
          <w:tcPr>
            <w:tcW w:w="1985"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580"/>
        </w:trPr>
        <w:tc>
          <w:tcPr>
            <w:tcW w:w="2770" w:type="dxa"/>
            <w:vAlign w:val="center"/>
            <w:textDirection w:val="lrTb"/>
            <w:noWrap w:val="false"/>
          </w:tcPr>
          <w:p>
            <w:pPr>
              <w:rPr>
                <w:rFonts w:hint="eastAsia" w:ascii="宋体" w:hAnsi="宋体"/>
                <w:szCs w:val="21"/>
              </w:rPr>
            </w:pPr>
            <w:r>
              <w:rPr>
                <w:rFonts w:hint="eastAsia" w:ascii="宋体" w:hAnsi="宋体"/>
                <w:szCs w:val="21"/>
              </w:rPr>
              <w:t xml:space="preserve">合计</w:t>
            </w:r>
            <w:r/>
          </w:p>
        </w:tc>
        <w:tc>
          <w:tcPr>
            <w:gridSpan w:val="3"/>
            <w:tcW w:w="6127" w:type="dxa"/>
            <w:vAlign w:val="center"/>
            <w:textDirection w:val="lrTb"/>
            <w:noWrap w:val="false"/>
          </w:tcPr>
          <w:p>
            <w:pPr>
              <w:rPr>
                <w:rFonts w:hint="eastAsia" w:ascii="宋体" w:hAnsi="宋体"/>
                <w:szCs w:val="21"/>
              </w:rPr>
            </w:pPr>
            <w:r>
              <w:rPr>
                <w:rFonts w:hint="eastAsia" w:ascii="宋体" w:hAnsi="宋体"/>
                <w:szCs w:val="21"/>
              </w:rPr>
            </w:r>
            <w:r/>
          </w:p>
        </w:tc>
      </w:tr>
    </w:tbl>
    <w:p>
      <w:pPr>
        <w:ind w:firstLine="482"/>
        <w:rPr>
          <w:rFonts w:ascii="宋体" w:hAnsi="宋体"/>
          <w:b/>
          <w:bCs/>
          <w:sz w:val="24"/>
          <w:szCs w:val="24"/>
        </w:rPr>
      </w:pPr>
      <w:r>
        <w:rPr>
          <w:rFonts w:ascii="宋体" w:hAnsi="宋体"/>
          <w:b/>
          <w:bCs/>
          <w:sz w:val="24"/>
          <w:szCs w:val="24"/>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 ）</w:t>
      </w:r>
      <w:r/>
    </w:p>
    <w:tbl>
      <w:tblPr>
        <w:tblStyle w:val="76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bookmarkEnd w:id="188"/>
      <w:r/>
      <w:r/>
    </w:p>
    <w:p>
      <w:pPr>
        <w:jc w:val="center"/>
        <w:rPr>
          <w:rFonts w:ascii="黑体" w:hAnsi="黑体" w:eastAsia="黑体"/>
          <w:b/>
          <w:sz w:val="32"/>
          <w:szCs w:val="32"/>
        </w:rPr>
      </w:pPr>
      <w:r/>
      <w:bookmarkStart w:id="193" w:name="_Hlt26955054"/>
      <w:r/>
      <w:bookmarkEnd w:id="193"/>
      <w:r>
        <w:rPr>
          <w:rFonts w:hint="eastAsia" w:ascii="黑体" w:hAnsi="黑体" w:eastAsia="黑体"/>
          <w:b/>
          <w:sz w:val="32"/>
          <w:szCs w:val="32"/>
        </w:rPr>
        <w:t xml:space="preserve">十四、商务要求响应及偏离表（分包号： ）</w:t>
      </w:r>
      <w:r/>
    </w:p>
    <w:tbl>
      <w:tblPr>
        <w:tblStyle w:val="76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194" w:name="_Hlt26580838"/>
            <w:r/>
            <w:bookmarkEnd w:id="194"/>
            <w:r/>
            <w:bookmarkStart w:id="195" w:name="_Hlt24879081"/>
            <w:r/>
            <w:bookmarkEnd w:id="195"/>
            <w:r/>
            <w:bookmarkStart w:id="196" w:name="_Hlt26671372"/>
            <w:r/>
            <w:bookmarkEnd w:id="196"/>
            <w:r/>
            <w:bookmarkStart w:id="197" w:name="_Hlt26671343"/>
            <w:r/>
            <w:bookmarkEnd w:id="197"/>
            <w:r/>
            <w:bookmarkStart w:id="198" w:name="_Hlt26955056"/>
            <w:r/>
            <w:bookmarkEnd w:id="198"/>
            <w:r/>
            <w:bookmarkStart w:id="199" w:name="_Hlt26782999"/>
            <w:r/>
            <w:bookmarkEnd w:id="199"/>
            <w:r/>
            <w:bookmarkStart w:id="200" w:name="_Hlt26609391"/>
            <w:r/>
            <w:bookmarkEnd w:id="200"/>
            <w:r/>
            <w:bookmarkStart w:id="201" w:name="_Hlt26955064"/>
            <w:r/>
            <w:bookmarkEnd w:id="201"/>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bookmarkEnd w:id="176"/>
      <w:r/>
      <w:bookmarkEnd w:id="177"/>
      <w:r/>
      <w:r/>
    </w:p>
    <w:p>
      <w:pPr>
        <w:rPr>
          <w:rFonts w:ascii="黑体" w:hAnsi="黑体" w:eastAsia="黑体"/>
          <w:b/>
          <w:sz w:val="32"/>
          <w:szCs w:val="32"/>
        </w:rPr>
      </w:pPr>
      <w:r/>
      <w:bookmarkStart w:id="202" w:name="_格式2__法定代表人授权书"/>
      <w:r/>
      <w:bookmarkEnd w:id="202"/>
      <w:r/>
      <w:r/>
    </w:p>
    <w:p>
      <w:pPr>
        <w:jc w:val="center"/>
        <w:rPr>
          <w:rFonts w:eastAsia="仿宋_GB2312"/>
          <w:sz w:val="24"/>
          <w:szCs w:val="24"/>
        </w:rPr>
      </w:pPr>
      <w:r>
        <w:rPr>
          <w:rFonts w:eastAsia="仿宋_GB2312"/>
          <w:sz w:val="24"/>
          <w:szCs w:val="24"/>
        </w:rPr>
      </w:r>
      <w:r/>
    </w:p>
    <w:p>
      <w:pPr>
        <w:jc w:val="center"/>
        <w:rPr>
          <w:rFonts w:ascii="黑体" w:hAnsi="黑体" w:eastAsia="黑体"/>
          <w:b/>
          <w:bCs/>
          <w:i/>
          <w:sz w:val="32"/>
          <w:szCs w:val="32"/>
          <w:u w:val="single"/>
        </w:rPr>
      </w:pPr>
      <w:r>
        <w:rPr>
          <w:rFonts w:ascii="黑体" w:hAnsi="黑体" w:eastAsia="黑体"/>
          <w:b/>
          <w:bCs/>
          <w:i/>
          <w:sz w:val="32"/>
          <w:szCs w:val="32"/>
          <w:u w:val="single"/>
        </w:rPr>
      </w:r>
      <w:r/>
    </w:p>
    <w:p>
      <w:pPr>
        <w:jc w:val="center"/>
        <w:rPr>
          <w:rFonts w:ascii="黑体" w:hAnsi="黑体" w:eastAsia="黑体"/>
          <w:b/>
          <w:bCs/>
          <w:i/>
          <w:sz w:val="32"/>
          <w:szCs w:val="32"/>
          <w:u w:val="single"/>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rFonts w:hint="eastAsia" w:ascii="宋体" w:hAnsi="宋体"/>
          <w:sz w:val="24"/>
          <w:szCs w:val="24"/>
        </w:rPr>
      </w:pPr>
      <w:r>
        <w:rPr>
          <w:rFonts w:hint="eastAsia" w:ascii="宋体" w:hAnsi="宋体"/>
          <w:sz w:val="24"/>
          <w:szCs w:val="24"/>
        </w:rPr>
        <w:t xml:space="preserve">项目名称：扬州市邗江区市场监督管理局2024年食品安全抽检服务项目</w:t>
      </w:r>
      <w:r/>
    </w:p>
    <w:p>
      <w:pPr>
        <w:ind w:firstLine="480"/>
        <w:rPr>
          <w:rFonts w:ascii="宋体" w:hAnsi="宋体"/>
          <w:sz w:val="24"/>
          <w:szCs w:val="24"/>
        </w:rPr>
      </w:pPr>
      <w:r>
        <w:rPr>
          <w:rFonts w:hint="eastAsia" w:ascii="宋体" w:hAnsi="宋体"/>
          <w:sz w:val="24"/>
          <w:szCs w:val="24"/>
        </w:rPr>
        <w:t xml:space="preserve">项目编号：                                   分包号：</w:t>
      </w:r>
      <w:r/>
    </w:p>
    <w:tbl>
      <w:tblPr>
        <w:tblStyle w:val="764"/>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53"/>
              <w:ind w:firstLine="0"/>
              <w:spacing w:before="0" w:after="0" w:line="500" w:lineRule="exact"/>
              <w:rPr>
                <w:rFonts w:ascii="宋体" w:hAnsi="宋体"/>
                <w:szCs w:val="21"/>
              </w:rPr>
            </w:pPr>
            <w:r>
              <w:rPr>
                <w:rFonts w:hint="eastAsia" w:ascii="宋体" w:hAnsi="宋体" w:cs="宋体"/>
              </w:rPr>
              <w:t xml:space="preserve">小写：                             （人民币：元/</w:t>
            </w:r>
            <w:r>
              <w:rPr>
                <w:rFonts w:hint="eastAsia" w:ascii="宋体" w:hAnsi="宋体" w:cs="宋体"/>
                <w:lang w:val="en-US" w:eastAsia="zh-CN"/>
              </w:rPr>
              <w:t xml:space="preserve">批次</w:t>
            </w:r>
            <w:r>
              <w:rPr>
                <w:rFonts w:hint="eastAsia" w:ascii="宋体" w:hAnsi="宋体" w:cs="宋体"/>
              </w:rPr>
              <w:t xml:space="preserve">）</w:t>
            </w:r>
            <w:r/>
          </w:p>
        </w:tc>
      </w:tr>
      <w:tr>
        <w:trPr>
          <w:cantSplit/>
          <w:trHeight w:val="612"/>
        </w:trPr>
        <w:tc>
          <w:tcPr>
            <w:tcW w:w="8206" w:type="dxa"/>
            <w:vAlign w:val="center"/>
            <w:textDirection w:val="lrTb"/>
            <w:noWrap w:val="false"/>
          </w:tcPr>
          <w:p>
            <w:pPr>
              <w:pStyle w:val="1053"/>
              <w:ind w:firstLine="0"/>
              <w:spacing w:before="0" w:after="0" w:line="500" w:lineRule="exact"/>
              <w:rPr>
                <w:rFonts w:ascii="宋体" w:hAnsi="宋体" w:cs="宋体"/>
              </w:rPr>
            </w:pPr>
            <w:r>
              <w:rPr>
                <w:rFonts w:hint="eastAsia" w:ascii="宋体" w:hAnsi="宋体" w:cs="宋体"/>
              </w:rPr>
              <w:t xml:space="preserve">大写：                             （人民币：圆/</w:t>
            </w:r>
            <w:r>
              <w:rPr>
                <w:rFonts w:hint="eastAsia" w:ascii="宋体" w:hAnsi="宋体" w:cs="宋体"/>
                <w:lang w:val="en-US" w:eastAsia="zh-CN"/>
              </w:rPr>
              <w:t xml:space="preserve">批次</w:t>
            </w:r>
            <w:r>
              <w:rPr>
                <w:rFonts w:hint="eastAsia" w:ascii="宋体" w:hAnsi="宋体" w:cs="宋体"/>
              </w:rPr>
              <w:t xml:space="preserve">）</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jc w:val="center"/>
        <w:rPr>
          <w:rFonts w:ascii="黑体" w:hAnsi="黑体" w:eastAsia="黑体"/>
          <w:b/>
          <w:iCs/>
          <w:sz w:val="32"/>
          <w:szCs w:val="32"/>
        </w:rPr>
      </w:pPr>
      <w:r>
        <w:rPr>
          <w:rFonts w:ascii="黑体" w:hAnsi="黑体" w:eastAsia="黑体"/>
          <w:b/>
          <w:iCs/>
          <w:sz w:val="32"/>
          <w:szCs w:val="32"/>
        </w:rPr>
        <w:br w:type="page" w:clear="all"/>
      </w: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64"/>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r/>
      <w:r/>
    </w:p>
    <w:p>
      <w:r/>
      <w:r/>
    </w:p>
    <w:p>
      <w:r/>
      <w:r/>
    </w:p>
    <w:p>
      <w:r/>
      <w:r/>
    </w:p>
    <w:p>
      <w:r/>
      <w:r/>
    </w:p>
    <w:p>
      <w:r/>
      <w:r/>
    </w:p>
    <w:p>
      <w:r/>
      <w:r/>
    </w:p>
    <w:p>
      <w:r/>
      <w:r/>
    </w:p>
    <w:p>
      <w:r/>
      <w:r/>
    </w:p>
    <w:p>
      <w:r/>
      <w:r/>
    </w:p>
    <w:p>
      <w:r/>
      <w:r/>
    </w:p>
    <w:p>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符合性审查响应对照表</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tbl>
      <w:tblPr>
        <w:tblStyle w:val="764"/>
        <w:tblW w:w="91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4840"/>
        <w:gridCol w:w="2081"/>
        <w:gridCol w:w="159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jc w:val="center"/>
              <w:spacing w:line="239"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jc w:val="center"/>
              <w:spacing w:line="239"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spacing w:line="239"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是否响应</w:t>
            </w:r>
            <w:r/>
          </w:p>
          <w:p>
            <w:pPr>
              <w:jc w:val="center"/>
              <w:spacing w:line="239"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jc w:val="center"/>
              <w:spacing w:line="239"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采购需求中必须满足采购文件第四章项目需求中的实质性要求（即加斜体下划线内容，每条详细列出）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jc w:val="center"/>
        <w:spacing w:line="6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br w:type="page" w:clear="all"/>
      </w: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tabs>
          <w:tab w:val="left" w:pos="7378" w:leader="none"/>
        </w:tabs>
        <w:rPr>
          <w:rFonts w:ascii="宋体" w:hAnsi="宋体"/>
          <w:sz w:val="24"/>
          <w:szCs w:val="24"/>
        </w:rPr>
      </w:pPr>
      <w:r>
        <w:rPr>
          <w:rFonts w:hint="eastAsia" w:ascii="宋体" w:hAnsi="宋体"/>
          <w:sz w:val="24"/>
          <w:szCs w:val="24"/>
        </w:rPr>
        <w:t xml:space="preserve">1.供应商提出质疑时，应提交质疑函和必要的证明材料。</w:t>
      </w:r>
      <w:r>
        <w:tab/>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76"/>
        <w:rPr>
          <w:sz w:val="24"/>
          <w:szCs w:val="24"/>
        </w:rPr>
      </w:pPr>
      <w:r>
        <w:rPr>
          <w:sz w:val="24"/>
          <w:szCs w:val="24"/>
        </w:rPr>
      </w:r>
      <w:r/>
    </w:p>
    <w:p>
      <w:pPr>
        <w:pStyle w:val="1076"/>
        <w:rPr>
          <w:sz w:val="24"/>
          <w:szCs w:val="24"/>
        </w:rPr>
      </w:pPr>
      <w:r>
        <w:rPr>
          <w:sz w:val="24"/>
          <w:szCs w:val="24"/>
        </w:rPr>
      </w:r>
      <w:r/>
    </w:p>
    <w:p>
      <w:pPr>
        <w:jc w:val="center"/>
        <w:rPr>
          <w:sz w:val="24"/>
          <w:szCs w:val="24"/>
        </w:rPr>
      </w:pPr>
      <w:r>
        <w:rPr>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sectPr>
      <w:headerReference w:type="default" r:id="rId10"/>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简体">
    <w:panose1 w:val="020B0503020202020204"/>
  </w:font>
  <w:font w:name="等线">
    <w:panose1 w:val="02010600030101010101"/>
  </w:font>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instrText xml:space="preserve">PAGE \* MERGEFORMAT</w:instrText>
    </w:r>
    <w:r>
      <w:fldChar w:fldCharType="separate"/>
    </w:r>
    <w:r>
      <w:t xml:space="preserve">18</w:t>
    </w:r>
    <w:r>
      <w:fldChar w:fldCharType="end"/>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instrText xml:space="preserve">PAGE \* MERGEFORMAT</w:instrText>
    </w:r>
    <w:r>
      <w:fldChar w:fldCharType="separate"/>
    </w:r>
    <w:r>
      <w:t xml:space="preserve">67</w:t>
    </w:r>
    <w:r>
      <w:fldChar w:fldCharType="end"/>
    </w:r>
    <w:r/>
  </w:p>
  <w:p>
    <w:pPr>
      <w:pStyle w:val="8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instrText xml:space="preserve">PAGE   \* MERGEFORMAT</w:instrText>
    </w:r>
    <w:r>
      <w:fldChar w:fldCharType="separate"/>
    </w:r>
    <w:r>
      <w:rPr>
        <w:lang w:val="zh-CN"/>
      </w:rPr>
      <w:t xml:space="preserve">66</w:t>
    </w:r>
    <w:r>
      <w:rPr>
        <w:lang w:val="zh-CN"/>
      </w:rPr>
      <w:fldChar w:fldCharType="end"/>
    </w:r>
    <w:r/>
  </w:p>
  <w:p>
    <w:pPr>
      <w:pStyle w:val="87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instrText xml:space="preserve">PAGE \* MERGEFORMAT</w:instrText>
    </w:r>
    <w:r>
      <w:fldChar w:fldCharType="separate"/>
    </w:r>
    <w:r>
      <w:t xml:space="preserve">84</w:t>
    </w:r>
    <w:r>
      <w:fldChar w:fldCharType="end"/>
    </w:r>
    <w:r/>
  </w:p>
  <w:p>
    <w:pPr>
      <w:pStyle w:val="87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02"/>
      </w:rPr>
      <w:framePr w:wrap="around" w:vAnchor="text" w:hAnchor="margin" w:xAlign="center" w:y="1"/>
    </w:pPr>
    <w:r>
      <w:fldChar w:fldCharType="begin"/>
    </w:r>
    <w:r>
      <w:rPr>
        <w:rStyle w:val="802"/>
      </w:rPr>
      <w:instrText xml:space="preserve">PAGE  </w:instrText>
    </w:r>
    <w:r>
      <w:fldChar w:fldCharType="separate"/>
    </w:r>
    <w:r>
      <w:rPr>
        <w:rStyle w:val="802"/>
      </w:rPr>
      <w:t xml:space="preserve">1</w: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60"/>
      <w:spacing w:before="120" w:after="1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99"/>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5"/>
      <w:isLgl w:val="false"/>
      <w:suff w:val="nothing"/>
      <w:lvlText w:val=""/>
      <w:lvlJc w:val="left"/>
      <w:pPr>
        <w:ind w:left="0" w:firstLine="0"/>
      </w:pPr>
      <w:rPr>
        <w:rFonts w:hint="eastAsia"/>
      </w:rPr>
    </w:lvl>
    <w:lvl w:ilvl="6">
      <w:start w:val="1"/>
      <w:numFmt w:val="decimal"/>
      <w:pStyle w:val="857"/>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1"/>
      <w:isLgl w:val="false"/>
      <w:suff w:val="nothing"/>
      <w:lvlText w:val=""/>
      <w:lvlJc w:val="left"/>
      <w:pPr>
        <w:ind w:left="0" w:firstLine="0"/>
      </w:pPr>
      <w:rPr>
        <w:rFonts w:hint="eastAsia"/>
      </w:rPr>
    </w:lvl>
  </w:abstractNum>
  <w:abstractNum w:abstractNumId="5">
    <w:multiLevelType w:val="hybridMultilevel"/>
    <w:lvl w:ilvl="0">
      <w:start w:val="1"/>
      <w:numFmt w:val="decimal"/>
      <w:pStyle w:val="10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TOC Heading"/>
    <w:uiPriority w:val="39"/>
    <w:unhideWhenUsed/>
  </w:style>
  <w:style w:type="paragraph" w:styleId="759" w:default="1">
    <w:name w:val="Normal"/>
    <w:next w:val="762"/>
    <w:uiPriority w:val="0"/>
    <w:qFormat/>
    <w:pPr>
      <w:jc w:val="both"/>
      <w:widowControl w:val="off"/>
    </w:pPr>
    <w:rPr>
      <w:rFonts w:ascii="Times New Roman" w:hAnsi="Times New Roman" w:eastAsia="宋体" w:cs="Times New Roman"/>
      <w:sz w:val="21"/>
      <w:szCs w:val="21"/>
      <w:lang w:val="en-US" w:eastAsia="zh-CN" w:bidi="ar-SA"/>
    </w:rPr>
  </w:style>
  <w:style w:type="paragraph" w:styleId="760">
    <w:name w:val="Heading 1"/>
    <w:basedOn w:val="759"/>
    <w:next w:val="759"/>
    <w:link w:val="1090"/>
    <w:uiPriority w:val="9"/>
    <w:qFormat/>
    <w:pPr>
      <w:keepLines/>
      <w:keepNext/>
      <w:spacing w:before="340" w:after="330" w:line="576" w:lineRule="auto"/>
      <w:outlineLvl w:val="0"/>
    </w:pPr>
    <w:rPr>
      <w:rFonts w:ascii="Calibri" w:hAnsi="Calibri"/>
      <w:b/>
      <w:bCs/>
      <w:sz w:val="44"/>
      <w:szCs w:val="44"/>
    </w:rPr>
  </w:style>
  <w:style w:type="paragraph" w:styleId="761">
    <w:name w:val="Heading 2"/>
    <w:basedOn w:val="759"/>
    <w:next w:val="765"/>
    <w:link w:val="1091"/>
    <w:uiPriority w:val="0"/>
    <w:unhideWhenUsed/>
    <w:qFormat/>
    <w:pPr>
      <w:jc w:val="center"/>
      <w:keepLines/>
      <w:keepNext/>
      <w:spacing w:before="260" w:after="260" w:line="415" w:lineRule="auto"/>
      <w:outlineLvl w:val="1"/>
    </w:pPr>
    <w:rPr>
      <w:rFonts w:ascii="Arial" w:hAnsi="Arial" w:eastAsia="幼圆"/>
      <w:b/>
      <w:bCs/>
      <w:sz w:val="44"/>
      <w:szCs w:val="44"/>
    </w:rPr>
  </w:style>
  <w:style w:type="paragraph" w:styleId="762">
    <w:name w:val="Heading 3"/>
    <w:basedOn w:val="759"/>
    <w:next w:val="759"/>
    <w:link w:val="1092"/>
    <w:uiPriority w:val="0"/>
    <w:unhideWhenUsed/>
    <w:qFormat/>
    <w:pPr>
      <w:keepLines/>
      <w:keepNext/>
      <w:spacing w:before="260" w:after="260" w:line="415" w:lineRule="auto"/>
      <w:outlineLvl w:val="2"/>
    </w:pPr>
    <w:rPr>
      <w:rFonts w:ascii="Calibri" w:hAnsi="Calibri"/>
      <w:b/>
      <w:bCs/>
      <w:sz w:val="32"/>
      <w:szCs w:val="32"/>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Layout w:type="fixed"/>
      <w:tblCellMar>
        <w:left w:w="108" w:type="dxa"/>
        <w:top w:w="0" w:type="dxa"/>
        <w:right w:w="108" w:type="dxa"/>
        <w:bottom w:w="0" w:type="dxa"/>
      </w:tblCellMar>
    </w:tblPr>
  </w:style>
  <w:style w:type="paragraph" w:styleId="765">
    <w:name w:val="Normal Indent"/>
    <w:basedOn w:val="759"/>
    <w:next w:val="759"/>
    <w:link w:val="812"/>
    <w:uiPriority w:val="0"/>
    <w:qFormat/>
    <w:pPr>
      <w:ind w:firstLine="420"/>
    </w:pPr>
    <w:rPr>
      <w:sz w:val="20"/>
    </w:rPr>
  </w:style>
  <w:style w:type="paragraph" w:styleId="766">
    <w:name w:val="List 3"/>
    <w:basedOn w:val="759"/>
    <w:uiPriority w:val="0"/>
    <w:qFormat/>
    <w:pPr>
      <w:ind w:left="100" w:hanging="200"/>
    </w:pPr>
  </w:style>
  <w:style w:type="paragraph" w:styleId="767">
    <w:name w:val="annotation subject"/>
    <w:basedOn w:val="768"/>
    <w:next w:val="768"/>
    <w:link w:val="864"/>
    <w:uiPriority w:val="0"/>
    <w:qFormat/>
    <w:rPr>
      <w:b/>
      <w:bCs/>
    </w:rPr>
  </w:style>
  <w:style w:type="paragraph" w:styleId="768">
    <w:name w:val="annotation text"/>
    <w:basedOn w:val="759"/>
    <w:link w:val="863"/>
    <w:uiPriority w:val="0"/>
    <w:qFormat/>
    <w:pPr>
      <w:jc w:val="left"/>
    </w:pPr>
    <w:rPr>
      <w:sz w:val="20"/>
    </w:rPr>
  </w:style>
  <w:style w:type="paragraph" w:styleId="769">
    <w:name w:val="toc 7"/>
    <w:basedOn w:val="759"/>
    <w:next w:val="759"/>
    <w:uiPriority w:val="39"/>
    <w:unhideWhenUsed/>
    <w:qFormat/>
    <w:pPr>
      <w:ind w:left="1701"/>
      <w:spacing w:after="57"/>
    </w:pPr>
  </w:style>
  <w:style w:type="paragraph" w:styleId="770">
    <w:name w:val="Document Map"/>
    <w:basedOn w:val="759"/>
    <w:link w:val="866"/>
    <w:uiPriority w:val="0"/>
    <w:semiHidden/>
    <w:qFormat/>
    <w:pPr>
      <w:shd w:val="clear" w:color="auto" w:fill="000080"/>
    </w:pPr>
    <w:rPr>
      <w:sz w:val="20"/>
    </w:rPr>
  </w:style>
  <w:style w:type="paragraph" w:styleId="771">
    <w:name w:val="Body Text 3"/>
    <w:basedOn w:val="759"/>
    <w:link w:val="867"/>
    <w:uiPriority w:val="0"/>
    <w:qFormat/>
    <w:rPr>
      <w:rFonts w:ascii="仿宋_GB2312" w:hAnsi="Arial" w:eastAsia="仿宋_GB2312"/>
      <w:sz w:val="32"/>
      <w:szCs w:val="32"/>
    </w:rPr>
  </w:style>
  <w:style w:type="paragraph" w:styleId="772">
    <w:name w:val="Body Text"/>
    <w:basedOn w:val="759"/>
    <w:next w:val="759"/>
    <w:link w:val="868"/>
    <w:uiPriority w:val="0"/>
    <w:qFormat/>
    <w:rPr>
      <w:rFonts w:ascii="楷体_GB2312" w:hAnsi="Arial" w:eastAsia="楷体_GB2312"/>
      <w:sz w:val="28"/>
      <w:szCs w:val="28"/>
    </w:rPr>
  </w:style>
  <w:style w:type="paragraph" w:styleId="773">
    <w:name w:val="Body Text Indent"/>
    <w:basedOn w:val="759"/>
    <w:link w:val="869"/>
    <w:uiPriority w:val="0"/>
    <w:qFormat/>
    <w:pPr>
      <w:ind w:firstLine="645"/>
    </w:pPr>
    <w:rPr>
      <w:rFonts w:ascii="楷体_GB2312" w:eastAsia="楷体_GB2312"/>
      <w:sz w:val="32"/>
      <w:szCs w:val="32"/>
    </w:rPr>
  </w:style>
  <w:style w:type="paragraph" w:styleId="774">
    <w:name w:val="List 2"/>
    <w:basedOn w:val="759"/>
    <w:uiPriority w:val="0"/>
    <w:qFormat/>
    <w:pPr>
      <w:ind w:left="100" w:hanging="200"/>
    </w:pPr>
  </w:style>
  <w:style w:type="paragraph" w:styleId="775">
    <w:name w:val="toc 5"/>
    <w:basedOn w:val="759"/>
    <w:next w:val="759"/>
    <w:uiPriority w:val="39"/>
    <w:unhideWhenUsed/>
    <w:qFormat/>
    <w:pPr>
      <w:ind w:left="1134"/>
      <w:spacing w:after="57"/>
    </w:pPr>
  </w:style>
  <w:style w:type="paragraph" w:styleId="776">
    <w:name w:val="toc 3"/>
    <w:basedOn w:val="759"/>
    <w:next w:val="759"/>
    <w:uiPriority w:val="39"/>
    <w:unhideWhenUsed/>
    <w:qFormat/>
    <w:pPr>
      <w:ind w:left="567"/>
      <w:spacing w:after="57"/>
    </w:pPr>
  </w:style>
  <w:style w:type="paragraph" w:styleId="777">
    <w:name w:val="Plain Text"/>
    <w:basedOn w:val="759"/>
    <w:next w:val="765"/>
    <w:link w:val="870"/>
    <w:uiPriority w:val="99"/>
    <w:qFormat/>
    <w:rPr>
      <w:rFonts w:ascii="宋体" w:hAnsi="Courier New"/>
      <w:sz w:val="20"/>
    </w:rPr>
  </w:style>
  <w:style w:type="paragraph" w:styleId="778">
    <w:name w:val="toc 8"/>
    <w:basedOn w:val="759"/>
    <w:next w:val="759"/>
    <w:uiPriority w:val="39"/>
    <w:unhideWhenUsed/>
    <w:qFormat/>
    <w:pPr>
      <w:ind w:left="1984"/>
      <w:spacing w:after="57"/>
    </w:pPr>
  </w:style>
  <w:style w:type="paragraph" w:styleId="779">
    <w:name w:val="Date"/>
    <w:basedOn w:val="759"/>
    <w:next w:val="759"/>
    <w:link w:val="871"/>
    <w:uiPriority w:val="0"/>
    <w:qFormat/>
    <w:rPr>
      <w:sz w:val="24"/>
      <w:szCs w:val="24"/>
    </w:rPr>
  </w:style>
  <w:style w:type="paragraph" w:styleId="780">
    <w:name w:val="Body Text Indent 2"/>
    <w:basedOn w:val="759"/>
    <w:link w:val="872"/>
    <w:uiPriority w:val="0"/>
    <w:qFormat/>
    <w:pPr>
      <w:ind w:left="630" w:firstLine="645"/>
    </w:pPr>
    <w:rPr>
      <w:rFonts w:ascii="Arial" w:hAnsi="Arial" w:eastAsia="仿宋_GB2312"/>
      <w:sz w:val="32"/>
      <w:szCs w:val="32"/>
    </w:rPr>
  </w:style>
  <w:style w:type="paragraph" w:styleId="781">
    <w:name w:val="endnote text"/>
    <w:basedOn w:val="759"/>
    <w:link w:val="846"/>
    <w:uiPriority w:val="99"/>
    <w:semiHidden/>
    <w:unhideWhenUsed/>
    <w:qFormat/>
    <w:rPr>
      <w:sz w:val="20"/>
      <w:szCs w:val="20"/>
    </w:rPr>
  </w:style>
  <w:style w:type="paragraph" w:styleId="782">
    <w:name w:val="Balloon Text"/>
    <w:basedOn w:val="759"/>
    <w:link w:val="873"/>
    <w:uiPriority w:val="99"/>
    <w:qFormat/>
    <w:rPr>
      <w:sz w:val="18"/>
      <w:szCs w:val="18"/>
    </w:rPr>
  </w:style>
  <w:style w:type="paragraph" w:styleId="783">
    <w:name w:val="Footer"/>
    <w:basedOn w:val="759"/>
    <w:link w:val="1089"/>
    <w:uiPriority w:val="99"/>
    <w:unhideWhenUsed/>
    <w:qFormat/>
    <w:pPr>
      <w:jc w:val="left"/>
      <w:tabs>
        <w:tab w:val="center" w:pos="4153" w:leader="none"/>
        <w:tab w:val="right" w:pos="8306" w:leader="none"/>
      </w:tabs>
    </w:pPr>
    <w:rPr>
      <w:sz w:val="18"/>
      <w:szCs w:val="18"/>
    </w:rPr>
  </w:style>
  <w:style w:type="paragraph" w:styleId="784">
    <w:name w:val="Body Text First Indent 2"/>
    <w:basedOn w:val="773"/>
    <w:link w:val="1153"/>
    <w:uiPriority w:val="99"/>
    <w:qFormat/>
    <w:pPr>
      <w:ind w:firstLine="420"/>
    </w:pPr>
    <w:rPr>
      <w:rFonts w:ascii="Calibri" w:hAnsi="Calibri" w:eastAsia="仿宋_GB2312"/>
      <w:szCs w:val="24"/>
    </w:rPr>
  </w:style>
  <w:style w:type="paragraph" w:styleId="785">
    <w:name w:val="Header"/>
    <w:basedOn w:val="759"/>
    <w:link w:val="108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9"/>
    <w:next w:val="759"/>
    <w:uiPriority w:val="39"/>
    <w:unhideWhenUsed/>
    <w:qFormat/>
    <w:pPr>
      <w:spacing w:after="57"/>
    </w:pPr>
  </w:style>
  <w:style w:type="paragraph" w:styleId="787">
    <w:name w:val="toc 4"/>
    <w:basedOn w:val="759"/>
    <w:next w:val="759"/>
    <w:uiPriority w:val="39"/>
    <w:unhideWhenUsed/>
    <w:qFormat/>
    <w:pPr>
      <w:ind w:left="850"/>
      <w:spacing w:after="57"/>
    </w:pPr>
  </w:style>
  <w:style w:type="paragraph" w:styleId="788">
    <w:name w:val="Subtitle"/>
    <w:basedOn w:val="759"/>
    <w:next w:val="759"/>
    <w:link w:val="817"/>
    <w:uiPriority w:val="11"/>
    <w:qFormat/>
    <w:pPr>
      <w:spacing w:before="200" w:after="200"/>
    </w:pPr>
    <w:rPr>
      <w:sz w:val="24"/>
      <w:szCs w:val="24"/>
    </w:rPr>
  </w:style>
  <w:style w:type="paragraph" w:styleId="789">
    <w:name w:val="List"/>
    <w:basedOn w:val="759"/>
    <w:uiPriority w:val="0"/>
    <w:qFormat/>
    <w:pPr>
      <w:ind w:left="200" w:hanging="200"/>
    </w:pPr>
  </w:style>
  <w:style w:type="paragraph" w:styleId="790">
    <w:name w:val="footnote text"/>
    <w:basedOn w:val="759"/>
    <w:link w:val="844"/>
    <w:uiPriority w:val="99"/>
    <w:semiHidden/>
    <w:unhideWhenUsed/>
    <w:qFormat/>
    <w:pPr>
      <w:spacing w:after="40"/>
    </w:pPr>
    <w:rPr>
      <w:sz w:val="18"/>
      <w:szCs w:val="20"/>
    </w:rPr>
  </w:style>
  <w:style w:type="paragraph" w:styleId="791">
    <w:name w:val="toc 6"/>
    <w:basedOn w:val="759"/>
    <w:next w:val="759"/>
    <w:uiPriority w:val="39"/>
    <w:unhideWhenUsed/>
    <w:qFormat/>
    <w:pPr>
      <w:ind w:left="1417"/>
      <w:spacing w:after="57"/>
    </w:pPr>
  </w:style>
  <w:style w:type="paragraph" w:styleId="792">
    <w:name w:val="Body Text Indent 3"/>
    <w:basedOn w:val="759"/>
    <w:link w:val="878"/>
    <w:uiPriority w:val="0"/>
    <w:qFormat/>
    <w:pPr>
      <w:ind w:left="645" w:firstLine="645"/>
    </w:pPr>
    <w:rPr>
      <w:rFonts w:ascii="Arial" w:hAnsi="Arial" w:eastAsia="仿宋_GB2312"/>
      <w:color w:val="ffff00"/>
      <w:sz w:val="32"/>
      <w:szCs w:val="32"/>
    </w:rPr>
  </w:style>
  <w:style w:type="paragraph" w:styleId="793">
    <w:name w:val="table of figures"/>
    <w:basedOn w:val="759"/>
    <w:next w:val="759"/>
    <w:uiPriority w:val="0"/>
    <w:semiHidden/>
    <w:qFormat/>
    <w:pPr>
      <w:ind w:left="840" w:hanging="420"/>
    </w:pPr>
  </w:style>
  <w:style w:type="paragraph" w:styleId="794">
    <w:name w:val="toc 2"/>
    <w:basedOn w:val="759"/>
    <w:next w:val="759"/>
    <w:uiPriority w:val="39"/>
    <w:unhideWhenUsed/>
    <w:qFormat/>
    <w:pPr>
      <w:ind w:left="283"/>
      <w:spacing w:after="57"/>
    </w:pPr>
  </w:style>
  <w:style w:type="paragraph" w:styleId="795">
    <w:name w:val="toc 9"/>
    <w:basedOn w:val="759"/>
    <w:next w:val="759"/>
    <w:uiPriority w:val="39"/>
    <w:unhideWhenUsed/>
    <w:qFormat/>
    <w:pPr>
      <w:ind w:left="2268"/>
      <w:spacing w:after="57"/>
    </w:pPr>
  </w:style>
  <w:style w:type="paragraph" w:styleId="796">
    <w:name w:val="Body Text 2"/>
    <w:basedOn w:val="759"/>
    <w:link w:val="879"/>
    <w:uiPriority w:val="0"/>
    <w:qFormat/>
    <w:pPr>
      <w:jc w:val="center"/>
      <w:widowControl/>
    </w:pPr>
    <w:rPr>
      <w:rFonts w:ascii="楷体_GB2312" w:eastAsia="楷体_GB2312"/>
      <w:sz w:val="28"/>
      <w:szCs w:val="28"/>
    </w:rPr>
  </w:style>
  <w:style w:type="paragraph" w:styleId="797">
    <w:name w:val="Normal (Web)"/>
    <w:basedOn w:val="759"/>
    <w:uiPriority w:val="0"/>
    <w:qFormat/>
    <w:pPr>
      <w:jc w:val="left"/>
      <w:spacing w:before="100" w:beforeAutospacing="1" w:after="100" w:afterAutospacing="1"/>
      <w:widowControl/>
    </w:pPr>
    <w:rPr>
      <w:rFonts w:ascii="宋体" w:hAnsi="宋体" w:cs="宋体"/>
      <w:sz w:val="24"/>
      <w:szCs w:val="24"/>
    </w:rPr>
  </w:style>
  <w:style w:type="paragraph" w:styleId="798">
    <w:name w:val="index 1"/>
    <w:basedOn w:val="759"/>
    <w:next w:val="759"/>
    <w:uiPriority w:val="0"/>
    <w:semiHidden/>
    <w:qFormat/>
    <w:pPr>
      <w:spacing w:line="240" w:lineRule="atLeast"/>
    </w:pPr>
    <w:rPr>
      <w:b/>
      <w:bCs/>
    </w:rPr>
  </w:style>
  <w:style w:type="paragraph" w:styleId="799">
    <w:name w:val="Title"/>
    <w:basedOn w:val="759"/>
    <w:next w:val="759"/>
    <w:link w:val="815"/>
    <w:uiPriority w:val="10"/>
    <w:qFormat/>
    <w:pPr>
      <w:contextualSpacing/>
      <w:spacing w:before="300" w:after="200"/>
    </w:pPr>
    <w:rPr>
      <w:sz w:val="48"/>
      <w:szCs w:val="48"/>
    </w:rPr>
  </w:style>
  <w:style w:type="character" w:styleId="800">
    <w:name w:val="Strong"/>
    <w:uiPriority w:val="0"/>
    <w:qFormat/>
    <w:rPr>
      <w:b/>
      <w:bCs/>
    </w:rPr>
  </w:style>
  <w:style w:type="character" w:styleId="801">
    <w:name w:val="endnote reference"/>
    <w:uiPriority w:val="99"/>
    <w:semiHidden/>
    <w:unhideWhenUsed/>
    <w:qFormat/>
    <w:rPr>
      <w:vertAlign w:val="superscript"/>
    </w:rPr>
  </w:style>
  <w:style w:type="character" w:styleId="802">
    <w:name w:val="page number"/>
    <w:uiPriority w:val="0"/>
    <w:qFormat/>
  </w:style>
  <w:style w:type="character" w:styleId="803">
    <w:name w:val="FollowedHyperlink"/>
    <w:uiPriority w:val="0"/>
    <w:qFormat/>
    <w:rPr>
      <w:color w:val="800080"/>
      <w:u w:val="single"/>
    </w:rPr>
  </w:style>
  <w:style w:type="character" w:styleId="804">
    <w:name w:val="Emphasis"/>
    <w:basedOn w:val="763"/>
    <w:uiPriority w:val="20"/>
    <w:qFormat/>
    <w:rPr>
      <w:i/>
    </w:rPr>
  </w:style>
  <w:style w:type="character" w:styleId="805">
    <w:name w:val="Hyperlink"/>
    <w:uiPriority w:val="99"/>
    <w:qFormat/>
    <w:rPr>
      <w:color w:val="0000ff"/>
      <w:u w:val="single"/>
    </w:rPr>
  </w:style>
  <w:style w:type="character" w:styleId="806">
    <w:name w:val="annotation reference"/>
    <w:uiPriority w:val="0"/>
    <w:qFormat/>
    <w:rPr>
      <w:sz w:val="21"/>
      <w:szCs w:val="21"/>
    </w:rPr>
  </w:style>
  <w:style w:type="character" w:styleId="807">
    <w:name w:val="footnote reference"/>
    <w:uiPriority w:val="99"/>
    <w:unhideWhenUsed/>
    <w:qFormat/>
    <w:rPr>
      <w:vertAlign w:val="superscript"/>
    </w:rPr>
  </w:style>
  <w:style w:type="table" w:styleId="808">
    <w:name w:val="Table Grid"/>
    <w:basedOn w:val="76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09" w:customStyle="1">
    <w:name w:val="Heading 3"/>
    <w:basedOn w:val="759"/>
    <w:next w:val="759"/>
    <w:link w:val="810"/>
    <w:uiPriority w:val="0"/>
    <w:qFormat/>
    <w:pPr>
      <w:keepLines/>
      <w:keepNext/>
      <w:spacing w:before="260" w:after="260" w:line="416" w:lineRule="auto"/>
      <w:outlineLvl w:val="2"/>
    </w:pPr>
    <w:rPr>
      <w:b/>
      <w:bCs/>
      <w:sz w:val="32"/>
      <w:szCs w:val="32"/>
    </w:rPr>
  </w:style>
  <w:style w:type="character" w:styleId="810" w:customStyle="1">
    <w:name w:val="标题 3 字符"/>
    <w:link w:val="809"/>
    <w:uiPriority w:val="0"/>
    <w:qFormat/>
    <w:rPr>
      <w:rFonts w:ascii="Times New Roman" w:hAnsi="Times New Roman" w:eastAsia="宋体" w:cs="Times New Roman"/>
      <w:b/>
      <w:bCs/>
      <w:sz w:val="32"/>
      <w:szCs w:val="32"/>
    </w:rPr>
  </w:style>
  <w:style w:type="character" w:styleId="811" w:customStyle="1">
    <w:name w:val="标题 1 字符1"/>
    <w:link w:val="760"/>
    <w:uiPriority w:val="9"/>
    <w:qFormat/>
    <w:rPr>
      <w:rFonts w:ascii="Calibri" w:hAnsi="Calibri"/>
      <w:b/>
      <w:bCs/>
      <w:sz w:val="44"/>
      <w:szCs w:val="44"/>
    </w:rPr>
  </w:style>
  <w:style w:type="character" w:styleId="812" w:customStyle="1">
    <w:name w:val="正文缩进 Char1"/>
    <w:link w:val="765"/>
    <w:uiPriority w:val="0"/>
    <w:qFormat/>
    <w:rPr>
      <w:rFonts w:ascii="Times New Roman" w:hAnsi="Times New Roman" w:eastAsia="宋体" w:cs="Times New Roman"/>
      <w:szCs w:val="21"/>
    </w:rPr>
  </w:style>
  <w:style w:type="character" w:styleId="813" w:customStyle="1">
    <w:name w:val="标题 2 字符1"/>
    <w:link w:val="761"/>
    <w:uiPriority w:val="0"/>
    <w:qFormat/>
    <w:rPr>
      <w:rFonts w:ascii="Arial" w:hAnsi="Arial" w:eastAsia="幼圆"/>
      <w:b/>
      <w:bCs/>
      <w:sz w:val="44"/>
      <w:szCs w:val="44"/>
    </w:rPr>
  </w:style>
  <w:style w:type="character" w:styleId="814" w:customStyle="1">
    <w:name w:val="Title Char"/>
    <w:basedOn w:val="763"/>
    <w:uiPriority w:val="10"/>
    <w:qFormat/>
    <w:rPr>
      <w:sz w:val="48"/>
      <w:szCs w:val="48"/>
    </w:rPr>
  </w:style>
  <w:style w:type="character" w:styleId="815" w:customStyle="1">
    <w:name w:val="标题 Char"/>
    <w:link w:val="799"/>
    <w:uiPriority w:val="10"/>
    <w:qFormat/>
    <w:rPr>
      <w:sz w:val="48"/>
      <w:szCs w:val="48"/>
    </w:rPr>
  </w:style>
  <w:style w:type="character" w:styleId="816" w:customStyle="1">
    <w:name w:val="Subtitle Char"/>
    <w:basedOn w:val="763"/>
    <w:uiPriority w:val="11"/>
    <w:qFormat/>
    <w:rPr>
      <w:sz w:val="24"/>
      <w:szCs w:val="24"/>
    </w:rPr>
  </w:style>
  <w:style w:type="character" w:styleId="817" w:customStyle="1">
    <w:name w:val="副标题 Char"/>
    <w:link w:val="788"/>
    <w:uiPriority w:val="11"/>
    <w:qFormat/>
    <w:rPr>
      <w:sz w:val="24"/>
      <w:szCs w:val="24"/>
    </w:rPr>
  </w:style>
  <w:style w:type="character" w:styleId="818" w:customStyle="1">
    <w:name w:val="Quote Char"/>
    <w:uiPriority w:val="29"/>
    <w:qFormat/>
    <w:rPr>
      <w:i/>
    </w:rPr>
  </w:style>
  <w:style w:type="paragraph" w:styleId="819">
    <w:name w:val="Quote"/>
    <w:basedOn w:val="759"/>
    <w:next w:val="759"/>
    <w:link w:val="820"/>
    <w:uiPriority w:val="29"/>
    <w:qFormat/>
    <w:pPr>
      <w:ind w:left="720" w:right="720"/>
    </w:pPr>
    <w:rPr>
      <w:i/>
      <w:sz w:val="20"/>
      <w:szCs w:val="20"/>
    </w:rPr>
  </w:style>
  <w:style w:type="character" w:styleId="820" w:customStyle="1">
    <w:name w:val="引用 Char"/>
    <w:link w:val="819"/>
    <w:uiPriority w:val="29"/>
    <w:qFormat/>
    <w:rPr>
      <w:i/>
    </w:rPr>
  </w:style>
  <w:style w:type="character" w:styleId="821" w:customStyle="1">
    <w:name w:val="Intense Quote Char"/>
    <w:uiPriority w:val="30"/>
    <w:qFormat/>
    <w:rPr>
      <w:i/>
    </w:rPr>
  </w:style>
  <w:style w:type="paragraph" w:styleId="822">
    <w:name w:val="Intense Quote"/>
    <w:basedOn w:val="759"/>
    <w:next w:val="759"/>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3" w:customStyle="1">
    <w:name w:val="明显引用 Char"/>
    <w:link w:val="822"/>
    <w:uiPriority w:val="30"/>
    <w:qFormat/>
    <w:rPr>
      <w:i/>
    </w:rPr>
  </w:style>
  <w:style w:type="table" w:styleId="824" w:customStyle="1">
    <w:name w:val="Plain Table 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6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6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6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3"/>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5 Dark"/>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6 Colorful"/>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7 Colorful"/>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1 Light"/>
    <w:basedOn w:val="764"/>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2"/>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3"/>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5 Dark"/>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64"/>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7 Colorful"/>
    <w:basedOn w:val="764"/>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3" w:customStyle="1">
    <w:name w:val="Footnote Text Char"/>
    <w:uiPriority w:val="99"/>
    <w:qFormat/>
    <w:rPr>
      <w:sz w:val="18"/>
    </w:rPr>
  </w:style>
  <w:style w:type="character" w:styleId="844" w:customStyle="1">
    <w:name w:val="脚注文本 Char"/>
    <w:link w:val="790"/>
    <w:uiPriority w:val="99"/>
    <w:qFormat/>
    <w:rPr>
      <w:sz w:val="18"/>
    </w:rPr>
  </w:style>
  <w:style w:type="character" w:styleId="845" w:customStyle="1">
    <w:name w:val="Endnote Text Char"/>
    <w:uiPriority w:val="99"/>
    <w:qFormat/>
    <w:rPr>
      <w:sz w:val="20"/>
    </w:rPr>
  </w:style>
  <w:style w:type="character" w:styleId="846" w:customStyle="1">
    <w:name w:val="尾注文本 Char"/>
    <w:link w:val="781"/>
    <w:uiPriority w:val="99"/>
    <w:qFormat/>
    <w:rPr>
      <w:sz w:val="20"/>
    </w:rPr>
  </w:style>
  <w:style w:type="paragraph" w:styleId="847" w:customStyle="1">
    <w:name w:val="Heading 1"/>
    <w:basedOn w:val="759"/>
    <w:next w:val="759"/>
    <w:link w:val="848"/>
    <w:uiPriority w:val="9"/>
    <w:qFormat/>
    <w:pPr>
      <w:jc w:val="center"/>
      <w:keepNext/>
      <w:outlineLvl w:val="0"/>
    </w:pPr>
    <w:rPr>
      <w:rFonts w:ascii="楷体_GB2312" w:eastAsia="楷体_GB2312"/>
      <w:sz w:val="28"/>
      <w:szCs w:val="28"/>
    </w:rPr>
  </w:style>
  <w:style w:type="character" w:styleId="848" w:customStyle="1">
    <w:name w:val="标题 1 字符"/>
    <w:link w:val="847"/>
    <w:uiPriority w:val="9"/>
    <w:qFormat/>
    <w:rPr>
      <w:rFonts w:ascii="楷体_GB2312" w:hAnsi="Times New Roman" w:eastAsia="楷体_GB2312" w:cs="Times New Roman"/>
      <w:sz w:val="28"/>
      <w:szCs w:val="28"/>
    </w:rPr>
  </w:style>
  <w:style w:type="paragraph" w:styleId="849" w:customStyle="1">
    <w:name w:val="Heading 2"/>
    <w:basedOn w:val="759"/>
    <w:next w:val="765"/>
    <w:link w:val="850"/>
    <w:uiPriority w:val="0"/>
    <w:qFormat/>
    <w:pPr>
      <w:jc w:val="center"/>
      <w:keepLines/>
      <w:keepNext/>
      <w:spacing w:before="260" w:after="260" w:line="416" w:lineRule="auto"/>
      <w:outlineLvl w:val="1"/>
    </w:pPr>
    <w:rPr>
      <w:rFonts w:ascii="Arial" w:hAnsi="Arial" w:eastAsia="幼圆"/>
      <w:b/>
      <w:bCs/>
      <w:sz w:val="44"/>
      <w:szCs w:val="44"/>
    </w:rPr>
  </w:style>
  <w:style w:type="character" w:styleId="850" w:customStyle="1">
    <w:name w:val="标题 2 字符"/>
    <w:link w:val="849"/>
    <w:uiPriority w:val="9"/>
    <w:qFormat/>
    <w:rPr>
      <w:rFonts w:ascii="Arial" w:hAnsi="Arial" w:eastAsia="幼圆" w:cs="Arial"/>
      <w:b/>
      <w:bCs/>
      <w:sz w:val="44"/>
      <w:szCs w:val="44"/>
    </w:rPr>
  </w:style>
  <w:style w:type="paragraph" w:styleId="851" w:customStyle="1">
    <w:name w:val="Heading 4"/>
    <w:basedOn w:val="759"/>
    <w:next w:val="765"/>
    <w:link w:val="852"/>
    <w:uiPriority w:val="0"/>
    <w:qFormat/>
    <w:pPr>
      <w:keepLines/>
      <w:keepNext/>
      <w:spacing w:before="280" w:after="290" w:line="376" w:lineRule="auto"/>
      <w:outlineLvl w:val="3"/>
    </w:pPr>
    <w:rPr>
      <w:rFonts w:ascii="Arial" w:hAnsi="Arial" w:eastAsia="黑体"/>
      <w:b/>
      <w:bCs/>
      <w:sz w:val="28"/>
      <w:szCs w:val="28"/>
    </w:rPr>
  </w:style>
  <w:style w:type="character" w:styleId="852" w:customStyle="1">
    <w:name w:val="标题 4 字符"/>
    <w:link w:val="851"/>
    <w:uiPriority w:val="0"/>
    <w:qFormat/>
    <w:rPr>
      <w:rFonts w:ascii="Arial" w:hAnsi="Arial" w:eastAsia="黑体" w:cs="Arial"/>
      <w:b/>
      <w:bCs/>
      <w:sz w:val="28"/>
      <w:szCs w:val="28"/>
    </w:rPr>
  </w:style>
  <w:style w:type="paragraph" w:styleId="853" w:customStyle="1">
    <w:name w:val="Heading 5"/>
    <w:basedOn w:val="759"/>
    <w:next w:val="765"/>
    <w:link w:val="854"/>
    <w:uiPriority w:val="0"/>
    <w:qFormat/>
    <w:pPr>
      <w:keepNext/>
      <w:outlineLvl w:val="4"/>
    </w:pPr>
    <w:rPr>
      <w:rFonts w:ascii="宋体"/>
      <w:color w:val="000000"/>
      <w:sz w:val="28"/>
      <w:szCs w:val="28"/>
    </w:rPr>
  </w:style>
  <w:style w:type="character" w:styleId="854" w:customStyle="1">
    <w:name w:val="标题 5 字符"/>
    <w:link w:val="853"/>
    <w:uiPriority w:val="0"/>
    <w:qFormat/>
    <w:rPr>
      <w:rFonts w:ascii="宋体" w:hAnsi="Times New Roman" w:eastAsia="宋体" w:cs="Times New Roman"/>
      <w:color w:val="000000"/>
      <w:sz w:val="28"/>
      <w:szCs w:val="28"/>
    </w:rPr>
  </w:style>
  <w:style w:type="paragraph" w:styleId="855" w:customStyle="1">
    <w:name w:val="Heading 6"/>
    <w:basedOn w:val="759"/>
    <w:next w:val="759"/>
    <w:link w:val="856"/>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56" w:customStyle="1">
    <w:name w:val="标题 6 字符"/>
    <w:link w:val="855"/>
    <w:uiPriority w:val="0"/>
    <w:qFormat/>
    <w:rPr>
      <w:rFonts w:ascii="Arial" w:hAnsi="Arial" w:eastAsia="黑体" w:cs="Times New Roman"/>
      <w:b/>
      <w:bCs/>
      <w:sz w:val="24"/>
      <w:szCs w:val="24"/>
    </w:rPr>
  </w:style>
  <w:style w:type="paragraph" w:styleId="857" w:customStyle="1">
    <w:name w:val="Heading 7"/>
    <w:basedOn w:val="759"/>
    <w:next w:val="759"/>
    <w:link w:val="858"/>
    <w:uiPriority w:val="0"/>
    <w:qFormat/>
    <w:pPr>
      <w:numPr>
        <w:ilvl w:val="6"/>
        <w:numId w:val="1"/>
      </w:numPr>
      <w:keepLines/>
      <w:keepNext/>
      <w:spacing w:before="240" w:after="64" w:line="320" w:lineRule="auto"/>
      <w:outlineLvl w:val="6"/>
    </w:pPr>
    <w:rPr>
      <w:b/>
      <w:bCs/>
      <w:sz w:val="24"/>
      <w:szCs w:val="24"/>
    </w:rPr>
  </w:style>
  <w:style w:type="character" w:styleId="858" w:customStyle="1">
    <w:name w:val="标题 7 字符"/>
    <w:link w:val="857"/>
    <w:uiPriority w:val="0"/>
    <w:qFormat/>
    <w:rPr>
      <w:rFonts w:ascii="Times New Roman" w:hAnsi="Times New Roman" w:eastAsia="宋体" w:cs="Times New Roman"/>
      <w:b/>
      <w:bCs/>
      <w:sz w:val="24"/>
      <w:szCs w:val="24"/>
    </w:rPr>
  </w:style>
  <w:style w:type="paragraph" w:styleId="859" w:customStyle="1">
    <w:name w:val="Heading 8"/>
    <w:basedOn w:val="759"/>
    <w:next w:val="759"/>
    <w:link w:val="860"/>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60" w:customStyle="1">
    <w:name w:val="标题 8 字符"/>
    <w:link w:val="859"/>
    <w:uiPriority w:val="0"/>
    <w:qFormat/>
    <w:rPr>
      <w:rFonts w:ascii="Arial" w:hAnsi="Arial" w:eastAsia="黑体" w:cs="Times New Roman"/>
      <w:sz w:val="24"/>
      <w:szCs w:val="24"/>
    </w:rPr>
  </w:style>
  <w:style w:type="paragraph" w:styleId="861" w:customStyle="1">
    <w:name w:val="Heading 9"/>
    <w:basedOn w:val="759"/>
    <w:next w:val="759"/>
    <w:link w:val="862"/>
    <w:uiPriority w:val="0"/>
    <w:qFormat/>
    <w:pPr>
      <w:numPr>
        <w:ilvl w:val="8"/>
        <w:numId w:val="1"/>
      </w:numPr>
      <w:keepLines/>
      <w:keepNext/>
      <w:spacing w:before="240" w:after="64" w:line="320" w:lineRule="auto"/>
      <w:outlineLvl w:val="8"/>
    </w:pPr>
    <w:rPr>
      <w:rFonts w:ascii="Arial" w:hAnsi="Arial" w:eastAsia="黑体"/>
      <w:sz w:val="20"/>
    </w:rPr>
  </w:style>
  <w:style w:type="character" w:styleId="862" w:customStyle="1">
    <w:name w:val="标题 9 字符"/>
    <w:link w:val="861"/>
    <w:uiPriority w:val="0"/>
    <w:qFormat/>
    <w:rPr>
      <w:rFonts w:ascii="Arial" w:hAnsi="Arial" w:eastAsia="黑体" w:cs="Times New Roman"/>
      <w:szCs w:val="21"/>
    </w:rPr>
  </w:style>
  <w:style w:type="character" w:styleId="863" w:customStyle="1">
    <w:name w:val="批注文字 Char"/>
    <w:link w:val="768"/>
    <w:uiPriority w:val="0"/>
    <w:qFormat/>
    <w:rPr>
      <w:rFonts w:ascii="Times New Roman" w:hAnsi="Times New Roman" w:eastAsia="宋体" w:cs="Times New Roman"/>
      <w:szCs w:val="21"/>
    </w:rPr>
  </w:style>
  <w:style w:type="character" w:styleId="864" w:customStyle="1">
    <w:name w:val="批注主题 Char"/>
    <w:link w:val="767"/>
    <w:uiPriority w:val="0"/>
    <w:qFormat/>
    <w:rPr>
      <w:rFonts w:ascii="Times New Roman" w:hAnsi="Times New Roman" w:eastAsia="宋体" w:cs="Times New Roman"/>
      <w:b/>
      <w:bCs/>
      <w:szCs w:val="21"/>
    </w:rPr>
  </w:style>
  <w:style w:type="paragraph" w:styleId="865" w:customStyle="1">
    <w:name w:val="Caption"/>
    <w:basedOn w:val="759"/>
    <w:next w:val="759"/>
    <w:uiPriority w:val="35"/>
    <w:semiHidden/>
    <w:unhideWhenUsed/>
    <w:qFormat/>
    <w:pPr>
      <w:spacing w:line="276" w:lineRule="auto"/>
    </w:pPr>
    <w:rPr>
      <w:b/>
      <w:bCs/>
      <w:color w:val="4f81bd"/>
      <w:sz w:val="18"/>
      <w:szCs w:val="18"/>
    </w:rPr>
  </w:style>
  <w:style w:type="character" w:styleId="866" w:customStyle="1">
    <w:name w:val="文档结构图 Char"/>
    <w:link w:val="770"/>
    <w:uiPriority w:val="0"/>
    <w:semiHidden/>
    <w:qFormat/>
    <w:rPr>
      <w:rFonts w:ascii="Times New Roman" w:hAnsi="Times New Roman" w:eastAsia="宋体" w:cs="Times New Roman"/>
      <w:szCs w:val="21"/>
      <w:shd w:val="clear" w:color="auto" w:fill="000080"/>
    </w:rPr>
  </w:style>
  <w:style w:type="character" w:styleId="867" w:customStyle="1">
    <w:name w:val="正文文本 3 Char"/>
    <w:link w:val="771"/>
    <w:uiPriority w:val="0"/>
    <w:qFormat/>
    <w:rPr>
      <w:rFonts w:ascii="仿宋_GB2312" w:hAnsi="Arial" w:eastAsia="仿宋_GB2312" w:cs="Times New Roman"/>
      <w:sz w:val="32"/>
      <w:szCs w:val="32"/>
    </w:rPr>
  </w:style>
  <w:style w:type="character" w:styleId="868" w:customStyle="1">
    <w:name w:val="正文文本 Char"/>
    <w:link w:val="772"/>
    <w:uiPriority w:val="0"/>
    <w:qFormat/>
    <w:rPr>
      <w:rFonts w:ascii="楷体_GB2312" w:hAnsi="Arial" w:eastAsia="楷体_GB2312" w:cs="Times New Roman"/>
      <w:sz w:val="28"/>
      <w:szCs w:val="28"/>
    </w:rPr>
  </w:style>
  <w:style w:type="character" w:styleId="869" w:customStyle="1">
    <w:name w:val="正文文本缩进 Char"/>
    <w:link w:val="773"/>
    <w:uiPriority w:val="0"/>
    <w:qFormat/>
    <w:rPr>
      <w:rFonts w:ascii="楷体_GB2312" w:hAnsi="Times New Roman" w:eastAsia="楷体_GB2312" w:cs="Times New Roman"/>
      <w:sz w:val="32"/>
      <w:szCs w:val="32"/>
    </w:rPr>
  </w:style>
  <w:style w:type="character" w:styleId="870" w:customStyle="1">
    <w:name w:val="纯文本 Char"/>
    <w:link w:val="777"/>
    <w:uiPriority w:val="99"/>
    <w:qFormat/>
    <w:rPr>
      <w:rFonts w:ascii="宋体" w:hAnsi="Courier New" w:eastAsia="宋体" w:cs="Courier New"/>
      <w:szCs w:val="21"/>
    </w:rPr>
  </w:style>
  <w:style w:type="character" w:styleId="871" w:customStyle="1">
    <w:name w:val="日期 Char"/>
    <w:link w:val="779"/>
    <w:uiPriority w:val="0"/>
    <w:qFormat/>
    <w:rPr>
      <w:rFonts w:ascii="Times New Roman" w:hAnsi="Times New Roman" w:eastAsia="宋体" w:cs="Times New Roman"/>
      <w:sz w:val="24"/>
      <w:szCs w:val="24"/>
    </w:rPr>
  </w:style>
  <w:style w:type="character" w:styleId="872" w:customStyle="1">
    <w:name w:val="正文文本缩进 2 Char"/>
    <w:link w:val="780"/>
    <w:uiPriority w:val="0"/>
    <w:qFormat/>
    <w:rPr>
      <w:rFonts w:ascii="Arial" w:hAnsi="Arial" w:eastAsia="仿宋_GB2312" w:cs="Arial"/>
      <w:sz w:val="32"/>
      <w:szCs w:val="32"/>
    </w:rPr>
  </w:style>
  <w:style w:type="character" w:styleId="873" w:customStyle="1">
    <w:name w:val="批注框文本 Char"/>
    <w:link w:val="782"/>
    <w:uiPriority w:val="99"/>
    <w:qFormat/>
    <w:rPr>
      <w:rFonts w:ascii="Times New Roman" w:hAnsi="Times New Roman" w:eastAsia="宋体" w:cs="Times New Roman"/>
      <w:sz w:val="18"/>
      <w:szCs w:val="18"/>
    </w:rPr>
  </w:style>
  <w:style w:type="paragraph" w:styleId="874" w:customStyle="1">
    <w:name w:val="Footer"/>
    <w:basedOn w:val="759"/>
    <w:link w:val="875"/>
    <w:uiPriority w:val="99"/>
    <w:qFormat/>
    <w:pPr>
      <w:jc w:val="left"/>
      <w:tabs>
        <w:tab w:val="center" w:pos="4153" w:leader="none"/>
        <w:tab w:val="right" w:pos="8306" w:leader="none"/>
      </w:tabs>
    </w:pPr>
    <w:rPr>
      <w:sz w:val="18"/>
      <w:szCs w:val="18"/>
    </w:rPr>
  </w:style>
  <w:style w:type="character" w:styleId="875" w:customStyle="1">
    <w:name w:val="页脚 字符"/>
    <w:link w:val="874"/>
    <w:uiPriority w:val="99"/>
    <w:qFormat/>
    <w:rPr>
      <w:rFonts w:ascii="Times New Roman" w:hAnsi="Times New Roman" w:eastAsia="宋体" w:cs="Times New Roman"/>
      <w:sz w:val="18"/>
      <w:szCs w:val="18"/>
    </w:rPr>
  </w:style>
  <w:style w:type="paragraph" w:styleId="876" w:customStyle="1">
    <w:name w:val="Header"/>
    <w:basedOn w:val="759"/>
    <w:link w:val="877"/>
    <w:uiPriority w:val="99"/>
    <w:qFormat/>
    <w:pPr>
      <w:jc w:val="center"/>
      <w:tabs>
        <w:tab w:val="center" w:pos="4153" w:leader="none"/>
        <w:tab w:val="right" w:pos="8306" w:leader="none"/>
      </w:tabs>
      <w:pBdr>
        <w:bottom w:val="single" w:color="000000" w:sz="6" w:space="1"/>
      </w:pBdr>
    </w:pPr>
    <w:rPr>
      <w:sz w:val="18"/>
      <w:szCs w:val="18"/>
    </w:rPr>
  </w:style>
  <w:style w:type="character" w:styleId="877" w:customStyle="1">
    <w:name w:val="页眉 字符"/>
    <w:link w:val="876"/>
    <w:uiPriority w:val="0"/>
    <w:qFormat/>
    <w:rPr>
      <w:rFonts w:ascii="Times New Roman" w:hAnsi="Times New Roman" w:eastAsia="宋体" w:cs="Times New Roman"/>
      <w:sz w:val="18"/>
      <w:szCs w:val="18"/>
    </w:rPr>
  </w:style>
  <w:style w:type="character" w:styleId="878" w:customStyle="1">
    <w:name w:val="正文文本缩进 3 Char"/>
    <w:link w:val="792"/>
    <w:uiPriority w:val="0"/>
    <w:qFormat/>
    <w:rPr>
      <w:rFonts w:ascii="Arial" w:hAnsi="Arial" w:eastAsia="仿宋_GB2312" w:cs="Arial"/>
      <w:color w:val="ffff00"/>
      <w:sz w:val="32"/>
      <w:szCs w:val="32"/>
    </w:rPr>
  </w:style>
  <w:style w:type="character" w:styleId="879" w:customStyle="1">
    <w:name w:val="正文文本 2 Char"/>
    <w:link w:val="796"/>
    <w:uiPriority w:val="0"/>
    <w:qFormat/>
    <w:rPr>
      <w:rFonts w:ascii="楷体_GB2312" w:hAnsi="Times New Roman" w:eastAsia="楷体_GB2312" w:cs="Times New Roman"/>
      <w:sz w:val="28"/>
      <w:szCs w:val="28"/>
    </w:rPr>
  </w:style>
  <w:style w:type="character" w:styleId="880" w:customStyle="1">
    <w:name w:val="Heading 1 Char"/>
    <w:uiPriority w:val="9"/>
    <w:qFormat/>
    <w:rPr>
      <w:rFonts w:ascii="Arial" w:hAnsi="Arial" w:eastAsia="Arial" w:cs="Arial"/>
      <w:sz w:val="40"/>
      <w:szCs w:val="40"/>
    </w:rPr>
  </w:style>
  <w:style w:type="character" w:styleId="881" w:customStyle="1">
    <w:name w:val="Heading 2 Char"/>
    <w:uiPriority w:val="9"/>
    <w:qFormat/>
    <w:rPr>
      <w:rFonts w:ascii="Arial" w:hAnsi="Arial" w:eastAsia="Arial" w:cs="Arial"/>
      <w:sz w:val="34"/>
    </w:rPr>
  </w:style>
  <w:style w:type="character" w:styleId="882" w:customStyle="1">
    <w:name w:val="Heading 3 Char"/>
    <w:uiPriority w:val="9"/>
    <w:qFormat/>
    <w:rPr>
      <w:rFonts w:ascii="Arial" w:hAnsi="Arial" w:eastAsia="Arial" w:cs="Arial"/>
      <w:sz w:val="30"/>
      <w:szCs w:val="30"/>
    </w:rPr>
  </w:style>
  <w:style w:type="character" w:styleId="883" w:customStyle="1">
    <w:name w:val="Heading 4 Char"/>
    <w:uiPriority w:val="9"/>
    <w:qFormat/>
    <w:rPr>
      <w:rFonts w:ascii="Arial" w:hAnsi="Arial" w:eastAsia="Arial" w:cs="Arial"/>
      <w:b/>
      <w:bCs/>
      <w:sz w:val="26"/>
      <w:szCs w:val="26"/>
    </w:rPr>
  </w:style>
  <w:style w:type="character" w:styleId="884" w:customStyle="1">
    <w:name w:val="Heading 5 Char"/>
    <w:uiPriority w:val="9"/>
    <w:qFormat/>
    <w:rPr>
      <w:rFonts w:ascii="Arial" w:hAnsi="Arial" w:eastAsia="Arial" w:cs="Arial"/>
      <w:b/>
      <w:bCs/>
      <w:sz w:val="24"/>
      <w:szCs w:val="24"/>
    </w:rPr>
  </w:style>
  <w:style w:type="character" w:styleId="885" w:customStyle="1">
    <w:name w:val="Heading 6 Char"/>
    <w:uiPriority w:val="9"/>
    <w:qFormat/>
    <w:rPr>
      <w:rFonts w:ascii="Arial" w:hAnsi="Arial" w:eastAsia="Arial" w:cs="Arial"/>
      <w:b/>
      <w:bCs/>
      <w:sz w:val="22"/>
      <w:szCs w:val="22"/>
    </w:rPr>
  </w:style>
  <w:style w:type="character" w:styleId="886" w:customStyle="1">
    <w:name w:val="Heading 7 Char"/>
    <w:uiPriority w:val="9"/>
    <w:qFormat/>
    <w:rPr>
      <w:rFonts w:ascii="Arial" w:hAnsi="Arial" w:eastAsia="Arial" w:cs="Arial"/>
      <w:b/>
      <w:bCs/>
      <w:i/>
      <w:iCs/>
      <w:sz w:val="22"/>
      <w:szCs w:val="22"/>
    </w:rPr>
  </w:style>
  <w:style w:type="character" w:styleId="887" w:customStyle="1">
    <w:name w:val="Heading 8 Char"/>
    <w:uiPriority w:val="9"/>
    <w:qFormat/>
    <w:rPr>
      <w:rFonts w:ascii="Arial" w:hAnsi="Arial" w:eastAsia="Arial" w:cs="Arial"/>
      <w:i/>
      <w:iCs/>
      <w:sz w:val="22"/>
      <w:szCs w:val="22"/>
    </w:rPr>
  </w:style>
  <w:style w:type="character" w:styleId="888" w:customStyle="1">
    <w:name w:val="Heading 9 Char"/>
    <w:uiPriority w:val="9"/>
    <w:qFormat/>
    <w:rPr>
      <w:rFonts w:ascii="Arial" w:hAnsi="Arial" w:eastAsia="Arial" w:cs="Arial"/>
      <w:i/>
      <w:iCs/>
      <w:sz w:val="21"/>
      <w:szCs w:val="21"/>
    </w:rPr>
  </w:style>
  <w:style w:type="paragraph" w:styleId="889">
    <w:name w:val="List Paragraph"/>
    <w:basedOn w:val="759"/>
    <w:uiPriority w:val="99"/>
    <w:qFormat/>
    <w:pPr>
      <w:contextualSpacing/>
      <w:ind w:left="720"/>
    </w:pPr>
  </w:style>
  <w:style w:type="paragraph" w:styleId="89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91" w:customStyle="1">
    <w:name w:val="Header Char"/>
    <w:uiPriority w:val="99"/>
    <w:qFormat/>
  </w:style>
  <w:style w:type="character" w:styleId="892" w:customStyle="1">
    <w:name w:val="Footer Char"/>
    <w:uiPriority w:val="99"/>
    <w:qFormat/>
  </w:style>
  <w:style w:type="character" w:styleId="893" w:customStyle="1">
    <w:name w:val="Caption Char"/>
    <w:uiPriority w:val="99"/>
    <w:qFormat/>
  </w:style>
  <w:style w:type="table" w:styleId="8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8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896"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897" w:customStyle="1">
    <w:name w:val="无格式表格 31"/>
    <w:uiPriority w:val="99"/>
    <w:qFormat/>
    <w:tblPr>
      <w:tblLayout w:type="fixed"/>
      <w:tblCellMar>
        <w:left w:w="0" w:type="dxa"/>
        <w:top w:w="0" w:type="dxa"/>
        <w:right w:w="0" w:type="dxa"/>
        <w:bottom w:w="0" w:type="dxa"/>
      </w:tblCellMar>
    </w:tblPr>
  </w:style>
  <w:style w:type="table" w:styleId="898" w:customStyle="1">
    <w:name w:val="无格式表格 41"/>
    <w:uiPriority w:val="99"/>
    <w:qFormat/>
    <w:tblPr>
      <w:tblLayout w:type="fixed"/>
      <w:tblCellMar>
        <w:left w:w="0" w:type="dxa"/>
        <w:top w:w="0" w:type="dxa"/>
        <w:right w:w="0" w:type="dxa"/>
        <w:bottom w:w="0" w:type="dxa"/>
      </w:tblCellMar>
    </w:tblPr>
  </w:style>
  <w:style w:type="table" w:styleId="899" w:customStyle="1">
    <w:name w:val="无格式表格 51"/>
    <w:uiPriority w:val="99"/>
    <w:qFormat/>
    <w:tblPr>
      <w:tblLayout w:type="fixed"/>
      <w:tblCellMar>
        <w:left w:w="0" w:type="dxa"/>
        <w:top w:w="0" w:type="dxa"/>
        <w:right w:w="0" w:type="dxa"/>
        <w:bottom w:w="0" w:type="dxa"/>
      </w:tblCellMar>
    </w:tblPr>
  </w:style>
  <w:style w:type="table" w:styleId="9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9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9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9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9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9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9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907" w:customStyle="1">
    <w:name w:val="网格表 2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908" w:customStyle="1">
    <w:name w:val="Grid Table 2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909" w:customStyle="1">
    <w:name w:val="Grid Table 2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10" w:customStyle="1">
    <w:name w:val="Grid Table 2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11"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12"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913"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914" w:customStyle="1">
    <w:name w:val="网格表 3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915" w:customStyle="1">
    <w:name w:val="Grid Table 3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916" w:customStyle="1">
    <w:name w:val="Grid Table 3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17" w:customStyle="1">
    <w:name w:val="Grid Table 3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18"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19"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920"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9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9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9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9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9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9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9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9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9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9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9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9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9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949" w:customStyle="1">
    <w:name w:val="清单表 1 浅色1"/>
    <w:uiPriority w:val="99"/>
    <w:qFormat/>
    <w:tblPr>
      <w:tblLayout w:type="fixed"/>
      <w:tblCellMar>
        <w:left w:w="0" w:type="dxa"/>
        <w:top w:w="0" w:type="dxa"/>
        <w:right w:w="0" w:type="dxa"/>
        <w:bottom w:w="0" w:type="dxa"/>
      </w:tblCellMar>
    </w:tblPr>
  </w:style>
  <w:style w:type="table" w:styleId="950" w:customStyle="1">
    <w:name w:val="List Table 1 Light - Accent 1"/>
    <w:uiPriority w:val="99"/>
    <w:qFormat/>
    <w:tblPr>
      <w:tblLayout w:type="fixed"/>
      <w:tblCellMar>
        <w:left w:w="0" w:type="dxa"/>
        <w:top w:w="0" w:type="dxa"/>
        <w:right w:w="0" w:type="dxa"/>
        <w:bottom w:w="0" w:type="dxa"/>
      </w:tblCellMar>
    </w:tblPr>
  </w:style>
  <w:style w:type="table" w:styleId="951" w:customStyle="1">
    <w:name w:val="List Table 1 Light - Accent 2"/>
    <w:uiPriority w:val="99"/>
    <w:qFormat/>
    <w:tblPr>
      <w:tblLayout w:type="fixed"/>
      <w:tblCellMar>
        <w:left w:w="0" w:type="dxa"/>
        <w:top w:w="0" w:type="dxa"/>
        <w:right w:w="0" w:type="dxa"/>
        <w:bottom w:w="0" w:type="dxa"/>
      </w:tblCellMar>
    </w:tblPr>
  </w:style>
  <w:style w:type="table" w:styleId="952" w:customStyle="1">
    <w:name w:val="List Table 1 Light - Accent 3"/>
    <w:uiPriority w:val="99"/>
    <w:qFormat/>
    <w:tblPr>
      <w:tblLayout w:type="fixed"/>
      <w:tblCellMar>
        <w:left w:w="0" w:type="dxa"/>
        <w:top w:w="0" w:type="dxa"/>
        <w:right w:w="0" w:type="dxa"/>
        <w:bottom w:w="0" w:type="dxa"/>
      </w:tblCellMar>
    </w:tblPr>
  </w:style>
  <w:style w:type="table" w:styleId="953" w:customStyle="1">
    <w:name w:val="List Table 1 Light - Accent 4"/>
    <w:uiPriority w:val="99"/>
    <w:qFormat/>
    <w:tblPr>
      <w:tblLayout w:type="fixed"/>
      <w:tblCellMar>
        <w:left w:w="0" w:type="dxa"/>
        <w:top w:w="0" w:type="dxa"/>
        <w:right w:w="0" w:type="dxa"/>
        <w:bottom w:w="0" w:type="dxa"/>
      </w:tblCellMar>
    </w:tblPr>
  </w:style>
  <w:style w:type="table" w:styleId="954" w:customStyle="1">
    <w:name w:val="List Table 1 Light - Accent 5"/>
    <w:uiPriority w:val="99"/>
    <w:qFormat/>
    <w:tblPr>
      <w:tblLayout w:type="fixed"/>
      <w:tblCellMar>
        <w:left w:w="0" w:type="dxa"/>
        <w:top w:w="0" w:type="dxa"/>
        <w:right w:w="0" w:type="dxa"/>
        <w:bottom w:w="0" w:type="dxa"/>
      </w:tblCellMar>
    </w:tblPr>
  </w:style>
  <w:style w:type="table" w:styleId="955" w:customStyle="1">
    <w:name w:val="List Table 1 Light - Accent 6"/>
    <w:uiPriority w:val="99"/>
    <w:qFormat/>
    <w:tblPr>
      <w:tblLayout w:type="fixed"/>
      <w:tblCellMar>
        <w:left w:w="0" w:type="dxa"/>
        <w:top w:w="0" w:type="dxa"/>
        <w:right w:w="0" w:type="dxa"/>
        <w:bottom w:w="0" w:type="dxa"/>
      </w:tblCellMar>
    </w:tblPr>
  </w:style>
  <w:style w:type="table" w:styleId="956" w:customStyle="1">
    <w:name w:val="清单表 21"/>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957"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958" w:customStyle="1">
    <w:name w:val="List Table 2 - Accent 2"/>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959"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960"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961"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962"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963"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9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9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9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9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9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9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9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9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9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9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9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9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9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9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9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9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9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9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9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9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984" w:customStyle="1">
    <w:name w:val="清单表 6 彩色1"/>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985"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986" w:customStyle="1">
    <w:name w:val="List Table 6 Colorful - Accent 2"/>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987" w:customStyle="1">
    <w:name w:val="List Table 6 Colorful - Accent 3"/>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988"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989"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990"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991" w:customStyle="1">
    <w:name w:val="清单表 7 彩色1"/>
    <w:uiPriority w:val="99"/>
    <w:qFormat/>
    <w:tblPr>
      <w:tblBorders>
        <w:right w:val="single" w:color="7F7F7F" w:sz="4" w:space="0"/>
      </w:tblBorders>
      <w:tblLayout w:type="fixed"/>
      <w:tblCellMar>
        <w:left w:w="0" w:type="dxa"/>
        <w:top w:w="0" w:type="dxa"/>
        <w:right w:w="0" w:type="dxa"/>
        <w:bottom w:w="0" w:type="dxa"/>
      </w:tblCellMar>
    </w:tblPr>
  </w:style>
  <w:style w:type="table" w:styleId="992"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style>
  <w:style w:type="table" w:styleId="993" w:customStyle="1">
    <w:name w:val="List Table 7 Colorful - Accent 2"/>
    <w:uiPriority w:val="99"/>
    <w:qFormat/>
    <w:tblPr>
      <w:tblBorders>
        <w:right w:val="single" w:color="D99695" w:sz="4" w:space="0"/>
      </w:tblBorders>
      <w:tblLayout w:type="fixed"/>
      <w:tblCellMar>
        <w:left w:w="0" w:type="dxa"/>
        <w:top w:w="0" w:type="dxa"/>
        <w:right w:w="0" w:type="dxa"/>
        <w:bottom w:w="0" w:type="dxa"/>
      </w:tblCellMar>
    </w:tblPr>
  </w:style>
  <w:style w:type="table" w:styleId="994" w:customStyle="1">
    <w:name w:val="List Table 7 Colorful - Accent 3"/>
    <w:uiPriority w:val="99"/>
    <w:qFormat/>
    <w:tblPr>
      <w:tblBorders>
        <w:right w:val="single" w:color="C3D69B" w:sz="4" w:space="0"/>
      </w:tblBorders>
      <w:tblLayout w:type="fixed"/>
      <w:tblCellMar>
        <w:left w:w="0" w:type="dxa"/>
        <w:top w:w="0" w:type="dxa"/>
        <w:right w:w="0" w:type="dxa"/>
        <w:bottom w:w="0" w:type="dxa"/>
      </w:tblCellMar>
    </w:tblPr>
  </w:style>
  <w:style w:type="table" w:styleId="995"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style>
  <w:style w:type="table" w:styleId="996"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style>
  <w:style w:type="table" w:styleId="997"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style>
  <w:style w:type="table" w:styleId="998" w:customStyle="1">
    <w:name w:val="Lined - Accent"/>
    <w:uiPriority w:val="99"/>
    <w:qFormat/>
    <w:rPr>
      <w:color w:val="404040"/>
    </w:rPr>
    <w:tblPr>
      <w:tblLayout w:type="fixed"/>
      <w:tblCellMar>
        <w:left w:w="0" w:type="dxa"/>
        <w:top w:w="0" w:type="dxa"/>
        <w:right w:w="0" w:type="dxa"/>
        <w:bottom w:w="0" w:type="dxa"/>
      </w:tblCellMar>
    </w:tblPr>
  </w:style>
  <w:style w:type="table" w:styleId="999" w:customStyle="1">
    <w:name w:val="Lined - Accent 1"/>
    <w:uiPriority w:val="99"/>
    <w:qFormat/>
    <w:rPr>
      <w:color w:val="404040"/>
    </w:rPr>
    <w:tblPr>
      <w:tblLayout w:type="fixed"/>
      <w:tblCellMar>
        <w:left w:w="0" w:type="dxa"/>
        <w:top w:w="0" w:type="dxa"/>
        <w:right w:w="0" w:type="dxa"/>
        <w:bottom w:w="0" w:type="dxa"/>
      </w:tblCellMar>
    </w:tblPr>
  </w:style>
  <w:style w:type="table" w:styleId="1000" w:customStyle="1">
    <w:name w:val="Lined - Accent 2"/>
    <w:uiPriority w:val="99"/>
    <w:qFormat/>
    <w:rPr>
      <w:color w:val="404040"/>
    </w:rPr>
    <w:tblPr>
      <w:tblLayout w:type="fixed"/>
      <w:tblCellMar>
        <w:left w:w="0" w:type="dxa"/>
        <w:top w:w="0" w:type="dxa"/>
        <w:right w:w="0" w:type="dxa"/>
        <w:bottom w:w="0" w:type="dxa"/>
      </w:tblCellMar>
    </w:tblPr>
  </w:style>
  <w:style w:type="table" w:styleId="1001" w:customStyle="1">
    <w:name w:val="Lined - Accent 3"/>
    <w:uiPriority w:val="99"/>
    <w:qFormat/>
    <w:rPr>
      <w:color w:val="404040"/>
    </w:rPr>
    <w:tblPr>
      <w:tblLayout w:type="fixed"/>
      <w:tblCellMar>
        <w:left w:w="0" w:type="dxa"/>
        <w:top w:w="0" w:type="dxa"/>
        <w:right w:w="0" w:type="dxa"/>
        <w:bottom w:w="0" w:type="dxa"/>
      </w:tblCellMar>
    </w:tblPr>
  </w:style>
  <w:style w:type="table" w:styleId="1002" w:customStyle="1">
    <w:name w:val="Lined - Accent 4"/>
    <w:uiPriority w:val="99"/>
    <w:qFormat/>
    <w:rPr>
      <w:color w:val="404040"/>
    </w:rPr>
    <w:tblPr>
      <w:tblLayout w:type="fixed"/>
      <w:tblCellMar>
        <w:left w:w="0" w:type="dxa"/>
        <w:top w:w="0" w:type="dxa"/>
        <w:right w:w="0" w:type="dxa"/>
        <w:bottom w:w="0" w:type="dxa"/>
      </w:tblCellMar>
    </w:tblPr>
  </w:style>
  <w:style w:type="table" w:styleId="1003" w:customStyle="1">
    <w:name w:val="Lined - Accent 5"/>
    <w:uiPriority w:val="99"/>
    <w:qFormat/>
    <w:rPr>
      <w:color w:val="404040"/>
    </w:rPr>
    <w:tblPr>
      <w:tblLayout w:type="fixed"/>
      <w:tblCellMar>
        <w:left w:w="0" w:type="dxa"/>
        <w:top w:w="0" w:type="dxa"/>
        <w:right w:w="0" w:type="dxa"/>
        <w:bottom w:w="0" w:type="dxa"/>
      </w:tblCellMar>
    </w:tblPr>
  </w:style>
  <w:style w:type="table" w:styleId="1004" w:customStyle="1">
    <w:name w:val="Lined - Accent 6"/>
    <w:uiPriority w:val="99"/>
    <w:qFormat/>
    <w:rPr>
      <w:color w:val="404040"/>
    </w:rPr>
    <w:tblPr>
      <w:tblLayout w:type="fixed"/>
      <w:tblCellMar>
        <w:left w:w="0" w:type="dxa"/>
        <w:top w:w="0" w:type="dxa"/>
        <w:right w:w="0" w:type="dxa"/>
        <w:bottom w:w="0" w:type="dxa"/>
      </w:tblCellMar>
    </w:tblPr>
  </w:style>
  <w:style w:type="table" w:styleId="10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10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style>
  <w:style w:type="table" w:styleId="10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10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10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10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10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10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10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0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0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0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0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0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paragraph" w:styleId="1019" w:customStyle="1">
    <w:name w:val="TOC 标题1"/>
    <w:uiPriority w:val="39"/>
    <w:unhideWhenUsed/>
    <w:qFormat/>
    <w:rPr>
      <w:rFonts w:ascii="Times New Roman" w:hAnsi="Times New Roman" w:eastAsia="宋体" w:cs="Times New Roman"/>
      <w:lang w:val="en-US" w:eastAsia="zh-CN" w:bidi="ar-SA"/>
    </w:rPr>
  </w:style>
  <w:style w:type="paragraph" w:styleId="1020" w:customStyle="1">
    <w:name w:val="目录 71"/>
    <w:basedOn w:val="759"/>
    <w:next w:val="759"/>
    <w:uiPriority w:val="0"/>
    <w:semiHidden/>
    <w:qFormat/>
    <w:pPr>
      <w:ind w:left="1260"/>
      <w:jc w:val="left"/>
    </w:pPr>
  </w:style>
  <w:style w:type="paragraph" w:styleId="1021" w:customStyle="1">
    <w:name w:val="目录 51"/>
    <w:basedOn w:val="759"/>
    <w:next w:val="759"/>
    <w:uiPriority w:val="0"/>
    <w:semiHidden/>
    <w:qFormat/>
    <w:pPr>
      <w:ind w:left="840"/>
      <w:jc w:val="left"/>
    </w:pPr>
  </w:style>
  <w:style w:type="paragraph" w:styleId="1022" w:customStyle="1">
    <w:name w:val="目录 31"/>
    <w:basedOn w:val="759"/>
    <w:next w:val="759"/>
    <w:uiPriority w:val="0"/>
    <w:semiHidden/>
    <w:qFormat/>
    <w:pPr>
      <w:ind w:left="420"/>
      <w:jc w:val="left"/>
    </w:pPr>
    <w:rPr>
      <w:i/>
      <w:iCs/>
      <w:szCs w:val="24"/>
    </w:rPr>
  </w:style>
  <w:style w:type="paragraph" w:styleId="1023" w:customStyle="1">
    <w:name w:val="目录 81"/>
    <w:basedOn w:val="759"/>
    <w:next w:val="759"/>
    <w:uiPriority w:val="0"/>
    <w:semiHidden/>
    <w:qFormat/>
    <w:pPr>
      <w:ind w:left="1470"/>
      <w:jc w:val="left"/>
    </w:pPr>
  </w:style>
  <w:style w:type="paragraph" w:styleId="1024" w:customStyle="1">
    <w:name w:val="目录 11"/>
    <w:basedOn w:val="759"/>
    <w:next w:val="759"/>
    <w:uiPriority w:val="0"/>
    <w:semiHidden/>
    <w:qFormat/>
    <w:pPr>
      <w:jc w:val="left"/>
      <w:spacing w:before="120" w:after="120" w:line="400" w:lineRule="exact"/>
      <w:tabs>
        <w:tab w:val="right" w:pos="8720" w:leader="dot"/>
      </w:tabs>
    </w:pPr>
    <w:rPr>
      <w:rFonts w:ascii="宋体" w:hAnsi="宋体"/>
      <w:caps/>
      <w:sz w:val="24"/>
      <w:szCs w:val="24"/>
    </w:rPr>
  </w:style>
  <w:style w:type="paragraph" w:styleId="1025" w:customStyle="1">
    <w:name w:val="目录 41"/>
    <w:basedOn w:val="759"/>
    <w:next w:val="759"/>
    <w:uiPriority w:val="0"/>
    <w:semiHidden/>
    <w:qFormat/>
    <w:pPr>
      <w:ind w:left="630"/>
      <w:jc w:val="left"/>
    </w:pPr>
  </w:style>
  <w:style w:type="paragraph" w:styleId="1026" w:customStyle="1">
    <w:name w:val="目录 61"/>
    <w:basedOn w:val="759"/>
    <w:next w:val="759"/>
    <w:uiPriority w:val="0"/>
    <w:semiHidden/>
    <w:qFormat/>
    <w:pPr>
      <w:ind w:left="1050"/>
      <w:jc w:val="left"/>
    </w:pPr>
  </w:style>
  <w:style w:type="paragraph" w:styleId="1027" w:customStyle="1">
    <w:name w:val="目录 21"/>
    <w:basedOn w:val="759"/>
    <w:next w:val="759"/>
    <w:uiPriority w:val="0"/>
    <w:semiHidden/>
    <w:qFormat/>
    <w:pPr>
      <w:ind w:left="210"/>
      <w:jc w:val="left"/>
    </w:pPr>
    <w:rPr>
      <w:smallCaps/>
      <w:szCs w:val="24"/>
    </w:rPr>
  </w:style>
  <w:style w:type="paragraph" w:styleId="1028" w:customStyle="1">
    <w:name w:val="目录 91"/>
    <w:basedOn w:val="759"/>
    <w:next w:val="759"/>
    <w:uiPriority w:val="0"/>
    <w:semiHidden/>
    <w:qFormat/>
    <w:pPr>
      <w:ind w:left="1680"/>
      <w:jc w:val="left"/>
    </w:pPr>
  </w:style>
  <w:style w:type="paragraph" w:styleId="1029" w:customStyle="1">
    <w:name w:val="正文首行缩进1"/>
    <w:basedOn w:val="759"/>
    <w:link w:val="1030"/>
    <w:uiPriority w:val="0"/>
    <w:qFormat/>
    <w:pPr>
      <w:ind w:firstLine="200"/>
      <w:spacing w:line="360" w:lineRule="auto"/>
    </w:pPr>
    <w:rPr>
      <w:rFonts w:ascii="仿宋_GB2312" w:eastAsia="仿宋_GB2312"/>
      <w:sz w:val="30"/>
      <w:szCs w:val="30"/>
    </w:rPr>
  </w:style>
  <w:style w:type="character" w:styleId="1030" w:customStyle="1">
    <w:name w:val="正文首行缩进 字符"/>
    <w:link w:val="1029"/>
    <w:uiPriority w:val="0"/>
    <w:qFormat/>
    <w:rPr>
      <w:rFonts w:ascii="仿宋_GB2312" w:hAnsi="Times New Roman" w:eastAsia="仿宋_GB2312" w:cs="Times New Roman"/>
      <w:sz w:val="30"/>
      <w:szCs w:val="30"/>
    </w:rPr>
  </w:style>
  <w:style w:type="paragraph" w:styleId="1031" w:customStyle="1">
    <w:name w:val="正文首行缩进 21"/>
    <w:basedOn w:val="773"/>
    <w:link w:val="1032"/>
    <w:uiPriority w:val="0"/>
    <w:qFormat/>
    <w:pPr>
      <w:ind w:firstLine="420"/>
      <w:spacing w:line="360" w:lineRule="auto"/>
    </w:pPr>
    <w:rPr>
      <w:rFonts w:ascii="宋体" w:hAnsi="宋体" w:eastAsia="宋体"/>
      <w:szCs w:val="20"/>
    </w:rPr>
  </w:style>
  <w:style w:type="character" w:styleId="1032" w:customStyle="1">
    <w:name w:val="正文首行缩进 2 字符"/>
    <w:link w:val="1031"/>
    <w:uiPriority w:val="0"/>
    <w:qFormat/>
    <w:rPr>
      <w:rFonts w:ascii="宋体" w:hAnsi="宋体" w:eastAsia="宋体" w:cs="Times New Roman"/>
      <w:sz w:val="32"/>
      <w:szCs w:val="20"/>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759"/>
    <w:link w:val="1033"/>
    <w:uiPriority w:val="0"/>
    <w:qFormat/>
    <w:pPr>
      <w:contextualSpacing/>
      <w:ind w:left="720"/>
      <w:jc w:val="left"/>
      <w:widowControl/>
    </w:pPr>
    <w:rPr>
      <w:rFonts w:ascii="Calibri" w:hAnsi="Calibri"/>
      <w:sz w:val="24"/>
      <w:szCs w:val="24"/>
      <w:lang w:eastAsia="en-US" w:bidi="en-US"/>
    </w:rPr>
  </w:style>
  <w:style w:type="character" w:styleId="1035" w:customStyle="1">
    <w:name w:val="font5 Char"/>
    <w:uiPriority w:val="0"/>
    <w:qFormat/>
    <w:rPr>
      <w:rFonts w:ascii="宋体" w:hAnsi="宋体" w:eastAsia="宋体"/>
      <w:sz w:val="28"/>
      <w:szCs w:val="28"/>
      <w:lang w:val="en-US" w:eastAsia="zh-CN" w:bidi="ar-SA"/>
    </w:rPr>
  </w:style>
  <w:style w:type="character" w:styleId="1036" w:customStyle="1">
    <w:name w:val="二级目录 Char"/>
    <w:link w:val="1037"/>
    <w:uiPriority w:val="0"/>
    <w:qFormat/>
    <w:rPr>
      <w:b/>
      <w:sz w:val="30"/>
      <w:szCs w:val="28"/>
      <w:lang w:val="en-US" w:eastAsia="zh-CN" w:bidi="ar-SA"/>
    </w:rPr>
  </w:style>
  <w:style w:type="paragraph" w:styleId="1037" w:customStyle="1">
    <w:name w:val="二级目录"/>
    <w:next w:val="759"/>
    <w:link w:val="103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1038" w:customStyle="1">
    <w:name w:val="font7"/>
    <w:basedOn w:val="759"/>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040" w:customStyle="1">
    <w:name w:val="Char Char Char Char"/>
    <w:basedOn w:val="770"/>
    <w:uiPriority w:val="0"/>
    <w:qFormat/>
    <w:pPr>
      <w:spacing w:line="360" w:lineRule="auto"/>
    </w:pPr>
    <w:rPr>
      <w:rFonts w:ascii="Tahoma" w:hAnsi="Tahoma"/>
      <w:sz w:val="24"/>
      <w:szCs w:val="24"/>
    </w:rPr>
  </w:style>
  <w:style w:type="paragraph" w:styleId="1041"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2" w:customStyle="1">
    <w:name w:val="Char"/>
    <w:basedOn w:val="770"/>
    <w:uiPriority w:val="0"/>
    <w:qFormat/>
    <w:rPr>
      <w:rFonts w:ascii="Tahoma" w:hAnsi="Tahoma"/>
      <w:sz w:val="24"/>
      <w:szCs w:val="24"/>
    </w:rPr>
  </w:style>
  <w:style w:type="paragraph" w:styleId="1043" w:customStyle="1">
    <w:name w:val="列出段落2"/>
    <w:basedOn w:val="759"/>
    <w:uiPriority w:val="0"/>
    <w:qFormat/>
    <w:pPr>
      <w:contextualSpacing/>
      <w:ind w:left="720"/>
      <w:jc w:val="left"/>
      <w:widowControl/>
    </w:pPr>
    <w:rPr>
      <w:rFonts w:ascii="Calibri" w:hAnsi="Calibri"/>
      <w:sz w:val="24"/>
      <w:szCs w:val="24"/>
      <w:lang w:eastAsia="en-US" w:bidi="en-US"/>
    </w:rPr>
  </w:style>
  <w:style w:type="paragraph" w:styleId="1044" w:customStyle="1">
    <w:name w:val="font6"/>
    <w:basedOn w:val="759"/>
    <w:uiPriority w:val="0"/>
    <w:qFormat/>
    <w:pPr>
      <w:jc w:val="left"/>
      <w:spacing w:before="100" w:beforeAutospacing="1" w:after="100" w:afterAutospacing="1"/>
      <w:widowControl/>
    </w:pPr>
    <w:rPr>
      <w:rFonts w:hint="eastAsia" w:ascii="宋体" w:hAnsi="宋体"/>
      <w:sz w:val="28"/>
      <w:szCs w:val="28"/>
      <w:u w:val="single"/>
    </w:rPr>
  </w:style>
  <w:style w:type="paragraph" w:styleId="1045" w:customStyle="1">
    <w:name w:val="Char Char Char Char Char Char Char Char1"/>
    <w:basedOn w:val="759"/>
    <w:uiPriority w:val="0"/>
    <w:qFormat/>
    <w:pPr>
      <w:jc w:val="left"/>
      <w:spacing w:after="160" w:line="240" w:lineRule="exact"/>
      <w:widowControl/>
    </w:pPr>
    <w:rPr>
      <w:rFonts w:ascii="Verdana" w:hAnsi="Verdana"/>
      <w:sz w:val="20"/>
      <w:szCs w:val="20"/>
      <w:lang w:eastAsia="en-US"/>
    </w:rPr>
  </w:style>
  <w:style w:type="paragraph" w:styleId="1046" w:customStyle="1">
    <w:name w:val="Body Text(ch)"/>
    <w:basedOn w:val="759"/>
    <w:next w:val="772"/>
    <w:uiPriority w:val="0"/>
    <w:qFormat/>
    <w:pPr>
      <w:spacing w:after="120"/>
    </w:pPr>
    <w:rPr>
      <w:rFonts w:ascii="宋体" w:hAnsi="Arial"/>
      <w:bCs/>
      <w:iCs/>
      <w:szCs w:val="24"/>
    </w:rPr>
  </w:style>
  <w:style w:type="paragraph" w:styleId="1047" w:customStyle="1">
    <w:name w:val="图标"/>
    <w:basedOn w:val="759"/>
    <w:next w:val="7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Char1"/>
    <w:basedOn w:val="759"/>
    <w:uiPriority w:val="0"/>
    <w:qFormat/>
    <w:pPr>
      <w:ind w:firstLine="200"/>
      <w:tabs>
        <w:tab w:val="left" w:pos="360" w:leader="none"/>
      </w:tabs>
    </w:pPr>
    <w:rPr>
      <w:sz w:val="28"/>
      <w:szCs w:val="30"/>
    </w:rPr>
  </w:style>
  <w:style w:type="paragraph" w:styleId="1049" w:customStyle="1">
    <w:name w:val="修订1"/>
    <w:uiPriority w:val="99"/>
    <w:semiHidden/>
    <w:qFormat/>
    <w:rPr>
      <w:rFonts w:ascii="Times New Roman" w:hAnsi="Times New Roman" w:eastAsia="宋体" w:cs="Times New Roman"/>
      <w:sz w:val="21"/>
      <w:szCs w:val="21"/>
      <w:lang w:val="en-US" w:eastAsia="zh-CN" w:bidi="ar-SA"/>
    </w:rPr>
  </w:style>
  <w:style w:type="paragraph" w:styleId="1050" w:customStyle="1">
    <w:name w:val="font5"/>
    <w:basedOn w:val="759"/>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xl30"/>
    <w:basedOn w:val="759"/>
    <w:uiPriority w:val="0"/>
    <w:qFormat/>
    <w:pPr>
      <w:jc w:val="center"/>
      <w:spacing w:before="100" w:beforeAutospacing="1" w:after="100" w:afterAutospacing="1"/>
      <w:widowControl/>
    </w:pPr>
    <w:rPr>
      <w:rFonts w:ascii="宋体" w:hAnsi="宋体"/>
      <w:b/>
      <w:bCs/>
      <w:sz w:val="36"/>
      <w:szCs w:val="36"/>
    </w:rPr>
  </w:style>
  <w:style w:type="paragraph" w:styleId="1052" w:customStyle="1">
    <w:name w:val="Char Char Char Char1"/>
    <w:basedOn w:val="770"/>
    <w:uiPriority w:val="0"/>
    <w:qFormat/>
    <w:pPr>
      <w:spacing w:line="360" w:lineRule="auto"/>
    </w:pPr>
    <w:rPr>
      <w:rFonts w:ascii="Tahoma" w:hAnsi="Tahoma"/>
      <w:sz w:val="24"/>
      <w:szCs w:val="24"/>
    </w:rPr>
  </w:style>
  <w:style w:type="paragraph" w:styleId="1053" w:customStyle="1">
    <w:name w:val="普通正文"/>
    <w:basedOn w:val="759"/>
    <w:uiPriority w:val="0"/>
    <w:qFormat/>
    <w:pPr>
      <w:ind w:firstLine="480"/>
      <w:jc w:val="left"/>
      <w:spacing w:before="120" w:after="120" w:line="360" w:lineRule="auto"/>
    </w:pPr>
    <w:rPr>
      <w:rFonts w:ascii="Arial" w:hAnsi="Arial"/>
      <w:sz w:val="24"/>
      <w:szCs w:val="24"/>
    </w:rPr>
  </w:style>
  <w:style w:type="paragraph" w:styleId="1054" w:customStyle="1">
    <w:name w:val="table_lines"/>
    <w:basedOn w:val="759"/>
    <w:uiPriority w:val="0"/>
    <w:qFormat/>
    <w:pPr>
      <w:jc w:val="left"/>
      <w:widowControl/>
    </w:pPr>
    <w:rPr>
      <w:sz w:val="20"/>
      <w:szCs w:val="20"/>
      <w:lang w:val="de-DE" w:eastAsia="de-DE"/>
    </w:rPr>
  </w:style>
  <w:style w:type="paragraph" w:styleId="1055" w:customStyle="1">
    <w:name w:val="xl25"/>
    <w:basedOn w:val="7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xl29"/>
    <w:basedOn w:val="75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58" w:customStyle="1">
    <w:name w:val="4"/>
    <w:basedOn w:val="759"/>
    <w:next w:val="792"/>
    <w:uiPriority w:val="0"/>
    <w:qFormat/>
    <w:pPr>
      <w:ind w:firstLine="420"/>
      <w:spacing w:line="360" w:lineRule="auto"/>
    </w:pPr>
    <w:rPr>
      <w:color w:val="ff0000"/>
      <w:sz w:val="24"/>
      <w:szCs w:val="24"/>
    </w:rPr>
  </w:style>
  <w:style w:type="paragraph" w:styleId="1059" w:customStyle="1">
    <w:name w:val="普通 (Web)"/>
    <w:basedOn w:val="759"/>
    <w:uiPriority w:val="0"/>
    <w:qFormat/>
    <w:pPr>
      <w:jc w:val="left"/>
      <w:spacing w:before="100" w:beforeAutospacing="1" w:after="100" w:afterAutospacing="1"/>
      <w:widowControl/>
    </w:pPr>
    <w:rPr>
      <w:rFonts w:ascii="宋体" w:hAnsi="宋体"/>
      <w:sz w:val="24"/>
      <w:szCs w:val="24"/>
    </w:rPr>
  </w:style>
  <w:style w:type="paragraph" w:styleId="1060" w:customStyle="1">
    <w:name w:val="xl24"/>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7"/>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6"/>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3" w:customStyle="1">
    <w:name w:val="Char Char Char Char Char Char Char Char Char Char"/>
    <w:basedOn w:val="759"/>
    <w:uiPriority w:val="0"/>
    <w:qFormat/>
    <w:pPr>
      <w:spacing w:line="360" w:lineRule="auto"/>
    </w:pPr>
    <w:rPr>
      <w:sz w:val="24"/>
      <w:szCs w:val="20"/>
    </w:rPr>
  </w:style>
  <w:style w:type="paragraph" w:styleId="1064" w:customStyle="1">
    <w:name w:val="样式1"/>
    <w:basedOn w:val="759"/>
    <w:uiPriority w:val="0"/>
    <w:qFormat/>
    <w:pPr>
      <w:numPr>
        <w:ilvl w:val="0"/>
        <w:numId w:val="3"/>
      </w:numPr>
    </w:pPr>
    <w:rPr>
      <w:rFonts w:ascii="宋体" w:hAnsi="宋体"/>
    </w:rPr>
  </w:style>
  <w:style w:type="paragraph" w:styleId="1065" w:customStyle="1">
    <w:name w:val="标题3"/>
    <w:basedOn w:val="759"/>
    <w:next w:val="759"/>
    <w:uiPriority w:val="0"/>
    <w:qFormat/>
    <w:pPr>
      <w:ind w:firstLine="624"/>
      <w:spacing w:line="590" w:lineRule="atLeast"/>
    </w:pPr>
    <w:rPr>
      <w:rFonts w:ascii="方正黑体_GBK" w:eastAsia="方正黑体_GBK"/>
      <w:sz w:val="32"/>
      <w:szCs w:val="32"/>
    </w:rPr>
  </w:style>
  <w:style w:type="paragraph" w:styleId="1066" w:customStyle="1">
    <w:name w:val="table_1stline"/>
    <w:basedOn w:val="759"/>
    <w:uiPriority w:val="0"/>
    <w:qFormat/>
    <w:pPr>
      <w:jc w:val="left"/>
      <w:spacing w:before="120"/>
      <w:widowControl/>
    </w:pPr>
    <w:rPr>
      <w:bCs/>
      <w:sz w:val="20"/>
      <w:szCs w:val="20"/>
      <w:lang w:val="de-DE" w:eastAsia="de-DE"/>
    </w:rPr>
  </w:style>
  <w:style w:type="paragraph" w:styleId="1067" w:customStyle="1">
    <w:name w:val="标题1"/>
    <w:basedOn w:val="759"/>
    <w:next w:val="7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8" w:customStyle="1">
    <w:name w:val="正文（缩进）"/>
    <w:basedOn w:val="759"/>
    <w:next w:val="1069"/>
    <w:uiPriority w:val="0"/>
    <w:qFormat/>
    <w:pPr>
      <w:ind w:firstLine="200"/>
      <w:spacing w:line="360" w:lineRule="auto"/>
    </w:pPr>
    <w:rPr>
      <w:rFonts w:ascii="宋体" w:hAnsi="宋体"/>
      <w:szCs w:val="28"/>
    </w:rPr>
  </w:style>
  <w:style w:type="paragraph" w:styleId="1069" w:customStyle="1">
    <w:name w:val="Char Char Char Char Char Char Char Char Char"/>
    <w:basedOn w:val="759"/>
    <w:next w:val="1070"/>
    <w:uiPriority w:val="99"/>
    <w:qFormat/>
    <w:pPr>
      <w:ind w:left="360" w:firstLine="5784"/>
    </w:pPr>
  </w:style>
  <w:style w:type="paragraph" w:styleId="1070" w:customStyle="1">
    <w:name w:val="正文文本 21"/>
    <w:basedOn w:val="759"/>
    <w:next w:val="1071"/>
    <w:uiPriority w:val="99"/>
    <w:qFormat/>
    <w:pPr>
      <w:ind w:left="720" w:firstLine="5680"/>
      <w:widowControl/>
    </w:pPr>
  </w:style>
  <w:style w:type="paragraph" w:styleId="1071" w:customStyle="1">
    <w:name w:val="默认段落字体 Para Char Char Char Char Char Char Char"/>
    <w:basedOn w:val="759"/>
    <w:next w:val="1072"/>
    <w:uiPriority w:val="99"/>
    <w:qFormat/>
    <w:pPr>
      <w:ind w:firstLine="200"/>
    </w:pPr>
    <w:rPr>
      <w:rFonts w:cs="Arial"/>
    </w:rPr>
  </w:style>
  <w:style w:type="paragraph" w:styleId="1072" w:customStyle="1">
    <w:name w:val="样式 首行缩进:  2 字符"/>
    <w:basedOn w:val="759"/>
    <w:next w:val="1073"/>
    <w:uiPriority w:val="99"/>
    <w:qFormat/>
    <w:pPr>
      <w:ind w:left="480" w:firstLine="5856"/>
      <w:spacing w:line="360" w:lineRule="auto"/>
    </w:pPr>
  </w:style>
  <w:style w:type="paragraph" w:styleId="1073" w:customStyle="1">
    <w:name w:val="样式 段后: 0.25 行"/>
    <w:basedOn w:val="759"/>
    <w:next w:val="1074"/>
    <w:uiPriority w:val="99"/>
    <w:qFormat/>
    <w:pPr>
      <w:ind w:left="420" w:firstLine="5796"/>
      <w:spacing w:line="300" w:lineRule="auto"/>
      <w:widowControl/>
    </w:pPr>
  </w:style>
  <w:style w:type="paragraph" w:styleId="1074" w:customStyle="1">
    <w:name w:val="正文 New New New New New New New New New New New New New New"/>
    <w:next w:val="1028"/>
    <w:uiPriority w:val="99"/>
    <w:qFormat/>
    <w:pPr>
      <w:ind w:firstLine="2048"/>
      <w:jc w:val="both"/>
      <w:widowControl w:val="off"/>
    </w:pPr>
    <w:rPr>
      <w:rFonts w:ascii="Calibri" w:hAnsi="Calibri" w:eastAsia="宋体" w:cs="Times New Roman"/>
      <w:lang w:val="en-US" w:eastAsia="zh-CN" w:bidi="ar-SA"/>
    </w:rPr>
  </w:style>
  <w:style w:type="character" w:styleId="1075" w:customStyle="1">
    <w:name w:val="正文缩进 Char"/>
    <w:link w:val="1076"/>
    <w:uiPriority w:val="0"/>
    <w:qFormat/>
    <w:rPr>
      <w:sz w:val="21"/>
      <w:szCs w:val="21"/>
    </w:rPr>
  </w:style>
  <w:style w:type="paragraph" w:styleId="1076" w:customStyle="1">
    <w:name w:val="正文缩进1"/>
    <w:basedOn w:val="759"/>
    <w:link w:val="1075"/>
    <w:uiPriority w:val="0"/>
    <w:qFormat/>
    <w:pPr>
      <w:ind w:firstLine="420"/>
    </w:pPr>
  </w:style>
  <w:style w:type="paragraph" w:styleId="1077" w:customStyle="1">
    <w:name w:val="TOC Heading1"/>
    <w:next w:val="759"/>
    <w:uiPriority w:val="0"/>
    <w:qFormat/>
    <w:rPr>
      <w:rFonts w:ascii="Calibri" w:hAnsi="Calibri" w:eastAsia="Calibri" w:cs="Times New Roman"/>
      <w:sz w:val="32"/>
      <w:lang w:val="en-US" w:eastAsia="zh-CN" w:bidi="ar-SA"/>
    </w:rPr>
  </w:style>
  <w:style w:type="paragraph" w:styleId="1078" w:customStyle="1">
    <w:name w:val="段"/>
    <w:next w:val="759"/>
    <w:uiPriority w:val="0"/>
    <w:qFormat/>
    <w:pPr>
      <w:ind w:firstLine="200"/>
      <w:jc w:val="both"/>
    </w:pPr>
    <w:rPr>
      <w:rFonts w:ascii="宋体" w:hAnsi="Times New Roman" w:eastAsia="宋体" w:cs="Times New Roman"/>
      <w:sz w:val="21"/>
      <w:lang w:val="en-US" w:eastAsia="zh-CN" w:bidi="ar-SA"/>
    </w:rPr>
  </w:style>
  <w:style w:type="paragraph" w:styleId="1079" w:customStyle="1">
    <w:name w:val="修订11"/>
    <w:hidden/>
    <w:uiPriority w:val="99"/>
    <w:semiHidden/>
    <w:qFormat/>
    <w:rPr>
      <w:rFonts w:ascii="Times New Roman" w:hAnsi="Times New Roman" w:eastAsia="宋体" w:cs="Times New Roman"/>
      <w:sz w:val="21"/>
      <w:szCs w:val="24"/>
      <w:lang w:val="en-US" w:eastAsia="zh-CN" w:bidi="ar-SA"/>
    </w:rPr>
  </w:style>
  <w:style w:type="paragraph" w:styleId="1080" w:customStyle="1">
    <w:name w:val="Table Paragraph"/>
    <w:basedOn w:val="759"/>
    <w:uiPriority w:val="1"/>
    <w:qFormat/>
    <w:pPr>
      <w:jc w:val="left"/>
    </w:pPr>
    <w:rPr>
      <w:rFonts w:ascii="宋体" w:hAnsi="宋体" w:cs="宋体"/>
      <w:sz w:val="22"/>
      <w:szCs w:val="22"/>
    </w:rPr>
  </w:style>
  <w:style w:type="paragraph" w:styleId="1081"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82" w:customStyle="1">
    <w:name w:val="修订3"/>
    <w:hidden/>
    <w:uiPriority w:val="99"/>
    <w:semiHidden/>
    <w:qFormat/>
    <w:rPr>
      <w:rFonts w:ascii="Times New Roman" w:hAnsi="Times New Roman" w:eastAsia="宋体" w:cs="Times New Roman"/>
      <w:sz w:val="21"/>
      <w:szCs w:val="24"/>
      <w:lang w:val="en-US" w:eastAsia="zh-CN" w:bidi="ar-SA"/>
    </w:rPr>
  </w:style>
  <w:style w:type="paragraph" w:styleId="1083"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84" w:customStyle="1">
    <w:name w:val="msonormal"/>
    <w:basedOn w:val="759"/>
    <w:uiPriority w:val="0"/>
    <w:qFormat/>
    <w:pPr>
      <w:jc w:val="left"/>
      <w:spacing w:before="100" w:beforeAutospacing="1" w:after="100" w:afterAutospacing="1"/>
      <w:widowControl/>
    </w:pPr>
    <w:rPr>
      <w:rFonts w:ascii="宋体" w:hAnsi="宋体" w:cs="宋体"/>
      <w:sz w:val="24"/>
      <w:szCs w:val="24"/>
    </w:rPr>
  </w:style>
  <w:style w:type="paragraph" w:styleId="1085"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86" w:customStyle="1">
    <w:name w:val="font51"/>
    <w:uiPriority w:val="0"/>
    <w:qFormat/>
    <w:rPr>
      <w:rFonts w:hint="eastAsia" w:ascii="黑体" w:hAnsi="宋体" w:eastAsia="黑体" w:cs="黑体"/>
      <w:color w:val="000000"/>
      <w:sz w:val="20"/>
      <w:szCs w:val="20"/>
      <w:u w:val="none"/>
    </w:rPr>
  </w:style>
  <w:style w:type="paragraph" w:styleId="1087" w:customStyle="1">
    <w:name w:val="标题 31"/>
    <w:basedOn w:val="759"/>
    <w:next w:val="759"/>
    <w:uiPriority w:val="0"/>
    <w:qFormat/>
    <w:pPr>
      <w:keepLines/>
      <w:keepNext/>
      <w:spacing w:before="260" w:after="260" w:line="416" w:lineRule="auto"/>
      <w:outlineLvl w:val="2"/>
    </w:pPr>
    <w:rPr>
      <w:b/>
      <w:bCs/>
      <w:sz w:val="32"/>
      <w:szCs w:val="32"/>
    </w:rPr>
  </w:style>
  <w:style w:type="character" w:styleId="1088" w:customStyle="1">
    <w:name w:val="页眉 Char"/>
    <w:basedOn w:val="763"/>
    <w:link w:val="785"/>
    <w:uiPriority w:val="0"/>
    <w:qFormat/>
    <w:rPr>
      <w:sz w:val="18"/>
      <w:szCs w:val="18"/>
    </w:rPr>
  </w:style>
  <w:style w:type="character" w:styleId="1089" w:customStyle="1">
    <w:name w:val="页脚 Char"/>
    <w:basedOn w:val="763"/>
    <w:link w:val="783"/>
    <w:uiPriority w:val="0"/>
    <w:qFormat/>
    <w:rPr>
      <w:sz w:val="18"/>
      <w:szCs w:val="18"/>
    </w:rPr>
  </w:style>
  <w:style w:type="character" w:styleId="1090" w:customStyle="1">
    <w:name w:val="标题 1 Char"/>
    <w:basedOn w:val="763"/>
    <w:link w:val="760"/>
    <w:uiPriority w:val="9"/>
    <w:rPr>
      <w:b/>
      <w:bCs/>
      <w:sz w:val="44"/>
      <w:szCs w:val="44"/>
    </w:rPr>
  </w:style>
  <w:style w:type="character" w:styleId="1091" w:customStyle="1">
    <w:name w:val="标题 2 Char"/>
    <w:basedOn w:val="763"/>
    <w:link w:val="761"/>
    <w:uiPriority w:val="9"/>
    <w:semiHidden/>
    <w:qFormat/>
    <w:rPr>
      <w:rFonts w:asciiTheme="majorHAnsi" w:hAnsiTheme="majorHAnsi" w:eastAsiaTheme="majorEastAsia" w:cstheme="majorBidi"/>
      <w:b/>
      <w:bCs/>
      <w:sz w:val="32"/>
      <w:szCs w:val="32"/>
    </w:rPr>
  </w:style>
  <w:style w:type="character" w:styleId="1092" w:customStyle="1">
    <w:name w:val="标题 3 Char"/>
    <w:basedOn w:val="763"/>
    <w:link w:val="762"/>
    <w:uiPriority w:val="9"/>
    <w:semiHidden/>
    <w:qFormat/>
    <w:rPr>
      <w:b/>
      <w:bCs/>
      <w:sz w:val="32"/>
      <w:szCs w:val="32"/>
    </w:rPr>
  </w:style>
  <w:style w:type="character" w:styleId="1093" w:customStyle="1">
    <w:name w:val="正文缩进 字符"/>
    <w:uiPriority w:val="0"/>
    <w:qFormat/>
    <w:rPr>
      <w:rFonts w:ascii="Times New Roman" w:hAnsi="Times New Roman"/>
      <w:sz w:val="21"/>
      <w:szCs w:val="22"/>
    </w:rPr>
  </w:style>
  <w:style w:type="character" w:styleId="1094" w:customStyle="1">
    <w:name w:val="正文文本 字符"/>
    <w:uiPriority w:val="0"/>
    <w:qFormat/>
    <w:rPr>
      <w:rFonts w:ascii="楷体_GB2312" w:hAnsi="Arial" w:eastAsia="楷体_GB2312"/>
      <w:sz w:val="28"/>
      <w:szCs w:val="28"/>
    </w:rPr>
  </w:style>
  <w:style w:type="paragraph" w:styleId="1095" w:customStyle="1">
    <w:name w:val="_Style 335"/>
    <w:uiPriority w:val="99"/>
    <w:unhideWhenUsed/>
    <w:qFormat/>
    <w:pPr>
      <w:jc w:val="both"/>
      <w:widowControl w:val="off"/>
    </w:pPr>
    <w:rPr>
      <w:rFonts w:ascii="Calibri" w:hAnsi="Calibri" w:eastAsia="宋体" w:cs="Times New Roman"/>
      <w:sz w:val="21"/>
      <w:szCs w:val="22"/>
      <w:lang w:val="en-US" w:eastAsia="zh-CN" w:bidi="ar-SA"/>
    </w:rPr>
  </w:style>
  <w:style w:type="paragraph" w:styleId="1096" w:customStyle="1">
    <w:name w:val="修订6"/>
    <w:hidden/>
    <w:uiPriority w:val="99"/>
    <w:unhideWhenUsed/>
    <w:qFormat/>
    <w:rPr>
      <w:rFonts w:ascii="Calibri" w:hAnsi="Calibri" w:eastAsia="宋体" w:cs="Times New Roman"/>
      <w:sz w:val="21"/>
      <w:szCs w:val="22"/>
      <w:lang w:val="en-US" w:eastAsia="zh-CN" w:bidi="ar-SA"/>
    </w:rPr>
  </w:style>
  <w:style w:type="character" w:styleId="1097" w:customStyle="1">
    <w:name w:val="正文文本缩进 字符"/>
    <w:uiPriority w:val="0"/>
    <w:qFormat/>
    <w:rPr>
      <w:rFonts w:ascii="Times New Roman" w:hAnsi="Times New Roman"/>
      <w:szCs w:val="24"/>
    </w:rPr>
  </w:style>
  <w:style w:type="character" w:styleId="1098" w:customStyle="1">
    <w:name w:val="纯文本 字符"/>
    <w:uiPriority w:val="99"/>
    <w:qFormat/>
    <w:rPr>
      <w:rFonts w:ascii="宋体" w:hAnsi="Courier New"/>
      <w:szCs w:val="21"/>
    </w:rPr>
  </w:style>
  <w:style w:type="paragraph" w:styleId="1099" w:customStyle="1">
    <w:name w:val="ListBullet2"/>
    <w:basedOn w:val="759"/>
    <w:uiPriority w:val="0"/>
    <w:qFormat/>
    <w:pPr>
      <w:numPr>
        <w:ilvl w:val="0"/>
        <w:numId w:val="1"/>
      </w:numPr>
      <w:tabs>
        <w:tab w:val="left" w:pos="312" w:leader="none"/>
        <w:tab w:val="decimal" w:pos="780" w:leader="none"/>
      </w:tabs>
    </w:pPr>
    <w:rPr>
      <w:rFonts w:ascii="Calibri" w:hAnsi="Calibri"/>
      <w:szCs w:val="24"/>
    </w:rPr>
  </w:style>
  <w:style w:type="paragraph" w:styleId="1100" w:customStyle="1">
    <w:name w:val="font8"/>
    <w:basedOn w:val="759"/>
    <w:uiPriority w:val="0"/>
    <w:qFormat/>
    <w:pPr>
      <w:jc w:val="left"/>
      <w:spacing w:before="100" w:beforeAutospacing="1" w:after="100" w:afterAutospacing="1"/>
      <w:widowControl/>
    </w:pPr>
    <w:rPr>
      <w:rFonts w:ascii="宋体" w:hAnsi="宋体" w:cs="宋体"/>
      <w:sz w:val="20"/>
      <w:szCs w:val="20"/>
    </w:rPr>
  </w:style>
  <w:style w:type="paragraph" w:styleId="1101" w:customStyle="1">
    <w:name w:val="font9"/>
    <w:basedOn w:val="759"/>
    <w:uiPriority w:val="0"/>
    <w:qFormat/>
    <w:pPr>
      <w:jc w:val="left"/>
      <w:spacing w:before="100" w:beforeAutospacing="1" w:after="100" w:afterAutospacing="1"/>
      <w:widowControl/>
    </w:pPr>
    <w:rPr>
      <w:color w:val="000000"/>
      <w:sz w:val="20"/>
      <w:szCs w:val="20"/>
    </w:rPr>
  </w:style>
  <w:style w:type="paragraph" w:styleId="1102" w:customStyle="1">
    <w:name w:val="font10"/>
    <w:basedOn w:val="759"/>
    <w:uiPriority w:val="0"/>
    <w:qFormat/>
    <w:pPr>
      <w:jc w:val="left"/>
      <w:spacing w:before="100" w:beforeAutospacing="1" w:after="100" w:afterAutospacing="1"/>
      <w:widowControl/>
    </w:pPr>
    <w:rPr>
      <w:rFonts w:ascii="宋体" w:hAnsi="宋体" w:cs="宋体"/>
      <w:color w:val="000000"/>
      <w:sz w:val="20"/>
      <w:szCs w:val="20"/>
    </w:rPr>
  </w:style>
  <w:style w:type="paragraph" w:styleId="1103" w:customStyle="1">
    <w:name w:val="font11"/>
    <w:basedOn w:val="759"/>
    <w:uiPriority w:val="0"/>
    <w:qFormat/>
    <w:pPr>
      <w:jc w:val="left"/>
      <w:spacing w:before="100" w:beforeAutospacing="1" w:after="100" w:afterAutospacing="1"/>
      <w:widowControl/>
    </w:pPr>
    <w:rPr>
      <w:color w:val="000000"/>
    </w:rPr>
  </w:style>
  <w:style w:type="paragraph" w:styleId="1104" w:customStyle="1">
    <w:name w:val="font12"/>
    <w:basedOn w:val="759"/>
    <w:uiPriority w:val="0"/>
    <w:qFormat/>
    <w:pPr>
      <w:jc w:val="left"/>
      <w:spacing w:before="100" w:beforeAutospacing="1" w:after="100" w:afterAutospacing="1"/>
      <w:widowControl/>
    </w:pPr>
    <w:rPr>
      <w:color w:val="000000"/>
      <w:sz w:val="20"/>
      <w:szCs w:val="20"/>
    </w:rPr>
  </w:style>
  <w:style w:type="paragraph" w:styleId="1105" w:customStyle="1">
    <w:name w:val="font13"/>
    <w:basedOn w:val="759"/>
    <w:uiPriority w:val="0"/>
    <w:qFormat/>
    <w:pPr>
      <w:jc w:val="left"/>
      <w:spacing w:before="100" w:beforeAutospacing="1" w:after="100" w:afterAutospacing="1"/>
      <w:widowControl/>
    </w:pPr>
    <w:rPr>
      <w:sz w:val="20"/>
      <w:szCs w:val="20"/>
    </w:rPr>
  </w:style>
  <w:style w:type="paragraph" w:styleId="1106" w:customStyle="1">
    <w:name w:val="font14"/>
    <w:basedOn w:val="759"/>
    <w:uiPriority w:val="0"/>
    <w:qFormat/>
    <w:pPr>
      <w:jc w:val="left"/>
      <w:spacing w:before="100" w:beforeAutospacing="1" w:after="100" w:afterAutospacing="1"/>
      <w:widowControl/>
    </w:pPr>
    <w:rPr>
      <w:color w:val="000000"/>
      <w:sz w:val="20"/>
      <w:szCs w:val="20"/>
    </w:rPr>
  </w:style>
  <w:style w:type="paragraph" w:styleId="1107" w:customStyle="1">
    <w:name w:val="font15"/>
    <w:basedOn w:val="759"/>
    <w:uiPriority w:val="0"/>
    <w:qFormat/>
    <w:pPr>
      <w:jc w:val="left"/>
      <w:spacing w:before="100" w:beforeAutospacing="1" w:after="100" w:afterAutospacing="1"/>
      <w:widowControl/>
    </w:pPr>
    <w:rPr>
      <w:color w:val="000000"/>
      <w:sz w:val="20"/>
      <w:szCs w:val="20"/>
    </w:rPr>
  </w:style>
  <w:style w:type="paragraph" w:styleId="1108" w:customStyle="1">
    <w:name w:val="font16"/>
    <w:basedOn w:val="759"/>
    <w:uiPriority w:val="0"/>
    <w:qFormat/>
    <w:pPr>
      <w:jc w:val="left"/>
      <w:spacing w:before="100" w:beforeAutospacing="1" w:after="100" w:afterAutospacing="1"/>
      <w:widowControl/>
    </w:pPr>
    <w:rPr>
      <w:rFonts w:ascii="宋体" w:hAnsi="宋体" w:cs="宋体"/>
      <w:color w:val="000000"/>
    </w:rPr>
  </w:style>
  <w:style w:type="paragraph" w:styleId="1109" w:customStyle="1">
    <w:name w:val="font17"/>
    <w:basedOn w:val="759"/>
    <w:uiPriority w:val="0"/>
    <w:qFormat/>
    <w:pPr>
      <w:jc w:val="left"/>
      <w:spacing w:before="100" w:beforeAutospacing="1" w:after="100" w:afterAutospacing="1"/>
      <w:widowControl/>
    </w:pPr>
    <w:rPr>
      <w:color w:val="000000"/>
    </w:rPr>
  </w:style>
  <w:style w:type="paragraph" w:styleId="1110" w:customStyle="1">
    <w:name w:val="xl68"/>
    <w:basedOn w:val="759"/>
    <w:uiPriority w:val="0"/>
    <w:qFormat/>
    <w:pPr>
      <w:jc w:val="center"/>
      <w:spacing w:before="100" w:beforeAutospacing="1" w:after="100" w:afterAutospacing="1"/>
      <w:widowControl/>
    </w:pPr>
    <w:rPr>
      <w:rFonts w:ascii="黑体" w:hAnsi="黑体" w:eastAsia="黑体" w:cs="宋体"/>
      <w:b/>
      <w:bCs/>
      <w:sz w:val="24"/>
      <w:szCs w:val="24"/>
    </w:rPr>
  </w:style>
  <w:style w:type="paragraph" w:styleId="1111" w:customStyle="1">
    <w:name w:val="xl69"/>
    <w:basedOn w:val="759"/>
    <w:uiPriority w:val="0"/>
    <w:qFormat/>
    <w:pPr>
      <w:jc w:val="left"/>
      <w:spacing w:before="100" w:beforeAutospacing="1" w:after="100" w:afterAutospacing="1"/>
      <w:widowControl/>
    </w:pPr>
    <w:rPr>
      <w:rFonts w:ascii="宋体" w:hAnsi="宋体" w:cs="宋体"/>
      <w:sz w:val="24"/>
      <w:szCs w:val="24"/>
    </w:rPr>
  </w:style>
  <w:style w:type="paragraph" w:styleId="1112" w:customStyle="1">
    <w:name w:val="xl70"/>
    <w:basedOn w:val="759"/>
    <w:uiPriority w:val="0"/>
    <w:qFormat/>
    <w:pPr>
      <w:jc w:val="center"/>
      <w:spacing w:before="100" w:beforeAutospacing="1" w:after="100" w:afterAutospacing="1"/>
      <w:widowControl/>
    </w:pPr>
    <w:rPr>
      <w:rFonts w:ascii="宋体" w:hAnsi="宋体" w:cs="宋体"/>
      <w:sz w:val="24"/>
      <w:szCs w:val="24"/>
    </w:rPr>
  </w:style>
  <w:style w:type="paragraph" w:styleId="1113" w:customStyle="1">
    <w:name w:val="xl7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b/>
      <w:bCs/>
      <w:sz w:val="20"/>
      <w:szCs w:val="20"/>
    </w:rPr>
  </w:style>
  <w:style w:type="paragraph" w:styleId="1114" w:customStyle="1">
    <w:name w:val="xl72"/>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5" w:customStyle="1">
    <w:name w:val="xl73"/>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6" w:customStyle="1">
    <w:name w:val="xl74"/>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7" w:customStyle="1">
    <w:name w:val="xl7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8" w:customStyle="1">
    <w:name w:val="xl7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9" w:customStyle="1">
    <w:name w:val="xl7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0" w:customStyle="1">
    <w:name w:val="xl78"/>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xl79"/>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2" w:customStyle="1">
    <w:name w:val="xl80"/>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3" w:customStyle="1">
    <w:name w:val="xl81"/>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4" w:customStyle="1">
    <w:name w:val="xl82"/>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5" w:customStyle="1">
    <w:name w:val="xl83"/>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6" w:customStyle="1">
    <w:name w:val="xl8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7" w:customStyle="1">
    <w:name w:val="xl85"/>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0000"/>
      <w:sz w:val="20"/>
      <w:szCs w:val="20"/>
    </w:rPr>
  </w:style>
  <w:style w:type="paragraph" w:styleId="1128" w:customStyle="1">
    <w:name w:val="xl86"/>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9" w:customStyle="1">
    <w:name w:val="xl8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0" w:customStyle="1">
    <w:name w:val="xl88"/>
    <w:basedOn w:val="759"/>
    <w:uiPriority w:val="0"/>
    <w:qFormat/>
    <w:pPr>
      <w:jc w:val="left"/>
      <w:spacing w:before="100" w:beforeAutospacing="1" w:after="100" w:afterAutospacing="1"/>
      <w:widowControl/>
    </w:pPr>
    <w:rPr>
      <w:rFonts w:ascii="宋体" w:hAnsi="宋体" w:cs="宋体"/>
      <w:sz w:val="20"/>
      <w:szCs w:val="20"/>
    </w:rPr>
  </w:style>
  <w:style w:type="paragraph" w:styleId="1131" w:customStyle="1">
    <w:name w:val="xl89"/>
    <w:basedOn w:val="759"/>
    <w:uiPriority w:val="0"/>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32" w:customStyle="1">
    <w:name w:val="xl90"/>
    <w:basedOn w:val="759"/>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33" w:customStyle="1">
    <w:name w:val="xl91"/>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4" w:customStyle="1">
    <w:name w:val="xl92"/>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5" w:customStyle="1">
    <w:name w:val="xl93"/>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6" w:customStyle="1">
    <w:name w:val="xl94"/>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szCs w:val="20"/>
    </w:rPr>
  </w:style>
  <w:style w:type="paragraph" w:styleId="1137" w:customStyle="1">
    <w:name w:val="xl95"/>
    <w:basedOn w:val="759"/>
    <w:uiPriority w:val="0"/>
    <w:pPr>
      <w:jc w:val="center"/>
      <w:spacing w:before="100" w:beforeAutospacing="1" w:after="100" w:afterAutospacing="1"/>
      <w:widowControl/>
      <w:pBdr>
        <w:top w:val="single" w:color="auto" w:sz="4" w:space="0"/>
        <w:bottom w:val="single" w:color="auto" w:sz="4" w:space="0"/>
        <w:right w:val="single" w:color="auto" w:sz="4" w:space="0"/>
      </w:pBdr>
    </w:pPr>
    <w:rPr>
      <w:color w:val="000000"/>
      <w:sz w:val="20"/>
      <w:szCs w:val="20"/>
    </w:rPr>
  </w:style>
  <w:style w:type="paragraph" w:styleId="1138" w:customStyle="1">
    <w:name w:val="xl96"/>
    <w:basedOn w:val="75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1139" w:customStyle="1">
    <w:name w:val="xl97"/>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0" w:customStyle="1">
    <w:name w:val="xl98"/>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1" w:customStyle="1">
    <w:name w:val="xl99"/>
    <w:basedOn w:val="75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142" w:customStyle="1">
    <w:name w:val="xl100"/>
    <w:basedOn w:val="75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43" w:customStyle="1">
    <w:name w:val="xl101"/>
    <w:basedOn w:val="759"/>
    <w:uiPriority w:val="0"/>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44" w:customStyle="1">
    <w:name w:val="xl102"/>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45" w:customStyle="1">
    <w:name w:val="xl103"/>
    <w:basedOn w:val="75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46" w:customStyle="1">
    <w:name w:val="xl104"/>
    <w:basedOn w:val="759"/>
    <w:uiPriority w:val="0"/>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47" w:customStyle="1">
    <w:name w:val="xl105"/>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48" w:customStyle="1">
    <w:name w:val="xl106"/>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49" w:customStyle="1">
    <w:name w:val="xl107"/>
    <w:basedOn w:val="7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50" w:customStyle="1">
    <w:name w:val="xl108"/>
    <w:basedOn w:val="7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51" w:customStyle="1">
    <w:name w:val="xl109"/>
    <w:basedOn w:val="75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52" w:customStyle="1">
    <w:name w:val="xl110"/>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character" w:styleId="1153" w:customStyle="1">
    <w:name w:val="正文首行缩进 2 Char"/>
    <w:basedOn w:val="869"/>
    <w:link w:val="784"/>
    <w:uiPriority w:val="99"/>
    <w:qFormat/>
    <w:rPr>
      <w:rFonts w:ascii="Calibri" w:hAnsi="Calibri" w:eastAsia="仿宋_GB2312"/>
      <w:szCs w:val="24"/>
    </w:rPr>
  </w:style>
  <w:style w:type="character" w:styleId="1154" w:customStyle="1">
    <w:name w:val="font131"/>
    <w:basedOn w:val="763"/>
    <w:uiPriority w:val="0"/>
    <w:qFormat/>
    <w:rPr>
      <w:rFonts w:hint="eastAsia" w:ascii="宋体" w:hAnsi="宋体" w:eastAsia="宋体" w:cs="宋体"/>
      <w:color w:val="000000"/>
      <w:sz w:val="18"/>
      <w:szCs w:val="18"/>
      <w:u w:val="none"/>
    </w:rPr>
  </w:style>
  <w:style w:type="character" w:styleId="1155" w:customStyle="1">
    <w:name w:val="font141"/>
    <w:basedOn w:val="763"/>
    <w:uiPriority w:val="0"/>
    <w:qFormat/>
    <w:rPr>
      <w:rFonts w:hint="eastAsia" w:ascii="宋体" w:hAnsi="宋体" w:eastAsia="宋体" w:cs="宋体"/>
      <w:color w:val="000000"/>
      <w:sz w:val="18"/>
      <w:szCs w:val="18"/>
      <w:u w:val="none"/>
    </w:rPr>
  </w:style>
  <w:style w:type="character" w:styleId="1156" w:customStyle="1">
    <w:name w:val="font81"/>
    <w:basedOn w:val="763"/>
    <w:uiPriority w:val="0"/>
    <w:qFormat/>
    <w:rPr>
      <w:rFonts w:hint="default" w:ascii="Times New Roman" w:hAnsi="Times New Roman" w:cs="Times New Roman"/>
      <w:color w:val="000000"/>
      <w:sz w:val="18"/>
      <w:szCs w:val="18"/>
      <w:u w:val="none"/>
    </w:rPr>
  </w:style>
  <w:style w:type="character" w:styleId="1157" w:customStyle="1">
    <w:name w:val="font151"/>
    <w:basedOn w:val="763"/>
    <w:uiPriority w:val="0"/>
    <w:qFormat/>
    <w:rPr>
      <w:rFonts w:hint="eastAsia" w:ascii="宋体" w:hAnsi="宋体" w:eastAsia="宋体" w:cs="宋体"/>
      <w:color w:val="000000"/>
      <w:sz w:val="18"/>
      <w:szCs w:val="18"/>
      <w:u w:val="none"/>
    </w:rPr>
  </w:style>
  <w:style w:type="character" w:styleId="1158" w:customStyle="1">
    <w:name w:val="font161"/>
    <w:basedOn w:val="763"/>
    <w:uiPriority w:val="0"/>
    <w:qFormat/>
    <w:rPr>
      <w:rFonts w:hint="eastAsia" w:ascii="宋体" w:hAnsi="宋体" w:eastAsia="宋体" w:cs="宋体"/>
      <w:color w:val="000000"/>
      <w:sz w:val="18"/>
      <w:szCs w:val="18"/>
      <w:u w:val="none"/>
    </w:rPr>
  </w:style>
  <w:style w:type="character" w:styleId="1159" w:customStyle="1">
    <w:name w:val="font71"/>
    <w:basedOn w:val="763"/>
    <w:uiPriority w:val="0"/>
    <w:qFormat/>
    <w:rPr>
      <w:rFonts w:hint="default" w:ascii="Times New Roman" w:hAnsi="Times New Roman" w:cs="Times New Roman"/>
      <w:color w:val="000000"/>
      <w:sz w:val="18"/>
      <w:szCs w:val="18"/>
      <w:u w:val="none"/>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蒋媛媛</cp:lastModifiedBy>
  <cp:revision>41</cp:revision>
  <dcterms:created xsi:type="dcterms:W3CDTF">2024-04-07T08:08:00Z</dcterms:created>
  <dcterms:modified xsi:type="dcterms:W3CDTF">2024-06-04T08:21:27Z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883089A0620647B593AEF390342B4191_12</vt:lpwstr>
  </property>
</Properties>
</file>