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9"/>
        <w:spacing w:before="120" w:beforeAutospacing="0" w:after="120" w:afterAutospacing="0" w:line="360" w:lineRule="auto"/>
        <w:rPr>
          <w:color w:val="auto"/>
          <w:highlight w:val="none"/>
        </w:rPr>
      </w:pPr>
      <w:r>
        <w:rPr>
          <w:color w:val="auto"/>
          <w:highlight w:val="none"/>
        </w:rPr>
        <w:t> </w:t>
      </w:r>
    </w:p>
    <w:p>
      <w:pPr>
        <w:pStyle w:val="29"/>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pPr>
        <w:pStyle w:val="29"/>
        <w:spacing w:before="120" w:beforeAutospacing="0" w:after="120" w:afterAutospacing="0" w:line="360" w:lineRule="auto"/>
        <w:ind w:firstLine="643"/>
        <w:jc w:val="left"/>
        <w:rPr>
          <w:rFonts w:ascii="Arial" w:hAnsi="Arial" w:cs="Arial"/>
          <w:b/>
          <w:color w:val="auto"/>
          <w:sz w:val="32"/>
          <w:szCs w:val="32"/>
          <w:highlight w:val="none"/>
        </w:rPr>
      </w:pPr>
    </w:p>
    <w:p>
      <w:pPr>
        <w:pStyle w:val="29"/>
        <w:spacing w:before="120" w:beforeAutospacing="0" w:after="120" w:afterAutospacing="0" w:line="360" w:lineRule="auto"/>
        <w:jc w:val="center"/>
        <w:rPr>
          <w:rFonts w:hint="eastAsia" w:eastAsia="宋体"/>
          <w:color w:val="auto"/>
          <w:highlight w:val="none"/>
          <w:lang w:eastAsia="zh-CN"/>
        </w:rPr>
      </w:pPr>
      <w:r>
        <w:rPr>
          <w:rFonts w:ascii="Arial" w:hAnsi="Arial" w:cs="Arial"/>
          <w:b/>
          <w:color w:val="auto"/>
          <w:sz w:val="32"/>
          <w:szCs w:val="32"/>
          <w:highlight w:val="none"/>
        </w:rPr>
        <w:t>项目名称：</w:t>
      </w:r>
      <w:r>
        <w:rPr>
          <w:rFonts w:hint="eastAsia" w:ascii="Arial" w:hAnsi="Arial" w:eastAsia="宋体" w:cs="Arial"/>
          <w:b/>
          <w:color w:val="auto"/>
          <w:sz w:val="32"/>
          <w:szCs w:val="32"/>
          <w:highlight w:val="none"/>
          <w:lang w:eastAsia="zh-CN"/>
        </w:rPr>
        <w:t>东台市安丰镇数字农业示范基地设备采购安装项目（三次）</w:t>
      </w:r>
    </w:p>
    <w:p>
      <w:pPr>
        <w:pStyle w:val="29"/>
        <w:spacing w:beforeAutospacing="0" w:afterAutospacing="0"/>
        <w:jc w:val="center"/>
        <w:rPr>
          <w:rFonts w:hint="eastAsia" w:eastAsia="宋体"/>
          <w:color w:val="auto"/>
          <w:highlight w:val="none"/>
          <w:lang w:eastAsia="zh-CN"/>
        </w:rPr>
      </w:pPr>
      <w:r>
        <w:rPr>
          <w:rFonts w:ascii="Times New Roman" w:hAnsi="Times New Roman"/>
          <w:b/>
          <w:color w:val="auto"/>
          <w:sz w:val="32"/>
          <w:szCs w:val="32"/>
          <w:highlight w:val="none"/>
        </w:rPr>
        <w:t>项目编号：</w:t>
      </w:r>
      <w:r>
        <w:rPr>
          <w:rFonts w:hint="eastAsia" w:ascii="Times New Roman" w:hAnsi="Times New Roman" w:eastAsia="宋体"/>
          <w:b/>
          <w:color w:val="auto"/>
          <w:sz w:val="32"/>
          <w:szCs w:val="32"/>
          <w:highlight w:val="none"/>
          <w:lang w:eastAsia="zh-CN"/>
        </w:rPr>
        <w:t>JSZC-320981-HYGC-G2024-0010</w:t>
      </w:r>
    </w:p>
    <w:p>
      <w:pPr>
        <w:pStyle w:val="29"/>
        <w:spacing w:beforeAutospacing="0" w:afterAutospacing="0" w:line="360" w:lineRule="auto"/>
        <w:rPr>
          <w:color w:val="auto"/>
          <w:highlight w:val="none"/>
        </w:rPr>
      </w:pPr>
      <w:r>
        <w:rPr>
          <w:color w:val="auto"/>
          <w:highlight w:val="none"/>
        </w:rPr>
        <w:t> </w:t>
      </w:r>
    </w:p>
    <w:p>
      <w:pPr>
        <w:pStyle w:val="29"/>
        <w:spacing w:beforeAutospacing="0" w:afterAutospacing="0" w:line="360" w:lineRule="auto"/>
        <w:rPr>
          <w:color w:val="auto"/>
          <w:highlight w:val="none"/>
        </w:rPr>
      </w:pPr>
      <w:r>
        <w:rPr>
          <w:color w:val="auto"/>
          <w:highlight w:val="none"/>
        </w:rPr>
        <w:t> </w:t>
      </w:r>
    </w:p>
    <w:p>
      <w:pPr>
        <w:pStyle w:val="29"/>
        <w:spacing w:beforeAutospacing="0" w:afterAutospacing="0" w:line="360" w:lineRule="auto"/>
        <w:rPr>
          <w:color w:val="auto"/>
          <w:highlight w:val="none"/>
        </w:rPr>
      </w:pPr>
      <w:r>
        <w:rPr>
          <w:color w:val="auto"/>
          <w:highlight w:val="none"/>
        </w:rPr>
        <w:t> </w:t>
      </w:r>
    </w:p>
    <w:p>
      <w:pPr>
        <w:pStyle w:val="29"/>
        <w:spacing w:beforeAutospacing="0" w:afterAutospacing="0" w:line="360" w:lineRule="auto"/>
        <w:rPr>
          <w:color w:val="auto"/>
          <w:highlight w:val="none"/>
        </w:rPr>
      </w:pPr>
      <w:r>
        <w:rPr>
          <w:color w:val="auto"/>
          <w:highlight w:val="none"/>
        </w:rPr>
        <w:t> </w:t>
      </w:r>
    </w:p>
    <w:p>
      <w:pPr>
        <w:pStyle w:val="29"/>
        <w:spacing w:beforeAutospacing="0" w:afterAutospacing="0" w:line="360" w:lineRule="auto"/>
        <w:rPr>
          <w:color w:val="auto"/>
          <w:highlight w:val="none"/>
        </w:rPr>
      </w:pPr>
      <w:r>
        <w:rPr>
          <w:color w:val="auto"/>
          <w:highlight w:val="none"/>
        </w:rPr>
        <w:t> </w:t>
      </w:r>
    </w:p>
    <w:p>
      <w:pPr>
        <w:pStyle w:val="29"/>
        <w:spacing w:beforeAutospacing="0" w:afterAutospacing="0" w:line="360" w:lineRule="auto"/>
        <w:rPr>
          <w:color w:val="auto"/>
          <w:highlight w:val="none"/>
        </w:rPr>
      </w:pPr>
      <w:r>
        <w:rPr>
          <w:color w:val="auto"/>
          <w:highlight w:val="none"/>
        </w:rPr>
        <w:t> </w:t>
      </w:r>
    </w:p>
    <w:p>
      <w:pPr>
        <w:pStyle w:val="29"/>
        <w:spacing w:beforeAutospacing="0" w:afterAutospacing="0" w:line="360" w:lineRule="auto"/>
        <w:rPr>
          <w:rFonts w:hint="eastAsia" w:ascii="Arial" w:hAnsi="Arial" w:cs="Arial"/>
          <w:b/>
          <w:color w:val="auto"/>
          <w:sz w:val="32"/>
          <w:szCs w:val="32"/>
          <w:highlight w:val="none"/>
        </w:rPr>
      </w:pPr>
      <w:r>
        <w:rPr>
          <w:color w:val="auto"/>
          <w:highlight w:val="none"/>
        </w:rPr>
        <w:t> </w:t>
      </w:r>
    </w:p>
    <w:p>
      <w:pPr>
        <w:pStyle w:val="29"/>
        <w:spacing w:before="120" w:beforeAutospacing="0" w:after="120" w:afterAutospacing="0" w:line="360" w:lineRule="auto"/>
        <w:ind w:firstLine="964"/>
        <w:jc w:val="left"/>
        <w:rPr>
          <w:rFonts w:hint="eastAsia" w:ascii="Arial" w:hAnsi="Arial" w:cs="Arial"/>
          <w:b/>
          <w:color w:val="auto"/>
          <w:sz w:val="32"/>
          <w:szCs w:val="32"/>
          <w:highlight w:val="none"/>
        </w:rPr>
      </w:pPr>
    </w:p>
    <w:p>
      <w:pPr>
        <w:pStyle w:val="29"/>
        <w:spacing w:before="120" w:beforeAutospacing="0" w:after="120" w:afterAutospacing="0" w:line="360" w:lineRule="auto"/>
        <w:ind w:firstLine="964"/>
        <w:jc w:val="left"/>
        <w:rPr>
          <w:rFonts w:hint="eastAsia" w:ascii="Arial" w:hAnsi="Arial" w:cs="Arial"/>
          <w:b/>
          <w:color w:val="auto"/>
          <w:sz w:val="32"/>
          <w:szCs w:val="32"/>
          <w:highlight w:val="none"/>
        </w:rPr>
      </w:pPr>
    </w:p>
    <w:p>
      <w:pPr>
        <w:pStyle w:val="29"/>
        <w:spacing w:before="120" w:beforeAutospacing="0" w:after="120" w:afterAutospacing="0" w:line="360" w:lineRule="auto"/>
        <w:jc w:val="center"/>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：东台市安丰镇人民政府</w:t>
      </w:r>
    </w:p>
    <w:p>
      <w:pPr>
        <w:pStyle w:val="29"/>
        <w:spacing w:before="120" w:beforeAutospacing="0" w:after="120" w:afterAutospacing="0" w:line="360" w:lineRule="auto"/>
        <w:jc w:val="center"/>
        <w:rPr>
          <w:rFonts w:hint="default"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采购代理机构：江苏恒业工程管理咨询有限公司</w:t>
      </w:r>
    </w:p>
    <w:p>
      <w:pPr>
        <w:pStyle w:val="29"/>
        <w:spacing w:before="120" w:beforeAutospacing="0" w:after="120" w:afterAutospacing="0" w:line="360" w:lineRule="auto"/>
        <w:jc w:val="center"/>
        <w:rPr>
          <w:rFonts w:ascii="Arial" w:hAnsi="Arial" w:cs="Arial"/>
          <w:b/>
          <w:color w:val="auto"/>
          <w:sz w:val="32"/>
          <w:szCs w:val="32"/>
          <w:highlight w:val="none"/>
        </w:rPr>
      </w:pPr>
    </w:p>
    <w:p>
      <w:pPr>
        <w:pStyle w:val="29"/>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2024</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07</w:t>
      </w:r>
      <w:r>
        <w:rPr>
          <w:rFonts w:ascii="Arial" w:hAnsi="Arial" w:cs="Arial"/>
          <w:b/>
          <w:color w:val="auto"/>
          <w:sz w:val="32"/>
          <w:szCs w:val="32"/>
          <w:highlight w:val="none"/>
        </w:rPr>
        <w:t>月</w:t>
      </w:r>
      <w:r>
        <w:rPr>
          <w:rFonts w:hint="eastAsia" w:ascii="Arial" w:hAnsi="Arial" w:eastAsia="宋体" w:cs="Arial"/>
          <w:b/>
          <w:color w:val="auto"/>
          <w:sz w:val="32"/>
          <w:szCs w:val="32"/>
          <w:highlight w:val="none"/>
          <w:lang w:val="en-US" w:eastAsia="zh-CN"/>
        </w:rPr>
        <w:t>04</w:t>
      </w:r>
      <w:r>
        <w:rPr>
          <w:rFonts w:ascii="Arial" w:hAnsi="Arial" w:cs="Arial"/>
          <w:b/>
          <w:color w:val="auto"/>
          <w:sz w:val="32"/>
          <w:szCs w:val="32"/>
          <w:highlight w:val="none"/>
        </w:rPr>
        <w:t>日</w:t>
      </w:r>
    </w:p>
    <w:p>
      <w:pPr>
        <w:pStyle w:val="29"/>
        <w:spacing w:before="120" w:beforeAutospacing="0" w:after="120" w:afterAutospacing="0" w:line="360" w:lineRule="auto"/>
        <w:rPr>
          <w:color w:val="auto"/>
          <w:highlight w:val="none"/>
        </w:rPr>
      </w:pPr>
      <w:r>
        <w:rPr>
          <w:rFonts w:ascii="Arial" w:hAnsi="Arial" w:cs="Arial"/>
          <w:color w:val="auto"/>
          <w:highlight w:val="none"/>
        </w:rPr>
        <w:t xml:space="preserve">                        </w:t>
      </w:r>
    </w:p>
    <w:p>
      <w:pPr>
        <w:pStyle w:val="29"/>
        <w:spacing w:before="120" w:beforeAutospacing="0" w:after="120" w:afterAutospacing="0" w:line="360" w:lineRule="auto"/>
        <w:jc w:val="center"/>
        <w:rPr>
          <w:color w:val="auto"/>
          <w:highlight w:val="none"/>
        </w:rPr>
      </w:pPr>
      <w:r>
        <w:rPr>
          <w:color w:val="auto"/>
          <w:highlight w:val="none"/>
        </w:rPr>
        <w:t> </w:t>
      </w:r>
    </w:p>
    <w:p>
      <w:pPr>
        <w:pStyle w:val="29"/>
        <w:spacing w:beforeAutospacing="0" w:afterAutospacing="0" w:line="480" w:lineRule="auto"/>
        <w:jc w:val="center"/>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p>
    <w:p>
      <w:pPr>
        <w:pStyle w:val="29"/>
        <w:spacing w:beforeAutospacing="0" w:afterAutospacing="0" w:line="480" w:lineRule="auto"/>
        <w:jc w:val="both"/>
        <w:rPr>
          <w:color w:val="auto"/>
          <w:highlight w:val="none"/>
        </w:rPr>
      </w:pPr>
      <w:r>
        <w:rPr>
          <w:color w:val="auto"/>
          <w:highlight w:val="none"/>
        </w:rPr>
        <w:t> </w:t>
      </w:r>
    </w:p>
    <w:sdt>
      <w:sdtPr>
        <w:rPr>
          <w:rFonts w:ascii="宋体" w:hAnsi="宋体" w:eastAsia="宋体" w:cstheme="minorBidi"/>
          <w:color w:val="auto"/>
          <w:sz w:val="21"/>
          <w:szCs w:val="24"/>
          <w:highlight w:val="none"/>
          <w:lang w:val="en-US" w:eastAsia="zh-CN" w:bidi="ar-SA"/>
        </w:rPr>
        <w:id w:val="147474810"/>
        <w15:color w:val="DBDBDB"/>
        <w:docPartObj>
          <w:docPartGallery w:val="Table of Contents"/>
          <w:docPartUnique/>
        </w:docPartObj>
      </w:sdtPr>
      <w:sdtEndPr>
        <w:rPr>
          <w:rFonts w:ascii="宋体" w:hAnsi="宋体" w:eastAsia="宋体" w:cstheme="minorBidi"/>
          <w:color w:val="auto"/>
          <w:sz w:val="21"/>
          <w:szCs w:val="24"/>
          <w:highlight w:val="none"/>
          <w:lang w:val="en-US" w:eastAsia="zh-CN" w:bidi="ar-SA"/>
        </w:rPr>
      </w:sdtEndPr>
      <w:sdtContent>
        <w:p>
          <w:pPr>
            <w:pStyle w:val="20"/>
            <w:tabs>
              <w:tab w:val="right" w:leader="dot" w:pos="9752"/>
            </w:tabs>
            <w:rPr>
              <w:b w:val="0"/>
              <w:bCs w:val="0"/>
              <w:sz w:val="48"/>
              <w:szCs w:val="56"/>
            </w:rPr>
          </w:pPr>
          <w:r>
            <w:rPr>
              <w:rFonts w:hint="eastAsia" w:ascii="宋体" w:hAnsi="宋体" w:eastAsia="宋体" w:cstheme="minorBidi"/>
              <w:color w:val="auto"/>
              <w:sz w:val="21"/>
              <w:szCs w:val="24"/>
              <w:highlight w:val="none"/>
              <w:lang w:val="en-US" w:eastAsia="zh-CN" w:bidi="ar-SA"/>
            </w:rPr>
            <w:t xml:space="preserve">      </w:t>
          </w:r>
          <w:r>
            <w:rPr>
              <w:rFonts w:hint="eastAsia" w:ascii="宋体" w:hAnsi="宋体" w:eastAsia="宋体" w:cstheme="minorBidi"/>
              <w:b w:val="0"/>
              <w:bCs w:val="0"/>
              <w:color w:val="auto"/>
              <w:sz w:val="21"/>
              <w:szCs w:val="24"/>
              <w:highlight w:val="none"/>
              <w:lang w:val="en-US" w:eastAsia="zh-CN" w:bidi="ar-SA"/>
            </w:rPr>
            <w:t xml:space="preserve"> </w:t>
          </w:r>
          <w:r>
            <w:rPr>
              <w:rFonts w:hint="eastAsia" w:ascii="宋体" w:hAnsi="宋体" w:eastAsia="宋体" w:cstheme="minorBidi"/>
              <w:b w:val="0"/>
              <w:bCs w:val="0"/>
              <w:color w:val="auto"/>
              <w:sz w:val="48"/>
              <w:szCs w:val="56"/>
              <w:highlight w:val="none"/>
              <w:lang w:val="en-US" w:eastAsia="zh-CN" w:bidi="ar-SA"/>
            </w:rPr>
            <w:t xml:space="preserve">  </w:t>
          </w:r>
          <w:r>
            <w:rPr>
              <w:rFonts w:hint="eastAsia" w:ascii="黑体" w:hAnsi="黑体" w:eastAsia="黑体" w:cs="黑体"/>
              <w:b w:val="0"/>
              <w:bCs w:val="0"/>
              <w:color w:val="auto"/>
              <w:sz w:val="180"/>
              <w:szCs w:val="180"/>
              <w:highlight w:val="none"/>
            </w:rPr>
            <w:fldChar w:fldCharType="begin"/>
          </w:r>
          <w:r>
            <w:rPr>
              <w:rFonts w:hint="eastAsia" w:ascii="黑体" w:hAnsi="黑体" w:eastAsia="黑体" w:cs="黑体"/>
              <w:b w:val="0"/>
              <w:bCs w:val="0"/>
              <w:color w:val="auto"/>
              <w:sz w:val="180"/>
              <w:szCs w:val="180"/>
              <w:highlight w:val="none"/>
            </w:rPr>
            <w:instrText xml:space="preserve">TOC \o "1-1" \h \u </w:instrText>
          </w:r>
          <w:r>
            <w:rPr>
              <w:rFonts w:hint="eastAsia" w:ascii="黑体" w:hAnsi="黑体" w:eastAsia="黑体" w:cs="黑体"/>
              <w:b w:val="0"/>
              <w:bCs w:val="0"/>
              <w:color w:val="auto"/>
              <w:sz w:val="180"/>
              <w:szCs w:val="180"/>
              <w:highlight w:val="none"/>
            </w:rPr>
            <w:fldChar w:fldCharType="separate"/>
          </w:r>
          <w:r>
            <w:rPr>
              <w:b w:val="0"/>
              <w:bCs w:val="0"/>
            </w:rPr>
            <w:fldChar w:fldCharType="begin"/>
          </w:r>
          <w:r>
            <w:rPr>
              <w:b w:val="0"/>
              <w:bCs w:val="0"/>
            </w:rPr>
            <w:instrText xml:space="preserve"> HYPERLINK \l "_Toc1" \o "#_Toc1" </w:instrText>
          </w:r>
          <w:r>
            <w:rPr>
              <w:b w:val="0"/>
              <w:bCs w:val="0"/>
            </w:rPr>
            <w:fldChar w:fldCharType="separate"/>
          </w:r>
          <w:r>
            <w:rPr>
              <w:rStyle w:val="36"/>
              <w:rFonts w:hint="eastAsia" w:ascii="黑体" w:hAnsi="宋体" w:eastAsia="黑体" w:cs="黑体"/>
              <w:b w:val="0"/>
              <w:bCs w:val="0"/>
              <w:sz w:val="48"/>
              <w:szCs w:val="56"/>
              <w:highlight w:val="none"/>
            </w:rPr>
            <w:t>第一章  招标公告</w:t>
          </w:r>
          <w:r>
            <w:rPr>
              <w:b w:val="0"/>
              <w:bCs w:val="0"/>
              <w:sz w:val="22"/>
              <w:szCs w:val="28"/>
            </w:rPr>
            <w:fldChar w:fldCharType="end"/>
          </w:r>
        </w:p>
        <w:p>
          <w:pPr>
            <w:pStyle w:val="20"/>
            <w:tabs>
              <w:tab w:val="right" w:leader="dot" w:pos="9752"/>
            </w:tabs>
            <w:rPr>
              <w:b w:val="0"/>
              <w:bCs w:val="0"/>
              <w:sz w:val="48"/>
              <w:szCs w:val="56"/>
              <w:highlight w:val="none"/>
              <w:u w:val="none"/>
            </w:rPr>
          </w:pPr>
          <w:r>
            <w:rPr>
              <w:b w:val="0"/>
              <w:bCs w:val="0"/>
              <w:sz w:val="48"/>
              <w:szCs w:val="56"/>
            </w:rPr>
            <w:t xml:space="preserve">     </w:t>
          </w:r>
          <w:r>
            <w:rPr>
              <w:b w:val="0"/>
              <w:bCs w:val="0"/>
            </w:rPr>
            <w:fldChar w:fldCharType="begin"/>
          </w:r>
          <w:r>
            <w:rPr>
              <w:b w:val="0"/>
              <w:bCs w:val="0"/>
            </w:rPr>
            <w:instrText xml:space="preserve"> HYPERLINK \l "_Toc9" \o "#_Toc9" </w:instrText>
          </w:r>
          <w:r>
            <w:rPr>
              <w:b w:val="0"/>
              <w:bCs w:val="0"/>
            </w:rPr>
            <w:fldChar w:fldCharType="separate"/>
          </w:r>
          <w:r>
            <w:rPr>
              <w:rStyle w:val="36"/>
              <w:rFonts w:hint="eastAsia" w:ascii="黑体" w:hAnsi="宋体" w:eastAsia="黑体" w:cs="黑体"/>
              <w:b w:val="0"/>
              <w:bCs w:val="0"/>
              <w:sz w:val="48"/>
              <w:szCs w:val="56"/>
              <w:highlight w:val="none"/>
              <w:u w:val="none"/>
            </w:rPr>
            <w:t>第二章  投标人须知</w:t>
          </w:r>
          <w:r>
            <w:rPr>
              <w:b w:val="0"/>
              <w:bCs w:val="0"/>
              <w:sz w:val="22"/>
              <w:szCs w:val="28"/>
              <w:u w:val="single"/>
            </w:rPr>
            <w:fldChar w:fldCharType="end"/>
          </w:r>
        </w:p>
        <w:p>
          <w:pPr>
            <w:pStyle w:val="20"/>
            <w:tabs>
              <w:tab w:val="right" w:leader="dot" w:pos="9752"/>
            </w:tabs>
            <w:rPr>
              <w:b w:val="0"/>
              <w:bCs w:val="0"/>
              <w:sz w:val="48"/>
              <w:szCs w:val="56"/>
              <w:highlight w:val="none"/>
              <w:u w:val="none"/>
            </w:rPr>
          </w:pPr>
          <w:r>
            <w:rPr>
              <w:b w:val="0"/>
              <w:bCs w:val="0"/>
            </w:rPr>
            <w:fldChar w:fldCharType="begin"/>
          </w:r>
          <w:r>
            <w:rPr>
              <w:b w:val="0"/>
              <w:bCs w:val="0"/>
            </w:rPr>
            <w:instrText xml:space="preserve"> HYPERLINK \l "_Toc10" \o "#_Toc10" </w:instrText>
          </w:r>
          <w:r>
            <w:rPr>
              <w:b w:val="0"/>
              <w:bCs w:val="0"/>
            </w:rPr>
            <w:fldChar w:fldCharType="separate"/>
          </w:r>
          <w:r>
            <w:rPr>
              <w:rStyle w:val="36"/>
              <w:rFonts w:hint="eastAsia" w:ascii="黑体" w:hAnsi="宋体" w:eastAsia="黑体" w:cs="黑体"/>
              <w:b w:val="0"/>
              <w:bCs w:val="0"/>
              <w:sz w:val="48"/>
              <w:szCs w:val="56"/>
              <w:highlight w:val="none"/>
              <w:u w:val="none"/>
            </w:rPr>
            <w:t xml:space="preserve">     第三章  合同文本</w:t>
          </w:r>
          <w:r>
            <w:rPr>
              <w:b w:val="0"/>
              <w:bCs w:val="0"/>
              <w:sz w:val="22"/>
              <w:szCs w:val="28"/>
              <w:u w:val="single"/>
            </w:rPr>
            <w:fldChar w:fldCharType="end"/>
          </w:r>
        </w:p>
        <w:p>
          <w:pPr>
            <w:pStyle w:val="20"/>
            <w:tabs>
              <w:tab w:val="right" w:leader="dot" w:pos="9752"/>
            </w:tabs>
            <w:rPr>
              <w:b w:val="0"/>
              <w:bCs w:val="0"/>
              <w:sz w:val="48"/>
              <w:szCs w:val="56"/>
              <w:highlight w:val="none"/>
              <w:u w:val="none"/>
            </w:rPr>
          </w:pPr>
          <w:r>
            <w:rPr>
              <w:b w:val="0"/>
              <w:bCs w:val="0"/>
            </w:rPr>
            <w:fldChar w:fldCharType="begin"/>
          </w:r>
          <w:r>
            <w:rPr>
              <w:b w:val="0"/>
              <w:bCs w:val="0"/>
            </w:rPr>
            <w:instrText xml:space="preserve"> HYPERLINK \l "_Toc11" \o "#_Toc11" </w:instrText>
          </w:r>
          <w:r>
            <w:rPr>
              <w:b w:val="0"/>
              <w:bCs w:val="0"/>
            </w:rPr>
            <w:fldChar w:fldCharType="separate"/>
          </w:r>
          <w:r>
            <w:rPr>
              <w:rStyle w:val="36"/>
              <w:rFonts w:hint="eastAsia" w:ascii="黑体" w:hAnsi="宋体" w:eastAsia="黑体" w:cs="黑体"/>
              <w:b w:val="0"/>
              <w:bCs w:val="0"/>
              <w:sz w:val="48"/>
              <w:szCs w:val="56"/>
              <w:highlight w:val="none"/>
              <w:u w:val="none"/>
            </w:rPr>
            <w:t xml:space="preserve">     第四章  </w:t>
          </w:r>
          <w:r>
            <w:rPr>
              <w:rStyle w:val="36"/>
              <w:rFonts w:hint="eastAsia" w:ascii="黑体" w:hAnsi="宋体" w:eastAsia="黑体" w:cs="黑体"/>
              <w:b w:val="0"/>
              <w:bCs w:val="0"/>
              <w:sz w:val="48"/>
              <w:szCs w:val="56"/>
              <w:highlight w:val="none"/>
              <w:u w:val="none"/>
              <w:lang w:val="en-US" w:eastAsia="zh-CN"/>
            </w:rPr>
            <w:t xml:space="preserve"> </w:t>
          </w:r>
          <w:r>
            <w:rPr>
              <w:rStyle w:val="36"/>
              <w:rFonts w:hint="eastAsia" w:ascii="黑体" w:hAnsi="宋体" w:eastAsia="黑体" w:cs="黑体"/>
              <w:b w:val="0"/>
              <w:bCs w:val="0"/>
              <w:sz w:val="48"/>
              <w:szCs w:val="56"/>
              <w:highlight w:val="none"/>
              <w:u w:val="none"/>
            </w:rPr>
            <w:t>采购需求</w:t>
          </w:r>
          <w:r>
            <w:rPr>
              <w:b w:val="0"/>
              <w:bCs w:val="0"/>
              <w:sz w:val="22"/>
              <w:szCs w:val="28"/>
              <w:u w:val="single"/>
            </w:rPr>
            <w:fldChar w:fldCharType="end"/>
          </w:r>
        </w:p>
        <w:p>
          <w:pPr>
            <w:pStyle w:val="20"/>
            <w:tabs>
              <w:tab w:val="right" w:leader="dot" w:pos="9752"/>
            </w:tabs>
            <w:rPr>
              <w:b w:val="0"/>
              <w:bCs w:val="0"/>
              <w:sz w:val="48"/>
              <w:szCs w:val="56"/>
              <w:highlight w:val="none"/>
              <w:u w:val="none"/>
            </w:rPr>
          </w:pPr>
          <w:r>
            <w:rPr>
              <w:b w:val="0"/>
              <w:bCs w:val="0"/>
            </w:rPr>
            <w:fldChar w:fldCharType="begin"/>
          </w:r>
          <w:r>
            <w:rPr>
              <w:b w:val="0"/>
              <w:bCs w:val="0"/>
            </w:rPr>
            <w:instrText xml:space="preserve"> HYPERLINK \l "_Toc12" \o "#_Toc12" </w:instrText>
          </w:r>
          <w:r>
            <w:rPr>
              <w:b w:val="0"/>
              <w:bCs w:val="0"/>
            </w:rPr>
            <w:fldChar w:fldCharType="separate"/>
          </w:r>
          <w:r>
            <w:rPr>
              <w:rStyle w:val="36"/>
              <w:rFonts w:hint="eastAsia" w:ascii="黑体" w:hAnsi="宋体" w:eastAsia="黑体" w:cs="黑体"/>
              <w:b w:val="0"/>
              <w:bCs w:val="0"/>
              <w:sz w:val="48"/>
              <w:szCs w:val="56"/>
              <w:highlight w:val="none"/>
              <w:u w:val="none"/>
            </w:rPr>
            <w:t xml:space="preserve">     第五章  评标方法与评标标准</w:t>
          </w:r>
          <w:r>
            <w:rPr>
              <w:b w:val="0"/>
              <w:bCs w:val="0"/>
              <w:sz w:val="22"/>
              <w:szCs w:val="28"/>
              <w:u w:val="single"/>
            </w:rPr>
            <w:fldChar w:fldCharType="end"/>
          </w:r>
        </w:p>
        <w:p>
          <w:pPr>
            <w:pStyle w:val="20"/>
            <w:tabs>
              <w:tab w:val="right" w:leader="dot" w:pos="9752"/>
            </w:tabs>
            <w:rPr>
              <w:rFonts w:hint="eastAsia" w:ascii="黑体" w:hAnsi="宋体" w:eastAsia="黑体" w:cs="黑体"/>
              <w:b w:val="0"/>
              <w:bCs w:val="0"/>
              <w:sz w:val="48"/>
              <w:szCs w:val="56"/>
              <w:highlight w:val="none"/>
              <w:u w:val="none"/>
            </w:rPr>
          </w:pPr>
          <w:r>
            <w:rPr>
              <w:b w:val="0"/>
              <w:bCs w:val="0"/>
            </w:rPr>
            <w:fldChar w:fldCharType="begin"/>
          </w:r>
          <w:r>
            <w:rPr>
              <w:b w:val="0"/>
              <w:bCs w:val="0"/>
            </w:rPr>
            <w:instrText xml:space="preserve"> HYPERLINK \l "_Toc13" \o "#_Toc13" </w:instrText>
          </w:r>
          <w:r>
            <w:rPr>
              <w:b w:val="0"/>
              <w:bCs w:val="0"/>
            </w:rPr>
            <w:fldChar w:fldCharType="separate"/>
          </w:r>
          <w:r>
            <w:rPr>
              <w:rStyle w:val="36"/>
              <w:rFonts w:hint="eastAsia" w:ascii="黑体" w:hAnsi="宋体" w:eastAsia="黑体" w:cs="黑体"/>
              <w:b w:val="0"/>
              <w:bCs w:val="0"/>
              <w:sz w:val="48"/>
              <w:szCs w:val="56"/>
              <w:highlight w:val="none"/>
              <w:u w:val="none"/>
            </w:rPr>
            <w:t xml:space="preserve">     第六章  投标文件格式</w:t>
          </w:r>
          <w:r>
            <w:rPr>
              <w:b w:val="0"/>
              <w:bCs w:val="0"/>
              <w:sz w:val="22"/>
              <w:szCs w:val="28"/>
              <w:u w:val="single"/>
            </w:rPr>
            <w:fldChar w:fldCharType="end"/>
          </w:r>
        </w:p>
        <w:p>
          <w:pPr>
            <w:pStyle w:val="29"/>
            <w:spacing w:beforeAutospacing="0" w:afterAutospacing="0"/>
            <w:jc w:val="both"/>
            <w:rPr>
              <w:color w:val="auto"/>
              <w:highlight w:val="none"/>
            </w:rPr>
          </w:pPr>
          <w:r>
            <w:rPr>
              <w:rFonts w:hint="eastAsia" w:ascii="黑体" w:hAnsi="黑体" w:eastAsia="黑体" w:cs="黑体"/>
              <w:b w:val="0"/>
              <w:bCs w:val="0"/>
              <w:color w:val="auto"/>
              <w:sz w:val="180"/>
              <w:szCs w:val="180"/>
              <w:highlight w:val="none"/>
            </w:rPr>
            <w:fldChar w:fldCharType="end"/>
          </w:r>
        </w:p>
      </w:sdtContent>
    </w:sdt>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pPr>
        <w:pStyle w:val="29"/>
        <w:keepNext/>
        <w:spacing w:beforeAutospacing="0" w:afterAutospacing="0"/>
        <w:jc w:val="center"/>
        <w:outlineLvl w:val="0"/>
        <w:rPr>
          <w:color w:val="auto"/>
          <w:highlight w:val="none"/>
        </w:rPr>
      </w:pPr>
      <w:bookmarkStart w:id="0" w:name="_Toc1"/>
      <w:r>
        <w:rPr>
          <w:rFonts w:hint="eastAsia" w:ascii="黑体" w:hAnsi="宋体" w:eastAsia="黑体" w:cs="黑体"/>
          <w:color w:val="auto"/>
          <w:sz w:val="44"/>
          <w:szCs w:val="44"/>
          <w:highlight w:val="none"/>
        </w:rPr>
        <w:t>第一章  招标公告</w:t>
      </w:r>
      <w:bookmarkEnd w:id="0"/>
    </w:p>
    <w:p>
      <w:pPr>
        <w:pStyle w:val="29"/>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项目概况</w:t>
      </w:r>
    </w:p>
    <w:p>
      <w:pPr>
        <w:pBdr>
          <w:top w:val="single" w:color="000000" w:sz="4" w:space="0"/>
          <w:left w:val="single" w:color="000000" w:sz="4" w:space="0"/>
          <w:bottom w:val="single" w:color="000000" w:sz="4" w:space="0"/>
          <w:right w:val="single" w:color="000000" w:sz="4" w:space="0"/>
        </w:pBdr>
        <w:spacing w:before="240" w:after="240" w:line="85" w:lineRule="atLeast"/>
        <w:ind w:left="0" w:right="0" w:firstLine="480"/>
        <w:jc w:val="both"/>
        <w:rPr>
          <w:sz w:val="24"/>
        </w:rPr>
      </w:pPr>
      <w:r>
        <w:rPr>
          <w:rFonts w:hint="eastAsia" w:ascii="宋体" w:hAnsi="宋体" w:eastAsia="宋体" w:cs="宋体"/>
          <w:color w:val="000000"/>
          <w:sz w:val="24"/>
          <w:u w:val="single"/>
          <w:lang w:eastAsia="zh-CN"/>
        </w:rPr>
        <w:t>东台市安丰镇数字农业示范基地设备采购安装项目</w:t>
      </w:r>
      <w:r>
        <w:rPr>
          <w:rFonts w:ascii="宋体" w:hAnsi="宋体" w:eastAsia="宋体" w:cs="宋体"/>
          <w:color w:val="000000"/>
          <w:sz w:val="24"/>
          <w:u w:val="single"/>
        </w:rPr>
        <w:t> </w:t>
      </w:r>
      <w:r>
        <w:rPr>
          <w:rFonts w:hint="eastAsia" w:ascii="宋体" w:hAnsi="宋体" w:eastAsia="宋体" w:cs="宋体"/>
          <w:color w:val="000000"/>
          <w:sz w:val="24"/>
          <w:u w:val="single"/>
          <w:lang w:eastAsia="zh-CN"/>
        </w:rPr>
        <w:t>JSZC-320981-HYGC-G2024-0010</w:t>
      </w:r>
      <w:r>
        <w:rPr>
          <w:rFonts w:ascii="宋体" w:hAnsi="宋体" w:eastAsia="宋体" w:cs="宋体"/>
          <w:color w:val="000000"/>
          <w:sz w:val="24"/>
          <w:u w:val="single"/>
        </w:rPr>
        <w:t> </w:t>
      </w:r>
      <w:r>
        <w:rPr>
          <w:rFonts w:ascii="宋体" w:hAnsi="宋体" w:eastAsia="宋体" w:cs="宋体"/>
          <w:color w:val="000000"/>
          <w:sz w:val="24"/>
        </w:rPr>
        <w:t>招标项目的潜在投标人可在</w:t>
      </w:r>
      <w:r>
        <w:rPr>
          <w:rFonts w:ascii="宋体" w:hAnsi="宋体" w:eastAsia="宋体" w:cs="宋体"/>
          <w:color w:val="000000"/>
          <w:sz w:val="24"/>
          <w:u w:val="single"/>
        </w:rPr>
        <w:t>江苏政府采购网、盐城市政府采购网获取招标文件</w:t>
      </w:r>
      <w:r>
        <w:rPr>
          <w:rFonts w:ascii="宋体" w:hAnsi="宋体" w:eastAsia="宋体" w:cs="宋体"/>
          <w:color w:val="000000"/>
          <w:sz w:val="24"/>
        </w:rPr>
        <w:t>，并于</w:t>
      </w:r>
      <w:r>
        <w:rPr>
          <w:rFonts w:ascii="宋体" w:hAnsi="宋体" w:eastAsia="宋体" w:cs="宋体"/>
          <w:color w:val="000000"/>
          <w:sz w:val="24"/>
          <w:u w:val="single"/>
        </w:rPr>
        <w:t>2024</w:t>
      </w:r>
      <w:r>
        <w:rPr>
          <w:rFonts w:hint="eastAsia" w:ascii="宋体" w:hAnsi="宋体" w:eastAsia="宋体" w:cs="宋体"/>
          <w:color w:val="000000"/>
          <w:sz w:val="24"/>
          <w:lang w:eastAsia="zh-CN"/>
        </w:rPr>
        <w:t>年</w:t>
      </w:r>
      <w:r>
        <w:rPr>
          <w:rFonts w:hint="eastAsia" w:ascii="宋体" w:hAnsi="宋体" w:eastAsia="宋体" w:cs="宋体"/>
          <w:color w:val="000000"/>
          <w:sz w:val="24"/>
          <w:u w:val="single"/>
          <w:lang w:val="en-US" w:eastAsia="zh-CN"/>
        </w:rPr>
        <w:t>7</w:t>
      </w:r>
      <w:r>
        <w:rPr>
          <w:rFonts w:hint="eastAsia" w:ascii="宋体" w:hAnsi="宋体" w:eastAsia="宋体" w:cs="宋体"/>
          <w:color w:val="000000"/>
          <w:sz w:val="24"/>
          <w:u w:val="none"/>
          <w:lang w:val="en-US" w:eastAsia="zh-CN"/>
        </w:rPr>
        <w:t>月</w:t>
      </w:r>
      <w:r>
        <w:rPr>
          <w:rFonts w:hint="eastAsia" w:ascii="宋体" w:hAnsi="宋体" w:eastAsia="宋体" w:cs="宋体"/>
          <w:color w:val="000000"/>
          <w:sz w:val="24"/>
          <w:u w:val="single"/>
          <w:lang w:val="en-US" w:eastAsia="zh-CN"/>
        </w:rPr>
        <w:t>29</w:t>
      </w:r>
      <w:r>
        <w:rPr>
          <w:rFonts w:hint="eastAsia" w:ascii="宋体" w:hAnsi="宋体" w:eastAsia="宋体" w:cs="宋体"/>
          <w:color w:val="000000"/>
          <w:sz w:val="24"/>
          <w:u w:val="none"/>
          <w:lang w:val="en-US" w:eastAsia="zh-CN"/>
        </w:rPr>
        <w:t>日</w:t>
      </w:r>
      <w:r>
        <w:rPr>
          <w:rFonts w:ascii="宋体" w:hAnsi="宋体" w:eastAsia="宋体" w:cs="宋体"/>
          <w:color w:val="000000"/>
          <w:sz w:val="24"/>
          <w:u w:val="none"/>
        </w:rPr>
        <w:t xml:space="preserve"> </w:t>
      </w:r>
      <w:r>
        <w:rPr>
          <w:rFonts w:hint="eastAsia" w:ascii="宋体" w:hAnsi="宋体" w:eastAsia="宋体" w:cs="宋体"/>
          <w:color w:val="000000"/>
          <w:sz w:val="24"/>
          <w:u w:val="single"/>
          <w:lang w:val="en-US" w:eastAsia="zh-CN"/>
        </w:rPr>
        <w:t>09</w:t>
      </w:r>
      <w:r>
        <w:rPr>
          <w:rFonts w:hint="eastAsia" w:ascii="宋体" w:hAnsi="宋体" w:eastAsia="宋体" w:cs="宋体"/>
          <w:color w:val="000000"/>
          <w:sz w:val="24"/>
          <w:lang w:eastAsia="zh-CN"/>
        </w:rPr>
        <w:t>时</w:t>
      </w:r>
      <w:r>
        <w:rPr>
          <w:rFonts w:ascii="宋体" w:hAnsi="宋体" w:eastAsia="宋体" w:cs="宋体"/>
          <w:color w:val="000000"/>
          <w:sz w:val="24"/>
          <w:u w:val="single"/>
        </w:rPr>
        <w:t>00</w:t>
      </w:r>
      <w:r>
        <w:rPr>
          <w:rFonts w:hint="eastAsia" w:ascii="宋体" w:hAnsi="宋体" w:eastAsia="宋体" w:cs="宋体"/>
          <w:color w:val="000000"/>
          <w:sz w:val="24"/>
          <w:u w:val="none"/>
          <w:lang w:eastAsia="zh-CN"/>
        </w:rPr>
        <w:t>分</w:t>
      </w:r>
      <w:r>
        <w:rPr>
          <w:rFonts w:ascii="宋体" w:hAnsi="宋体" w:eastAsia="宋体" w:cs="宋体"/>
          <w:color w:val="000000"/>
          <w:sz w:val="24"/>
        </w:rPr>
        <w:t>（北京时间）前递交投标文件。</w:t>
      </w:r>
    </w:p>
    <w:p>
      <w:pPr>
        <w:pStyle w:val="190"/>
        <w:pageBreakBefore w:val="0"/>
        <w:widowControl/>
        <w:spacing w:line="360" w:lineRule="auto"/>
        <w:ind w:firstLine="482"/>
        <w:jc w:val="both"/>
        <w:rPr>
          <w:rStyle w:val="189"/>
          <w:rFonts w:ascii="宋体" w:hAnsi="宋体" w:eastAsia="宋体" w:cs="Times New Roman"/>
          <w:b/>
          <w:bCs/>
          <w:color w:val="auto"/>
          <w:sz w:val="24"/>
          <w:szCs w:val="24"/>
          <w:highlight w:val="none"/>
        </w:rPr>
      </w:pPr>
      <w:bookmarkStart w:id="1" w:name="_Toc2"/>
      <w:bookmarkStart w:id="2" w:name="_Hlk24379207"/>
      <w:r>
        <w:rPr>
          <w:rStyle w:val="189"/>
          <w:rFonts w:ascii="宋体" w:hAnsi="宋体" w:eastAsia="宋体" w:cs="Times New Roman"/>
          <w:b/>
          <w:bCs/>
          <w:color w:val="auto"/>
          <w:sz w:val="24"/>
          <w:szCs w:val="24"/>
          <w:highlight w:val="none"/>
        </w:rPr>
        <w:t>一、项目基本情况</w:t>
      </w:r>
      <w:bookmarkEnd w:id="1"/>
      <w:bookmarkEnd w:id="2"/>
    </w:p>
    <w:p>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eastAsia="宋体"/>
          <w:lang w:eastAsia="zh-CN"/>
        </w:rPr>
      </w:pPr>
      <w:r>
        <w:rPr>
          <w:rFonts w:ascii="宋体" w:hAnsi="宋体" w:eastAsia="宋体" w:cs="宋体"/>
          <w:color w:val="000000"/>
          <w:sz w:val="24"/>
        </w:rPr>
        <w:t>项目编号：</w:t>
      </w:r>
      <w:r>
        <w:rPr>
          <w:rFonts w:hint="eastAsia" w:ascii="宋体" w:hAnsi="宋体" w:eastAsia="宋体" w:cs="宋体"/>
          <w:color w:val="000000"/>
          <w:sz w:val="24"/>
          <w:lang w:eastAsia="zh-CN"/>
        </w:rPr>
        <w:t>JSZC-320981-HYGC-G2024-0010</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项目名称：</w:t>
      </w:r>
      <w:r>
        <w:rPr>
          <w:rFonts w:hint="eastAsia" w:ascii="宋体" w:hAnsi="宋体" w:eastAsia="宋体" w:cs="宋体"/>
          <w:color w:val="000000"/>
          <w:sz w:val="24"/>
          <w:lang w:eastAsia="zh-CN"/>
        </w:rPr>
        <w:t>东台市安丰镇数字农业示范基地设备采购安装项目</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预算金额：</w:t>
      </w:r>
      <w:r>
        <w:rPr>
          <w:rFonts w:hint="eastAsia" w:ascii="宋体" w:hAnsi="宋体" w:eastAsia="宋体" w:cs="宋体"/>
          <w:color w:val="000000"/>
          <w:sz w:val="24"/>
          <w:lang w:eastAsia="zh-CN"/>
        </w:rPr>
        <w:t>人民币</w:t>
      </w:r>
      <w:r>
        <w:rPr>
          <w:rFonts w:hint="eastAsia" w:ascii="宋体" w:hAnsi="宋体" w:eastAsia="宋体" w:cs="宋体"/>
          <w:color w:val="000000"/>
          <w:sz w:val="24"/>
          <w:lang w:val="en-US" w:eastAsia="zh-CN"/>
        </w:rPr>
        <w:t>130.4</w:t>
      </w:r>
      <w:r>
        <w:rPr>
          <w:rFonts w:ascii="宋体" w:hAnsi="宋体" w:eastAsia="宋体" w:cs="宋体"/>
          <w:color w:val="000000"/>
          <w:sz w:val="24"/>
        </w:rPr>
        <w:t>万元</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最高限价：</w:t>
      </w:r>
      <w:r>
        <w:rPr>
          <w:rFonts w:hint="eastAsia" w:ascii="宋体" w:hAnsi="宋体" w:eastAsia="宋体" w:cs="宋体"/>
          <w:color w:val="000000"/>
          <w:sz w:val="24"/>
          <w:lang w:eastAsia="zh-CN"/>
        </w:rPr>
        <w:t>人民币</w:t>
      </w:r>
      <w:r>
        <w:rPr>
          <w:rFonts w:hint="eastAsia" w:ascii="宋体" w:hAnsi="宋体" w:eastAsia="宋体" w:cs="宋体"/>
          <w:color w:val="000000"/>
          <w:sz w:val="24"/>
          <w:lang w:val="en-US" w:eastAsia="zh-CN"/>
        </w:rPr>
        <w:t>130.4</w:t>
      </w:r>
      <w:r>
        <w:rPr>
          <w:rFonts w:ascii="宋体" w:hAnsi="宋体" w:eastAsia="宋体" w:cs="宋体"/>
          <w:color w:val="000000"/>
          <w:sz w:val="24"/>
        </w:rPr>
        <w:t>万元</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采购需求：</w:t>
      </w:r>
      <w:r>
        <w:rPr>
          <w:rFonts w:hint="eastAsia" w:ascii="宋体" w:hAnsi="宋体" w:eastAsia="宋体" w:cs="宋体"/>
          <w:color w:val="000000"/>
          <w:sz w:val="24"/>
          <w:lang w:eastAsia="zh-CN"/>
        </w:rPr>
        <w:t>东台市安丰镇数字农业示范基地设备采购安装项目，</w:t>
      </w:r>
      <w:r>
        <w:rPr>
          <w:rFonts w:ascii="宋体" w:hAnsi="宋体" w:eastAsia="宋体" w:cs="宋体"/>
          <w:color w:val="000000"/>
          <w:sz w:val="24"/>
        </w:rPr>
        <w:t>详细内容见本招标文件第四章</w:t>
      </w:r>
      <w:r>
        <w:rPr>
          <w:rFonts w:hint="eastAsia" w:ascii="宋体" w:hAnsi="宋体" w:eastAsia="宋体" w:cs="宋体"/>
          <w:color w:val="000000"/>
          <w:sz w:val="24"/>
          <w:lang w:eastAsia="zh-CN"/>
        </w:rPr>
        <w:t>采购需求。</w:t>
      </w: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eastAsia="宋体"/>
          <w:lang w:eastAsia="zh-CN"/>
        </w:rPr>
      </w:pPr>
      <w:r>
        <w:rPr>
          <w:rFonts w:ascii="宋体" w:hAnsi="宋体" w:eastAsia="宋体" w:cs="宋体"/>
          <w:color w:val="000000"/>
          <w:sz w:val="24"/>
        </w:rPr>
        <w:t>合同履行期限：</w:t>
      </w:r>
      <w:r>
        <w:rPr>
          <w:rFonts w:hint="eastAsia" w:ascii="宋体" w:hAnsi="宋体" w:eastAsia="宋体" w:cs="宋体"/>
          <w:color w:val="000000"/>
          <w:sz w:val="24"/>
        </w:rPr>
        <w:t>合同签订后30日历天内完成全部设备的供货到场，安装、调试、验收合格后交付采购人使用</w:t>
      </w:r>
      <w:r>
        <w:rPr>
          <w:rFonts w:hint="eastAsia"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eastAsia="宋体"/>
          <w:lang w:eastAsia="zh-CN"/>
        </w:rPr>
      </w:pPr>
      <w:r>
        <w:rPr>
          <w:rFonts w:ascii="宋体" w:hAnsi="宋体" w:eastAsia="宋体" w:cs="宋体"/>
          <w:color w:val="000000"/>
          <w:sz w:val="24"/>
        </w:rPr>
        <w:t>本项目（是/否）接受联合体投标：不接受联合体</w:t>
      </w:r>
      <w:r>
        <w:rPr>
          <w:rFonts w:hint="eastAsia" w:ascii="宋体" w:hAnsi="宋体" w:eastAsia="宋体" w:cs="宋体"/>
          <w:color w:val="000000"/>
          <w:sz w:val="24"/>
          <w:lang w:eastAsia="zh-CN"/>
        </w:rPr>
        <w:t>。</w:t>
      </w:r>
    </w:p>
    <w:p>
      <w:pPr>
        <w:pStyle w:val="190"/>
        <w:pageBreakBefore w:val="0"/>
        <w:widowControl/>
        <w:spacing w:line="360" w:lineRule="auto"/>
        <w:ind w:firstLine="482"/>
        <w:jc w:val="both"/>
        <w:rPr>
          <w:rStyle w:val="189"/>
          <w:rFonts w:ascii="宋体" w:hAnsi="宋体" w:eastAsia="宋体" w:cs="Times New Roman"/>
          <w:b/>
          <w:bCs/>
          <w:color w:val="auto"/>
          <w:sz w:val="24"/>
          <w:szCs w:val="24"/>
          <w:highlight w:val="none"/>
        </w:rPr>
      </w:pPr>
      <w:bookmarkStart w:id="3" w:name="_Toc3"/>
      <w:r>
        <w:rPr>
          <w:rStyle w:val="189"/>
          <w:rFonts w:ascii="宋体" w:hAnsi="宋体" w:eastAsia="宋体" w:cs="Times New Roman"/>
          <w:b/>
          <w:bCs/>
          <w:color w:val="auto"/>
          <w:sz w:val="24"/>
          <w:szCs w:val="24"/>
          <w:highlight w:val="none"/>
        </w:rPr>
        <w:t>二、申请人的资格要求：</w:t>
      </w:r>
      <w:bookmarkEnd w:id="3"/>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sz w:val="22"/>
        </w:rPr>
      </w:pPr>
      <w:r>
        <w:rPr>
          <w:rFonts w:ascii="宋体" w:hAnsi="宋体" w:eastAsia="宋体" w:cs="宋体"/>
          <w:color w:val="000000"/>
          <w:sz w:val="24"/>
        </w:rPr>
        <w:t>（一）满足《中华人民共和国政府采购法》第二十二条规定：</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sz w:val="22"/>
        </w:rPr>
      </w:pPr>
      <w:r>
        <w:rPr>
          <w:rFonts w:ascii="宋体" w:hAnsi="宋体" w:eastAsia="宋体" w:cs="宋体"/>
          <w:color w:val="000000"/>
          <w:sz w:val="24"/>
        </w:rPr>
        <w:t>1.法人或者其他组织的营业执照等证明文件，自然人的身份证明；</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sz w:val="22"/>
        </w:rPr>
      </w:pPr>
      <w:r>
        <w:rPr>
          <w:rFonts w:ascii="宋体" w:hAnsi="宋体" w:eastAsia="宋体" w:cs="宋体"/>
          <w:color w:val="000000"/>
          <w:sz w:val="24"/>
        </w:rPr>
        <w:t>2.上一年度的财务状况报表（成立不满一年无需提供）；</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sz w:val="22"/>
        </w:rPr>
      </w:pPr>
      <w:r>
        <w:rPr>
          <w:rFonts w:ascii="宋体" w:hAnsi="宋体" w:eastAsia="宋体" w:cs="宋体"/>
          <w:color w:val="000000"/>
          <w:sz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sz w:val="22"/>
        </w:rPr>
      </w:pPr>
      <w:r>
        <w:rPr>
          <w:rFonts w:ascii="宋体" w:hAnsi="宋体" w:eastAsia="宋体" w:cs="宋体"/>
          <w:color w:val="000000"/>
          <w:sz w:val="24"/>
        </w:rPr>
        <w:t>4.具备履行合同所必需的设备和专业技术能力的书面声明；</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eastAsia="宋体"/>
          <w:sz w:val="22"/>
          <w:lang w:eastAsia="zh-CN"/>
        </w:rPr>
      </w:pPr>
      <w:r>
        <w:rPr>
          <w:rFonts w:ascii="宋体" w:hAnsi="宋体" w:eastAsia="宋体" w:cs="宋体"/>
          <w:color w:val="000000"/>
          <w:sz w:val="24"/>
        </w:rPr>
        <w:t>5.参加政府采购活动前3年内在经营活动中没有重大违法记录的书面声明</w:t>
      </w:r>
      <w:r>
        <w:rPr>
          <w:rFonts w:hint="eastAsia"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sz w:val="22"/>
        </w:rPr>
      </w:pPr>
      <w:r>
        <w:rPr>
          <w:rFonts w:ascii="宋体" w:hAnsi="宋体" w:eastAsia="宋体" w:cs="宋体"/>
          <w:color w:val="000000"/>
          <w:sz w:val="24"/>
        </w:rPr>
        <w:t>6.投标人法定代表人身份证明和投标文件签署授权委托书（另附法定代表人和被授权人的身份证复印件或扫描件）</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eastAsia="宋体"/>
          <w:sz w:val="22"/>
          <w:lang w:eastAsia="zh-CN"/>
        </w:rPr>
      </w:pPr>
      <w:r>
        <w:rPr>
          <w:rFonts w:ascii="宋体" w:hAnsi="宋体" w:eastAsia="宋体" w:cs="宋体"/>
          <w:color w:val="000000"/>
          <w:sz w:val="24"/>
        </w:rPr>
        <w:t>7.投标人为被授权人缴纳的社会养老保险证明</w:t>
      </w:r>
      <w:r>
        <w:rPr>
          <w:rFonts w:hint="eastAsia" w:ascii="宋体" w:hAnsi="宋体" w:eastAsia="宋体" w:cs="宋体"/>
          <w:color w:val="000000"/>
          <w:sz w:val="24"/>
          <w:lang w:eastAsia="zh-CN"/>
        </w:rPr>
        <w:t>；</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9.单位负责人为同一人或者存在直接控股、管理关系的不同供应商，不得参加同一合同项下的政府采购活动。</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sz w:val="22"/>
        </w:rPr>
      </w:pPr>
      <w:r>
        <w:rPr>
          <w:rFonts w:ascii="宋体" w:hAnsi="宋体" w:eastAsia="宋体" w:cs="宋体"/>
          <w:color w:val="000000"/>
          <w:sz w:val="24"/>
        </w:rPr>
        <w:t>（二）落实政府采购政策需满足的资格要求：无。</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eastAsia="宋体"/>
          <w:sz w:val="22"/>
          <w:lang w:eastAsia="zh-CN"/>
        </w:rPr>
      </w:pPr>
      <w:r>
        <w:rPr>
          <w:rFonts w:ascii="宋体" w:hAnsi="宋体" w:eastAsia="宋体" w:cs="宋体"/>
          <w:color w:val="000000"/>
          <w:sz w:val="24"/>
        </w:rPr>
        <w:t>（三）本项目的特定资格要求：无。</w:t>
      </w:r>
    </w:p>
    <w:p>
      <w:pPr>
        <w:pStyle w:val="190"/>
        <w:pageBreakBefore w:val="0"/>
        <w:widowControl/>
        <w:spacing w:line="360" w:lineRule="auto"/>
        <w:ind w:firstLine="482"/>
        <w:jc w:val="both"/>
        <w:rPr>
          <w:rStyle w:val="189"/>
          <w:rFonts w:ascii="宋体" w:hAnsi="宋体" w:eastAsia="宋体" w:cs="Times New Roman"/>
          <w:b/>
          <w:bCs/>
          <w:color w:val="auto"/>
          <w:sz w:val="24"/>
          <w:szCs w:val="24"/>
          <w:highlight w:val="none"/>
        </w:rPr>
      </w:pPr>
      <w:bookmarkStart w:id="4" w:name="_Toc4"/>
      <w:r>
        <w:rPr>
          <w:rStyle w:val="189"/>
          <w:rFonts w:ascii="宋体" w:hAnsi="宋体" w:eastAsia="宋体" w:cs="Times New Roman"/>
          <w:b/>
          <w:bCs/>
          <w:color w:val="auto"/>
          <w:sz w:val="24"/>
          <w:szCs w:val="24"/>
          <w:highlight w:val="none"/>
        </w:rPr>
        <w:t>三、获取招标文件</w:t>
      </w:r>
      <w:bookmarkEnd w:id="4"/>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时间：2024年</w:t>
      </w:r>
      <w:r>
        <w:rPr>
          <w:rFonts w:hint="eastAsia" w:ascii="宋体" w:hAnsi="宋体" w:eastAsia="宋体" w:cs="宋体"/>
          <w:color w:val="000000"/>
          <w:sz w:val="24"/>
          <w:lang w:val="en-US" w:eastAsia="zh-CN"/>
        </w:rPr>
        <w:t>7</w:t>
      </w:r>
      <w:r>
        <w:rPr>
          <w:rFonts w:ascii="宋体" w:hAnsi="宋体" w:eastAsia="宋体" w:cs="宋体"/>
          <w:color w:val="000000"/>
          <w:sz w:val="24"/>
        </w:rPr>
        <w:t>月</w:t>
      </w:r>
      <w:r>
        <w:rPr>
          <w:rFonts w:hint="eastAsia" w:ascii="宋体" w:hAnsi="宋体" w:eastAsia="宋体" w:cs="宋体"/>
          <w:color w:val="000000"/>
          <w:sz w:val="24"/>
          <w:lang w:val="en-US" w:eastAsia="zh-CN"/>
        </w:rPr>
        <w:t>4</w:t>
      </w:r>
      <w:r>
        <w:rPr>
          <w:rFonts w:ascii="宋体" w:hAnsi="宋体" w:eastAsia="宋体" w:cs="宋体"/>
          <w:color w:val="000000"/>
          <w:sz w:val="24"/>
        </w:rPr>
        <w:t>日至2024年</w:t>
      </w:r>
      <w:r>
        <w:rPr>
          <w:rFonts w:hint="eastAsia" w:ascii="宋体" w:hAnsi="宋体" w:eastAsia="宋体" w:cs="宋体"/>
          <w:color w:val="000000"/>
          <w:sz w:val="24"/>
          <w:lang w:val="en-US" w:eastAsia="zh-CN"/>
        </w:rPr>
        <w:t>7</w:t>
      </w:r>
      <w:r>
        <w:rPr>
          <w:rFonts w:ascii="宋体" w:hAnsi="宋体" w:eastAsia="宋体" w:cs="宋体"/>
          <w:color w:val="000000"/>
          <w:sz w:val="24"/>
        </w:rPr>
        <w:t>月</w:t>
      </w:r>
      <w:r>
        <w:rPr>
          <w:rFonts w:hint="eastAsia" w:ascii="宋体" w:hAnsi="宋体" w:eastAsia="宋体" w:cs="宋体"/>
          <w:color w:val="000000"/>
          <w:sz w:val="24"/>
          <w:lang w:val="en-US" w:eastAsia="zh-CN"/>
        </w:rPr>
        <w:t>11</w:t>
      </w:r>
      <w:r>
        <w:rPr>
          <w:rFonts w:ascii="宋体" w:hAnsi="宋体" w:eastAsia="宋体" w:cs="宋体"/>
          <w:color w:val="000000"/>
          <w:sz w:val="24"/>
        </w:rPr>
        <w:t>日，每天上午00:00-12:00，下午12:00-23:59（北京时间，法定节假日除外）</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地点：中国政府采购网、江苏政府采购网、盐城市政府采购网  </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方式：</w:t>
      </w:r>
      <w:r>
        <w:rPr>
          <w:rFonts w:hint="eastAsia" w:ascii="宋体" w:hAnsi="宋体" w:eastAsia="宋体" w:cs="宋体"/>
          <w:color w:val="000000"/>
          <w:sz w:val="24"/>
        </w:rPr>
        <w:t>在“中国政府采购网”、“江苏政府采购网”、“盐城市政府采购网”自行免费下载招标文件。</w:t>
      </w:r>
      <w:r>
        <w:rPr>
          <w:rFonts w:ascii="宋体" w:hAnsi="宋体" w:eastAsia="宋体" w:cs="宋体"/>
          <w:color w:val="000000"/>
          <w:sz w:val="24"/>
        </w:rPr>
        <w:t> </w:t>
      </w:r>
    </w:p>
    <w:p>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售价：0.00元 </w:t>
      </w:r>
    </w:p>
    <w:p>
      <w:pPr>
        <w:pStyle w:val="190"/>
        <w:pageBreakBefore w:val="0"/>
        <w:widowControl/>
        <w:spacing w:line="360" w:lineRule="auto"/>
        <w:ind w:firstLine="482"/>
        <w:jc w:val="both"/>
        <w:rPr>
          <w:rStyle w:val="189"/>
          <w:rFonts w:ascii="宋体" w:hAnsi="宋体" w:eastAsia="宋体" w:cs="Times New Roman"/>
          <w:b/>
          <w:bCs/>
          <w:color w:val="auto"/>
          <w:sz w:val="24"/>
          <w:szCs w:val="24"/>
          <w:highlight w:val="none"/>
        </w:rPr>
      </w:pPr>
      <w:bookmarkStart w:id="5" w:name="_Toc5"/>
      <w:r>
        <w:rPr>
          <w:rStyle w:val="189"/>
          <w:rFonts w:ascii="宋体" w:hAnsi="宋体" w:eastAsia="宋体" w:cs="Times New Roman"/>
          <w:b/>
          <w:bCs/>
          <w:color w:val="auto"/>
          <w:sz w:val="24"/>
          <w:szCs w:val="24"/>
          <w:highlight w:val="none"/>
        </w:rPr>
        <w:t>四、提交投标文件截止时间、开标时间和地点</w:t>
      </w:r>
      <w:bookmarkEnd w:id="5"/>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hint="eastAsia" w:ascii="宋体" w:hAnsi="宋体" w:eastAsia="宋体" w:cs="宋体"/>
          <w:color w:val="000000"/>
          <w:sz w:val="24"/>
          <w:lang w:eastAsia="zh-CN"/>
        </w:rPr>
        <w:t>时间：</w:t>
      </w:r>
      <w:r>
        <w:rPr>
          <w:rFonts w:ascii="宋体" w:hAnsi="宋体" w:eastAsia="宋体" w:cs="宋体"/>
          <w:color w:val="000000"/>
          <w:sz w:val="24"/>
        </w:rPr>
        <w:t>2024</w:t>
      </w:r>
      <w:r>
        <w:rPr>
          <w:rFonts w:hint="eastAsia" w:ascii="宋体" w:hAnsi="宋体" w:eastAsia="宋体" w:cs="宋体"/>
          <w:color w:val="000000"/>
          <w:sz w:val="24"/>
          <w:lang w:eastAsia="zh-CN"/>
        </w:rPr>
        <w:t>年</w:t>
      </w:r>
      <w:r>
        <w:rPr>
          <w:rFonts w:hint="eastAsia" w:ascii="宋体" w:hAnsi="宋体" w:eastAsia="宋体" w:cs="宋体"/>
          <w:color w:val="000000"/>
          <w:sz w:val="24"/>
          <w:lang w:val="en-US" w:eastAsia="zh-CN"/>
        </w:rPr>
        <w:t xml:space="preserve">7月29日 </w:t>
      </w:r>
      <w:r>
        <w:rPr>
          <w:rFonts w:ascii="宋体" w:hAnsi="宋体" w:eastAsia="宋体" w:cs="宋体"/>
          <w:color w:val="000000"/>
          <w:sz w:val="24"/>
        </w:rPr>
        <w:t>09</w:t>
      </w:r>
      <w:r>
        <w:rPr>
          <w:rFonts w:hint="eastAsia" w:ascii="宋体" w:hAnsi="宋体" w:eastAsia="宋体" w:cs="宋体"/>
          <w:color w:val="000000"/>
          <w:sz w:val="24"/>
          <w:lang w:eastAsia="zh-CN"/>
        </w:rPr>
        <w:t>点</w:t>
      </w:r>
      <w:r>
        <w:rPr>
          <w:rFonts w:ascii="宋体" w:hAnsi="宋体" w:eastAsia="宋体" w:cs="宋体"/>
          <w:color w:val="000000"/>
          <w:sz w:val="24"/>
        </w:rPr>
        <w:t>00</w:t>
      </w:r>
      <w:r>
        <w:rPr>
          <w:rFonts w:hint="eastAsia" w:ascii="宋体" w:hAnsi="宋体" w:eastAsia="宋体" w:cs="宋体"/>
          <w:color w:val="000000"/>
          <w:sz w:val="24"/>
          <w:lang w:eastAsia="zh-CN"/>
        </w:rPr>
        <w:t>分</w:t>
      </w:r>
      <w:r>
        <w:rPr>
          <w:rFonts w:ascii="宋体" w:hAnsi="宋体" w:eastAsia="宋体" w:cs="宋体"/>
          <w:color w:val="000000"/>
          <w:sz w:val="24"/>
        </w:rPr>
        <w:t xml:space="preserve"> （北京时间）</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地点：</w:t>
      </w:r>
      <w:r>
        <w:rPr>
          <w:rFonts w:hint="eastAsia" w:ascii="宋体" w:hAnsi="宋体" w:eastAsia="宋体" w:cs="宋体"/>
          <w:color w:val="000000"/>
          <w:sz w:val="24"/>
        </w:rPr>
        <w:t>“苏采云”政府采购交易系统网上开标大厅</w:t>
      </w:r>
      <w:r>
        <w:rPr>
          <w:rFonts w:ascii="宋体" w:hAnsi="宋体" w:eastAsia="宋体" w:cs="宋体"/>
          <w:color w:val="000000"/>
          <w:sz w:val="24"/>
        </w:rPr>
        <w:t> </w:t>
      </w:r>
    </w:p>
    <w:p>
      <w:pPr>
        <w:pStyle w:val="190"/>
        <w:pageBreakBefore w:val="0"/>
        <w:widowControl/>
        <w:spacing w:line="360" w:lineRule="auto"/>
        <w:ind w:firstLine="482"/>
        <w:jc w:val="both"/>
        <w:rPr>
          <w:rStyle w:val="189"/>
          <w:rFonts w:ascii="宋体" w:hAnsi="宋体" w:eastAsia="宋体" w:cs="Times New Roman"/>
          <w:b/>
          <w:bCs/>
          <w:color w:val="auto"/>
          <w:sz w:val="24"/>
          <w:szCs w:val="24"/>
          <w:highlight w:val="none"/>
        </w:rPr>
      </w:pPr>
      <w:bookmarkStart w:id="6" w:name="_Toc6"/>
      <w:r>
        <w:rPr>
          <w:rStyle w:val="189"/>
          <w:rFonts w:ascii="宋体" w:hAnsi="宋体" w:eastAsia="宋体" w:cs="Times New Roman"/>
          <w:b/>
          <w:bCs/>
          <w:color w:val="auto"/>
          <w:sz w:val="24"/>
          <w:szCs w:val="24"/>
          <w:highlight w:val="none"/>
        </w:rPr>
        <w:t>五、公告期限</w:t>
      </w:r>
      <w:bookmarkEnd w:id="6"/>
    </w:p>
    <w:p>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pPr>
        <w:pStyle w:val="190"/>
        <w:pageBreakBefore w:val="0"/>
        <w:widowControl/>
        <w:spacing w:line="360" w:lineRule="auto"/>
        <w:ind w:firstLine="482"/>
        <w:jc w:val="both"/>
        <w:rPr>
          <w:rStyle w:val="189"/>
          <w:rFonts w:ascii="宋体" w:hAnsi="宋体" w:eastAsia="宋体" w:cs="Times New Roman"/>
          <w:b/>
          <w:bCs/>
          <w:color w:val="auto"/>
          <w:sz w:val="24"/>
          <w:szCs w:val="24"/>
          <w:highlight w:val="none"/>
        </w:rPr>
      </w:pPr>
      <w:bookmarkStart w:id="7" w:name="_Toc7"/>
      <w:r>
        <w:rPr>
          <w:rStyle w:val="189"/>
          <w:rFonts w:ascii="宋体" w:hAnsi="宋体" w:eastAsia="宋体" w:cs="Times New Roman"/>
          <w:b/>
          <w:bCs/>
          <w:color w:val="auto"/>
          <w:sz w:val="24"/>
          <w:szCs w:val="24"/>
          <w:highlight w:val="none"/>
        </w:rPr>
        <w:t>六、其他补充事宜</w:t>
      </w:r>
      <w:bookmarkEnd w:id="7"/>
    </w:p>
    <w:p>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2.有关本次招标的事项若存在变动或修改，敬请及时关注“</w:t>
      </w:r>
      <w:r>
        <w:rPr>
          <w:rFonts w:hint="eastAsia" w:ascii="宋体" w:hAnsi="宋体" w:eastAsia="宋体" w:cs="宋体"/>
          <w:color w:val="auto"/>
          <w:sz w:val="24"/>
          <w:szCs w:val="24"/>
          <w:highlight w:val="none"/>
          <w:lang w:val="en-US" w:eastAsia="zh-CN"/>
        </w:rPr>
        <w:t>中国</w:t>
      </w:r>
      <w:r>
        <w:rPr>
          <w:rFonts w:hint="eastAsia" w:ascii="宋体" w:hAnsi="宋体" w:eastAsia="宋体" w:cs="宋体"/>
          <w:color w:val="auto"/>
          <w:sz w:val="24"/>
          <w:szCs w:val="24"/>
          <w:highlight w:val="none"/>
        </w:rPr>
        <w:t>政府采购网”、“江苏政府采购网”、“盐城市政府采购网”发布的更正公告。</w:t>
      </w:r>
    </w:p>
    <w:p>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3.本次招标不收取投标保证金，不收取质量保证金。</w:t>
      </w:r>
    </w:p>
    <w:p>
      <w:pPr>
        <w:pStyle w:val="190"/>
        <w:pageBreakBefore w:val="0"/>
        <w:widowControl/>
        <w:spacing w:line="360" w:lineRule="auto"/>
        <w:ind w:firstLine="482"/>
        <w:jc w:val="both"/>
        <w:rPr>
          <w:rStyle w:val="189"/>
          <w:rFonts w:ascii="宋体" w:hAnsi="宋体" w:eastAsia="宋体" w:cs="Times New Roman"/>
          <w:b/>
          <w:bCs/>
          <w:color w:val="auto"/>
          <w:sz w:val="24"/>
          <w:szCs w:val="24"/>
          <w:highlight w:val="none"/>
        </w:rPr>
      </w:pPr>
      <w:bookmarkStart w:id="8" w:name="_Toc8"/>
      <w:r>
        <w:rPr>
          <w:rStyle w:val="189"/>
          <w:rFonts w:ascii="宋体" w:hAnsi="宋体" w:eastAsia="宋体" w:cs="Times New Roman"/>
          <w:b/>
          <w:bCs/>
          <w:color w:val="auto"/>
          <w:sz w:val="24"/>
          <w:szCs w:val="24"/>
          <w:highlight w:val="none"/>
        </w:rPr>
        <w:t>七、本次招标联系方式</w:t>
      </w:r>
      <w:bookmarkEnd w:id="8"/>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Style w:val="189"/>
          <w:rFonts w:ascii="宋体" w:hAnsi="宋体" w:eastAsia="宋体" w:cs="宋体"/>
          <w:b w:val="0"/>
          <w:color w:val="auto"/>
          <w:sz w:val="24"/>
          <w:szCs w:val="24"/>
          <w:highlight w:val="none"/>
        </w:rPr>
        <w:t>1.</w:t>
      </w:r>
      <w:r>
        <w:rPr>
          <w:rFonts w:ascii="宋体" w:hAnsi="宋体" w:eastAsia="宋体" w:cs="宋体"/>
          <w:color w:val="000000"/>
          <w:sz w:val="24"/>
        </w:rPr>
        <w:t>采购人信息</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名称：</w:t>
      </w:r>
      <w:r>
        <w:rPr>
          <w:rFonts w:hint="eastAsia" w:ascii="宋体" w:hAnsi="宋体" w:eastAsia="宋体" w:cs="宋体"/>
          <w:color w:val="000000"/>
          <w:sz w:val="24"/>
          <w:lang w:eastAsia="zh-CN"/>
        </w:rPr>
        <w:t>东台市安丰镇人民政府</w:t>
      </w:r>
      <w:r>
        <w:rPr>
          <w:rFonts w:ascii="宋体" w:hAnsi="宋体" w:eastAsia="宋体" w:cs="宋体"/>
          <w:color w:val="000000"/>
          <w:sz w:val="24"/>
        </w:rPr>
        <w:t xml:space="preserve">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地址：</w:t>
      </w:r>
      <w:r>
        <w:rPr>
          <w:rFonts w:hint="eastAsia" w:ascii="宋体" w:hAnsi="宋体" w:eastAsia="宋体" w:cs="宋体"/>
          <w:color w:val="000000"/>
          <w:sz w:val="24"/>
        </w:rPr>
        <w:t>东台市安丰镇府前路1号</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eastAsia="宋体"/>
          <w:lang w:eastAsia="zh-CN"/>
        </w:rPr>
      </w:pPr>
      <w:r>
        <w:rPr>
          <w:rFonts w:ascii="宋体" w:hAnsi="宋体" w:eastAsia="宋体" w:cs="宋体"/>
          <w:color w:val="000000"/>
          <w:sz w:val="24"/>
        </w:rPr>
        <w:t>联 系 人：</w:t>
      </w:r>
      <w:r>
        <w:rPr>
          <w:rFonts w:hint="eastAsia" w:ascii="宋体" w:hAnsi="宋体" w:eastAsia="宋体" w:cs="宋体"/>
          <w:color w:val="000000"/>
          <w:sz w:val="24"/>
        </w:rPr>
        <w:t>陈</w:t>
      </w:r>
      <w:r>
        <w:rPr>
          <w:rFonts w:hint="eastAsia" w:ascii="宋体" w:hAnsi="宋体" w:eastAsia="宋体" w:cs="宋体"/>
          <w:color w:val="000000"/>
          <w:sz w:val="24"/>
          <w:lang w:eastAsia="zh-CN"/>
        </w:rPr>
        <w:t>女士</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联系电话：</w:t>
      </w:r>
      <w:r>
        <w:rPr>
          <w:rFonts w:hint="eastAsia" w:ascii="Times New Roman" w:hAnsi="Times New Roman" w:eastAsia="Times New Roman" w:cs="Times New Roman"/>
          <w:color w:val="000000"/>
          <w:sz w:val="24"/>
        </w:rPr>
        <w:t>15949103815</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Times New Roman" w:hAnsi="Times New Roman" w:eastAsia="Times New Roman" w:cs="Times New Roman"/>
          <w:color w:val="000000"/>
          <w:sz w:val="24"/>
        </w:rPr>
        <w:t>2.</w:t>
      </w:r>
      <w:r>
        <w:rPr>
          <w:rFonts w:ascii="宋体" w:hAnsi="宋体" w:eastAsia="宋体" w:cs="宋体"/>
          <w:color w:val="000000"/>
          <w:sz w:val="24"/>
        </w:rPr>
        <w:t>采购代理机构信息（如有）</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eastAsia="宋体"/>
          <w:lang w:eastAsia="zh-CN"/>
        </w:rPr>
      </w:pPr>
      <w:r>
        <w:rPr>
          <w:rFonts w:ascii="宋体" w:hAnsi="宋体" w:eastAsia="宋体" w:cs="宋体"/>
          <w:color w:val="000000"/>
          <w:sz w:val="24"/>
        </w:rPr>
        <w:t>名称：</w:t>
      </w:r>
      <w:r>
        <w:rPr>
          <w:rFonts w:hint="eastAsia" w:ascii="宋体" w:hAnsi="宋体" w:eastAsia="宋体" w:cs="宋体"/>
          <w:color w:val="000000"/>
          <w:sz w:val="24"/>
          <w:lang w:eastAsia="zh-CN"/>
        </w:rPr>
        <w:t>江苏恒业工程管理咨询有限公司</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地　　址：</w:t>
      </w:r>
      <w:r>
        <w:rPr>
          <w:rFonts w:hint="eastAsia" w:ascii="宋体" w:hAnsi="宋体" w:eastAsia="宋体" w:cs="宋体"/>
          <w:color w:val="000000"/>
          <w:sz w:val="24"/>
        </w:rPr>
        <w:t>盐都区兆泉商务中心</w:t>
      </w:r>
      <w:r>
        <w:rPr>
          <w:rFonts w:hint="eastAsia" w:ascii="宋体" w:hAnsi="宋体" w:eastAsia="宋体" w:cs="宋体"/>
          <w:color w:val="000000"/>
          <w:sz w:val="24"/>
          <w:lang w:eastAsia="zh-CN"/>
        </w:rPr>
        <w:t>东</w:t>
      </w:r>
      <w:r>
        <w:rPr>
          <w:rFonts w:hint="eastAsia" w:ascii="宋体" w:hAnsi="宋体" w:eastAsia="宋体" w:cs="宋体"/>
          <w:color w:val="000000"/>
          <w:sz w:val="24"/>
        </w:rPr>
        <w:t>三楼</w:t>
      </w:r>
      <w:r>
        <w:rPr>
          <w:rFonts w:ascii="宋体" w:hAnsi="宋体" w:eastAsia="宋体" w:cs="宋体"/>
          <w:color w:val="000000"/>
          <w:sz w:val="24"/>
        </w:rPr>
        <w:t xml:space="preserve">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联 系 人：</w:t>
      </w:r>
      <w:r>
        <w:rPr>
          <w:rFonts w:hint="eastAsia" w:ascii="宋体" w:hAnsi="宋体" w:eastAsia="宋体" w:cs="宋体"/>
          <w:color w:val="000000"/>
          <w:sz w:val="24"/>
          <w:lang w:eastAsia="zh-CN"/>
        </w:rPr>
        <w:t>孙</w:t>
      </w:r>
      <w:r>
        <w:rPr>
          <w:rFonts w:ascii="宋体" w:hAnsi="宋体" w:eastAsia="宋体" w:cs="宋体"/>
          <w:color w:val="000000"/>
          <w:sz w:val="24"/>
        </w:rPr>
        <w:t>先生</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联系电话：</w:t>
      </w:r>
      <w:r>
        <w:rPr>
          <w:rFonts w:hint="eastAsia" w:ascii="Times New Roman" w:hAnsi="Times New Roman" w:eastAsia="宋体" w:cs="Times New Roman"/>
          <w:color w:val="000000"/>
          <w:sz w:val="24"/>
          <w:lang w:val="en-US" w:eastAsia="zh-CN"/>
        </w:rPr>
        <w:t>15365769669</w:t>
      </w:r>
      <w:r>
        <w:rPr>
          <w:rFonts w:ascii="Times New Roman" w:hAnsi="Times New Roman" w:eastAsia="Times New Roman" w:cs="Times New Roman"/>
          <w:color w:val="000000"/>
          <w:sz w:val="24"/>
        </w:rPr>
        <w:t xml:space="preserve">  </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Times New Roman" w:hAnsi="Times New Roman" w:eastAsia="Times New Roman" w:cs="Times New Roman"/>
          <w:color w:val="000000"/>
          <w:sz w:val="24"/>
        </w:rPr>
        <w:t>3.</w:t>
      </w:r>
      <w:r>
        <w:rPr>
          <w:rFonts w:ascii="宋体" w:hAnsi="宋体" w:eastAsia="宋体" w:cs="宋体"/>
          <w:color w:val="000000"/>
          <w:sz w:val="24"/>
        </w:rPr>
        <w:t>项目联系方式</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项目联系人：</w:t>
      </w:r>
      <w:r>
        <w:rPr>
          <w:rFonts w:hint="eastAsia" w:ascii="宋体" w:hAnsi="宋体" w:eastAsia="宋体" w:cs="宋体"/>
          <w:color w:val="000000"/>
          <w:sz w:val="24"/>
        </w:rPr>
        <w:t>陈</w:t>
      </w:r>
      <w:r>
        <w:rPr>
          <w:rFonts w:hint="eastAsia" w:ascii="宋体" w:hAnsi="宋体" w:eastAsia="宋体" w:cs="宋体"/>
          <w:color w:val="000000"/>
          <w:sz w:val="24"/>
          <w:lang w:eastAsia="zh-CN"/>
        </w:rPr>
        <w:t>女士</w:t>
      </w:r>
      <w:r>
        <w:rPr>
          <w:rFonts w:ascii="宋体" w:hAnsi="宋体" w:eastAsia="宋体" w:cs="宋体"/>
          <w:color w:val="000000"/>
          <w:sz w:val="24"/>
        </w:rPr>
        <w:t>（采购人）、</w:t>
      </w:r>
      <w:r>
        <w:rPr>
          <w:rFonts w:hint="eastAsia" w:ascii="宋体" w:hAnsi="宋体" w:eastAsia="宋体" w:cs="宋体"/>
          <w:color w:val="000000"/>
          <w:sz w:val="24"/>
          <w:lang w:eastAsia="zh-CN"/>
        </w:rPr>
        <w:t>孙</w:t>
      </w:r>
      <w:r>
        <w:rPr>
          <w:rFonts w:ascii="宋体" w:hAnsi="宋体" w:eastAsia="宋体" w:cs="宋体"/>
          <w:color w:val="000000"/>
          <w:sz w:val="24"/>
        </w:rPr>
        <w:t>先生（代理机构）</w:t>
      </w:r>
    </w:p>
    <w:p>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电　　 话：</w:t>
      </w:r>
      <w:r>
        <w:rPr>
          <w:rFonts w:hint="eastAsia" w:ascii="Times New Roman" w:hAnsi="Times New Roman" w:eastAsia="Times New Roman" w:cs="Times New Roman"/>
          <w:color w:val="000000"/>
          <w:sz w:val="24"/>
        </w:rPr>
        <w:t>15949103815</w:t>
      </w:r>
      <w:r>
        <w:rPr>
          <w:rFonts w:ascii="宋体" w:hAnsi="宋体" w:eastAsia="宋体" w:cs="宋体"/>
          <w:color w:val="000000"/>
          <w:sz w:val="24"/>
        </w:rPr>
        <w:t>、</w:t>
      </w:r>
      <w:r>
        <w:rPr>
          <w:rFonts w:hint="eastAsia" w:ascii="Times New Roman" w:hAnsi="Times New Roman" w:eastAsia="宋体" w:cs="Times New Roman"/>
          <w:color w:val="000000"/>
          <w:sz w:val="24"/>
          <w:lang w:val="en-US" w:eastAsia="zh-CN"/>
        </w:rPr>
        <w:t>15365769669</w:t>
      </w:r>
      <w:r>
        <w:rPr>
          <w:rFonts w:ascii="宋体" w:hAnsi="宋体" w:eastAsia="宋体" w:cs="宋体"/>
          <w:color w:val="000000"/>
          <w:sz w:val="24"/>
        </w:rPr>
        <w:t xml:space="preserve">         </w:t>
      </w:r>
    </w:p>
    <w:p>
      <w:pPr>
        <w:pStyle w:val="29"/>
        <w:spacing w:beforeAutospacing="0" w:afterAutospacing="0"/>
        <w:ind w:right="840"/>
        <w:jc w:val="center"/>
        <w:outlineLvl w:val="0"/>
        <w:rPr>
          <w:color w:val="auto"/>
          <w:highlight w:val="none"/>
        </w:rPr>
      </w:pPr>
      <w:bookmarkStart w:id="9" w:name="_Toc9"/>
      <w:r>
        <w:rPr>
          <w:rFonts w:hint="eastAsia" w:ascii="宋体" w:hAnsi="宋体" w:eastAsia="宋体" w:cs="宋体"/>
          <w:color w:val="auto"/>
          <w:highlight w:val="none"/>
        </w:rPr>
        <w:br w:type="page" w:clear="all"/>
      </w:r>
      <w:r>
        <w:rPr>
          <w:rFonts w:hint="eastAsia" w:ascii="宋体" w:hAnsi="宋体" w:eastAsia="宋体" w:cs="宋体"/>
          <w:color w:val="auto"/>
          <w:highlight w:val="none"/>
        </w:rPr>
        <w:t> </w:t>
      </w:r>
      <w:r>
        <w:rPr>
          <w:rFonts w:hint="eastAsia" w:ascii="黑体" w:hAnsi="宋体" w:eastAsia="黑体" w:cs="黑体"/>
          <w:b/>
          <w:color w:val="auto"/>
          <w:sz w:val="44"/>
          <w:szCs w:val="44"/>
          <w:highlight w:val="none"/>
        </w:rPr>
        <w:t>第二章  投标人须知</w:t>
      </w:r>
      <w:bookmarkEnd w:id="9"/>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一、总则</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bookmarkStart w:id="10" w:name="_Hlt16619475"/>
      <w:r>
        <w:rPr>
          <w:rFonts w:hint="eastAsia" w:ascii="黑体" w:hAnsi="黑体" w:eastAsia="黑体" w:cs="黑体"/>
          <w:color w:val="auto"/>
          <w:sz w:val="28"/>
          <w:szCs w:val="28"/>
          <w:highlight w:val="none"/>
        </w:rPr>
        <w:t>1、招标方式</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2、合格的投标人</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3、适用法律</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4、投标费用</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投标人应自行承担所有与参加投标有关的费用，无论投标过程中的做法和结果如何，采购人在任何情况下均无义务和责任承担这些费用。</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5、招标文件的约束力</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二、招标文件</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6、招标文件构成</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（1）招标公告</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请仔细检查招标文件是否齐全，如有缺漏请立即与采购中心联系解决。</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7、招标文件的澄清</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7.1任何要求对招标文件进行澄清的投标人，应在投标截止期十</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日前按招标公告中的通讯地址，以书面形式通知</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8、招标文件的修改</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8.1在投标截止时间前，采购中心可以对招标文件进行修改。</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8.2采购中心有权按照法定的要求推迟投标截止日期和开标日期。</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w:t>
      </w:r>
      <w:r>
        <w:rPr>
          <w:rFonts w:hint="eastAsia" w:ascii="宋体" w:hAnsi="宋体" w:eastAsia="宋体" w:cs="宋体"/>
          <w:color w:val="auto"/>
          <w:sz w:val="24"/>
          <w:szCs w:val="24"/>
          <w:highlight w:val="none"/>
          <w:lang w:eastAsia="zh-CN"/>
        </w:rPr>
        <w:t>“中国政府采购网、江苏政府采购网、盐城市政府采购网”</w:t>
      </w:r>
      <w:r>
        <w:rPr>
          <w:rFonts w:hint="eastAsia" w:ascii="宋体" w:hAnsi="宋体" w:eastAsia="宋体" w:cs="宋体"/>
          <w:color w:val="auto"/>
          <w:sz w:val="24"/>
          <w:szCs w:val="24"/>
          <w:highlight w:val="none"/>
        </w:rPr>
        <w:t>公布，补充文件将作为招标文件的组成部分，并对投标人具有约束力。</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三、投标文件的编制</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9、投标文件的语言及度量衡单位</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r>
        <w:rPr>
          <w:rFonts w:hint="eastAsia" w:ascii="宋体" w:hAnsi="宋体" w:eastAsia="宋体" w:cs="宋体"/>
          <w:color w:val="auto"/>
          <w:sz w:val="24"/>
          <w:szCs w:val="24"/>
          <w:highlight w:val="none"/>
          <w:lang w:val="en-US" w:eastAsia="zh-CN"/>
        </w:rPr>
        <w:t xml:space="preserve"> </w:t>
      </w:r>
      <w:r>
        <w:rPr>
          <w:rFonts w:hint="eastAsia" w:ascii="宋体" w:hAnsi="宋体"/>
          <w:color w:val="auto"/>
          <w:sz w:val="24"/>
          <w:highlight w:val="none"/>
        </w:rPr>
        <w:t>投标人提交的投标文件以及投标人与</w:t>
      </w:r>
      <w:r>
        <w:rPr>
          <w:rFonts w:hint="eastAsia" w:ascii="宋体" w:hAnsi="宋体"/>
          <w:color w:val="auto"/>
          <w:sz w:val="24"/>
          <w:highlight w:val="none"/>
          <w:lang w:val="en-US" w:eastAsia="zh-CN"/>
        </w:rPr>
        <w:t>采购人</w:t>
      </w:r>
      <w:r>
        <w:rPr>
          <w:rFonts w:hint="eastAsia" w:ascii="宋体" w:hAnsi="宋体"/>
          <w:color w:val="auto"/>
          <w:sz w:val="24"/>
          <w:highlight w:val="none"/>
        </w:rPr>
        <w:t>就有关投标的所有来往通知、函件和文件均应使用</w:t>
      </w:r>
      <w:r>
        <w:rPr>
          <w:rFonts w:hint="eastAsia" w:ascii="宋体" w:hAnsi="宋体"/>
          <w:b/>
          <w:bCs/>
          <w:color w:val="auto"/>
          <w:sz w:val="24"/>
          <w:highlight w:val="none"/>
        </w:rPr>
        <w:t>简体中文</w:t>
      </w:r>
      <w:r>
        <w:rPr>
          <w:rFonts w:hint="eastAsia" w:ascii="宋体" w:hAnsi="宋体" w:eastAsia="宋体" w:cs="宋体"/>
          <w:color w:val="auto"/>
          <w:sz w:val="24"/>
          <w:szCs w:val="24"/>
          <w:highlight w:val="none"/>
        </w:rPr>
        <w:t>。</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w:t>
      </w:r>
      <w:r>
        <w:rPr>
          <w:rFonts w:hint="eastAsia" w:ascii="宋体" w:hAnsi="宋体" w:eastAsia="宋体" w:cs="宋体"/>
          <w:color w:val="auto"/>
          <w:sz w:val="24"/>
          <w:szCs w:val="24"/>
          <w:highlight w:val="none"/>
          <w:lang w:val="en-US" w:eastAsia="zh-CN"/>
        </w:rPr>
        <w:t xml:space="preserve"> </w:t>
      </w:r>
      <w:r>
        <w:rPr>
          <w:rFonts w:hint="eastAsia" w:ascii="宋体" w:hAnsi="宋体"/>
          <w:color w:val="auto"/>
          <w:sz w:val="24"/>
          <w:highlight w:val="none"/>
        </w:rPr>
        <w:t>除技术性能另有规定外，投标文件所使用的度量衡单位，均须采用国家法定计量单位</w:t>
      </w:r>
      <w:r>
        <w:rPr>
          <w:rFonts w:hint="eastAsia" w:ascii="宋体" w:hAnsi="宋体" w:eastAsia="宋体" w:cs="宋体"/>
          <w:color w:val="auto"/>
          <w:sz w:val="24"/>
          <w:szCs w:val="24"/>
          <w:highlight w:val="none"/>
        </w:rPr>
        <w:t>。</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10、投标文件构成</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10.1 开标一览表（系统固定格式）</w:t>
      </w:r>
    </w:p>
    <w:p>
      <w:pPr>
        <w:pageBreakBefore w:val="0"/>
        <w:widowControl w:val="0"/>
        <w:spacing w:line="460" w:lineRule="exact"/>
        <w:ind w:firstLine="480"/>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10.2 资格审查资料</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10.2.1 法人或者其他组织的营业执照等证明文件，自然人的身份证明</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10.2.2上一年度的财务状况报表（至少提供资产负债表、利润表、现金流量表，投标人成立不满一年无需提供）</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10.2.3 依法缴纳税收和社会保障资金的相关材料（提供提交投标文件截止时间前一年内至少一个月依法缴纳税收及缴纳社会保障资金的证明材料。投标人依法享受缓缴、免缴税收、社会保障资金的提供证明材料）</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10.2.4 具备履行合同所必需的设备和专业技术能力的书面声明</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10.2.5 参加政府采购活动前 3 年内在经营活动中没有重大违法记录的书面声明</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10.2.6 投标人法定代表人身份证明和投标文件签署授权委托书（另附法定代表人和被授权人的身份证复印件或扫描件）；</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10.2.7 投标人为被授权人缴纳的社会养老保险证明；</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10.2.8 与资格审查有关的其他资料（如有）。</w:t>
      </w:r>
    </w:p>
    <w:p>
      <w:pPr>
        <w:pageBreakBefore w:val="0"/>
        <w:widowControl w:val="0"/>
        <w:spacing w:line="460" w:lineRule="exact"/>
        <w:ind w:firstLine="480"/>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10.3 符合性资料</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10.3.1 报价明细表</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10.3.2 投标函；</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10.3.3 所供货物（货物附带的服务）内容及货物要求偏离表；</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10.3.4 投标人的服务承诺；</w:t>
      </w:r>
    </w:p>
    <w:p>
      <w:pPr>
        <w:pageBreakBefore w:val="0"/>
        <w:widowControl w:val="0"/>
        <w:spacing w:line="460" w:lineRule="exact"/>
        <w:ind w:firstLine="480"/>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10.3.5 小微企业声明函、残疾人福利性单位声明函；（如有）</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10.3.6 联合体协议（如有）；</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10.3.7 东台市政府采购事前信用承诺书；</w:t>
      </w:r>
    </w:p>
    <w:p>
      <w:pPr>
        <w:pageBreakBefore w:val="0"/>
        <w:widowControl w:val="0"/>
        <w:spacing w:line="460" w:lineRule="exact"/>
        <w:ind w:firstLine="480"/>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10.4 综合评审相关资料</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10.5 价格折扣文件（如有）</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注：1）以上材料须按顺序进行排列。</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2）如为法定代表人参与公开招标的无须提供“投标文件签署授权委托书”和“被授权人缴纳的社会养老保险证明”。</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3）与本次公开招标无关的资料不要求提供。</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“江苏政府采购网”、“盐城市政府采购网”发布的招标文件不一致，请以“中国政府采购网”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“江苏政府采购网”、“盐城市政府采购网”发布的招标文件为准。</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bookmarkStart w:id="11" w:name="_Hlt26668975"/>
      <w:bookmarkStart w:id="12" w:name="_Hlt26954838"/>
      <w:bookmarkStart w:id="13" w:name="_Hlt26670360"/>
      <w:r>
        <w:rPr>
          <w:rFonts w:hint="eastAsia" w:ascii="黑体" w:hAnsi="黑体" w:eastAsia="黑体" w:cs="黑体"/>
          <w:color w:val="auto"/>
          <w:sz w:val="28"/>
          <w:szCs w:val="28"/>
          <w:highlight w:val="none"/>
        </w:rPr>
        <w:t>11、证明投标人及投标标的符合招标文件规定的文件</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11.1投标人应按照法律、法规、规章和规范性文件以及招标文件要求提交证明文件，证明其及投标标的符合招标文件规定。</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pPr>
        <w:pageBreakBefore w:val="0"/>
        <w:widowControl w:val="0"/>
        <w:spacing w:line="460" w:lineRule="exact"/>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11.3 上一年度的财务状况报表（至少提供资产负债表、利润表、现金流量表，投标人成立不满一年无需提供）</w:t>
      </w:r>
    </w:p>
    <w:p>
      <w:pPr>
        <w:pageBreakBefore w:val="0"/>
        <w:widowControl w:val="0"/>
        <w:spacing w:line="460" w:lineRule="exact"/>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11.4 “依法缴纳税收的相关材料”，投标人应提供近期缴纳税收的凭据。</w:t>
      </w:r>
    </w:p>
    <w:p>
      <w:pPr>
        <w:pageBreakBefore w:val="0"/>
        <w:widowControl w:val="0"/>
        <w:spacing w:line="460" w:lineRule="exact"/>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11.5 “依法缴纳社会保障资金的相关材料”，投标人应提供近期缴纳社会保险的凭据。</w:t>
      </w:r>
    </w:p>
    <w:p>
      <w:pPr>
        <w:pageBreakBefore w:val="0"/>
        <w:widowControl w:val="0"/>
        <w:spacing w:line="460" w:lineRule="exact"/>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11.6 依法免税或不需要缴纳社会保障资金的投标人，应提供相应文件证明其依法免税或不需要缴纳社会保障资金。</w:t>
      </w:r>
    </w:p>
    <w:p>
      <w:pPr>
        <w:pageBreakBefore w:val="0"/>
        <w:widowControl w:val="0"/>
        <w:spacing w:line="460" w:lineRule="exact"/>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11.7 “申请人的资格要求”和“资格审查资料”中的“近期”是指近两年以来的任一时间段。</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12、投标</w:t>
      </w:r>
      <w:bookmarkStart w:id="14" w:name="_Hlt26670373"/>
      <w:r>
        <w:rPr>
          <w:rFonts w:hint="eastAsia" w:ascii="黑体" w:hAnsi="黑体" w:eastAsia="黑体" w:cs="黑体"/>
          <w:color w:val="auto"/>
          <w:sz w:val="28"/>
          <w:szCs w:val="28"/>
          <w:highlight w:val="none"/>
          <w:lang w:eastAsia="zh-CN"/>
        </w:rPr>
        <w:t>报价明细表</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w:t>
      </w:r>
      <w:bookmarkStart w:id="15" w:name="_Hlt26954840"/>
      <w:r>
        <w:rPr>
          <w:rFonts w:hint="eastAsia" w:ascii="宋体" w:hAnsi="宋体" w:eastAsia="宋体" w:cs="宋体"/>
          <w:color w:val="auto"/>
          <w:sz w:val="24"/>
          <w:szCs w:val="24"/>
          <w:highlight w:val="none"/>
        </w:rPr>
        <w:t>标人应按照招标文件规定格式填报投标</w:t>
      </w:r>
      <w:bookmarkStart w:id="16" w:name="_Hlt26670399"/>
      <w:r>
        <w:rPr>
          <w:rFonts w:hint="eastAsia" w:ascii="宋体" w:hAnsi="宋体" w:eastAsia="宋体" w:cs="宋体"/>
          <w:color w:val="auto"/>
          <w:sz w:val="24"/>
          <w:szCs w:val="24"/>
          <w:highlight w:val="none"/>
          <w:lang w:eastAsia="zh-CN"/>
        </w:rPr>
        <w:t>报价明细表</w:t>
      </w:r>
      <w:r>
        <w:rPr>
          <w:rFonts w:hint="eastAsia" w:ascii="宋体" w:hAnsi="宋体" w:eastAsia="宋体" w:cs="宋体"/>
          <w:color w:val="auto"/>
          <w:sz w:val="24"/>
          <w:szCs w:val="24"/>
          <w:highlight w:val="none"/>
        </w:rPr>
        <w:t>。</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pPr>
        <w:pageBreakBefore w:val="0"/>
        <w:widowControl w:val="0"/>
        <w:spacing w:line="460" w:lineRule="exact"/>
        <w:ind w:firstLine="480"/>
        <w:rPr>
          <w:rFonts w:hint="eastAsia" w:ascii="宋体" w:hAnsi="宋体" w:eastAsia="宋体" w:cs="Times New Roman"/>
          <w:color w:val="auto"/>
          <w:sz w:val="24"/>
          <w:highlight w:val="none"/>
          <w:lang w:val="en-US" w:eastAsia="zh-CN"/>
        </w:rPr>
      </w:pPr>
      <w:bookmarkStart w:id="17" w:name="_Hlt26954731"/>
      <w:bookmarkStart w:id="18" w:name="_Hlt26670486"/>
      <w:bookmarkStart w:id="19" w:name="_Hlt26668983"/>
      <w:bookmarkStart w:id="20" w:name="_Hlt26670425"/>
      <w:bookmarkStart w:id="21" w:name="_Hlt26954844"/>
      <w:bookmarkStart w:id="22" w:name="_Hlt26670482"/>
      <w:bookmarkStart w:id="23" w:name="_Hlt26954848"/>
      <w:bookmarkStart w:id="24" w:name="_Hlt26954842"/>
      <w:bookmarkStart w:id="25" w:name="_Hlt26954846"/>
      <w:bookmarkStart w:id="26" w:name="_Hlt26670403"/>
      <w:r>
        <w:rPr>
          <w:rFonts w:hint="eastAsia" w:ascii="宋体" w:hAnsi="宋体" w:eastAsia="宋体" w:cs="Times New Roman"/>
          <w:color w:val="auto"/>
          <w:sz w:val="24"/>
          <w:highlight w:val="none"/>
          <w:lang w:val="en-US" w:eastAsia="zh-CN"/>
        </w:rPr>
        <w:t>13.3 投标人应按照第六章投标文件格式完整地填写报价明细表，说明其拟提供服务的名称、服务内容、数量、价格等，采购人要求投标人明确填写的相关内容的，也应填写。</w:t>
      </w:r>
    </w:p>
    <w:p>
      <w:pPr>
        <w:pageBreakBefore w:val="0"/>
        <w:widowControl w:val="0"/>
        <w:spacing w:line="46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13.4 每项服务内容只允许有一个报价，任何有选择的报价将不予接受。</w:t>
      </w:r>
    </w:p>
    <w:p>
      <w:pPr>
        <w:pageBreakBefore w:val="0"/>
        <w:widowControl w:val="0"/>
        <w:spacing w:line="46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13.5 报价除标的物的价款外还应包括全部工作内容的价格体现，以及为完成全部工作内容（但不限于）设备价格【含全套设备（包括主设备、配套设备、配套软件、配套耗材、附件、配件等）、备品备件、专用工具、技术资料等】、数据接入费、直接和间接成本费、材料损耗费、劳务费、垃圾清运费、包装费、运杂费（含运输费）、装卸费、安装调试费、保修费、保险费、配合费、安装费、测试验收费、检测费、技术（含操作、维护等）培训、运行维护及售后服务费、管理费、税金、利润、风险费、成品保护费、不可预见费及其他一切相关费用等所需的全部费用，凡漏项或少计均视为优惠，采购人不另行增加费用。各类风险和政策性调整等风险已包括在投标报价中，最终结算时除合同约定调整外单价一律不予调整。报价时应逐项填写数量、单价和合价，最后汇总得出总价。</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rPr>
        <w:t>13、</w:t>
      </w:r>
      <w:r>
        <w:rPr>
          <w:rFonts w:hint="eastAsia" w:ascii="黑体" w:hAnsi="黑体" w:eastAsia="黑体" w:cs="黑体"/>
          <w:color w:val="auto"/>
          <w:sz w:val="28"/>
          <w:szCs w:val="28"/>
          <w:highlight w:val="none"/>
          <w:lang w:val="en-US" w:eastAsia="zh-CN"/>
        </w:rPr>
        <w:t>所供货物（货物附带的服务）内容及货物要求偏离表</w:t>
      </w:r>
    </w:p>
    <w:p>
      <w:pPr>
        <w:pageBreakBefore w:val="0"/>
        <w:widowControl w:val="0"/>
        <w:spacing w:line="460" w:lineRule="exact"/>
        <w:ind w:firstLine="480"/>
        <w:rPr>
          <w:rFonts w:hint="eastAsia" w:ascii="宋体" w:hAnsi="Arial" w:cs="宋体"/>
          <w:color w:val="auto"/>
          <w:sz w:val="24"/>
          <w:highlight w:val="none"/>
          <w:lang w:val="zh-CN"/>
        </w:rPr>
      </w:pPr>
      <w:r>
        <w:rPr>
          <w:rFonts w:ascii="宋体" w:hAnsi="Arial" w:cs="宋体"/>
          <w:bCs/>
          <w:color w:val="auto"/>
          <w:sz w:val="24"/>
          <w:highlight w:val="none"/>
          <w:lang w:val="zh-CN"/>
        </w:rPr>
        <w:t>1</w:t>
      </w:r>
      <w:r>
        <w:rPr>
          <w:rFonts w:hint="eastAsia" w:ascii="宋体" w:hAnsi="Arial" w:cs="宋体"/>
          <w:bCs/>
          <w:color w:val="auto"/>
          <w:sz w:val="24"/>
          <w:highlight w:val="none"/>
          <w:lang w:val="en-US" w:eastAsia="zh-CN"/>
        </w:rPr>
        <w:t>3</w:t>
      </w:r>
      <w:r>
        <w:rPr>
          <w:rFonts w:ascii="宋体" w:hAnsi="Arial" w:cs="宋体"/>
          <w:bCs/>
          <w:color w:val="auto"/>
          <w:sz w:val="24"/>
          <w:highlight w:val="none"/>
          <w:lang w:val="zh-CN"/>
        </w:rPr>
        <w:t>.1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投标人需对招标文件中的</w:t>
      </w:r>
      <w:r>
        <w:rPr>
          <w:rFonts w:hint="eastAsia" w:ascii="宋体" w:hAnsi="Arial" w:cs="宋体"/>
          <w:color w:val="auto"/>
          <w:sz w:val="24"/>
          <w:highlight w:val="none"/>
          <w:lang w:val="en-US" w:eastAsia="zh-CN"/>
        </w:rPr>
        <w:t>货物内容及货物要求</w:t>
      </w:r>
      <w:r>
        <w:rPr>
          <w:rFonts w:hint="eastAsia" w:ascii="宋体" w:hAnsi="Arial" w:cs="宋体"/>
          <w:color w:val="auto"/>
          <w:sz w:val="24"/>
          <w:highlight w:val="none"/>
          <w:lang w:val="zh-CN"/>
        </w:rPr>
        <w:t>逐项作出响应或偏离，并说明原因。</w:t>
      </w:r>
    </w:p>
    <w:p>
      <w:pPr>
        <w:pageBreakBefore w:val="0"/>
        <w:widowControl w:val="0"/>
        <w:tabs>
          <w:tab w:val="left" w:pos="1035"/>
        </w:tabs>
        <w:spacing w:line="460" w:lineRule="exact"/>
        <w:ind w:firstLine="480"/>
        <w:rPr>
          <w:rFonts w:hint="eastAsia" w:ascii="宋体" w:hAnsi="Arial" w:cs="宋体"/>
          <w:color w:val="auto"/>
          <w:sz w:val="24"/>
          <w:highlight w:val="none"/>
          <w:lang w:val="zh-CN"/>
        </w:rPr>
      </w:pPr>
      <w:r>
        <w:rPr>
          <w:rFonts w:hint="eastAsia" w:ascii="宋体" w:hAnsi="Arial" w:cs="宋体"/>
          <w:color w:val="auto"/>
          <w:sz w:val="24"/>
          <w:highlight w:val="none"/>
          <w:lang w:val="zh-CN"/>
        </w:rPr>
        <w:t>1</w:t>
      </w:r>
      <w:r>
        <w:rPr>
          <w:rFonts w:hint="eastAsia" w:ascii="宋体" w:hAnsi="Arial" w:cs="宋体"/>
          <w:color w:val="auto"/>
          <w:sz w:val="24"/>
          <w:highlight w:val="none"/>
          <w:lang w:val="en-US" w:eastAsia="zh-CN"/>
        </w:rPr>
        <w:t>3</w:t>
      </w:r>
      <w:r>
        <w:rPr>
          <w:rFonts w:hint="eastAsia" w:ascii="宋体" w:hAnsi="Arial" w:cs="宋体"/>
          <w:color w:val="auto"/>
          <w:sz w:val="24"/>
          <w:highlight w:val="none"/>
          <w:lang w:val="zh-CN"/>
        </w:rPr>
        <w:t>.2 投标人可在投标文件中提供认为需要的其他技术文件或说明。</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14、投标函和开标一览表</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w:t>
      </w:r>
      <w:r>
        <w:rPr>
          <w:rFonts w:hint="eastAsia" w:ascii="宋体" w:hAnsi="宋体" w:eastAsia="宋体" w:cs="宋体"/>
          <w:color w:val="auto"/>
          <w:sz w:val="24"/>
          <w:szCs w:val="24"/>
          <w:highlight w:val="none"/>
          <w:lang w:eastAsia="zh-CN"/>
        </w:rPr>
        <w:t>报价明细表</w:t>
      </w:r>
      <w:r>
        <w:rPr>
          <w:rFonts w:hint="eastAsia" w:ascii="宋体" w:hAnsi="宋体" w:eastAsia="宋体" w:cs="宋体"/>
          <w:color w:val="auto"/>
          <w:sz w:val="24"/>
          <w:szCs w:val="24"/>
          <w:highlight w:val="none"/>
        </w:rPr>
        <w:t>中的投标总报价一致，如不一致，不作为无效投标处理，但评标时按开标一览表中价格为准。</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bookmarkStart w:id="27" w:name="_Hlt26954850"/>
      <w:bookmarkStart w:id="28" w:name="_Hlt26954734"/>
      <w:bookmarkStart w:id="29" w:name="_Hlt26670489"/>
      <w:r>
        <w:rPr>
          <w:rFonts w:hint="eastAsia" w:ascii="黑体" w:hAnsi="黑体" w:eastAsia="黑体" w:cs="黑体"/>
          <w:color w:val="auto"/>
          <w:sz w:val="28"/>
          <w:szCs w:val="28"/>
          <w:highlight w:val="none"/>
        </w:rPr>
        <w:t>15、投标有效期</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规定的开标之日后六十（60）天。投标有效期比规定短的将被视为未实质性响应招标文件而予以拒绝。</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16、投标有效期的延长</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的这一要求而放弃投标。同意延长投标有效期的投标人既不能要求也不允许修改其投标文件，同时受投标有效期约束的所有权利与义务均延长至新的有效期。</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bookmarkStart w:id="30" w:name="_Hlt26954739"/>
      <w:bookmarkStart w:id="31" w:name="_Hlt26954852"/>
      <w:r>
        <w:rPr>
          <w:rFonts w:hint="eastAsia" w:ascii="黑体" w:hAnsi="黑体" w:eastAsia="黑体" w:cs="黑体"/>
          <w:color w:val="auto"/>
          <w:sz w:val="28"/>
          <w:szCs w:val="28"/>
          <w:highlight w:val="none"/>
        </w:rPr>
        <w:t>四、投标文件的递交</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17、投标文件的递交</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投标人应当按照《操作手册》规定，在投标截止时间前制作并上传电子投标文件。</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18、投标截止时间</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18.1投标人上传电子投标文件的时间不得迟于招标公告中规定的投标截止时间。</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投标人应充分考虑到网络环境、网络带宽等风险因素，如因投标人自身原因造成的电子投标文件上传不成功的按照本招标文件第二章第26.1.2条 规定做无效投标处理。</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19、投标文件的拒收</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拒绝接收在其规定的投标截止时间后上传的任何投标文件。</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20、投标文件的撤回和修改</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.1.1电子投标文件的撤回</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.1.2投标人撤回电子投标文件，则认为其不再参与本项目投标活动。</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20.2.2在投标截止时间之后，投标人不得对其电子投标文件作任何修改。</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20.3在投标截止时间至招标文件中规定的投标有效期满之间的这段时间内，投标人不得撤回其投标。</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五、开标与评标</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21、开标</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组织。苏采云系统将自动对项目进行开标，并宣布各投标人名称和投标价格。</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22、评标委员会</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22.1开标后，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将立即组织评标委员会（以下简称评委会）进行评标。</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22.3评委会独立工作，负责评审所有投标文件并确定中标侯选人。</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23、评标过程的保密与公正</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23.1凡是与审查、澄清、评价和比较投标的有关资料以及授标建议等，采购人、评委不得向投标人或与评标无关的其他人员透露。</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24、投标文件的澄清</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24.1评标期间，评委会对投标文件中含义不明确、同类问题表述不一致或者有明显文字和计算错误的内容，有权要求投标人作出必要的澄清、说明或者补正。</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25、对投标文件的初审</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将不再告知未通过资格审查和符合性审查的原因。</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及评标委员会联系。</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26、无效投标条款和废标条款</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26.1无效投标条款</w:t>
      </w:r>
    </w:p>
    <w:p>
      <w:pPr>
        <w:pageBreakBefore w:val="0"/>
        <w:widowControl w:val="0"/>
        <w:spacing w:line="460" w:lineRule="exact"/>
        <w:ind w:firstLine="480"/>
        <w:rPr>
          <w:rFonts w:hint="eastAsia" w:ascii="宋体" w:hAnsi="宋体"/>
          <w:bCs/>
          <w:color w:val="auto"/>
          <w:sz w:val="24"/>
          <w:szCs w:val="24"/>
          <w:highlight w:val="none"/>
        </w:rPr>
      </w:pPr>
      <w:r>
        <w:rPr>
          <w:rFonts w:hint="eastAsia" w:ascii="宋体" w:hAnsi="宋体"/>
          <w:bCs/>
          <w:color w:val="auto"/>
          <w:sz w:val="24"/>
          <w:highlight w:val="none"/>
          <w:lang w:eastAsia="zh-CN"/>
        </w:rPr>
        <w:t>26.1</w:t>
      </w:r>
      <w:r>
        <w:rPr>
          <w:rFonts w:hint="eastAsia" w:ascii="宋体" w:hAnsi="宋体"/>
          <w:bCs/>
          <w:color w:val="auto"/>
          <w:sz w:val="24"/>
          <w:szCs w:val="24"/>
          <w:highlight w:val="none"/>
        </w:rPr>
        <w:t>.1 投标人在</w:t>
      </w:r>
      <w:r>
        <w:rPr>
          <w:rFonts w:hint="eastAsia" w:ascii="宋体" w:hAnsi="宋体"/>
          <w:color w:val="auto"/>
          <w:sz w:val="24"/>
          <w:szCs w:val="24"/>
          <w:highlight w:val="none"/>
        </w:rPr>
        <w:t>苏采云系统</w:t>
      </w:r>
      <w:r>
        <w:rPr>
          <w:rFonts w:hint="eastAsia" w:ascii="宋体" w:hAnsi="宋体"/>
          <w:bCs/>
          <w:color w:val="auto"/>
          <w:sz w:val="24"/>
          <w:szCs w:val="24"/>
          <w:highlight w:val="none"/>
        </w:rPr>
        <w:t>规定的时间内未成功解密电子投标文件的。</w:t>
      </w:r>
    </w:p>
    <w:p>
      <w:pPr>
        <w:pageBreakBefore w:val="0"/>
        <w:widowControl w:val="0"/>
        <w:spacing w:line="460" w:lineRule="exact"/>
        <w:ind w:firstLine="480"/>
        <w:rPr>
          <w:rFonts w:hint="eastAsia" w:ascii="宋体" w:hAnsi="宋体"/>
          <w:bCs/>
          <w:color w:val="auto"/>
          <w:sz w:val="24"/>
          <w:highlight w:val="none"/>
        </w:rPr>
      </w:pPr>
      <w:r>
        <w:rPr>
          <w:rFonts w:hint="eastAsia" w:ascii="宋体" w:hAnsi="宋体"/>
          <w:bCs/>
          <w:color w:val="auto"/>
          <w:sz w:val="24"/>
          <w:highlight w:val="none"/>
          <w:lang w:eastAsia="zh-CN"/>
        </w:rPr>
        <w:t>26.1</w:t>
      </w:r>
      <w:r>
        <w:rPr>
          <w:rFonts w:hint="eastAsia" w:ascii="宋体" w:hAnsi="宋体"/>
          <w:bCs/>
          <w:color w:val="auto"/>
          <w:sz w:val="24"/>
          <w:highlight w:val="none"/>
        </w:rPr>
        <w:t>.2 投标人未按照招标文件要求上传电子投标文件的。</w:t>
      </w:r>
    </w:p>
    <w:p>
      <w:pPr>
        <w:pageBreakBefore w:val="0"/>
        <w:widowControl w:val="0"/>
        <w:spacing w:line="460" w:lineRule="exact"/>
        <w:ind w:left="479"/>
        <w:rPr>
          <w:rFonts w:hint="eastAsia" w:ascii="宋体" w:hAnsi="宋体"/>
          <w:bCs/>
          <w:color w:val="auto"/>
          <w:sz w:val="24"/>
          <w:highlight w:val="none"/>
        </w:rPr>
      </w:pPr>
      <w:r>
        <w:rPr>
          <w:rFonts w:hint="eastAsia" w:ascii="宋体" w:hAnsi="宋体"/>
          <w:bCs/>
          <w:color w:val="auto"/>
          <w:sz w:val="24"/>
          <w:highlight w:val="none"/>
          <w:lang w:eastAsia="zh-CN"/>
        </w:rPr>
        <w:t>26.1</w:t>
      </w:r>
      <w:r>
        <w:rPr>
          <w:rFonts w:hint="eastAsia" w:ascii="宋体" w:hAnsi="宋体"/>
          <w:bCs/>
          <w:color w:val="auto"/>
          <w:sz w:val="24"/>
          <w:highlight w:val="none"/>
        </w:rPr>
        <w:t>.3</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同一投标人投标人递交两份或多份内容不同的投标文件，或在一份投标文件中对同一采购项目报有两个或多个报价，且未声明哪一个有效，按招标文件规定提交备选方案的除外。</w:t>
      </w:r>
    </w:p>
    <w:p>
      <w:pPr>
        <w:pageBreakBefore w:val="0"/>
        <w:widowControl w:val="0"/>
        <w:spacing w:line="460" w:lineRule="exact"/>
        <w:ind w:left="479"/>
        <w:rPr>
          <w:rFonts w:hint="eastAsia" w:ascii="宋体" w:hAnsi="宋体"/>
          <w:bCs/>
          <w:color w:val="auto"/>
          <w:sz w:val="24"/>
          <w:highlight w:val="none"/>
        </w:rPr>
      </w:pP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 xml:space="preserve">5 </w:t>
      </w:r>
      <w:r>
        <w:rPr>
          <w:rFonts w:hint="eastAsia" w:ascii="宋体" w:hAnsi="宋体"/>
          <w:bCs/>
          <w:color w:val="auto"/>
          <w:sz w:val="24"/>
          <w:highlight w:val="none"/>
        </w:rPr>
        <w:t>投标人不具备招标文件中规定资格要求的。</w:t>
      </w:r>
    </w:p>
    <w:p>
      <w:pPr>
        <w:pageBreakBefore w:val="0"/>
        <w:widowControl w:val="0"/>
        <w:spacing w:line="460" w:lineRule="exact"/>
        <w:ind w:firstLine="480"/>
        <w:rPr>
          <w:rFonts w:hint="eastAsia" w:ascii="宋体" w:hAnsi="宋体"/>
          <w:bCs/>
          <w:color w:val="auto"/>
          <w:sz w:val="24"/>
          <w:highlight w:val="none"/>
        </w:rPr>
      </w:pP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 xml:space="preserve">6 </w:t>
      </w:r>
      <w:r>
        <w:rPr>
          <w:rFonts w:hint="eastAsia" w:ascii="宋体" w:hAnsi="宋体"/>
          <w:bCs/>
          <w:color w:val="auto"/>
          <w:sz w:val="24"/>
          <w:highlight w:val="none"/>
        </w:rPr>
        <w:t>投标人的报价超过了采购预算或最高限价的。</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宋体" w:hAnsi="宋体" w:eastAsia="宋体"/>
          <w:bCs/>
          <w:color w:val="auto"/>
          <w:sz w:val="24"/>
          <w:highlight w:val="none"/>
          <w:lang w:eastAsia="zh-CN"/>
        </w:rPr>
        <w:t>26.1</w:t>
      </w:r>
      <w:r>
        <w:rPr>
          <w:rFonts w:hint="eastAsia" w:ascii="Times New Roman" w:hAnsi="Times New Roman" w:eastAsia="宋体" w:cs="Times New Roman"/>
          <w:color w:val="auto"/>
          <w:sz w:val="24"/>
          <w:szCs w:val="22"/>
          <w:highlight w:val="none"/>
          <w:lang w:val="en-US" w:eastAsia="zh-CN" w:bidi="ar-SA"/>
        </w:rPr>
        <w:t>.7 被授权人无法提供证明其为本单位正式职工的社会养老保险缴费证明的</w:t>
      </w:r>
    </w:p>
    <w:p>
      <w:pPr>
        <w:pageBreakBefore w:val="0"/>
        <w:widowControl w:val="0"/>
        <w:spacing w:line="460" w:lineRule="exact"/>
        <w:ind w:firstLine="480"/>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26.1.8 由被授权人参加，但未随投标文件一起提交合法、有效的“授权委托书”的；</w:t>
      </w:r>
    </w:p>
    <w:p>
      <w:pPr>
        <w:pageBreakBefore w:val="0"/>
        <w:widowControl w:val="0"/>
        <w:spacing w:line="460" w:lineRule="exact"/>
        <w:ind w:firstLine="480"/>
        <w:rPr>
          <w:rFonts w:hint="eastAsia" w:ascii="宋体" w:hAnsi="宋体"/>
          <w:bCs/>
          <w:color w:val="auto"/>
          <w:sz w:val="24"/>
          <w:highlight w:val="none"/>
        </w:rPr>
      </w:pP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 xml:space="preserve">9 </w:t>
      </w:r>
      <w:r>
        <w:rPr>
          <w:rFonts w:hint="eastAsia" w:cs="Times New Roman"/>
          <w:color w:val="auto"/>
          <w:sz w:val="24"/>
          <w:szCs w:val="22"/>
          <w:highlight w:val="none"/>
          <w:lang w:val="en-US" w:eastAsia="zh-CN" w:bidi="ar-SA"/>
        </w:rPr>
        <w:t>投标文件内容不全或关键字迹模糊、无法辨认的</w:t>
      </w:r>
    </w:p>
    <w:p>
      <w:pPr>
        <w:pageBreakBefore w:val="0"/>
        <w:widowControl w:val="0"/>
        <w:spacing w:line="460" w:lineRule="exact"/>
        <w:ind w:firstLine="480"/>
        <w:rPr>
          <w:rFonts w:hint="eastAsia" w:cs="Times New Roman"/>
          <w:color w:val="auto"/>
          <w:sz w:val="24"/>
          <w:szCs w:val="22"/>
          <w:highlight w:val="none"/>
          <w:lang w:val="en-US" w:eastAsia="zh-CN" w:bidi="ar-SA"/>
        </w:rPr>
      </w:pP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10</w:t>
      </w:r>
      <w:r>
        <w:rPr>
          <w:rFonts w:hint="eastAsia" w:cs="Times New Roman"/>
          <w:color w:val="auto"/>
          <w:sz w:val="24"/>
          <w:szCs w:val="22"/>
          <w:highlight w:val="none"/>
          <w:lang w:val="en-US" w:eastAsia="zh-CN" w:bidi="ar-SA"/>
        </w:rPr>
        <w:t>投标文件修改处未加盖投标人公章的</w:t>
      </w:r>
    </w:p>
    <w:p>
      <w:pPr>
        <w:pageBreakBefore w:val="0"/>
        <w:widowControl w:val="0"/>
        <w:spacing w:line="460" w:lineRule="exact"/>
        <w:ind w:firstLine="480"/>
        <w:rPr>
          <w:rFonts w:hint="eastAsia" w:ascii="宋体" w:hAnsi="宋体"/>
          <w:bCs/>
          <w:i/>
          <w:color w:val="auto"/>
          <w:sz w:val="24"/>
          <w:highlight w:val="none"/>
          <w:u w:val="single"/>
        </w:rPr>
      </w:pP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11</w:t>
      </w:r>
      <w:r>
        <w:rPr>
          <w:rFonts w:hint="eastAsia" w:ascii="宋体" w:hAnsi="宋体"/>
          <w:bCs/>
          <w:color w:val="auto"/>
          <w:sz w:val="24"/>
          <w:highlight w:val="none"/>
        </w:rPr>
        <w:t>未通过符合性审查的。</w:t>
      </w:r>
    </w:p>
    <w:p>
      <w:pPr>
        <w:pageBreakBefore w:val="0"/>
        <w:widowControl w:val="0"/>
        <w:spacing w:line="460" w:lineRule="exact"/>
        <w:ind w:firstLine="360"/>
        <w:rPr>
          <w:rFonts w:hint="eastAsia" w:ascii="宋体" w:hAnsi="宋体"/>
          <w:bCs/>
          <w:i/>
          <w:color w:val="auto"/>
          <w:sz w:val="24"/>
          <w:highlight w:val="none"/>
          <w:u w:val="singl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12</w:t>
      </w:r>
      <w:r>
        <w:rPr>
          <w:rFonts w:hint="eastAsia" w:ascii="宋体" w:hAnsi="宋体"/>
          <w:bCs/>
          <w:color w:val="auto"/>
          <w:sz w:val="24"/>
          <w:highlight w:val="none"/>
        </w:rPr>
        <w:t>不符合招标文件中规定的实质性要求和条件的</w:t>
      </w:r>
      <w:r>
        <w:rPr>
          <w:rFonts w:hint="eastAsia" w:ascii="宋体" w:hAnsi="宋体"/>
          <w:bCs/>
          <w:i/>
          <w:color w:val="auto"/>
          <w:sz w:val="24"/>
          <w:highlight w:val="none"/>
          <w:u w:val="single"/>
        </w:rPr>
        <w:t>。</w:t>
      </w:r>
    </w:p>
    <w:p>
      <w:pPr>
        <w:pageBreakBefore w:val="0"/>
        <w:widowControl w:val="0"/>
        <w:spacing w:line="460" w:lineRule="exact"/>
        <w:ind w:firstLine="480"/>
        <w:rPr>
          <w:rFonts w:hint="eastAsia" w:ascii="宋体" w:hAnsi="宋体"/>
          <w:bCs/>
          <w:color w:val="auto"/>
          <w:sz w:val="24"/>
          <w:highlight w:val="none"/>
        </w:rPr>
      </w:pP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13</w:t>
      </w:r>
      <w:r>
        <w:rPr>
          <w:rFonts w:hint="eastAsia" w:ascii="宋体" w:hAnsi="宋体"/>
          <w:bCs/>
          <w:color w:val="auto"/>
          <w:sz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ageBreakBefore w:val="0"/>
        <w:widowControl w:val="0"/>
        <w:spacing w:line="460" w:lineRule="exact"/>
        <w:ind w:firstLine="480"/>
        <w:rPr>
          <w:rFonts w:hint="eastAsia" w:ascii="宋体" w:hAnsi="宋体"/>
          <w:bCs/>
          <w:color w:val="auto"/>
          <w:sz w:val="24"/>
          <w:highlight w:val="none"/>
        </w:rPr>
      </w:pP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14</w:t>
      </w:r>
      <w:r>
        <w:rPr>
          <w:rFonts w:hint="eastAsia" w:ascii="宋体" w:hAnsi="宋体"/>
          <w:bCs/>
          <w:color w:val="auto"/>
          <w:sz w:val="24"/>
          <w:highlight w:val="none"/>
        </w:rPr>
        <w:t xml:space="preserve"> 投标文件含有采购人不能接受的附加条件的。</w:t>
      </w:r>
    </w:p>
    <w:p>
      <w:pPr>
        <w:pageBreakBefore w:val="0"/>
        <w:widowControl w:val="0"/>
        <w:spacing w:line="460" w:lineRule="exact"/>
        <w:ind w:firstLine="480"/>
        <w:rPr>
          <w:rFonts w:hint="eastAsia" w:ascii="宋体" w:hAnsi="宋体"/>
          <w:bCs/>
          <w:color w:val="auto"/>
          <w:sz w:val="24"/>
          <w:highlight w:val="none"/>
        </w:rPr>
      </w:pP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15</w:t>
      </w:r>
      <w:r>
        <w:rPr>
          <w:rFonts w:hint="eastAsia" w:ascii="宋体" w:hAnsi="宋体"/>
          <w:bCs/>
          <w:color w:val="auto"/>
          <w:sz w:val="24"/>
          <w:highlight w:val="none"/>
        </w:rPr>
        <w:t>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苏采云系统</w:t>
      </w:r>
      <w:r>
        <w:rPr>
          <w:rFonts w:hint="eastAsia" w:ascii="宋体" w:hAnsi="宋体"/>
          <w:bCs/>
          <w:color w:val="auto"/>
          <w:sz w:val="24"/>
          <w:highlight w:val="none"/>
        </w:rPr>
        <w:t>要求其在合理的时间内提供说明，必要时提交相关证明材料；投标人不能证明其报价合理性的</w:t>
      </w:r>
      <w:r>
        <w:rPr>
          <w:rFonts w:hint="eastAsia" w:cs="Times New Roman"/>
          <w:color w:val="auto"/>
          <w:sz w:val="24"/>
          <w:szCs w:val="22"/>
          <w:highlight w:val="none"/>
          <w:lang w:val="en-US" w:eastAsia="zh-CN" w:bidi="ar-SA"/>
        </w:rPr>
        <w:t>或虽说明理由但评标委员会认为其理由不能成立的</w:t>
      </w:r>
      <w:r>
        <w:rPr>
          <w:rFonts w:hint="eastAsia" w:ascii="宋体" w:hAnsi="宋体"/>
          <w:bCs/>
          <w:color w:val="auto"/>
          <w:sz w:val="24"/>
          <w:highlight w:val="none"/>
        </w:rPr>
        <w:t>。</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26.1.16 投标文件中所供产品供货期限（服务周期）、售后服务条款不符合招标文件相关条款要求或技术指标要求、货物的包装方式、检验标准等低于招标文件规定指标、要求的；</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26.1.17 以他人的名义投标、串通投标、以行贿手段谋取中标或者以其他弄虚作假方式投标的；</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26.1.18 组成联合体，投标文件未附联合体协议的。</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26.1.19 投标文件未按照招标文件要求签署或加盖CA电子公章的。</w:t>
      </w:r>
    </w:p>
    <w:p>
      <w:pPr>
        <w:pageBreakBefore w:val="0"/>
        <w:widowControl w:val="0"/>
        <w:spacing w:line="460" w:lineRule="exact"/>
        <w:ind w:firstLine="480"/>
        <w:rPr>
          <w:rFonts w:hint="eastAsia" w:ascii="宋体" w:hAnsi="宋体"/>
          <w:bCs/>
          <w:color w:val="auto"/>
          <w:sz w:val="24"/>
          <w:highlight w:val="none"/>
        </w:rPr>
      </w:pPr>
      <w:r>
        <w:rPr>
          <w:rFonts w:hint="eastAsia" w:ascii="宋体" w:hAnsi="宋体"/>
          <w:bCs/>
          <w:color w:val="auto"/>
          <w:sz w:val="24"/>
          <w:highlight w:val="none"/>
          <w:lang w:eastAsia="zh-CN"/>
        </w:rPr>
        <w:t>26.1</w:t>
      </w:r>
      <w:r>
        <w:rPr>
          <w:rFonts w:hint="eastAsia" w:ascii="宋体" w:hAnsi="宋体"/>
          <w:bCs/>
          <w:color w:val="auto"/>
          <w:sz w:val="24"/>
          <w:highlight w:val="none"/>
        </w:rPr>
        <w:t>.</w:t>
      </w:r>
      <w:r>
        <w:rPr>
          <w:rFonts w:hint="eastAsia" w:ascii="宋体" w:hAnsi="宋体"/>
          <w:bCs/>
          <w:color w:val="auto"/>
          <w:sz w:val="24"/>
          <w:highlight w:val="none"/>
          <w:lang w:val="en-US" w:eastAsia="zh-CN"/>
        </w:rPr>
        <w:t>20</w:t>
      </w:r>
      <w:r>
        <w:rPr>
          <w:rFonts w:hint="eastAsia" w:ascii="宋体" w:hAnsi="宋体"/>
          <w:bCs/>
          <w:color w:val="auto"/>
          <w:sz w:val="24"/>
          <w:highlight w:val="none"/>
        </w:rPr>
        <w:t>其他法律、法规及本招标文件规定的属无效投标的情形。</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26.3.1如出现投标截止时间结束后参加投标的供应商或者在评标期间对招标文件做出实质响应的供应商不足三家情况，按政府采购相关规定执行。</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六、定标</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27、确定中标单位</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将在“中国政府采购网、江苏政府采购网、盐城市政府采购网”发布中标公告，公告期限为1个工作日。</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27.4.2向采购人行贿或者提供其他不正当利益的。</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有下列情形之一的，视为投标人串通投标，投标无效：</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27.5.3不同投标人的投标文件载明的项目管理成员或者联系人员为同一人。</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28、质疑处理</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auto"/>
          <w:sz w:val="24"/>
          <w:szCs w:val="24"/>
          <w:highlight w:val="none"/>
          <w:lang w:eastAsia="zh-CN"/>
        </w:rPr>
        <w:t>。</w:t>
      </w:r>
    </w:p>
    <w:p>
      <w:pPr>
        <w:keepNext w:val="0"/>
        <w:keepLines w:val="0"/>
        <w:pageBreakBefore w:val="0"/>
        <w:widowControl w:val="0"/>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采购人只接收以纸质原件形式送达的质疑,建议供应商尽量通过邮寄方式提交质疑（采购人不接受未填写快递运单的快件）</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质疑受理部门</w:t>
      </w:r>
      <w:r>
        <w:rPr>
          <w:rFonts w:hint="eastAsia" w:ascii="宋体" w:hAnsi="宋体" w:eastAsia="宋体" w:cs="宋体"/>
          <w:color w:val="auto"/>
          <w:sz w:val="24"/>
          <w:szCs w:val="24"/>
          <w:highlight w:val="none"/>
          <w:lang w:eastAsia="zh-CN"/>
        </w:rPr>
        <w:t>：东台市安丰镇人民政府</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eastAsia="zh-CN"/>
        </w:rPr>
        <w:t>：东台市安丰镇府前路1号</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联系电话：15949103815</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29、中标通知书</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29.l 中标结果确定后，采购人将向中标人发出中标通知书。</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29.2中标通知书将是合同的一个组成部分。对采购人和中标人均具有法律效力。中标通知书发出后，采购人改变中标结果的，或者中标人放弃中标项目的，应当依法承担法律责任。</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七、授予合同</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30.签订合同</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30.2 采购人应当自政府采购合同签订之日起2个工作日内，将政府采购合同的扫描件（PDF格式）传送《苏采云系统》实施网上备案公示。</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Times New Roman"/>
          <w:bCs/>
          <w:color w:val="auto"/>
          <w:sz w:val="24"/>
          <w:highlight w:val="none"/>
          <w:u w:val="single"/>
          <w:lang w:val="en-US" w:eastAsia="zh-CN"/>
        </w:rPr>
        <w:t xml:space="preserve"> 是 </w:t>
      </w:r>
      <w:r>
        <w:rPr>
          <w:rFonts w:hint="eastAsia" w:ascii="宋体" w:hAnsi="宋体" w:eastAsia="宋体" w:cs="Times New Roman"/>
          <w:bCs/>
          <w:color w:val="auto"/>
          <w:sz w:val="24"/>
          <w:highlight w:val="none"/>
          <w:lang w:val="en-US" w:eastAsia="zh-CN"/>
        </w:rPr>
        <w:t>免收 ，降低履约保证金缴纳比例</w:t>
      </w:r>
      <w:r>
        <w:rPr>
          <w:rFonts w:hint="eastAsia" w:ascii="宋体" w:hAnsi="宋体" w:eastAsia="宋体" w:cs="Times New Roman"/>
          <w:bCs/>
          <w:color w:val="auto"/>
          <w:sz w:val="24"/>
          <w:highlight w:val="none"/>
          <w:u w:val="single"/>
          <w:lang w:val="en-US" w:eastAsia="zh-CN"/>
        </w:rPr>
        <w:t xml:space="preserve"> 100% </w:t>
      </w:r>
      <w:r>
        <w:rPr>
          <w:rFonts w:hint="eastAsia" w:ascii="宋体" w:hAnsi="宋体" w:eastAsia="宋体" w:cs="Times New Roman"/>
          <w:bCs/>
          <w:color w:val="auto"/>
          <w:sz w:val="24"/>
          <w:highlight w:val="none"/>
          <w:lang w:val="en-US" w:eastAsia="zh-CN"/>
        </w:rPr>
        <w:t>。</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履约保证金：由乙方在合同签订时向甲方提交，允许供应商自主选择以支票、汇票、本票、保函等非现金形式缴纳或提交。</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p>
    <w:p>
      <w:pPr>
        <w:pageBreakBefore w:val="0"/>
        <w:widowControl w:val="0"/>
        <w:spacing w:line="460" w:lineRule="exact"/>
        <w:ind w:firstLine="480"/>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30.5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p>
    <w:p>
      <w:pPr>
        <w:keepNext w:val="0"/>
        <w:keepLines w:val="0"/>
        <w:pageBreakBefore w:val="0"/>
        <w:widowControl w:val="0"/>
        <w:spacing w:line="360" w:lineRule="auto"/>
        <w:ind w:firstLine="560"/>
        <w:jc w:val="lef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31、服务（包含与服务相关的货物）的追加</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32、政府采购履约资金扶持政策</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pPr>
        <w:pStyle w:val="29"/>
        <w:keepNext/>
        <w:spacing w:beforeAutospacing="0" w:afterAutospacing="0"/>
        <w:jc w:val="center"/>
        <w:outlineLvl w:val="0"/>
        <w:rPr>
          <w:color w:val="auto"/>
          <w:highlight w:val="none"/>
        </w:rPr>
      </w:pPr>
      <w:bookmarkStart w:id="32" w:name="_Toc10"/>
      <w:r>
        <w:rPr>
          <w:rFonts w:hint="eastAsia" w:ascii="黑体" w:hAnsi="宋体" w:eastAsia="黑体" w:cs="黑体"/>
          <w:color w:val="auto"/>
          <w:sz w:val="44"/>
          <w:szCs w:val="44"/>
          <w:highlight w:val="none"/>
        </w:rPr>
        <w:t>第三章  合同文本</w:t>
      </w:r>
      <w:bookmarkEnd w:id="32"/>
    </w:p>
    <w:p>
      <w:pPr>
        <w:pStyle w:val="29"/>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以下为中标后签定本项目合同的通用条款，中标人不得提出实质性的修改。</w:t>
      </w:r>
    </w:p>
    <w:p>
      <w:pPr>
        <w:pStyle w:val="29"/>
        <w:spacing w:before="145" w:beforeAutospacing="0" w:after="145" w:afterAutospacing="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盐城市政府采购合同（服务）（合同编号）</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称：</w:t>
      </w:r>
      <w:r>
        <w:rPr>
          <w:rFonts w:hint="eastAsia" w:ascii="宋体" w:hAnsi="宋体" w:eastAsia="宋体" w:cs="宋体"/>
          <w:color w:val="auto"/>
          <w:sz w:val="24"/>
          <w:szCs w:val="24"/>
          <w:highlight w:val="none"/>
          <w:u w:val="single"/>
          <w:lang w:eastAsia="zh-CN"/>
        </w:rPr>
        <w:t>东台市安丰镇数字农业示范基地设备采购安装项目</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号：</w:t>
      </w:r>
      <w:r>
        <w:rPr>
          <w:rFonts w:hint="eastAsia" w:ascii="宋体" w:hAnsi="宋体" w:eastAsia="宋体" w:cs="宋体"/>
          <w:color w:val="auto"/>
          <w:sz w:val="24"/>
          <w:szCs w:val="24"/>
          <w:highlight w:val="none"/>
          <w:u w:val="single"/>
          <w:lang w:eastAsia="zh-CN"/>
        </w:rPr>
        <w:t>JSZC-320981-HYGC-G2024-0010</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rPr>
        <w:t xml:space="preserve">            </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r>
        <w:rPr>
          <w:rFonts w:hint="eastAsia" w:ascii="宋体" w:hAnsi="宋体" w:eastAsia="宋体" w:cs="宋体"/>
          <w:color w:val="auto"/>
          <w:sz w:val="24"/>
          <w:szCs w:val="24"/>
          <w:highlight w:val="none"/>
          <w:u w:val="single"/>
        </w:rPr>
        <w:t xml:space="preserve">            </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lang w:eastAsia="zh-CN"/>
        </w:rPr>
        <w:t>东台市安丰镇数字农业示范基地设备采购安装项目</w:t>
      </w:r>
      <w:r>
        <w:rPr>
          <w:rFonts w:hint="eastAsia" w:ascii="宋体" w:hAnsi="宋体" w:eastAsia="宋体" w:cs="宋体"/>
          <w:color w:val="auto"/>
          <w:sz w:val="24"/>
          <w:szCs w:val="24"/>
          <w:highlight w:val="none"/>
        </w:rPr>
        <w:t>公开招标的结果，签署本合同。</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一、合同内容</w:t>
      </w:r>
      <w:bookmarkStart w:id="48" w:name="_GoBack"/>
      <w:bookmarkEnd w:id="48"/>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 标的名称：</w:t>
      </w:r>
      <w:r>
        <w:rPr>
          <w:rFonts w:hint="eastAsia" w:ascii="宋体" w:hAnsi="宋体" w:eastAsia="宋体" w:cs="宋体"/>
          <w:color w:val="auto"/>
          <w:szCs w:val="21"/>
          <w:highlight w:val="none"/>
          <w:lang w:eastAsia="zh-CN"/>
        </w:rPr>
        <w:t>东台市安丰镇数字农业示范基地设备采购安装项目</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1.2标的质量：产品为全新未使用过的原装合格正品，安装质量应符合各项技术标准和国家强制性标准。项目数据必须确保接入省农业物联网管理服务平台。</w:t>
      </w:r>
    </w:p>
    <w:p>
      <w:pPr>
        <w:pStyle w:val="29"/>
        <w:keepNext w:val="0"/>
        <w:keepLines w:val="0"/>
        <w:pageBreakBefore w:val="0"/>
        <w:widowControl w:val="0"/>
        <w:spacing w:beforeAutospacing="0" w:afterAutospacing="0" w:line="360" w:lineRule="auto"/>
        <w:ind w:left="0"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1.3 标的数量（规模）：</w:t>
      </w:r>
      <w:r>
        <w:rPr>
          <w:rFonts w:hint="eastAsia" w:ascii="宋体" w:hAnsi="宋体" w:eastAsia="宋体" w:cs="宋体"/>
          <w:color w:val="auto"/>
          <w:sz w:val="24"/>
          <w:szCs w:val="24"/>
          <w:highlight w:val="none"/>
          <w:lang w:val="en-US" w:eastAsia="zh-CN"/>
        </w:rPr>
        <w:t>详见采购需求</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 履行时间（期限）：</w:t>
      </w:r>
      <w:r>
        <w:rPr>
          <w:rFonts w:hint="eastAsia" w:ascii="宋体" w:hAnsi="宋体" w:cs="宋体"/>
          <w:color w:val="auto"/>
          <w:szCs w:val="21"/>
          <w:highlight w:val="none"/>
        </w:rPr>
        <w:t>合同签订后30日历天内</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1.5 履行地点：</w:t>
      </w:r>
      <w:r>
        <w:rPr>
          <w:rFonts w:hint="eastAsia" w:ascii="宋体" w:hAnsi="宋体" w:eastAsia="宋体" w:cs="宋体"/>
          <w:color w:val="auto"/>
          <w:sz w:val="24"/>
          <w:szCs w:val="24"/>
          <w:highlight w:val="none"/>
          <w:lang w:eastAsia="zh-CN"/>
        </w:rPr>
        <w:t>东台市安丰镇境内</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1.6履行方式：</w:t>
      </w:r>
      <w:r>
        <w:rPr>
          <w:rFonts w:hint="eastAsia" w:ascii="宋体" w:hAnsi="宋体" w:cs="宋体"/>
          <w:color w:val="auto"/>
          <w:szCs w:val="21"/>
          <w:highlight w:val="none"/>
        </w:rPr>
        <w:t>供货到场，安装、调试、验收合格后交付</w:t>
      </w:r>
      <w:r>
        <w:rPr>
          <w:rFonts w:hint="eastAsia" w:ascii="宋体" w:hAnsi="宋体" w:eastAsia="宋体" w:cs="宋体"/>
          <w:color w:val="auto"/>
          <w:szCs w:val="21"/>
          <w:highlight w:val="none"/>
          <w:lang w:eastAsia="zh-CN"/>
        </w:rPr>
        <w:t>甲方</w:t>
      </w:r>
      <w:r>
        <w:rPr>
          <w:rFonts w:hint="eastAsia" w:ascii="宋体" w:hAnsi="宋体" w:cs="宋体"/>
          <w:color w:val="auto"/>
          <w:szCs w:val="21"/>
          <w:highlight w:val="none"/>
        </w:rPr>
        <w:t>使用</w:t>
      </w:r>
      <w:r>
        <w:rPr>
          <w:rFonts w:hint="eastAsia" w:ascii="宋体" w:hAnsi="宋体" w:eastAsia="宋体" w:cs="宋体"/>
          <w:color w:val="auto"/>
          <w:szCs w:val="21"/>
          <w:highlight w:val="none"/>
          <w:lang w:eastAsia="zh-CN"/>
        </w:rPr>
        <w:t>。</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二、合同金额</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2.1本合同金额为（大写）：______________元整（￥_______元）人民币。</w:t>
      </w:r>
    </w:p>
    <w:p>
      <w:pPr>
        <w:spacing w:line="360" w:lineRule="auto"/>
        <w:ind w:firstLine="480"/>
        <w:rPr>
          <w:color w:val="auto"/>
          <w:sz w:val="24"/>
          <w:szCs w:val="24"/>
          <w:highlight w:val="none"/>
        </w:rPr>
      </w:pPr>
      <w:r>
        <w:rPr>
          <w:rFonts w:hint="eastAsia"/>
          <w:color w:val="auto"/>
          <w:sz w:val="24"/>
          <w:szCs w:val="24"/>
          <w:highlight w:val="none"/>
        </w:rPr>
        <w:t>本合同价款包含所有乙方提供合同约定的服务报酬及乙方提供合同中服务所支出的所有费用，甲方在上述合同价款之外不再向乙方支付其他任何费用。</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三、技术资料</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w:t>
      </w:r>
      <w:r>
        <w:rPr>
          <w:rFonts w:hint="eastAsia" w:ascii="宋体" w:hAnsi="宋体" w:eastAsia="宋体" w:cs="宋体"/>
          <w:color w:val="auto"/>
          <w:sz w:val="24"/>
          <w:szCs w:val="24"/>
          <w:highlight w:val="none"/>
          <w:lang w:eastAsia="zh-CN"/>
        </w:rPr>
        <w:t>货物</w:t>
      </w:r>
      <w:r>
        <w:rPr>
          <w:rFonts w:hint="eastAsia" w:ascii="宋体" w:hAnsi="宋体" w:eastAsia="宋体" w:cs="宋体"/>
          <w:color w:val="auto"/>
          <w:sz w:val="24"/>
          <w:szCs w:val="24"/>
          <w:highlight w:val="none"/>
        </w:rPr>
        <w:t>（包含与</w:t>
      </w:r>
      <w:r>
        <w:rPr>
          <w:rFonts w:hint="eastAsia" w:ascii="宋体" w:hAnsi="宋体" w:eastAsia="宋体" w:cs="宋体"/>
          <w:color w:val="auto"/>
          <w:sz w:val="24"/>
          <w:szCs w:val="24"/>
          <w:highlight w:val="none"/>
          <w:lang w:eastAsia="zh-CN"/>
        </w:rPr>
        <w:t>货物</w:t>
      </w:r>
      <w:r>
        <w:rPr>
          <w:rFonts w:hint="eastAsia" w:ascii="宋体" w:hAnsi="宋体" w:eastAsia="宋体" w:cs="宋体"/>
          <w:color w:val="auto"/>
          <w:sz w:val="24"/>
          <w:szCs w:val="24"/>
          <w:highlight w:val="none"/>
        </w:rPr>
        <w:t>相关的</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）的有关技术资料。</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四、知识产权</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4.1乙方应保证甲方在使用、接受本合同</w:t>
      </w:r>
      <w:r>
        <w:rPr>
          <w:rFonts w:hint="eastAsia" w:ascii="宋体" w:hAnsi="宋体" w:eastAsia="宋体" w:cs="宋体"/>
          <w:color w:val="auto"/>
          <w:sz w:val="24"/>
          <w:szCs w:val="24"/>
          <w:highlight w:val="none"/>
          <w:lang w:eastAsia="zh-CN"/>
        </w:rPr>
        <w:t>货物</w:t>
      </w:r>
      <w:r>
        <w:rPr>
          <w:rFonts w:hint="eastAsia" w:ascii="宋体" w:hAnsi="宋体" w:eastAsia="宋体" w:cs="宋体"/>
          <w:color w:val="auto"/>
          <w:sz w:val="24"/>
          <w:szCs w:val="24"/>
          <w:highlight w:val="none"/>
        </w:rPr>
        <w:t>（包含与</w:t>
      </w:r>
      <w:r>
        <w:rPr>
          <w:rFonts w:hint="eastAsia" w:ascii="宋体" w:hAnsi="宋体" w:eastAsia="宋体" w:cs="宋体"/>
          <w:color w:val="auto"/>
          <w:sz w:val="24"/>
          <w:szCs w:val="24"/>
          <w:highlight w:val="none"/>
          <w:lang w:eastAsia="zh-CN"/>
        </w:rPr>
        <w:t>货物</w:t>
      </w:r>
      <w:r>
        <w:rPr>
          <w:rFonts w:hint="eastAsia" w:ascii="宋体" w:hAnsi="宋体" w:eastAsia="宋体" w:cs="宋体"/>
          <w:color w:val="auto"/>
          <w:sz w:val="24"/>
          <w:szCs w:val="24"/>
          <w:highlight w:val="none"/>
        </w:rPr>
        <w:t>相关的</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）或其任何一部分时不受第三方提出侵犯其专利权、版权、商标权和工业设计权等知识产权的起诉。一旦出现侵权，由乙方负全部责任。</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五、产权担保</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5.1乙方保证所交付的服务（包含与服务相关的货物）的所有权完全属于乙方且无任何抵押、查封等产权瑕疵。</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六、履约保证金</w:t>
      </w:r>
    </w:p>
    <w:p>
      <w:pPr>
        <w:spacing w:line="360" w:lineRule="auto"/>
        <w:ind w:firstLine="480"/>
        <w:rPr>
          <w:rFonts w:hint="eastAsia" w:ascii="宋体"/>
          <w:sz w:val="24"/>
          <w:szCs w:val="24"/>
        </w:rPr>
      </w:pPr>
      <w:r>
        <w:rPr>
          <w:rFonts w:hint="eastAsia" w:ascii="宋体" w:hAnsi="宋体" w:eastAsia="宋体" w:cs="宋体"/>
          <w:color w:val="auto"/>
          <w:sz w:val="24"/>
          <w:szCs w:val="24"/>
          <w:highlight w:val="none"/>
        </w:rPr>
        <w:t>6.1</w:t>
      </w:r>
      <w:r>
        <w:rPr>
          <w:rFonts w:hint="eastAsia" w:ascii="宋体"/>
          <w:sz w:val="24"/>
          <w:szCs w:val="24"/>
        </w:rPr>
        <w:t>乙方交纳人民币</w:t>
      </w:r>
      <w:r>
        <w:rPr>
          <w:rFonts w:hint="eastAsia" w:ascii="宋体"/>
          <w:sz w:val="24"/>
          <w:szCs w:val="24"/>
          <w:u w:val="single"/>
          <w:lang w:val="en-US" w:eastAsia="zh-CN"/>
        </w:rPr>
        <w:t>中标价8%</w:t>
      </w:r>
      <w:r>
        <w:rPr>
          <w:rFonts w:hint="eastAsia" w:ascii="宋体"/>
          <w:sz w:val="24"/>
          <w:szCs w:val="24"/>
          <w:lang w:val="en-US" w:eastAsia="zh-CN"/>
        </w:rPr>
        <w:t>元</w:t>
      </w:r>
      <w:r>
        <w:rPr>
          <w:rFonts w:hint="eastAsia" w:ascii="宋体"/>
          <w:sz w:val="24"/>
          <w:szCs w:val="24"/>
        </w:rPr>
        <w:t>作为本合同的履约保证金，交纳形式为转账、支票、汇票、本票或者金融机构、担保机构出具的保函、保险公司保险单等。中标人在收到中标通知书后，须在合同签订前，向招标人足额提交履约保证金或者保函，否则招标人可以取消中标资格，履约保证金在本项目验收合格后无息退还。依据《关于在全省政府采购领域推行电子履约保函（保险）的通知》，鼓励供应商自愿使用电子履约保函（保险）代替缴纳履约保证金。</w:t>
      </w:r>
    </w:p>
    <w:p>
      <w:pPr>
        <w:spacing w:line="360" w:lineRule="auto"/>
        <w:ind w:firstLine="480"/>
        <w:rPr>
          <w:rFonts w:hint="eastAsia" w:ascii="宋体"/>
          <w:sz w:val="24"/>
          <w:szCs w:val="24"/>
        </w:rPr>
      </w:pPr>
      <w:r>
        <w:rPr>
          <w:rFonts w:hint="eastAsia" w:ascii="宋体"/>
          <w:sz w:val="24"/>
          <w:szCs w:val="24"/>
        </w:rPr>
        <w:t>如以履约保函（保险）形式缴纳履约保证金，供应商可通过政府采购电子履约保函（保险）平台（www.jsdzbh.com）在线申请履约保函（保险）。</w:t>
      </w:r>
    </w:p>
    <w:p>
      <w:pPr>
        <w:spacing w:line="360" w:lineRule="auto"/>
        <w:ind w:firstLine="480"/>
        <w:rPr>
          <w:rFonts w:ascii="宋体"/>
          <w:sz w:val="24"/>
          <w:szCs w:val="24"/>
        </w:rPr>
      </w:pPr>
      <w:r>
        <w:rPr>
          <w:rFonts w:hint="eastAsia" w:ascii="宋体"/>
          <w:sz w:val="24"/>
          <w:szCs w:val="24"/>
          <w:lang w:val="en-US" w:eastAsia="zh-CN"/>
        </w:rPr>
        <w:t>6.2</w:t>
      </w:r>
      <w:r>
        <w:rPr>
          <w:rFonts w:hint="eastAsia" w:ascii="宋体"/>
          <w:sz w:val="24"/>
          <w:szCs w:val="24"/>
        </w:rPr>
        <w:t>履约保证金用以约束成交供应商在合同履行中的行为，弥补合同执行中由于自身行为可能给采购人带来的各种损失。鼓励采购人对AA评级及以上政府采购供应商（需提供信用管理部门备案的第三方信用报告，且信用报告概述页等内容通过“信用盐城”网站可查实），免收履约保证金。</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6.3履约保证金的退还：</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6.3.1方式：无息退还至投标人缴纳履约保证金的账户。如为保函，在到期时自行失效。</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6.3.2时间：验收合格且采购人收到发票后30日内。</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6.3.3条件：按合同要求全部履约完成并经采购人验收合格，且采购人收到中标人出具的发票。</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6.3.4不予退还情形：</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除不可抗力情况外，投标人出现下列情形之一的，其履约保证金，招标人将视情节决定不予退还或部分不予退还。</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（1）中标人无正当理由拒绝签订合同的，或者在签订合同时向采购人提出附加条件或者更改合同实质性内容要求的；</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（2）中标人不履行与采购人订立的合同的；</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（3）中标人所供货物或服务不符合招标文件规定要求的；</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（4）中标人采取欺骗、弄虚作假方式投标的或与其它投标人串通投标的；</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（5）中标人将合同内容转包、违法分包的；</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（6）中标人故意捏造事实或伪造证明材料，进行虚假恶意投诉或反映的。</w:t>
      </w:r>
    </w:p>
    <w:p>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6.3.5逾期退还的违约责任：采购人逾期无故未退还履约保证金的，按中国人民银行同期贷款基准利率上浮20%后的利率支付超期资金占用费，但因供应商自身原因导致无法及时退还的除外。</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七、合同转包或分包</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7.2乙方不得将合同标的分包给他人履行。</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八、合同款项支付</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8.1合同款项的支付方式及进度安排</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8.1.1 预付款支付时间：合同签订后</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日内，预付款支付比例：合同金额的</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8.1.2</w:t>
      </w:r>
      <w:r>
        <w:rPr>
          <w:rFonts w:hint="eastAsia" w:ascii="宋体" w:hAnsi="宋体" w:eastAsia="宋体" w:cs="宋体"/>
          <w:color w:val="auto"/>
          <w:sz w:val="24"/>
          <w:szCs w:val="24"/>
          <w:highlight w:val="none"/>
          <w:u w:val="single"/>
        </w:rPr>
        <w:t>所有货物经安装调试并验收合格后付合同价的50%</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审计结束后付至审定价的95%</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余款</w:t>
      </w:r>
      <w:r>
        <w:rPr>
          <w:rFonts w:hint="eastAsia" w:ascii="宋体" w:hAnsi="宋体" w:eastAsia="宋体" w:cs="宋体"/>
          <w:color w:val="auto"/>
          <w:sz w:val="24"/>
          <w:szCs w:val="24"/>
          <w:highlight w:val="none"/>
          <w:u w:val="single"/>
          <w:lang w:eastAsia="zh-CN"/>
        </w:rPr>
        <w:t>待项目验收合格</w:t>
      </w:r>
      <w:r>
        <w:rPr>
          <w:rFonts w:hint="eastAsia" w:ascii="宋体" w:hAnsi="宋体" w:eastAsia="宋体" w:cs="宋体"/>
          <w:color w:val="auto"/>
          <w:sz w:val="24"/>
          <w:szCs w:val="24"/>
          <w:highlight w:val="none"/>
          <w:u w:val="single"/>
        </w:rPr>
        <w:t>二年</w:t>
      </w:r>
      <w:r>
        <w:rPr>
          <w:rFonts w:hint="eastAsia" w:ascii="宋体" w:hAnsi="宋体" w:eastAsia="宋体" w:cs="宋体"/>
          <w:color w:val="auto"/>
          <w:sz w:val="24"/>
          <w:szCs w:val="24"/>
          <w:highlight w:val="none"/>
          <w:u w:val="single"/>
          <w:lang w:eastAsia="zh-CN"/>
        </w:rPr>
        <w:t>后一次性无息</w:t>
      </w:r>
      <w:r>
        <w:rPr>
          <w:rFonts w:hint="eastAsia" w:ascii="宋体" w:hAnsi="宋体" w:eastAsia="宋体" w:cs="宋体"/>
          <w:color w:val="auto"/>
          <w:sz w:val="24"/>
          <w:szCs w:val="24"/>
          <w:highlight w:val="none"/>
          <w:u w:val="single"/>
        </w:rPr>
        <w:t>付清</w:t>
      </w:r>
      <w:r>
        <w:rPr>
          <w:rFonts w:hint="eastAsia" w:ascii="宋体" w:hAnsi="宋体" w:eastAsia="宋体" w:cs="宋体"/>
          <w:color w:val="auto"/>
          <w:sz w:val="24"/>
          <w:szCs w:val="24"/>
          <w:highlight w:val="none"/>
          <w:u w:val="single"/>
          <w:lang w:eastAsia="zh-CN"/>
        </w:rPr>
        <w:t>。</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九、税费</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9.1本合同执行中相关的一切税费均由乙方负担。</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十、质量及验收方法</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甲方对乙方提交的货物依据招标文件上的技术规格要求和国家有关质量标准并邀请监理单位、相关部门专业人员进行现场初步验收，外观、说明书、设备技术要求等符合招标文件技术要求的，给予签收，初步验收不合格的不予签收进场安装。货到后，甲方需在七个工作日内验收。</w:t>
      </w:r>
    </w:p>
    <w:p>
      <w:pPr>
        <w:pStyle w:val="29"/>
        <w:keepNext w:val="0"/>
        <w:keepLines w:val="0"/>
        <w:pageBreakBefore w:val="0"/>
        <w:widowControl w:val="0"/>
        <w:spacing w:beforeAutospacing="0" w:afterAutospacing="0" w:line="360" w:lineRule="auto"/>
        <w:ind w:left="0"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乙方交货前应对产品作出全面检查和对验收文件进行整理，并列出清单，作为甲方收货验收和使用的技术条件依据，检验的结果应随货物交甲方。乙方在交货时，货物的品牌型号必须与投标报价单保持一致，必须保证品牌正宗，原始包装并附有合格证、产品安装使用说明书等相关资料。特殊情况需要调整品牌型号数量的，甲乙双方协商后须报主管预算单位同意后方可调整。</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方法：全部货物安装调试完毕后7日内，由甲方邀请监理单位、相关部门专业人员，按照招标文件的要求和现行技术标准、强制性标准对所供货物的技术性能、技术参数、安装质量等进行验收，并形成验收意见。项目数据必须确保接入省农业物联网管理服务平台，如乙方未能确保数据接入上级平台，甲方有权不予验收，直至项目数据接入省农业物联网管理服务平台方予验收。</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对于实际使用人和甲方分离的项目，甲方邀请实际使用人参与验收。</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如有必要，甲方邀请参加本项目的其他供应商或第三方专业机构及专家参与验收，相关意见将作为验收书的参考资料。</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十一、货物的包装、发运及运输</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.2 使用说明书、质量检验证明书、随配附件和工具以及清单一并附于货物内。</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.3 乙方在货物发运手续办理完毕后24小时内或货到甲方48小时前通知甲方，以准备接货。</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.4 货物在交付甲方前发生的风险均由乙方负责。</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val="0"/>
          <w:bCs/>
          <w:color w:val="auto"/>
          <w:sz w:val="24"/>
          <w:szCs w:val="24"/>
          <w:highlight w:val="none"/>
          <w:lang w:eastAsia="zh-CN"/>
        </w:rPr>
        <w:t>1</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.5 货物在规定的交付期限内由乙方送达甲方指定的地点视为交付，乙方同时需通知甲方货物已送达。</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十二、售后服务</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rPr>
        <w:t>在质量保证期</w:t>
      </w:r>
      <w:r>
        <w:rPr>
          <w:rFonts w:hint="eastAsia" w:ascii="宋体" w:hAnsi="宋体" w:eastAsia="宋体" w:cs="宋体"/>
          <w:color w:val="auto"/>
          <w:sz w:val="24"/>
          <w:szCs w:val="24"/>
          <w:highlight w:val="none"/>
          <w:lang w:eastAsia="zh-CN"/>
        </w:rPr>
        <w:t>（二年）</w:t>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所供货物发生故障时，</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人须在</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小时内到场维修，无法修复时，须在</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小时内提供备用产品，否则甲方有权自行处理，其费用在</w:t>
      </w:r>
      <w:r>
        <w:rPr>
          <w:rFonts w:hint="eastAsia" w:ascii="宋体" w:hAnsi="宋体" w:eastAsia="宋体" w:cs="宋体"/>
          <w:color w:val="auto"/>
          <w:sz w:val="24"/>
          <w:szCs w:val="24"/>
          <w:highlight w:val="none"/>
          <w:lang w:val="en-US" w:eastAsia="zh-CN"/>
        </w:rPr>
        <w:t>余款</w:t>
      </w:r>
      <w:r>
        <w:rPr>
          <w:rFonts w:hint="eastAsia" w:ascii="宋体" w:hAnsi="宋体" w:eastAsia="宋体" w:cs="宋体"/>
          <w:color w:val="auto"/>
          <w:sz w:val="24"/>
          <w:szCs w:val="24"/>
          <w:highlight w:val="none"/>
        </w:rPr>
        <w:t>中扣除。</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12.2</w:t>
      </w:r>
      <w:r>
        <w:rPr>
          <w:rFonts w:hint="eastAsia" w:ascii="宋体" w:hAnsi="宋体" w:eastAsia="宋体" w:cs="宋体"/>
          <w:color w:val="auto"/>
          <w:sz w:val="24"/>
          <w:szCs w:val="24"/>
          <w:highlight w:val="none"/>
        </w:rPr>
        <w:t>所有货物免费送达甲方指定地点，货物的托运、安装及预装常用软件（如需要）等，均不需另行付费。</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12.3</w:t>
      </w:r>
      <w:r>
        <w:rPr>
          <w:rFonts w:hint="eastAsia" w:ascii="宋体" w:hAnsi="宋体" w:eastAsia="宋体" w:cs="宋体"/>
          <w:color w:val="auto"/>
          <w:sz w:val="24"/>
          <w:szCs w:val="24"/>
          <w:highlight w:val="none"/>
        </w:rPr>
        <w:t>根据厂方的规定对所供货物进行保修，在质量保证期内，乙方不得收取任何费用；质量保证期满后，乙方对用户货物的维修，只收成本费，并提供终生技术服务。</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12.4</w:t>
      </w:r>
      <w:r>
        <w:rPr>
          <w:rFonts w:hint="eastAsia" w:ascii="宋体" w:hAnsi="宋体" w:eastAsia="宋体" w:cs="宋体"/>
          <w:color w:val="auto"/>
          <w:sz w:val="24"/>
          <w:szCs w:val="24"/>
          <w:highlight w:val="none"/>
        </w:rPr>
        <w:t>如甲方使用不当造成货物的毁损，乙方有义务协助维修。</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12.5</w:t>
      </w:r>
      <w:r>
        <w:rPr>
          <w:rFonts w:hint="eastAsia" w:ascii="宋体" w:hAnsi="宋体" w:eastAsia="宋体" w:cs="宋体"/>
          <w:color w:val="auto"/>
          <w:sz w:val="24"/>
          <w:szCs w:val="24"/>
          <w:highlight w:val="none"/>
        </w:rPr>
        <w:t>质量保证期满后，乙方和厂家应同样提供免费电话咨询服务，并以优惠价格提供售后服务。</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12.6</w:t>
      </w:r>
      <w:r>
        <w:rPr>
          <w:rFonts w:hint="eastAsia" w:ascii="宋体" w:hAnsi="宋体" w:eastAsia="宋体" w:cs="宋体"/>
          <w:color w:val="auto"/>
          <w:sz w:val="24"/>
          <w:szCs w:val="24"/>
          <w:highlight w:val="none"/>
        </w:rPr>
        <w:t>产品为全新，未使用过的原装合格正品，安装质量符合各项技术标准和国家强制性标准；</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12.7</w:t>
      </w:r>
      <w:r>
        <w:rPr>
          <w:rFonts w:hint="eastAsia" w:ascii="宋体" w:hAnsi="宋体" w:eastAsia="宋体" w:cs="宋体"/>
          <w:color w:val="auto"/>
          <w:sz w:val="24"/>
          <w:szCs w:val="24"/>
          <w:highlight w:val="none"/>
        </w:rPr>
        <w:t>产品到场时须提供生产厂商出具的产品出厂合格证明。</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十三、其他</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13.1</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应严格执行现行安全生产法律、法规，确保安全生产无事故（同时不得伤害他人）因</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原因造成的所有安全事故以及因项目质量问题而引发的一切安全事故均由</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负责，与</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无</w:t>
      </w:r>
      <w:r>
        <w:rPr>
          <w:rFonts w:hint="eastAsia" w:ascii="宋体" w:hAnsi="宋体" w:eastAsia="宋体" w:cs="宋体"/>
          <w:color w:val="auto"/>
          <w:sz w:val="24"/>
          <w:szCs w:val="24"/>
          <w:highlight w:val="none"/>
          <w:lang w:eastAsia="zh-CN"/>
        </w:rPr>
        <w:t>关。</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、违约责任</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rPr>
        <w:t>的违约金。</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.2甲方无故逾期验收和办理合同款项支付手续的,甲方应按逾期付款总额</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rPr>
        <w:t>每日向乙方支付违约金。</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乙方逾期提供服务的，延迟按200元/天/份罚款，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 xml:space="preserve">的违约金，如造成甲方损失超过违约金的，超出部分由乙方继续承担赔偿责任。 </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.4乙方所提供服务的标准不符合合同规定及招标文件规定标准的，甲方有权拒绝接受服务，并可单方面解除合同。</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、不可抗力事件处理</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.1在合同有效期内，任何一方因不可抗力事件导致不能履行合同，则合同履行期可延长，其延长期与不可抗力影响 期相同。</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.2不可抗力事件发生后，应立即通知对方，并寄送有关权威机构出具的证明。</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.3不可抗力事件延续120天以上，双方应通过友好协商，确定是否继续履行合同。</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、解决争议的方法</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.1双方在签订、履行合同中所发生的一切争议，应通过友好协商解决。如协商不成，由甲方住所地人民法院管辖。</w:t>
      </w:r>
    </w:p>
    <w:p>
      <w:pPr>
        <w:pStyle w:val="29"/>
        <w:keepNext w:val="0"/>
        <w:keepLines w:val="0"/>
        <w:pageBreakBefore w:val="0"/>
        <w:widowControl w:val="0"/>
        <w:spacing w:beforeAutospacing="0" w:afterAutospacing="0"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highlight w:val="none"/>
        </w:rPr>
        <w:t>、合同生效及其它</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.1合同经双方法定代表人或授权委托代表人签字并加盖单位公章后生效。</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.2本合同未尽事宜，遵照《民法典》、《政府采购法》有关条文执行。</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 本合同正本一式两份，具有同等法律效力，甲方、乙方各执一份。</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       法定代表人或授权代表：</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p>
    <w:p>
      <w:pPr>
        <w:pStyle w:val="29"/>
        <w:keepNext w:val="0"/>
        <w:keepLines w:val="0"/>
        <w:pageBreakBefore w:val="0"/>
        <w:widowControl w:val="0"/>
        <w:spacing w:beforeAutospacing="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签订日期：      年    月   日</w:t>
      </w:r>
      <w:bookmarkStart w:id="33" w:name="_Hlt16619350"/>
      <w:bookmarkStart w:id="34" w:name="_Hlt16619369"/>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pPr>
        <w:pStyle w:val="29"/>
        <w:keepNext w:val="0"/>
        <w:keepLines w:val="0"/>
        <w:pageBreakBefore w:val="0"/>
        <w:widowControl w:val="0"/>
        <w:spacing w:beforeAutospacing="0" w:afterAutospacing="0" w:line="360" w:lineRule="auto"/>
        <w:jc w:val="center"/>
        <w:outlineLvl w:val="0"/>
        <w:rPr>
          <w:color w:val="auto"/>
          <w:highlight w:val="none"/>
        </w:rPr>
      </w:pPr>
      <w:bookmarkStart w:id="35" w:name="_Toc11"/>
      <w:r>
        <w:rPr>
          <w:rFonts w:hint="eastAsia" w:ascii="黑体" w:hAnsi="宋体" w:eastAsia="黑体" w:cs="黑体"/>
          <w:color w:val="auto"/>
          <w:sz w:val="44"/>
          <w:szCs w:val="44"/>
          <w:highlight w:val="none"/>
        </w:rPr>
        <w:t>第四章 采购需求</w:t>
      </w:r>
      <w:bookmarkEnd w:id="33"/>
      <w:bookmarkEnd w:id="35"/>
    </w:p>
    <w:p>
      <w:pPr>
        <w:pStyle w:val="29"/>
        <w:spacing w:beforeAutospacing="0" w:afterAutospacing="0" w:line="0" w:lineRule="atLeast"/>
        <w:jc w:val="both"/>
        <w:rPr>
          <w:color w:val="auto"/>
          <w:highlight w:val="none"/>
        </w:rPr>
      </w:pPr>
      <w:r>
        <w:rPr>
          <w:rFonts w:hint="eastAsia" w:ascii="宋体" w:hAnsi="宋体" w:eastAsia="宋体" w:cs="宋体"/>
          <w:color w:val="auto"/>
          <w:highlight w:val="none"/>
        </w:rPr>
        <w:t>项目属性:</w:t>
      </w:r>
      <w:r>
        <w:rPr>
          <w:rFonts w:hint="eastAsia" w:ascii="宋体" w:hAnsi="宋体" w:eastAsia="宋体" w:cs="宋体"/>
          <w:color w:val="auto"/>
          <w:highlight w:val="none"/>
          <w:lang w:eastAsia="zh-CN"/>
        </w:rPr>
        <w:t>货物类项目</w:t>
      </w:r>
      <w:r>
        <w:rPr>
          <w:rFonts w:hint="eastAsia" w:ascii="宋体" w:hAnsi="宋体" w:eastAsia="宋体" w:cs="宋体"/>
          <w:color w:val="auto"/>
          <w:highlight w:val="none"/>
        </w:rPr>
        <w:t>。</w:t>
      </w:r>
    </w:p>
    <w:tbl>
      <w:tblPr>
        <w:tblStyle w:val="32"/>
        <w:tblW w:w="10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413"/>
        <w:gridCol w:w="6732"/>
        <w:gridCol w:w="677"/>
        <w:gridCol w:w="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466" w:type="dxa"/>
            <w:gridSpan w:val="5"/>
            <w:noWrap w:val="0"/>
            <w:vAlign w:val="center"/>
          </w:tcPr>
          <w:p>
            <w:pPr>
              <w:numPr>
                <w:ilvl w:val="0"/>
                <w:numId w:val="0"/>
              </w:numPr>
              <w:spacing w:after="0" w:line="240" w:lineRule="auto"/>
              <w:ind w:firstLine="643" w:firstLineChars="200"/>
              <w:jc w:val="center"/>
              <w:rPr>
                <w:rFonts w:hint="eastAsia" w:ascii="宋体" w:hAnsi="宋体" w:eastAsia="宋体" w:cs="宋体"/>
                <w:color w:val="auto"/>
                <w:kern w:val="0"/>
                <w:sz w:val="32"/>
                <w:szCs w:val="28"/>
                <w:highlight w:val="none"/>
                <w:lang w:val="en-US" w:eastAsia="zh-CN" w:bidi="ar-SA"/>
              </w:rPr>
            </w:pPr>
            <w:r>
              <w:rPr>
                <w:rFonts w:hint="eastAsia" w:ascii="宋体" w:hAnsi="宋体" w:eastAsia="宋体" w:cs="宋体"/>
                <w:b/>
                <w:bCs/>
                <w:color w:val="auto"/>
                <w:kern w:val="0"/>
                <w:sz w:val="32"/>
                <w:szCs w:val="28"/>
                <w:highlight w:val="none"/>
                <w:lang w:val="en-US" w:eastAsia="zh-CN" w:bidi="ar-SA"/>
              </w:rPr>
              <w:t>一、招标内容功能要求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66" w:type="dxa"/>
            <w:gridSpan w:val="5"/>
            <w:noWrap w:val="0"/>
            <w:vAlign w:val="top"/>
          </w:tcPr>
          <w:p>
            <w:pPr>
              <w:numPr>
                <w:ilvl w:val="0"/>
                <w:numId w:val="0"/>
              </w:numPr>
              <w:spacing w:after="0" w:line="240" w:lineRule="auto"/>
              <w:ind w:firstLine="480" w:firstLineChars="200"/>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本项目为数字乡村智慧农业(5G)应用示范项目，是运用物联网技术、云存储、边缘计算、GIS、GPS、5G通信、LORA组网、草莓葡萄生长技术、模型数据应用、智能控制等技术，建设基于葡萄需水模型数据应用，草莓环境温度、光照需求模型数据应用，全自动智能滴灌系统、全自动温度控制系统、全自动补光系统。实现农庄葡萄草莓生长管理数字化、标准化、设备智能化。基本功能需求如下。</w:t>
            </w:r>
          </w:p>
          <w:p>
            <w:pPr>
              <w:numPr>
                <w:ilvl w:val="0"/>
                <w:numId w:val="0"/>
              </w:numPr>
              <w:spacing w:after="0" w:line="240" w:lineRule="auto"/>
              <w:ind w:firstLine="480" w:firstLineChars="200"/>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1、基于设施葡萄的环境温度、需水模型数据实现葡萄生长大棚温度、滴灌全生长周期全自动控制。</w:t>
            </w:r>
          </w:p>
          <w:p>
            <w:pPr>
              <w:numPr>
                <w:ilvl w:val="0"/>
                <w:numId w:val="0"/>
              </w:numPr>
              <w:spacing w:after="0" w:line="240" w:lineRule="auto"/>
              <w:ind w:firstLine="480" w:firstLineChars="200"/>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2、基于室内草莓温度、光照需求模型数据实现全生长周期温度调节、补光全自动控制。</w:t>
            </w:r>
          </w:p>
          <w:p>
            <w:pPr>
              <w:numPr>
                <w:ilvl w:val="0"/>
                <w:numId w:val="0"/>
              </w:numPr>
              <w:spacing w:after="0" w:line="240" w:lineRule="auto"/>
              <w:ind w:firstLine="480" w:firstLineChars="200"/>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水肥一体化系统从水泵到施肥滴灌全程按系统设置的模式工作，支持草莓需水模型数据应用、支持定时定量滴灌、支持轮巡滴灌、支持手机及pc端控制、支持设备运行状态监控、支持故障预警、任何时候不论什么内部原因都不能造成动力电器损坏。</w:t>
            </w:r>
          </w:p>
          <w:p>
            <w:pPr>
              <w:numPr>
                <w:ilvl w:val="0"/>
                <w:numId w:val="0"/>
              </w:numPr>
              <w:spacing w:after="0" w:line="240" w:lineRule="auto"/>
              <w:ind w:firstLine="480" w:firstLineChars="200"/>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本次项目所有设备都必须在一个系统里运行统一管理。支持本地手动控制、自动控制(模型数据应用控制)、远程控制。支持所有数据、设备运行状态实时显示。系统支持pc端、手机、平板等。整个系统设置成自动运行模式时，无需人工操作，全生长周期无人化管理模式。这是项目的必须具备的应用功能。</w:t>
            </w:r>
          </w:p>
          <w:p>
            <w:pPr>
              <w:numPr>
                <w:ilvl w:val="0"/>
                <w:numId w:val="0"/>
              </w:numPr>
              <w:spacing w:after="0" w:line="240" w:lineRule="auto"/>
              <w:ind w:firstLine="480" w:firstLineChars="200"/>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5、为了保证系统的稳定性，本项目采用了双冗余通讯，总控系统运用局域网通讯，确保系统在外网中断的情况下稳定正常工作。</w:t>
            </w:r>
          </w:p>
          <w:p>
            <w:pPr>
              <w:numPr>
                <w:ilvl w:val="0"/>
                <w:numId w:val="0"/>
              </w:numPr>
              <w:spacing w:after="0" w:line="240" w:lineRule="auto"/>
              <w:ind w:firstLine="480" w:firstLineChars="200"/>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6、为了保证系统稳定、长期工作，项目采购的传感器、控制器、管道、水肥机、补光灯等质量、精度、功能须满足招标参数要术。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466" w:type="dxa"/>
            <w:gridSpan w:val="5"/>
            <w:noWrap w:val="0"/>
            <w:vAlign w:val="center"/>
          </w:tcPr>
          <w:p>
            <w:pPr>
              <w:numPr>
                <w:ilvl w:val="0"/>
                <w:numId w:val="0"/>
              </w:numPr>
              <w:spacing w:after="0" w:line="240" w:lineRule="auto"/>
              <w:ind w:firstLine="562" w:firstLineChars="200"/>
              <w:jc w:val="center"/>
              <w:rPr>
                <w:rFonts w:hint="eastAsia" w:ascii="宋体" w:hAnsi="宋体" w:eastAsia="宋体" w:cs="宋体"/>
                <w:b/>
                <w:bCs/>
                <w:color w:val="auto"/>
                <w:kern w:val="0"/>
                <w:sz w:val="28"/>
                <w:szCs w:val="24"/>
                <w:highlight w:val="none"/>
                <w:lang w:val="en-US" w:eastAsia="zh-CN" w:bidi="ar-SA"/>
              </w:rPr>
            </w:pPr>
            <w:r>
              <w:rPr>
                <w:rFonts w:hint="eastAsia" w:ascii="宋体" w:hAnsi="宋体" w:eastAsia="宋体" w:cs="宋体"/>
                <w:b/>
                <w:bCs/>
                <w:color w:val="auto"/>
                <w:kern w:val="0"/>
                <w:sz w:val="28"/>
                <w:szCs w:val="24"/>
                <w:highlight w:val="none"/>
                <w:lang w:val="en-US" w:eastAsia="zh-CN" w:bidi="ar-SA"/>
              </w:rPr>
              <w:t>招标内容具体数量及参数要求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序号</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货物名称</w:t>
            </w:r>
          </w:p>
        </w:tc>
        <w:tc>
          <w:tcPr>
            <w:tcW w:w="6732"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技术参数要求</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单位</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空气温度传感器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空气温度：量程-40～80℃,精度±0.3℃,分辨率0.1℃，12-24V DC,RS485通讯</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空气湿度传感器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空气湿度：量程 0～100%,精度±3%,分辨率0.1%，12-24V DC,RS485通讯</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光照传感器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照度: 量程0～200Klux，精度：±5%，分辨率1lux，12-24V DC,RS485通讯</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二氧化碳传感器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二氧化碳: 量程0～5000ppm，精度：±100ppm，分辨率1ppm，12-24V DC,RS485通讯</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土壤温度传感器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土壤温度：量程-40℃～80℃，精度±0.2℃，12-24V DC,RS485通讯</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土壤湿度传感器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土壤湿度：量程0～100%，精度 ±1%，12-24V DC,RS485通讯</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7</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塑料百叶罩</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全新ABS树脂材料，内径62.5mm，内部可集成相关传感器。</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8</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小型气象站</w:t>
            </w:r>
          </w:p>
        </w:tc>
        <w:tc>
          <w:tcPr>
            <w:tcW w:w="6732" w:type="dxa"/>
            <w:noWrap w:val="0"/>
            <w:vAlign w:val="center"/>
          </w:tcPr>
          <w:p>
            <w:pPr>
              <w:keepNext w:val="0"/>
              <w:keepLines w:val="0"/>
              <w:widowControl/>
              <w:numPr>
                <w:ilvl w:val="0"/>
                <w:numId w:val="0"/>
              </w:numPr>
              <w:suppressLineNumbers w:val="0"/>
              <w:spacing w:after="0" w:line="240" w:lineRule="auto"/>
              <w:ind w:left="0" w:leftChars="0" w:firstLine="0" w:firstLineChars="0"/>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主体包含空气温湿度传感器、光照传感器、风速传感器、雨量传感器、大气压力传感器等设备；实时采集环境参数上传农业大数据监测平台。</w:t>
            </w:r>
            <w:r>
              <w:rPr>
                <w:rFonts w:hint="eastAsia" w:ascii="宋体" w:hAnsi="宋体" w:eastAsia="宋体" w:cs="宋体"/>
                <w:color w:val="auto"/>
                <w:kern w:val="0"/>
                <w:sz w:val="24"/>
                <w:szCs w:val="22"/>
                <w:highlight w:val="none"/>
                <w:lang w:val="en-US" w:eastAsia="zh-CN" w:bidi="ar-SA"/>
              </w:rPr>
              <w:br w:type="textWrapping"/>
            </w:r>
            <w:r>
              <w:rPr>
                <w:rFonts w:hint="eastAsia" w:ascii="宋体" w:hAnsi="宋体" w:eastAsia="宋体" w:cs="宋体"/>
                <w:color w:val="auto"/>
                <w:kern w:val="0"/>
                <w:sz w:val="24"/>
                <w:szCs w:val="22"/>
                <w:highlight w:val="none"/>
                <w:lang w:val="en-US" w:eastAsia="zh-CN" w:bidi="ar-SA"/>
              </w:rPr>
              <w:t>1、空气温度，量程：-40～80℃；分辩率：0.1℃；精度：±0.2℃；</w:t>
            </w:r>
            <w:r>
              <w:rPr>
                <w:rFonts w:hint="eastAsia" w:ascii="宋体" w:hAnsi="宋体" w:eastAsia="宋体" w:cs="宋体"/>
                <w:color w:val="auto"/>
                <w:kern w:val="0"/>
                <w:sz w:val="24"/>
                <w:szCs w:val="22"/>
                <w:highlight w:val="none"/>
                <w:lang w:val="en-US" w:eastAsia="zh-CN" w:bidi="ar-SA"/>
              </w:rPr>
              <w:br w:type="textWrapping"/>
            </w:r>
            <w:r>
              <w:rPr>
                <w:rFonts w:hint="eastAsia" w:ascii="宋体" w:hAnsi="宋体" w:eastAsia="宋体" w:cs="宋体"/>
                <w:color w:val="auto"/>
                <w:kern w:val="0"/>
                <w:sz w:val="24"/>
                <w:szCs w:val="22"/>
                <w:highlight w:val="none"/>
                <w:lang w:val="en-US" w:eastAsia="zh-CN" w:bidi="ar-SA"/>
              </w:rPr>
              <w:t>2、空气湿度，量程：0～100%RH；分辨率：0.1%RH；精度：±1.5%RH；</w:t>
            </w:r>
            <w:r>
              <w:rPr>
                <w:rFonts w:hint="eastAsia" w:ascii="宋体" w:hAnsi="宋体" w:eastAsia="宋体" w:cs="宋体"/>
                <w:color w:val="auto"/>
                <w:kern w:val="0"/>
                <w:sz w:val="24"/>
                <w:szCs w:val="22"/>
                <w:highlight w:val="none"/>
                <w:lang w:val="en-US" w:eastAsia="zh-CN" w:bidi="ar-SA"/>
              </w:rPr>
              <w:br w:type="textWrapping"/>
            </w:r>
            <w:r>
              <w:rPr>
                <w:rFonts w:hint="eastAsia" w:ascii="宋体" w:hAnsi="宋体" w:eastAsia="宋体" w:cs="宋体"/>
                <w:color w:val="auto"/>
                <w:kern w:val="0"/>
                <w:sz w:val="24"/>
                <w:szCs w:val="22"/>
                <w:highlight w:val="none"/>
                <w:lang w:val="en-US" w:eastAsia="zh-CN" w:bidi="ar-SA"/>
              </w:rPr>
              <w:t>3、光照强度，量程：0～200000LUX;精度：±5LUX，分辨率：1LUX；</w:t>
            </w:r>
            <w:r>
              <w:rPr>
                <w:rFonts w:hint="eastAsia" w:ascii="宋体" w:hAnsi="宋体" w:eastAsia="宋体" w:cs="宋体"/>
                <w:color w:val="auto"/>
                <w:kern w:val="0"/>
                <w:sz w:val="24"/>
                <w:szCs w:val="22"/>
                <w:highlight w:val="none"/>
                <w:lang w:val="en-US" w:eastAsia="zh-CN" w:bidi="ar-SA"/>
              </w:rPr>
              <w:br w:type="textWrapping"/>
            </w:r>
            <w:r>
              <w:rPr>
                <w:rFonts w:hint="eastAsia" w:ascii="宋体" w:hAnsi="宋体" w:eastAsia="宋体" w:cs="宋体"/>
                <w:color w:val="auto"/>
                <w:kern w:val="0"/>
                <w:sz w:val="24"/>
                <w:szCs w:val="22"/>
                <w:highlight w:val="none"/>
                <w:lang w:val="en-US" w:eastAsia="zh-CN" w:bidi="ar-SA"/>
              </w:rPr>
              <w:t>4、气压，量程：300～1100hpa；分辨率：0.1hPa；精度：±1.5 hPa；</w:t>
            </w:r>
            <w:r>
              <w:rPr>
                <w:rFonts w:hint="eastAsia" w:ascii="宋体" w:hAnsi="宋体" w:eastAsia="宋体" w:cs="宋体"/>
                <w:color w:val="auto"/>
                <w:kern w:val="0"/>
                <w:sz w:val="24"/>
                <w:szCs w:val="22"/>
                <w:highlight w:val="none"/>
                <w:lang w:val="en-US" w:eastAsia="zh-CN" w:bidi="ar-SA"/>
              </w:rPr>
              <w:br w:type="textWrapping"/>
            </w:r>
            <w:r>
              <w:rPr>
                <w:rFonts w:hint="eastAsia" w:ascii="宋体" w:hAnsi="宋体" w:eastAsia="宋体" w:cs="宋体"/>
                <w:color w:val="auto"/>
                <w:kern w:val="0"/>
                <w:sz w:val="24"/>
                <w:szCs w:val="22"/>
                <w:highlight w:val="none"/>
                <w:lang w:val="en-US" w:eastAsia="zh-CN" w:bidi="ar-SA"/>
              </w:rPr>
              <w:t>5、风速，量程：0～30m/s；分辨率：0.1m/s；精度：±0.1m/s；起动风速：≤0.5m/s；</w:t>
            </w:r>
            <w:r>
              <w:rPr>
                <w:rFonts w:hint="eastAsia" w:ascii="宋体" w:hAnsi="宋体" w:eastAsia="宋体" w:cs="宋体"/>
                <w:color w:val="auto"/>
                <w:kern w:val="0"/>
                <w:sz w:val="24"/>
                <w:szCs w:val="22"/>
                <w:highlight w:val="none"/>
                <w:lang w:val="en-US" w:eastAsia="zh-CN" w:bidi="ar-SA"/>
              </w:rPr>
              <w:br w:type="textWrapping"/>
            </w:r>
            <w:r>
              <w:rPr>
                <w:rFonts w:hint="eastAsia" w:ascii="宋体" w:hAnsi="宋体" w:eastAsia="宋体" w:cs="宋体"/>
                <w:color w:val="auto"/>
                <w:kern w:val="0"/>
                <w:sz w:val="24"/>
                <w:szCs w:val="22"/>
                <w:highlight w:val="none"/>
                <w:lang w:val="en-US" w:eastAsia="zh-CN" w:bidi="ar-SA"/>
              </w:rPr>
              <w:t>6、风向，量程：0～360°；精度：±1°；</w:t>
            </w:r>
            <w:r>
              <w:rPr>
                <w:rFonts w:hint="eastAsia" w:ascii="宋体" w:hAnsi="宋体" w:eastAsia="宋体" w:cs="宋体"/>
                <w:color w:val="auto"/>
                <w:kern w:val="0"/>
                <w:sz w:val="24"/>
                <w:szCs w:val="22"/>
                <w:highlight w:val="none"/>
                <w:lang w:val="en-US" w:eastAsia="zh-CN" w:bidi="ar-SA"/>
              </w:rPr>
              <w:br w:type="textWrapping"/>
            </w:r>
            <w:r>
              <w:rPr>
                <w:rFonts w:hint="eastAsia" w:ascii="宋体" w:hAnsi="宋体" w:eastAsia="宋体" w:cs="宋体"/>
                <w:color w:val="auto"/>
                <w:kern w:val="0"/>
                <w:sz w:val="24"/>
                <w:szCs w:val="22"/>
                <w:highlight w:val="none"/>
                <w:lang w:val="en-US" w:eastAsia="zh-CN" w:bidi="ar-SA"/>
              </w:rPr>
              <w:t>7、降雨量，分辩率0.2mm；精度：±2%；降雨强度：0~30mm/min。标准Modbus-RTU协议</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9</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数据采集模块</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多通道数据采集仪，带下行485接口；供电方式：12V直流供电。上行RS485接口，标准Modbus-RTU协议，防水保护外壳。</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10</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5G通讯模块</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采用AC220V供电，输出DC12V直流电源；内置5G无线传输模块；标准Modbus-RTU协议，输入RS485信号；内置5G物联网卡。含3年5G流量费用。</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11</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数据采集箱</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尺寸宽300mm高400mm厚150mm；1.2mm厚工程级钢板，耐酸碱腐蚀，防水防防尘防虫；内置直流12V4.2A电源，防雷防短路。</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电流电压电量传感器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电流电压电量传感器，采用220V供电；内置485传输模块；采集电流电压电量数据。</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9" w:hRule="atLeast"/>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13</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控制器(控制中心总控)</w:t>
            </w:r>
          </w:p>
        </w:tc>
        <w:tc>
          <w:tcPr>
            <w:tcW w:w="6732" w:type="dxa"/>
            <w:noWrap w:val="0"/>
            <w:vAlign w:val="center"/>
          </w:tcPr>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参数要求。</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1.CPU32位ARM芯片，≥256MFIash，支持保留文件时间（寿命）≥ 13年。</w:t>
            </w:r>
            <w:r>
              <w:rPr>
                <w:rFonts w:hint="eastAsia" w:ascii="宋体" w:hAnsi="宋体" w:eastAsia="宋体" w:cs="宋体"/>
                <w:color w:val="auto"/>
                <w:kern w:val="0"/>
                <w:sz w:val="24"/>
                <w:szCs w:val="22"/>
                <w:highlight w:val="none"/>
                <w:lang w:val="en-US" w:eastAsia="zh-CN" w:bidi="ar-SA"/>
              </w:rPr>
              <w:br w:type="textWrapping"/>
            </w:r>
            <w:r>
              <w:rPr>
                <w:rFonts w:hint="eastAsia" w:ascii="宋体" w:hAnsi="宋体" w:eastAsia="宋体" w:cs="宋体"/>
                <w:color w:val="auto"/>
                <w:kern w:val="0"/>
                <w:sz w:val="24"/>
                <w:szCs w:val="22"/>
                <w:highlight w:val="none"/>
                <w:lang w:val="en-US" w:eastAsia="zh-CN" w:bidi="ar-SA"/>
              </w:rPr>
              <w:t>通信速率500kbps。高共模瞬变抗扰度&gt;25 kV/μs磁隔离保护。波特率1200/2400/4800/9600/19200/38400/57600/115200。RS485总线的最长传输距离≥1150米，加中继放大≥10500米。</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2.Modbus和BACnet双独立协议，可选用单一协议或双协议同时支持RS485 Modbus Slave协议，RS485 Modbus Master协议，RS485 BACnet MS/TP协议，以太网远程调试协议，以太网Modbus Slave协议。以太网BACnet IP协议。Modbus支持Slave模式和Master模式,2条RS485总线可同时用这2种模式。</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多设备运行≥20个现场设备进行互备功能。</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支持在离设备最近的位置构建边缘计算节点，利用系统自带的丰富功能逻辑函数模块设计并实施边缘计算功能和现场系统显示管理，实现现场系统自主运算输出结果与云端进行数据通信。</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3.支持可直接连接云平台进行双向数据通信。</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4.通讯≥2路，RS485和IP接入记录通讯双冗余,任意一条通路断开仍可通讯。</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5.LoRa无线低功耗、低宽带、距离大、大量连接。</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可适用于工业或恶劣环境下的联网控制系统。</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6.工作环境:-40℃≤温度≤88℃；0％≤相对湿度≤90％RH。</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项目数据必须接入省农业物联网管理服务平台。</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14</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大棚控制设备</w:t>
            </w:r>
          </w:p>
        </w:tc>
        <w:tc>
          <w:tcPr>
            <w:tcW w:w="6732" w:type="dxa"/>
            <w:noWrap w:val="0"/>
            <w:vAlign w:val="center"/>
          </w:tcPr>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参数要求。</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★1.CPU32位ARM芯片，≥256MFIash，支持保留文件时间（寿命）≥ 13年。</w:t>
            </w:r>
            <w:r>
              <w:rPr>
                <w:rFonts w:hint="eastAsia" w:ascii="宋体" w:hAnsi="宋体" w:eastAsia="宋体" w:cs="宋体"/>
                <w:color w:val="auto"/>
                <w:kern w:val="0"/>
                <w:sz w:val="24"/>
                <w:szCs w:val="22"/>
                <w:highlight w:val="yellow"/>
                <w:lang w:val="en-US" w:eastAsia="zh-CN" w:bidi="ar-SA"/>
              </w:rPr>
              <w:br w:type="textWrapping"/>
            </w:r>
            <w:r>
              <w:rPr>
                <w:rFonts w:hint="eastAsia" w:ascii="宋体" w:hAnsi="宋体" w:eastAsia="宋体" w:cs="宋体"/>
                <w:color w:val="auto"/>
                <w:kern w:val="0"/>
                <w:sz w:val="24"/>
                <w:szCs w:val="22"/>
                <w:highlight w:val="yellow"/>
                <w:lang w:val="en-US" w:eastAsia="zh-CN" w:bidi="ar-SA"/>
              </w:rPr>
              <w:t>通信速率500kbps，波特率1200/2400/4800/9600/19200/38400/57600/115200。</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★RS485总线的最长传输距离≥1150米，加中继放大≥10500米。</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2.Modbus和BACnet双独立协议，可选用单一协议或双协议。同时支持RS485 Modbus Slave协议，RS485 Modbus Master协议，RS485 BACnet MS/TP协议，以太网远程调试协议，以太网Modbus Slave协议。以太网BACnet IP协议。Modbus支持Slave模式和Master模式,2条RS485总线可同时用这2种模式。多设备运行≥20个现场设备进行互备功能。</w:t>
            </w:r>
          </w:p>
          <w:p>
            <w:pPr>
              <w:keepNext w:val="0"/>
              <w:keepLines w:val="0"/>
              <w:widowControl/>
              <w:numPr>
                <w:ilvl w:val="0"/>
                <w:numId w:val="0"/>
              </w:numPr>
              <w:suppressLineNumbers w:val="0"/>
              <w:shd w:val="clear" w:color="auto" w:fill="auto"/>
              <w:spacing w:after="0" w:line="240" w:lineRule="auto"/>
              <w:ind w:leftChars="0"/>
              <w:jc w:val="left"/>
              <w:textAlignment w:val="center"/>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★支持在离设备最近的位置构建边缘计算节点，利用系统自带的丰富功能逻辑函数模块设计并实施边缘计算功能和现场系统显示管理，实现现场系统自主运算输出结果与云端进行数据通信。</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3.支持直接连接云平台进行双向数据通信。</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★4.RS485和IP接入记录通讯双冗余,任意一条通路断开仍可通讯。</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5.LoRa无线低功耗、低宽带、距离大、大量连接。</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设备可适用于工业或恶劣环境下的联网控制系统。</w:t>
            </w:r>
          </w:p>
          <w:p>
            <w:pPr>
              <w:pStyle w:val="13"/>
              <w:shd w:val="clear" w:color="auto" w:fill="auto"/>
              <w:spacing w:after="0" w:line="240" w:lineRule="auto"/>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★6.工作环境:-40℃≤温度≤88℃；0％≤相对湿度≤90％RH。</w:t>
            </w:r>
          </w:p>
          <w:p>
            <w:pPr>
              <w:keepNext w:val="0"/>
              <w:keepLines w:val="0"/>
              <w:widowControl/>
              <w:numPr>
                <w:ilvl w:val="0"/>
                <w:numId w:val="0"/>
              </w:numPr>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项目数据必须接入省农业物联网管理服务平台。</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15</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触摸屏系统</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触摸屏规格采用≥7.0 英寸触摸屏，配套软件系统。含一套桌面式专用箱体。控制中心总控功能:1.实时展示农庄所有传感器数据，设备运行状态，报警预警信息。2.LORA无线组网，集中管理、统一协调运行。3.具有工作模式切换、远程控制、故障预警、灯光报警、远程维护功能。</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现场控制触摸屏便于现场展示。支持控制模式显示、模型数据全生长周期自动控制状态显示、接收控制中心总控控制。</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16</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小型继电器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小型继电器AC220v11脚，3开3闭5A。紫铜线圈，银合金触点，含底座。</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17</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LEDP6全彩显示屏</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显示尺寸：1536*576mm，P6全彩屏，防水箱体，同步支持标准的modbus协议，同步接收并实时显示棚内数据，与终端控制器直接配套使用，数据通讯稳定可靠，采用工业级芯片，适应高低温且潮湿环境。</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18</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监控摄像机</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 xml:space="preserve">400W球机 </w:t>
            </w:r>
          </w:p>
          <w:p>
            <w:pPr>
              <w:keepNext w:val="0"/>
              <w:keepLines w:val="0"/>
              <w:widowControl/>
              <w:numPr>
                <w:ilvl w:val="0"/>
                <w:numId w:val="1"/>
              </w:numPr>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 xml:space="preserve">视频输出支持2560×1440@25fps，分辨力不小于1400TVL，红外距离可达100米。 2、支持不低于23倍光学变倍，最大焦距不小于110mm。 </w:t>
            </w:r>
          </w:p>
          <w:p>
            <w:pPr>
              <w:keepNext w:val="0"/>
              <w:keepLines w:val="0"/>
              <w:widowControl/>
              <w:numPr>
                <w:ilvl w:val="0"/>
                <w:numId w:val="1"/>
              </w:numPr>
              <w:suppressLineNumbers w:val="0"/>
              <w:spacing w:after="0" w:line="240" w:lineRule="auto"/>
              <w:ind w:left="0" w:leftChars="0" w:firstLine="0" w:firstLineChars="0"/>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支持最低照度可达彩色0.0005Lux，黑白0.0001Lux。</w:t>
            </w:r>
          </w:p>
          <w:p>
            <w:pPr>
              <w:keepNext w:val="0"/>
              <w:keepLines w:val="0"/>
              <w:widowControl/>
              <w:numPr>
                <w:ilvl w:val="0"/>
                <w:numId w:val="1"/>
              </w:numPr>
              <w:suppressLineNumbers w:val="0"/>
              <w:spacing w:after="0" w:line="240" w:lineRule="auto"/>
              <w:ind w:left="0" w:leftChars="0" w:firstLine="0" w:firstLineChars="0"/>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11、支持智能红外、透雾、强光抑制、电子防抖、数字降噪、防红外过曝功能。</w:t>
            </w:r>
          </w:p>
          <w:p>
            <w:pPr>
              <w:keepNext w:val="0"/>
              <w:keepLines w:val="0"/>
              <w:widowControl/>
              <w:numPr>
                <w:ilvl w:val="0"/>
                <w:numId w:val="1"/>
              </w:numPr>
              <w:suppressLineNumbers w:val="0"/>
              <w:spacing w:after="0" w:line="240" w:lineRule="auto"/>
              <w:ind w:left="0" w:leftChars="0" w:firstLine="0" w:firstLineChars="0"/>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支持区域入侵、越界入侵、徘徊、物品移除、物品遗留、人员聚集、停车，并联动报警 。</w:t>
            </w:r>
          </w:p>
          <w:p>
            <w:pPr>
              <w:keepNext w:val="0"/>
              <w:keepLines w:val="0"/>
              <w:widowControl/>
              <w:numPr>
                <w:ilvl w:val="0"/>
                <w:numId w:val="1"/>
              </w:numPr>
              <w:suppressLineNumbers w:val="0"/>
              <w:spacing w:after="0" w:line="240" w:lineRule="auto"/>
              <w:ind w:left="0" w:leftChars="0" w:firstLine="0" w:firstLineChars="0"/>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具备较好的防护性能环境适应性，支持IP66，6kV防浪涌，工作温度范围可达-30℃-65℃。</w:t>
            </w:r>
          </w:p>
          <w:p>
            <w:pPr>
              <w:keepNext w:val="0"/>
              <w:keepLines w:val="0"/>
              <w:widowControl/>
              <w:numPr>
                <w:ilvl w:val="0"/>
                <w:numId w:val="1"/>
              </w:numPr>
              <w:suppressLineNumbers w:val="0"/>
              <w:spacing w:after="0" w:line="240" w:lineRule="auto"/>
              <w:ind w:left="0" w:leftChars="0" w:firstLine="0" w:firstLineChars="0"/>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支持对镜头前盖玻璃加热，去除玻璃上的冰状和水状附着物。</w:t>
            </w:r>
          </w:p>
          <w:p>
            <w:pPr>
              <w:pStyle w:val="13"/>
              <w:spacing w:after="0" w:line="240" w:lineRule="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7、具备较好的电源适应性，电压在DC12V±30%范围内变化时，设备可正常工作。</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19</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无线网桥</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室外无线AP监控专用远距离高速无线网桥校园别墅WiFi覆盖，双千兆口，传输距离5公里。</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20</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分支交换机</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8个千兆端口，双向传输2000Mbps。</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21</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监控硬盘</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监控级硬盘4T</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22</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高清硬盘录像机</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用于展示中心存储浏览，支持私有云服务。编解码能力 h.264/h.265；设备支持摄像头接入平台；设备支持视频接入路数：16路1080P，同时并发16路1080P；提供硬盘位：四盘位；双RJ45网口。</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23</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交换机</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28口核心交换机，24个10/100/1000Base-T自适应以太网口，4个千兆SFP口，1个管理口。交换容量336Gbps/3.36Tbps，包转发率51Mpps/126Mpps。支持GE端口聚合、支持10GE端口聚合、支持静态聚合、支持动态聚合、支持跨设备聚合。支持ARP，支持DHCP，支持静态域名解析，支持动态域名客户端，支持IPV4和IPV6地址。整机功率不超过25W。</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24</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机柜、机架</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标准机柜1200mm*600mm*600mm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25</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双绞线缆</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国标超五类网线。</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m</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26</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专用线缆</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国标RVV2*1.0。</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m</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27</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农业物联网云平台电脑端软件</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农业物联网软件系统开发。系统支持pc机运行，支持集成动态地图、传感器数据显示、视频数据展示、数据分析、执行控制、历史数据查询等功能于一体。显示所有传感器数据，能够查询历史数据，能够自动或远程控制园区大棚遮阳网、天窗、喷淋系统、滴灌系统、水肥一体化、水泵等设备，实时显示设备运行状态，及时预警报警。</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28</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农业物联网手机端软件</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农业物联网软件系统手机端。系统支持传感器数据显示、视频数据、执行控制等功能于一体，能够自动或远程控制大棚内风机和内遮阳网、天窗、喷淋系统、滴灌系统、水肥一体化、水泵等设备。</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29</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5G网络及互联网专线</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园区5G网络信号全覆盖，5G信号强度RSRP值均≥-90dbm，SINR值均≥10db。互联网专线，带宽100M及以上，服务期3年</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30</w:t>
            </w:r>
          </w:p>
        </w:tc>
        <w:tc>
          <w:tcPr>
            <w:tcW w:w="1413" w:type="dxa"/>
            <w:noWrap w:val="0"/>
            <w:vAlign w:val="center"/>
          </w:tcPr>
          <w:p>
            <w:pPr>
              <w:keepNext w:val="0"/>
              <w:keepLines w:val="0"/>
              <w:widowControl/>
              <w:numPr>
                <w:ilvl w:val="0"/>
                <w:numId w:val="0"/>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LED全彩显示屏</w:t>
            </w:r>
          </w:p>
        </w:tc>
        <w:tc>
          <w:tcPr>
            <w:tcW w:w="6732" w:type="dxa"/>
            <w:noWrap w:val="0"/>
            <w:vAlign w:val="center"/>
          </w:tcPr>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屏体显示面积长4.16m宽2.4m</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像素点间距：≤1.8mm单元板分辨率：≥14792 Dots</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刷新率：≥3840Hz，支持通过配套控制软件调节刷新率设置选项</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像素构成：1R、1G、1B</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封装方式：SMD表贴三合一，铜线封装，五面黑灯，表面不反光</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驱动方式：恒流驱动</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控制方式：同步控制系统</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维护方式：前后双向维护</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整屏平整度≤0.04mm</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白平衡亮度：0-700cd/㎡可调；亮度调节：0-100%亮度可调，256级手动/自动调节，屏幕亮度具有随环境照度的变化任意调整功能；亮度均匀性：≥99%</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色温800K-18000K可调；白平衡状态下色温在6500K±5%；色温为6500K时，100%75%50%25%档电平白场调节色温误差≤100K"</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水平视角≥170°；垂直视角≥170°</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对比度≥8500：1</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峰值功耗≤300W/m²；平均功耗≤120W/m²</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供电电源：在4.2*（1±10%）VDC～4.5*（1±10%）VDC范围内能正常工作</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输入电压：支持宽压输入 在96-264VAC，支持窄压输入在200-240VAC，在该范围内能正常工作</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防护性能：具有防静电、防电磁干扰、防腐蚀、防霉菌、防虫、防潮、抗震动、抗雷击等功能；具有电源过压、过流、断电保护、分布上电措施、防护等级达到IP60</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具有列下消隐功能、倍频刷新率提升2/4/8倍、低灰偏色改善</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正常播放视频状态下点亮5分钟后产品表面温度升幅≤1.5℃，点亮10分钟后其温度升幅≤8℃；产品在白平衡状态下点亮5分钟后产品表面温度升幅≤8℃，点亮10分钟后其温度升幅≤18℃；产品正常使用工作达到热平衡状态后，屏体结构金属部分温度升幅≤30℃，绝缘材料温度升幅≤30℃。</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产品采用高端芯片，可智能调节正常工作与睡眠状态下的节能效果（动态节能，智能息屏），开启智能节电功能比没有开启节能50%以上</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具备防蓝光护眼功能，蓝光辐射能量≤20%。蓝光辐射能量值对人眼视网膜无伤害，LED显示屏蓝光辐亮度≤0.5W.m-2.sr-1,符合肉眼观看标准。</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★支持PPA碗杯结构、点胶封装、出光方式为单面发光；显示面采用高强度化学防护材质，防碰撞、耐冲击、高耐磨、抗腐蚀、防划痕，可直接擦拭LED附着力≥100N；在灯珠四侧以水平夹角 45°的方向施加推力 15N，灯珠未破碎或脱落。</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为了防止LED光源对人眼的伤害，LED电子显示屏产品通过TUV莱茵低蓝光认证，无视网膜蓝光危害。</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★为保证产品的绿色环保性能，对人体不产生危害，LED显示屏的设计生产活动中，所有电子元器件、组装件、相关物料和过程通过国际电工委员会质量评定体系（IECQ）标准要求。</w:t>
            </w:r>
          </w:p>
          <w:p>
            <w:pPr>
              <w:keepNext w:val="0"/>
              <w:keepLines w:val="0"/>
              <w:widowControl/>
              <w:numPr>
                <w:ilvl w:val="0"/>
                <w:numId w:val="2"/>
              </w:numPr>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yellow"/>
                <w:lang w:val="en-US" w:eastAsia="zh-CN" w:bidi="ar-SA"/>
              </w:rPr>
              <w:t>★为保证消除产品中的铅、汞、镉、六价铬、多溴联苯和多溴二苯醚，利于人体健康及环境保护。</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2" w:hRule="atLeast"/>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31</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视频信号处理设备</w:t>
            </w:r>
          </w:p>
        </w:tc>
        <w:tc>
          <w:tcPr>
            <w:tcW w:w="6732" w:type="dxa"/>
            <w:noWrap w:val="0"/>
            <w:vAlign w:val="center"/>
          </w:tcPr>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1.最大1920X1200@60Hz 输入分辨率</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2.最大带载520万像素，8路千兆网口输出</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3.最宽8192像素点或最高4096像素点</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4.支持4路信号输入:1xHDMI1.4，2xDVI，1xSDI</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5.支持单机或双机冗余备份</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6.支持1路独立音频输入，1路独立音频输出</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7.支持3画面显示，位置、大小可自由调节</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8.支持视频信号任意切换，裁剪，拼接，缩放</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9.支持HDCP高带宽数字内容保护技术</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10.支持亮度和色温调节</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11.支持低亮高灰，能有效地保持低亮下灰阶的完整显示</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12.支持设备间和网口间冗余备份多台控制器及控制器间任意网口指定备份其他区域控制范围内容。</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13.不正当操作导致控制器内部设置错乱，可一键恢复出厂标准设置。</w:t>
            </w:r>
          </w:p>
          <w:p>
            <w:pPr>
              <w:widowControl w:val="0"/>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14.支持自动倍频、2 倍频、3 倍频，采用独特的倍频算法，针对视频源信号小于 30hz 可启用 2 倍频，小于 20hz 可启用 3 倍频，可以将输入信号转成 60Hz 信号输出，提高画面显示效果，信号最高帧率可达 100Hz。</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15</w:t>
            </w:r>
            <w:r>
              <w:rPr>
                <w:rFonts w:hint="eastAsia" w:ascii="宋体" w:hAnsi="宋体" w:eastAsia="宋体" w:cs="宋体"/>
                <w:color w:val="auto"/>
                <w:kern w:val="0"/>
                <w:sz w:val="24"/>
                <w:szCs w:val="22"/>
                <w:highlight w:val="yellow"/>
                <w:lang w:val="en-US" w:eastAsia="zh-CN" w:bidi="ar-SA"/>
              </w:rPr>
              <w:t>.★支持屏幕除湿功能，通过自定义设置预热屏幕减少屏幕水汽，可以减少死灯、短路、暗亮等问题，延长显示屏使用寿命。</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16.视频控制设备支持EUT的连接方法。</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32</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LED屏配套支架</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用于安装LED显示屏</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33</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接收卡</w:t>
            </w:r>
          </w:p>
        </w:tc>
        <w:tc>
          <w:tcPr>
            <w:tcW w:w="6732" w:type="dxa"/>
            <w:noWrap w:val="0"/>
            <w:vAlign w:val="center"/>
          </w:tcPr>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1.集成16个HUB75，无需再配转接板</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2.单卡最大带载256×1024像素，最多支持32组并行数据</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3.支持8bit色深视频源输入输出，单色灰阶为256，可搭配出16777216种混合色彩。</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4.支持自适应帧率技术，不仅支持23.98/24/29.97/30/50/59.94/60Hz常规及非整数帧率，还可输出显示120/240Hz高帧率画面，大幅提升画面流畅度、减少拖影。</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5.支持色温调节，提供调整色温，即饱和度调节，增强画面表现力</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6.支持低亮高灰</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7.支持亮色度逐点校正，能有效消除灯点色差，保证整屏的颜色亮度的均匀性和一致性，提升整体显示效果</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8.支持箱体标定和快速标序</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9.支持画面旋转，单个箱体画面以90°/180°/270°角度进行旋转，配合部分主控可实现单箱体画面任意角度旋转显示</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10.支持数据偏移，支持误码侦测</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11.支持环路备份，支持固件备份</w:t>
            </w:r>
          </w:p>
          <w:p>
            <w:pPr>
              <w:spacing w:after="0" w:line="240" w:lineRule="atLeas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12.8bit 精度的色度，亮度一体化逐点校正，能有效消除灯点色差，保证整屏的颜色亮度的均匀性和一致性，提升整体显示效果。</w:t>
            </w:r>
          </w:p>
          <w:p>
            <w:pPr>
              <w:keepNext w:val="0"/>
              <w:keepLines w:val="0"/>
              <w:widowControl/>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13.检测接收卡之间数据传输质量和误码情况，可以方便快捷地识别出硬件连接异常的箱体，便于维护。</w:t>
            </w:r>
          </w:p>
          <w:p>
            <w:pPr>
              <w:keepNext w:val="0"/>
              <w:keepLines w:val="0"/>
              <w:widowControl/>
              <w:suppressLineNumbers w:val="0"/>
              <w:spacing w:after="0" w:line="240" w:lineRule="auto"/>
              <w:jc w:val="left"/>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yellow"/>
                <w:lang w:val="en-US" w:eastAsia="zh-CN" w:bidi="ar-SA"/>
              </w:rPr>
              <w:t>14.★支持一帧延迟，发送端到显示端延迟达到一帧，解决系统延迟导致的画面不同步问题。</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34</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音箱</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单元组成 HF:1X1.75(34芯），LF:1X8(51芯140磁）频响（+/-3db) 62-19000Hz覆盖角度 90°X60°灵敏度（1M/1W） 94db输出声压级 124db功率 150W/AES,300W/peak分频点 2100Hz 输入连接 2XSpeakonNL4mp额定阻抗 8欧板材 15厘板，,12M8的吊点净尺寸 250mm x260mmx430mm重量 12Kg 推荐放大器功率 300W/8ohm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35</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功放系统设备</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1.机器内部局部采用SMT技术。</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2.高效率的环形变压器，保证充足电源供应。</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3.功放电路选用半导体元器件，每只元件有足够的余量。</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4.散热风扇采用无级调速电路，保证了功放工作在较低的温度下。</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5.配有信号输入口与并联信号输出口。功放输出端配有Speakon和接线柱，适用与各种系统的安装要求。</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6.完善的保护，包括限幅，直流，开/关机冲击电路，输出短路保护，过热保护。</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型号  MA-3输出功率/Power8Ω ≥350W×2。输出功率/Power4Ω ≥475W×2</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 xml:space="preserve">频率响应 20HZ—20KHZ:±0.5Db   </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输入灵敏度 1V。信噪比 ＞103DB。总谐波失真 ≤0.05%</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输入阻抗 平衡20KΩ/非平衡10KΩ。消耗功率 900W</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36</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反馈抑制器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主要特征</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1.有效抑制话筒啸叫，消除反馈于未然，一键式操作模式，简单好用</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2.采用DSP技术，实时抓取啸叫点，自动适应声学环境</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3.超远会议话筒拾音距离，能自动适应拾音距离</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 8+2路输入，8路话筒输入和两路LINE输入（音乐输入），话筒和线路输入增益可调，调整范围大于12dB。</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5.高品质话放，带+48V幻象电源，每路幻象电源独立开关控制，互不干扰.</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6.每路输入带独立增益调节，可以适合不同的话筒同时使用</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7.前四路话筒是可以选择卡农或6.35接口输入，接线方便。</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8.音乐LINE输入音量单独调节，并有信号指示灯，操作直观</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9.8路话筒在面板有总的音量调节旋钮，带信号指示灯和峰值指示灯，操作更加便捷</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10.左右平衡式输出，带8段LED电平指示，输出大小可调，信噪比更好。</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11.各路话筒和音乐在输出进行混合后输出，也可以当混音器使用</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12.频率响应：20Hz~20KHz,+/-1.5dB 。DSP采样率：192KHz 。AD/DA转换：24比特 。总频波失真：&lt;0.01%(+4dBU,1KHz) 。最大输出：+22dBu(平衡）,+16dBu(不平衡）  。信噪比：&gt;95dB  。</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输入电源：220v~50Hz</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37</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电源时序器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1、显示窗≥2寸彩色液晶屏,实时显示当前电压、电流，功率显示屏。</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2、定时开关机功能,内置时钟芯片,可根据日期时间设定,无需人为操作,让设备管更简单,</w:t>
            </w:r>
          </w:p>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3、10组设备开关场景数据保存/调用,场景管理应用简单便捷。</w:t>
            </w:r>
          </w:p>
          <w:p>
            <w:pPr>
              <w:spacing w:after="0" w:line="240" w:lineRule="auto"/>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★4、具有欠压 、超压检测及报警功能,为您的设备提供了可靠的保障,总功率≥7200,单通道最大功率≥2860w。</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5、支持多台设备级联控制,级联状态可自动检测及设置。</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6、配置RS232接口支持外部中央控制设备控</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7、可实现远程集中控制,每台设备自带设备编码ID检测和设置。8、支持面板Lock锁定功能,防止人为误操作。</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 xml:space="preserve">9.大功率线路,主电源线规格:3X6平方长度:1米输入电压(110V~230V)  </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 xml:space="preserve">10 智能WIFI传输30M无遮挡（3.4GWiFi网络）   </w:t>
            </w:r>
          </w:p>
          <w:p>
            <w:pPr>
              <w:keepNext w:val="0"/>
              <w:keepLines w:val="0"/>
              <w:widowControl/>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yellow"/>
                <w:lang w:val="en-US" w:eastAsia="zh-CN" w:bidi="ar-SA"/>
              </w:rPr>
              <w:t>★11.支持智能手机APP软件远程控制。</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38</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配线</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2×2.5纯铜高保真音响线</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m</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39</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话筒</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特点：1.采用23级电子音量控制,简约搭配</w:t>
            </w:r>
          </w:p>
          <w:p>
            <w:pPr>
              <w:keepNext w:val="0"/>
              <w:keepLines w:val="0"/>
              <w:widowControl/>
              <w:numPr>
                <w:ilvl w:val="0"/>
                <w:numId w:val="0"/>
              </w:numPr>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2.采用真分集接收技术，空阔最大使用距离300米</w:t>
            </w:r>
          </w:p>
          <w:p>
            <w:pPr>
              <w:keepNext w:val="0"/>
              <w:keepLines w:val="0"/>
              <w:widowControl/>
              <w:numPr>
                <w:ilvl w:val="0"/>
                <w:numId w:val="0"/>
              </w:numPr>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3.具有一键自动搜空闲频点功能、一键锁定按键功能4.300组频点红外线对频，手咪通用，抗干扰能力强</w:t>
            </w:r>
          </w:p>
          <w:p>
            <w:pPr>
              <w:keepNext w:val="0"/>
              <w:keepLines w:val="0"/>
              <w:widowControl/>
              <w:numPr>
                <w:ilvl w:val="0"/>
                <w:numId w:val="0"/>
              </w:numPr>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5.发射LCD显示频道和电池电量，电池低压闪烁至1.8V自动关机</w:t>
            </w:r>
          </w:p>
          <w:p>
            <w:pPr>
              <w:keepNext w:val="0"/>
              <w:keepLines w:val="0"/>
              <w:widowControl/>
              <w:numPr>
                <w:ilvl w:val="0"/>
                <w:numId w:val="0"/>
              </w:numPr>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6.设有回输啸叫抑制减弱功能，能有效减少回输啸叫</w:t>
            </w:r>
          </w:p>
          <w:p>
            <w:pPr>
              <w:keepNext w:val="0"/>
              <w:keepLines w:val="0"/>
              <w:widowControl/>
              <w:numPr>
                <w:ilvl w:val="0"/>
                <w:numId w:val="0"/>
              </w:numPr>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 xml:space="preserve">7.适用于大小舞台，会议厅等 </w:t>
            </w:r>
          </w:p>
          <w:p>
            <w:pPr>
              <w:keepNext w:val="0"/>
              <w:keepLines w:val="0"/>
              <w:widowControl/>
              <w:numPr>
                <w:ilvl w:val="0"/>
                <w:numId w:val="0"/>
              </w:numPr>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8.可可选配件：手持、领夹、头戴、鹅颈系统指标:频率范围：640-690MHz调制方式：宽带FM可调范围：60MHz信道数目：300信道间隔：200KHz频率稳定度：±0.005%以内动态范围：&gt;105dB最大频偏：±45KHz音频响应：40Hz-18KHz(±3dB)综合信噪比：&gt;110dB综合失真：≤0.2%工作温度：-25℃--+40℃接收机指标：接收机方式：二次变频超外差输入功率：5W中频频率：第一中频：110MHz,第二中频10.7MHz无线接口：BNC/50Ω灵敏度：12 dBμV (80dBS/N)灵敏度调节范围：10-32dBμV杂散抑制：≥95dB最大输出电平：+10 dBV发射器指标：天线程式：佩挂发射器采用1/4 波长鞭状天线,手持麦克风内置天线输出功率： 20mW杂散抑制：-60dB供电：两节 AA 电池使用时间：约8—10小时</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40</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潜水泵</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变频潜水泵功率11KW，流量50m3/h，扬程50米。含潜水泵供电缆15m，含水泵支架。含配套河道水位数据实时上传。</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41</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旧泵房改造</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原来建设的旧泵房改造升级，实现水源水位高度、出水管道压力数据、电流、电压、用电量实时上传并与水泵水肥机联动，实现自动、远程控制。</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项</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42</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智能水肥一体机</w:t>
            </w:r>
          </w:p>
        </w:tc>
        <w:tc>
          <w:tcPr>
            <w:tcW w:w="6732" w:type="dxa"/>
            <w:noWrap w:val="0"/>
            <w:vAlign w:val="center"/>
          </w:tcPr>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全自动水肥－体机，双路比例施肥器，支持二路无动力吸肥，流量≥25吨/小时，稀释比例1%-5.5%。</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施肥器须具备以下功能：</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1.按照草莓全生长周期模型数据实现全自动灌溉。</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2.肥料配比精准无需动力电机，节能低碳。</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3.具有定时定量灌既，远程控制pc端、手机端、平板等设备支持。</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4.支持轮灌、水泵自动开关功能，</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5.支持管路压力预警，支持水肥机运行状态监控。</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6.支持远程电磁阀10通道控制;</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7.支持EC值数据上传</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8.支持4路温湿度传感器数据自动控制滴灌;</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9. 支持电动机故障预警保护。</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10.设备支持接入省物联网管理平台。</w:t>
            </w:r>
          </w:p>
          <w:p>
            <w:pPr>
              <w:keepNext w:val="0"/>
              <w:keepLines w:val="0"/>
              <w:widowControl/>
              <w:numPr>
                <w:ilvl w:val="0"/>
                <w:numId w:val="0"/>
              </w:numPr>
              <w:suppressLineNumbers w:val="0"/>
              <w:shd w:val="clear" w:color="auto" w:fill="auto"/>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11水肥机固定材料：标准铝型材40mm*40mm臂厚2.0mm，固定支架架构确保长期使用稳定不变形，牢固耐用。含配套63mmPE控制电磁阀门等设备。</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43</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搅拌肥料桶</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专用肥料桶，PE材质，圆柱形， 容量:500L。自动搅拌电机三相交流电压380V功率:0.75KW，配套肥料桶水位高度数据上传，自动报警。对接智能水肥一体机。</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44</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自动反冲洗砂石过滤器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最大工作压力:0.1-2.5Mp自清洗所需水量:&lt;1%。DN100主管、3寸排污、全自动反冲洗砂石过滤器双罐体，单罐直径800mm,内外烤漆，含石英砂，含控制器，碳钢Q235含压力表排气阀。支持物联网平台对接，支持预留手机APP升级接口。</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45</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自动反冲洗叠片过滤器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DN100主管、3寸排污、全自动反冲洗叠片过滤器3组，过滤精度120目，含控制器含压力表，最大工作压力:0.1-2.5Mpa， 过滤精度范围:120um自清洗所需水量:&lt;1%。支持物联网平台升级接口，支持预留手机APP升级接口。</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46</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离心过滤器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4寸离心过滤器（压力表排气阀）预留支持物联网平台接口，支持手机控制系统接入。支持预留省物联网平台联网接口。</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47</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智能变频控制柜</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全自动变频调速控制柜，控制电机功率：0.18-20KW；控制电压：380V；控制电机台数：1-7台；压力控制精度:0.02MPa或-0.02MPa。支持物联网平台对接，支持预留手机APP接口。</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48</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滴灌主管道</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★PE材质，直径110mm，1.6Mpa</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49</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滴灌支管道</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yellow"/>
                <w:lang w:val="en-US" w:eastAsia="zh-CN" w:bidi="ar-SA"/>
              </w:rPr>
            </w:pPr>
            <w:r>
              <w:rPr>
                <w:rFonts w:hint="eastAsia" w:ascii="宋体" w:hAnsi="宋体" w:eastAsia="宋体" w:cs="宋体"/>
                <w:color w:val="auto"/>
                <w:kern w:val="0"/>
                <w:sz w:val="24"/>
                <w:szCs w:val="22"/>
                <w:highlight w:val="yellow"/>
                <w:lang w:val="en-US" w:eastAsia="zh-CN" w:bidi="ar-SA"/>
              </w:rPr>
              <w:t>★PE材质，直径63mm，1.2Mpa</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50</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喷淋支管道</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PE材质，直径63mm，1.2Mpa含电磁阀</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51</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滴灌支管道</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PE材质，直径32mm，0.4Mpa</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52</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电动阀门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金属材质直径63mm电动阀门、PE材质直径63mm电磁阀根据情况配套</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53</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阀门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upvc材质，直径32mm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54</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滴灌管</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PE材质，直径16mm，厚度1.0mm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55</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滴灌管</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PE材质，直径16mm，厚度1.0mm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9120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56</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滴灌管</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PE材质，直径20mm，厚度1.0mm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4560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57</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喷头挂件旋转喷头</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直径20mm-400mm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58</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旁通阀</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直径20mm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59</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旁通阀</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直径16mm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个</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60</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卷膜器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24VDC，100W，单出轴</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61</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电机电源线</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RVV2*1.0</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62</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主电源线</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RVV2*2.0</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63</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电磁阀控制线</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RVV2*1.5</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64</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补光灯专用线</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专用防水灯头及一体化防水电缆</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960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65</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智能电箱</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400mm*500mm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66</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交流接触器</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220v9A</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台</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67</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专用补光灯</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产品功率：36W。产品尺寸：Φ118*H160MM。输入电压：AC180-265V。灯头：E27。LED：2835。数量：88PCS。发光角度：120°。效率： 2.3 μmol/J。光量子通量(PPF)：82μmol/s。</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套</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68</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专用钢丝</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钢丝直径2.2mm，防锈大棚专用钢丝。</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米</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960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69</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辅材</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各种辅材等</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批</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70</w:t>
            </w:r>
          </w:p>
        </w:tc>
        <w:tc>
          <w:tcPr>
            <w:tcW w:w="1413"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木质房屋</w:t>
            </w:r>
          </w:p>
        </w:tc>
        <w:tc>
          <w:tcPr>
            <w:tcW w:w="6732"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木屋规格：4000mm*6000mm*2300mm，地板材质1220mmX2440mmX20mm俄罗斯樟子松防腐木。外墙体40mmX70mm立柱、横梁112mmX112mm俄罗斯樟子松防腐木。免漆内墙板10×100mm俄罗斯樟子松免漆桑拿板，吊顶、龙骨20X30mm吊顶10×100mm俄罗斯樟子松免漆桑拿板。沥青瓦黑灰色，屋面底板1220mmX2440mmX10mm，OSB大板，屋顶斜梁40X70mm俄罗斯樟子松。窗户4个1200X1500mm铝合金窗，门1000X2000X80mm防盗门。基础：100mmC30砼，尺寸：长7000mm*宽5000mm*厚100mm。</w:t>
            </w:r>
          </w:p>
        </w:tc>
        <w:tc>
          <w:tcPr>
            <w:tcW w:w="677"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批</w:t>
            </w:r>
          </w:p>
        </w:tc>
        <w:tc>
          <w:tcPr>
            <w:tcW w:w="65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bidi="ar-SA"/>
              </w:rPr>
              <w:t>1</w:t>
            </w:r>
          </w:p>
        </w:tc>
      </w:tr>
    </w:tbl>
    <w:p>
      <w:pPr>
        <w:keepNext w:val="0"/>
        <w:keepLines w:val="0"/>
        <w:pageBreakBefore w:val="0"/>
        <w:widowControl w:val="0"/>
        <w:spacing w:line="360" w:lineRule="auto"/>
        <w:rPr>
          <w:rFonts w:hint="eastAsia" w:eastAsia="宋体"/>
          <w:color w:val="auto"/>
          <w:highlight w:val="none"/>
          <w:lang w:eastAsia="zh-CN"/>
        </w:rPr>
      </w:pPr>
      <w:r>
        <w:rPr>
          <w:b/>
          <w:bCs/>
          <w:color w:val="auto"/>
          <w:highlight w:val="none"/>
        </w:rPr>
        <w:t> </w:t>
      </w:r>
    </w:p>
    <w:p>
      <w:pPr>
        <w:pStyle w:val="29"/>
        <w:spacing w:beforeAutospacing="0" w:afterAutospacing="0"/>
        <w:ind w:firstLine="482"/>
        <w:jc w:val="both"/>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二、采购标的对应的中小企业划分标准所属行业一览表</w:t>
      </w:r>
    </w:p>
    <w:tbl>
      <w:tblPr>
        <w:tblStyle w:val="31"/>
        <w:tblW w:w="8559" w:type="dxa"/>
        <w:jc w:val="center"/>
        <w:tblCellSpacing w:w="0" w:type="dxa"/>
        <w:tblLayout w:type="fixed"/>
        <w:tblCellMar>
          <w:top w:w="0" w:type="dxa"/>
          <w:left w:w="108" w:type="dxa"/>
          <w:bottom w:w="0" w:type="dxa"/>
          <w:right w:w="108" w:type="dxa"/>
        </w:tblCellMar>
      </w:tblPr>
      <w:tblGrid>
        <w:gridCol w:w="697"/>
        <w:gridCol w:w="4212"/>
        <w:gridCol w:w="3650"/>
      </w:tblGrid>
      <w:tr>
        <w:tblPrEx>
          <w:tblCellMar>
            <w:top w:w="0" w:type="dxa"/>
            <w:left w:w="108" w:type="dxa"/>
            <w:bottom w:w="0" w:type="dxa"/>
            <w:right w:w="108" w:type="dxa"/>
          </w:tblCellMar>
        </w:tblPrEx>
        <w:trPr>
          <w:trHeight w:val="613" w:hRule="atLeast"/>
          <w:tblCellSpacing w:w="0" w:type="dxa"/>
          <w:jc w:val="center"/>
        </w:trPr>
        <w:tc>
          <w:tcPr>
            <w:tcW w:w="6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42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采购标的</w:t>
            </w:r>
          </w:p>
        </w:tc>
        <w:tc>
          <w:tcPr>
            <w:tcW w:w="3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对应中小企业划分标准所属行业</w:t>
            </w:r>
          </w:p>
        </w:tc>
      </w:tr>
      <w:tr>
        <w:tblPrEx>
          <w:tblCellMar>
            <w:top w:w="0" w:type="dxa"/>
            <w:left w:w="108" w:type="dxa"/>
            <w:bottom w:w="0" w:type="dxa"/>
            <w:right w:w="108" w:type="dxa"/>
          </w:tblCellMar>
        </w:tblPrEx>
        <w:trPr>
          <w:trHeight w:val="613" w:hRule="atLeast"/>
          <w:tblCellSpacing w:w="0" w:type="dxa"/>
          <w:jc w:val="center"/>
        </w:trPr>
        <w:tc>
          <w:tcPr>
            <w:tcW w:w="69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9"/>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42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9"/>
              <w:spacing w:beforeAutospacing="0" w:afterAutospacing="0" w:line="0" w:lineRule="atLeast"/>
              <w:jc w:val="center"/>
              <w:rPr>
                <w:color w:val="auto"/>
                <w:highlight w:val="none"/>
              </w:rPr>
            </w:pPr>
            <w:r>
              <w:rPr>
                <w:rFonts w:hint="eastAsia" w:eastAsia="宋体"/>
                <w:color w:val="auto"/>
                <w:highlight w:val="none"/>
                <w:lang w:eastAsia="zh-CN"/>
              </w:rPr>
              <w:t>东台市安丰镇数字农业示范基地设备采购安装项目</w:t>
            </w:r>
            <w:r>
              <w:rPr>
                <w:color w:val="auto"/>
                <w:highlight w:val="none"/>
              </w:rPr>
              <w:t> </w:t>
            </w:r>
          </w:p>
        </w:tc>
        <w:tc>
          <w:tcPr>
            <w:tcW w:w="3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9"/>
              <w:spacing w:beforeAutospacing="0" w:afterAutospacing="0" w:line="0" w:lineRule="atLeast"/>
              <w:jc w:val="center"/>
              <w:rPr>
                <w:color w:val="auto"/>
                <w:highlight w:val="none"/>
              </w:rPr>
            </w:pPr>
            <w:r>
              <w:rPr>
                <w:rFonts w:hint="eastAsia" w:eastAsia="宋体"/>
                <w:color w:val="auto"/>
                <w:highlight w:val="none"/>
                <w:lang w:eastAsia="zh-CN"/>
              </w:rPr>
              <w:t>工业</w:t>
            </w:r>
            <w:r>
              <w:rPr>
                <w:color w:val="auto"/>
                <w:highlight w:val="none"/>
              </w:rPr>
              <w:t> </w:t>
            </w:r>
          </w:p>
        </w:tc>
      </w:tr>
    </w:tbl>
    <w:p>
      <w:pPr>
        <w:pStyle w:val="29"/>
        <w:spacing w:beforeAutospacing="0" w:afterAutospacing="0"/>
        <w:jc w:val="both"/>
        <w:rPr>
          <w:color w:val="auto"/>
          <w:highlight w:val="none"/>
        </w:rPr>
      </w:pPr>
      <w:r>
        <w:rPr>
          <w:color w:val="auto"/>
          <w:highlight w:val="none"/>
        </w:rPr>
        <w:t> </w:t>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pPr>
        <w:pStyle w:val="29"/>
        <w:keepNext/>
        <w:spacing w:beforeAutospacing="0" w:afterAutospacing="0"/>
        <w:jc w:val="center"/>
        <w:outlineLvl w:val="0"/>
        <w:rPr>
          <w:color w:val="auto"/>
          <w:highlight w:val="none"/>
        </w:rPr>
      </w:pPr>
      <w:bookmarkStart w:id="36" w:name="_Toc12"/>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bookmarkEnd w:id="36"/>
    </w:p>
    <w:p>
      <w:pPr>
        <w:pStyle w:val="29"/>
        <w:spacing w:beforeAutospacing="0" w:afterAutospacing="0"/>
        <w:jc w:val="both"/>
        <w:rPr>
          <w:color w:val="auto"/>
          <w:highlight w:val="none"/>
        </w:rPr>
      </w:pPr>
      <w:r>
        <w:rPr>
          <w:color w:val="auto"/>
          <w:highlight w:val="none"/>
        </w:rPr>
        <w:t> </w:t>
      </w:r>
    </w:p>
    <w:p>
      <w:pPr>
        <w:pStyle w:val="29"/>
        <w:spacing w:before="120" w:beforeAutospacing="0" w:after="120" w:afterAutospacing="0" w:line="360" w:lineRule="auto"/>
        <w:ind w:firstLine="439"/>
        <w:rPr>
          <w:color w:val="auto"/>
          <w:highlight w:val="none"/>
        </w:rPr>
      </w:pPr>
      <w:r>
        <w:rPr>
          <w:rFonts w:ascii="Arial" w:hAnsi="Arial" w:cs="Arial"/>
          <w:color w:val="auto"/>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auto"/>
          <w:highlight w:val="none"/>
          <w:lang w:val="en-US" w:eastAsia="zh-CN"/>
        </w:rPr>
        <w:t>1</w:t>
      </w:r>
      <w:r>
        <w:rPr>
          <w:rFonts w:ascii="Arial" w:hAnsi="Arial" w:cs="Arial"/>
          <w:color w:val="auto"/>
          <w:highlight w:val="none"/>
        </w:rPr>
        <w:t>选取1名中标候选人。</w:t>
      </w:r>
    </w:p>
    <w:p>
      <w:pPr>
        <w:pStyle w:val="29"/>
        <w:spacing w:before="120" w:beforeAutospacing="0" w:after="120" w:afterAutospacing="0" w:line="360" w:lineRule="auto"/>
        <w:ind w:firstLine="441"/>
        <w:rPr>
          <w:color w:val="auto"/>
          <w:highlight w:val="none"/>
        </w:rPr>
      </w:pPr>
      <w:r>
        <w:rPr>
          <w:rFonts w:hint="eastAsia" w:ascii="宋体" w:hAnsi="宋体" w:eastAsia="宋体" w:cs="宋体"/>
          <w:b/>
          <w:color w:val="auto"/>
          <w:highlight w:val="none"/>
        </w:rPr>
        <w:t>政府采购政策功能落实</w:t>
      </w:r>
    </w:p>
    <w:p>
      <w:pPr>
        <w:pStyle w:val="29"/>
        <w:spacing w:before="120" w:beforeAutospacing="0" w:after="120" w:afterAutospacing="0" w:line="0" w:lineRule="atLeast"/>
        <w:ind w:firstLine="480"/>
        <w:rPr>
          <w:color w:val="auto"/>
          <w:highlight w:val="none"/>
        </w:rPr>
      </w:pPr>
      <w:r>
        <w:rPr>
          <w:rFonts w:hint="eastAsia" w:ascii="宋体" w:hAnsi="宋体" w:eastAsia="宋体" w:cs="宋体"/>
          <w:color w:val="auto"/>
          <w:highlight w:val="none"/>
        </w:rPr>
        <w:t>1、小微型企业价格扣除</w:t>
      </w:r>
    </w:p>
    <w:p>
      <w:pPr>
        <w:pStyle w:val="29"/>
        <w:spacing w:before="120" w:beforeAutospacing="0" w:after="120" w:afterAutospacing="0" w:line="0" w:lineRule="atLeast"/>
        <w:ind w:firstLine="360"/>
        <w:rPr>
          <w:rFonts w:ascii="宋体" w:hAnsi="宋体" w:eastAsia="宋体" w:cs="宋体"/>
          <w:color w:val="auto"/>
          <w:highlight w:val="none"/>
        </w:rPr>
      </w:pPr>
      <w:r>
        <w:rPr>
          <w:rFonts w:hint="eastAsia" w:ascii="宋体" w:hAnsi="宋体" w:eastAsia="宋体" w:cs="宋体"/>
          <w:color w:val="auto"/>
          <w:highlight w:val="none"/>
        </w:rPr>
        <w:t>（1）本项目对小型和微型企业提供的服务给予</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的扣除价格，用扣除后的价格参与评审。</w:t>
      </w:r>
    </w:p>
    <w:p>
      <w:pPr>
        <w:pStyle w:val="29"/>
        <w:spacing w:before="120" w:beforeAutospacing="0" w:after="120" w:afterAutospacing="0" w:line="0" w:lineRule="atLeast"/>
        <w:ind w:firstLine="360"/>
        <w:rPr>
          <w:color w:val="auto"/>
          <w:highlight w:val="none"/>
        </w:rPr>
      </w:pPr>
      <w:r>
        <w:rPr>
          <w:rFonts w:hint="eastAsia" w:ascii="宋体" w:hAnsi="宋体" w:eastAsia="宋体" w:cs="宋体"/>
          <w:color w:val="auto"/>
          <w:highlight w:val="none"/>
        </w:rPr>
        <w:t>（2）供应商需按照采购文件的要求提供相应的《小微企业声明函》。</w:t>
      </w:r>
    </w:p>
    <w:p>
      <w:pPr>
        <w:pStyle w:val="29"/>
        <w:spacing w:before="120" w:beforeAutospacing="0" w:after="120" w:afterAutospacing="0" w:line="0" w:lineRule="atLeast"/>
        <w:ind w:firstLine="360"/>
        <w:rPr>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pPr>
        <w:pStyle w:val="29"/>
        <w:spacing w:before="120" w:beforeAutospacing="0" w:after="120" w:afterAutospacing="0" w:line="0" w:lineRule="atLeast"/>
        <w:ind w:firstLine="480"/>
        <w:rPr>
          <w:color w:val="auto"/>
          <w:highlight w:val="none"/>
        </w:rPr>
      </w:pPr>
      <w:r>
        <w:rPr>
          <w:rFonts w:hint="eastAsia" w:ascii="宋体" w:hAnsi="宋体" w:eastAsia="宋体" w:cs="宋体"/>
          <w:color w:val="auto"/>
          <w:highlight w:val="none"/>
        </w:rPr>
        <w:t>2、残疾人福利单位价格扣除</w:t>
      </w:r>
    </w:p>
    <w:p>
      <w:pPr>
        <w:pStyle w:val="29"/>
        <w:spacing w:before="120" w:beforeAutospacing="0" w:after="120" w:afterAutospacing="0" w:line="0" w:lineRule="atLeast"/>
        <w:ind w:left="120" w:firstLine="360"/>
        <w:rPr>
          <w:rFonts w:ascii="宋体" w:hAnsi="宋体" w:eastAsia="宋体" w:cs="宋体"/>
          <w:color w:val="auto"/>
          <w:highlight w:val="none"/>
          <w:u w:val="single"/>
        </w:rPr>
      </w:pPr>
      <w:r>
        <w:rPr>
          <w:rFonts w:hint="eastAsia" w:ascii="宋体" w:hAnsi="宋体" w:eastAsia="宋体" w:cs="宋体"/>
          <w:color w:val="auto"/>
          <w:highlight w:val="none"/>
        </w:rPr>
        <w:t>（1）本项目对残疾人福利性单位视同小型、微型企业，给予</w:t>
      </w:r>
      <w:r>
        <w:rPr>
          <w:rFonts w:hint="eastAsia" w:ascii="宋体" w:hAnsi="宋体" w:eastAsia="宋体" w:cs="宋体"/>
          <w:color w:val="auto"/>
          <w:highlight w:val="none"/>
          <w:u w:val="single"/>
        </w:rPr>
        <w:t>20%</w:t>
      </w:r>
    </w:p>
    <w:p>
      <w:pPr>
        <w:pStyle w:val="29"/>
        <w:spacing w:before="120" w:beforeAutospacing="0" w:after="120" w:afterAutospacing="0" w:line="0" w:lineRule="atLeast"/>
        <w:ind w:left="120" w:firstLine="360"/>
        <w:rPr>
          <w:color w:val="auto"/>
          <w:highlight w:val="none"/>
        </w:rPr>
      </w:pPr>
      <w:r>
        <w:rPr>
          <w:rFonts w:hint="eastAsia" w:ascii="宋体" w:hAnsi="宋体" w:eastAsia="宋体" w:cs="宋体"/>
          <w:color w:val="auto"/>
          <w:highlight w:val="none"/>
        </w:rPr>
        <w:t>（2）残疾人福利单位需按照采购文件的要求提供《残疾人福利性单位声明函》。</w:t>
      </w:r>
    </w:p>
    <w:p>
      <w:pPr>
        <w:pStyle w:val="29"/>
        <w:spacing w:before="120" w:beforeAutospacing="0" w:after="120" w:afterAutospacing="0" w:line="0" w:lineRule="atLeast"/>
        <w:ind w:left="120" w:firstLine="360"/>
        <w:rPr>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pPr>
        <w:pStyle w:val="29"/>
        <w:spacing w:before="120" w:beforeAutospacing="0" w:after="120" w:afterAutospacing="0" w:line="0" w:lineRule="atLeast"/>
        <w:ind w:firstLine="480"/>
        <w:rPr>
          <w:color w:val="auto"/>
          <w:highlight w:val="none"/>
        </w:rPr>
      </w:pPr>
      <w:r>
        <w:rPr>
          <w:rFonts w:hint="eastAsia" w:ascii="宋体" w:hAnsi="宋体" w:eastAsia="宋体" w:cs="宋体"/>
          <w:color w:val="auto"/>
          <w:highlight w:val="none"/>
        </w:rPr>
        <w:t>3、监狱和戒毒企业价格扣除</w:t>
      </w:r>
    </w:p>
    <w:p>
      <w:pPr>
        <w:pStyle w:val="29"/>
        <w:spacing w:before="120" w:beforeAutospacing="0" w:after="120" w:afterAutospacing="0" w:line="0" w:lineRule="atLeast"/>
        <w:ind w:firstLine="480"/>
        <w:rPr>
          <w:rFonts w:ascii="宋体" w:hAnsi="宋体" w:eastAsia="宋体" w:cs="宋体"/>
          <w:color w:val="auto"/>
          <w:highlight w:val="none"/>
          <w:u w:val="single"/>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w:t>
      </w:r>
    </w:p>
    <w:p>
      <w:pPr>
        <w:pStyle w:val="29"/>
        <w:spacing w:before="120" w:beforeAutospacing="0" w:after="120" w:afterAutospacing="0" w:line="0" w:lineRule="atLeast"/>
        <w:ind w:firstLine="480"/>
        <w:rPr>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pPr>
        <w:pStyle w:val="29"/>
        <w:spacing w:before="120" w:beforeAutospacing="0" w:after="120" w:afterAutospacing="0" w:line="0" w:lineRule="atLeast"/>
        <w:ind w:firstLine="480"/>
        <w:rPr>
          <w:color w:val="auto"/>
          <w:highlight w:val="none"/>
        </w:rPr>
      </w:pPr>
      <w:r>
        <w:rPr>
          <w:rFonts w:hint="eastAsia" w:ascii="宋体" w:hAnsi="宋体" w:eastAsia="宋体" w:cs="宋体"/>
          <w:color w:val="auto"/>
          <w:highlight w:val="none"/>
        </w:rPr>
        <w:t>（3）监狱企业标准请参照《关于政府采购支持监狱企业发展有关问题的通知》（财库[2014]68号）。</w:t>
      </w:r>
    </w:p>
    <w:p>
      <w:pPr>
        <w:pStyle w:val="29"/>
        <w:spacing w:before="120" w:beforeAutospacing="0" w:after="120" w:afterAutospacing="0" w:line="0" w:lineRule="atLeast"/>
        <w:ind w:firstLine="480"/>
        <w:rPr>
          <w:color w:val="auto"/>
          <w:highlight w:val="none"/>
        </w:rPr>
      </w:pPr>
      <w:r>
        <w:rPr>
          <w:rFonts w:hint="eastAsia" w:ascii="宋体" w:hAnsi="宋体" w:eastAsia="宋体" w:cs="宋体"/>
          <w:color w:val="auto"/>
          <w:highlight w:val="none"/>
        </w:rPr>
        <w:t>4、残疾人福利单位、监狱企业属于小型、微型企业的，不重复享受政策。</w:t>
      </w:r>
    </w:p>
    <w:p>
      <w:pPr>
        <w:pStyle w:val="29"/>
        <w:spacing w:before="120" w:beforeAutospacing="0" w:after="12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6%</w:t>
      </w:r>
      <w:r>
        <w:rPr>
          <w:rFonts w:hint="eastAsia" w:ascii="宋体" w:hAnsi="宋体" w:eastAsia="宋体" w:cs="宋体"/>
          <w:color w:val="auto"/>
          <w:highlight w:val="none"/>
        </w:rPr>
        <w:t>的价格扣除，用扣除后的价格参与评审。</w:t>
      </w:r>
    </w:p>
    <w:p>
      <w:pPr>
        <w:pStyle w:val="29"/>
        <w:spacing w:before="120" w:beforeAutospacing="0" w:after="120" w:afterAutospacing="0" w:line="0" w:lineRule="atLeast"/>
        <w:ind w:firstLine="480"/>
        <w:rPr>
          <w:rFonts w:ascii="宋体" w:hAnsi="宋体" w:eastAsia="宋体" w:cs="宋体"/>
          <w:color w:val="auto"/>
          <w:highlight w:val="none"/>
          <w:u w:val="single"/>
        </w:rPr>
      </w:pPr>
      <w:r>
        <w:rPr>
          <w:rFonts w:hint="eastAsia" w:ascii="宋体" w:hAnsi="宋体" w:eastAsia="宋体" w:cs="宋体"/>
          <w:color w:val="auto"/>
          <w:highlight w:val="none"/>
        </w:rPr>
        <w:t>6、联合体各方均为小型、微型企业（残疾人福利单位、监狱企业）的，联合体享受</w:t>
      </w:r>
      <w:r>
        <w:rPr>
          <w:rFonts w:hint="eastAsia" w:ascii="宋体" w:hAnsi="宋体" w:eastAsia="宋体" w:cs="宋体"/>
          <w:color w:val="auto"/>
          <w:highlight w:val="none"/>
          <w:u w:val="single"/>
        </w:rPr>
        <w:t>20%。</w:t>
      </w:r>
    </w:p>
    <w:p>
      <w:pPr>
        <w:pStyle w:val="29"/>
        <w:spacing w:before="120" w:beforeAutospacing="0" w:after="120" w:afterAutospacing="0" w:line="0" w:lineRule="atLeast"/>
        <w:ind w:firstLine="473"/>
        <w:rPr>
          <w:rFonts w:hint="eastAsia" w:ascii="宋体" w:hAnsi="宋体" w:eastAsia="宋体" w:cs="宋体"/>
          <w:color w:val="auto"/>
          <w:sz w:val="24"/>
          <w:highlight w:val="none"/>
        </w:rPr>
      </w:pPr>
      <w:r>
        <w:rPr>
          <w:rFonts w:hint="eastAsia" w:ascii="宋体" w:hAnsi="宋体" w:eastAsia="宋体" w:cs="宋体"/>
          <w:color w:val="auto"/>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highlight w:val="none"/>
        </w:rPr>
        <w:t>如属政府强制采购产品未提供认证证书的或认证证书提供不全的将视为未实质性响应采购要求。</w:t>
      </w:r>
      <w:r>
        <w:rPr>
          <w:rFonts w:hint="eastAsia" w:ascii="宋体" w:hAnsi="宋体" w:eastAsia="宋体" w:cs="宋体"/>
          <w:color w:val="auto"/>
          <w:sz w:val="24"/>
          <w:highlight w:val="none"/>
        </w:rPr>
        <w:t>其他条件相同情况下，应当优先采购节能产品、环境标志产品。</w:t>
      </w:r>
    </w:p>
    <w:p>
      <w:pPr>
        <w:pStyle w:val="29"/>
        <w:spacing w:before="120" w:beforeAutospacing="0" w:after="120" w:afterAutospacing="0" w:line="0" w:lineRule="atLeast"/>
        <w:ind w:firstLine="473"/>
        <w:rPr>
          <w:rFonts w:hint="eastAsia" w:ascii="宋体" w:hAnsi="宋体" w:eastAsia="宋体" w:cs="宋体"/>
          <w:color w:val="auto"/>
          <w:sz w:val="24"/>
          <w:highlight w:val="none"/>
        </w:rPr>
      </w:pPr>
      <w:r>
        <w:rPr>
          <w:rFonts w:hint="eastAsia" w:ascii="宋体" w:hAnsi="宋体" w:eastAsia="宋体" w:cs="宋体"/>
          <w:color w:val="auto"/>
          <w:sz w:val="24"/>
          <w:highlight w:val="none"/>
        </w:rPr>
        <w:t>8、供应商对于投标产品的商品包装、快递包装应按照《关于印发《商品包装政府采购需求标准（试行）》、《快递包装政府采购需求标准（试行）》的通知》（财办库〔2020〕123号）执行。</w:t>
      </w:r>
    </w:p>
    <w:p>
      <w:pPr>
        <w:pStyle w:val="29"/>
        <w:spacing w:before="120" w:beforeAutospacing="0" w:after="120" w:afterAutospacing="0" w:line="0" w:lineRule="atLeast"/>
        <w:ind w:firstLine="473"/>
        <w:rPr>
          <w:rFonts w:hint="eastAsia" w:ascii="宋体" w:hAnsi="宋体" w:eastAsia="宋体" w:cs="宋体"/>
          <w:color w:val="auto"/>
          <w:sz w:val="24"/>
          <w:highlight w:val="none"/>
        </w:rPr>
      </w:pPr>
      <w:r>
        <w:rPr>
          <w:rFonts w:hint="eastAsia" w:ascii="宋体" w:hAnsi="宋体" w:eastAsia="宋体" w:cs="宋体"/>
          <w:color w:val="auto"/>
          <w:sz w:val="24"/>
          <w:highlight w:val="none"/>
        </w:rPr>
        <w:t>9、本文件中若涉及到数据中心采购，应按照《&lt;绿色数据中心政府采购需求标准（试行）&gt;的通知》（财库〔2023〕7号）执行。</w:t>
      </w:r>
    </w:p>
    <w:p>
      <w:pPr>
        <w:pStyle w:val="29"/>
        <w:spacing w:before="120" w:beforeAutospacing="0" w:after="120" w:afterAutospacing="0" w:line="0" w:lineRule="atLeast"/>
        <w:ind w:firstLine="473"/>
        <w:rPr>
          <w:color w:val="auto"/>
          <w:highlight w:val="none"/>
        </w:rPr>
      </w:pPr>
      <w:r>
        <w:rPr>
          <w:rFonts w:hint="eastAsia" w:ascii="宋体" w:hAnsi="宋体" w:eastAsia="宋体" w:cs="宋体"/>
          <w:color w:val="auto"/>
          <w:sz w:val="24"/>
          <w:highlight w:val="none"/>
        </w:rPr>
        <w:t>10、根据《江苏省政府采购信用管理暂行办法》的规定，供应商信用评价结果为三星的扣2分，评价结果为二星的扣3分，评价结果为一星的扣4分。</w:t>
      </w:r>
    </w:p>
    <w:p>
      <w:pPr>
        <w:pStyle w:val="29"/>
        <w:spacing w:before="120" w:beforeAutospacing="0" w:after="120" w:afterAutospacing="0" w:line="0" w:lineRule="atLeast"/>
        <w:ind w:firstLine="482"/>
        <w:rPr>
          <w:color w:val="auto"/>
          <w:highlight w:val="none"/>
        </w:rPr>
      </w:pPr>
      <w:r>
        <w:rPr>
          <w:rFonts w:hint="eastAsia" w:ascii="宋体" w:hAnsi="宋体" w:eastAsia="宋体" w:cs="宋体"/>
          <w:b/>
          <w:color w:val="auto"/>
          <w:highlight w:val="none"/>
        </w:rPr>
        <w:t>评标方法与评标标准</w:t>
      </w:r>
    </w:p>
    <w:tbl>
      <w:tblPr>
        <w:tblStyle w:val="31"/>
        <w:tblW w:w="9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855"/>
        <w:gridCol w:w="660"/>
        <w:gridCol w:w="78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499"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855"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评分项目</w:t>
            </w:r>
          </w:p>
        </w:tc>
        <w:tc>
          <w:tcPr>
            <w:tcW w:w="660"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满分</w:t>
            </w:r>
          </w:p>
        </w:tc>
        <w:tc>
          <w:tcPr>
            <w:tcW w:w="7867"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计分办法及内容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99"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855"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投标报价</w:t>
            </w:r>
          </w:p>
        </w:tc>
        <w:tc>
          <w:tcPr>
            <w:tcW w:w="660"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r>
              <w:rPr>
                <w:rFonts w:hint="eastAsia" w:ascii="宋体" w:hAnsi="宋体" w:eastAsia="宋体" w:cs="宋体"/>
                <w:sz w:val="24"/>
                <w:szCs w:val="24"/>
              </w:rPr>
              <w:t>分</w:t>
            </w:r>
          </w:p>
        </w:tc>
        <w:tc>
          <w:tcPr>
            <w:tcW w:w="7867" w:type="dxa"/>
            <w:noWrap w:val="0"/>
            <w:vAlign w:val="center"/>
          </w:tcPr>
          <w:p>
            <w:pPr>
              <w:ind w:firstLine="480" w:firstLineChars="200"/>
              <w:rPr>
                <w:rFonts w:hint="eastAsia" w:ascii="宋体" w:hAnsi="宋体" w:eastAsia="宋体" w:cs="宋体"/>
                <w:sz w:val="24"/>
                <w:szCs w:val="32"/>
              </w:rPr>
            </w:pPr>
            <w:r>
              <w:rPr>
                <w:rFonts w:hint="eastAsia" w:ascii="宋体" w:hAnsi="宋体" w:eastAsia="宋体" w:cs="宋体"/>
                <w:sz w:val="24"/>
                <w:szCs w:val="32"/>
              </w:rPr>
              <w:t>满足招标文件要求且投标价格最低的投标报价为评标基准价，其价格分为满分。其他投标人的价格分统一按照下列公式计算：</w:t>
            </w:r>
          </w:p>
          <w:p>
            <w:pPr>
              <w:rPr>
                <w:rFonts w:hint="eastAsia" w:ascii="宋体" w:hAnsi="宋体" w:eastAsia="宋体" w:cs="宋体"/>
                <w:sz w:val="24"/>
                <w:szCs w:val="32"/>
              </w:rPr>
            </w:pPr>
            <w:r>
              <w:rPr>
                <w:rFonts w:hint="eastAsia" w:ascii="宋体" w:hAnsi="宋体" w:eastAsia="宋体" w:cs="宋体"/>
                <w:sz w:val="24"/>
                <w:szCs w:val="32"/>
              </w:rPr>
              <w:t>投标报价得分=(评标基准价／投标报价)×</w:t>
            </w:r>
            <w:r>
              <w:rPr>
                <w:rFonts w:hint="eastAsia" w:ascii="宋体" w:hAnsi="宋体" w:eastAsia="宋体" w:cs="宋体"/>
                <w:sz w:val="24"/>
                <w:szCs w:val="32"/>
                <w:lang w:val="en-US" w:eastAsia="zh-CN"/>
              </w:rPr>
              <w:t>30</w:t>
            </w:r>
            <w:r>
              <w:rPr>
                <w:rFonts w:hint="eastAsia" w:ascii="宋体" w:hAnsi="宋体" w:eastAsia="宋体" w:cs="宋体"/>
                <w:sz w:val="24"/>
                <w:szCs w:val="32"/>
              </w:rPr>
              <w:t xml:space="preserve"> （该结果四舍五入，保留两位小数）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99"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855"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技术参数</w:t>
            </w:r>
          </w:p>
        </w:tc>
        <w:tc>
          <w:tcPr>
            <w:tcW w:w="660"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30分</w:t>
            </w:r>
          </w:p>
        </w:tc>
        <w:tc>
          <w:tcPr>
            <w:tcW w:w="7867" w:type="dxa"/>
            <w:noWrap w:val="0"/>
            <w:vAlign w:val="center"/>
          </w:tcPr>
          <w:p>
            <w:pPr>
              <w:ind w:firstLine="480" w:firstLineChars="200"/>
              <w:rPr>
                <w:rFonts w:hint="eastAsia" w:ascii="宋体" w:hAnsi="宋体" w:eastAsia="宋体" w:cs="宋体"/>
                <w:sz w:val="24"/>
                <w:szCs w:val="32"/>
              </w:rPr>
            </w:pPr>
            <w:r>
              <w:rPr>
                <w:rFonts w:hint="eastAsia" w:ascii="宋体" w:hAnsi="宋体" w:eastAsia="宋体" w:cs="宋体"/>
                <w:sz w:val="24"/>
                <w:szCs w:val="32"/>
                <w:lang w:eastAsia="zh-CN"/>
              </w:rPr>
              <w:t>为了保证产品质量，实现项目应用功能。</w:t>
            </w:r>
            <w:r>
              <w:rPr>
                <w:rFonts w:hint="eastAsia" w:ascii="宋体" w:hAnsi="宋体" w:eastAsia="宋体" w:cs="宋体"/>
                <w:sz w:val="24"/>
                <w:szCs w:val="32"/>
              </w:rPr>
              <w:t>技术参数全部满足</w:t>
            </w:r>
            <w:r>
              <w:rPr>
                <w:rFonts w:hint="eastAsia" w:ascii="宋体" w:hAnsi="宋体" w:eastAsia="宋体" w:cs="宋体"/>
                <w:sz w:val="24"/>
                <w:szCs w:val="32"/>
                <w:lang w:eastAsia="zh-CN"/>
              </w:rPr>
              <w:t>“第四章采购需求”要求</w:t>
            </w:r>
            <w:r>
              <w:rPr>
                <w:rFonts w:hint="eastAsia" w:ascii="宋体" w:hAnsi="宋体" w:eastAsia="宋体" w:cs="宋体"/>
                <w:sz w:val="24"/>
                <w:szCs w:val="32"/>
              </w:rPr>
              <w:t>的</w:t>
            </w:r>
            <w:r>
              <w:rPr>
                <w:rFonts w:hint="eastAsia" w:ascii="宋体" w:hAnsi="宋体" w:eastAsia="宋体" w:cs="宋体"/>
                <w:sz w:val="24"/>
                <w:szCs w:val="32"/>
                <w:lang w:eastAsia="zh-CN"/>
              </w:rPr>
              <w:t>得</w:t>
            </w:r>
            <w:r>
              <w:rPr>
                <w:rFonts w:hint="eastAsia" w:ascii="宋体" w:hAnsi="宋体" w:eastAsia="宋体" w:cs="宋体"/>
                <w:sz w:val="24"/>
                <w:szCs w:val="32"/>
                <w:lang w:val="en-US" w:eastAsia="zh-CN"/>
              </w:rPr>
              <w:t>30</w:t>
            </w:r>
            <w:r>
              <w:rPr>
                <w:rFonts w:hint="eastAsia" w:ascii="宋体" w:hAnsi="宋体" w:eastAsia="宋体" w:cs="宋体"/>
                <w:sz w:val="24"/>
                <w:szCs w:val="32"/>
              </w:rPr>
              <w:t>分</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加★项投标时须提供第三方机构出具的带有CMA和CNAS标识的检测报告，加★项每有一项不满足（负偏离）的，扣2分，</w:t>
            </w:r>
            <w:r>
              <w:rPr>
                <w:rFonts w:hint="eastAsia" w:ascii="宋体" w:hAnsi="宋体" w:eastAsia="宋体" w:cs="宋体"/>
                <w:sz w:val="24"/>
                <w:szCs w:val="32"/>
              </w:rPr>
              <w:t>扣完为止。</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以</w:t>
            </w:r>
            <w:r>
              <w:rPr>
                <w:rFonts w:hint="eastAsia" w:ascii="宋体" w:hAnsi="宋体" w:eastAsia="宋体" w:cs="宋体"/>
                <w:sz w:val="24"/>
                <w:szCs w:val="32"/>
              </w:rPr>
              <w:t>投标文件</w:t>
            </w:r>
            <w:r>
              <w:rPr>
                <w:rFonts w:hint="eastAsia" w:ascii="宋体" w:hAnsi="宋体" w:eastAsia="宋体" w:cs="宋体"/>
                <w:sz w:val="24"/>
                <w:szCs w:val="32"/>
                <w:lang w:eastAsia="zh-CN"/>
              </w:rPr>
              <w:t>中</w:t>
            </w:r>
            <w:r>
              <w:rPr>
                <w:rFonts w:hint="eastAsia" w:ascii="宋体" w:hAnsi="宋体" w:eastAsia="宋体" w:cs="宋体"/>
                <w:sz w:val="24"/>
                <w:szCs w:val="32"/>
                <w:lang w:val="en-US" w:eastAsia="zh-CN"/>
              </w:rPr>
              <w:t>提供的“所供货物（货物附带的服务）内容及货物要求偏离表”和第三方机构出具的具有 CMA和 CNAS标识的检测报告证明材料</w:t>
            </w:r>
            <w:r>
              <w:rPr>
                <w:rFonts w:hint="eastAsia" w:ascii="宋体" w:hAnsi="宋体" w:eastAsia="宋体" w:cs="宋体"/>
                <w:sz w:val="24"/>
                <w:szCs w:val="32"/>
              </w:rPr>
              <w:t>扫描件</w:t>
            </w:r>
            <w:r>
              <w:rPr>
                <w:rFonts w:hint="eastAsia" w:ascii="宋体" w:hAnsi="宋体" w:eastAsia="宋体" w:cs="宋体"/>
                <w:sz w:val="24"/>
                <w:szCs w:val="32"/>
                <w:lang w:val="en-US" w:eastAsia="zh-CN"/>
              </w:rPr>
              <w:t>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499"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855" w:type="dxa"/>
            <w:noWrap w:val="0"/>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rPr>
              <w:t>业绩</w:t>
            </w:r>
          </w:p>
        </w:tc>
        <w:tc>
          <w:tcPr>
            <w:tcW w:w="660"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分</w:t>
            </w:r>
          </w:p>
        </w:tc>
        <w:tc>
          <w:tcPr>
            <w:tcW w:w="7867" w:type="dxa"/>
            <w:noWrap w:val="0"/>
            <w:vAlign w:val="center"/>
          </w:tcPr>
          <w:p>
            <w:pPr>
              <w:ind w:firstLine="480" w:firstLineChars="200"/>
              <w:rPr>
                <w:rFonts w:hint="eastAsia" w:ascii="宋体" w:hAnsi="宋体" w:eastAsia="宋体" w:cs="宋体"/>
                <w:sz w:val="24"/>
                <w:szCs w:val="32"/>
              </w:rPr>
            </w:pPr>
            <w:r>
              <w:rPr>
                <w:rFonts w:hint="eastAsia" w:ascii="宋体" w:hAnsi="宋体" w:eastAsia="宋体" w:cs="宋体"/>
                <w:sz w:val="24"/>
                <w:szCs w:val="32"/>
                <w:lang w:eastAsia="zh-CN"/>
              </w:rPr>
              <w:t>自</w:t>
            </w:r>
            <w:r>
              <w:rPr>
                <w:rFonts w:hint="eastAsia" w:ascii="宋体" w:hAnsi="宋体" w:eastAsia="宋体" w:cs="宋体"/>
                <w:sz w:val="24"/>
                <w:szCs w:val="32"/>
              </w:rPr>
              <w:t>20</w:t>
            </w:r>
            <w:r>
              <w:rPr>
                <w:rFonts w:hint="eastAsia" w:ascii="宋体" w:hAnsi="宋体" w:eastAsia="宋体" w:cs="宋体"/>
                <w:sz w:val="24"/>
                <w:szCs w:val="32"/>
                <w:lang w:val="en-US" w:eastAsia="zh-CN"/>
              </w:rPr>
              <w:t>20</w:t>
            </w:r>
            <w:r>
              <w:rPr>
                <w:rFonts w:hint="eastAsia" w:ascii="宋体" w:hAnsi="宋体" w:eastAsia="宋体" w:cs="宋体"/>
                <w:sz w:val="24"/>
                <w:szCs w:val="32"/>
              </w:rPr>
              <w:t>年1月</w:t>
            </w:r>
            <w:r>
              <w:rPr>
                <w:rFonts w:hint="eastAsia" w:ascii="宋体" w:hAnsi="宋体" w:eastAsia="宋体" w:cs="宋体"/>
                <w:sz w:val="24"/>
                <w:szCs w:val="32"/>
                <w:lang w:val="en-US" w:eastAsia="zh-CN"/>
              </w:rPr>
              <w:t>1日（以合同签订时间为准）</w:t>
            </w:r>
            <w:r>
              <w:rPr>
                <w:rFonts w:hint="eastAsia" w:ascii="宋体" w:hAnsi="宋体" w:eastAsia="宋体" w:cs="宋体"/>
                <w:sz w:val="24"/>
                <w:szCs w:val="32"/>
              </w:rPr>
              <w:t>至今，投标人具有</w:t>
            </w:r>
            <w:r>
              <w:rPr>
                <w:rFonts w:hint="eastAsia" w:ascii="宋体" w:hAnsi="宋体" w:eastAsia="宋体" w:cs="宋体"/>
                <w:sz w:val="24"/>
                <w:szCs w:val="32"/>
                <w:lang w:eastAsia="zh-CN"/>
              </w:rPr>
              <w:t>同类</w:t>
            </w:r>
            <w:r>
              <w:rPr>
                <w:rFonts w:hint="eastAsia" w:ascii="宋体" w:hAnsi="宋体" w:eastAsia="宋体" w:cs="宋体"/>
                <w:sz w:val="24"/>
                <w:szCs w:val="32"/>
              </w:rPr>
              <w:t>项目</w:t>
            </w:r>
            <w:r>
              <w:rPr>
                <w:rFonts w:hint="eastAsia" w:ascii="宋体" w:hAnsi="宋体" w:eastAsia="宋体" w:cs="宋体"/>
                <w:sz w:val="24"/>
                <w:szCs w:val="32"/>
                <w:lang w:eastAsia="zh-CN"/>
              </w:rPr>
              <w:t>相关</w:t>
            </w:r>
            <w:r>
              <w:rPr>
                <w:rFonts w:hint="eastAsia" w:ascii="宋体" w:hAnsi="宋体" w:eastAsia="宋体" w:cs="宋体"/>
                <w:sz w:val="24"/>
                <w:szCs w:val="32"/>
                <w:lang w:val="en-US" w:eastAsia="zh-CN"/>
              </w:rPr>
              <w:t>业绩</w:t>
            </w:r>
            <w:r>
              <w:rPr>
                <w:rFonts w:hint="eastAsia" w:ascii="宋体" w:hAnsi="宋体" w:eastAsia="宋体" w:cs="宋体"/>
                <w:sz w:val="24"/>
                <w:szCs w:val="32"/>
              </w:rPr>
              <w:t>，每提供一个</w:t>
            </w:r>
            <w:r>
              <w:rPr>
                <w:rFonts w:hint="eastAsia" w:ascii="宋体" w:hAnsi="宋体" w:eastAsia="宋体" w:cs="宋体"/>
                <w:sz w:val="24"/>
                <w:szCs w:val="32"/>
                <w:lang w:val="en-US" w:eastAsia="zh-CN"/>
              </w:rPr>
              <w:t>业绩得1</w:t>
            </w:r>
            <w:r>
              <w:rPr>
                <w:rFonts w:hint="eastAsia" w:ascii="宋体" w:hAnsi="宋体" w:eastAsia="宋体" w:cs="宋体"/>
                <w:sz w:val="24"/>
                <w:szCs w:val="32"/>
              </w:rPr>
              <w:t>分，最多</w:t>
            </w:r>
            <w:r>
              <w:rPr>
                <w:rFonts w:hint="eastAsia" w:ascii="宋体" w:hAnsi="宋体" w:eastAsia="宋体" w:cs="宋体"/>
                <w:sz w:val="24"/>
                <w:szCs w:val="32"/>
                <w:lang w:eastAsia="zh-CN"/>
              </w:rPr>
              <w:t>得</w:t>
            </w:r>
            <w:r>
              <w:rPr>
                <w:rFonts w:hint="eastAsia" w:ascii="宋体" w:hAnsi="宋体" w:eastAsia="宋体" w:cs="宋体"/>
                <w:sz w:val="24"/>
                <w:szCs w:val="32"/>
                <w:lang w:val="en-US" w:eastAsia="zh-CN"/>
              </w:rPr>
              <w:t>5</w:t>
            </w:r>
            <w:r>
              <w:rPr>
                <w:rFonts w:hint="eastAsia" w:ascii="宋体" w:hAnsi="宋体" w:eastAsia="宋体" w:cs="宋体"/>
                <w:sz w:val="24"/>
                <w:szCs w:val="32"/>
              </w:rPr>
              <w:t>分。（投标文件</w:t>
            </w:r>
            <w:r>
              <w:rPr>
                <w:rFonts w:hint="eastAsia" w:ascii="宋体" w:hAnsi="宋体" w:eastAsia="宋体" w:cs="宋体"/>
                <w:sz w:val="24"/>
                <w:szCs w:val="32"/>
                <w:lang w:eastAsia="zh-CN"/>
              </w:rPr>
              <w:t>中</w:t>
            </w:r>
            <w:r>
              <w:rPr>
                <w:rFonts w:hint="eastAsia" w:ascii="宋体" w:hAnsi="宋体" w:eastAsia="宋体" w:cs="宋体"/>
                <w:sz w:val="24"/>
                <w:szCs w:val="32"/>
              </w:rPr>
              <w:t>需提供合同</w:t>
            </w:r>
            <w:r>
              <w:rPr>
                <w:rFonts w:hint="eastAsia" w:ascii="宋体" w:hAnsi="宋体" w:eastAsia="宋体" w:cs="宋体"/>
                <w:sz w:val="24"/>
                <w:szCs w:val="32"/>
                <w:lang w:eastAsia="zh-CN"/>
              </w:rPr>
              <w:t>、</w:t>
            </w:r>
            <w:r>
              <w:rPr>
                <w:rFonts w:hint="eastAsia" w:ascii="宋体" w:hAnsi="宋体" w:eastAsia="宋体" w:cs="宋体"/>
                <w:sz w:val="24"/>
                <w:szCs w:val="32"/>
              </w:rPr>
              <w:t>中标通知书扫描件。</w:t>
            </w:r>
            <w:r>
              <w:rPr>
                <w:rFonts w:hint="eastAsia" w:ascii="宋体" w:hAnsi="宋体" w:eastAsia="宋体" w:cs="宋体"/>
                <w:sz w:val="24"/>
                <w:szCs w:val="32"/>
                <w:lang w:val="en-US" w:eastAsia="zh-CN"/>
              </w:rPr>
              <w:t>两者缺一不可，</w:t>
            </w:r>
            <w:r>
              <w:rPr>
                <w:rFonts w:hint="eastAsia" w:ascii="宋体" w:hAnsi="宋体" w:eastAsia="宋体" w:cs="宋体"/>
                <w:sz w:val="24"/>
                <w:szCs w:val="32"/>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499"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855"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企业知识产权</w:t>
            </w:r>
          </w:p>
        </w:tc>
        <w:tc>
          <w:tcPr>
            <w:tcW w:w="660"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5分</w:t>
            </w:r>
          </w:p>
        </w:tc>
        <w:tc>
          <w:tcPr>
            <w:tcW w:w="7867" w:type="dxa"/>
            <w:noWrap w:val="0"/>
            <w:vAlign w:val="center"/>
          </w:tcPr>
          <w:p>
            <w:pPr>
              <w:ind w:firstLine="480" w:firstLineChars="200"/>
              <w:rPr>
                <w:rFonts w:hint="eastAsia" w:ascii="宋体" w:hAnsi="宋体" w:eastAsia="宋体" w:cs="宋体"/>
                <w:sz w:val="24"/>
                <w:szCs w:val="32"/>
              </w:rPr>
            </w:pPr>
            <w:r>
              <w:rPr>
                <w:rFonts w:hint="eastAsia" w:ascii="宋体" w:hAnsi="宋体" w:eastAsia="宋体" w:cs="宋体"/>
                <w:sz w:val="24"/>
                <w:szCs w:val="32"/>
              </w:rPr>
              <w:t>投标人</w:t>
            </w:r>
            <w:r>
              <w:rPr>
                <w:rFonts w:hint="eastAsia" w:ascii="宋体" w:hAnsi="宋体" w:eastAsia="宋体" w:cs="宋体"/>
                <w:sz w:val="24"/>
                <w:szCs w:val="32"/>
                <w:lang w:eastAsia="zh-CN"/>
              </w:rPr>
              <w:t>具有</w:t>
            </w:r>
            <w:r>
              <w:rPr>
                <w:rFonts w:hint="eastAsia" w:ascii="宋体" w:hAnsi="宋体" w:eastAsia="宋体" w:cs="宋体"/>
                <w:sz w:val="24"/>
                <w:szCs w:val="32"/>
              </w:rPr>
              <w:t>由国家版权局颁发的物联网</w:t>
            </w:r>
            <w:r>
              <w:rPr>
                <w:rFonts w:hint="eastAsia" w:ascii="宋体" w:hAnsi="宋体" w:eastAsia="宋体" w:cs="宋体"/>
                <w:sz w:val="24"/>
                <w:szCs w:val="32"/>
                <w:lang w:val="en-US" w:eastAsia="zh-CN"/>
              </w:rPr>
              <w:t>采集服务平台</w:t>
            </w:r>
            <w:r>
              <w:rPr>
                <w:rFonts w:hint="eastAsia" w:ascii="宋体" w:hAnsi="宋体" w:eastAsia="宋体" w:cs="宋体"/>
                <w:sz w:val="24"/>
                <w:szCs w:val="32"/>
              </w:rPr>
              <w:t>软件、</w:t>
            </w:r>
            <w:r>
              <w:rPr>
                <w:rFonts w:hint="eastAsia" w:ascii="宋体" w:hAnsi="宋体" w:eastAsia="宋体" w:cs="宋体"/>
                <w:sz w:val="24"/>
                <w:szCs w:val="32"/>
                <w:lang w:val="en-US" w:eastAsia="zh-CN"/>
              </w:rPr>
              <w:t>物联网终端数据分析软件、多维数据可视化平台软件、数据可视化运营系统软件、数字农业产业分析及大数据平台软件、农业生产信息化管理系统软件相关的</w:t>
            </w:r>
            <w:r>
              <w:rPr>
                <w:rFonts w:hint="eastAsia" w:ascii="宋体" w:hAnsi="宋体" w:eastAsia="宋体" w:cs="宋体"/>
                <w:sz w:val="24"/>
                <w:szCs w:val="32"/>
              </w:rPr>
              <w:t>软件著作权登记证书的</w:t>
            </w:r>
            <w:r>
              <w:rPr>
                <w:rFonts w:hint="eastAsia" w:ascii="宋体" w:hAnsi="宋体" w:eastAsia="宋体" w:cs="宋体"/>
                <w:sz w:val="24"/>
                <w:szCs w:val="32"/>
                <w:lang w:eastAsia="zh-CN"/>
              </w:rPr>
              <w:t>，每有一个证书得</w:t>
            </w:r>
            <w:r>
              <w:rPr>
                <w:rFonts w:hint="eastAsia" w:ascii="宋体" w:hAnsi="宋体" w:eastAsia="宋体" w:cs="宋体"/>
                <w:sz w:val="24"/>
                <w:szCs w:val="32"/>
                <w:lang w:val="en-US" w:eastAsia="zh-CN"/>
              </w:rPr>
              <w:t>1分，最多得5分</w:t>
            </w:r>
            <w:r>
              <w:rPr>
                <w:rFonts w:hint="eastAsia" w:ascii="宋体" w:hAnsi="宋体" w:eastAsia="宋体" w:cs="宋体"/>
                <w:sz w:val="24"/>
                <w:szCs w:val="32"/>
              </w:rPr>
              <w:t>。</w:t>
            </w:r>
          </w:p>
          <w:p>
            <w:pPr>
              <w:ind w:firstLine="480" w:firstLineChars="200"/>
              <w:rPr>
                <w:rFonts w:hint="eastAsia" w:ascii="宋体" w:hAnsi="宋体" w:eastAsia="宋体" w:cs="宋体"/>
                <w:sz w:val="24"/>
                <w:szCs w:val="32"/>
              </w:rPr>
            </w:pPr>
            <w:r>
              <w:rPr>
                <w:rFonts w:hint="eastAsia" w:ascii="宋体" w:hAnsi="宋体" w:eastAsia="宋体" w:cs="宋体"/>
                <w:sz w:val="24"/>
                <w:szCs w:val="32"/>
              </w:rPr>
              <w:t>注：1.相关软件著作权须为投标供应商自有，所登记注册的软件名称可以与上述名称略有不同，但必须是功能相同的产品。含相同关键字段的软件著作权不重复计数</w:t>
            </w:r>
          </w:p>
          <w:p>
            <w:pPr>
              <w:ind w:firstLine="480" w:firstLineChars="200"/>
              <w:rPr>
                <w:rFonts w:hint="eastAsia" w:ascii="宋体" w:hAnsi="宋体" w:eastAsia="宋体" w:cs="宋体"/>
                <w:sz w:val="24"/>
                <w:szCs w:val="32"/>
                <w:lang w:eastAsia="zh-CN"/>
              </w:rPr>
            </w:pPr>
            <w:r>
              <w:rPr>
                <w:rFonts w:hint="eastAsia" w:ascii="宋体" w:hAnsi="宋体" w:eastAsia="宋体" w:cs="宋体"/>
                <w:sz w:val="24"/>
                <w:szCs w:val="32"/>
              </w:rPr>
              <w:t>2.投标文件</w:t>
            </w:r>
            <w:r>
              <w:rPr>
                <w:rFonts w:hint="eastAsia" w:ascii="宋体" w:hAnsi="宋体" w:eastAsia="宋体" w:cs="宋体"/>
                <w:sz w:val="24"/>
                <w:szCs w:val="32"/>
                <w:lang w:eastAsia="zh-CN"/>
              </w:rPr>
              <w:t>中</w:t>
            </w:r>
            <w:r>
              <w:rPr>
                <w:rFonts w:hint="eastAsia" w:ascii="宋体" w:hAnsi="宋体" w:eastAsia="宋体" w:cs="宋体"/>
                <w:sz w:val="24"/>
                <w:szCs w:val="32"/>
              </w:rPr>
              <w:t>需提供以上相关有效证书扫描件或相关证明材料扫描件</w:t>
            </w:r>
            <w:r>
              <w:rPr>
                <w:rFonts w:hint="eastAsia" w:ascii="宋体" w:hAnsi="宋体" w:eastAsia="宋体" w:cs="宋体"/>
                <w:sz w:val="24"/>
                <w:szCs w:val="32"/>
                <w:lang w:eastAsia="zh-CN"/>
              </w:rPr>
              <w:t>，未提供不得分</w:t>
            </w:r>
            <w:r>
              <w:rPr>
                <w:rFonts w:hint="eastAsia" w:ascii="宋体" w:hAnsi="宋体" w:eastAsia="宋体" w:cs="宋体"/>
                <w:sz w:val="24"/>
                <w:szCs w:val="32"/>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499"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855"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企业技术实力</w:t>
            </w:r>
          </w:p>
        </w:tc>
        <w:tc>
          <w:tcPr>
            <w:tcW w:w="660"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15分</w:t>
            </w:r>
          </w:p>
        </w:tc>
        <w:tc>
          <w:tcPr>
            <w:tcW w:w="7867" w:type="dxa"/>
            <w:noWrap w:val="0"/>
            <w:vAlign w:val="center"/>
          </w:tcPr>
          <w:p>
            <w:pPr>
              <w:ind w:firstLine="480" w:firstLineChars="200"/>
              <w:rPr>
                <w:rFonts w:hint="eastAsia" w:ascii="宋体" w:hAnsi="宋体" w:eastAsia="宋体" w:cs="宋体"/>
                <w:sz w:val="24"/>
                <w:szCs w:val="32"/>
              </w:rPr>
            </w:pPr>
            <w:r>
              <w:rPr>
                <w:rFonts w:hint="eastAsia" w:ascii="宋体" w:hAnsi="宋体" w:eastAsia="宋体" w:cs="宋体"/>
                <w:sz w:val="24"/>
                <w:szCs w:val="32"/>
              </w:rPr>
              <w:t>1、投标人具有信息</w:t>
            </w:r>
            <w:r>
              <w:rPr>
                <w:rFonts w:hint="eastAsia" w:ascii="宋体" w:hAnsi="宋体" w:eastAsia="宋体" w:cs="宋体"/>
                <w:sz w:val="24"/>
                <w:szCs w:val="32"/>
                <w:lang w:val="en-US" w:eastAsia="zh-CN"/>
              </w:rPr>
              <w:t>系统业务安全服务资质CCIA</w:t>
            </w:r>
            <w:r>
              <w:rPr>
                <w:rFonts w:hint="eastAsia" w:ascii="宋体" w:hAnsi="宋体" w:eastAsia="宋体" w:cs="宋体"/>
                <w:sz w:val="24"/>
                <w:szCs w:val="32"/>
              </w:rPr>
              <w:t>，达到一级得</w:t>
            </w:r>
            <w:r>
              <w:rPr>
                <w:rFonts w:hint="eastAsia" w:ascii="宋体" w:hAnsi="宋体" w:eastAsia="宋体" w:cs="宋体"/>
                <w:sz w:val="24"/>
                <w:szCs w:val="32"/>
                <w:lang w:val="en-US" w:eastAsia="zh-CN"/>
              </w:rPr>
              <w:t>2</w:t>
            </w:r>
            <w:r>
              <w:rPr>
                <w:rFonts w:hint="eastAsia" w:ascii="宋体" w:hAnsi="宋体" w:eastAsia="宋体" w:cs="宋体"/>
                <w:sz w:val="24"/>
                <w:szCs w:val="32"/>
              </w:rPr>
              <w:t>分，二级得</w:t>
            </w:r>
            <w:r>
              <w:rPr>
                <w:rFonts w:hint="eastAsia" w:ascii="宋体" w:hAnsi="宋体" w:eastAsia="宋体" w:cs="宋体"/>
                <w:sz w:val="24"/>
                <w:szCs w:val="32"/>
                <w:lang w:val="en-US" w:eastAsia="zh-CN"/>
              </w:rPr>
              <w:t>1</w:t>
            </w:r>
            <w:r>
              <w:rPr>
                <w:rFonts w:hint="eastAsia" w:ascii="宋体" w:hAnsi="宋体" w:eastAsia="宋体" w:cs="宋体"/>
                <w:sz w:val="24"/>
                <w:szCs w:val="32"/>
              </w:rPr>
              <w:t>分。</w:t>
            </w:r>
          </w:p>
          <w:p>
            <w:pPr>
              <w:ind w:firstLine="480" w:firstLineChars="200"/>
              <w:rPr>
                <w:rFonts w:hint="default" w:ascii="宋体" w:hAnsi="宋体" w:eastAsia="宋体" w:cs="宋体"/>
                <w:sz w:val="24"/>
                <w:szCs w:val="32"/>
                <w:lang w:val="en-US" w:eastAsia="zh-CN"/>
              </w:rPr>
            </w:pPr>
            <w:r>
              <w:rPr>
                <w:rFonts w:hint="eastAsia" w:ascii="宋体" w:hAnsi="宋体" w:eastAsia="宋体" w:cs="宋体"/>
                <w:sz w:val="24"/>
                <w:szCs w:val="32"/>
                <w:lang w:val="en-US" w:eastAsia="zh-CN"/>
              </w:rPr>
              <w:t>2、</w:t>
            </w:r>
            <w:r>
              <w:rPr>
                <w:rFonts w:hint="eastAsia" w:ascii="宋体" w:hAnsi="宋体" w:eastAsia="宋体" w:cs="宋体"/>
                <w:sz w:val="24"/>
                <w:szCs w:val="32"/>
              </w:rPr>
              <w:t>投标人具有高新技术企业证书的</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得2分；</w:t>
            </w:r>
          </w:p>
          <w:p>
            <w:pPr>
              <w:ind w:firstLine="480" w:firstLineChars="200"/>
              <w:rPr>
                <w:rFonts w:hint="eastAsia" w:ascii="宋体" w:hAnsi="宋体" w:eastAsia="宋体" w:cs="宋体"/>
                <w:sz w:val="24"/>
                <w:szCs w:val="32"/>
              </w:rPr>
            </w:pPr>
            <w:r>
              <w:rPr>
                <w:rFonts w:hint="eastAsia" w:ascii="宋体" w:hAnsi="宋体" w:eastAsia="宋体" w:cs="宋体"/>
                <w:sz w:val="24"/>
                <w:szCs w:val="32"/>
                <w:lang w:val="en-US" w:eastAsia="zh-CN"/>
              </w:rPr>
              <w:t>3、</w:t>
            </w:r>
            <w:r>
              <w:rPr>
                <w:rFonts w:hint="eastAsia" w:ascii="宋体" w:hAnsi="宋体" w:eastAsia="宋体" w:cs="宋体"/>
                <w:sz w:val="24"/>
                <w:szCs w:val="32"/>
              </w:rPr>
              <w:t>本项目</w:t>
            </w:r>
            <w:r>
              <w:rPr>
                <w:rFonts w:hint="eastAsia" w:ascii="宋体" w:hAnsi="宋体" w:eastAsia="宋体" w:cs="宋体"/>
                <w:sz w:val="24"/>
                <w:szCs w:val="32"/>
                <w:lang w:eastAsia="zh-CN"/>
              </w:rPr>
              <w:t>涉及</w:t>
            </w:r>
            <w:r>
              <w:rPr>
                <w:rFonts w:hint="eastAsia" w:ascii="宋体" w:hAnsi="宋体" w:eastAsia="宋体" w:cs="宋体"/>
                <w:sz w:val="24"/>
                <w:szCs w:val="32"/>
                <w:lang w:val="en-US" w:eastAsia="zh-CN"/>
              </w:rPr>
              <w:t>5G通信全覆盖，为了保证项目实施达到预期效果，</w:t>
            </w:r>
            <w:r>
              <w:rPr>
                <w:rFonts w:hint="eastAsia" w:ascii="宋体" w:hAnsi="宋体" w:eastAsia="宋体" w:cs="宋体"/>
                <w:sz w:val="24"/>
                <w:szCs w:val="32"/>
              </w:rPr>
              <w:t>投标人</w:t>
            </w:r>
            <w:r>
              <w:rPr>
                <w:rFonts w:hint="eastAsia" w:ascii="宋体" w:hAnsi="宋体" w:eastAsia="宋体" w:cs="宋体"/>
                <w:sz w:val="24"/>
                <w:szCs w:val="32"/>
                <w:lang w:val="en-US" w:eastAsia="zh-CN"/>
              </w:rPr>
              <w:t>或其上级公司</w:t>
            </w:r>
            <w:r>
              <w:rPr>
                <w:rFonts w:hint="eastAsia" w:ascii="宋体" w:hAnsi="宋体" w:eastAsia="宋体" w:cs="宋体"/>
                <w:sz w:val="24"/>
                <w:szCs w:val="32"/>
              </w:rPr>
              <w:t>具</w:t>
            </w:r>
            <w:r>
              <w:rPr>
                <w:rFonts w:hint="eastAsia" w:ascii="宋体" w:hAnsi="宋体" w:eastAsia="宋体" w:cs="宋体"/>
                <w:sz w:val="24"/>
                <w:szCs w:val="32"/>
                <w:lang w:eastAsia="zh-CN"/>
              </w:rPr>
              <w:t>备</w:t>
            </w:r>
            <w:r>
              <w:rPr>
                <w:rFonts w:hint="eastAsia" w:ascii="宋体" w:hAnsi="宋体" w:eastAsia="宋体" w:cs="宋体"/>
                <w:sz w:val="24"/>
                <w:szCs w:val="32"/>
              </w:rPr>
              <w:t>基础电信业务经营</w:t>
            </w:r>
            <w:r>
              <w:rPr>
                <w:rFonts w:hint="eastAsia" w:ascii="宋体" w:hAnsi="宋体" w:eastAsia="宋体" w:cs="宋体"/>
                <w:sz w:val="24"/>
                <w:szCs w:val="32"/>
                <w:lang w:eastAsia="zh-CN"/>
              </w:rPr>
              <w:t>资质，能提供</w:t>
            </w:r>
            <w:r>
              <w:rPr>
                <w:rFonts w:hint="eastAsia" w:ascii="宋体" w:hAnsi="宋体" w:eastAsia="宋体" w:cs="宋体"/>
                <w:sz w:val="24"/>
                <w:szCs w:val="32"/>
              </w:rPr>
              <w:t>国家工信部颁发的基础电信业务经营许可证</w:t>
            </w:r>
            <w:r>
              <w:rPr>
                <w:rFonts w:hint="eastAsia" w:ascii="宋体" w:hAnsi="宋体" w:eastAsia="宋体" w:cs="宋体"/>
                <w:sz w:val="24"/>
                <w:szCs w:val="32"/>
                <w:lang w:eastAsia="zh-CN"/>
              </w:rPr>
              <w:t>的</w:t>
            </w:r>
            <w:r>
              <w:rPr>
                <w:rFonts w:hint="eastAsia" w:ascii="宋体" w:hAnsi="宋体" w:eastAsia="宋体" w:cs="宋体"/>
                <w:sz w:val="24"/>
                <w:szCs w:val="32"/>
                <w:lang w:val="en-US" w:eastAsia="zh-CN"/>
              </w:rPr>
              <w:t>得5分</w:t>
            </w:r>
            <w:r>
              <w:rPr>
                <w:rFonts w:hint="eastAsia" w:ascii="宋体" w:hAnsi="宋体" w:eastAsia="宋体" w:cs="宋体"/>
                <w:sz w:val="24"/>
                <w:szCs w:val="32"/>
              </w:rPr>
              <w:t>。</w:t>
            </w:r>
          </w:p>
          <w:p>
            <w:pPr>
              <w:ind w:firstLine="480" w:firstLineChars="200"/>
              <w:rPr>
                <w:rFonts w:hint="eastAsia" w:ascii="宋体" w:hAnsi="宋体" w:eastAsia="宋体" w:cs="宋体"/>
                <w:sz w:val="24"/>
                <w:szCs w:val="32"/>
              </w:rPr>
            </w:pPr>
            <w:r>
              <w:rPr>
                <w:rFonts w:hint="eastAsia" w:ascii="宋体" w:hAnsi="宋体" w:eastAsia="宋体" w:cs="宋体"/>
                <w:sz w:val="24"/>
                <w:szCs w:val="32"/>
                <w:lang w:val="en-US" w:eastAsia="zh-CN"/>
              </w:rPr>
              <w:t>4、</w:t>
            </w:r>
            <w:r>
              <w:rPr>
                <w:rFonts w:hint="eastAsia" w:ascii="宋体" w:hAnsi="宋体" w:eastAsia="宋体" w:cs="宋体"/>
                <w:sz w:val="24"/>
                <w:szCs w:val="32"/>
              </w:rPr>
              <w:t>投标人具有系统集成售后服务认证证书的，五星级得</w:t>
            </w:r>
            <w:r>
              <w:rPr>
                <w:rFonts w:hint="eastAsia" w:ascii="宋体" w:hAnsi="宋体" w:eastAsia="宋体" w:cs="宋体"/>
                <w:sz w:val="24"/>
                <w:szCs w:val="32"/>
                <w:lang w:val="en-US" w:eastAsia="zh-CN"/>
              </w:rPr>
              <w:t>2</w:t>
            </w:r>
            <w:r>
              <w:rPr>
                <w:rFonts w:hint="eastAsia" w:ascii="宋体" w:hAnsi="宋体" w:eastAsia="宋体" w:cs="宋体"/>
                <w:sz w:val="24"/>
                <w:szCs w:val="32"/>
              </w:rPr>
              <w:t>分，三星或四星级得</w:t>
            </w:r>
            <w:r>
              <w:rPr>
                <w:rFonts w:hint="eastAsia" w:ascii="宋体" w:hAnsi="宋体" w:eastAsia="宋体" w:cs="宋体"/>
                <w:sz w:val="24"/>
                <w:szCs w:val="32"/>
                <w:lang w:val="en-US" w:eastAsia="zh-CN"/>
              </w:rPr>
              <w:t>1</w:t>
            </w:r>
            <w:r>
              <w:rPr>
                <w:rFonts w:hint="eastAsia" w:ascii="宋体" w:hAnsi="宋体" w:eastAsia="宋体" w:cs="宋体"/>
                <w:sz w:val="24"/>
                <w:szCs w:val="32"/>
              </w:rPr>
              <w:t>分，其他不得分。</w:t>
            </w:r>
          </w:p>
          <w:p>
            <w:pPr>
              <w:ind w:firstLine="480" w:firstLineChars="200"/>
              <w:rPr>
                <w:rFonts w:hint="eastAsia" w:ascii="宋体" w:hAnsi="宋体" w:eastAsia="宋体" w:cs="宋体"/>
                <w:sz w:val="24"/>
                <w:szCs w:val="32"/>
              </w:rPr>
            </w:pPr>
            <w:r>
              <w:rPr>
                <w:rFonts w:hint="eastAsia" w:ascii="宋体" w:hAnsi="宋体" w:eastAsia="宋体" w:cs="宋体"/>
                <w:sz w:val="24"/>
                <w:szCs w:val="32"/>
                <w:lang w:val="en-US" w:eastAsia="zh-CN"/>
              </w:rPr>
              <w:t>5</w:t>
            </w:r>
            <w:r>
              <w:rPr>
                <w:rFonts w:hint="eastAsia" w:ascii="宋体" w:hAnsi="宋体" w:eastAsia="宋体" w:cs="宋体"/>
                <w:sz w:val="24"/>
                <w:szCs w:val="32"/>
              </w:rPr>
              <w:t>、投标人具有大数据服务安全能力评价认证证书得</w:t>
            </w:r>
            <w:r>
              <w:rPr>
                <w:rFonts w:hint="eastAsia" w:ascii="宋体" w:hAnsi="宋体" w:eastAsia="宋体" w:cs="宋体"/>
                <w:sz w:val="24"/>
                <w:szCs w:val="32"/>
                <w:lang w:val="en-US" w:eastAsia="zh-CN"/>
              </w:rPr>
              <w:t>2</w:t>
            </w:r>
            <w:r>
              <w:rPr>
                <w:rFonts w:hint="eastAsia" w:ascii="宋体" w:hAnsi="宋体" w:eastAsia="宋体" w:cs="宋体"/>
                <w:sz w:val="24"/>
                <w:szCs w:val="32"/>
              </w:rPr>
              <w:t>分；</w:t>
            </w:r>
          </w:p>
          <w:p>
            <w:pPr>
              <w:ind w:firstLine="480" w:firstLineChars="20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6、</w:t>
            </w:r>
            <w:r>
              <w:rPr>
                <w:rFonts w:hint="eastAsia" w:ascii="宋体" w:hAnsi="宋体" w:eastAsia="宋体" w:cs="宋体"/>
                <w:sz w:val="24"/>
                <w:szCs w:val="32"/>
              </w:rPr>
              <w:t>投标人具有有效期内的ISO27701隐私安全管理体系认证证书和ISO27001信息安全管理体系认证证书的，有一类得1分，本项最高得2分；</w:t>
            </w:r>
          </w:p>
          <w:p>
            <w:pPr>
              <w:ind w:firstLine="480" w:firstLineChars="200"/>
              <w:rPr>
                <w:rFonts w:hint="eastAsia" w:ascii="宋体" w:hAnsi="宋体" w:eastAsia="宋体" w:cs="宋体"/>
                <w:sz w:val="24"/>
                <w:szCs w:val="32"/>
                <w:lang w:eastAsia="zh-CN"/>
              </w:rPr>
            </w:pPr>
            <w:r>
              <w:rPr>
                <w:rFonts w:hint="eastAsia" w:ascii="宋体" w:hAnsi="宋体" w:eastAsia="宋体" w:cs="宋体"/>
                <w:sz w:val="24"/>
                <w:szCs w:val="32"/>
              </w:rPr>
              <w:t>（</w:t>
            </w:r>
            <w:r>
              <w:rPr>
                <w:rFonts w:hint="eastAsia" w:ascii="宋体" w:hAnsi="宋体" w:eastAsia="宋体" w:cs="宋体"/>
                <w:sz w:val="24"/>
                <w:szCs w:val="32"/>
                <w:lang w:val="en-US" w:eastAsia="zh-CN"/>
              </w:rPr>
              <w:t>以上1-6项，</w:t>
            </w:r>
            <w:r>
              <w:rPr>
                <w:rFonts w:hint="eastAsia" w:ascii="宋体" w:hAnsi="宋体" w:eastAsia="宋体" w:cs="宋体"/>
                <w:sz w:val="24"/>
                <w:szCs w:val="32"/>
              </w:rPr>
              <w:t>投标文件中均需提供</w:t>
            </w:r>
            <w:r>
              <w:rPr>
                <w:rFonts w:hint="eastAsia" w:ascii="宋体" w:hAnsi="宋体" w:eastAsia="宋体" w:cs="宋体"/>
                <w:sz w:val="24"/>
                <w:szCs w:val="32"/>
                <w:lang w:eastAsia="zh-CN"/>
              </w:rPr>
              <w:t>相对应</w:t>
            </w:r>
            <w:r>
              <w:rPr>
                <w:rFonts w:hint="eastAsia" w:ascii="宋体" w:hAnsi="宋体" w:eastAsia="宋体" w:cs="宋体"/>
                <w:sz w:val="24"/>
                <w:szCs w:val="32"/>
              </w:rPr>
              <w:t xml:space="preserve">证书扫描件，否则不得分）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499"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855"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w:t>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w:t>
            </w:r>
          </w:p>
        </w:tc>
        <w:tc>
          <w:tcPr>
            <w:tcW w:w="660"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15分</w:t>
            </w:r>
          </w:p>
        </w:tc>
        <w:tc>
          <w:tcPr>
            <w:tcW w:w="7867" w:type="dxa"/>
            <w:noWrap w:val="0"/>
            <w:vAlign w:val="center"/>
          </w:tcPr>
          <w:p>
            <w:pPr>
              <w:ind w:firstLine="480" w:firstLineChars="20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实施方案（5分）：基本分4分。对招标文件的深化理解和项目实施组织方案阐述，具体由评委根据投标单位的项目人员组成、时间进度安排、项目安全措施、文明施工措施、档案管理措施等施工方案和验收方案酌情打分。在0</w:t>
            </w:r>
            <w:r>
              <w:rPr>
                <w:rFonts w:hint="eastAsia" w:ascii="宋体" w:hAnsi="宋体" w:eastAsia="宋体" w:cs="宋体"/>
                <w:sz w:val="24"/>
                <w:szCs w:val="32"/>
              </w:rPr>
              <w:t>-</w:t>
            </w:r>
            <w:r>
              <w:rPr>
                <w:rFonts w:hint="eastAsia" w:ascii="宋体" w:hAnsi="宋体" w:eastAsia="宋体" w:cs="宋体"/>
                <w:sz w:val="24"/>
                <w:szCs w:val="32"/>
                <w:lang w:val="en-US" w:eastAsia="zh-CN"/>
              </w:rPr>
              <w:t>1分之间加</w:t>
            </w:r>
            <w:r>
              <w:rPr>
                <w:rFonts w:hint="eastAsia" w:ascii="宋体" w:hAnsi="宋体" w:eastAsia="宋体" w:cs="宋体"/>
                <w:sz w:val="24"/>
                <w:szCs w:val="32"/>
              </w:rPr>
              <w:t>分。</w:t>
            </w:r>
          </w:p>
          <w:p>
            <w:pPr>
              <w:ind w:firstLine="480" w:firstLineChars="20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2.培训方案（5分）：基本分4分。投标人提供完整、可行的培训方案，明确具体培训方式、培训计划、时间、地点、对象以及培训内容。</w:t>
            </w:r>
            <w:r>
              <w:rPr>
                <w:rFonts w:hint="eastAsia" w:ascii="宋体" w:hAnsi="宋体" w:eastAsia="宋体" w:cs="宋体"/>
                <w:sz w:val="24"/>
                <w:szCs w:val="32"/>
              </w:rPr>
              <w:t>根据培训方案：培训方案内容详细、完整，培训计划及培训内容安排</w:t>
            </w:r>
            <w:r>
              <w:rPr>
                <w:rFonts w:hint="eastAsia" w:ascii="宋体" w:hAnsi="宋体" w:eastAsia="宋体" w:cs="宋体"/>
                <w:sz w:val="24"/>
                <w:szCs w:val="32"/>
                <w:lang w:eastAsia="zh-CN"/>
              </w:rPr>
              <w:t>是否</w:t>
            </w:r>
            <w:r>
              <w:rPr>
                <w:rFonts w:hint="eastAsia" w:ascii="宋体" w:hAnsi="宋体" w:eastAsia="宋体" w:cs="宋体"/>
                <w:sz w:val="24"/>
                <w:szCs w:val="32"/>
              </w:rPr>
              <w:t>合理可行</w:t>
            </w:r>
            <w:r>
              <w:rPr>
                <w:rFonts w:hint="eastAsia" w:ascii="宋体" w:hAnsi="宋体" w:eastAsia="宋体" w:cs="宋体"/>
                <w:sz w:val="24"/>
                <w:szCs w:val="32"/>
                <w:lang w:val="en-US" w:eastAsia="zh-CN"/>
              </w:rPr>
              <w:t>酌情打分</w:t>
            </w:r>
            <w:r>
              <w:rPr>
                <w:rFonts w:hint="eastAsia" w:ascii="宋体" w:hAnsi="宋体" w:eastAsia="宋体" w:cs="宋体"/>
                <w:sz w:val="24"/>
                <w:szCs w:val="32"/>
              </w:rPr>
              <w:t>，</w:t>
            </w:r>
            <w:r>
              <w:rPr>
                <w:rFonts w:hint="eastAsia" w:ascii="宋体" w:hAnsi="宋体" w:eastAsia="宋体" w:cs="宋体"/>
                <w:sz w:val="24"/>
                <w:szCs w:val="32"/>
                <w:lang w:val="en-US" w:eastAsia="zh-CN"/>
              </w:rPr>
              <w:t>在0</w:t>
            </w:r>
            <w:r>
              <w:rPr>
                <w:rFonts w:hint="eastAsia" w:ascii="宋体" w:hAnsi="宋体" w:eastAsia="宋体" w:cs="宋体"/>
                <w:sz w:val="24"/>
                <w:szCs w:val="32"/>
              </w:rPr>
              <w:t>-</w:t>
            </w:r>
            <w:r>
              <w:rPr>
                <w:rFonts w:hint="eastAsia" w:ascii="宋体" w:hAnsi="宋体" w:eastAsia="宋体" w:cs="宋体"/>
                <w:sz w:val="24"/>
                <w:szCs w:val="32"/>
                <w:lang w:val="en-US" w:eastAsia="zh-CN"/>
              </w:rPr>
              <w:t>1分之间加</w:t>
            </w:r>
            <w:r>
              <w:rPr>
                <w:rFonts w:hint="eastAsia" w:ascii="宋体" w:hAnsi="宋体" w:eastAsia="宋体" w:cs="宋体"/>
                <w:sz w:val="24"/>
                <w:szCs w:val="32"/>
              </w:rPr>
              <w:t>分。</w:t>
            </w:r>
          </w:p>
          <w:p>
            <w:pPr>
              <w:ind w:firstLine="480" w:firstLineChars="20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3、售后服务方案（5分）：基本分4分。方案具体</w:t>
            </w:r>
            <w:r>
              <w:rPr>
                <w:rFonts w:hint="eastAsia" w:ascii="宋体" w:hAnsi="宋体" w:eastAsia="宋体" w:cs="宋体"/>
                <w:sz w:val="24"/>
                <w:szCs w:val="32"/>
              </w:rPr>
              <w:t>包含但不限于售后服务资源和服务体系建设、客户服务标准、故障处理流程、投诉处理流程、应急处置流程、售后服务响应效率等，</w:t>
            </w:r>
            <w:r>
              <w:rPr>
                <w:rFonts w:hint="eastAsia" w:ascii="宋体" w:hAnsi="宋体" w:eastAsia="宋体" w:cs="宋体"/>
                <w:sz w:val="24"/>
                <w:szCs w:val="32"/>
                <w:lang w:val="en-US" w:eastAsia="zh-CN"/>
              </w:rPr>
              <w:t>评委根据投标人提供的售后服务方案酌情打分。在0</w:t>
            </w:r>
            <w:r>
              <w:rPr>
                <w:rFonts w:hint="eastAsia" w:ascii="宋体" w:hAnsi="宋体" w:eastAsia="宋体" w:cs="宋体"/>
                <w:sz w:val="24"/>
                <w:szCs w:val="32"/>
              </w:rPr>
              <w:t>-</w:t>
            </w:r>
            <w:r>
              <w:rPr>
                <w:rFonts w:hint="eastAsia" w:ascii="宋体" w:hAnsi="宋体" w:eastAsia="宋体" w:cs="宋体"/>
                <w:sz w:val="24"/>
                <w:szCs w:val="32"/>
                <w:lang w:val="en-US" w:eastAsia="zh-CN"/>
              </w:rPr>
              <w:t>1分区间加</w:t>
            </w:r>
            <w:r>
              <w:rPr>
                <w:rFonts w:hint="eastAsia" w:ascii="宋体" w:hAnsi="宋体" w:eastAsia="宋体" w:cs="宋体"/>
                <w:sz w:val="24"/>
                <w:szCs w:val="32"/>
              </w:rPr>
              <w:t>分。</w:t>
            </w:r>
          </w:p>
        </w:tc>
      </w:tr>
    </w:tbl>
    <w:p>
      <w:pPr>
        <w:pStyle w:val="29"/>
        <w:spacing w:before="120" w:beforeAutospacing="0" w:after="120" w:afterAutospacing="0" w:line="360" w:lineRule="auto"/>
        <w:rPr>
          <w:color w:val="auto"/>
          <w:highlight w:val="none"/>
        </w:rPr>
      </w:pPr>
    </w:p>
    <w:p>
      <w:pPr>
        <w:pStyle w:val="29"/>
        <w:spacing w:beforeAutospacing="0" w:afterAutospacing="0"/>
        <w:jc w:val="both"/>
        <w:rPr>
          <w:color w:val="auto"/>
          <w:highlight w:val="none"/>
        </w:rPr>
      </w:pPr>
      <w:r>
        <w:rPr>
          <w:color w:val="auto"/>
          <w:highlight w:val="none"/>
        </w:rPr>
        <w:t> </w:t>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pPr>
        <w:pStyle w:val="29"/>
        <w:keepNext/>
        <w:spacing w:beforeAutospacing="0" w:afterAutospacing="0"/>
        <w:jc w:val="center"/>
        <w:outlineLvl w:val="0"/>
        <w:rPr>
          <w:rFonts w:hint="eastAsia" w:ascii="黑体" w:hAnsi="宋体" w:eastAsia="黑体" w:cs="黑体"/>
          <w:color w:val="auto"/>
          <w:sz w:val="44"/>
          <w:szCs w:val="44"/>
          <w:highlight w:val="none"/>
        </w:rPr>
      </w:pPr>
      <w:bookmarkStart w:id="37" w:name="_Toc13"/>
      <w:r>
        <w:rPr>
          <w:rFonts w:hint="eastAsia" w:ascii="黑体" w:hAnsi="宋体" w:eastAsia="黑体" w:cs="黑体"/>
          <w:color w:val="auto"/>
          <w:sz w:val="44"/>
          <w:szCs w:val="44"/>
          <w:highlight w:val="none"/>
        </w:rPr>
        <w:t>第六章  投标文件格式</w:t>
      </w:r>
      <w:bookmarkEnd w:id="37"/>
    </w:p>
    <w:p>
      <w:pPr>
        <w:pStyle w:val="29"/>
        <w:keepNext/>
        <w:spacing w:beforeAutospacing="0" w:afterAutospacing="0"/>
        <w:jc w:val="center"/>
        <w:rPr>
          <w:rFonts w:hint="eastAsia" w:ascii="黑体" w:hAnsi="宋体" w:eastAsia="黑体" w:cs="黑体"/>
          <w:color w:val="auto"/>
          <w:sz w:val="44"/>
          <w:szCs w:val="44"/>
          <w:highlight w:val="none"/>
        </w:rPr>
      </w:pPr>
    </w:p>
    <w:p>
      <w:pPr>
        <w:pStyle w:val="29"/>
        <w:keepNext/>
        <w:spacing w:beforeAutospacing="0" w:afterAutospacing="0"/>
        <w:jc w:val="center"/>
        <w:rPr>
          <w:rFonts w:hint="eastAsia" w:ascii="黑体" w:hAnsi="宋体" w:eastAsia="黑体" w:cs="黑体"/>
          <w:color w:val="auto"/>
          <w:sz w:val="44"/>
          <w:szCs w:val="44"/>
          <w:highlight w:val="none"/>
        </w:rPr>
      </w:pPr>
    </w:p>
    <w:p>
      <w:pPr>
        <w:pStyle w:val="29"/>
        <w:keepNext/>
        <w:spacing w:beforeAutospacing="0" w:afterAutospacing="0"/>
        <w:jc w:val="center"/>
        <w:rPr>
          <w:rFonts w:hint="eastAsia" w:ascii="黑体" w:hAnsi="宋体" w:eastAsia="黑体" w:cs="黑体"/>
          <w:color w:val="auto"/>
          <w:sz w:val="44"/>
          <w:szCs w:val="44"/>
          <w:highlight w:val="none"/>
        </w:rPr>
      </w:pPr>
    </w:p>
    <w:p>
      <w:pPr>
        <w:pStyle w:val="29"/>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 </w:t>
      </w:r>
    </w:p>
    <w:p>
      <w:pPr>
        <w:pStyle w:val="29"/>
        <w:spacing w:beforeAutospacing="0" w:afterAutospacing="0"/>
        <w:jc w:val="center"/>
        <w:rPr>
          <w:color w:val="auto"/>
          <w:highlight w:val="none"/>
        </w:rPr>
      </w:pPr>
      <w:bookmarkStart w:id="38" w:name="_Hlt26955039"/>
      <w:bookmarkEnd w:id="38"/>
      <w:bookmarkStart w:id="39" w:name="_Hlt26671244"/>
      <w:bookmarkEnd w:id="39"/>
      <w:r>
        <w:rPr>
          <w:rFonts w:hint="eastAsia" w:ascii="宋体" w:hAnsi="宋体" w:eastAsia="宋体" w:cs="宋体"/>
          <w:b/>
          <w:color w:val="auto"/>
          <w:sz w:val="72"/>
          <w:szCs w:val="72"/>
          <w:highlight w:val="none"/>
        </w:rPr>
        <w:t>投  标  文  件</w:t>
      </w:r>
    </w:p>
    <w:p>
      <w:pPr>
        <w:pStyle w:val="29"/>
        <w:spacing w:beforeAutospacing="0" w:afterAutospacing="0"/>
        <w:jc w:val="center"/>
        <w:rPr>
          <w:color w:val="auto"/>
          <w:highlight w:val="none"/>
        </w:rPr>
      </w:pPr>
      <w:r>
        <w:rPr>
          <w:color w:val="auto"/>
          <w:highlight w:val="none"/>
        </w:rPr>
        <w:t> </w:t>
      </w:r>
    </w:p>
    <w:p>
      <w:pPr>
        <w:pStyle w:val="29"/>
        <w:spacing w:beforeAutospacing="0" w:afterAutospacing="0"/>
        <w:jc w:val="center"/>
        <w:rPr>
          <w:color w:val="auto"/>
          <w:highlight w:val="none"/>
        </w:rPr>
      </w:pPr>
      <w:r>
        <w:rPr>
          <w:color w:val="auto"/>
          <w:highlight w:val="none"/>
        </w:rPr>
        <w:t> </w:t>
      </w:r>
    </w:p>
    <w:p>
      <w:pPr>
        <w:pStyle w:val="29"/>
        <w:spacing w:beforeAutospacing="0" w:afterAutospacing="0"/>
        <w:jc w:val="center"/>
        <w:rPr>
          <w:color w:val="auto"/>
          <w:highlight w:val="none"/>
        </w:rPr>
      </w:pPr>
      <w:r>
        <w:rPr>
          <w:color w:val="auto"/>
          <w:highlight w:val="none"/>
        </w:rPr>
        <w:t> </w:t>
      </w: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p>
    <w:p>
      <w:pPr>
        <w:pStyle w:val="29"/>
        <w:spacing w:beforeAutospacing="0" w:afterAutospacing="0"/>
        <w:jc w:val="center"/>
        <w:rPr>
          <w:color w:val="auto"/>
          <w:highlight w:val="none"/>
        </w:rPr>
      </w:pPr>
      <w:r>
        <w:rPr>
          <w:color w:val="auto"/>
          <w:highlight w:val="none"/>
        </w:rPr>
        <w:t> </w:t>
      </w:r>
    </w:p>
    <w:p>
      <w:pPr>
        <w:pStyle w:val="29"/>
        <w:spacing w:beforeAutospacing="0" w:afterAutospacing="0"/>
        <w:jc w:val="center"/>
        <w:rPr>
          <w:color w:val="auto"/>
          <w:highlight w:val="none"/>
        </w:rPr>
      </w:pPr>
      <w:r>
        <w:rPr>
          <w:color w:val="auto"/>
          <w:highlight w:val="none"/>
        </w:rPr>
        <w:t> </w:t>
      </w:r>
    </w:p>
    <w:p>
      <w:pPr>
        <w:pStyle w:val="29"/>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pPr>
        <w:pStyle w:val="29"/>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pPr>
        <w:pStyle w:val="29"/>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pPr>
        <w:pStyle w:val="29"/>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pPr>
        <w:pStyle w:val="29"/>
        <w:spacing w:beforeAutospacing="0" w:afterAutospacing="0" w:line="0" w:lineRule="atLeast"/>
        <w:jc w:val="center"/>
        <w:rPr>
          <w:color w:val="auto"/>
          <w:highlight w:val="none"/>
        </w:rPr>
      </w:pPr>
      <w:r>
        <w:rPr>
          <w:color w:val="auto"/>
          <w:highlight w:val="none"/>
        </w:rPr>
        <w:t> </w:t>
      </w:r>
    </w:p>
    <w:p>
      <w:pPr>
        <w:pStyle w:val="29"/>
        <w:spacing w:beforeAutospacing="0" w:afterAutospacing="0" w:line="0" w:lineRule="atLeast"/>
        <w:jc w:val="both"/>
        <w:rPr>
          <w:color w:val="auto"/>
          <w:highlight w:val="none"/>
        </w:rPr>
      </w:pPr>
      <w:r>
        <w:rPr>
          <w:color w:val="auto"/>
          <w:highlight w:val="none"/>
        </w:rPr>
        <w:t> </w:t>
      </w:r>
    </w:p>
    <w:p>
      <w:pPr>
        <w:rPr>
          <w:rFonts w:hint="eastAsia" w:ascii="宋体" w:hAnsi="宋体"/>
          <w:b/>
          <w:bCs/>
          <w:color w:val="auto"/>
          <w:sz w:val="32"/>
          <w:szCs w:val="32"/>
          <w:highlight w:val="none"/>
        </w:rPr>
      </w:pPr>
      <w:bookmarkStart w:id="40" w:name="_格式3__银行出具的资信证明"/>
      <w:bookmarkStart w:id="41" w:name="_Hlt26609389"/>
      <w:bookmarkStart w:id="42" w:name="_格式2__法定代表人授权书"/>
      <w:bookmarkStart w:id="43" w:name="_Hlt26955054"/>
      <w:bookmarkStart w:id="44" w:name="_Hlt26671380"/>
      <w:bookmarkStart w:id="45" w:name="_Hlt26671374"/>
      <w:bookmarkStart w:id="46" w:name="_Hlt26955066"/>
      <w:bookmarkStart w:id="47" w:name="_Hlt26955070"/>
      <w:r>
        <w:rPr>
          <w:rFonts w:hint="eastAsia" w:ascii="宋体" w:hAnsi="宋体"/>
          <w:b/>
          <w:bCs/>
          <w:color w:val="auto"/>
          <w:sz w:val="32"/>
          <w:szCs w:val="32"/>
          <w:highlight w:val="none"/>
        </w:rPr>
        <w:br w:type="page" w:clear="all"/>
      </w:r>
    </w:p>
    <w:p>
      <w:pPr>
        <w:spacing w:line="240" w:lineRule="auto"/>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投标文件目录</w:t>
      </w:r>
    </w:p>
    <w:p>
      <w:pPr>
        <w:spacing w:line="440" w:lineRule="exact"/>
        <w:jc w:val="center"/>
        <w:rPr>
          <w:rFonts w:hint="eastAsia" w:ascii="宋体" w:hAnsi="宋体"/>
          <w:b/>
          <w:bCs/>
          <w:color w:val="auto"/>
          <w:sz w:val="32"/>
          <w:szCs w:val="32"/>
          <w:highlight w:val="none"/>
        </w:rPr>
      </w:pP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一、开标一览表（系统固定格式）</w:t>
      </w:r>
    </w:p>
    <w:p>
      <w:pPr>
        <w:spacing w:line="440" w:lineRule="exact"/>
        <w:ind w:firstLine="48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二、资格审查资料</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（1）法人或者其他组织的营业执照等证明文件，自然人的身份证明</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（2）上一年度的财务状况报表（至少提供资产负债表、利润表、现金流量表，投标人成立不满一年无需提供）</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（4）具备履行合同所必需的设备和专业技术能力的书面声明</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（5）参加政府采购活动前 3 年内在经营活动中没有重大违法记录的书面声明</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（6）投标人法定代表人身份证明和投标文件签署授权委托书（另附法定代表人和被授权人的身份证复印件或扫描件）；</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（7）投标人为被授权人缴纳的社会养老保险证明；</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（8）与资格审查有关的其他资料（如有）。</w:t>
      </w:r>
    </w:p>
    <w:p>
      <w:pPr>
        <w:spacing w:line="440" w:lineRule="exact"/>
        <w:ind w:firstLine="48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三、符合性资料</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（1）投标报价明细表；</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（2）投标函；</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（3）所供货物（货物附带的服务）内容及货物要求偏离表；</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（4）投标人的服务承诺；</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（5）小微企业声明函；（如有）</w:t>
      </w:r>
    </w:p>
    <w:p>
      <w:pPr>
        <w:spacing w:line="440" w:lineRule="exact"/>
        <w:ind w:firstLine="48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（6）残疾人福利性单位声明函；（如有）</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（7）联合体协议（如有）；</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（8）东台市政府采购事前信用承诺书；</w:t>
      </w:r>
    </w:p>
    <w:p>
      <w:pPr>
        <w:spacing w:line="440" w:lineRule="exact"/>
        <w:ind w:firstLine="48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四、综合评审相关资料</w:t>
      </w:r>
    </w:p>
    <w:p>
      <w:pPr>
        <w:spacing w:line="44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五、价格折扣文件（如有）</w:t>
      </w:r>
    </w:p>
    <w:p>
      <w:pPr>
        <w:jc w:val="center"/>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1.</w:t>
      </w:r>
      <w:r>
        <w:rPr>
          <w:rFonts w:hint="eastAsia" w:ascii="黑体" w:hAnsi="Times New Roman" w:eastAsia="黑体" w:cs="Times New Roman"/>
          <w:b/>
          <w:bCs/>
          <w:color w:val="auto"/>
          <w:sz w:val="32"/>
          <w:szCs w:val="32"/>
          <w:highlight w:val="none"/>
        </w:rPr>
        <w:t>具有履</w:t>
      </w:r>
      <w:r>
        <w:rPr>
          <w:rFonts w:hint="eastAsia" w:ascii="黑体" w:eastAsia="黑体"/>
          <w:b/>
          <w:bCs/>
          <w:color w:val="auto"/>
          <w:sz w:val="32"/>
          <w:szCs w:val="32"/>
          <w:highlight w:val="none"/>
        </w:rPr>
        <w:t>行合同所必需的设备和专业技术能力的书面声明</w:t>
      </w:r>
    </w:p>
    <w:p>
      <w:pPr>
        <w:rPr>
          <w:rFonts w:hint="eastAsia" w:ascii="仿宋_GB2312" w:eastAsia="仿宋_GB2312"/>
          <w:color w:val="auto"/>
          <w:sz w:val="24"/>
          <w:highlight w:val="none"/>
        </w:rPr>
      </w:pPr>
    </w:p>
    <w:p>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我单位郑重声明：我单位具备履行本项采购合同所必需的设备和专业技术能力，为履行本项采购合同我公司具备如下主要设备和主要专业技术能力：</w:t>
      </w:r>
    </w:p>
    <w:p>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spacing w:line="600" w:lineRule="exact"/>
        <w:ind w:firstLine="460"/>
        <w:rPr>
          <w:rFonts w:hint="eastAsia" w:ascii="宋体" w:hAnsi="宋体" w:eastAsia="宋体" w:cs="宋体"/>
          <w:color w:val="auto"/>
          <w:sz w:val="24"/>
          <w:highlight w:val="none"/>
        </w:rPr>
      </w:pPr>
    </w:p>
    <w:p>
      <w:pPr>
        <w:spacing w:line="600" w:lineRule="exact"/>
        <w:ind w:firstLine="460"/>
        <w:rPr>
          <w:rFonts w:hint="eastAsia" w:ascii="宋体" w:hAnsi="宋体" w:eastAsia="宋体" w:cs="宋体"/>
          <w:color w:val="auto"/>
          <w:sz w:val="24"/>
          <w:highlight w:val="none"/>
        </w:rPr>
      </w:pPr>
    </w:p>
    <w:p>
      <w:pPr>
        <w:spacing w:line="600" w:lineRule="exact"/>
        <w:ind w:firstLine="4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spacing w:line="600" w:lineRule="exact"/>
        <w:ind w:firstLine="28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pPr>
        <w:spacing w:line="600" w:lineRule="exact"/>
        <w:ind w:firstLine="1680"/>
        <w:rPr>
          <w:rFonts w:hint="eastAsia" w:ascii="宋体" w:hAnsi="宋体" w:eastAsia="宋体" w:cs="宋体"/>
          <w:color w:val="auto"/>
          <w:sz w:val="24"/>
          <w:highlight w:val="none"/>
        </w:rPr>
      </w:pPr>
    </w:p>
    <w:p>
      <w:pPr>
        <w:spacing w:line="600" w:lineRule="exact"/>
        <w:ind w:firstLine="28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企业名称（加盖CA电子公章）</w:t>
      </w:r>
      <w:r>
        <w:rPr>
          <w:rFonts w:hint="eastAsia" w:ascii="宋体" w:hAnsi="宋体" w:eastAsia="宋体" w:cs="宋体"/>
          <w:color w:val="auto"/>
          <w:sz w:val="24"/>
          <w:highlight w:val="none"/>
        </w:rPr>
        <w:t>：</w:t>
      </w:r>
    </w:p>
    <w:p>
      <w:pPr>
        <w:spacing w:line="600" w:lineRule="exact"/>
        <w:ind w:firstLine="16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spacing w:line="600" w:lineRule="exact"/>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spacing w:line="460" w:lineRule="exact"/>
        <w:ind w:firstLine="492"/>
        <w:rPr>
          <w:rFonts w:hint="eastAsia" w:ascii="宋体" w:hAnsi="宋体" w:eastAsia="宋体" w:cs="宋体"/>
          <w:bCs/>
          <w:color w:val="auto"/>
          <w:sz w:val="24"/>
          <w:highlight w:val="none"/>
        </w:rPr>
      </w:pP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p>
    <w:p>
      <w:pPr>
        <w:pStyle w:val="3"/>
        <w:ind w:firstLine="0"/>
        <w:rPr>
          <w:rFonts w:hint="eastAsia"/>
          <w:color w:val="auto"/>
          <w:highlight w:val="none"/>
        </w:rPr>
      </w:pPr>
    </w:p>
    <w:p>
      <w:pPr>
        <w:spacing w:line="600" w:lineRule="exact"/>
        <w:jc w:val="center"/>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2.</w:t>
      </w:r>
      <w:r>
        <w:rPr>
          <w:rFonts w:hint="eastAsia" w:ascii="黑体" w:hAnsi="Calibri" w:eastAsia="黑体" w:cs="Times New Roman"/>
          <w:b/>
          <w:bCs/>
          <w:color w:val="auto"/>
          <w:sz w:val="32"/>
          <w:szCs w:val="32"/>
          <w:highlight w:val="none"/>
        </w:rPr>
        <w:t>参加政</w:t>
      </w:r>
      <w:r>
        <w:rPr>
          <w:rFonts w:hint="eastAsia" w:ascii="黑体" w:eastAsia="黑体"/>
          <w:b/>
          <w:bCs/>
          <w:color w:val="auto"/>
          <w:sz w:val="32"/>
          <w:szCs w:val="32"/>
          <w:highlight w:val="none"/>
        </w:rPr>
        <w:t>府采购活动前3年内在经营活动中</w:t>
      </w:r>
    </w:p>
    <w:p>
      <w:pPr>
        <w:spacing w:line="600" w:lineRule="exact"/>
        <w:jc w:val="center"/>
        <w:rPr>
          <w:rFonts w:hint="eastAsia" w:ascii="黑体" w:eastAsia="黑体"/>
          <w:b/>
          <w:bCs/>
          <w:color w:val="auto"/>
          <w:sz w:val="32"/>
          <w:szCs w:val="32"/>
          <w:highlight w:val="none"/>
        </w:rPr>
      </w:pPr>
      <w:r>
        <w:rPr>
          <w:rFonts w:hint="eastAsia" w:ascii="黑体" w:eastAsia="黑体"/>
          <w:b/>
          <w:bCs/>
          <w:color w:val="auto"/>
          <w:sz w:val="32"/>
          <w:szCs w:val="32"/>
          <w:highlight w:val="none"/>
        </w:rPr>
        <w:t>没有重大违法记录的书面声明</w:t>
      </w:r>
    </w:p>
    <w:p>
      <w:pPr>
        <w:spacing w:line="600" w:lineRule="exact"/>
        <w:rPr>
          <w:rFonts w:hint="eastAsia" w:ascii="仿宋_GB2312" w:eastAsia="仿宋_GB2312"/>
          <w:color w:val="auto"/>
          <w:sz w:val="24"/>
          <w:highlight w:val="none"/>
        </w:rPr>
      </w:pPr>
    </w:p>
    <w:p>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pPr>
        <w:spacing w:line="600" w:lineRule="exact"/>
        <w:ind w:firstLine="460"/>
        <w:rPr>
          <w:rFonts w:hint="eastAsia" w:ascii="宋体" w:hAnsi="宋体" w:eastAsia="宋体" w:cs="宋体"/>
          <w:color w:val="auto"/>
          <w:sz w:val="24"/>
          <w:highlight w:val="none"/>
        </w:rPr>
      </w:pPr>
    </w:p>
    <w:p>
      <w:pPr>
        <w:spacing w:line="600" w:lineRule="exact"/>
        <w:ind w:firstLine="4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spacing w:line="600" w:lineRule="exact"/>
        <w:ind w:firstLine="460"/>
        <w:rPr>
          <w:rFonts w:hint="eastAsia" w:ascii="宋体" w:hAnsi="宋体" w:eastAsia="宋体" w:cs="宋体"/>
          <w:color w:val="auto"/>
          <w:sz w:val="24"/>
          <w:highlight w:val="none"/>
        </w:rPr>
      </w:pPr>
    </w:p>
    <w:p>
      <w:pPr>
        <w:spacing w:line="600" w:lineRule="exact"/>
        <w:ind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pPr>
        <w:spacing w:line="600" w:lineRule="exact"/>
        <w:ind w:firstLine="1680"/>
        <w:rPr>
          <w:rFonts w:hint="eastAsia" w:ascii="宋体" w:hAnsi="宋体" w:eastAsia="宋体" w:cs="宋体"/>
          <w:color w:val="auto"/>
          <w:sz w:val="24"/>
          <w:highlight w:val="none"/>
        </w:rPr>
      </w:pPr>
    </w:p>
    <w:p>
      <w:pPr>
        <w:spacing w:line="600" w:lineRule="exact"/>
        <w:ind w:firstLine="312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企业名称（加盖CA电子公章）</w:t>
      </w:r>
      <w:r>
        <w:rPr>
          <w:rFonts w:hint="eastAsia" w:ascii="宋体" w:hAnsi="宋体" w:eastAsia="宋体" w:cs="宋体"/>
          <w:color w:val="auto"/>
          <w:sz w:val="24"/>
          <w:highlight w:val="none"/>
        </w:rPr>
        <w:t>：</w:t>
      </w:r>
    </w:p>
    <w:p>
      <w:pPr>
        <w:spacing w:line="600" w:lineRule="exact"/>
        <w:ind w:firstLine="1680"/>
        <w:rPr>
          <w:rFonts w:hint="eastAsia" w:ascii="宋体" w:hAnsi="宋体" w:eastAsia="宋体" w:cs="宋体"/>
          <w:color w:val="auto"/>
          <w:sz w:val="24"/>
          <w:highlight w:val="none"/>
        </w:rPr>
      </w:pPr>
    </w:p>
    <w:p>
      <w:pPr>
        <w:spacing w:line="600" w:lineRule="exact"/>
        <w:ind w:firstLine="16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spacing w:line="460" w:lineRule="exact"/>
        <w:rPr>
          <w:rFonts w:hint="eastAsia" w:ascii="宋体" w:hAnsi="宋体"/>
          <w:bCs/>
          <w:color w:val="auto"/>
          <w:sz w:val="24"/>
          <w:highlight w:val="none"/>
        </w:rPr>
      </w:pPr>
    </w:p>
    <w:p>
      <w:pPr>
        <w:rPr>
          <w:rFonts w:hint="eastAsia" w:ascii="黑体" w:hAnsi="黑体" w:eastAsia="黑体"/>
          <w:i/>
          <w:color w:val="auto"/>
          <w:sz w:val="32"/>
          <w:szCs w:val="32"/>
          <w:highlight w:val="none"/>
          <w:u w:val="single"/>
        </w:rPr>
      </w:pPr>
    </w:p>
    <w:p>
      <w:pPr>
        <w:spacing w:line="600" w:lineRule="exact"/>
        <w:jc w:val="center"/>
        <w:outlineLvl w:val="1"/>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3.</w:t>
      </w:r>
      <w:r>
        <w:rPr>
          <w:rFonts w:hint="eastAsia" w:ascii="黑体" w:hAnsi="Calibri" w:eastAsia="黑体" w:cs="Times New Roman"/>
          <w:b/>
          <w:bCs/>
          <w:color w:val="auto"/>
          <w:sz w:val="32"/>
          <w:szCs w:val="32"/>
          <w:highlight w:val="none"/>
        </w:rPr>
        <w:t>法</w:t>
      </w:r>
      <w:r>
        <w:rPr>
          <w:rFonts w:hint="eastAsia" w:ascii="黑体" w:eastAsia="黑体"/>
          <w:b/>
          <w:bCs/>
          <w:color w:val="auto"/>
          <w:sz w:val="32"/>
          <w:szCs w:val="32"/>
          <w:highlight w:val="none"/>
        </w:rPr>
        <w:t>定代表人身份证明书</w:t>
      </w:r>
    </w:p>
    <w:p>
      <w:pPr>
        <w:spacing w:line="600" w:lineRule="exact"/>
        <w:jc w:val="center"/>
        <w:rPr>
          <w:rFonts w:hint="eastAsia" w:ascii="黑体" w:eastAsia="黑体"/>
          <w:b/>
          <w:color w:val="auto"/>
          <w:sz w:val="28"/>
          <w:highlight w:val="none"/>
        </w:rPr>
      </w:pP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（职务名称）</w:t>
      </w:r>
      <w:r>
        <w:rPr>
          <w:rFonts w:hint="eastAsia" w:ascii="宋体" w:hAnsi="宋体" w:eastAsia="宋体" w:cs="宋体"/>
          <w:color w:val="auto"/>
          <w:sz w:val="24"/>
          <w:highlight w:val="none"/>
        </w:rPr>
        <w:t>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的法定代表人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w:t>
      </w:r>
    </w:p>
    <w:p>
      <w:pPr>
        <w:spacing w:line="600" w:lineRule="exact"/>
        <w:rPr>
          <w:rFonts w:hint="eastAsia" w:ascii="宋体" w:hAnsi="宋体" w:eastAsia="宋体" w:cs="宋体"/>
          <w:color w:val="auto"/>
          <w:sz w:val="24"/>
          <w:highlight w:val="none"/>
        </w:rPr>
      </w:pPr>
    </w:p>
    <w:p>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pPr>
        <w:spacing w:line="600" w:lineRule="exact"/>
        <w:ind w:firstLine="456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企业名称（加盖CA电子公章）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rPr>
        <w:t xml:space="preserve">      </w:t>
      </w:r>
    </w:p>
    <w:p>
      <w:pPr>
        <w:spacing w:line="600" w:lineRule="exact"/>
        <w:ind w:firstLine="1200"/>
        <w:rPr>
          <w:rFonts w:hint="eastAsia" w:ascii="宋体" w:hAnsi="宋体" w:eastAsia="宋体" w:cs="宋体"/>
          <w:color w:val="auto"/>
          <w:sz w:val="24"/>
          <w:highlight w:val="none"/>
        </w:rPr>
      </w:pPr>
    </w:p>
    <w:p>
      <w:pPr>
        <w:spacing w:line="600" w:lineRule="exact"/>
        <w:ind w:firstLine="2126"/>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pPr>
        <w:spacing w:line="600" w:lineRule="exact"/>
        <w:jc w:val="left"/>
        <w:rPr>
          <w:rFonts w:hint="eastAsia" w:ascii="宋体" w:hAnsi="宋体" w:eastAsia="宋体" w:cs="宋体"/>
          <w:b/>
          <w:bCs/>
          <w:color w:val="auto"/>
          <w:sz w:val="24"/>
          <w:highlight w:val="none"/>
        </w:rPr>
      </w:pPr>
    </w:p>
    <w:p>
      <w:pPr>
        <w:spacing w:line="6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（附：法定代表人身份证正反面</w:t>
      </w:r>
      <w:r>
        <w:rPr>
          <w:rFonts w:hint="eastAsia" w:ascii="宋体" w:hAnsi="宋体" w:eastAsia="宋体" w:cs="宋体"/>
          <w:b/>
          <w:bCs/>
          <w:color w:val="auto"/>
          <w:sz w:val="24"/>
          <w:highlight w:val="none"/>
          <w:lang w:eastAsia="zh-CN"/>
        </w:rPr>
        <w:t>复印件或扫描件</w:t>
      </w:r>
      <w:r>
        <w:rPr>
          <w:rFonts w:hint="eastAsia" w:ascii="宋体" w:hAnsi="宋体" w:eastAsia="宋体" w:cs="宋体"/>
          <w:b/>
          <w:bCs/>
          <w:color w:val="auto"/>
          <w:sz w:val="24"/>
          <w:highlight w:val="none"/>
        </w:rPr>
        <w:t>）</w:t>
      </w:r>
    </w:p>
    <w:p>
      <w:pPr>
        <w:spacing w:line="400" w:lineRule="exact"/>
        <w:jc w:val="center"/>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4.</w:t>
      </w:r>
      <w:r>
        <w:rPr>
          <w:rFonts w:hint="eastAsia" w:ascii="黑体" w:hAnsi="Times New Roman" w:eastAsia="黑体" w:cs="Times New Roman"/>
          <w:b/>
          <w:bCs/>
          <w:color w:val="auto"/>
          <w:sz w:val="32"/>
          <w:szCs w:val="32"/>
          <w:highlight w:val="none"/>
        </w:rPr>
        <w:t>授权委托</w:t>
      </w:r>
      <w:r>
        <w:rPr>
          <w:rFonts w:hint="eastAsia" w:ascii="黑体" w:eastAsia="黑体"/>
          <w:b/>
          <w:bCs/>
          <w:color w:val="auto"/>
          <w:sz w:val="32"/>
          <w:szCs w:val="32"/>
          <w:highlight w:val="none"/>
        </w:rPr>
        <w:t>书</w:t>
      </w:r>
    </w:p>
    <w:p>
      <w:pPr>
        <w:ind w:firstLine="480"/>
        <w:jc w:val="both"/>
        <w:rPr>
          <w:rFonts w:hint="eastAsia" w:ascii="宋体" w:hAnsi="宋体" w:eastAsia="宋体" w:cs="宋体"/>
          <w:color w:val="auto"/>
          <w:sz w:val="24"/>
          <w:szCs w:val="24"/>
          <w:highlight w:val="none"/>
        </w:rPr>
      </w:pPr>
    </w:p>
    <w:p>
      <w:pPr>
        <w:spacing w:line="48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highlight w:val="none"/>
        </w:rPr>
        <w:t>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____________（投标人名称）</w:t>
      </w:r>
      <w:r>
        <w:rPr>
          <w:rFonts w:hint="eastAsia" w:ascii="宋体" w:hAnsi="宋体" w:eastAsia="宋体" w:cs="宋体"/>
          <w:color w:val="auto"/>
          <w:sz w:val="24"/>
          <w:highlight w:val="none"/>
        </w:rPr>
        <w:t>的</w:t>
      </w:r>
      <w:r>
        <w:rPr>
          <w:rFonts w:hint="eastAsia" w:ascii="宋体" w:hAnsi="宋体" w:eastAsia="宋体" w:cs="宋体"/>
          <w:color w:val="auto"/>
          <w:sz w:val="24"/>
          <w:szCs w:val="24"/>
          <w:highlight w:val="none"/>
        </w:rPr>
        <w:t>________________（被授权人的姓名）为</w:t>
      </w:r>
      <w:r>
        <w:rPr>
          <w:rFonts w:hint="eastAsia" w:ascii="宋体" w:hAnsi="宋体" w:eastAsia="宋体" w:cs="宋体"/>
          <w:color w:val="auto"/>
          <w:sz w:val="24"/>
          <w:szCs w:val="24"/>
          <w:highlight w:val="none"/>
          <w:lang w:val="en-US" w:eastAsia="zh-CN"/>
        </w:rPr>
        <w:t>我单位</w:t>
      </w:r>
      <w:r>
        <w:rPr>
          <w:rFonts w:hint="eastAsia" w:ascii="宋体" w:hAnsi="宋体" w:eastAsia="宋体" w:cs="宋体"/>
          <w:color w:val="auto"/>
          <w:sz w:val="24"/>
          <w:szCs w:val="24"/>
          <w:highlight w:val="none"/>
        </w:rPr>
        <w:t>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号项目的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的法定代表人授权委托代理，</w:t>
      </w:r>
      <w:r>
        <w:rPr>
          <w:rFonts w:hint="eastAsia" w:ascii="宋体" w:hAnsi="宋体" w:eastAsia="宋体" w:cs="宋体"/>
          <w:color w:val="auto"/>
          <w:sz w:val="24"/>
          <w:highlight w:val="none"/>
        </w:rPr>
        <w:t>，我承认</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全权代表我所签署的本项目的</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的内容。</w:t>
      </w:r>
      <w:r>
        <w:rPr>
          <w:rFonts w:hint="eastAsia" w:ascii="宋体" w:hAnsi="宋体" w:eastAsia="宋体" w:cs="宋体"/>
          <w:color w:val="auto"/>
          <w:sz w:val="24"/>
          <w:szCs w:val="24"/>
          <w:highlight w:val="none"/>
        </w:rPr>
        <w:t>以本单位名义全权处理一切与该项目采购有关的事务。</w:t>
      </w:r>
    </w:p>
    <w:p>
      <w:pPr>
        <w:pStyle w:val="196"/>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pPr>
        <w:pStyle w:val="196"/>
        <w:spacing w:line="480" w:lineRule="auto"/>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代理</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szCs w:val="24"/>
          <w:highlight w:val="none"/>
        </w:rPr>
        <w:t>被授权人身份证号码：</w:t>
      </w:r>
      <w:r>
        <w:rPr>
          <w:rFonts w:hint="eastAsia" w:ascii="宋体" w:hAnsi="宋体" w:eastAsia="宋体" w:cs="宋体"/>
          <w:color w:val="auto"/>
          <w:sz w:val="24"/>
          <w:szCs w:val="24"/>
          <w:highlight w:val="none"/>
          <w:u w:val="single"/>
        </w:rPr>
        <w:t xml:space="preserve">                              </w:t>
      </w:r>
    </w:p>
    <w:p>
      <w:pPr>
        <w:pStyle w:val="196"/>
        <w:spacing w:line="480" w:lineRule="auto"/>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pPr>
        <w:pStyle w:val="196"/>
        <w:spacing w:line="480" w:lineRule="auto"/>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pPr>
        <w:pStyle w:val="196"/>
        <w:spacing w:line="48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pPr>
        <w:pStyle w:val="196"/>
        <w:spacing w:line="48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（加盖CA电子公章）</w:t>
      </w:r>
    </w:p>
    <w:p>
      <w:pPr>
        <w:pStyle w:val="196"/>
        <w:spacing w:line="480" w:lineRule="auto"/>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p>
    <w:p>
      <w:pPr>
        <w:spacing w:line="48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w:t>
      </w:r>
      <w:r>
        <w:rPr>
          <w:rFonts w:hint="eastAsia" w:ascii="宋体" w:hAnsi="宋体" w:eastAsia="宋体" w:cs="宋体"/>
          <w:b/>
          <w:bCs/>
          <w:color w:val="auto"/>
          <w:sz w:val="24"/>
          <w:highlight w:val="none"/>
          <w:lang w:eastAsia="zh-CN"/>
        </w:rPr>
        <w:t>被授权人</w:t>
      </w:r>
      <w:r>
        <w:rPr>
          <w:rFonts w:hint="eastAsia" w:ascii="宋体" w:hAnsi="宋体" w:eastAsia="宋体" w:cs="宋体"/>
          <w:b/>
          <w:bCs/>
          <w:color w:val="auto"/>
          <w:sz w:val="24"/>
          <w:highlight w:val="none"/>
        </w:rPr>
        <w:t>身份证正反面</w:t>
      </w:r>
      <w:r>
        <w:rPr>
          <w:rFonts w:hint="eastAsia" w:ascii="宋体" w:hAnsi="宋体" w:eastAsia="宋体" w:cs="宋体"/>
          <w:b/>
          <w:bCs/>
          <w:color w:val="auto"/>
          <w:sz w:val="24"/>
          <w:highlight w:val="none"/>
          <w:lang w:eastAsia="zh-CN"/>
        </w:rPr>
        <w:t>复印件或扫描件</w:t>
      </w:r>
      <w:r>
        <w:rPr>
          <w:rFonts w:hint="eastAsia" w:ascii="宋体" w:hAnsi="宋体" w:eastAsia="宋体" w:cs="宋体"/>
          <w:b/>
          <w:bCs/>
          <w:color w:val="auto"/>
          <w:sz w:val="24"/>
          <w:highlight w:val="none"/>
        </w:rPr>
        <w:t>）</w:t>
      </w:r>
    </w:p>
    <w:p>
      <w:pPr>
        <w:pStyle w:val="3"/>
        <w:spacing w:line="480" w:lineRule="auto"/>
        <w:rPr>
          <w:rFonts w:hint="eastAsia" w:ascii="宋体" w:hAnsi="宋体" w:eastAsia="宋体" w:cs="宋体"/>
          <w:i/>
          <w:color w:val="auto"/>
          <w:sz w:val="24"/>
          <w:szCs w:val="24"/>
          <w:highlight w:val="none"/>
          <w:u w:val="single"/>
        </w:rPr>
      </w:pP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被授权人</w:t>
      </w:r>
      <w:r>
        <w:rPr>
          <w:rFonts w:hint="eastAsia" w:ascii="宋体" w:hAnsi="宋体" w:eastAsia="宋体" w:cs="宋体"/>
          <w:color w:val="auto"/>
          <w:sz w:val="24"/>
          <w:szCs w:val="24"/>
          <w:highlight w:val="none"/>
          <w:lang w:eastAsia="zh-CN"/>
        </w:rPr>
        <w:t>须为本单位正式职工</w:t>
      </w:r>
      <w:r>
        <w:rPr>
          <w:rFonts w:hint="eastAsia" w:ascii="宋体" w:hAnsi="宋体" w:eastAsia="宋体" w:cs="宋体"/>
          <w:color w:val="auto"/>
          <w:sz w:val="24"/>
          <w:szCs w:val="24"/>
          <w:highlight w:val="none"/>
          <w:lang w:val="en-US" w:eastAsia="zh-CN"/>
        </w:rPr>
        <w:t>并提供投标人为被授权人缴纳的社会养老保险证明。</w:t>
      </w:r>
    </w:p>
    <w:p>
      <w:pPr>
        <w:spacing w:line="460" w:lineRule="exact"/>
        <w:rPr>
          <w:rFonts w:hint="eastAsia" w:ascii="宋体" w:hAnsi="宋体"/>
          <w:bCs/>
          <w:color w:val="auto"/>
          <w:sz w:val="24"/>
          <w:highlight w:val="none"/>
        </w:rPr>
      </w:pPr>
    </w:p>
    <w:p>
      <w:pPr>
        <w:spacing w:before="50" w:after="50"/>
        <w:jc w:val="center"/>
        <w:rPr>
          <w:rFonts w:hint="eastAsia" w:ascii="黑体" w:hAnsi="Times New Roman" w:eastAsia="黑体" w:cs="Times New Roman"/>
          <w:b/>
          <w:bCs/>
          <w:color w:val="auto"/>
          <w:sz w:val="32"/>
          <w:szCs w:val="32"/>
          <w:highlight w:val="none"/>
        </w:rPr>
      </w:pPr>
      <w:r>
        <w:rPr>
          <w:rFonts w:ascii="宋体" w:hAnsi="宋体"/>
          <w:bCs/>
          <w:color w:val="auto"/>
          <w:sz w:val="24"/>
          <w:highlight w:val="none"/>
        </w:rPr>
        <w:br w:type="page" w:clear="all"/>
      </w:r>
      <w:r>
        <w:rPr>
          <w:rFonts w:hint="eastAsia" w:ascii="黑体" w:hAnsi="Times New Roman" w:eastAsia="黑体" w:cs="Times New Roman"/>
          <w:b/>
          <w:bCs/>
          <w:color w:val="auto"/>
          <w:sz w:val="32"/>
          <w:szCs w:val="32"/>
          <w:highlight w:val="none"/>
          <w:lang w:val="en-US" w:eastAsia="zh-CN"/>
        </w:rPr>
        <w:t>5.</w:t>
      </w:r>
      <w:r>
        <w:rPr>
          <w:rFonts w:hint="eastAsia" w:ascii="黑体" w:hAnsi="Times New Roman" w:eastAsia="黑体" w:cs="Times New Roman"/>
          <w:b/>
          <w:bCs/>
          <w:color w:val="auto"/>
          <w:sz w:val="32"/>
          <w:szCs w:val="32"/>
          <w:highlight w:val="none"/>
        </w:rPr>
        <w:t>开标一览表（格式）</w:t>
      </w:r>
    </w:p>
    <w:p>
      <w:pPr>
        <w:spacing w:before="50" w:after="50"/>
        <w:jc w:val="center"/>
        <w:rPr>
          <w:rFonts w:hint="eastAsia" w:ascii="黑体" w:eastAsia="黑体"/>
          <w:color w:val="auto"/>
          <w:sz w:val="32"/>
          <w:szCs w:val="32"/>
          <w:highlight w:val="none"/>
        </w:rPr>
      </w:pPr>
    </w:p>
    <w:tbl>
      <w:tblPr>
        <w:tblStyle w:val="31"/>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7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2700" w:type="dxa"/>
            <w:noWrap w:val="0"/>
            <w:vAlign w:val="center"/>
          </w:tcPr>
          <w:p>
            <w:pPr>
              <w:ind w:firstLine="420"/>
              <w:rPr>
                <w:rFonts w:hint="eastAsia" w:ascii="宋体"/>
                <w:color w:val="auto"/>
                <w:szCs w:val="28"/>
                <w:highlight w:val="none"/>
              </w:rPr>
            </w:pPr>
            <w:r>
              <w:rPr>
                <w:rFonts w:hint="eastAsia" w:ascii="宋体"/>
                <w:color w:val="auto"/>
                <w:szCs w:val="28"/>
                <w:highlight w:val="none"/>
              </w:rPr>
              <w:t>项 目 编 号</w:t>
            </w:r>
          </w:p>
        </w:tc>
        <w:tc>
          <w:tcPr>
            <w:tcW w:w="7445" w:type="dxa"/>
            <w:noWrap w:val="0"/>
            <w:vAlign w:val="center"/>
          </w:tcPr>
          <w:p>
            <w:pPr>
              <w:pStyle w:val="2"/>
              <w:ind w:firstLine="689"/>
              <w:jc w:val="both"/>
              <w:rPr>
                <w:rFonts w:hint="eastAsia" w:ascii="宋体" w:hAnsi="宋体" w:eastAsia="宋体"/>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2700" w:type="dxa"/>
            <w:noWrap w:val="0"/>
            <w:vAlign w:val="center"/>
          </w:tcPr>
          <w:p>
            <w:pPr>
              <w:ind w:firstLine="420"/>
              <w:rPr>
                <w:rFonts w:hint="eastAsia" w:ascii="宋体"/>
                <w:color w:val="auto"/>
                <w:szCs w:val="28"/>
                <w:highlight w:val="none"/>
              </w:rPr>
            </w:pPr>
            <w:r>
              <w:rPr>
                <w:rFonts w:hint="eastAsia" w:ascii="宋体"/>
                <w:color w:val="auto"/>
                <w:szCs w:val="28"/>
                <w:highlight w:val="none"/>
              </w:rPr>
              <w:t>项 目 名 称</w:t>
            </w:r>
          </w:p>
        </w:tc>
        <w:tc>
          <w:tcPr>
            <w:tcW w:w="7445" w:type="dxa"/>
            <w:noWrap w:val="0"/>
            <w:vAlign w:val="center"/>
          </w:tcPr>
          <w:p>
            <w:pPr>
              <w:pStyle w:val="2"/>
              <w:jc w:val="both"/>
              <w:rPr>
                <w:rFonts w:hint="eastAsia"/>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10145" w:type="dxa"/>
            <w:gridSpan w:val="2"/>
            <w:noWrap w:val="0"/>
            <w:vAlign w:val="center"/>
          </w:tcPr>
          <w:p>
            <w:pPr>
              <w:rPr>
                <w:rFonts w:hint="eastAsia" w:ascii="宋体"/>
                <w:color w:val="auto"/>
                <w:szCs w:val="28"/>
                <w:highlight w:val="none"/>
              </w:rPr>
            </w:pPr>
            <w:r>
              <w:rPr>
                <w:rFonts w:hint="eastAsia" w:ascii="宋体" w:eastAsia="宋体"/>
                <w:b/>
                <w:bCs/>
                <w:color w:val="auto"/>
                <w:szCs w:val="28"/>
                <w:highlight w:val="none"/>
                <w:lang w:val="en-US" w:eastAsia="zh-CN"/>
              </w:rPr>
              <w:t>投标报价</w:t>
            </w:r>
            <w:r>
              <w:rPr>
                <w:rFonts w:hint="eastAsia" w:ascii="宋体"/>
                <w:b/>
                <w:bCs/>
                <w:color w:val="auto"/>
                <w:szCs w:val="28"/>
                <w:highlight w:val="none"/>
              </w:rPr>
              <w:t>：（大写）</w:t>
            </w:r>
            <w:r>
              <w:rPr>
                <w:rFonts w:hint="eastAsia" w:ascii="宋体"/>
                <w:b/>
                <w:bCs/>
                <w:color w:val="auto"/>
                <w:szCs w:val="28"/>
                <w:highlight w:val="none"/>
                <w:u w:val="single"/>
              </w:rPr>
              <w:t xml:space="preserve">                       </w:t>
            </w:r>
            <w:r>
              <w:rPr>
                <w:rFonts w:hint="eastAsia" w:ascii="宋体"/>
                <w:b/>
                <w:bCs/>
                <w:color w:val="auto"/>
                <w:szCs w:val="28"/>
                <w:highlight w:val="none"/>
              </w:rPr>
              <w:t>，小写：</w:t>
            </w:r>
            <w:r>
              <w:rPr>
                <w:rFonts w:hint="eastAsia" w:ascii="宋体"/>
                <w:b/>
                <w:bCs/>
                <w:color w:val="auto"/>
                <w:szCs w:val="28"/>
                <w:highlight w:val="none"/>
                <w:u w:val="single"/>
              </w:rPr>
              <w:t xml:space="preserve">                     </w:t>
            </w:r>
            <w:r>
              <w:rPr>
                <w:rFonts w:hint="eastAsia" w:ascii="宋体"/>
                <w:b/>
                <w:bCs/>
                <w:color w:val="auto"/>
                <w:szCs w:val="28"/>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10145" w:type="dxa"/>
            <w:gridSpan w:val="2"/>
            <w:noWrap w:val="0"/>
            <w:vAlign w:val="center"/>
          </w:tcPr>
          <w:p>
            <w:pPr>
              <w:rPr>
                <w:rFonts w:hint="eastAsia" w:ascii="宋体"/>
                <w:b/>
                <w:bCs/>
                <w:color w:val="auto"/>
                <w:szCs w:val="28"/>
                <w:highlight w:val="none"/>
              </w:rPr>
            </w:pPr>
            <w:r>
              <w:rPr>
                <w:rFonts w:hint="eastAsia" w:ascii="宋体"/>
                <w:b/>
                <w:bCs/>
                <w:color w:val="auto"/>
                <w:szCs w:val="28"/>
                <w:highlight w:val="none"/>
              </w:rPr>
              <w:t>是否提供《企业类型声明函》：</w:t>
            </w:r>
            <w:r>
              <w:rPr>
                <w:rFonts w:hint="eastAsia" w:ascii="宋体"/>
                <w:b/>
                <w:bCs/>
                <w:color w:val="auto"/>
                <w:szCs w:val="28"/>
                <w:highlight w:val="none"/>
                <w:u w:val="single"/>
              </w:rPr>
              <w:t xml:space="preserve">  是/否   </w:t>
            </w:r>
          </w:p>
        </w:tc>
      </w:tr>
    </w:tbl>
    <w:p>
      <w:pPr>
        <w:spacing w:line="180" w:lineRule="atLeast"/>
        <w:rPr>
          <w:rFonts w:hint="eastAsia" w:ascii="宋体" w:hAnsi="宋体"/>
          <w:color w:val="auto"/>
          <w:szCs w:val="28"/>
          <w:highlight w:val="none"/>
        </w:rPr>
      </w:pPr>
      <w:r>
        <w:rPr>
          <w:rFonts w:hint="eastAsia" w:ascii="宋体" w:hAnsi="宋体"/>
          <w:color w:val="auto"/>
          <w:szCs w:val="28"/>
          <w:highlight w:val="none"/>
        </w:rPr>
        <w:t>填写说明：</w:t>
      </w:r>
    </w:p>
    <w:p>
      <w:pPr>
        <w:numPr>
          <w:ilvl w:val="0"/>
          <w:numId w:val="0"/>
        </w:numPr>
        <w:rPr>
          <w:rStyle w:val="189"/>
          <w:rFonts w:hint="eastAsia" w:ascii="宋体" w:hAnsi="宋体"/>
          <w:color w:val="auto"/>
          <w:sz w:val="24"/>
          <w:highlight w:val="none"/>
        </w:rPr>
      </w:pPr>
      <w:r>
        <w:rPr>
          <w:rFonts w:hint="eastAsia" w:ascii="宋体" w:hAnsi="宋体" w:eastAsiaTheme="minorEastAsia" w:cstheme="minorBidi"/>
          <w:color w:val="auto"/>
          <w:sz w:val="24"/>
          <w:szCs w:val="24"/>
          <w:lang w:val="en-US" w:eastAsia="zh-CN" w:bidi="ar-SA"/>
        </w:rPr>
        <w:t>1、</w:t>
      </w:r>
      <w:r>
        <w:rPr>
          <w:rStyle w:val="189"/>
          <w:rFonts w:ascii="宋体" w:hAnsi="宋体"/>
          <w:color w:val="auto"/>
          <w:sz w:val="24"/>
          <w:highlight w:val="none"/>
        </w:rPr>
        <w:t>开标一览表不得填报选择性报价，否则将作为无效投标</w:t>
      </w:r>
      <w:r>
        <w:rPr>
          <w:rStyle w:val="189"/>
          <w:rFonts w:hint="eastAsia" w:ascii="宋体" w:hAnsi="宋体"/>
          <w:color w:val="auto"/>
          <w:sz w:val="24"/>
          <w:highlight w:val="none"/>
        </w:rPr>
        <w:t>。</w:t>
      </w:r>
    </w:p>
    <w:p>
      <w:pPr>
        <w:numPr>
          <w:ilvl w:val="0"/>
          <w:numId w:val="0"/>
        </w:numPr>
        <w:rPr>
          <w:rStyle w:val="189"/>
          <w:rFonts w:hint="eastAsia" w:ascii="宋体" w:hAnsi="宋体"/>
          <w:color w:val="auto"/>
          <w:sz w:val="24"/>
          <w:highlight w:val="none"/>
        </w:rPr>
      </w:pPr>
      <w:r>
        <w:rPr>
          <w:rFonts w:hint="eastAsia" w:ascii="宋体" w:hAnsi="宋体" w:eastAsiaTheme="minorEastAsia" w:cstheme="minorBidi"/>
          <w:color w:val="auto"/>
          <w:sz w:val="24"/>
          <w:szCs w:val="24"/>
          <w:lang w:val="en-US" w:eastAsia="zh-CN" w:bidi="ar-SA"/>
        </w:rPr>
        <w:t>2、</w:t>
      </w:r>
      <w:r>
        <w:rPr>
          <w:rFonts w:hint="eastAsia" w:ascii="宋体" w:hAnsi="宋体" w:cs="宋体"/>
          <w:color w:val="auto"/>
          <w:sz w:val="24"/>
          <w:szCs w:val="24"/>
          <w:highlight w:val="none"/>
        </w:rPr>
        <w:t>投标报价保留两位小数。</w:t>
      </w:r>
    </w:p>
    <w:p>
      <w:pPr>
        <w:numPr>
          <w:ilvl w:val="0"/>
          <w:numId w:val="0"/>
        </w:numPr>
        <w:rPr>
          <w:rFonts w:hint="eastAsia" w:ascii="宋体" w:hAnsi="宋体" w:cs="宋体"/>
          <w:color w:val="auto"/>
          <w:sz w:val="24"/>
          <w:szCs w:val="24"/>
          <w:highlight w:val="none"/>
          <w:lang w:val="en-US" w:eastAsia="zh-CN"/>
        </w:rPr>
      </w:pPr>
    </w:p>
    <w:p>
      <w:pPr>
        <w:pStyle w:val="38"/>
        <w:rPr>
          <w:rFonts w:hint="eastAsia" w:ascii="宋体" w:hAnsi="宋体"/>
          <w:b/>
          <w:color w:val="auto"/>
          <w:sz w:val="24"/>
          <w:highlight w:val="none"/>
        </w:rPr>
      </w:pPr>
    </w:p>
    <w:p>
      <w:pPr>
        <w:spacing w:line="600" w:lineRule="exact"/>
        <w:ind w:firstLine="2400"/>
        <w:rPr>
          <w:rFonts w:hint="eastAsia" w:ascii="仿宋_GB2312" w:eastAsia="仿宋_GB2312"/>
          <w:color w:val="auto"/>
          <w:sz w:val="24"/>
          <w:highlight w:val="none"/>
        </w:rPr>
      </w:pPr>
    </w:p>
    <w:p>
      <w:pPr>
        <w:spacing w:line="600" w:lineRule="exact"/>
        <w:ind w:firstLine="336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val="en-US" w:eastAsia="zh-CN"/>
        </w:rPr>
        <w:t>被授权人（</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w:t>
      </w:r>
    </w:p>
    <w:p>
      <w:pPr>
        <w:spacing w:line="600" w:lineRule="exact"/>
        <w:ind w:firstLine="1680"/>
        <w:rPr>
          <w:rFonts w:hint="eastAsia" w:ascii="宋体" w:hAnsi="宋体" w:eastAsia="宋体" w:cs="宋体"/>
          <w:color w:val="auto"/>
          <w:sz w:val="24"/>
          <w:highlight w:val="none"/>
        </w:rPr>
      </w:pPr>
    </w:p>
    <w:p>
      <w:pPr>
        <w:spacing w:line="600" w:lineRule="exact"/>
        <w:ind w:firstLine="336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企业名称（加盖CA电子公章）</w:t>
      </w:r>
      <w:r>
        <w:rPr>
          <w:rFonts w:hint="eastAsia" w:ascii="宋体" w:hAnsi="宋体" w:eastAsia="宋体" w:cs="宋体"/>
          <w:color w:val="auto"/>
          <w:sz w:val="24"/>
          <w:highlight w:val="none"/>
        </w:rPr>
        <w:t>：</w:t>
      </w:r>
    </w:p>
    <w:p>
      <w:pPr>
        <w:spacing w:line="600" w:lineRule="exact"/>
        <w:ind w:firstLine="1200"/>
        <w:rPr>
          <w:rFonts w:hint="eastAsia" w:ascii="仿宋_GB2312" w:eastAsia="仿宋_GB2312"/>
          <w:color w:val="auto"/>
          <w:sz w:val="24"/>
          <w:highlight w:val="none"/>
        </w:rPr>
      </w:pPr>
      <w:r>
        <w:rPr>
          <w:rFonts w:hint="eastAsia" w:ascii="仿宋_GB2312" w:eastAsia="仿宋_GB2312"/>
          <w:color w:val="auto"/>
          <w:sz w:val="24"/>
          <w:highlight w:val="none"/>
        </w:rPr>
        <w:t xml:space="preserve">      </w:t>
      </w:r>
    </w:p>
    <w:p>
      <w:pPr>
        <w:jc w:val="right"/>
        <w:outlineLvl w:val="1"/>
        <w:rPr>
          <w:rFonts w:ascii="仿宋_GB2312" w:eastAsia="仿宋_GB2312"/>
          <w:color w:val="auto"/>
          <w:sz w:val="24"/>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pPr>
        <w:rPr>
          <w:rFonts w:hint="eastAsia" w:ascii="黑体" w:hAnsi="黑体" w:eastAsia="黑体"/>
          <w:i/>
          <w:color w:val="auto"/>
          <w:sz w:val="32"/>
          <w:szCs w:val="32"/>
          <w:highlight w:val="none"/>
          <w:u w:val="single"/>
        </w:rPr>
      </w:pP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6.报价明细表（格式）</w:t>
      </w:r>
    </w:p>
    <w:tbl>
      <w:tblPr>
        <w:tblStyle w:val="32"/>
        <w:tblW w:w="93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595"/>
        <w:gridCol w:w="3385"/>
        <w:gridCol w:w="780"/>
        <w:gridCol w:w="675"/>
        <w:gridCol w:w="1065"/>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81" w:type="dxa"/>
            <w:noWrap w:val="0"/>
            <w:vAlign w:val="center"/>
          </w:tcPr>
          <w:p>
            <w:pPr>
              <w:keepNext w:val="0"/>
              <w:keepLines w:val="0"/>
              <w:widowControl/>
              <w:suppressLineNumbers w:val="0"/>
              <w:spacing w:after="0" w:line="240" w:lineRule="auto"/>
              <w:jc w:val="center"/>
              <w:textAlignment w:val="center"/>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kern w:val="0"/>
                <w:sz w:val="15"/>
                <w:szCs w:val="15"/>
                <w:u w:val="none"/>
                <w:lang w:val="en-US" w:eastAsia="zh-CN" w:bidi="ar"/>
              </w:rPr>
              <w:t>序号</w:t>
            </w:r>
          </w:p>
        </w:tc>
        <w:tc>
          <w:tcPr>
            <w:tcW w:w="1595" w:type="dxa"/>
            <w:noWrap w:val="0"/>
            <w:vAlign w:val="center"/>
          </w:tcPr>
          <w:p>
            <w:pPr>
              <w:keepNext w:val="0"/>
              <w:keepLines w:val="0"/>
              <w:widowControl/>
              <w:suppressLineNumbers w:val="0"/>
              <w:spacing w:after="0" w:line="240" w:lineRule="auto"/>
              <w:jc w:val="center"/>
              <w:textAlignment w:val="center"/>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kern w:val="0"/>
                <w:sz w:val="15"/>
                <w:szCs w:val="15"/>
                <w:u w:val="none"/>
                <w:lang w:val="en-US" w:eastAsia="zh-CN" w:bidi="ar"/>
              </w:rPr>
              <w:t>项目名称</w:t>
            </w:r>
          </w:p>
        </w:tc>
        <w:tc>
          <w:tcPr>
            <w:tcW w:w="3385" w:type="dxa"/>
            <w:noWrap w:val="0"/>
            <w:vAlign w:val="center"/>
          </w:tcPr>
          <w:p>
            <w:pPr>
              <w:keepNext w:val="0"/>
              <w:keepLines w:val="0"/>
              <w:widowControl/>
              <w:suppressLineNumbers w:val="0"/>
              <w:spacing w:after="0" w:line="240" w:lineRule="auto"/>
              <w:jc w:val="center"/>
              <w:textAlignment w:val="center"/>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kern w:val="0"/>
                <w:sz w:val="15"/>
                <w:szCs w:val="15"/>
                <w:u w:val="none"/>
                <w:lang w:val="en-US" w:eastAsia="zh-CN" w:bidi="ar"/>
              </w:rPr>
              <w:t>品牌及规格型号</w:t>
            </w:r>
          </w:p>
        </w:tc>
        <w:tc>
          <w:tcPr>
            <w:tcW w:w="780" w:type="dxa"/>
            <w:noWrap w:val="0"/>
            <w:vAlign w:val="center"/>
          </w:tcPr>
          <w:p>
            <w:pPr>
              <w:keepNext w:val="0"/>
              <w:keepLines w:val="0"/>
              <w:widowControl/>
              <w:suppressLineNumbers w:val="0"/>
              <w:spacing w:after="0" w:line="240" w:lineRule="auto"/>
              <w:jc w:val="center"/>
              <w:textAlignment w:val="center"/>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kern w:val="0"/>
                <w:sz w:val="15"/>
                <w:szCs w:val="15"/>
                <w:u w:val="none"/>
                <w:lang w:val="en-US" w:eastAsia="zh-CN" w:bidi="ar"/>
              </w:rPr>
              <w:t>单位</w:t>
            </w:r>
          </w:p>
        </w:tc>
        <w:tc>
          <w:tcPr>
            <w:tcW w:w="675" w:type="dxa"/>
            <w:noWrap w:val="0"/>
            <w:vAlign w:val="center"/>
          </w:tcPr>
          <w:p>
            <w:pPr>
              <w:keepNext w:val="0"/>
              <w:keepLines w:val="0"/>
              <w:widowControl/>
              <w:suppressLineNumbers w:val="0"/>
              <w:spacing w:after="0" w:line="240" w:lineRule="auto"/>
              <w:jc w:val="center"/>
              <w:textAlignment w:val="center"/>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kern w:val="0"/>
                <w:sz w:val="15"/>
                <w:szCs w:val="15"/>
                <w:u w:val="none"/>
                <w:lang w:val="en-US" w:eastAsia="zh-CN" w:bidi="ar"/>
              </w:rPr>
              <w:t>数量</w:t>
            </w:r>
          </w:p>
        </w:tc>
        <w:tc>
          <w:tcPr>
            <w:tcW w:w="1065" w:type="dxa"/>
            <w:noWrap w:val="0"/>
            <w:vAlign w:val="center"/>
          </w:tcPr>
          <w:p>
            <w:pPr>
              <w:keepNext w:val="0"/>
              <w:keepLines w:val="0"/>
              <w:widowControl/>
              <w:suppressLineNumbers w:val="0"/>
              <w:spacing w:after="0" w:line="240" w:lineRule="auto"/>
              <w:jc w:val="center"/>
              <w:textAlignment w:val="center"/>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kern w:val="0"/>
                <w:sz w:val="15"/>
                <w:szCs w:val="15"/>
                <w:u w:val="none"/>
                <w:lang w:val="en-US" w:eastAsia="zh-CN" w:bidi="ar"/>
              </w:rPr>
              <w:t>单价（元）</w:t>
            </w:r>
          </w:p>
        </w:tc>
        <w:tc>
          <w:tcPr>
            <w:tcW w:w="1065" w:type="dxa"/>
            <w:noWrap w:val="0"/>
            <w:vAlign w:val="center"/>
          </w:tcPr>
          <w:p>
            <w:pPr>
              <w:keepNext w:val="0"/>
              <w:keepLines w:val="0"/>
              <w:widowControl/>
              <w:suppressLineNumbers w:val="0"/>
              <w:spacing w:after="0" w:line="240" w:lineRule="auto"/>
              <w:jc w:val="center"/>
              <w:textAlignment w:val="center"/>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kern w:val="0"/>
                <w:sz w:val="15"/>
                <w:szCs w:val="15"/>
                <w:u w:val="none"/>
                <w:lang w:val="en-US" w:eastAsia="zh-CN" w:bidi="ar"/>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1</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空气温度传感器</w:t>
            </w:r>
          </w:p>
        </w:tc>
        <w:tc>
          <w:tcPr>
            <w:tcW w:w="3385"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b/>
                <w:bCs/>
                <w:sz w:val="18"/>
                <w:szCs w:val="18"/>
                <w:highlight w:val="yellow"/>
                <w:vertAlign w:val="baseline"/>
                <w:lang w:eastAsia="zh-CN" w:bidi="ar-SA"/>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2</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空气湿度传感器</w:t>
            </w:r>
          </w:p>
        </w:tc>
        <w:tc>
          <w:tcPr>
            <w:tcW w:w="3385"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b/>
                <w:bCs/>
                <w:sz w:val="18"/>
                <w:szCs w:val="18"/>
                <w:highlight w:val="yellow"/>
                <w:vertAlign w:val="baseline"/>
                <w:lang w:eastAsia="zh-CN" w:bidi="ar-SA"/>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3</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光照传感器</w:t>
            </w:r>
          </w:p>
        </w:tc>
        <w:tc>
          <w:tcPr>
            <w:tcW w:w="3385"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b/>
                <w:bCs/>
                <w:sz w:val="18"/>
                <w:szCs w:val="18"/>
                <w:vertAlign w:val="baseline"/>
                <w:lang w:eastAsia="zh-CN" w:bidi="ar-SA"/>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4</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二氧化碳传感器</w:t>
            </w:r>
          </w:p>
        </w:tc>
        <w:tc>
          <w:tcPr>
            <w:tcW w:w="3385"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b/>
                <w:bCs/>
                <w:sz w:val="18"/>
                <w:szCs w:val="18"/>
                <w:vertAlign w:val="baseline"/>
                <w:lang w:eastAsia="zh-CN" w:bidi="ar-SA"/>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5</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土壤温度传感器</w:t>
            </w:r>
          </w:p>
        </w:tc>
        <w:tc>
          <w:tcPr>
            <w:tcW w:w="3385"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b/>
                <w:bCs/>
                <w:sz w:val="18"/>
                <w:szCs w:val="18"/>
                <w:vertAlign w:val="baseline"/>
                <w:lang w:eastAsia="zh-CN" w:bidi="ar-SA"/>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6</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土壤湿度传感器</w:t>
            </w:r>
          </w:p>
        </w:tc>
        <w:tc>
          <w:tcPr>
            <w:tcW w:w="3385"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b/>
                <w:bCs/>
                <w:sz w:val="18"/>
                <w:szCs w:val="18"/>
                <w:vertAlign w:val="baseline"/>
                <w:lang w:eastAsia="zh-CN" w:bidi="ar-SA"/>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7</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塑料百叶罩</w:t>
            </w:r>
          </w:p>
        </w:tc>
        <w:tc>
          <w:tcPr>
            <w:tcW w:w="3385" w:type="dxa"/>
            <w:noWrap w:val="0"/>
            <w:vAlign w:val="center"/>
          </w:tcPr>
          <w:p>
            <w:pPr>
              <w:keepNext w:val="0"/>
              <w:keepLines w:val="0"/>
              <w:widowControl/>
              <w:suppressLineNumbers w:val="0"/>
              <w:spacing w:after="0" w:line="240" w:lineRule="auto"/>
              <w:jc w:val="left"/>
              <w:textAlignment w:val="center"/>
              <w:rPr>
                <w:rFonts w:hint="eastAsia" w:ascii="宋体" w:hAnsi="宋体" w:eastAsia="宋体" w:cs="宋体"/>
                <w:b/>
                <w:bCs/>
                <w:sz w:val="18"/>
                <w:szCs w:val="18"/>
                <w:vertAlign w:val="baseline"/>
                <w:lang w:eastAsia="zh-CN" w:bidi="ar-SA"/>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b/>
                <w:bCs/>
                <w:sz w:val="18"/>
                <w:szCs w:val="18"/>
                <w:vertAlign w:val="baseline"/>
                <w:lang w:eastAsia="zh-CN" w:bidi="ar-SA"/>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c>
          <w:tcPr>
            <w:tcW w:w="1065" w:type="dxa"/>
            <w:noWrap w:val="0"/>
            <w:vAlign w:val="center"/>
          </w:tcPr>
          <w:p>
            <w:pPr>
              <w:spacing w:after="0" w:line="240" w:lineRule="auto"/>
              <w:jc w:val="center"/>
              <w:rPr>
                <w:rFonts w:hint="eastAsia" w:ascii="宋体" w:hAnsi="宋体" w:eastAsia="宋体" w:cs="宋体"/>
                <w:b/>
                <w:bCs/>
                <w:sz w:val="18"/>
                <w:szCs w:val="18"/>
                <w:vertAlign w:val="baseline"/>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小型气象站</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数据采集模块</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5G通讯模块</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数据采集箱</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电流电压电量传感器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控制器(控制中心总控)</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大棚控制设备</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触摸屏系统</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小型继电器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192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LEDP6全彩显示屏</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监控摄像机</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无线网桥</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分支交换机</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监控硬盘</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高清硬盘录像机</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交换机</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机柜、机架</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双绞线缆</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专用线缆</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农业物联网云平台电脑端软件</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农业物联网手机端软件</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5G网络及互联网专线</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LED全彩显示屏</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视频信号处理设备</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LED屏配套支架</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接收卡</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音箱</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功放系统设备</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反馈抑制器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37</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电源时序器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38</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配线</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39</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话筒</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潜水泵</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41</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旧泵房改造</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42</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智能水肥一体机</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43</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搅拌肥料桶</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44</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自动反冲洗砂石过滤器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自动反冲洗叠片过滤器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46</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离心过滤器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47</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智能变频控制柜</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48</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滴灌主管道</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276</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49</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滴灌支管道</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435</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喷淋支管道</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368</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51</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滴灌支管道</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102</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52</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电动阀门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53</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阀门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54</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滴灌管</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5500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55</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滴灌管</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9120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56</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滴灌管</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4560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57</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喷头挂件旋转喷头</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1140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58</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旁通阀</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1140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59</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旁通阀</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1140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卷膜器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61</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电机电源线</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450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62</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主电源线</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63</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电磁阀控制线</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220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64</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补光灯专用线</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960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65</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智能电箱</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66</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交流接触器</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台</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48</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67</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专用补光灯</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320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68</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专用钢丝</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米</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960</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69</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辅材</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批</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70</w:t>
            </w:r>
          </w:p>
        </w:tc>
        <w:tc>
          <w:tcPr>
            <w:tcW w:w="159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木质房屋</w:t>
            </w:r>
          </w:p>
        </w:tc>
        <w:tc>
          <w:tcPr>
            <w:tcW w:w="338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780"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批</w:t>
            </w:r>
          </w:p>
        </w:tc>
        <w:tc>
          <w:tcPr>
            <w:tcW w:w="67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c>
          <w:tcPr>
            <w:tcW w:w="1065" w:type="dxa"/>
            <w:noWrap w:val="0"/>
            <w:vAlign w:val="center"/>
          </w:tcPr>
          <w:p>
            <w:pPr>
              <w:keepNext w:val="0"/>
              <w:keepLines w:val="0"/>
              <w:widowControl/>
              <w:suppressLineNumbers w:val="0"/>
              <w:spacing w:after="0" w:line="240" w:lineRule="auto"/>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376" w:type="dxa"/>
            <w:gridSpan w:val="2"/>
            <w:noWrap w:val="0"/>
            <w:vAlign w:val="center"/>
          </w:tcPr>
          <w:p>
            <w:pPr>
              <w:keepNext w:val="0"/>
              <w:keepLines w:val="0"/>
              <w:widowControl/>
              <w:suppressLineNumbers w:val="0"/>
              <w:spacing w:after="0" w:line="240" w:lineRule="auto"/>
              <w:jc w:val="center"/>
              <w:textAlignment w:val="center"/>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kern w:val="0"/>
                <w:sz w:val="20"/>
                <w:szCs w:val="20"/>
                <w:u w:val="none"/>
                <w:lang w:val="en-US" w:eastAsia="zh-CN" w:bidi="ar"/>
              </w:rPr>
              <w:t>合计</w:t>
            </w:r>
          </w:p>
        </w:tc>
        <w:tc>
          <w:tcPr>
            <w:tcW w:w="6970" w:type="dxa"/>
            <w:gridSpan w:val="5"/>
            <w:noWrap w:val="0"/>
            <w:vAlign w:val="center"/>
          </w:tcPr>
          <w:p>
            <w:pPr>
              <w:spacing w:after="0" w:line="240" w:lineRule="auto"/>
              <w:jc w:val="center"/>
              <w:rPr>
                <w:rFonts w:hint="eastAsia" w:ascii="黑体" w:hAnsi="Calibri" w:eastAsia="黑体" w:cs="Times New Roman"/>
                <w:b/>
                <w:bCs/>
                <w:sz w:val="32"/>
                <w:szCs w:val="32"/>
                <w:vertAlign w:val="baseline"/>
                <w:lang w:eastAsia="zh-CN" w:bidi="ar-SA"/>
              </w:rPr>
            </w:pPr>
            <w:r>
              <w:rPr>
                <w:rFonts w:hint="eastAsia" w:ascii="宋体" w:hAnsi="宋体" w:eastAsia="宋体" w:cs="宋体"/>
                <w:b/>
                <w:bCs/>
                <w:i w:val="0"/>
                <w:iCs w:val="0"/>
                <w:color w:val="000000"/>
                <w:sz w:val="20"/>
                <w:szCs w:val="20"/>
                <w:u w:val="none"/>
                <w:lang w:eastAsia="zh-CN"/>
              </w:rPr>
              <w:t>人民币：大写</w:t>
            </w:r>
            <w:r>
              <w:rPr>
                <w:rFonts w:hint="eastAsia" w:ascii="宋体" w:hAnsi="宋体" w:eastAsia="宋体" w:cs="宋体"/>
                <w:b/>
                <w:bCs/>
                <w:i w:val="0"/>
                <w:iCs w:val="0"/>
                <w:color w:val="000000"/>
                <w:sz w:val="20"/>
                <w:szCs w:val="20"/>
                <w:u w:val="single"/>
                <w:lang w:val="en-US" w:eastAsia="zh-CN"/>
              </w:rPr>
              <w:t xml:space="preserve">                      </w:t>
            </w:r>
            <w:r>
              <w:rPr>
                <w:rFonts w:hint="eastAsia" w:ascii="宋体" w:hAnsi="宋体" w:eastAsia="宋体" w:cs="宋体"/>
                <w:b/>
                <w:bCs/>
                <w:i w:val="0"/>
                <w:iCs w:val="0"/>
                <w:color w:val="000000"/>
                <w:sz w:val="20"/>
                <w:szCs w:val="20"/>
                <w:u w:val="none"/>
                <w:lang w:val="en-US" w:eastAsia="zh-CN"/>
              </w:rPr>
              <w:t>（小写：</w:t>
            </w:r>
            <w:r>
              <w:rPr>
                <w:rFonts w:hint="eastAsia" w:ascii="宋体" w:hAnsi="宋体" w:eastAsia="宋体" w:cs="宋体"/>
                <w:b/>
                <w:bCs/>
                <w:i w:val="0"/>
                <w:iCs w:val="0"/>
                <w:color w:val="000000"/>
                <w:sz w:val="20"/>
                <w:szCs w:val="20"/>
                <w:u w:val="single"/>
                <w:lang w:val="en-US" w:eastAsia="zh-CN"/>
              </w:rPr>
              <w:t xml:space="preserve">             </w:t>
            </w:r>
            <w:r>
              <w:rPr>
                <w:rFonts w:hint="eastAsia" w:ascii="宋体" w:hAnsi="宋体" w:eastAsia="宋体" w:cs="宋体"/>
                <w:b/>
                <w:bCs/>
                <w:i w:val="0"/>
                <w:iCs w:val="0"/>
                <w:color w:val="000000"/>
                <w:sz w:val="20"/>
                <w:szCs w:val="20"/>
                <w:u w:val="none"/>
                <w:lang w:val="en-US" w:eastAsia="zh-CN"/>
              </w:rPr>
              <w:t>）</w:t>
            </w:r>
          </w:p>
        </w:tc>
      </w:tr>
    </w:tbl>
    <w:p>
      <w:pPr>
        <w:spacing w:line="600" w:lineRule="exact"/>
        <w:rPr>
          <w:rFonts w:hint="eastAsia" w:ascii="宋体" w:hAnsi="宋体" w:eastAsia="宋体" w:cs="宋体"/>
          <w:color w:val="auto"/>
          <w:sz w:val="24"/>
          <w:highlight w:val="none"/>
        </w:rPr>
      </w:pPr>
    </w:p>
    <w:p>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注：单价及总价中包括（但不限于）设备价格【含全套设备（包括主设备、配套设备、配套软件、配套耗材、附件、配件等）、备品备件、专用工具、技术资料等】、数据接入费、直接和间接成本费、材料损耗费、劳务费、垃圾清运费、包装费、运杂费（含运输费）、装卸费、安装调试费、保修费、保险费、配合费、安装费、测试验收费、检测费、技术（含操作、维护等）培训、运行维护及售后服务费、管理费、税金、利润、风险费、成品保护费、不可预见费及其他一切相关费用等所需的全部费用，凡漏项或少计均视为优惠，采购人不另行增加费用。各类风险和政策性调整等风险已包括在投标报价中，最终结算时除合同约定调整外单价一律不予调整。报价时应逐项填写数量、单价和合价，最后汇总得出总价。</w:t>
      </w:r>
    </w:p>
    <w:p>
      <w:pPr>
        <w:spacing w:line="600" w:lineRule="exact"/>
        <w:rPr>
          <w:rFonts w:hint="eastAsia" w:ascii="宋体" w:hAnsi="宋体" w:eastAsia="宋体" w:cs="宋体"/>
          <w:color w:val="auto"/>
          <w:sz w:val="24"/>
          <w:highlight w:val="none"/>
        </w:rPr>
      </w:pPr>
    </w:p>
    <w:p>
      <w:pPr>
        <w:spacing w:line="600" w:lineRule="exact"/>
        <w:ind w:firstLine="336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w:t>
      </w:r>
      <w:r>
        <w:rPr>
          <w:rFonts w:hint="eastAsia" w:ascii="宋体" w:hAnsi="宋体" w:eastAsia="宋体" w:cs="宋体"/>
          <w:color w:val="auto"/>
          <w:sz w:val="24"/>
          <w:highlight w:val="none"/>
          <w:lang w:val="en-US" w:eastAsia="zh-CN"/>
        </w:rPr>
        <w:t>被授权人（</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w:t>
      </w:r>
    </w:p>
    <w:p>
      <w:pPr>
        <w:spacing w:line="600" w:lineRule="exact"/>
        <w:ind w:firstLine="1680"/>
        <w:rPr>
          <w:rFonts w:hint="eastAsia" w:ascii="宋体" w:hAnsi="宋体" w:eastAsia="宋体" w:cs="宋体"/>
          <w:color w:val="auto"/>
          <w:sz w:val="24"/>
          <w:highlight w:val="none"/>
        </w:rPr>
      </w:pPr>
    </w:p>
    <w:p>
      <w:pPr>
        <w:spacing w:line="600" w:lineRule="exact"/>
        <w:ind w:firstLine="336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企业名称（加盖CA电子公章）</w:t>
      </w:r>
      <w:r>
        <w:rPr>
          <w:rFonts w:hint="eastAsia" w:ascii="宋体" w:hAnsi="宋体" w:eastAsia="宋体" w:cs="宋体"/>
          <w:color w:val="auto"/>
          <w:sz w:val="24"/>
          <w:highlight w:val="none"/>
        </w:rPr>
        <w:t>：</w:t>
      </w:r>
    </w:p>
    <w:p>
      <w:pPr>
        <w:spacing w:line="600" w:lineRule="exact"/>
        <w:ind w:firstLine="1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jc w:val="righ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7.投标函</w:t>
      </w:r>
    </w:p>
    <w:p>
      <w:pPr>
        <w:pStyle w:val="197"/>
        <w:spacing w:before="0" w:after="0" w:line="420" w:lineRule="exact"/>
        <w:ind w:firstLine="0"/>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致：</w:t>
      </w:r>
      <w:r>
        <w:rPr>
          <w:rFonts w:hint="eastAsia" w:ascii="宋体" w:hAnsi="宋体"/>
          <w:color w:val="auto"/>
          <w:szCs w:val="21"/>
          <w:highlight w:val="none"/>
          <w:u w:val="single"/>
          <w:lang w:val="en-US" w:eastAsia="zh-CN"/>
        </w:rPr>
        <w:t xml:space="preserve">                </w:t>
      </w:r>
    </w:p>
    <w:p>
      <w:pPr>
        <w:pStyle w:val="197"/>
        <w:spacing w:before="0" w:after="0" w:line="420" w:lineRule="exact"/>
        <w:rPr>
          <w:rFonts w:hint="eastAsia" w:ascii="宋体" w:hAnsi="宋体"/>
          <w:color w:val="auto"/>
          <w:szCs w:val="21"/>
          <w:highlight w:val="none"/>
        </w:rPr>
      </w:pPr>
    </w:p>
    <w:p>
      <w:pPr>
        <w:pStyle w:val="197"/>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根据贵方的</w:t>
      </w:r>
      <w:r>
        <w:rPr>
          <w:rFonts w:hint="eastAsia" w:ascii="宋体" w:hAnsi="宋体"/>
          <w:color w:val="auto"/>
          <w:szCs w:val="21"/>
          <w:highlight w:val="none"/>
          <w:u w:val="single"/>
          <w:lang w:eastAsia="zh-CN"/>
        </w:rPr>
        <w:t>JSZC-320981-HYGC-G2024-0010</w:t>
      </w:r>
      <w:r>
        <w:rPr>
          <w:rFonts w:hint="eastAsia" w:ascii="宋体" w:hAnsi="宋体"/>
          <w:color w:val="auto"/>
          <w:szCs w:val="21"/>
          <w:highlight w:val="none"/>
        </w:rPr>
        <w:t>号招标文件，正式授权下述签字人______(姓名)代表我方______________（投标人的名称），全权处理本次项目投标的有关事宜。</w:t>
      </w:r>
    </w:p>
    <w:p>
      <w:pPr>
        <w:pStyle w:val="197"/>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pPr>
        <w:pStyle w:val="197"/>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pPr>
        <w:pStyle w:val="19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pPr>
        <w:pStyle w:val="19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pPr>
        <w:pStyle w:val="19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pPr>
        <w:pStyle w:val="19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pPr>
        <w:pStyle w:val="19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pPr>
        <w:pStyle w:val="19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7.与本投标有关的正式通讯地址为：</w:t>
      </w:r>
    </w:p>
    <w:p>
      <w:pPr>
        <w:keepNext w:val="0"/>
        <w:keepLines w:val="0"/>
        <w:pageBreakBefore w:val="0"/>
        <w:widowControl w:val="0"/>
        <w:spacing w:line="48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地址：</w:t>
      </w:r>
    </w:p>
    <w:p>
      <w:pPr>
        <w:keepNext w:val="0"/>
        <w:keepLines w:val="0"/>
        <w:pageBreakBefore w:val="0"/>
        <w:widowControl w:val="0"/>
        <w:spacing w:line="48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邮编：</w:t>
      </w:r>
    </w:p>
    <w:p>
      <w:pPr>
        <w:keepNext w:val="0"/>
        <w:keepLines w:val="0"/>
        <w:pageBreakBefore w:val="0"/>
        <w:widowControl w:val="0"/>
        <w:spacing w:line="48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电话：</w:t>
      </w:r>
    </w:p>
    <w:p>
      <w:pPr>
        <w:keepNext w:val="0"/>
        <w:keepLines w:val="0"/>
        <w:pageBreakBefore w:val="0"/>
        <w:widowControl w:val="0"/>
        <w:spacing w:line="48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传真：</w:t>
      </w:r>
    </w:p>
    <w:p>
      <w:pPr>
        <w:keepNext w:val="0"/>
        <w:keepLines w:val="0"/>
        <w:pageBreakBefore w:val="0"/>
        <w:widowControl w:val="0"/>
        <w:spacing w:line="48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投标人开户行：</w:t>
      </w:r>
    </w:p>
    <w:p>
      <w:pPr>
        <w:keepNext w:val="0"/>
        <w:keepLines w:val="0"/>
        <w:pageBreakBefore w:val="0"/>
        <w:widowControl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账户：</w:t>
      </w:r>
      <w:r>
        <w:rPr>
          <w:rFonts w:hint="eastAsia" w:ascii="宋体" w:hAnsi="宋体" w:eastAsia="宋体" w:cs="宋体"/>
          <w:color w:val="auto"/>
          <w:sz w:val="24"/>
          <w:highlight w:val="none"/>
        </w:rPr>
        <w:t xml:space="preserve">                                      </w:t>
      </w:r>
    </w:p>
    <w:p>
      <w:pPr>
        <w:keepNext w:val="0"/>
        <w:keepLines w:val="0"/>
        <w:pageBreakBefore w:val="0"/>
        <w:widowControl w:val="0"/>
        <w:spacing w:line="480" w:lineRule="exact"/>
        <w:ind w:firstLine="924"/>
        <w:rPr>
          <w:rFonts w:hint="eastAsia" w:ascii="宋体" w:hAnsi="宋体" w:eastAsia="宋体" w:cs="宋体"/>
          <w:color w:val="auto"/>
          <w:sz w:val="24"/>
          <w:highlight w:val="none"/>
        </w:rPr>
      </w:pPr>
    </w:p>
    <w:p>
      <w:pPr>
        <w:keepNext w:val="0"/>
        <w:keepLines w:val="0"/>
        <w:pageBreakBefore w:val="0"/>
        <w:widowControl w:val="0"/>
        <w:spacing w:line="480" w:lineRule="exact"/>
        <w:ind w:firstLine="16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pPr>
        <w:keepNext w:val="0"/>
        <w:keepLines w:val="0"/>
        <w:pageBreakBefore w:val="0"/>
        <w:widowControl w:val="0"/>
        <w:spacing w:line="480" w:lineRule="exact"/>
        <w:rPr>
          <w:rFonts w:hint="eastAsia" w:ascii="宋体" w:hAnsi="宋体" w:eastAsia="宋体" w:cs="宋体"/>
          <w:color w:val="auto"/>
          <w:sz w:val="24"/>
          <w:highlight w:val="none"/>
        </w:rPr>
      </w:pPr>
    </w:p>
    <w:p>
      <w:pPr>
        <w:keepNext w:val="0"/>
        <w:keepLines w:val="0"/>
        <w:pageBreakBefore w:val="0"/>
        <w:widowControl w:val="0"/>
        <w:spacing w:line="480" w:lineRule="exact"/>
        <w:ind w:firstLine="16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企业名称（加盖CA电子公章）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keepNext w:val="0"/>
        <w:keepLines w:val="0"/>
        <w:pageBreakBefore w:val="0"/>
        <w:widowControl w:val="0"/>
        <w:spacing w:line="480" w:lineRule="exact"/>
        <w:rPr>
          <w:rFonts w:hint="eastAsia" w:ascii="宋体" w:hAnsi="宋体" w:eastAsia="宋体" w:cs="宋体"/>
          <w:color w:val="auto"/>
          <w:sz w:val="24"/>
          <w:highlight w:val="none"/>
        </w:rPr>
      </w:pPr>
    </w:p>
    <w:p>
      <w:pPr>
        <w:keepNext w:val="0"/>
        <w:keepLines w:val="0"/>
        <w:pageBreakBefore w:val="0"/>
        <w:widowControl w:val="0"/>
        <w:spacing w:line="480" w:lineRule="exact"/>
        <w:jc w:val="right"/>
        <w:outlineLvl w:val="1"/>
        <w:rPr>
          <w:rFonts w:hint="eastAsia" w:ascii="仿宋_GB2312" w:eastAsia="仿宋_GB2312"/>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仿宋_GB2312" w:eastAsia="仿宋_GB2312"/>
          <w:color w:val="auto"/>
          <w:sz w:val="24"/>
          <w:highlight w:val="none"/>
          <w:lang w:val="en-US" w:eastAsia="zh-CN"/>
        </w:rPr>
        <w:t xml:space="preserve"> </w:t>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p>
    <w:p>
      <w:pPr>
        <w:numPr>
          <w:ilvl w:val="0"/>
          <w:numId w:val="0"/>
        </w:numPr>
        <w:jc w:val="center"/>
        <w:outlineLvl w:val="1"/>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8.所供货物（货物附带的服务）内容及货物要求偏离表</w:t>
      </w:r>
    </w:p>
    <w:p>
      <w:pPr>
        <w:pStyle w:val="38"/>
        <w:numPr>
          <w:ilvl w:val="0"/>
          <w:numId w:val="0"/>
        </w:numPr>
        <w:ind w:left="480"/>
        <w:rPr>
          <w:rFonts w:hint="eastAsia"/>
          <w:color w:val="auto"/>
          <w:highlight w:val="none"/>
        </w:rPr>
      </w:pPr>
    </w:p>
    <w:tbl>
      <w:tblPr>
        <w:tblStyle w:val="31"/>
        <w:tblW w:w="0" w:type="auto"/>
        <w:jc w:val="center"/>
        <w:tblLayout w:type="fixed"/>
        <w:tblCellMar>
          <w:top w:w="0" w:type="dxa"/>
          <w:left w:w="0" w:type="dxa"/>
          <w:bottom w:w="0" w:type="dxa"/>
          <w:right w:w="0" w:type="dxa"/>
        </w:tblCellMar>
      </w:tblPr>
      <w:tblGrid>
        <w:gridCol w:w="724"/>
        <w:gridCol w:w="1760"/>
        <w:gridCol w:w="2493"/>
        <w:gridCol w:w="2268"/>
        <w:gridCol w:w="1067"/>
      </w:tblGrid>
      <w:tr>
        <w:tblPrEx>
          <w:tblCellMar>
            <w:top w:w="0" w:type="dxa"/>
            <w:left w:w="0" w:type="dxa"/>
            <w:bottom w:w="0" w:type="dxa"/>
            <w:right w:w="0" w:type="dxa"/>
          </w:tblCellMar>
        </w:tblPrEx>
        <w:trPr>
          <w:trHeight w:val="556" w:hRule="atLeast"/>
          <w:jc w:val="center"/>
        </w:trPr>
        <w:tc>
          <w:tcPr>
            <w:tcW w:w="72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名称</w:t>
            </w:r>
          </w:p>
        </w:tc>
        <w:tc>
          <w:tcPr>
            <w:tcW w:w="24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采购产品</w:t>
            </w:r>
          </w:p>
          <w:p>
            <w:pPr>
              <w:keepNext w:val="0"/>
              <w:keepLines w:val="0"/>
              <w:pageBreakBefore w:val="0"/>
              <w:widowControl w:val="0"/>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功能及技术参数</w:t>
            </w:r>
          </w:p>
        </w:tc>
        <w:tc>
          <w:tcPr>
            <w:tcW w:w="22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所供产品</w:t>
            </w:r>
          </w:p>
          <w:p>
            <w:pPr>
              <w:keepNext w:val="0"/>
              <w:keepLines w:val="0"/>
              <w:pageBreakBefore w:val="0"/>
              <w:widowControl w:val="0"/>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功能及技术参数</w:t>
            </w:r>
          </w:p>
        </w:tc>
        <w:tc>
          <w:tcPr>
            <w:tcW w:w="106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偏离说明</w:t>
            </w:r>
          </w:p>
        </w:tc>
      </w:tr>
      <w:tr>
        <w:tblPrEx>
          <w:tblCellMar>
            <w:top w:w="0" w:type="dxa"/>
            <w:left w:w="0" w:type="dxa"/>
            <w:bottom w:w="0" w:type="dxa"/>
            <w:right w:w="0" w:type="dxa"/>
          </w:tblCellMar>
        </w:tblPrEx>
        <w:trPr>
          <w:trHeight w:val="531" w:hRule="atLeast"/>
          <w:jc w:val="center"/>
        </w:trPr>
        <w:tc>
          <w:tcPr>
            <w:tcW w:w="72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1</w:t>
            </w:r>
          </w:p>
        </w:tc>
        <w:tc>
          <w:tcPr>
            <w:tcW w:w="1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4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2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c>
          <w:tcPr>
            <w:tcW w:w="106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r>
      <w:tr>
        <w:tblPrEx>
          <w:tblCellMar>
            <w:top w:w="0" w:type="dxa"/>
            <w:left w:w="0" w:type="dxa"/>
            <w:bottom w:w="0" w:type="dxa"/>
            <w:right w:w="0" w:type="dxa"/>
          </w:tblCellMar>
        </w:tblPrEx>
        <w:trPr>
          <w:trHeight w:val="531" w:hRule="atLeast"/>
          <w:jc w:val="center"/>
        </w:trPr>
        <w:tc>
          <w:tcPr>
            <w:tcW w:w="72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2</w:t>
            </w:r>
          </w:p>
        </w:tc>
        <w:tc>
          <w:tcPr>
            <w:tcW w:w="1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ascii="仿宋_GB2312" w:eastAsia="仿宋_GB2312"/>
                <w:color w:val="auto"/>
                <w:sz w:val="24"/>
                <w:highlight w:val="none"/>
              </w:rPr>
            </w:pPr>
          </w:p>
        </w:tc>
        <w:tc>
          <w:tcPr>
            <w:tcW w:w="24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ascii="仿宋_GB2312" w:eastAsia="仿宋_GB2312"/>
                <w:color w:val="auto"/>
                <w:sz w:val="24"/>
                <w:highlight w:val="none"/>
              </w:rPr>
            </w:pPr>
          </w:p>
        </w:tc>
        <w:tc>
          <w:tcPr>
            <w:tcW w:w="22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c>
          <w:tcPr>
            <w:tcW w:w="106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r>
      <w:tr>
        <w:tblPrEx>
          <w:tblCellMar>
            <w:top w:w="0" w:type="dxa"/>
            <w:left w:w="0" w:type="dxa"/>
            <w:bottom w:w="0" w:type="dxa"/>
            <w:right w:w="0" w:type="dxa"/>
          </w:tblCellMar>
        </w:tblPrEx>
        <w:trPr>
          <w:trHeight w:val="531" w:hRule="atLeast"/>
          <w:jc w:val="center"/>
        </w:trPr>
        <w:tc>
          <w:tcPr>
            <w:tcW w:w="72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3</w:t>
            </w:r>
          </w:p>
        </w:tc>
        <w:tc>
          <w:tcPr>
            <w:tcW w:w="1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4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2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c>
          <w:tcPr>
            <w:tcW w:w="106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r>
      <w:tr>
        <w:tblPrEx>
          <w:tblCellMar>
            <w:top w:w="0" w:type="dxa"/>
            <w:left w:w="0" w:type="dxa"/>
            <w:bottom w:w="0" w:type="dxa"/>
            <w:right w:w="0" w:type="dxa"/>
          </w:tblCellMar>
        </w:tblPrEx>
        <w:trPr>
          <w:trHeight w:val="531" w:hRule="atLeast"/>
          <w:jc w:val="center"/>
        </w:trPr>
        <w:tc>
          <w:tcPr>
            <w:tcW w:w="72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4</w:t>
            </w:r>
          </w:p>
        </w:tc>
        <w:tc>
          <w:tcPr>
            <w:tcW w:w="1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4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2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c>
          <w:tcPr>
            <w:tcW w:w="106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r>
      <w:tr>
        <w:tblPrEx>
          <w:tblCellMar>
            <w:top w:w="0" w:type="dxa"/>
            <w:left w:w="0" w:type="dxa"/>
            <w:bottom w:w="0" w:type="dxa"/>
            <w:right w:w="0" w:type="dxa"/>
          </w:tblCellMar>
        </w:tblPrEx>
        <w:trPr>
          <w:trHeight w:val="531" w:hRule="atLeast"/>
          <w:jc w:val="center"/>
        </w:trPr>
        <w:tc>
          <w:tcPr>
            <w:tcW w:w="72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5</w:t>
            </w:r>
          </w:p>
        </w:tc>
        <w:tc>
          <w:tcPr>
            <w:tcW w:w="1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4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2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c>
          <w:tcPr>
            <w:tcW w:w="106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r>
      <w:tr>
        <w:tblPrEx>
          <w:tblCellMar>
            <w:top w:w="0" w:type="dxa"/>
            <w:left w:w="0" w:type="dxa"/>
            <w:bottom w:w="0" w:type="dxa"/>
            <w:right w:w="0" w:type="dxa"/>
          </w:tblCellMar>
        </w:tblPrEx>
        <w:trPr>
          <w:trHeight w:val="531" w:hRule="atLeast"/>
          <w:jc w:val="center"/>
        </w:trPr>
        <w:tc>
          <w:tcPr>
            <w:tcW w:w="72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w:t>
            </w:r>
          </w:p>
        </w:tc>
        <w:tc>
          <w:tcPr>
            <w:tcW w:w="1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49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rPr>
                <w:rFonts w:hint="eastAsia" w:ascii="仿宋_GB2312" w:hAnsi="宋体" w:eastAsia="仿宋_GB2312"/>
                <w:color w:val="auto"/>
                <w:sz w:val="24"/>
                <w:highlight w:val="none"/>
              </w:rPr>
            </w:pPr>
          </w:p>
        </w:tc>
        <w:tc>
          <w:tcPr>
            <w:tcW w:w="226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c>
          <w:tcPr>
            <w:tcW w:w="106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spacing w:line="440" w:lineRule="exact"/>
              <w:jc w:val="center"/>
              <w:rPr>
                <w:rFonts w:hint="eastAsia" w:ascii="仿宋_GB2312" w:eastAsia="仿宋_GB2312"/>
                <w:color w:val="auto"/>
                <w:sz w:val="24"/>
                <w:highlight w:val="none"/>
              </w:rPr>
            </w:pPr>
          </w:p>
        </w:tc>
      </w:tr>
    </w:tbl>
    <w:p>
      <w:pPr>
        <w:keepNext w:val="0"/>
        <w:keepLines w:val="0"/>
        <w:pageBreakBefore w:val="0"/>
        <w:widowControl w:val="0"/>
        <w:spacing w:line="440" w:lineRule="exact"/>
        <w:ind w:firstLine="420"/>
        <w:rPr>
          <w:rFonts w:hint="eastAsia" w:ascii="仿宋_GB2312" w:eastAsia="仿宋_GB2312"/>
          <w:color w:val="auto"/>
          <w:sz w:val="24"/>
          <w:highlight w:val="none"/>
        </w:rPr>
      </w:pPr>
    </w:p>
    <w:p>
      <w:pPr>
        <w:keepNext w:val="0"/>
        <w:keepLines w:val="0"/>
        <w:pageBreakBefore w:val="0"/>
        <w:widowControl w:val="0"/>
        <w:spacing w:line="44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注：该表必须按照</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要求逐条如实填写，根据</w:t>
      </w:r>
      <w:r>
        <w:rPr>
          <w:rFonts w:hint="eastAsia" w:ascii="宋体" w:hAnsi="宋体" w:eastAsia="宋体" w:cs="宋体"/>
          <w:color w:val="auto"/>
          <w:sz w:val="24"/>
          <w:highlight w:val="none"/>
          <w:lang w:eastAsia="zh-CN"/>
        </w:rPr>
        <w:t>所供产品</w:t>
      </w:r>
      <w:r>
        <w:rPr>
          <w:rFonts w:hint="eastAsia" w:ascii="宋体" w:hAnsi="宋体" w:eastAsia="宋体" w:cs="宋体"/>
          <w:color w:val="auto"/>
          <w:sz w:val="24"/>
          <w:highlight w:val="none"/>
        </w:rPr>
        <w:t>情况在“偏离说明”项填写正偏离或负偏离及原因，完全符合的填写“无偏离”。</w:t>
      </w:r>
    </w:p>
    <w:p>
      <w:pPr>
        <w:spacing w:line="460" w:lineRule="exact"/>
        <w:ind w:firstLine="1680"/>
        <w:rPr>
          <w:rFonts w:hint="eastAsia" w:asciiTheme="minorEastAsia" w:hAnsiTheme="minorEastAsia" w:eastAsiaTheme="minorEastAsia" w:cstheme="minorEastAsia"/>
          <w:color w:val="auto"/>
          <w:sz w:val="24"/>
          <w:highlight w:val="none"/>
        </w:rPr>
      </w:pPr>
    </w:p>
    <w:p>
      <w:pPr>
        <w:spacing w:line="460" w:lineRule="exact"/>
        <w:ind w:firstLine="1680"/>
        <w:rPr>
          <w:rFonts w:hint="eastAsia" w:asciiTheme="minorEastAsia" w:hAnsiTheme="minorEastAsia" w:eastAsiaTheme="minorEastAsia" w:cstheme="minorEastAsia"/>
          <w:color w:val="auto"/>
          <w:sz w:val="24"/>
          <w:highlight w:val="none"/>
        </w:rPr>
      </w:pPr>
    </w:p>
    <w:p>
      <w:pPr>
        <w:spacing w:line="460" w:lineRule="exact"/>
        <w:ind w:firstLine="16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法定代表人或</w:t>
      </w:r>
      <w:r>
        <w:rPr>
          <w:rFonts w:hint="eastAsia" w:asciiTheme="minorEastAsia" w:hAnsiTheme="minorEastAsia" w:eastAsiaTheme="minorEastAsia" w:cstheme="minorEastAsia"/>
          <w:color w:val="auto"/>
          <w:sz w:val="24"/>
          <w:highlight w:val="none"/>
          <w:lang w:val="en-US" w:eastAsia="zh-CN"/>
        </w:rPr>
        <w:t>被授权人</w:t>
      </w:r>
      <w:r>
        <w:rPr>
          <w:rFonts w:hint="eastAsia" w:asciiTheme="minorEastAsia" w:hAnsiTheme="minorEastAsia" w:eastAsiaTheme="minorEastAsia" w:cstheme="minorEastAsia"/>
          <w:color w:val="auto"/>
          <w:sz w:val="24"/>
          <w:highlight w:val="none"/>
        </w:rPr>
        <w:t>签字：</w:t>
      </w:r>
    </w:p>
    <w:p>
      <w:pPr>
        <w:spacing w:line="460" w:lineRule="exact"/>
        <w:ind w:firstLine="1680"/>
        <w:rPr>
          <w:rFonts w:hint="eastAsia" w:asciiTheme="minorEastAsia" w:hAnsiTheme="minorEastAsia" w:eastAsiaTheme="minorEastAsia" w:cstheme="minorEastAsia"/>
          <w:color w:val="auto"/>
          <w:sz w:val="24"/>
          <w:highlight w:val="none"/>
        </w:rPr>
      </w:pPr>
    </w:p>
    <w:p>
      <w:pPr>
        <w:spacing w:line="460" w:lineRule="exact"/>
        <w:ind w:firstLine="1680"/>
        <w:rPr>
          <w:rFonts w:hint="eastAsia" w:asciiTheme="minorEastAsia" w:hAnsiTheme="minorEastAsia" w:eastAsiaTheme="minorEastAsia" w:cstheme="minorEastAsia"/>
          <w:color w:val="auto"/>
          <w:sz w:val="24"/>
          <w:highlight w:val="none"/>
        </w:rPr>
      </w:pPr>
    </w:p>
    <w:p>
      <w:pPr>
        <w:spacing w:line="460" w:lineRule="exact"/>
        <w:ind w:firstLine="1680"/>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企业名称（加盖CA电子公章）</w:t>
      </w:r>
      <w:r>
        <w:rPr>
          <w:rFonts w:hint="eastAsia" w:asciiTheme="minorEastAsia" w:hAnsiTheme="minorEastAsia" w:eastAsiaTheme="minorEastAsia" w:cstheme="minorEastAsia"/>
          <w:color w:val="auto"/>
          <w:sz w:val="24"/>
          <w:highlight w:val="none"/>
        </w:rPr>
        <w:t>：</w:t>
      </w:r>
    </w:p>
    <w:p>
      <w:pPr>
        <w:spacing w:line="460" w:lineRule="exact"/>
        <w:ind w:firstLine="1680"/>
        <w:rPr>
          <w:rFonts w:hint="eastAsia" w:asciiTheme="minorEastAsia" w:hAnsiTheme="minorEastAsia" w:eastAsiaTheme="minorEastAsia" w:cstheme="minorEastAsia"/>
          <w:color w:val="auto"/>
          <w:sz w:val="24"/>
          <w:highlight w:val="none"/>
        </w:rPr>
      </w:pPr>
    </w:p>
    <w:p>
      <w:pPr>
        <w:spacing w:line="460" w:lineRule="exact"/>
        <w:ind w:firstLine="16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p>
    <w:p>
      <w:pPr>
        <w:spacing w:line="460" w:lineRule="exact"/>
        <w:jc w:val="righ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9.服  务  承  诺</w:t>
      </w:r>
    </w:p>
    <w:p>
      <w:pPr>
        <w:rPr>
          <w:rFonts w:hint="eastAsia" w:ascii="仿宋_GB2312" w:eastAsia="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rPr>
      </w:pPr>
      <w:r>
        <w:rPr>
          <w:rFonts w:hint="eastAsia" w:ascii="宋体" w:hAnsi="宋体" w:eastAsia="宋体" w:cs="宋体"/>
          <w:sz w:val="24"/>
        </w:rPr>
        <w:t>如我方</w:t>
      </w:r>
      <w:r>
        <w:rPr>
          <w:rFonts w:hint="eastAsia" w:ascii="宋体" w:hAnsi="宋体" w:eastAsia="宋体" w:cs="宋体"/>
          <w:sz w:val="24"/>
          <w:lang w:eastAsia="zh-CN"/>
        </w:rPr>
        <w:t>中标</w:t>
      </w:r>
      <w:r>
        <w:rPr>
          <w:rFonts w:hint="eastAsia" w:ascii="宋体" w:hAnsi="宋体" w:eastAsia="宋体" w:cs="宋体"/>
          <w:sz w:val="24"/>
        </w:rPr>
        <w:t>，郑重承诺如下：</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rPr>
      </w:pPr>
      <w:r>
        <w:rPr>
          <w:rFonts w:hint="eastAsia" w:ascii="宋体" w:hAnsi="宋体" w:eastAsia="宋体" w:cs="宋体"/>
          <w:sz w:val="24"/>
        </w:rPr>
        <w:t>（1）按照</w:t>
      </w:r>
      <w:r>
        <w:rPr>
          <w:rFonts w:hint="eastAsia" w:ascii="宋体" w:hAnsi="宋体" w:eastAsia="宋体" w:cs="宋体"/>
          <w:sz w:val="24"/>
          <w:lang w:eastAsia="zh-CN"/>
        </w:rPr>
        <w:t>招标文件</w:t>
      </w:r>
      <w:r>
        <w:rPr>
          <w:rFonts w:hint="eastAsia" w:ascii="宋体" w:hAnsi="宋体" w:eastAsia="宋体" w:cs="宋体"/>
          <w:sz w:val="24"/>
        </w:rPr>
        <w:t>的要求，我方将</w:t>
      </w:r>
      <w:r>
        <w:rPr>
          <w:rFonts w:hint="eastAsia" w:ascii="宋体" w:hAnsi="宋体" w:eastAsia="宋体" w:cs="宋体"/>
          <w:sz w:val="24"/>
          <w:lang w:eastAsia="zh-CN"/>
        </w:rPr>
        <w:t>中标</w:t>
      </w:r>
      <w:r>
        <w:rPr>
          <w:rFonts w:hint="eastAsia" w:ascii="宋体" w:hAnsi="宋体" w:eastAsia="宋体" w:cs="宋体"/>
          <w:sz w:val="24"/>
        </w:rPr>
        <w:t>设备在合同签订后</w:t>
      </w:r>
      <w:r>
        <w:rPr>
          <w:rFonts w:hint="eastAsia" w:ascii="宋体" w:hAnsi="宋体" w:eastAsia="宋体" w:cs="宋体"/>
          <w:sz w:val="24"/>
          <w:u w:val="single"/>
        </w:rPr>
        <w:t xml:space="preserve">     </w:t>
      </w:r>
      <w:r>
        <w:rPr>
          <w:rFonts w:hint="eastAsia" w:ascii="宋体" w:hAnsi="宋体" w:eastAsia="宋体" w:cs="宋体"/>
          <w:sz w:val="24"/>
        </w:rPr>
        <w:t>日内全部送达采购人指定地点且安装调试完毕；</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lang w:eastAsia="zh-CN"/>
        </w:rPr>
      </w:pPr>
      <w:r>
        <w:rPr>
          <w:rFonts w:hint="eastAsia" w:ascii="宋体" w:hAnsi="宋体" w:eastAsia="宋体" w:cs="宋体"/>
          <w:sz w:val="24"/>
        </w:rPr>
        <w:t>（2）投标产品的质量保证期不低于</w:t>
      </w:r>
      <w:r>
        <w:rPr>
          <w:rFonts w:hint="eastAsia" w:ascii="宋体" w:hAnsi="宋体" w:eastAsia="宋体" w:cs="宋体"/>
          <w:sz w:val="24"/>
          <w:u w:val="single"/>
        </w:rPr>
        <w:t xml:space="preserve">     </w:t>
      </w:r>
      <w:r>
        <w:rPr>
          <w:rFonts w:hint="eastAsia" w:ascii="宋体" w:hAnsi="宋体" w:eastAsia="宋体" w:cs="宋体"/>
          <w:sz w:val="24"/>
        </w:rPr>
        <w:t>年；</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rPr>
      </w:pPr>
      <w:r>
        <w:rPr>
          <w:rFonts w:hint="eastAsia" w:ascii="宋体" w:hAnsi="宋体" w:eastAsia="宋体" w:cs="宋体"/>
          <w:sz w:val="24"/>
        </w:rPr>
        <w:t>（3）在质量保证期内，用户遇到使用及技术问题，我方为用户提供技术援助电话。联系电话为：</w:t>
      </w:r>
      <w:r>
        <w:rPr>
          <w:rFonts w:hint="eastAsia" w:ascii="宋体" w:hAnsi="宋体" w:eastAsia="宋体" w:cs="宋体"/>
          <w:sz w:val="24"/>
          <w:u w:val="single"/>
        </w:rPr>
        <w:t xml:space="preserve">              </w:t>
      </w:r>
      <w:r>
        <w:rPr>
          <w:rFonts w:hint="eastAsia" w:ascii="宋体" w:hAnsi="宋体" w:eastAsia="宋体" w:cs="宋体"/>
          <w:sz w:val="24"/>
        </w:rPr>
        <w:t>。如电话咨询不能解决时，我方在</w:t>
      </w:r>
      <w:r>
        <w:rPr>
          <w:rFonts w:hint="eastAsia" w:ascii="宋体" w:hAnsi="宋体" w:eastAsia="宋体" w:cs="宋体"/>
          <w:sz w:val="24"/>
          <w:u w:val="single"/>
        </w:rPr>
        <w:t xml:space="preserve">    </w:t>
      </w:r>
      <w:r>
        <w:rPr>
          <w:rFonts w:hint="eastAsia" w:ascii="宋体" w:hAnsi="宋体" w:eastAsia="宋体" w:cs="宋体"/>
          <w:sz w:val="24"/>
        </w:rPr>
        <w:t>小时内采取相应措施，提供上门服务。仍无法解决时，我方在</w:t>
      </w:r>
      <w:r>
        <w:rPr>
          <w:rFonts w:hint="eastAsia" w:ascii="宋体" w:hAnsi="宋体" w:eastAsia="宋体" w:cs="宋体"/>
          <w:sz w:val="24"/>
          <w:u w:val="single"/>
        </w:rPr>
        <w:t xml:space="preserve">   </w:t>
      </w:r>
      <w:r>
        <w:rPr>
          <w:rFonts w:hint="eastAsia" w:ascii="宋体" w:hAnsi="宋体" w:eastAsia="宋体" w:cs="宋体"/>
          <w:sz w:val="24"/>
        </w:rPr>
        <w:t>小时内提供备用产品，确保用户能够正常使用（时间从接到用户报修电话时起算）；如我方不能在承诺时间内采取相应措施或提供备用产品，采购人自行处理，其费用在我方履约保证金中扣付；</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（4）质量保证期满后，我方同样提供免费电话咨询服务，并以优惠价格提供售后服务；</w:t>
      </w:r>
    </w:p>
    <w:p>
      <w:pPr>
        <w:keepNext w:val="0"/>
        <w:keepLines w:val="0"/>
        <w:pageBreakBefore w:val="0"/>
        <w:widowControl w:val="0"/>
        <w:spacing w:line="480" w:lineRule="exact"/>
        <w:ind w:firstLine="460"/>
        <w:rPr>
          <w:rFonts w:hint="eastAsia" w:asciiTheme="minorEastAsia" w:hAnsiTheme="minorEastAsia" w:eastAsiaTheme="minorEastAsia" w:cstheme="minorEastAsia"/>
          <w:color w:val="auto"/>
          <w:sz w:val="24"/>
          <w:highlight w:val="none"/>
        </w:rPr>
      </w:pPr>
      <w:r>
        <w:rPr>
          <w:rFonts w:hint="eastAsia" w:ascii="宋体" w:hAnsi="宋体" w:eastAsia="宋体" w:cs="宋体"/>
          <w:sz w:val="24"/>
        </w:rPr>
        <w:t>（5）满足招标文件的全部要求及我方投标文件承诺的的全部条款。</w:t>
      </w:r>
    </w:p>
    <w:p>
      <w:pPr>
        <w:spacing w:line="460" w:lineRule="exact"/>
        <w:ind w:firstLine="460"/>
        <w:rPr>
          <w:rFonts w:hint="eastAsia" w:asciiTheme="minorEastAsia" w:hAnsiTheme="minorEastAsia" w:eastAsiaTheme="minorEastAsia" w:cstheme="minorEastAsia"/>
          <w:color w:val="auto"/>
          <w:sz w:val="24"/>
          <w:highlight w:val="none"/>
        </w:rPr>
      </w:pPr>
    </w:p>
    <w:p>
      <w:pPr>
        <w:spacing w:line="460" w:lineRule="exact"/>
        <w:ind w:firstLine="460"/>
        <w:rPr>
          <w:rFonts w:hint="eastAsia" w:asciiTheme="minorEastAsia" w:hAnsiTheme="minorEastAsia" w:eastAsiaTheme="minorEastAsia" w:cstheme="minorEastAsia"/>
          <w:color w:val="auto"/>
          <w:sz w:val="24"/>
          <w:highlight w:val="none"/>
        </w:rPr>
      </w:pPr>
    </w:p>
    <w:p>
      <w:pPr>
        <w:spacing w:line="460" w:lineRule="exact"/>
        <w:ind w:firstLine="460"/>
        <w:rPr>
          <w:rFonts w:hint="eastAsia" w:asciiTheme="minorEastAsia" w:hAnsiTheme="minorEastAsia" w:eastAsiaTheme="minorEastAsia" w:cstheme="minorEastAsia"/>
          <w:color w:val="auto"/>
          <w:sz w:val="24"/>
          <w:highlight w:val="none"/>
        </w:rPr>
      </w:pPr>
    </w:p>
    <w:p>
      <w:pPr>
        <w:spacing w:line="460" w:lineRule="exact"/>
        <w:ind w:firstLine="460"/>
        <w:rPr>
          <w:rFonts w:hint="eastAsia" w:asciiTheme="minorEastAsia" w:hAnsiTheme="minorEastAsia" w:eastAsiaTheme="minorEastAsia" w:cstheme="minorEastAsia"/>
          <w:color w:val="auto"/>
          <w:sz w:val="24"/>
          <w:highlight w:val="none"/>
        </w:rPr>
      </w:pPr>
    </w:p>
    <w:p>
      <w:pPr>
        <w:spacing w:line="460" w:lineRule="exact"/>
        <w:ind w:firstLine="16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法定代表人或</w:t>
      </w:r>
      <w:r>
        <w:rPr>
          <w:rFonts w:hint="eastAsia" w:asciiTheme="minorEastAsia" w:hAnsiTheme="minorEastAsia" w:eastAsiaTheme="minorEastAsia" w:cstheme="minorEastAsia"/>
          <w:color w:val="auto"/>
          <w:sz w:val="24"/>
          <w:highlight w:val="none"/>
          <w:lang w:val="en-US" w:eastAsia="zh-CN"/>
        </w:rPr>
        <w:t>被授权人</w:t>
      </w:r>
      <w:r>
        <w:rPr>
          <w:rFonts w:hint="eastAsia" w:asciiTheme="minorEastAsia" w:hAnsiTheme="minorEastAsia" w:eastAsiaTheme="minorEastAsia" w:cstheme="minorEastAsia"/>
          <w:color w:val="auto"/>
          <w:sz w:val="24"/>
          <w:highlight w:val="none"/>
        </w:rPr>
        <w:t>签字：</w:t>
      </w:r>
    </w:p>
    <w:p>
      <w:pPr>
        <w:spacing w:line="460" w:lineRule="exact"/>
        <w:ind w:firstLine="1680"/>
        <w:rPr>
          <w:rFonts w:hint="eastAsia" w:asciiTheme="minorEastAsia" w:hAnsiTheme="minorEastAsia" w:eastAsiaTheme="minorEastAsia" w:cstheme="minorEastAsia"/>
          <w:color w:val="auto"/>
          <w:sz w:val="24"/>
          <w:highlight w:val="none"/>
        </w:rPr>
      </w:pPr>
    </w:p>
    <w:p>
      <w:pPr>
        <w:spacing w:line="460" w:lineRule="exact"/>
        <w:ind w:firstLine="1680"/>
        <w:rPr>
          <w:rFonts w:hint="eastAsia" w:asciiTheme="minorEastAsia" w:hAnsiTheme="minorEastAsia" w:eastAsiaTheme="minorEastAsia" w:cstheme="minorEastAsia"/>
          <w:color w:val="auto"/>
          <w:sz w:val="24"/>
          <w:highlight w:val="none"/>
        </w:rPr>
      </w:pPr>
    </w:p>
    <w:p>
      <w:pPr>
        <w:spacing w:line="460" w:lineRule="exact"/>
        <w:ind w:firstLine="1680"/>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企业名称（加盖CA电子公章）</w:t>
      </w:r>
      <w:r>
        <w:rPr>
          <w:rFonts w:hint="eastAsia" w:asciiTheme="minorEastAsia" w:hAnsiTheme="minorEastAsia" w:eastAsiaTheme="minorEastAsia" w:cstheme="minorEastAsia"/>
          <w:color w:val="auto"/>
          <w:sz w:val="24"/>
          <w:highlight w:val="none"/>
        </w:rPr>
        <w:t>：</w:t>
      </w:r>
    </w:p>
    <w:p>
      <w:pPr>
        <w:spacing w:line="460" w:lineRule="exact"/>
        <w:ind w:firstLine="1680"/>
        <w:rPr>
          <w:rFonts w:hint="eastAsia" w:asciiTheme="minorEastAsia" w:hAnsiTheme="minorEastAsia" w:eastAsiaTheme="minorEastAsia" w:cstheme="minorEastAsia"/>
          <w:color w:val="auto"/>
          <w:sz w:val="24"/>
          <w:highlight w:val="none"/>
        </w:rPr>
      </w:pPr>
    </w:p>
    <w:p>
      <w:pPr>
        <w:spacing w:line="460" w:lineRule="exact"/>
        <w:ind w:firstLine="16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p>
    <w:p>
      <w:pPr>
        <w:spacing w:line="460" w:lineRule="exact"/>
        <w:jc w:val="righ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pPr>
        <w:spacing w:line="560" w:lineRule="exact"/>
        <w:ind w:firstLine="240"/>
        <w:jc w:val="center"/>
        <w:rPr>
          <w:rFonts w:hint="eastAsia" w:ascii="宋体" w:hAnsi="宋体"/>
          <w:bCs/>
          <w:color w:val="auto"/>
          <w:sz w:val="24"/>
          <w:highlight w:val="none"/>
        </w:rPr>
      </w:pPr>
    </w:p>
    <w:p>
      <w:pPr>
        <w:spacing w:line="560" w:lineRule="exact"/>
        <w:ind w:firstLine="240"/>
        <w:jc w:val="center"/>
        <w:rPr>
          <w:rFonts w:hint="eastAsia" w:ascii="宋体" w:hAnsi="宋体"/>
          <w:bCs/>
          <w:color w:val="auto"/>
          <w:sz w:val="24"/>
          <w:highlight w:val="none"/>
        </w:rPr>
      </w:pPr>
    </w:p>
    <w:p>
      <w:pPr>
        <w:spacing w:line="460" w:lineRule="exact"/>
        <w:jc w:val="center"/>
        <w:rPr>
          <w:rFonts w:ascii="黑体" w:hAnsi="黑体" w:eastAsia="黑体"/>
          <w:b/>
          <w:color w:val="auto"/>
          <w:sz w:val="32"/>
          <w:szCs w:val="32"/>
          <w:highlight w:val="none"/>
        </w:rPr>
      </w:pPr>
    </w:p>
    <w:p>
      <w:pPr>
        <w:spacing w:line="460" w:lineRule="exact"/>
        <w:jc w:val="center"/>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10.</w:t>
      </w:r>
      <w:r>
        <w:rPr>
          <w:rFonts w:hint="eastAsia" w:ascii="黑体" w:hAnsi="宋体" w:eastAsia="黑体" w:cs="黑体"/>
          <w:b/>
          <w:color w:val="auto"/>
          <w:sz w:val="32"/>
          <w:szCs w:val="32"/>
          <w:highlight w:val="none"/>
        </w:rPr>
        <w:t>小微企业声明函（</w:t>
      </w:r>
      <w:r>
        <w:rPr>
          <w:rFonts w:hint="eastAsia" w:ascii="黑体" w:hAnsi="宋体" w:eastAsia="黑体" w:cs="黑体"/>
          <w:b/>
          <w:color w:val="auto"/>
          <w:sz w:val="32"/>
          <w:szCs w:val="32"/>
          <w:highlight w:val="none"/>
          <w:lang w:eastAsia="zh-CN"/>
        </w:rPr>
        <w:t>货物</w:t>
      </w:r>
      <w:r>
        <w:rPr>
          <w:rFonts w:hint="eastAsia" w:ascii="黑体" w:hAnsi="宋体" w:eastAsia="黑体" w:cs="黑体"/>
          <w:b/>
          <w:color w:val="auto"/>
          <w:sz w:val="32"/>
          <w:szCs w:val="32"/>
          <w:highlight w:val="none"/>
        </w:rPr>
        <w:t>）（分包号：**）</w:t>
      </w:r>
    </w:p>
    <w:p>
      <w:pPr>
        <w:keepNext w:val="0"/>
        <w:keepLines w:val="0"/>
        <w:pageBreakBefore w:val="0"/>
        <w:widowControl w:val="0"/>
        <w:spacing w:line="480" w:lineRule="exact"/>
        <w:ind w:left="0" w:firstLine="480"/>
        <w:outlineLvl w:val="9"/>
        <w:rPr>
          <w:rFonts w:hint="eastAsia" w:ascii="宋体" w:hAnsi="宋体" w:eastAsia="宋体" w:cs="Times New Roman"/>
          <w:color w:val="auto"/>
          <w:sz w:val="24"/>
          <w:szCs w:val="24"/>
          <w:highlight w:val="none"/>
          <w:lang w:val="en-US" w:eastAsia="zh-CN"/>
        </w:rPr>
      </w:pP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组织的采购编号为</w:t>
      </w:r>
      <w:r>
        <w:rPr>
          <w:rFonts w:hint="eastAsia" w:ascii="宋体" w:hAnsi="宋体" w:eastAsia="宋体" w:cs="宋体"/>
          <w:color w:val="auto"/>
          <w:sz w:val="24"/>
          <w:szCs w:val="24"/>
          <w:highlight w:val="none"/>
          <w:u w:val="single"/>
        </w:rPr>
        <w:t>***，（项目名称）（分包号：**）</w:t>
      </w:r>
      <w:r>
        <w:rPr>
          <w:rFonts w:hint="eastAsia" w:ascii="宋体" w:hAnsi="宋体" w:eastAsia="宋体" w:cs="宋体"/>
          <w:color w:val="auto"/>
          <w:sz w:val="24"/>
          <w:szCs w:val="24"/>
          <w:highlight w:val="none"/>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（企业名称），从业人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（小型企业、微型企业）</w:t>
      </w:r>
      <w:r>
        <w:rPr>
          <w:rFonts w:hint="eastAsia" w:ascii="宋体" w:hAnsi="宋体" w:eastAsia="宋体" w:cs="宋体"/>
          <w:color w:val="auto"/>
          <w:sz w:val="24"/>
          <w:szCs w:val="24"/>
          <w:highlight w:val="none"/>
        </w:rPr>
        <w:t>；</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（企业名称），从业人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（小型企业、微型企业）</w:t>
      </w:r>
      <w:r>
        <w:rPr>
          <w:rFonts w:hint="eastAsia" w:ascii="宋体" w:hAnsi="宋体" w:eastAsia="宋体" w:cs="宋体"/>
          <w:color w:val="auto"/>
          <w:sz w:val="24"/>
          <w:szCs w:val="24"/>
          <w:highlight w:val="none"/>
        </w:rPr>
        <w:t>；</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widowControl w:val="0"/>
        <w:spacing w:line="360" w:lineRule="auto"/>
        <w:ind w:firstLine="55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pPr>
        <w:keepNext w:val="0"/>
        <w:keepLines w:val="0"/>
        <w:pageBreakBefore w:val="0"/>
        <w:widowControl w:val="0"/>
        <w:spacing w:line="360" w:lineRule="auto"/>
        <w:ind w:firstLine="55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备注1：从业人员、营业收入、资产总额填报上一年度数据，无上一年度数据的新成立企业可不填报。</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备注2：供应商如不提供此声明函，价格将不做相应扣除。</w:t>
      </w:r>
    </w:p>
    <w:p>
      <w:pPr>
        <w:spacing w:line="560" w:lineRule="exact"/>
        <w:jc w:val="center"/>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11.残疾人福利性单位声明函（分包号：**）</w:t>
      </w:r>
    </w:p>
    <w:p>
      <w:pPr>
        <w:spacing w:line="588" w:lineRule="exact"/>
        <w:ind w:firstLine="480"/>
        <w:rPr>
          <w:rFonts w:hint="eastAsia" w:ascii="宋体" w:hAnsi="宋体"/>
          <w:color w:val="auto"/>
          <w:sz w:val="24"/>
          <w:szCs w:val="21"/>
          <w:highlight w:val="none"/>
        </w:rPr>
      </w:pPr>
      <w:r>
        <w:rPr>
          <w:rFonts w:hint="eastAsia" w:ascii="宋体" w:hAnsi="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项目（分包号：**）采购活动由本单位提供服务</w:t>
      </w:r>
      <w:r>
        <w:rPr>
          <w:rFonts w:hint="eastAsia" w:ascii="宋体" w:hAnsi="宋体"/>
          <w:color w:val="auto"/>
          <w:sz w:val="24"/>
          <w:highlight w:val="none"/>
          <w:lang w:eastAsia="zh-CN"/>
        </w:rPr>
        <w:t>。（</w:t>
      </w:r>
      <w:r>
        <w:rPr>
          <w:rFonts w:hint="eastAsia" w:ascii="宋体" w:hAnsi="宋体"/>
          <w:color w:val="auto"/>
          <w:sz w:val="24"/>
          <w:szCs w:val="21"/>
          <w:highlight w:val="none"/>
        </w:rPr>
        <w:t>采购活动提供本单位制造的货物，或者提供其他残疾人福利性单位制造的货物（不包括使用非残疾人福利性单位注册商标的货物）。</w:t>
      </w:r>
    </w:p>
    <w:p>
      <w:pPr>
        <w:spacing w:line="588" w:lineRule="exact"/>
        <w:ind w:firstLine="48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pPr>
        <w:spacing w:line="588" w:lineRule="exact"/>
        <w:ind w:firstLine="480"/>
        <w:rPr>
          <w:rFonts w:hint="eastAsia" w:ascii="宋体" w:hAnsi="宋体"/>
          <w:color w:val="auto"/>
          <w:sz w:val="24"/>
          <w:highlight w:val="none"/>
        </w:rPr>
      </w:pPr>
    </w:p>
    <w:p>
      <w:pPr>
        <w:spacing w:line="588" w:lineRule="exact"/>
        <w:ind w:firstLine="480"/>
        <w:rPr>
          <w:rFonts w:ascii="宋体" w:hAnsi="宋体"/>
          <w:color w:val="auto"/>
          <w:sz w:val="24"/>
          <w:highlight w:val="none"/>
        </w:rPr>
      </w:pPr>
      <w:r>
        <w:rPr>
          <w:rFonts w:hint="eastAsia" w:ascii="宋体" w:hAnsi="宋体"/>
          <w:color w:val="auto"/>
          <w:sz w:val="24"/>
          <w:highlight w:val="none"/>
        </w:rPr>
        <w:t>（备注：1、供应商如不提供此声明函，价格将不做相应扣除。2、中标人为残疾人福利单位的，此声明函将随中标结果同时公告，接受社会监督）</w:t>
      </w:r>
    </w:p>
    <w:p>
      <w:pPr>
        <w:spacing w:line="588" w:lineRule="exact"/>
        <w:ind w:firstLine="624"/>
        <w:rPr>
          <w:rFonts w:ascii="仿宋_GB2312" w:eastAsia="仿宋_GB2312"/>
          <w:color w:val="auto"/>
          <w:spacing w:val="6"/>
          <w:sz w:val="30"/>
          <w:szCs w:val="30"/>
          <w:highlight w:val="none"/>
        </w:rPr>
      </w:pPr>
    </w:p>
    <w:p>
      <w:pPr>
        <w:tabs>
          <w:tab w:val="left" w:pos="4860"/>
        </w:tabs>
        <w:spacing w:line="588" w:lineRule="exact"/>
        <w:ind w:right="1560" w:firstLine="624"/>
        <w:jc w:val="center"/>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p>
    <w:p>
      <w:pPr>
        <w:tabs>
          <w:tab w:val="left" w:pos="4860"/>
        </w:tabs>
        <w:spacing w:line="588" w:lineRule="exact"/>
        <w:ind w:right="1560" w:firstLine="480"/>
        <w:jc w:val="center"/>
        <w:rPr>
          <w:rFonts w:ascii="宋体" w:hAnsi="宋体"/>
          <w:color w:val="auto"/>
          <w:sz w:val="24"/>
          <w:highlight w:val="none"/>
        </w:rPr>
      </w:pPr>
      <w:r>
        <w:rPr>
          <w:rFonts w:hint="eastAsia" w:ascii="宋体" w:hAnsi="宋体"/>
          <w:color w:val="auto"/>
          <w:sz w:val="24"/>
          <w:highlight w:val="none"/>
        </w:rPr>
        <w:t xml:space="preserve">        日  期：</w:t>
      </w: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spacing w:line="560" w:lineRule="exact"/>
        <w:jc w:val="center"/>
        <w:rPr>
          <w:rFonts w:hint="eastAsia" w:ascii="黑体" w:hAnsi="黑体" w:eastAsia="黑体"/>
          <w:b/>
          <w:color w:val="auto"/>
          <w:sz w:val="32"/>
          <w:szCs w:val="32"/>
          <w:highlight w:val="none"/>
        </w:rPr>
      </w:pP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12.联合体协议（参考格式）（分包号：**）</w:t>
      </w:r>
    </w:p>
    <w:p>
      <w:pPr>
        <w:spacing w:line="560" w:lineRule="exact"/>
        <w:rPr>
          <w:rFonts w:ascii="宋体" w:hAnsi="宋体"/>
          <w:color w:val="auto"/>
          <w:sz w:val="24"/>
          <w:highlight w:val="none"/>
        </w:rPr>
      </w:pPr>
      <w:r>
        <w:rPr>
          <w:rFonts w:hint="eastAsia" w:ascii="宋体" w:hAnsi="宋体"/>
          <w:color w:val="auto"/>
          <w:sz w:val="24"/>
          <w:highlight w:val="none"/>
          <w:u w:val="single"/>
        </w:rPr>
        <w:t>（联合体中各供应商全称）</w:t>
      </w:r>
      <w:r>
        <w:rPr>
          <w:rFonts w:hint="eastAsia" w:ascii="宋体" w:hAnsi="宋体"/>
          <w:color w:val="auto"/>
          <w:sz w:val="24"/>
          <w:highlight w:val="none"/>
        </w:rPr>
        <w:t>在此达成以下协议：</w:t>
      </w:r>
    </w:p>
    <w:p>
      <w:pPr>
        <w:spacing w:line="560" w:lineRule="exact"/>
        <w:ind w:firstLine="645"/>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、我们自愿组成联合体，参加采购编号为</w:t>
      </w:r>
      <w:r>
        <w:rPr>
          <w:rFonts w:hint="eastAsia" w:ascii="宋体" w:hAnsi="宋体"/>
          <w:color w:val="auto"/>
          <w:sz w:val="24"/>
          <w:highlight w:val="none"/>
          <w:u w:val="single"/>
        </w:rPr>
        <w:t>（编号全称），（项目全称）</w:t>
      </w:r>
      <w:r>
        <w:rPr>
          <w:rFonts w:hint="eastAsia" w:ascii="宋体" w:hAnsi="宋体"/>
          <w:color w:val="auto"/>
          <w:sz w:val="24"/>
          <w:highlight w:val="none"/>
        </w:rPr>
        <w:t>项目（分包号：**）的政府采购活动，我联合体指定</w:t>
      </w:r>
      <w:r>
        <w:rPr>
          <w:rFonts w:hint="eastAsia" w:ascii="宋体" w:hAnsi="宋体"/>
          <w:color w:val="auto"/>
          <w:sz w:val="24"/>
          <w:highlight w:val="none"/>
          <w:u w:val="single"/>
        </w:rPr>
        <w:t>（供应商*）</w:t>
      </w:r>
      <w:r>
        <w:rPr>
          <w:rFonts w:hint="eastAsia" w:ascii="宋体" w:hAnsi="宋体"/>
          <w:color w:val="auto"/>
          <w:sz w:val="24"/>
          <w:highlight w:val="none"/>
        </w:rPr>
        <w:t>为牵头单位（牵头单位必须为联合体成员）。</w:t>
      </w:r>
    </w:p>
    <w:p>
      <w:pPr>
        <w:spacing w:line="560" w:lineRule="exact"/>
        <w:ind w:firstLine="645"/>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、若我们联合中标、成交，（供应商单位</w:t>
      </w:r>
      <w:r>
        <w:rPr>
          <w:rFonts w:ascii="宋体" w:hAnsi="宋体"/>
          <w:color w:val="auto"/>
          <w:sz w:val="24"/>
          <w:highlight w:val="none"/>
        </w:rPr>
        <w:t>1</w:t>
      </w:r>
      <w:r>
        <w:rPr>
          <w:rFonts w:hint="eastAsia" w:ascii="宋体" w:hAnsi="宋体"/>
          <w:color w:val="auto"/>
          <w:sz w:val="24"/>
          <w:highlight w:val="none"/>
        </w:rPr>
        <w:t>全称）实施项目中（工作内容）部分工作，并承担相应的责任。（供应商单位</w:t>
      </w:r>
      <w:r>
        <w:rPr>
          <w:rFonts w:ascii="宋体" w:hAnsi="宋体"/>
          <w:color w:val="auto"/>
          <w:sz w:val="24"/>
          <w:highlight w:val="none"/>
        </w:rPr>
        <w:t>2</w:t>
      </w:r>
      <w:r>
        <w:rPr>
          <w:rFonts w:hint="eastAsia" w:ascii="宋体" w:hAnsi="宋体"/>
          <w:color w:val="auto"/>
          <w:sz w:val="24"/>
          <w:highlight w:val="none"/>
        </w:rPr>
        <w:t>全称）实施项目中（工作内容）部分工作，并承担相应的责任……。（注：联合体中各供应商都应明示所承担的工作和相应的责任）。</w:t>
      </w:r>
    </w:p>
    <w:p>
      <w:pPr>
        <w:spacing w:line="560" w:lineRule="exact"/>
        <w:ind w:firstLine="645"/>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、其中</w:t>
      </w:r>
      <w:r>
        <w:rPr>
          <w:rFonts w:ascii="宋体" w:hAnsi="宋体"/>
          <w:color w:val="auto"/>
          <w:sz w:val="24"/>
          <w:highlight w:val="none"/>
          <w:u w:val="single"/>
        </w:rPr>
        <w:t xml:space="preserve">      </w:t>
      </w:r>
      <w:r>
        <w:rPr>
          <w:rFonts w:hint="eastAsia" w:ascii="宋体" w:hAnsi="宋体"/>
          <w:color w:val="auto"/>
          <w:sz w:val="24"/>
          <w:highlight w:val="none"/>
        </w:rPr>
        <w:t>（小型、微型企业/残疾人福利性单位/监狱企业全称）为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w:t>
      </w:r>
    </w:p>
    <w:p>
      <w:pPr>
        <w:spacing w:line="560" w:lineRule="exact"/>
        <w:ind w:firstLine="645"/>
        <w:rPr>
          <w:rFonts w:hint="eastAsia" w:ascii="宋体" w:hAnsi="宋体"/>
          <w:color w:val="auto"/>
          <w:sz w:val="24"/>
          <w:highlight w:val="none"/>
        </w:rPr>
      </w:pPr>
    </w:p>
    <w:p>
      <w:pPr>
        <w:spacing w:line="560" w:lineRule="exact"/>
        <w:ind w:firstLine="645"/>
        <w:rPr>
          <w:rFonts w:ascii="宋体" w:hAnsi="宋体"/>
          <w:color w:val="auto"/>
          <w:sz w:val="24"/>
          <w:highlight w:val="none"/>
        </w:rPr>
      </w:pPr>
      <w:r>
        <w:rPr>
          <w:rFonts w:hint="eastAsia" w:ascii="宋体" w:hAnsi="宋体"/>
          <w:color w:val="auto"/>
          <w:sz w:val="24"/>
          <w:highlight w:val="none"/>
        </w:rPr>
        <w:t>备注：本招标文件中要求加盖CA电子签章的地方，仅需加盖牵头单位的CA电子签章。</w:t>
      </w:r>
    </w:p>
    <w:p>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widowControl w:val="0"/>
        <w:spacing w:line="480" w:lineRule="exact"/>
        <w:ind w:firstLine="3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联合体中各供应商全称（公章）： </w:t>
      </w:r>
    </w:p>
    <w:p>
      <w:pPr>
        <w:rPr>
          <w:rFonts w:hint="eastAsia"/>
          <w:color w:val="auto"/>
          <w:highlight w:val="none"/>
          <w:lang w:val="en-US" w:eastAsia="zh-CN"/>
        </w:rPr>
      </w:pPr>
    </w:p>
    <w:p>
      <w:pPr>
        <w:keepNext w:val="0"/>
        <w:keepLines w:val="0"/>
        <w:pageBreakBefore w:val="0"/>
        <w:widowControl w:val="0"/>
        <w:spacing w:line="480" w:lineRule="exact"/>
        <w:ind w:firstLine="3840"/>
        <w:rPr>
          <w:rFonts w:hint="eastAsia" w:ascii="仿宋_GB2312" w:eastAsia="仿宋_GB2312"/>
          <w:color w:val="auto"/>
          <w:sz w:val="24"/>
          <w:highlight w:val="none"/>
          <w:lang w:val="en-US" w:eastAsia="zh-CN"/>
        </w:rPr>
      </w:pPr>
    </w:p>
    <w:p>
      <w:pPr>
        <w:keepNext w:val="0"/>
        <w:keepLines w:val="0"/>
        <w:pageBreakBefore w:val="0"/>
        <w:widowControl w:val="0"/>
        <w:spacing w:line="480" w:lineRule="exact"/>
        <w:ind w:firstLine="52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pStyle w:val="38"/>
        <w:keepNext w:val="0"/>
        <w:keepLines w:val="0"/>
        <w:pageBreakBefore w:val="0"/>
        <w:widowControl w:val="0"/>
        <w:spacing w:line="480" w:lineRule="exact"/>
        <w:rPr>
          <w:rFonts w:hint="eastAsia" w:ascii="仿宋_GB2312" w:eastAsia="仿宋_GB2312"/>
          <w:color w:val="auto"/>
          <w:sz w:val="24"/>
          <w:highlight w:val="none"/>
        </w:rPr>
      </w:pPr>
    </w:p>
    <w:p>
      <w:pPr>
        <w:keepNext w:val="0"/>
        <w:keepLines w:val="0"/>
        <w:pageBreakBefore w:val="0"/>
        <w:widowControl w:val="0"/>
        <w:spacing w:line="480" w:lineRule="exact"/>
        <w:ind w:right="-105" w:firstLine="480"/>
        <w:jc w:val="center"/>
        <w:rPr>
          <w:rFonts w:hint="eastAsia"/>
          <w:color w:val="auto"/>
          <w:sz w:val="24"/>
          <w:highlight w:val="none"/>
          <w:lang w:val="en-US" w:eastAsia="zh-CN"/>
        </w:rPr>
      </w:pPr>
    </w:p>
    <w:p>
      <w:pPr>
        <w:jc w:val="center"/>
        <w:outlineLvl w:val="1"/>
        <w:rPr>
          <w:rFonts w:hint="default"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13.东台市政府采购事前信用承诺书</w:t>
      </w:r>
    </w:p>
    <w:p>
      <w:pPr>
        <w:widowControl/>
        <w:spacing w:line="499" w:lineRule="atLeast"/>
        <w:ind w:firstLine="64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为营造我市公开、公平、公正、诚实守信的政府采购交易环境，树立诚信守法的投标人形象，本人代表本单位作出以下承诺：</w:t>
      </w:r>
    </w:p>
    <w:p>
      <w:pPr>
        <w:keepNext w:val="0"/>
        <w:keepLines w:val="0"/>
        <w:pageBreakBefore w:val="0"/>
        <w:widowControl w:val="0"/>
        <w:spacing w:line="360" w:lineRule="auto"/>
        <w:ind w:left="0" w:firstLine="48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keepNext w:val="0"/>
        <w:keepLines w:val="0"/>
        <w:pageBreakBefore w:val="0"/>
        <w:widowControl w:val="0"/>
        <w:spacing w:line="360" w:lineRule="auto"/>
        <w:ind w:left="0" w:firstLine="48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（二）本单位无涉及政府采购活动的违法、违规不良记录，我公司及相关负责人无因存在重大隐患整改不力、发生有重大社会影响生产安全事故或其他严重违法违规行为而被列入失信联合惩戒的不良记录；</w:t>
      </w:r>
    </w:p>
    <w:p>
      <w:pPr>
        <w:keepNext w:val="0"/>
        <w:keepLines w:val="0"/>
        <w:pageBreakBefore w:val="0"/>
        <w:widowControl w:val="0"/>
        <w:spacing w:line="360" w:lineRule="auto"/>
        <w:ind w:left="0" w:firstLine="48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p>
    <w:p>
      <w:pPr>
        <w:keepNext w:val="0"/>
        <w:keepLines w:val="0"/>
        <w:pageBreakBefore w:val="0"/>
        <w:widowControl w:val="0"/>
        <w:spacing w:line="360" w:lineRule="auto"/>
        <w:ind w:left="0" w:firstLine="48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（四）严格遵守即时信息公示规定，及时维护和更新与本单位相关的信息；</w:t>
      </w:r>
    </w:p>
    <w:p>
      <w:pPr>
        <w:keepNext w:val="0"/>
        <w:keepLines w:val="0"/>
        <w:pageBreakBefore w:val="0"/>
        <w:widowControl w:val="0"/>
        <w:spacing w:line="360" w:lineRule="auto"/>
        <w:ind w:left="0" w:firstLine="48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五）自我约束、自我管理，守合同、重信用，自觉维护政府采购交易的良好秩序，与参与本次政府采购活动的其他投标人不存在直接控股或管理关系，不参与围标串标、弄虚作假、骗取中标、干扰评标、违约毁约等行为；</w:t>
      </w:r>
    </w:p>
    <w:p>
      <w:pPr>
        <w:keepNext w:val="0"/>
        <w:keepLines w:val="0"/>
        <w:pageBreakBefore w:val="0"/>
        <w:widowControl w:val="0"/>
        <w:spacing w:line="360" w:lineRule="auto"/>
        <w:ind w:left="0" w:firstLine="48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（六）自觉接受政府、行业组织、社会公众、新闻舆论的监督；</w:t>
      </w:r>
    </w:p>
    <w:p>
      <w:pPr>
        <w:keepNext w:val="0"/>
        <w:keepLines w:val="0"/>
        <w:pageBreakBefore w:val="0"/>
        <w:widowControl w:val="0"/>
        <w:spacing w:line="360" w:lineRule="auto"/>
        <w:ind w:left="0" w:firstLine="48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pPr>
        <w:keepNext w:val="0"/>
        <w:keepLines w:val="0"/>
        <w:pageBreakBefore w:val="0"/>
        <w:widowControl w:val="0"/>
        <w:spacing w:line="360" w:lineRule="auto"/>
        <w:ind w:left="0" w:firstLine="48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（八）本人已认真阅读了上述承诺，并向本单位员工作了宣传教育。</w:t>
      </w:r>
    </w:p>
    <w:p>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pPr>
        <w:widowControl/>
        <w:spacing w:line="499" w:lineRule="atLeast"/>
        <w:ind w:firstLine="4560"/>
        <w:jc w:val="left"/>
        <w:rPr>
          <w:rFonts w:ascii="宋体" w:hAnsi="宋体" w:eastAsia="宋体" w:cs="宋体"/>
          <w:color w:val="auto"/>
          <w:sz w:val="24"/>
          <w:highlight w:val="none"/>
        </w:rPr>
      </w:pPr>
      <w:r>
        <w:rPr>
          <w:rFonts w:hint="eastAsia" w:ascii="宋体" w:hAnsi="宋体" w:eastAsia="宋体" w:cs="宋体"/>
          <w:color w:val="auto"/>
          <w:sz w:val="24"/>
          <w:highlight w:val="none"/>
        </w:rPr>
        <w:t>法定代表人签名：</w:t>
      </w:r>
    </w:p>
    <w:p>
      <w:pPr>
        <w:tabs>
          <w:tab w:val="left" w:pos="4860"/>
        </w:tabs>
        <w:spacing w:line="588" w:lineRule="exact"/>
        <w:ind w:right="1560" w:firstLine="480"/>
        <w:jc w:val="center"/>
        <w:rPr>
          <w:rFonts w:ascii="宋体" w:hAnsi="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color w:val="auto"/>
          <w:sz w:val="24"/>
          <w:highlight w:val="none"/>
        </w:rPr>
        <w:t>供应商全称（加盖CA电子公章）：</w:t>
      </w:r>
    </w:p>
    <w:p>
      <w:pPr>
        <w:tabs>
          <w:tab w:val="left" w:pos="4860"/>
        </w:tabs>
        <w:spacing w:line="588" w:lineRule="exact"/>
        <w:ind w:right="1560" w:firstLine="480"/>
        <w:jc w:val="center"/>
        <w:rPr>
          <w:rFonts w:ascii="宋体" w:hAnsi="宋体" w:eastAsia="宋体" w:cs="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日  期：</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4"/>
      <w:bookmarkEnd w:id="40"/>
      <w:bookmarkEnd w:id="41"/>
      <w:bookmarkEnd w:id="42"/>
      <w:bookmarkEnd w:id="43"/>
      <w:bookmarkEnd w:id="44"/>
      <w:bookmarkEnd w:id="45"/>
      <w:bookmarkEnd w:id="46"/>
      <w:bookmarkEnd w:id="47"/>
    </w:p>
    <w:p>
      <w:pPr>
        <w:pStyle w:val="29"/>
        <w:spacing w:beforeAutospacing="0" w:afterAutospacing="0"/>
        <w:jc w:val="center"/>
        <w:rPr>
          <w:color w:val="auto"/>
          <w:highlight w:val="none"/>
        </w:rPr>
      </w:pPr>
    </w:p>
    <w:p>
      <w:pPr>
        <w:rPr>
          <w:color w:val="auto"/>
          <w:highlight w:val="none"/>
        </w:rPr>
      </w:pP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pPr>
        <w:pStyle w:val="29"/>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pPr>
        <w:pStyle w:val="29"/>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pPr>
        <w:pStyle w:val="29"/>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pPr>
        <w:pStyle w:val="2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pPr>
        <w:pStyle w:val="29"/>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pPr>
        <w:pStyle w:val="29"/>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pPr>
        <w:pStyle w:val="2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pPr>
        <w:pStyle w:val="2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2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pPr>
        <w:pStyle w:val="2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pPr>
        <w:pStyle w:val="2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pPr>
        <w:pStyle w:val="2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pPr>
        <w:pStyle w:val="29"/>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pPr>
        <w:rPr>
          <w:color w:val="auto"/>
          <w:highlight w:val="none"/>
        </w:rPr>
      </w:pPr>
    </w:p>
    <w:sectPr>
      <w:footerReference r:id="rId3" w:type="default"/>
      <w:pgSz w:w="11906" w:h="16838"/>
      <w:pgMar w:top="1440" w:right="1077" w:bottom="1440" w:left="107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幼圆">
    <w:panose1 w:val="0201050906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5C0ACE"/>
    <w:multiLevelType w:val="singleLevel"/>
    <w:tmpl w:val="A45C0ACE"/>
    <w:lvl w:ilvl="0" w:tentative="0">
      <w:start w:val="1"/>
      <w:numFmt w:val="decimal"/>
      <w:suff w:val="nothing"/>
      <w:lvlText w:val="%1、"/>
      <w:lvlJc w:val="left"/>
    </w:lvl>
  </w:abstractNum>
  <w:abstractNum w:abstractNumId="1">
    <w:nsid w:val="D356B3F9"/>
    <w:multiLevelType w:val="singleLevel"/>
    <w:tmpl w:val="D356B3F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xMGRhZWUwNGZiY2I5NjkxZWRlN2FkYjk4M2YxMTkifQ=="/>
  </w:docVars>
  <w:rsids>
    <w:rsidRoot w:val="00000000"/>
    <w:rsid w:val="004D0530"/>
    <w:rsid w:val="04C61758"/>
    <w:rsid w:val="05B42F17"/>
    <w:rsid w:val="08015293"/>
    <w:rsid w:val="09D57860"/>
    <w:rsid w:val="0AE90C98"/>
    <w:rsid w:val="1AD75285"/>
    <w:rsid w:val="1CB515F6"/>
    <w:rsid w:val="287802CE"/>
    <w:rsid w:val="2CE675AA"/>
    <w:rsid w:val="2F6E563B"/>
    <w:rsid w:val="32303406"/>
    <w:rsid w:val="37043E64"/>
    <w:rsid w:val="3FA0183A"/>
    <w:rsid w:val="41106386"/>
    <w:rsid w:val="41F70B15"/>
    <w:rsid w:val="445E2DFC"/>
    <w:rsid w:val="49877709"/>
    <w:rsid w:val="57EE3633"/>
    <w:rsid w:val="5A7B523D"/>
    <w:rsid w:val="5B1A4BAB"/>
    <w:rsid w:val="5E56597E"/>
    <w:rsid w:val="6903487A"/>
    <w:rsid w:val="6A483D9E"/>
    <w:rsid w:val="6B7B0E5E"/>
    <w:rsid w:val="6C59470B"/>
    <w:rsid w:val="6C876525"/>
    <w:rsid w:val="72E256EB"/>
    <w:rsid w:val="77D00208"/>
    <w:rsid w:val="78412EB3"/>
    <w:rsid w:val="7EFB2B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2"/>
    <w:basedOn w:val="1"/>
    <w:next w:val="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3"/>
    <w:qFormat/>
    <w:uiPriority w:val="0"/>
    <w:pPr>
      <w:keepNext/>
      <w:keepLines/>
      <w:spacing w:before="280" w:after="290" w:line="376" w:lineRule="auto"/>
      <w:outlineLvl w:val="3"/>
    </w:pPr>
    <w:rPr>
      <w:rFonts w:ascii="Arial" w:hAnsi="Arial" w:eastAsia="黑体" w:cs="Arial"/>
      <w:b/>
      <w:bCs/>
      <w:sz w:val="28"/>
      <w:szCs w:val="28"/>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Body Text"/>
    <w:basedOn w:val="1"/>
    <w:next w:val="1"/>
    <w:qFormat/>
    <w:uiPriority w:val="0"/>
    <w:rPr>
      <w:rFonts w:ascii="楷体_GB2312" w:hAnsi="Arial" w:eastAsia="楷体_GB2312"/>
      <w:sz w:val="28"/>
      <w:szCs w:val="20"/>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5"/>
    <w:semiHidden/>
    <w:unhideWhenUsed/>
    <w:qFormat/>
    <w:uiPriority w:val="99"/>
    <w:pPr>
      <w:spacing w:after="0" w:line="240" w:lineRule="auto"/>
    </w:pPr>
    <w:rPr>
      <w:sz w:val="20"/>
    </w:rPr>
  </w:style>
  <w:style w:type="paragraph" w:styleId="18">
    <w:name w:val="footer"/>
    <w:basedOn w:val="1"/>
    <w:link w:val="188"/>
    <w:qFormat/>
    <w:uiPriority w:val="0"/>
    <w:pPr>
      <w:tabs>
        <w:tab w:val="center" w:pos="4153"/>
        <w:tab w:val="right" w:pos="8306"/>
      </w:tabs>
      <w:jc w:val="left"/>
    </w:pPr>
    <w:rPr>
      <w:sz w:val="18"/>
      <w:szCs w:val="18"/>
    </w:rPr>
  </w:style>
  <w:style w:type="paragraph" w:styleId="19">
    <w:name w:val="header"/>
    <w:basedOn w:val="1"/>
    <w:link w:val="187"/>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1"/>
    <w:qFormat/>
    <w:uiPriority w:val="11"/>
    <w:pPr>
      <w:spacing w:before="200" w:after="200"/>
    </w:pPr>
    <w:rPr>
      <w:sz w:val="24"/>
      <w:szCs w:val="24"/>
    </w:rPr>
  </w:style>
  <w:style w:type="paragraph" w:styleId="23">
    <w:name w:val="footnote text"/>
    <w:basedOn w:val="1"/>
    <w:link w:val="184"/>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index 9"/>
    <w:basedOn w:val="1"/>
    <w:next w:val="1"/>
    <w:qFormat/>
    <w:uiPriority w:val="0"/>
    <w:pPr>
      <w:ind w:left="1600"/>
    </w:pPr>
    <w:rPr>
      <w:rFonts w:ascii="Times New Roman" w:hAnsi="Times New Roman" w:eastAsia="宋体" w:cs="Times New Roman"/>
    </w:r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Autospacing="1" w:afterAutospacing="1"/>
      <w:jc w:val="left"/>
    </w:pPr>
    <w:rPr>
      <w:rFonts w:cs="Times New Roman"/>
      <w:sz w:val="24"/>
    </w:rPr>
  </w:style>
  <w:style w:type="paragraph" w:styleId="30">
    <w:name w:val="Title"/>
    <w:basedOn w:val="1"/>
    <w:next w:val="1"/>
    <w:link w:val="50"/>
    <w:qFormat/>
    <w:uiPriority w:val="10"/>
    <w:pPr>
      <w:spacing w:before="300" w:after="200"/>
      <w:contextualSpacing/>
    </w:pPr>
    <w:rPr>
      <w:sz w:val="48"/>
      <w:szCs w:val="48"/>
    </w:rPr>
  </w:style>
  <w:style w:type="table" w:styleId="32">
    <w:name w:val="Table Grid"/>
    <w:basedOn w:val="31"/>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basedOn w:val="33"/>
    <w:semiHidden/>
    <w:unhideWhenUsed/>
    <w:qFormat/>
    <w:uiPriority w:val="99"/>
    <w:rPr>
      <w:vertAlign w:val="superscript"/>
    </w:rPr>
  </w:style>
  <w:style w:type="character" w:styleId="35">
    <w:name w:val="page number"/>
    <w:qFormat/>
    <w:uiPriority w:val="0"/>
  </w:style>
  <w:style w:type="character" w:styleId="36">
    <w:name w:val="Hyperlink"/>
    <w:unhideWhenUsed/>
    <w:qFormat/>
    <w:uiPriority w:val="99"/>
    <w:rPr>
      <w:color w:val="0563C1" w:themeColor="hyperlink"/>
      <w:u w:val="single"/>
      <w14:textFill>
        <w14:solidFill>
          <w14:schemeClr w14:val="hlink"/>
        </w14:solidFill>
      </w14:textFill>
    </w:rPr>
  </w:style>
  <w:style w:type="character" w:styleId="37">
    <w:name w:val="footnote reference"/>
    <w:basedOn w:val="33"/>
    <w:unhideWhenUsed/>
    <w:qFormat/>
    <w:uiPriority w:val="99"/>
    <w:rPr>
      <w:vertAlign w:val="superscript"/>
    </w:rPr>
  </w:style>
  <w:style w:type="paragraph" w:customStyle="1" w:styleId="38">
    <w:name w:val="Default"/>
    <w:unhideWhenUsed/>
    <w:qFormat/>
    <w:uiPriority w:val="99"/>
    <w:pPr>
      <w:widowControl w:val="0"/>
    </w:pPr>
    <w:rPr>
      <w:rFonts w:hint="eastAsia" w:ascii="仿宋_GB2312" w:hAnsi="仿宋_GB2312" w:eastAsia="仿宋_GB2312" w:cs="Times New Roman"/>
      <w:color w:val="000000"/>
      <w:sz w:val="24"/>
      <w:lang w:val="en-US" w:eastAsia="zh-CN" w:bidi="ar-SA"/>
    </w:rPr>
  </w:style>
  <w:style w:type="character" w:customStyle="1" w:styleId="39">
    <w:name w:val="Heading 1 Char"/>
    <w:basedOn w:val="33"/>
    <w:qFormat/>
    <w:uiPriority w:val="9"/>
    <w:rPr>
      <w:rFonts w:ascii="Arial" w:hAnsi="Arial" w:eastAsia="Arial" w:cs="Arial"/>
      <w:sz w:val="40"/>
      <w:szCs w:val="40"/>
    </w:rPr>
  </w:style>
  <w:style w:type="character" w:customStyle="1" w:styleId="40">
    <w:name w:val="Heading 2 Char"/>
    <w:basedOn w:val="33"/>
    <w:qFormat/>
    <w:uiPriority w:val="9"/>
    <w:rPr>
      <w:rFonts w:ascii="Arial" w:hAnsi="Arial" w:eastAsia="Arial" w:cs="Arial"/>
      <w:sz w:val="34"/>
    </w:rPr>
  </w:style>
  <w:style w:type="character" w:customStyle="1" w:styleId="41">
    <w:name w:val="Heading 3 Char"/>
    <w:basedOn w:val="33"/>
    <w:link w:val="4"/>
    <w:qFormat/>
    <w:uiPriority w:val="9"/>
    <w:rPr>
      <w:rFonts w:ascii="Arial" w:hAnsi="Arial" w:eastAsia="Arial" w:cs="Arial"/>
      <w:sz w:val="30"/>
      <w:szCs w:val="30"/>
    </w:rPr>
  </w:style>
  <w:style w:type="character" w:customStyle="1" w:styleId="42">
    <w:name w:val="Heading 4 Char"/>
    <w:basedOn w:val="33"/>
    <w:qFormat/>
    <w:uiPriority w:val="9"/>
    <w:rPr>
      <w:rFonts w:ascii="Arial" w:hAnsi="Arial" w:eastAsia="Arial" w:cs="Arial"/>
      <w:b/>
      <w:bCs/>
      <w:sz w:val="26"/>
      <w:szCs w:val="26"/>
    </w:rPr>
  </w:style>
  <w:style w:type="character" w:customStyle="1" w:styleId="43">
    <w:name w:val="Heading 5 Char"/>
    <w:basedOn w:val="33"/>
    <w:link w:val="6"/>
    <w:qFormat/>
    <w:uiPriority w:val="9"/>
    <w:rPr>
      <w:rFonts w:ascii="Arial" w:hAnsi="Arial" w:eastAsia="Arial" w:cs="Arial"/>
      <w:b/>
      <w:bCs/>
      <w:sz w:val="24"/>
      <w:szCs w:val="24"/>
    </w:rPr>
  </w:style>
  <w:style w:type="character" w:customStyle="1" w:styleId="44">
    <w:name w:val="Heading 6 Char"/>
    <w:basedOn w:val="33"/>
    <w:link w:val="7"/>
    <w:qFormat/>
    <w:uiPriority w:val="9"/>
    <w:rPr>
      <w:rFonts w:ascii="Arial" w:hAnsi="Arial" w:eastAsia="Arial" w:cs="Arial"/>
      <w:b/>
      <w:bCs/>
      <w:sz w:val="22"/>
      <w:szCs w:val="22"/>
    </w:rPr>
  </w:style>
  <w:style w:type="character" w:customStyle="1" w:styleId="45">
    <w:name w:val="Heading 7 Char"/>
    <w:basedOn w:val="33"/>
    <w:link w:val="8"/>
    <w:qFormat/>
    <w:uiPriority w:val="9"/>
    <w:rPr>
      <w:rFonts w:ascii="Arial" w:hAnsi="Arial" w:eastAsia="Arial" w:cs="Arial"/>
      <w:b/>
      <w:bCs/>
      <w:i/>
      <w:iCs/>
      <w:sz w:val="22"/>
      <w:szCs w:val="22"/>
    </w:rPr>
  </w:style>
  <w:style w:type="character" w:customStyle="1" w:styleId="46">
    <w:name w:val="Heading 8 Char"/>
    <w:basedOn w:val="33"/>
    <w:link w:val="9"/>
    <w:qFormat/>
    <w:uiPriority w:val="9"/>
    <w:rPr>
      <w:rFonts w:ascii="Arial" w:hAnsi="Arial" w:eastAsia="Arial" w:cs="Arial"/>
      <w:i/>
      <w:iCs/>
      <w:sz w:val="22"/>
      <w:szCs w:val="22"/>
    </w:rPr>
  </w:style>
  <w:style w:type="character" w:customStyle="1" w:styleId="47">
    <w:name w:val="Heading 9 Char"/>
    <w:basedOn w:val="33"/>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basedOn w:val="33"/>
    <w:link w:val="30"/>
    <w:qFormat/>
    <w:uiPriority w:val="10"/>
    <w:rPr>
      <w:sz w:val="48"/>
      <w:szCs w:val="48"/>
    </w:rPr>
  </w:style>
  <w:style w:type="character" w:customStyle="1" w:styleId="51">
    <w:name w:val="Subtitle Char"/>
    <w:basedOn w:val="33"/>
    <w:link w:val="22"/>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3"/>
    <w:qFormat/>
    <w:uiPriority w:val="99"/>
  </w:style>
  <w:style w:type="character" w:customStyle="1" w:styleId="57">
    <w:name w:val="Footer Char"/>
    <w:basedOn w:val="33"/>
    <w:qFormat/>
    <w:uiPriority w:val="99"/>
  </w:style>
  <w:style w:type="character" w:customStyle="1" w:styleId="58">
    <w:name w:val="Caption Char"/>
    <w:qFormat/>
    <w:uiPriority w:val="99"/>
  </w:style>
  <w:style w:type="table" w:customStyle="1" w:styleId="59">
    <w:name w:val="Table Grid Light"/>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7">
    <w:name w:val="Grid Table 1 Light - Accent 2"/>
    <w:basedOn w:val="3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8">
    <w:name w:val="Grid Table 1 Light - Accent 3"/>
    <w:basedOn w:val="3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9">
    <w:name w:val="Grid Table 1 Light - Accent 4"/>
    <w:basedOn w:val="3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0">
    <w:name w:val="Grid Table 1 Light - Accent 5"/>
    <w:basedOn w:val="3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1">
    <w:name w:val="Grid Table 1 Light - Accent 6"/>
    <w:basedOn w:val="3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2">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4">
    <w:name w:val="Grid Table 2 - Accent 2"/>
    <w:basedOn w:val="3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5">
    <w:name w:val="Grid Table 2 - Accent 3"/>
    <w:basedOn w:val="3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6">
    <w:name w:val="Grid Table 2 - Accent 4"/>
    <w:basedOn w:val="3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7">
    <w:name w:val="Grid Table 2 - Accent 5"/>
    <w:basedOn w:val="3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8">
    <w:name w:val="Grid Table 2 - Accent 6"/>
    <w:basedOn w:val="3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9">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3 - Accent 2"/>
    <w:basedOn w:val="3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3 - Accent 3"/>
    <w:basedOn w:val="3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3 - Accent 4"/>
    <w:basedOn w:val="3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3 - Accent 5"/>
    <w:basedOn w:val="3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3 - Accent 6"/>
    <w:basedOn w:val="3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1"/>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8">
    <w:name w:val="Grid Table 4 - Accent 2"/>
    <w:basedOn w:val="31"/>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4 - Accent 3"/>
    <w:basedOn w:val="31"/>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4 - Accent 4"/>
    <w:basedOn w:val="31"/>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4 - Accent 5"/>
    <w:basedOn w:val="31"/>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4 - Accent 6"/>
    <w:basedOn w:val="31"/>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5">
    <w:name w:val="Grid Table 5 Dark - Accent 2"/>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6">
    <w:name w:val="Grid Table 5 Dark - Accent 3"/>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7">
    <w:name w:val="Grid Table 5 Dark- Accent 4"/>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8">
    <w:name w:val="Grid Table 5 Dark - Accent 5"/>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9">
    <w:name w:val="Grid Table 5 Dark - Accent 6"/>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0">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1"/>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1"/>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1"/>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6">
    <w:name w:val="Grid Table 6 Colorful - Accent 6"/>
    <w:basedOn w:val="31"/>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7">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1"/>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1"/>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1"/>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1"/>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1"/>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7 Colorful - Accent 6"/>
    <w:basedOn w:val="31"/>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4">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1"/>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6">
    <w:name w:val="List Table 1 Light - Accent 2"/>
    <w:basedOn w:val="31"/>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7">
    <w:name w:val="List Table 1 Light - Accent 3"/>
    <w:basedOn w:val="31"/>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8">
    <w:name w:val="List Table 1 Light - Accent 4"/>
    <w:basedOn w:val="31"/>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9">
    <w:name w:val="List Table 1 Light - Accent 5"/>
    <w:basedOn w:val="31"/>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0">
    <w:name w:val="List Table 1 Light - Accent 6"/>
    <w:basedOn w:val="31"/>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1">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1"/>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3">
    <w:name w:val="List Table 2 - Accent 2"/>
    <w:basedOn w:val="31"/>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4">
    <w:name w:val="List Table 2 - Accent 3"/>
    <w:basedOn w:val="31"/>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5">
    <w:name w:val="List Table 2 - Accent 4"/>
    <w:basedOn w:val="31"/>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6">
    <w:name w:val="List Table 2 - Accent 5"/>
    <w:basedOn w:val="31"/>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7">
    <w:name w:val="List Table 2 - Accent 6"/>
    <w:basedOn w:val="31"/>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8">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1"/>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0">
    <w:name w:val="List Table 3 - Accent 2"/>
    <w:basedOn w:val="3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1">
    <w:name w:val="List Table 3 - Accent 3"/>
    <w:basedOn w:val="31"/>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2">
    <w:name w:val="List Table 3 - Accent 4"/>
    <w:basedOn w:val="3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3">
    <w:name w:val="List Table 3 - Accent 5"/>
    <w:basedOn w:val="31"/>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4">
    <w:name w:val="List Table 3 - Accent 6"/>
    <w:basedOn w:val="31"/>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5">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1"/>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4 - Accent 2"/>
    <w:basedOn w:val="31"/>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4 - Accent 3"/>
    <w:basedOn w:val="31"/>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4 - Accent 4"/>
    <w:basedOn w:val="31"/>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4 - Accent 5"/>
    <w:basedOn w:val="31"/>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4 - Accent 6"/>
    <w:basedOn w:val="31"/>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1"/>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4">
    <w:name w:val="List Table 5 Dark - Accent 2"/>
    <w:basedOn w:val="31"/>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5">
    <w:name w:val="List Table 5 Dark - Accent 3"/>
    <w:basedOn w:val="31"/>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6">
    <w:name w:val="List Table 5 Dark - Accent 4"/>
    <w:basedOn w:val="31"/>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7">
    <w:name w:val="List Table 5 Dark - Accent 5"/>
    <w:basedOn w:val="31"/>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8">
    <w:name w:val="List Table 5 Dark - Accent 6"/>
    <w:basedOn w:val="31"/>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9">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1"/>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1">
    <w:name w:val="List Table 6 Colorful - Accent 2"/>
    <w:basedOn w:val="31"/>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1"/>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1"/>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1"/>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1"/>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1"/>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7 Colorful - Accent 2"/>
    <w:basedOn w:val="31"/>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1"/>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1"/>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1"/>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1"/>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1"/>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5">
    <w:name w:val="Lined - Accent 2"/>
    <w:basedOn w:val="31"/>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6">
    <w:name w:val="Lined - Accent 3"/>
    <w:basedOn w:val="31"/>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7">
    <w:name w:val="Lined - Accent 4"/>
    <w:basedOn w:val="31"/>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8">
    <w:name w:val="Lined - Accent 5"/>
    <w:basedOn w:val="31"/>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9">
    <w:name w:val="Lined - Accent 6"/>
    <w:basedOn w:val="31"/>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0">
    <w:name w:val="Bordered &amp; Lined - Accent"/>
    <w:basedOn w:val="3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1"/>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Bordered &amp; Lined - Accent 2"/>
    <w:basedOn w:val="31"/>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Bordered &amp; Lined - Accent 3"/>
    <w:basedOn w:val="31"/>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Bordered &amp; Lined - Accent 4"/>
    <w:basedOn w:val="31"/>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Bordered &amp; Lined - Accent 5"/>
    <w:basedOn w:val="31"/>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Bordered &amp; Lined - Accent 6"/>
    <w:basedOn w:val="31"/>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w:basedOn w:val="3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9">
    <w:name w:val="Bordered - Accent 2"/>
    <w:basedOn w:val="3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0">
    <w:name w:val="Bordered - Accent 3"/>
    <w:basedOn w:val="3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1">
    <w:name w:val="Bordered - Accent 4"/>
    <w:basedOn w:val="3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2">
    <w:name w:val="Bordered - Accent 5"/>
    <w:basedOn w:val="3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3">
    <w:name w:val="Bordered - Accent 6"/>
    <w:basedOn w:val="3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4">
    <w:name w:val="Footnote Text Char"/>
    <w:link w:val="23"/>
    <w:qFormat/>
    <w:uiPriority w:val="99"/>
    <w:rPr>
      <w:sz w:val="18"/>
    </w:rPr>
  </w:style>
  <w:style w:type="character" w:customStyle="1" w:styleId="185">
    <w:name w:val="Endnote Text Char"/>
    <w:link w:val="17"/>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character" w:customStyle="1" w:styleId="187">
    <w:name w:val="页眉 Char"/>
    <w:basedOn w:val="33"/>
    <w:link w:val="19"/>
    <w:qFormat/>
    <w:uiPriority w:val="0"/>
    <w:rPr>
      <w:rFonts w:asciiTheme="minorHAnsi" w:hAnsiTheme="minorHAnsi" w:eastAsiaTheme="minorEastAsia" w:cstheme="minorBidi"/>
      <w:sz w:val="18"/>
      <w:szCs w:val="18"/>
    </w:rPr>
  </w:style>
  <w:style w:type="character" w:customStyle="1" w:styleId="188">
    <w:name w:val="页脚 Char"/>
    <w:basedOn w:val="33"/>
    <w:link w:val="18"/>
    <w:qFormat/>
    <w:uiPriority w:val="0"/>
    <w:rPr>
      <w:rFonts w:asciiTheme="minorHAnsi" w:hAnsiTheme="minorHAnsi" w:eastAsiaTheme="minorEastAsia" w:cstheme="minorBidi"/>
      <w:sz w:val="18"/>
      <w:szCs w:val="18"/>
    </w:rPr>
  </w:style>
  <w:style w:type="character" w:customStyle="1" w:styleId="189">
    <w:name w:val="NormalCharacter"/>
    <w:qFormat/>
    <w:uiPriority w:val="0"/>
  </w:style>
  <w:style w:type="paragraph" w:customStyle="1" w:styleId="190">
    <w:name w:val="Heading 1"/>
    <w:basedOn w:val="1"/>
    <w:next w:val="1"/>
    <w:qFormat/>
    <w:uiPriority w:val="0"/>
    <w:pPr>
      <w:keepNext/>
      <w:jc w:val="center"/>
    </w:pPr>
    <w:rPr>
      <w:rFonts w:ascii="楷体_GB2312" w:eastAsia="楷体_GB2312"/>
      <w:sz w:val="28"/>
      <w:szCs w:val="28"/>
    </w:rPr>
  </w:style>
  <w:style w:type="paragraph" w:customStyle="1" w:styleId="191">
    <w:name w:val="Heading 4"/>
    <w:basedOn w:val="1"/>
    <w:next w:val="1"/>
    <w:qFormat/>
    <w:uiPriority w:val="0"/>
    <w:pPr>
      <w:keepNext/>
      <w:keepLines/>
      <w:spacing w:before="280" w:after="290" w:line="376" w:lineRule="auto"/>
    </w:pPr>
    <w:rPr>
      <w:rFonts w:ascii="Arial" w:hAnsi="Arial" w:eastAsia="黑体" w:cs="Times New Roman"/>
      <w:b/>
      <w:bCs/>
      <w:sz w:val="28"/>
      <w:szCs w:val="28"/>
    </w:rPr>
  </w:style>
  <w:style w:type="paragraph" w:customStyle="1" w:styleId="192">
    <w:name w:val="Heading 2"/>
    <w:basedOn w:val="1"/>
    <w:next w:val="193"/>
    <w:qFormat/>
    <w:uiPriority w:val="0"/>
    <w:pPr>
      <w:keepNext/>
      <w:keepLines/>
      <w:spacing w:before="260" w:after="260" w:line="416" w:lineRule="auto"/>
      <w:jc w:val="center"/>
    </w:pPr>
    <w:rPr>
      <w:rFonts w:ascii="Arial" w:hAnsi="Arial" w:eastAsia="幼圆" w:cs="Times New Roman"/>
      <w:b/>
      <w:bCs/>
      <w:sz w:val="44"/>
      <w:szCs w:val="44"/>
    </w:rPr>
  </w:style>
  <w:style w:type="paragraph" w:customStyle="1" w:styleId="193">
    <w:name w:val="NormalIndent"/>
    <w:basedOn w:val="1"/>
    <w:qFormat/>
    <w:uiPriority w:val="0"/>
    <w:pPr>
      <w:ind w:firstLine="420"/>
    </w:pPr>
    <w:rPr>
      <w:szCs w:val="20"/>
    </w:rPr>
  </w:style>
  <w:style w:type="paragraph" w:customStyle="1" w:styleId="194">
    <w:name w:val="PlainText"/>
    <w:basedOn w:val="1"/>
    <w:qFormat/>
    <w:uiPriority w:val="0"/>
    <w:rPr>
      <w:rFonts w:ascii="宋体" w:hAnsi="Courier New"/>
    </w:rPr>
  </w:style>
  <w:style w:type="paragraph" w:customStyle="1" w:styleId="195">
    <w:name w:val="WPSOffice手动目录 1"/>
    <w:qFormat/>
    <w:uiPriority w:val="0"/>
    <w:rPr>
      <w:rFonts w:hint="default" w:ascii="Times New Roman" w:hAnsi="Times New Roman" w:eastAsia="宋体" w:cs="Times New Roman"/>
      <w:sz w:val="20"/>
      <w:szCs w:val="20"/>
    </w:rPr>
  </w:style>
  <w:style w:type="paragraph" w:customStyle="1" w:styleId="196">
    <w:name w:val="Char"/>
    <w:basedOn w:val="1"/>
    <w:qFormat/>
    <w:uiPriority w:val="0"/>
    <w:pPr>
      <w:tabs>
        <w:tab w:val="left" w:pos="360"/>
      </w:tabs>
      <w:ind w:firstLine="200"/>
    </w:pPr>
    <w:rPr>
      <w:sz w:val="28"/>
      <w:szCs w:val="30"/>
    </w:rPr>
  </w:style>
  <w:style w:type="paragraph" w:customStyle="1" w:styleId="197">
    <w:name w:val="普通正文"/>
    <w:basedOn w:val="1"/>
    <w:qFormat/>
    <w:uiPriority w:val="0"/>
    <w:pPr>
      <w:spacing w:before="120" w:after="120" w:line="360" w:lineRule="auto"/>
      <w:ind w:firstLine="480"/>
      <w:jc w:val="left"/>
    </w:pPr>
    <w:rPr>
      <w:rFonts w:ascii="Arial" w:hAnsi="Arial"/>
      <w:sz w:val="24"/>
      <w:szCs w:val="24"/>
    </w:rPr>
  </w:style>
  <w:style w:type="character" w:customStyle="1" w:styleId="198">
    <w:name w:val="font91"/>
    <w:basedOn w:val="33"/>
    <w:autoRedefine/>
    <w:qFormat/>
    <w:uiPriority w:val="0"/>
    <w:rPr>
      <w:rFonts w:hint="eastAsia" w:ascii="宋体" w:hAnsi="宋体" w:eastAsia="宋体" w:cs="宋体"/>
      <w:color w:val="000000"/>
      <w:sz w:val="20"/>
      <w:szCs w:val="20"/>
      <w:u w:val="none"/>
    </w:rPr>
  </w:style>
  <w:style w:type="character" w:customStyle="1" w:styleId="199">
    <w:name w:val="font31"/>
    <w:basedOn w:val="33"/>
    <w:autoRedefine/>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55</Pages>
  <Words>30798</Words>
  <Characters>34948</Characters>
  <TotalTime>2</TotalTime>
  <ScaleCrop>false</ScaleCrop>
  <LinksUpToDate>false</LinksUpToDate>
  <CharactersWithSpaces>37261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Why not</cp:lastModifiedBy>
  <dcterms:modified xsi:type="dcterms:W3CDTF">2024-07-03T06:54:03Z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CC18E29733F941A0B05108FDC74D55DB_13</vt:lpwstr>
  </property>
</Properties>
</file>