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bookmarkStart w:id="204" w:name="_GoBack"/>
      <w:r/>
      <w:bookmarkEnd w:id="204"/>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招标文件</w:t>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盐城市大丰区公安局“智慧侦查中心”设备采购项目</w:t>
      </w:r>
      <w:r/>
    </w:p>
    <w:p>
      <w:pPr>
        <w:pStyle w:val="644"/>
        <w:ind w:left="0" w:right="0" w:firstLine="1928"/>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项目编号：JSZC-320904-JZCG-G2024-0044</w:t>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：盐城市大丰区公安局</w:t>
      </w:r>
      <w:r/>
    </w:p>
    <w:p>
      <w:pPr>
        <w:pStyle w:val="64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2024</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32"/>
          <w:szCs w:val="32"/>
          <w:highlight w:val="none"/>
          <w:lang w:val="en-US" w:eastAsia="zh-CN"/>
        </w:rPr>
        <w:t xml:space="preserve">29</w:t>
      </w:r>
      <w:r>
        <w:rPr>
          <w:rFonts w:hint="eastAsia" w:ascii="宋体" w:hAnsi="宋体" w:eastAsia="宋体" w:cs="宋体"/>
          <w:b/>
          <w:color w:val="auto"/>
          <w:sz w:val="32"/>
          <w:szCs w:val="32"/>
          <w:highlight w:val="none"/>
        </w:rPr>
        <w:t xml:space="preserve">日</w:t>
      </w:r>
      <w:r/>
    </w:p>
    <w:p>
      <w:pPr>
        <w:pStyle w:val="644"/>
        <w:ind w:left="0" w:right="0" w:firstLine="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480" w:lineRule="auto"/>
        <w:rPr>
          <w:rFonts w:hint="eastAsia" w:ascii="宋体" w:hAnsi="宋体" w:eastAsia="宋体" w:cs="宋体"/>
          <w:color w:val="auto"/>
          <w:highlight w:val="none"/>
        </w:rPr>
      </w:pPr>
      <w:r/>
      <w:bookmarkStart w:id="0" w:name="_Toc20823272"/>
      <w:r/>
      <w:bookmarkStart w:id="1" w:name="_Toc120614210"/>
      <w:r/>
      <w:bookmarkStart w:id="2" w:name="_Toc16938516"/>
      <w:r/>
      <w:bookmarkStart w:id="3" w:name="_Toc513029200"/>
      <w:r/>
      <w:bookmarkStart w:id="4" w:name="_Toc523127445"/>
      <w:r/>
      <w:bookmarkStart w:id="5" w:name="_Toc479757206"/>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44"/>
        <w:ind w:left="0" w:right="0" w:firstLine="0"/>
        <w:jc w:val="both"/>
        <w:pageBreakBefore w:val="0"/>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rPr>
          <w:rFonts w:hint="eastAsia" w:ascii="宋体" w:hAnsi="宋体" w:eastAsia="宋体" w:cs="宋体"/>
          <w:color w:val="auto"/>
          <w:sz w:val="36"/>
          <w:szCs w:val="36"/>
          <w:highlight w:val="none"/>
        </w:rPr>
        <w:t xml:space="preserve"> </w:t>
      </w:r>
      <w:r/>
    </w:p>
    <w:p>
      <w:pPr>
        <w:pStyle w:val="644"/>
        <w:ind w:left="0" w:right="0" w:firstLine="0"/>
        <w:jc w:val="both"/>
        <w:pageBreakBefore w:val="0"/>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644"/>
        <w:ind w:left="0" w:right="0" w:firstLine="0"/>
        <w:jc w:val="both"/>
        <w:pageBreakBefore w:val="0"/>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16</w:t>
      </w:r>
      <w:r/>
    </w:p>
    <w:p>
      <w:pPr>
        <w:pStyle w:val="644"/>
        <w:ind w:left="0" w:right="0" w:firstLine="0"/>
        <w:jc w:val="both"/>
        <w:pageBreakBefore w:val="0"/>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20</w:t>
      </w:r>
      <w:r/>
    </w:p>
    <w:p>
      <w:pPr>
        <w:pStyle w:val="644"/>
        <w:ind w:left="0" w:right="0" w:firstLine="0"/>
        <w:jc w:val="both"/>
        <w:pageBreakBefore w:val="0"/>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101</w:t>
      </w:r>
      <w:r/>
    </w:p>
    <w:p>
      <w:pPr>
        <w:pStyle w:val="644"/>
        <w:ind w:left="0" w:right="0" w:firstLine="0"/>
        <w:jc w:val="both"/>
        <w:pageBreakBefore w:val="0"/>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105</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Lines w:val="0"/>
        <w:keepNext/>
        <w:pageBreakBefore w:val="0"/>
        <w:spacing w:beforeAutospacing="0" w:afterAutospacing="0" w:line="600" w:lineRule="exact"/>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r/>
    </w:p>
    <w:p>
      <w:pPr>
        <w:pStyle w:val="644"/>
        <w:ind w:left="0" w:right="0" w:firstLine="482"/>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rPr>
        <w:t xml:space="preserve">项目概况</w:t>
      </w:r>
      <w:r/>
    </w:p>
    <w:p>
      <w:pPr>
        <w:pStyle w:val="64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盐城市大丰区公安局“智慧侦查中心”设备采购项目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SA"/>
        </w:rPr>
        <w:t xml:space="preserve">中国政府采购网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“江苏政府采购网、盐城市政府采购网”</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lang w:val="en-US" w:eastAsia="zh-CN" w:bidi="ar-SA"/>
        </w:rPr>
        <w:t xml:space="preserve">2024年8月21</w:t>
      </w:r>
      <w:r>
        <w:rPr>
          <w:rFonts w:hint="eastAsia" w:ascii="宋体" w:hAnsi="宋体" w:eastAsia="宋体" w:cs="宋体"/>
          <w:color w:val="auto"/>
          <w:sz w:val="24"/>
          <w:szCs w:val="24"/>
          <w:highlight w:val="none"/>
          <w:u w:val="single"/>
          <w:lang w:val="en-US" w:eastAsia="zh-CN"/>
        </w:rPr>
        <w:t xml:space="preserve">日9点00分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644"/>
        <w:ind w:left="0" w:right="0" w:firstLine="482"/>
        <w:jc w:val="both"/>
        <w:keepLines/>
        <w:keepNext/>
        <w:pageBreakBefore w:val="0"/>
        <w:spacing w:beforeAutospacing="0" w:afterAutospacing="0" w:line="470" w:lineRule="exact"/>
        <w:rPr>
          <w:rFonts w:hint="eastAsia" w:ascii="宋体" w:hAnsi="宋体" w:eastAsia="宋体" w:cs="宋体"/>
          <w:color w:val="auto"/>
          <w:sz w:val="24"/>
          <w:szCs w:val="24"/>
          <w:highlight w:val="none"/>
        </w:rPr>
      </w:pPr>
      <w:r/>
      <w:bookmarkStart w:id="6" w:name="_Toc38985263"/>
      <w:r/>
      <w:bookmarkStart w:id="7" w:name="_Hlk24379207"/>
      <w:r/>
      <w:bookmarkStart w:id="8" w:name="_Toc35393790"/>
      <w:r/>
      <w:bookmarkStart w:id="9" w:name="_Toc28359002"/>
      <w:r/>
      <w:bookmarkStart w:id="10" w:name="_Toc35393621"/>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highlight w:val="none"/>
          <w:u w:val="none"/>
        </w:rPr>
        <w:t xml:space="preserve">JSZC-320904-JZCG-G2024-0044</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盐城市大丰区公安局“智慧侦查中心”设备采购项目</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5500000.00元</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5398858.25元</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盐城市大丰区公安局“智慧侦查中心”设备采购（含货物、包装、运输及其保险）、安装、调试、检测、技术培训、免费提供备品备件和专用工具等伴随服务，</w:t>
      </w:r>
      <w:r>
        <w:rPr>
          <w:rFonts w:hint="eastAsia" w:ascii="宋体" w:hAnsi="宋体" w:eastAsia="宋体" w:cs="宋体"/>
          <w:color w:val="auto"/>
          <w:sz w:val="24"/>
          <w:szCs w:val="24"/>
          <w:highlight w:val="none"/>
          <w:lang w:val="en-US" w:eastAsia="zh-CN"/>
        </w:rPr>
        <w:t xml:space="preserve">详见本项目招标文件第四章采购需求</w:t>
      </w:r>
      <w:r>
        <w:rPr>
          <w:rFonts w:hint="eastAsia" w:ascii="宋体" w:hAnsi="宋体" w:eastAsia="宋体" w:cs="宋体"/>
          <w:color w:val="auto"/>
          <w:sz w:val="24"/>
          <w:szCs w:val="24"/>
          <w:highlight w:val="none"/>
          <w:lang w:eastAsia="zh-CN"/>
        </w:rPr>
        <w:t xml:space="preserve">。</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30日历天</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p>
    <w:p>
      <w:pPr>
        <w:pStyle w:val="644"/>
        <w:ind w:left="0" w:right="0" w:firstLine="482"/>
        <w:jc w:val="both"/>
        <w:keepLines/>
        <w:keepNext/>
        <w:pageBreakBefore w:val="0"/>
        <w:spacing w:beforeAutospacing="0" w:afterAutospacing="0" w:line="470" w:lineRule="exact"/>
        <w:rPr>
          <w:rFonts w:hint="eastAsia" w:ascii="宋体" w:hAnsi="宋体" w:eastAsia="宋体" w:cs="宋体"/>
          <w:color w:val="auto"/>
          <w:sz w:val="24"/>
          <w:szCs w:val="24"/>
          <w:highlight w:val="none"/>
        </w:rPr>
      </w:pPr>
      <w:r/>
      <w:bookmarkStart w:id="12" w:name="_Toc28359080"/>
      <w:r/>
      <w:bookmarkStart w:id="13" w:name="_Toc38985264"/>
      <w:r/>
      <w:bookmarkStart w:id="14" w:name="_Toc28359003"/>
      <w:r/>
      <w:bookmarkStart w:id="15" w:name="_Toc35393622"/>
      <w:r/>
      <w:bookmarkStart w:id="16" w:name="_Toc35393791"/>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1.1法人或者其他组织的营业执照等证明文件，自然人的身份证明</w:t>
      </w:r>
      <w:r>
        <w:rPr>
          <w:rFonts w:hint="eastAsia" w:ascii="宋体" w:hAnsi="宋体" w:eastAsia="宋体" w:cs="宋体"/>
          <w:color w:val="auto"/>
          <w:sz w:val="24"/>
          <w:szCs w:val="24"/>
          <w:highlight w:val="none"/>
          <w:lang w:eastAsia="zh-CN"/>
        </w:rPr>
        <w:t xml:space="preserve">。</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1.2上一年度的财务状况报表（成立不满一年无需提供）</w:t>
      </w:r>
      <w:r>
        <w:rPr>
          <w:rFonts w:hint="eastAsia" w:ascii="宋体" w:hAnsi="宋体" w:eastAsia="宋体" w:cs="宋体"/>
          <w:color w:val="auto"/>
          <w:sz w:val="24"/>
          <w:szCs w:val="24"/>
          <w:highlight w:val="none"/>
          <w:lang w:eastAsia="zh-CN"/>
        </w:rPr>
        <w:t xml:space="preserve">。</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eastAsia="zh-CN"/>
        </w:rPr>
        <w:t xml:space="preserve">。</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rPr>
          <w:rFonts w:hint="eastAsia" w:ascii="宋体" w:hAnsi="宋体" w:eastAsia="宋体" w:cs="宋体"/>
          <w:color w:val="auto"/>
          <w:sz w:val="24"/>
          <w:szCs w:val="24"/>
          <w:highlight w:val="none"/>
          <w:lang w:eastAsia="zh-CN"/>
        </w:rPr>
        <w:t xml:space="preserve">。</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投标人须具有建设行政主管部门核发的有效期内的电子与智能化工程专业承包贰级及以上资质，并具有有效的安全生产许可证。</w:t>
      </w:r>
      <w:r/>
    </w:p>
    <w:p>
      <w:pPr>
        <w:pStyle w:val="644"/>
        <w:ind w:left="0" w:right="0" w:firstLine="482"/>
        <w:jc w:val="both"/>
        <w:keepLines/>
        <w:keepNext/>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17" w:name="_Toc28359082"/>
      <w:r/>
      <w:bookmarkStart w:id="18" w:name="_Toc38985266"/>
      <w:r/>
      <w:bookmarkStart w:id="19" w:name="_Toc35393793"/>
      <w:r/>
      <w:bookmarkStart w:id="20" w:name="_Toc28359005"/>
      <w:r/>
      <w:bookmarkStart w:id="21" w:name="_Toc35393624"/>
      <w:r>
        <w:rPr>
          <w:rFonts w:hint="eastAsia" w:ascii="宋体" w:hAnsi="宋体" w:eastAsia="宋体" w:cs="宋体"/>
          <w:color w:val="auto"/>
          <w:sz w:val="24"/>
          <w:szCs w:val="24"/>
          <w:highlight w:val="none"/>
        </w:rPr>
        <w:t xml:space="preserve">1.时间：</w:t>
      </w:r>
      <w:bookmarkEnd w:id="17"/>
      <w:r/>
      <w:bookmarkEnd w:id="18"/>
      <w:r/>
      <w:bookmarkEnd w:id="19"/>
      <w:r/>
      <w:bookmarkEnd w:id="20"/>
      <w:r/>
      <w:bookmarkEnd w:id="21"/>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non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u w:val="non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u w:val="none"/>
          <w:shd w:val="clear" w:color="auto" w:fill="ffffff"/>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2024</w:t>
      </w:r>
      <w:r>
        <w:rPr>
          <w:rFonts w:hint="eastAsia" w:ascii="宋体" w:hAnsi="宋体" w:eastAsia="宋体" w:cs="宋体"/>
          <w:i w:val="0"/>
          <w:iCs w:val="0"/>
          <w:caps w:val="0"/>
          <w:color w:val="auto"/>
          <w:spacing w:val="0"/>
          <w:sz w:val="24"/>
          <w:szCs w:val="24"/>
          <w:highlight w:val="none"/>
          <w:u w:val="non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u w:val="non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u w:val="none"/>
          <w:shd w:val="clear" w:color="auto" w:fill="ffffff"/>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，每天上午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8:00时</w:t>
      </w:r>
      <w:r>
        <w:rPr>
          <w:rFonts w:hint="eastAsia" w:ascii="宋体" w:hAnsi="宋体" w:eastAsia="宋体" w:cs="宋体"/>
          <w:i w:val="0"/>
          <w:iCs w:val="0"/>
          <w:caps w:val="0"/>
          <w:color w:val="auto"/>
          <w:spacing w:val="0"/>
          <w:sz w:val="24"/>
          <w:szCs w:val="24"/>
          <w:highlight w:val="none"/>
          <w:shd w:val="clear" w:color="auto" w:fill="ffffff"/>
        </w:rPr>
        <w:t xml:space="preserve">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12:00时</w:t>
      </w:r>
      <w:r>
        <w:rPr>
          <w:rFonts w:hint="eastAsia" w:ascii="宋体" w:hAnsi="宋体" w:eastAsia="宋体" w:cs="宋体"/>
          <w:i w:val="0"/>
          <w:iCs w:val="0"/>
          <w:caps w:val="0"/>
          <w:color w:val="auto"/>
          <w:spacing w:val="0"/>
          <w:sz w:val="24"/>
          <w:szCs w:val="24"/>
          <w:highlight w:val="none"/>
          <w:shd w:val="clear" w:color="auto" w:fill="ffffff"/>
        </w:rPr>
        <w:t xml:space="preserve">，下午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12:00</w:t>
      </w:r>
      <w:r>
        <w:rPr>
          <w:rFonts w:hint="eastAsia" w:ascii="宋体" w:hAnsi="宋体" w:eastAsia="宋体" w:cs="宋体"/>
          <w:i w:val="0"/>
          <w:iCs w:val="0"/>
          <w:caps w:val="0"/>
          <w:color w:val="auto"/>
          <w:spacing w:val="0"/>
          <w:sz w:val="24"/>
          <w:szCs w:val="24"/>
          <w:highlight w:val="none"/>
          <w:shd w:val="clear" w:color="auto" w:fill="ffffff"/>
        </w:rPr>
        <w:t xml:space="preserve">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18:00</w:t>
      </w:r>
      <w:r>
        <w:rPr>
          <w:rFonts w:hint="eastAsia" w:ascii="宋体" w:hAnsi="宋体" w:eastAsia="宋体" w:cs="宋体"/>
          <w:i w:val="0"/>
          <w:iCs w:val="0"/>
          <w:caps w:val="0"/>
          <w:color w:val="auto"/>
          <w:spacing w:val="0"/>
          <w:sz w:val="24"/>
          <w:szCs w:val="24"/>
          <w:highlight w:val="none"/>
          <w:shd w:val="clear" w:color="auto" w:fill="ffffff"/>
        </w:rPr>
        <w:t xml:space="preserve">（北京时间，法定节假日除外 ）</w:t>
      </w:r>
      <w:r>
        <w:rPr>
          <w:rFonts w:hint="eastAsia" w:ascii="宋体" w:hAnsi="宋体" w:eastAsia="宋体" w:cs="宋体"/>
          <w:color w:val="auto"/>
          <w:sz w:val="24"/>
          <w:szCs w:val="24"/>
          <w:highlight w:val="none"/>
        </w:rPr>
        <w:t xml:space="preserve">。</w:t>
      </w:r>
      <w:r/>
    </w:p>
    <w:p>
      <w:pPr>
        <w:ind w:left="0" w:right="0" w:firstLine="480"/>
        <w:jc w:val="left"/>
        <w:pageBreakBefore w:val="0"/>
        <w:spacing w:line="47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val="en-US" w:eastAsia="zh-CN"/>
        </w:rPr>
        <w:t xml:space="preserve">江苏政府采购网、盐城市政府采购网</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“江苏政府采购网”、“盐城市政府采购网”自行免费下载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left="0" w:right="0" w:firstLine="480"/>
        <w:jc w:val="left"/>
        <w:pageBreakBefore w:val="0"/>
        <w:spacing w:line="47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44"/>
        <w:ind w:left="0" w:right="0" w:firstLine="482"/>
        <w:jc w:val="both"/>
        <w:keepLines/>
        <w:keepNext/>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b w:val="0"/>
          <w:bCs w:val="0"/>
          <w:color w:val="auto"/>
          <w:sz w:val="24"/>
          <w:szCs w:val="24"/>
          <w:highlight w:val="none"/>
          <w:u w:val="single"/>
          <w:lang w:val="en-US" w:eastAsia="zh-CN"/>
        </w:rPr>
        <w:t xml:space="preserve">2024</w:t>
      </w:r>
      <w:r>
        <w:rPr>
          <w:rFonts w:hint="eastAsia" w:ascii="宋体" w:hAnsi="宋体" w:eastAsia="宋体" w:cs="宋体"/>
          <w:b w:val="0"/>
          <w:bCs w:val="0"/>
          <w:color w:val="auto"/>
          <w:sz w:val="24"/>
          <w:szCs w:val="24"/>
          <w:highlight w:val="none"/>
          <w:u w:val="none"/>
          <w:lang w:val="en-US" w:eastAsia="zh-CN"/>
        </w:rPr>
        <w:t xml:space="preserve">年</w:t>
      </w:r>
      <w:r>
        <w:rPr>
          <w:rFonts w:hint="eastAsia" w:ascii="宋体" w:hAnsi="宋体" w:eastAsia="宋体" w:cs="宋体"/>
          <w:b w:val="0"/>
          <w:bCs w:val="0"/>
          <w:color w:val="auto"/>
          <w:sz w:val="24"/>
          <w:szCs w:val="24"/>
          <w:highlight w:val="none"/>
          <w:u w:val="single"/>
          <w:lang w:val="en-US" w:eastAsia="zh-CN"/>
        </w:rPr>
        <w:t xml:space="preserve">8</w:t>
      </w:r>
      <w:r>
        <w:rPr>
          <w:rFonts w:hint="eastAsia" w:ascii="宋体" w:hAnsi="宋体" w:eastAsia="宋体" w:cs="宋体"/>
          <w:b w:val="0"/>
          <w:bCs w:val="0"/>
          <w:color w:val="auto"/>
          <w:sz w:val="24"/>
          <w:szCs w:val="24"/>
          <w:highlight w:val="none"/>
          <w:u w:val="none"/>
          <w:lang w:val="en-US" w:eastAsia="zh-CN"/>
        </w:rPr>
        <w:t xml:space="preserve">月</w:t>
      </w:r>
      <w:r>
        <w:rPr>
          <w:rFonts w:hint="eastAsia" w:ascii="宋体" w:hAnsi="宋体" w:eastAsia="宋体" w:cs="宋体"/>
          <w:b w:val="0"/>
          <w:bCs w:val="0"/>
          <w:color w:val="auto"/>
          <w:sz w:val="24"/>
          <w:szCs w:val="24"/>
          <w:highlight w:val="none"/>
          <w:u w:val="single"/>
          <w:lang w:val="en-US" w:eastAsia="zh-CN"/>
        </w:rPr>
        <w:t xml:space="preserve">21</w:t>
      </w:r>
      <w:r>
        <w:rPr>
          <w:rFonts w:hint="eastAsia" w:ascii="宋体" w:hAnsi="宋体" w:eastAsia="宋体" w:cs="宋体"/>
          <w:b w:val="0"/>
          <w:bCs w:val="0"/>
          <w:color w:val="auto"/>
          <w:sz w:val="24"/>
          <w:szCs w:val="24"/>
          <w:highlight w:val="none"/>
          <w:u w:val="none"/>
          <w:lang w:val="en-US" w:eastAsia="zh-CN"/>
        </w:rPr>
        <w:t xml:space="preserve">日</w:t>
      </w:r>
      <w:r>
        <w:rPr>
          <w:rFonts w:hint="eastAsia" w:ascii="宋体" w:hAnsi="宋体" w:eastAsia="宋体" w:cs="宋体"/>
          <w:b w:val="0"/>
          <w:bCs w:val="0"/>
          <w:color w:val="auto"/>
          <w:sz w:val="24"/>
          <w:szCs w:val="24"/>
          <w:highlight w:val="none"/>
          <w:u w:val="single"/>
          <w:lang w:val="en-US" w:eastAsia="zh-CN"/>
        </w:rPr>
        <w:t xml:space="preserve">9</w:t>
      </w:r>
      <w:r>
        <w:rPr>
          <w:rFonts w:hint="eastAsia" w:ascii="宋体" w:hAnsi="宋体" w:eastAsia="宋体" w:cs="宋体"/>
          <w:b w:val="0"/>
          <w:bCs w:val="0"/>
          <w:color w:val="auto"/>
          <w:sz w:val="24"/>
          <w:szCs w:val="24"/>
          <w:highlight w:val="none"/>
          <w:u w:val="none"/>
          <w:lang w:val="en-US" w:eastAsia="zh-CN"/>
        </w:rPr>
        <w:t xml:space="preserve">点</w:t>
      </w:r>
      <w:r>
        <w:rPr>
          <w:rFonts w:hint="eastAsia" w:ascii="宋体" w:hAnsi="宋体" w:eastAsia="宋体" w:cs="宋体"/>
          <w:b w:val="0"/>
          <w:bCs w:val="0"/>
          <w:color w:val="auto"/>
          <w:sz w:val="24"/>
          <w:szCs w:val="24"/>
          <w:highlight w:val="none"/>
          <w:u w:val="single"/>
          <w:lang w:val="en-US" w:eastAsia="zh-CN"/>
        </w:rPr>
        <w:t xml:space="preserve">00</w:t>
      </w:r>
      <w:r>
        <w:rPr>
          <w:rFonts w:hint="eastAsia" w:ascii="宋体" w:hAnsi="宋体" w:eastAsia="宋体" w:cs="宋体"/>
          <w:b w:val="0"/>
          <w:bCs w:val="0"/>
          <w:color w:val="auto"/>
          <w:sz w:val="24"/>
          <w:szCs w:val="24"/>
          <w:highlight w:val="none"/>
          <w:u w:val="none"/>
          <w:lang w:val="en-US" w:eastAsia="zh-CN"/>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w:t>
      </w:r>
      <w:r/>
    </w:p>
    <w:p>
      <w:pPr>
        <w:pStyle w:val="644"/>
        <w:ind w:left="0" w:right="0" w:firstLine="480"/>
        <w:jc w:val="both"/>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644"/>
        <w:ind w:left="0" w:right="0" w:firstLine="482"/>
        <w:jc w:val="both"/>
        <w:keepLines/>
        <w:keepNext/>
        <w:pageBreakBefore w:val="0"/>
        <w:spacing w:beforeAutospacing="0" w:afterAutospacing="0" w:line="470" w:lineRule="exact"/>
        <w:rPr>
          <w:rFonts w:hint="eastAsia" w:ascii="宋体" w:hAnsi="宋体" w:eastAsia="宋体" w:cs="宋体"/>
          <w:color w:val="auto"/>
          <w:sz w:val="24"/>
          <w:szCs w:val="24"/>
          <w:highlight w:val="none"/>
        </w:rPr>
      </w:pPr>
      <w:r/>
      <w:bookmarkStart w:id="22" w:name="_Toc38985267"/>
      <w:r/>
      <w:bookmarkStart w:id="23" w:name="_Toc28359084"/>
      <w:r/>
      <w:bookmarkStart w:id="24" w:name="_Toc28359007"/>
      <w:r/>
      <w:bookmarkStart w:id="25" w:name="_Toc35393625"/>
      <w:r/>
      <w:bookmarkStart w:id="26" w:name="_Toc3539379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44"/>
        <w:ind w:left="0" w:right="0" w:firstLine="482"/>
        <w:jc w:val="both"/>
        <w:keepLines/>
        <w:keepNext/>
        <w:pageBreakBefore w:val="0"/>
        <w:spacing w:beforeAutospacing="0" w:afterAutospacing="0" w:line="47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2.有关本次招标的事项若存在变动或修改，敬请及时关注盐城市政府采购人在“中国政府采购网”、“江苏政府采购网”、“盐城市政府采购网”发布的更正公告。</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3.本次招标不收取投标保证金，不收取质量保证金。</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4.评审结束后，中标人需提供纸质投标文件一正四副用于归档，未中标单位不需要提供。</w:t>
      </w:r>
      <w:r/>
    </w:p>
    <w:p>
      <w:pPr>
        <w:pStyle w:val="644"/>
        <w:ind w:left="0" w:right="0" w:firstLine="482"/>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七、对本次招标提出询问，请按以下方式联系。</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称：盐城市大丰区公安局  </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址：盐城市大丰区健康西路21号  </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人：季军             </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联系方式：13851018160            </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2.项目联系方式</w:t>
      </w:r>
      <w:r/>
    </w:p>
    <w:p>
      <w:pPr>
        <w:pStyle w:val="644"/>
        <w:ind w:left="0" w:right="0" w:firstLine="480"/>
        <w:jc w:val="both"/>
        <w:keepLines w:val="0"/>
        <w:keepNext w:val="0"/>
        <w:pageBreakBefore w:val="0"/>
        <w:spacing w:beforeAutospacing="0" w:afterAutospacing="0" w:line="47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项目联系人：蒋华林</w:t>
      </w:r>
      <w:r/>
    </w:p>
    <w:p>
      <w:pPr>
        <w:pStyle w:val="644"/>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话：15189285981</w:t>
      </w:r>
      <w:bookmarkEnd w:id="30"/>
      <w:r/>
      <w:bookmarkStart w:id="31" w:name="_Toc28359009"/>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44"/>
        <w:ind w:left="0" w:right="0" w:firstLine="0"/>
        <w:jc w:val="center"/>
        <w:keepLines/>
        <w:keepNext/>
        <w:pageBreakBefore w:val="0"/>
        <w:spacing w:beforeAutospacing="0" w:afterAutospacing="0" w:line="415" w:lineRule="auto"/>
        <w:rPr>
          <w:rFonts w:hint="eastAsia" w:ascii="宋体" w:hAnsi="宋体" w:eastAsia="宋体" w:cs="宋体"/>
          <w:color w:val="auto"/>
          <w:highlight w:val="none"/>
        </w:rPr>
      </w:pPr>
      <w:r/>
      <w:bookmarkStart w:id="32" w:name="_Toc120614211"/>
      <w:r>
        <w:rPr>
          <w:rFonts w:hint="eastAsia" w:ascii="宋体" w:hAnsi="宋体" w:eastAsia="宋体" w:cs="宋体"/>
          <w:b/>
          <w:color w:val="auto"/>
          <w:sz w:val="44"/>
          <w:szCs w:val="44"/>
          <w:highlight w:val="none"/>
        </w:rPr>
        <w:t xml:space="preserve">第二章  </w:t>
      </w:r>
      <w:bookmarkEnd w:id="32"/>
      <w:r/>
      <w:bookmarkStart w:id="33" w:name="_Toc120614213"/>
      <w:r/>
      <w:bookmarkStart w:id="34" w:name="_Toc16938518"/>
      <w:r/>
      <w:bookmarkStart w:id="35" w:name="_Toc20823274"/>
      <w:r/>
      <w:bookmarkStart w:id="36" w:name="_Toc513029202"/>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37" w:name="_Toc513029203"/>
      <w:r/>
      <w:bookmarkStart w:id="38" w:name="_Toc120614214"/>
      <w:r/>
      <w:bookmarkStart w:id="39" w:name="_Toc20823275"/>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46" w:name="_Toc513029205"/>
      <w:r/>
      <w:bookmarkStart w:id="47" w:name="_Toc16938521"/>
      <w:r/>
      <w:bookmarkStart w:id="48" w:name="_Toc20823277"/>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49" w:name="_Toc20823278"/>
      <w:r/>
      <w:bookmarkStart w:id="50" w:name="_Toc513029206"/>
      <w:r/>
      <w:bookmarkStart w:id="51" w:name="_Toc16938522"/>
      <w:r>
        <w:rPr>
          <w:rFonts w:hint="eastAsia" w:ascii="宋体" w:hAnsi="宋体" w:eastAsia="宋体" w:cs="宋体"/>
          <w:color w:val="auto"/>
          <w:sz w:val="24"/>
          <w:szCs w:val="24"/>
          <w:highlight w:val="none"/>
        </w:rPr>
        <w:t xml:space="preserve">3、适用法律</w:t>
      </w:r>
      <w:bookmarkEnd w:id="49"/>
      <w:r/>
      <w:bookmarkEnd w:id="50"/>
      <w:r/>
      <w:bookmarkEnd w:id="51"/>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52" w:name="_Toc20823279"/>
      <w:r/>
      <w:bookmarkStart w:id="53" w:name="_Toc513029207"/>
      <w:r/>
      <w:bookmarkStart w:id="54" w:name="_Toc16938523"/>
      <w:r/>
      <w:bookmarkStart w:id="55" w:name="_Toc462564067"/>
      <w:r>
        <w:rPr>
          <w:rFonts w:hint="eastAsia" w:ascii="宋体" w:hAnsi="宋体" w:eastAsia="宋体" w:cs="宋体"/>
          <w:color w:val="auto"/>
          <w:sz w:val="24"/>
          <w:szCs w:val="24"/>
          <w:highlight w:val="none"/>
        </w:rPr>
        <w:t xml:space="preserve">4、投标费用</w:t>
      </w:r>
      <w:bookmarkEnd w:id="52"/>
      <w:r/>
      <w:bookmarkEnd w:id="53"/>
      <w:r/>
      <w:bookmarkEnd w:id="54"/>
      <w:r/>
      <w:bookmarkEnd w:id="55"/>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56" w:name="_Toc16938525"/>
      <w:r/>
      <w:bookmarkStart w:id="57" w:name="_Toc513029209"/>
      <w:r/>
      <w:bookmarkStart w:id="58" w:name="_Toc120614215"/>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60" w:name="_Toc513029210"/>
      <w:r/>
      <w:bookmarkStart w:id="61" w:name="_Toc20823282"/>
      <w:r/>
      <w:bookmarkStart w:id="62" w:name="_Toc16938526"/>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63" w:name="_Toc513029211"/>
      <w:r/>
      <w:bookmarkStart w:id="64" w:name="_Toc462564070"/>
      <w:r/>
      <w:bookmarkStart w:id="65" w:name="_Toc20823283"/>
      <w:r/>
      <w:bookmarkStart w:id="66" w:name="_Toc16938527"/>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67" w:name="_Toc462564071"/>
      <w:r/>
      <w:bookmarkStart w:id="68" w:name="_Toc16938528"/>
      <w:r/>
      <w:bookmarkStart w:id="69" w:name="_Toc20823284"/>
      <w:r/>
      <w:bookmarkStart w:id="70" w:name="_Toc513029212"/>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有权按照法定的要求推迟投标截止日期和开标日期。</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71" w:name="_Toc20823285"/>
      <w:r/>
      <w:bookmarkStart w:id="72" w:name="_Toc120614216"/>
      <w:r/>
      <w:bookmarkStart w:id="73" w:name="_Toc16938529"/>
      <w:r/>
      <w:bookmarkStart w:id="74" w:name="_Toc462564072"/>
      <w:r/>
      <w:bookmarkStart w:id="75" w:name="_Toc513029213"/>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76" w:name="_Toc16938530"/>
      <w:r/>
      <w:bookmarkStart w:id="77" w:name="_Toc462564073"/>
      <w:r/>
      <w:bookmarkStart w:id="78" w:name="_Toc513029214"/>
      <w:r/>
      <w:bookmarkStart w:id="79" w:name="_Toc20823286"/>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80" w:name="_Toc513029215"/>
      <w:r/>
      <w:bookmarkStart w:id="81" w:name="_Toc16938531"/>
      <w:r/>
      <w:bookmarkStart w:id="82" w:name="_Toc20823287"/>
      <w:r/>
      <w:bookmarkStart w:id="83" w:name="_Toc462564074"/>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84" w:name="_Toc14577357"/>
      <w:r/>
      <w:bookmarkStart w:id="85" w:name="_Toc49090507"/>
      <w:r/>
      <w:bookmarkStart w:id="86" w:name="_Toc513029219"/>
      <w:r/>
      <w:bookmarkStart w:id="87" w:name="_Toc49090509"/>
      <w:r/>
      <w:bookmarkStart w:id="88" w:name="_Toc14577354"/>
      <w:r/>
      <w:bookmarkStart w:id="89" w:name="_Toc513029216"/>
      <w:r/>
      <w:bookmarkStart w:id="90" w:name="_Hlt26668975"/>
      <w:r/>
      <w:bookmarkStart w:id="91" w:name="_Hlt26670360"/>
      <w:r/>
      <w:bookmarkStart w:id="92" w:name="_Hlt26954838"/>
      <w:r>
        <w:rPr>
          <w:rFonts w:hint="eastAsia" w:ascii="宋体" w:hAnsi="宋体" w:eastAsia="宋体" w:cs="宋体"/>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93" w:name="_Toc14577355"/>
      <w:r/>
      <w:bookmarkStart w:id="94" w:name="_Toc49090508"/>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3"/>
      <w:r/>
      <w:bookmarkEnd w:id="94"/>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5" w:name="_Hlt26670373"/>
      <w:r>
        <w:rPr>
          <w:rFonts w:hint="eastAsia" w:ascii="宋体" w:hAnsi="宋体" w:eastAsia="宋体" w:cs="宋体"/>
          <w:color w:val="auto"/>
          <w:sz w:val="24"/>
          <w:szCs w:val="24"/>
          <w:highlight w:val="none"/>
        </w:rPr>
        <w:t xml:space="preserve">表</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98" w:name="_Hlt26954846"/>
      <w:r/>
      <w:bookmarkStart w:id="99" w:name="_Hlt26670403"/>
      <w:r/>
      <w:bookmarkStart w:id="100" w:name="_Hlt26954731"/>
      <w:r/>
      <w:bookmarkStart w:id="101" w:name="_Hlt26670482"/>
      <w:r/>
      <w:bookmarkStart w:id="102" w:name="_Hlt26954842"/>
      <w:r/>
      <w:bookmarkStart w:id="103" w:name="_Hlt26668983"/>
      <w:r/>
      <w:bookmarkStart w:id="104" w:name="_Hlt26954848"/>
      <w:r/>
      <w:bookmarkStart w:id="105" w:name="_Hlt26954844"/>
      <w:r/>
      <w:bookmarkStart w:id="106" w:name="_Hlt26670425"/>
      <w:r/>
      <w:bookmarkStart w:id="107" w:name="_Hlt26670486"/>
      <w:r>
        <w:rPr>
          <w:rFonts w:hint="eastAsia" w:ascii="宋体" w:hAnsi="宋体" w:eastAsia="宋体" w:cs="宋体"/>
          <w:color w:val="auto"/>
          <w:sz w:val="24"/>
          <w:szCs w:val="24"/>
          <w:highlight w:val="none"/>
        </w:rPr>
        <w:t xml:space="preserve">13、技术要求响应及偏离表、商务要求响应及偏离表</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44"/>
        <w:ind w:left="0" w:right="0" w:firstLine="480"/>
        <w:jc w:val="both"/>
        <w:pageBreakBefore w:val="0"/>
        <w:spacing w:beforeAutospacing="0" w:afterAutospacing="0" w:line="47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rPr>
        <w:t xml:space="preserve">14、投标函和开标一览表</w:t>
      </w:r>
      <w:bookmarkEnd w:id="108"/>
      <w:r/>
      <w:bookmarkEnd w:id="109"/>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10" w:name="_Toc14577360"/>
      <w:r/>
      <w:bookmarkStart w:id="111" w:name="_Toc49090511"/>
      <w:r/>
      <w:bookmarkStart w:id="112" w:name="_Hlt26670489"/>
      <w:r/>
      <w:bookmarkStart w:id="113" w:name="_Hlt26954734"/>
      <w:r/>
      <w:bookmarkStart w:id="114" w:name="_Hlt26954850"/>
      <w:r>
        <w:rPr>
          <w:rFonts w:hint="eastAsia" w:ascii="宋体" w:hAnsi="宋体" w:eastAsia="宋体" w:cs="宋体"/>
          <w:color w:val="auto"/>
          <w:sz w:val="24"/>
          <w:szCs w:val="24"/>
          <w:highlight w:val="none"/>
        </w:rPr>
        <w:t xml:space="preserve">15、投标有效期</w:t>
      </w:r>
      <w:bookmarkEnd w:id="110"/>
      <w:r/>
      <w:bookmarkEnd w:id="111"/>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15" w:name="_Toc513029224"/>
      <w:r/>
      <w:bookmarkStart w:id="116" w:name="_Toc120614217"/>
      <w:r/>
      <w:bookmarkStart w:id="117" w:name="_Toc16938540"/>
      <w:r/>
      <w:bookmarkStart w:id="118" w:name="_Toc20823296"/>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21" w:name="_Toc20823297"/>
      <w:r/>
      <w:bookmarkStart w:id="122" w:name="_Toc513029225"/>
      <w:r/>
      <w:bookmarkStart w:id="123" w:name="_Toc462564084"/>
      <w:r/>
      <w:bookmarkStart w:id="124" w:name="_Toc16938541"/>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28" w:name="_Toc20823299"/>
      <w:r/>
      <w:bookmarkStart w:id="129" w:name="_Toc16938543"/>
      <w:r/>
      <w:bookmarkStart w:id="130" w:name="_Toc513029227"/>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31" w:name="_Toc20823300"/>
      <w:r/>
      <w:bookmarkStart w:id="132" w:name="_Toc16938544"/>
      <w:r/>
      <w:bookmarkStart w:id="133" w:name="_Toc513029228"/>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34" w:name="_Toc513029229"/>
      <w:r/>
      <w:bookmarkStart w:id="135" w:name="_Toc16938545"/>
      <w:r/>
      <w:bookmarkStart w:id="136" w:name="_Toc20823301"/>
      <w:r/>
      <w:bookmarkStart w:id="137" w:name="_Toc120614218"/>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38" w:name="_Toc16938546"/>
      <w:r/>
      <w:bookmarkStart w:id="139" w:name="_Toc513029230"/>
      <w:r/>
      <w:bookmarkStart w:id="140" w:name="_Toc20823302"/>
      <w:r>
        <w:rPr>
          <w:rFonts w:hint="eastAsia" w:ascii="宋体" w:hAnsi="宋体" w:eastAsia="宋体" w:cs="宋体"/>
          <w:color w:val="auto"/>
          <w:sz w:val="24"/>
          <w:szCs w:val="24"/>
          <w:highlight w:val="none"/>
        </w:rPr>
        <w:t xml:space="preserve">21、开标</w:t>
      </w:r>
      <w:bookmarkEnd w:id="138"/>
      <w:r/>
      <w:bookmarkEnd w:id="139"/>
      <w:r/>
      <w:bookmarkEnd w:id="140"/>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41" w:name="_Toc20823303"/>
      <w:r/>
      <w:bookmarkStart w:id="142" w:name="_Toc513029231"/>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均不得向投标人或与评标无关的其他人员透露。</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44" w:name="_Toc513029232"/>
      <w:r/>
      <w:bookmarkStart w:id="145" w:name="_Toc20823304"/>
      <w:r/>
      <w:bookmarkStart w:id="146" w:name="_Toc16938548"/>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47" w:name="_Toc513029233"/>
      <w:r/>
      <w:bookmarkStart w:id="148" w:name="_Toc20823305"/>
      <w:r/>
      <w:bookmarkStart w:id="149" w:name="_Toc16938549"/>
      <w:r>
        <w:rPr>
          <w:rFonts w:hint="eastAsia" w:ascii="宋体" w:hAnsi="宋体" w:eastAsia="宋体" w:cs="宋体"/>
          <w:color w:val="auto"/>
          <w:sz w:val="24"/>
          <w:szCs w:val="24"/>
          <w:highlight w:val="none"/>
        </w:rPr>
        <w:t xml:space="preserve">25、对投标文件的初审</w:t>
      </w:r>
      <w:bookmarkEnd w:id="147"/>
      <w:r/>
      <w:bookmarkEnd w:id="148"/>
      <w:r/>
      <w:bookmarkEnd w:id="149"/>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将不再告知未通过资格审查和符合性审查的原因。</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50" w:name="_Toc513029234"/>
      <w:r/>
      <w:bookmarkStart w:id="151" w:name="_Toc20823306"/>
      <w:r/>
      <w:bookmarkStart w:id="152" w:name="_Toc16938550"/>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53" w:name="_Toc16938551"/>
      <w:r/>
      <w:bookmarkStart w:id="154" w:name="_Toc513029235"/>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u w:val="none"/>
        </w:rPr>
        <w:t xml:space="preserve">26.1.7不符合招标文件中规定的实质性要求和条件的</w:t>
      </w:r>
      <w:r>
        <w:rPr>
          <w:rFonts w:hint="eastAsia" w:ascii="宋体" w:hAnsi="宋体" w:eastAsia="宋体" w:cs="宋体"/>
          <w:b w:val="0"/>
          <w:bCs w:val="0"/>
          <w:i/>
          <w:color w:val="auto"/>
          <w:sz w:val="24"/>
          <w:szCs w:val="24"/>
          <w:highlight w:val="none"/>
          <w:u w:val="none"/>
        </w:rPr>
        <w:t xml:space="preserve">。</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行贿或者提供其他不正当利益的。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或采购人提出质疑。上述应知其权益受到损害之日，是指：</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、采购人将只对供应商第一次质疑作出答复。</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ind w:left="0" w:right="0" w:firstLine="480"/>
        <w:jc w:val="left"/>
        <w:pageBreakBefore w:val="0"/>
        <w:spacing w:line="47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44"/>
        <w:ind w:left="0" w:right="0" w:firstLine="482"/>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61" w:name="_Toc120614220"/>
      <w:r/>
      <w:bookmarkStart w:id="162" w:name="_Toc16938552"/>
      <w:r/>
      <w:bookmarkStart w:id="163" w:name="_Toc513029236"/>
      <w:r/>
      <w:bookmarkStart w:id="164" w:name="_Toc20823308"/>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65" w:name="_Toc513029237"/>
      <w:r/>
      <w:bookmarkStart w:id="166" w:name="_Toc16938553"/>
      <w:r/>
      <w:bookmarkStart w:id="167" w:name="_Toc20823309"/>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val="0"/>
          <w:iCs/>
          <w:color w:val="auto"/>
          <w:sz w:val="24"/>
          <w:szCs w:val="24"/>
          <w:highlight w:val="none"/>
          <w:u w:val="non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4"/>
        <w:ind w:left="0" w:right="0" w:firstLine="480"/>
        <w:jc w:val="both"/>
        <w:keepLines/>
        <w:keepNext/>
        <w:pageBreakBefore w:val="0"/>
        <w:spacing w:beforeAutospacing="0" w:afterAutospacing="0" w:line="470" w:lineRule="exact"/>
        <w:widowControl w:val="off"/>
        <w:rPr>
          <w:rFonts w:hint="eastAsia" w:ascii="宋体" w:hAnsi="宋体" w:eastAsia="宋体" w:cs="宋体"/>
          <w:color w:val="auto"/>
          <w:sz w:val="24"/>
          <w:szCs w:val="24"/>
          <w:highlight w:val="none"/>
        </w:rPr>
      </w:pPr>
      <w:r/>
      <w:bookmarkStart w:id="168" w:name="_Toc479757207"/>
      <w:r/>
      <w:bookmarkStart w:id="169" w:name="_Toc20823314"/>
      <w:r/>
      <w:bookmarkStart w:id="170" w:name="_Toc16938558"/>
      <w:r/>
      <w:bookmarkStart w:id="171" w:name="_Toc513029242"/>
      <w:r/>
      <w:bookmarkStart w:id="172" w:name="_Toc120614221"/>
      <w:r>
        <w:rPr>
          <w:rFonts w:hint="eastAsia" w:ascii="宋体" w:hAnsi="宋体" w:eastAsia="宋体" w:cs="宋体"/>
          <w:color w:val="auto"/>
          <w:sz w:val="24"/>
          <w:szCs w:val="24"/>
          <w:highlight w:val="none"/>
        </w:rPr>
        <w:t xml:space="preserve">32、政府采购履约资金扶持政策</w:t>
      </w:r>
      <w:bookmarkEnd w:id="168"/>
      <w:r/>
      <w:bookmarkEnd w:id="169"/>
      <w:r/>
      <w:bookmarkEnd w:id="170"/>
      <w:r/>
      <w:bookmarkEnd w:id="171"/>
      <w:r/>
      <w:bookmarkEnd w:id="172"/>
      <w:r/>
      <w:r/>
    </w:p>
    <w:p>
      <w:pPr>
        <w:pStyle w:val="644"/>
        <w:ind w:left="0" w:right="0" w:firstLine="480"/>
        <w:jc w:val="both"/>
        <w:pageBreakBefore w:val="0"/>
        <w:spacing w:beforeAutospacing="0" w:afterAutospacing="0"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44"/>
        <w:ind w:left="0" w:righ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44"/>
        <w:ind w:left="0" w:righ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Next/>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第三章  合同文本</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lang w:eastAsia="zh-CN"/>
        </w:rPr>
      </w:pPr>
      <w:r/>
      <w:bookmarkStart w:id="173" w:name="_Toc479757211"/>
      <w:r/>
      <w:bookmarkStart w:id="174" w:name="_Toc120614244"/>
      <w:r/>
      <w:bookmarkStart w:id="175" w:name="_Toc462564139"/>
      <w:r/>
      <w:bookmarkStart w:id="176" w:name="_Toc16938590"/>
      <w:r/>
      <w:bookmarkStart w:id="177" w:name="_Hlt16619350"/>
      <w:r/>
      <w:bookmarkStart w:id="178" w:name="_Toc20823346"/>
      <w:r/>
      <w:bookmarkStart w:id="179" w:name="_Hlt16619369"/>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eastAsia="zh-CN"/>
        </w:rPr>
        <w:t xml:space="preserve">盐城市大丰区公安局“智慧侦查中心”设备采购项目</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方（采购人/买方）：</w:t>
      </w:r>
      <w:r>
        <w:rPr>
          <w:rFonts w:hint="eastAsia" w:ascii="宋体" w:hAnsi="宋体" w:eastAsia="宋体" w:cs="宋体"/>
          <w:color w:val="auto"/>
          <w:sz w:val="24"/>
          <w:szCs w:val="24"/>
          <w:highlight w:val="none"/>
          <w:u w:val="single"/>
          <w:lang w:val="en-US" w:eastAsia="zh-CN"/>
        </w:rPr>
        <w:t xml:space="preserve">盐城市大丰区公安局</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方（供应商/卖方）：</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根据《中华人民共和国政府采购法》、《中华人民共和国政府采购实施条例》、《政府采购货物和服务招标投标管理办法》、《中华人民共和国民法典》等法律法规的规定，甲乙双方按照</w:t>
      </w:r>
      <w:r>
        <w:rPr>
          <w:rFonts w:hint="eastAsia" w:ascii="宋体" w:hAnsi="宋体" w:eastAsia="宋体" w:cs="宋体"/>
          <w:color w:val="auto"/>
          <w:sz w:val="24"/>
          <w:szCs w:val="24"/>
          <w:highlight w:val="none"/>
          <w:u w:val="single"/>
          <w:lang w:eastAsia="zh-CN"/>
        </w:rPr>
        <w:t xml:space="preserve">盐城市大丰区公安局“智慧侦查中心”设备采购项目</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招标结果签订本合同。</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合同</w:t>
      </w:r>
      <w:r>
        <w:rPr>
          <w:rFonts w:hint="eastAsia" w:ascii="宋体" w:hAnsi="宋体" w:eastAsia="宋体" w:cs="宋体"/>
          <w:b/>
          <w:bCs/>
          <w:color w:val="auto"/>
          <w:sz w:val="24"/>
          <w:szCs w:val="24"/>
          <w:highlight w:val="none"/>
        </w:rPr>
        <w:t xml:space="preserve">内容</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1.3标的数量（规模）：</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1.4履行时间（期限）：</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1.5履行地点：</w:t>
      </w:r>
      <w:r>
        <w:rPr>
          <w:rFonts w:hint="eastAsia" w:ascii="宋体" w:hAnsi="宋体" w:eastAsia="宋体" w:cs="宋体"/>
          <w:color w:val="auto"/>
          <w:sz w:val="24"/>
          <w:szCs w:val="24"/>
          <w:highlight w:val="none"/>
          <w:u w:val="single"/>
          <w:lang w:val="en-US" w:eastAsia="zh-CN"/>
        </w:rPr>
        <w:t xml:space="preserve">                            </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u w:val="single"/>
          <w:lang w:val="en-US" w:eastAsia="zh-CN"/>
        </w:rPr>
        <w:t xml:space="preserve">                            </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2.1本合同金额为（大写）：__________________（</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5.1乙方保证所交付的服务或产品的所有权完全属于乙方且无任何抵押、查封等产权瑕疵。</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乙方交纳人民币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元作为本合同的履约保证金。(备注:年度合同金额的 10%，采购人应当对AA评级及以上政府采购供应商(需提供信用管理部门备案的第三方信用报告)免收履约保证金或降低约保证金缴纳比例。)</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mw.jsdzbh.com)在线申请履约保函(保险)。</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缴纳履约保证金的账户。如为保函，在到期时自行失效。</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收到发票后30日内。</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验收合格，且</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出具的发票。</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出现下列情形之一的，其履约保证金，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将视情节决定不予退还或部分不予退还。</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无正当理由拒绝签订合同的，或者在签订合同时向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提出附加条件或者更改合同实质性内容要求的；</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不履行与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订立的合同的；</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所供货物或服务不符合招标文件规定要求的；</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采取欺骗、弄虚作假方式投标的或与其它投标人串通投标的；</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将合同内容转包、违法分包的；</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故意捏造事实或伪造证明材料，进行虚假恶意投诉或反映的。</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逾期无故未退还履约保证金的，按中国人民银行同期贷款基准利率上浮20%后的利率支付超期资金占用费，但因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自身原因导致无法及时退还的除外。</w:t>
      </w:r>
      <w:r/>
    </w:p>
    <w:p>
      <w:pPr>
        <w:pStyle w:val="641"/>
        <w:ind w:left="0" w:firstLine="482"/>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分包给他人履行。</w:t>
      </w:r>
      <w:r/>
    </w:p>
    <w:p>
      <w:pPr>
        <w:pStyle w:val="641"/>
        <w:ind w:left="0" w:firstLine="480"/>
        <w:keepLines w:val="0"/>
        <w:keepNext w:val="0"/>
        <w:pageBreakBefore w:val="0"/>
        <w:spacing w:line="47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分包行为，甲方有权解除合同。</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八、合同款项支付</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8.1合同款项的支付方式及进度安排</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8.1.1 预付款支付时间：合同签订后，预付款支付比例：合同金额的</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8.1.2 尾款支付时间：</w:t>
      </w:r>
      <w:r>
        <w:rPr>
          <w:rFonts w:hint="eastAsia" w:ascii="宋体" w:hAnsi="宋体" w:eastAsia="宋体" w:cs="宋体"/>
          <w:b w:val="0"/>
          <w:bCs w:val="0"/>
          <w:color w:val="auto"/>
          <w:sz w:val="24"/>
          <w:szCs w:val="24"/>
          <w:highlight w:val="none"/>
          <w:lang w:val="en-US" w:eastAsia="zh-CN"/>
        </w:rPr>
        <w:t xml:space="preserve">项目验收合格后付至合同价的</w:t>
      </w:r>
      <w:r>
        <w:rPr>
          <w:rFonts w:hint="eastAsia"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0%，验收合格满一年付至结算审核价的9</w:t>
      </w:r>
      <w:r>
        <w:rPr>
          <w:rFonts w:hint="eastAsia"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%，余款待项目质保期满按结算审核价款结清。</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九、税费</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9.1本合同执行中相关的一切税费均由乙方负担。</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十、项目验收</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10.1甲方依法组织履约验收工作。</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10.3对于实际使用人和甲方分离的项目，甲方邀请实际使用人参与验收。</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10.4如有必要，甲方邀请参加本项目的其他供应商或第三方专业机构及专家参与验收，相关意见将作为验收书的参考资料。</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十一、违约责任</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11.1甲方无正当理由拒绝接受乙方提供服务的，甲方向乙方偿付拒绝接受服务合同价款总值</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的违约金。</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11.2甲方无故逾期验收和办理合同款项支付手续的,甲方应按逾期付款总额</w:t>
      </w:r>
      <w:r>
        <w:rPr>
          <w:rFonts w:hint="eastAsia" w:ascii="宋体" w:hAnsi="宋体" w:eastAsia="宋体" w:cs="宋体"/>
          <w:b w:val="0"/>
          <w:bCs w:val="0"/>
          <w:color w:val="auto"/>
          <w:sz w:val="24"/>
          <w:szCs w:val="24"/>
          <w:highlight w:val="none"/>
          <w:lang w:val="en-US" w:eastAsia="zh-CN"/>
        </w:rPr>
        <w:t xml:space="preserve">万分之一</w:t>
      </w:r>
      <w:r>
        <w:rPr>
          <w:rFonts w:hint="eastAsia" w:ascii="宋体" w:hAnsi="宋体" w:eastAsia="宋体" w:cs="宋体"/>
          <w:b w:val="0"/>
          <w:bCs w:val="0"/>
          <w:color w:val="auto"/>
          <w:sz w:val="24"/>
          <w:szCs w:val="24"/>
          <w:highlight w:val="none"/>
        </w:rPr>
        <w:t xml:space="preserve">每日向乙方支付违约金。</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的违约金，如造成甲方损失超过违约金的，超出部分由乙方继续承担赔偿责任。 </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11.4乙方所提供服务的标准不符合合同规定及招标文件规定标准的，甲方有权拒绝接受服务，并可单方面解除合同。</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十二、不可抗力事件处理</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12.1在合同有效期内，任何一方因不可抗力事件导致不能履行合同，则合同履行期可延长，其延长期与不可抗力影响期相同。</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12.2不可抗力事件发生后，应立即通知对方，并寄送有关权威机构出具的证明。</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12.3不可抗力事件延续120天以上，双方应通过友好协商，确定是否继续履行合同。</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十三、解决争议的方法</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13.1双方在签订、履行合同中所发生的一切争议，应通过友好协商解决。如协商不成，由甲方住所地人民法院管辖。</w:t>
      </w:r>
      <w:r/>
    </w:p>
    <w:p>
      <w:pPr>
        <w:pStyle w:val="641"/>
        <w:ind w:left="0" w:firstLine="482"/>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十四、合同生效及其它</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14.1 本项目质保期为二年，质保期自项目验收合格之日起计算，质保期内由于乙方提供的服务（包含与服务相关的货物）质量问题产生的相关费用均由乙方承担。</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14.2 </w:t>
      </w:r>
      <w:r>
        <w:rPr>
          <w:rFonts w:hint="eastAsia" w:ascii="宋体" w:hAnsi="宋体" w:eastAsia="宋体" w:cs="宋体"/>
          <w:b w:val="0"/>
          <w:bCs w:val="0"/>
          <w:color w:val="auto"/>
          <w:sz w:val="24"/>
          <w:szCs w:val="24"/>
          <w:highlight w:val="none"/>
        </w:rPr>
        <w:t xml:space="preserve">在合同履行过程中若有一方违反本合同约定，违约方除承担违约责任赔偿外，还需承担守约方维权产生的费用包括但不限于诉讼费、保全费、保全保险费、律师费等一切费用。</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rPr>
          <w:rFonts w:hint="eastAsia" w:ascii="宋体" w:hAnsi="宋体" w:eastAsia="宋体" w:cs="宋体"/>
          <w:b w:val="0"/>
          <w:bCs w:val="0"/>
          <w:color w:val="auto"/>
          <w:sz w:val="24"/>
          <w:szCs w:val="24"/>
          <w:highlight w:val="none"/>
          <w:lang w:val="en-US" w:eastAsia="zh-CN"/>
        </w:rPr>
        <w:t xml:space="preserve">3 </w:t>
      </w:r>
      <w:r>
        <w:rPr>
          <w:rFonts w:hint="eastAsia" w:ascii="宋体" w:hAnsi="宋体" w:eastAsia="宋体" w:cs="宋体"/>
          <w:b w:val="0"/>
          <w:bCs w:val="0"/>
          <w:color w:val="auto"/>
          <w:sz w:val="24"/>
          <w:szCs w:val="24"/>
          <w:highlight w:val="none"/>
        </w:rPr>
        <w:t xml:space="preserve">合同经双方法定代表人或授权委托代表人签字并加盖单位公章后生效。</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rPr>
          <w:rFonts w:hint="eastAsia" w:ascii="宋体" w:hAnsi="宋体" w:eastAsia="宋体" w:cs="宋体"/>
          <w:b w:val="0"/>
          <w:bCs w:val="0"/>
          <w:color w:val="auto"/>
          <w:sz w:val="24"/>
          <w:szCs w:val="24"/>
          <w:highlight w:val="none"/>
          <w:lang w:val="en-US" w:eastAsia="zh-CN"/>
        </w:rPr>
        <w:t xml:space="preserve">4 </w:t>
      </w:r>
      <w:r>
        <w:rPr>
          <w:rFonts w:hint="eastAsia" w:ascii="宋体" w:hAnsi="宋体" w:eastAsia="宋体" w:cs="宋体"/>
          <w:b w:val="0"/>
          <w:bCs w:val="0"/>
          <w:color w:val="auto"/>
          <w:sz w:val="24"/>
          <w:szCs w:val="24"/>
          <w:highlight w:val="none"/>
        </w:rPr>
        <w:t xml:space="preserve">本合同未尽事宜，遵照《民法典》、《政府采购法》有关条文执行。</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 本合同正本一式</w:t>
      </w:r>
      <w:r>
        <w:rPr>
          <w:rFonts w:hint="eastAsia" w:ascii="宋体" w:hAnsi="宋体" w:eastAsia="宋体" w:cs="宋体"/>
          <w:b w:val="0"/>
          <w:bCs w:val="0"/>
          <w:color w:val="auto"/>
          <w:sz w:val="24"/>
          <w:szCs w:val="24"/>
          <w:highlight w:val="none"/>
          <w:lang w:val="en-US" w:eastAsia="zh-CN"/>
        </w:rPr>
        <w:t xml:space="preserve">肆</w:t>
      </w:r>
      <w:r>
        <w:rPr>
          <w:rFonts w:hint="eastAsia" w:ascii="宋体" w:hAnsi="宋体" w:eastAsia="宋体" w:cs="宋体"/>
          <w:b w:val="0"/>
          <w:bCs w:val="0"/>
          <w:color w:val="auto"/>
          <w:sz w:val="24"/>
          <w:szCs w:val="24"/>
          <w:highlight w:val="none"/>
        </w:rPr>
        <w:t xml:space="preserve">份，具有同等法律效力，甲方、乙方各执</w:t>
      </w:r>
      <w:r>
        <w:rPr>
          <w:rFonts w:hint="eastAsia" w:ascii="宋体" w:hAnsi="宋体" w:eastAsia="宋体" w:cs="宋体"/>
          <w:b w:val="0"/>
          <w:bCs w:val="0"/>
          <w:color w:val="auto"/>
          <w:sz w:val="24"/>
          <w:szCs w:val="24"/>
          <w:highlight w:val="none"/>
          <w:lang w:val="en-US" w:eastAsia="zh-CN"/>
        </w:rPr>
        <w:t xml:space="preserve">贰</w:t>
      </w:r>
      <w:r>
        <w:rPr>
          <w:rFonts w:hint="eastAsia" w:ascii="宋体" w:hAnsi="宋体" w:eastAsia="宋体" w:cs="宋体"/>
          <w:b w:val="0"/>
          <w:bCs w:val="0"/>
          <w:color w:val="auto"/>
          <w:sz w:val="24"/>
          <w:szCs w:val="24"/>
          <w:highlight w:val="none"/>
        </w:rPr>
        <w:t xml:space="preserve">份。</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盖章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乙方</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盖章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641"/>
        <w:ind w:left="0" w:firstLine="480"/>
        <w:keepLines w:val="0"/>
        <w:keepNext w:val="0"/>
        <w:pageBreakBefore w:val="0"/>
        <w:spacing w:line="47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法定代表人或授权代表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法定代表人或授权代表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签字</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641"/>
        <w:ind w:left="0" w:firstLine="480"/>
        <w:jc w:val="left"/>
        <w:keepLines w:val="0"/>
        <w:keepNext w:val="0"/>
        <w:pageBreakBefore w:val="0"/>
        <w:spacing w:line="47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签订日期：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年  月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w:t>
      </w:r>
      <w:r/>
    </w:p>
    <w:p>
      <w:pPr>
        <w:pStyle w:val="644"/>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44"/>
          <w:szCs w:val="44"/>
          <w:highlight w:val="none"/>
        </w:rPr>
        <w:sectPr>
          <w:footerReference w:type="default" r:id="rId8"/>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b/>
          <w:bCs/>
          <w:color w:val="auto"/>
          <w:sz w:val="44"/>
          <w:szCs w:val="44"/>
          <w:highlight w:val="none"/>
        </w:rPr>
      </w:r>
      <w:r/>
    </w:p>
    <w:p>
      <w:pPr>
        <w:pStyle w:val="644"/>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w:t>
      </w:r>
      <w:bookmarkEnd w:id="173"/>
      <w:r>
        <w:rPr>
          <w:rFonts w:hint="eastAsia" w:ascii="宋体" w:hAnsi="宋体" w:eastAsia="宋体" w:cs="宋体"/>
          <w:b/>
          <w:bCs/>
          <w:color w:val="auto"/>
          <w:sz w:val="44"/>
          <w:szCs w:val="44"/>
          <w:highlight w:val="none"/>
        </w:rPr>
        <w:t xml:space="preserve">四章 采购需求</w:t>
      </w:r>
      <w:bookmarkEnd w:id="174"/>
      <w:r/>
      <w:bookmarkEnd w:id="175"/>
      <w:r/>
      <w:bookmarkEnd w:id="176"/>
      <w:r/>
      <w:bookmarkEnd w:id="177"/>
      <w:r/>
      <w:bookmarkEnd w:id="178"/>
      <w:r/>
      <w:r/>
    </w:p>
    <w:tbl>
      <w:tblPr>
        <w:tblStyle w:val="6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2"/>
        <w:gridCol w:w="1212"/>
        <w:gridCol w:w="6475"/>
        <w:gridCol w:w="814"/>
        <w:gridCol w:w="74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bookmarkStart w:id="180" w:name="_Toc120614281"/>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万兆供电交换机（外网）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2"/>
                <w:rFonts w:hint="eastAsia" w:ascii="宋体" w:hAnsi="宋体" w:eastAsia="宋体" w:cs="宋体"/>
                <w:color w:val="auto"/>
                <w:sz w:val="21"/>
                <w:szCs w:val="21"/>
                <w:lang w:val="en-US" w:eastAsia="zh-CN" w:bidi="ar"/>
              </w:rPr>
              <w:t xml:space="preserve">1、交换容量≥396Gbps，包转发率≥126Mpps</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2、端口类型≥24个10/100/1000Base-T电口，≥4个1G/10G SFP+光口。</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3、支持POE+，整机PoE最大输出功率375W，单端口最大输出功率35W</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4、▲支持组播VLAN ，可实现同一组数据在不同用户VLAN间的复制和转发，提供官网截图。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5、支持IEEE 802.3ad，支持动态链路聚合LACP</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6、支持Jumbo Frame数据传输。</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7、支持端口限速以及流限速功能，防止恶意侵占网络带宽，提供多种精细化管理手段，支持ARP Detection功能，支持ARP限速</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8、支持SNMPV1/2/3、TELNET、SSH等多种管理方式，支持管理平台、WEB网管，支持云管和自主网功能</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9、▲支持802.1X认证、 WEB认证、MAC认证和二三层Portal认证，支持客户端软件版本检测、Guest VLAN等功能，提供官网截图。</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99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框式PON交换机（外网）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1.整机交换容量≥168Tbps，包转发率≥36000Mpps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2.机箱式多插槽交换机，整机业务槽位数量≥3个</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3.支持冗余电源、冗余主控，主控板主备切换无丢包，主控交换卡、电源、接口模块、风扇等关键部件可热插拔</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4.▲支持融合AC功能，无醋额外配置单独硬件，并且能在交换机上对所有上线的AP 进行管理与配置，（提供权威第三方测试报告和提供官网截图证明）</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5.支持4框虚拟化技术，提供权威第三方测试报告</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6.▲支持MACsec硬件加密技术，实现MAC层安全加密，保证重要数据在传输过程中的保密性，提供权威第三方测试报告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7.支持RRPP、ERPS和RPR等环网技术，收敛时间≤50ms</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8.▲支持sFlow、Netstream等流量统计和分析功能，并支持对VxLAN报文的Netstream流量统计和分析功能，提供权威第三方测试报告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9.支持智能图形化管理功能，能够实现通过图形化界面设备配置及命令一键下发和版本智能升级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10.支持BFD功能，支持与OSPF、VRRP联动，收敛时间≤50ms</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11.▲支持有线/无线终端用户的端点准入防御功能，能够做到终端安全防范无漏洞（提供官网截图证明）</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12.支持以太网无源光网络（提供官网截图证明）</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13.为了保障整体网络兼容性和统一售后，要求核心层与接入层设备统一品牌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14.本次投标产品单台实配：双交流电源，千兆光口≥24个，万兆光口≥4个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无线接入点（外网）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1、支持802.11ax协议标准，整机双频五流，整机最大接入速率2.975Gbps</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2、▲固定接口≥1个2.5Gbps 自协商以太网口上行口（PoE受电），无线终端最大接入数≥256，提供官网截图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3、支持无线VLAN绑定</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4、支持无线漫游灵敏度调优、弱信号终端优化、智能优化</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5、支持基于AP侧的无线终端限速</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6、支持一键认证、短信认证、账号认证、访客认证、微信公众号认证、哑终端认证、会员认证、钉钉认证、认证逃生、自定义认证服务器地址</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7、支持通过移动终端平台统一管理与运维，可以查看AP在线情况、AP关键指标、AP信道使用情况</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r>
      <w:tr>
        <w:trPr>
          <w:trHeight w:val="859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万兆防火墙（外网）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2"/>
                <w:rFonts w:hint="eastAsia" w:ascii="宋体" w:hAnsi="宋体" w:eastAsia="宋体" w:cs="宋体"/>
                <w:color w:val="auto"/>
                <w:sz w:val="21"/>
                <w:szCs w:val="21"/>
                <w:lang w:val="en-US" w:eastAsia="zh-CN" w:bidi="ar"/>
              </w:rPr>
              <w:t xml:space="preserve">1、采用非X86多核架构，具备可插拔冗余电源模块</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2、支持1个 1T HDD\480G SSD硬盘槽硬盘插槽，需实配1个1T HDD硬盘</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3、至少配置16个千兆电口，4个Combo口，6个千兆光口，2个万兆光口，1个管理口，1个Console口，2个USB接口。</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4、▲要求具备≥2个接口扩展卡插槽（提供制造商官网截图证明）</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5、全威胁吞吐量≥1G</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6、应用层吞吐量≥2.6Gbps，网络吞吐量≥7G，并发连接数≥260万，新建连接数≥5.5万</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7、整机同时具备防火墙、链路负载均衡、入侵防御、防病毒、带宽控制、应用识别和web应用防护等功能。</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8、配置waf功能授权</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9、支持IPsec VPN隧道自动建立，无需流量触发；支持IPsec VPN智能选路，根据隧道质量调度流量。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10、可针对HTTP/HTTPS的安全策略来专门为Web应用提供保护。对来自Web应用程序客户端的各类请求进行内容检测和验证，确保其安全性与合法性，对非法的请求予以实时阻断，从而对各类网站进行有效防护。</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11、▲支持sql注入、跨站脚本、远程代码执行、字符编码等攻击的防护，支持对网络设备、网页服务器、数据库等设备的专属特征分类，支持CC攻击防护，可基于检测请求报文头的X-forward-for字段，以获取真正的源IP地址（提供功能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12、WAF规则支持用户自定义，同时支持导入和导出功能</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13、支持至少4700种的Web特征的攻击检测和防御</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14、支持至少9400条以上的应用识别，且提示风险类型及风险级别，便于用户根据实际情况进行上网行为管理。（提供截图）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15、支持云端防病毒，为保证检测时效性，特征缓存数至少保证20万条且缓存保留时间不应少于700分钟；</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16、支持数据防泄露，对传输的文件和内容进行识别过滤，对内容与身份证号、信用卡号、银行卡号、手机号等类型进行匹配。</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17、支持流量自学习功能，可设置自学习时间，并自动生成DDoS防范策略。</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18、支持基于接口及IP的报文捕获，并将捕获到的报文生成Wireshark（一种网络封包分析软件）可识别的.cap后缀文件，保存到本地或外部服务器，供用户分析诊断出入设备的流量。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19、支持报文示踪功能，支持真实流量、导入报文、构造报文等方式，用于分析和追踪设备中各个安全业务模块（如：攻击防范、uRPF、会话管理和连接数限制等）对报文的处理过程，通过查看报文示踪记录的详细信息，有利于管理员对网络故障的快速排查和定位。</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20、支持基于Http Accept-Encoding、HTTP Accept-Language、Http Host、Http Request-Method、Http URL-File、Http User-Agent等协议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21、能够防范DOS/DDOS攻击：Land、Smurf、Fraggle、Ping of Death、Tear Drop、IP Spoofing、IP分片报文、ARP欺骗、ARP主动反向查询、TCP报文标志位不合法、超大ICMP报文、地址扫描、端口扫描等攻击防范，还包括针对SYN Flood、UPD Flood、ICMP Flood、DNS Flood、http Flood、https Flood、sip Flood等常见DDoS攻击的检测防御。</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22、▲支持国密SM1/2/3/4算法。（提供功能截图）</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23、所投设备须支持虚拟防火墙功能：支持虚拟防火墙的创建、启动、关闭、删除功能；可独立分配CPU、接口、吞吐量、内存、磁盘空间等资源，支持2台设备堆叠成一台设备使用，实现统一管理，统一配置，所投设备支持高可靠性（包含主备/主主模式）部署。（提供功能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24、提供开放API接口（RESTful，NetConf），可编程管理防火墙，不再仅依赖网管软件。</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25、为体现投标产品生产厂商的软件研发和管理实力，厂商软件开发必须通过CMMI5级认证；</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26、投标产品制造厂商应具有预防潜在的威胁,增强本项目应对灾难的能力，保证产品和服务的连续性，通过ISO 22301业务连续性管理体系认证(认证覆盖的业务范围包括本次投标产品)。须提供相关证书复印件证明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27、投标产品制造厂商应具有完善的售后服务体系，专业的售后服务专业队伍，健全的售后服务制度和质量监测体系，通过服务体系完善程度认证七星级；须提供相关证书复印件证明</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28、为保证投标产品的厂商在安全漏洞方面整体研究水平及安全漏洞及时预防能力。具备网络安全漏洞统一收集验证、预警发布及应急处置体系，进而提高产品的安全性。产品生产厂商须进入国家信息安全漏洞共享平台（CNVD）技术组成员，并为2020年度漏洞信息报送突出贡献单位（CNVD），须提供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29、为保证投标产品的厂商在安全漏洞方面整体研究水平及安全漏洞及时预防能力。具备网络安全漏洞统一收集验证、预警发布及应急处置体系，进而提高产品的安全性。产品生产厂商须进入国家信息安全漏洞库（CNNVD）一级技术支撑单位，须提供证明材料</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30、▲为衡量所投产品制造商具备信息系统安全集成服务能力，提供中国网络安全审查技术与认证中心颁发的信息系统安全集成服务一级服务资质证书；须提供相关证书复印件证明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防火墙软件授权（外网）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（AV防病毒安全特征库，IPS特征库升级，应用识别特征库）1年授权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7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Style w:val="653"/>
                <w:rFonts w:hint="eastAsia" w:ascii="宋体" w:hAnsi="宋体" w:eastAsia="宋体" w:cs="宋体"/>
                <w:color w:val="auto"/>
                <w:sz w:val="21"/>
                <w:szCs w:val="21"/>
                <w:lang w:val="en-US" w:eastAsia="zh-CN" w:bidi="ar"/>
              </w:rPr>
              <w:t xml:space="preserve">1、1U标准机架设备，多核多线程CPU，8G内存，2T存储，标配6个千兆电口，1个扩展槽，可扩展4GE+4SFP插卡、8GE插卡、8SFP插卡，4SFP+插卡，提供设备证明清晰照片证明</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2、事件入库性能≥1500EPS；默认16个日志源；扩展步长8个日志源，最大可至128个日志源。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支持市面主流安全设备、网络设备、中间件、服务器、数据库、操作系统等设备对象的日志数据采集；支持主动、被动相结合的数据采集方式；支持日志转发；支持Syslog、SNMP、JDBC、WMI、FTP、文件等进行数据采集；支持通过Agent采集日志数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4、采集内容支持日志监控、文件监控（文件监控无需开启ftp、sftp协议）、网络包监控；</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5、支持控制采集时间、采集级别、采集范围、采集路径、采集名称、采集文件、多文件采集、采集编码格式、采集正则表达式、自定义采集等；</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6、支持采集网络流量，解析协议不少于ICMP、AMQP、Cassandra、DNS、HTTP、Memcache、MySQL、PgSQL、TNS、Redis、Thrift、MongoDB、NFS、TDS、Sybase、Drda、Dameng、POP、SMTP、达梦等；</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7、对元数据进行重加工或扩展加工，通过正则匹配、OID映射等配置文件编写，上传至现有日志审计平台，直接实现数据的扩展兼容；</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8、提供TOP10资产事件趋势，支持实时告警数、资产总数、日志事件总数、系统健康状况的图表显示。并支持资产总数、日志事件总数、系统健康状况四项的下钻查看详情；提供首页“进入/退出全屏”显示按键；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9、支持基于策略的多资产海量日志关联分析，发现安全事件进行关联通知；系统内置不少于50种常见安全事件关联分析规则；</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10、提供可视化关联分析规则编辑视图，可根据实际业务编辑关联分析规则，关联内容支持不少于资产、源地址、源端口、目的地址、目的端口、事件级别、原始日志、关键词等信息；</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11、支持所有日志事件按照通用模板进行多维日志类型、多设备类型日志进行因果性关联分析，支持三个因果关联，实现日志的多维异常分析；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12、支持自动生成主机访问关系图谱。关系图谱支持无限级延伸，支持点击业务主机节点自动绘制访问关系；</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13、支持关系图谱搜索、过滤，支持自定义关系节点图标、支持基于节点下钻查看日志信息、查看和拓展该点关系图等（提供截图）；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14、对单位内的设备类型、应用类型、协议类型等信息为基础，梳理出设备、应用、协议等之间的访问关系，实时树立访问关系，结合不同类型梳理出正常使用访问操作，非正常授权使用操作；</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15、支持根据内置事件类型，按照用户环境需求，定义无限级深度事件模型，绘制全网事件关联关系模型，提供基于模型而非特征的问题发现能力，辅助发现未知威胁；</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16、▲对单位服务器开放端口关系、服务器端口连接关系、服务代理关系、P2P模型关系等。通过关系图谱，可以提高对于未知威胁发现的能力（提供截图）；</w:t>
            </w:r>
            <w:r>
              <w:rPr>
                <w:rStyle w:val="653"/>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17、对单位网络中DNS服务器的访问关系，可以通过该关系图直接发现异常DNS服务器地址，发现DNS欺骗问题；</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18、结合单位认证授权设备，如堡垒机，进行登录行为的可视化关系，可以通过该图直接发现过度授权和未授权访问问题；</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19、满足单位根据等级保护中关于网络安全、主机安全、风险管理等相关事件统计要求；</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20、 满足单位萨班斯法案（SOX）中关于认证管理、账号管理、权限管理、操作管理、攻击管理、风险管理等相关要求事件统计；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21、满足单位信息安全管理要ISO27001中关于资产管理、人力资源安全管理、通信和操作管理、访问控制管理、信息系统获取/开发和维护管理、信息安全事故、业务连续性等相关要求事件统计；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22、满足单位第三方支付行业（支付卡行业PCI DSS）数据安全标准PCI DSS中关于网络安全管理、访问控制管理、网络监测管理、安全策略管理等相关要求事件统计；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23、提供按照全网概况、操作系统分析、安全设备分析、网络设备分析、数据库分析、Web应用分析、连接关系、事件关系、网络流量等进行分类的分析图组；</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24、支持根据用户需求进行图表自定义无需二次开发，实时查询总体、时间段、时间节点等相关内容以多样式的图表进行丰富综合展示；</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25、HTTP响应时间、响应状态码、访问来源IP、请求内容等信息监控，实现发现如状态码为404或响应时间超长情况监控、下钻、跟踪，提供及时进行Web性能优化的业务辅助；</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26、▲数据库响应时间、请求方式、请求内容等信息监控，实现发现如响应时间超长情况监控、下钻、跟踪，提供及时进行数据库性能优化的业务辅助（提供截图）；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27、支持实时日志查看，可选择任意时间节点进行查看全部日志或符合时间节点重要事件，无需进行二次查询；</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28、支持在查询结果页面按照时间切片，以柱状图显示每个时间间隔内的日志数量，可直接下钻查询，支持每一秒为一个时间隔。</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29、支持过滤条件不少于以下条件类型：设备IP、来源IP、目的MAC、来源端口、目的端口、目的地址IPV6、源MAC、源地址IPV6、操作用户、目的IP、事件名称、域名、事件级别、应用名称、请求信息、服务名称、错误信息、响应信息、资源类型、错误码、接收字节、数据库表名、状态码、协议、发送字节、请求方式等。</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30、支持在告警信息页面，点击统计图，以环形图形式对告警类型进行统计；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31、 支持根据时间范围、级别、规则类型、告警全文关键字等方式快速检索安全事件告警，检索结果支持Excel等格式导出。 支持邮件、声音、syslog等多种告警方式。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32、采用基于时间索引方式的日志存储和非关系型数据库的配置的存储架构，支持数据本地集中存储、本地离线备份存储、FTP离线存储、网络存储；</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33、支持日志的数据的冷热模式切换，即基于时间索引的及时关闭和开启索引；</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34、支持在资产列表页面，以环形图、饼状图形式对资产分组和类型进行统计；支持为一个IP分配多种业务类型，同时收取收集不同类型日志，并进行正确解析；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35、支持设备可用性状态监测，当设备出现异常超出设定阀值时及时发出告警信息；</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36、▲所投产品具备公安部颁发的日志分析（三级）销售许可证，提供复印件证明材料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37、▲所投产品具备国家版权局颁发的计算机软件著作登记证书，证书名称包含“日志审计”字样，提供证书复印件证明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38、本次所投安全产品制造厂商须具备ISO27001信息安全管理体系认证证书,提供证书复印件证明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39、为体现投标产品生产厂商的软件研发和管理实力，需获得CMMI 5（软件能力成熟度集成模型）认证，提供证书复印件证明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40、▲设备制造厂商具备信息安全应急处理一级服务资质，提供证明材料。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41、本次所投安全产品制造厂商须是CSA云安全联盟理事单位成员，提供证明材料。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42、▲为了满足网络安全等级保障2.0标准的需求，设备制造商官网应明确满足180天日志存储要求，支持多条件查询（提供官网截图）</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99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1、交换容量≥336Gbps，包转发率≥56Mpps。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2、端口类型≥8个10/100/1000Base-T电口，≥2个1000Base-X SFP光口。</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3、▲支持堆叠，持集群或堆叠多虚一技术，实现单一界面管理多台设备，堆叠台数≥9台，并提供官网截图。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4、支持MAC地址学习数目限制，MAC地址深度最≥8K</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5、支持组播VLAN ，可实现同一组数据在不同用户VLAN间的复制和转发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6、支持端口自环检测，可防止数据环路引起广播风暴。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7、支持端口限速以及流限速功能，防止恶意侵占网络带宽，提供多种精细化管理手段</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8、支持SNMPV1/2/3、TELNET、SSH等多种管理方式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9、支持802.1X和MAC认证，支持客户端软件版本检测、Guest VLAN等功能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10、可console管理，支持命令行调试</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11、支持sflow流量统计分析功能。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12、支持STP/RSTP/MSTP多种生成树协议，提高容错能力，提升网络稳定性。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13、所投交换机支持同一品牌的智能管理平台统一运维管理。</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14、▲支持丰富的IPV6业务特性及多种IPv6管理手段，提供官网截图。</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万兆核心交换机（公安内网）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1、交换容量≥5.98Tbps，包转发率≥237Mpps，整机功耗≤60W。</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2、端口类型≥24个100/1000BASE-X SFP光口，≥8个10/100/1000BASE-T电口，≥4个1/10G Base-X SFP+光口，≥1个Console口。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3、支持环境工作温度-5~45℃，工作相对湿度5～95%RH，无冷凝。</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4、支持802.3x流量控制(全双工)，支持未知单播/多播/广播抑制。</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5、▲支持端口镜像、流镜像、远程镜像，支持 SPAN/RSPAN 镜像和多个镜像观察端口，支持Loopback-detection端口环回检测，提供第三方具有CNAS标志的检测报告。</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6、▲支持智能弹性架构的堆叠，持集群或堆叠多虚一技术，实现单一界面管理多台设备，堆叠台数≥9台，并提供官网截图。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7、支持MAC地址学习数目限制，MAC地址深度最深≥32K</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8、支持组播VLAN，可实现同一组数据在不同用户VLAN间的复制和转发。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9、支持多种VLAN功能，支持802.1Q/Guest /Voice VLAN，。</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10、支持LACP/STP/RSTP/MSTP/PVST/Smart Link/RRPP快速环网保护机制等保护协议，提高容错能力，提升网络稳定性。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11、支持二层环网协议，支持SmartLink 树型拓朴和SmartLink多实例，提供主备链路的毫秒级保护，支持RRPP环型拓扑和RRPP多实例。</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12、支持防私接DHCP Snooping，避免上网终端从非法DHCP服务器分配IP地址。</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13、支持丰富的IPv4和IPv6三层路由协议、组播技术以及策略路由机制，支持IPv4/IPv6静态路由，支持双栈。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14、支持集中式MAC地址认证、802.1x认证、PORTAL认证、RADIUS 认证、TACACS认证，支持用户帐号、IP、MAC、VLAN、端口等用户标识元素的动态或静态绑定，同时实现用户策略（VLAN、QoS、ACL）的动态下发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15、支持DLDP单向链路检测协议，支持LLDP，支持NTP，支持VCT电缆检测功能，支持电源的告警功能，风扇、温度告警</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16、支持TCP/IP、ARP、ICMP 协议；支持OSPFv2 路由协议；支持 IGMPv2 协议，提供第三方具有CNAS标志的检测报告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Style w:val="655"/>
                <w:rFonts w:hint="eastAsia" w:ascii="宋体" w:hAnsi="宋体" w:eastAsia="宋体" w:cs="宋体"/>
                <w:color w:val="auto"/>
                <w:sz w:val="21"/>
                <w:szCs w:val="21"/>
                <w:lang w:val="en-US" w:eastAsia="zh-CN" w:bidi="ar"/>
              </w:rPr>
              <w:t xml:space="preserve">1、▲交换容量≥337Gbps，包转发率≥108Mpps，整机功耗≤22W，并提供官网截图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2、端口类型≥24个10/100/1000Base-T电口，≥2个1000Base-X SFP光口，≥2个1000Base-X SFP+光口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3、支持组播VLAN ，可实现同一组数据在不同用户VLAN间的复制和转发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4、支持端口自环检测，可防止数据环路引起广播风暴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5、支持IEEE 802.3ad，支持动态链路聚合LAC</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6、支持Jumbo Frame数据传输，在实现高密千兆接入同时，实现万兆上行的能力</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1、交换容量≥336Gbps，包转发率≥56Mpps。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2、端口类型≥8个10/100/1000Base-T电口，≥2个1000Base-X SFP光口。</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3、▲支持堆叠，持集群或堆叠多虚一技术，实现单一界面管理多台设备，堆叠台数≥9台，并提供官网截图。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4、支持sflow流量统计分析功能。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5、支持STP/RSTP/MSTP多种生成树协议，提高容错能力，提升网络稳定性。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6、所投交换机支持同一品牌的智能管理平台统一运维管理。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7、支持丰富的IPV6业务特性及多种IPv6管理手段。</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1、24个10/100/1000Base-T电口(包含两个uplink口，可作为上行口)，2个10G Base-X SFP+ 光口(uplink口)；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2、支持PoE+，整机最大输出：225W，单端口最大供电功率 30W；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3、交换容量：88Gbps，包转发：65.7Mpps；MAC地址表：8K，包缓存≥4Mbit；模式切换：标准交换、端口隔离、汇聚上联、网络克隆。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LC-LC 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LC-LC 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模块化电源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AC(70W)电源模块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1、名称：机柜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2、技术参数：高宽深(2000*600*600)mm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3、内置2个8位10A PDU</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1、产品符合ISO/IEC 11801；ANSI-TIA-568.2-D标准；；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2、PIN 针 采用磷青铜镀镍，再镀“50μ”金工艺；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3、标准19英寸机架式安装，采用高密度SPCC冷轧板，保证产品机械强度；</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(铁质)水平理线架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 芯 LC 双工机架固定式配线箱</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信息模块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1、产品符合ISO/IEC 11801；ANSI-TIA-568.2-D标准； PIN 针采用磷青铜镀镍，再镀”50μ”金工艺；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2、满足AWG23线规（6类 0.57）接入要求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3、塑料采用进口防火PC，符合UL94V-0标准；PCB采用FR-4双层板，IDC打线柱采用磷青铜材质；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4、特别优化金针和线路板补偿设计，有效降低串扰，提升产品性能；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5、内置隔离片设计，有效隔离线对之间的串扰；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6、免工具压线方式，施工便捷，降低施工手法对性能的影响，提升施工效率，降低施工成本；</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信息面板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 型双孔面板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1、蓝色-3米 6类非屏蔽跳线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2、水晶头采用优质PC材料；PIN 针采用磷青铜，“50μ”镀金工艺；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1、工作波长1310nm, 1550nm, 850nm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2、插损（典型值） ≤0.2dB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3、回损 PC≥45dB,UPC≥50dB,APC≥60dB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4、振动 ≤0.2dB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5、互换性 ≤0.3dB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6、长度≥2米</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一体化冷通道柜</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1、机柜尺寸：600*1200*2000mm（WDH，不含脚轮、调节地脚、柜顶线缆管理组件），封闭冷通道；需满足后期机柜数量扩容需求；机柜具有安装脚轮及调节地脚功能。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柜单元采用冷通道封闭的结构设计。机柜单元前门采用单开钢化玻璃门，在机柜单元前部空间形成密闭冷通道，机柜单元后部空间形成自然散热通道，借助室内房间空调或室温实现精确制冷,最大程度降低空调能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3、机柜单元配备弹门装置。当柜内温度异常时，前门可自动弹开应急散热通风；弹门装置的启动与微模块内部温度设定阈值联动。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4、机柜单元具备智能照明功能。每个机柜单元的前后通道内均配置LED灯。当机柜单元的门开启或关闭时，对应的LED灯自动亮起或熄灭，当打开前门时亮白光用于运维照明。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5、机柜单元应兼容上下进线，顶部盖板过线孔数量不少于2个，底部挡板过线孔数量不少于2个。过线孔均应用橡胶圈或毛刷覆盖以防止漏风；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6、机柜单元配备竖直安装型PDU。PDU额定输入电流32A，输出12口10A国标三扁插座，带电源指示和接线盒，不含工业插头，分左右安装（可根据实际需要选用其他类型PDU）。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7、机柜单元应有很强的兼容性，所有符合EIA-310-D标准的设备都可以安装在机柜单元中；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8、机柜单元应满足欧盟RoHS环保指令，所有部件需可靠接地，确保操作安全，满足IEC60950-1-2005安规标准。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一体化不间断电源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1、为保证电源产品的安全性设备制造厂商应为国产上市一线品牌；</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2、▲制造商具备ISO9000系列质量认证、1SO14001环境保护认证、职业健康安全管理体系认证、社会责任管理体系认证证书、有害物质过程管理IECQ证书，提供相关证书证明；</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3、制造商具备CNAS实验室资质，提供资质证明材料；</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4、▲制造商必须在本省内设有不少于6家直属维修服务网点，本市不少于1家直属维修服务网点，并提供服务工程师资格证书，且应具备原厂完善的售后服务方案（提供官网网址、网址服务网点信息截图，服务网点信息含联系人、联系方式、服务网点地址为依据）；</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5、▲制造商获得高新技术企业证书；为国家技术创新示范企业；为国家认定企业技术中心 </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6、技术研发能力强大，同时具有院士工作站、博士后科研工作站；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7、3KVA，220V输入，220V输出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8、输出功因0.9，比普通机型带载提高13%;</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9、变频功能，支持50Hz输入/60Hz输出或60Hz输入/50Hz输出;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10、直流冷启动，可利用电池开机;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1、蓄电池应和主机为同一厂家；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2、蓄电池应通过抗震检测，其抗震等级应不低于9级。</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3、蓄电池应具有泰尔检测认证及检测报告并提供检测报告复印件。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4、蓄电池正常使用时保持气密和液密状态，当内部气压超过预定值时，安全阀自动开启，释放气体，当内部气压降低后，安全阀自动闭合使其密封，防止外部空气进入电池内部。</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5、▲蓄电池连接件压降应低于7mV，需提供第三方检测报告复印件。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 蓄电池在25℃满容量状态下，静置28天后其蓄电池容量保存率应在96%以上 。</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7、蓄电池在大电流放电后，极柱不应熔断，其外观不出现异常。</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8、▲蓄电池密封反应效率不低于99.5%，需提供第三方检测报告复印件。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9、蓄电池连接初电流为I10的电阻连续过放30d后，马上充电后容量应能保持在原容量的99%以上。</w:t>
            </w:r>
            <w:r>
              <w:rPr>
                <w:rStyle w:val="654"/>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10、满足机房设备30分钟以上蓄电需求</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11、容量：12V/7AH</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一体化精密空调</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Style w:val="655"/>
                <w:rFonts w:hint="eastAsia" w:ascii="宋体" w:hAnsi="宋体" w:eastAsia="宋体" w:cs="宋体"/>
                <w:color w:val="auto"/>
                <w:sz w:val="21"/>
                <w:szCs w:val="21"/>
                <w:lang w:val="en-US" w:eastAsia="zh-CN" w:bidi="ar"/>
              </w:rPr>
              <w:t xml:space="preserve">1、▲制冷量≥2kW，风量≥600m3/h，无室外机一体化设计，机架式安装，不大于7U，提供设备照片予以证明。</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2、要求精密制冷单元采用变频压缩机，可根据机柜内部的实际热负荷在一定范围内动态调节冷量输出，以减少压缩机启停次数，延长压缩机寿命，并实现更精确的微模块内部温度控制。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3、投标的风冷型机架式精密空调应在-15℃～45℃的室外环境温度范围内保证正常制冷。</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4、要求整机连续运行设计寿命不小于 10 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5、精密制冷单元的送回风方式为上前送风，上后回风。</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6、每台机架式精密空调空调内置室内回风温度传感器，监控机柜内回风温度。</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7、机架式精密空调通过回风温度控智能制空调运行。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8、输入电压制式 220V~/50Hz，允许电压波动范围：220V±10%，频率：50HZ±2HZ。</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9、整机模块化设计，电路可全正面维护。</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10、压缩机采用高效可靠的转子变频压缩机，为世界知名品牌压缩机。压缩机的噪声等级达到行业标准的要求，同时压缩机可以在现场安装维修。</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11、室内机风机应采用高效离心风机，风机电机轴承的使用寿命大于4万小时。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12、一体化设计，无需室外机，无需铜管连接。</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控接口配置：配置有RS485监控接口，可提供本地和远端两种控制模式，自动进行启停切换和数据保存，具有工作状态、报警信号远端传送和控制功能。具有设备运行参数的设置及智能判断功能，对于超常规的参数设置（错误命令）能自动拒绝。 且具有良好的电气隔离（信号端子对地承受直流电压500V、1 分钟不击穿或闪烁）。                                                                          </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14、具有故障智能检测、诊断功能；空调机预留火灾、烟感等报警以及与其它安全器件联锁接口。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15、相对湿度控制精度：空调器在正常使用条件下，室内相对湿度控制 范围 40%～70%，控制精度应可达到设定点±5%。</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16、具备制冷系统高压告警、电源故障告警、压缩机过流保护等功能。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17、需和UPS为同一厂家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18、输入:AC 220V</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19、制冷剂:R134a</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20、制冷量:2kW</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21、内循环风量:600m3/h</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22、噪音:58dB(A)</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23、安装:机架式7U，深度800mm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机房动环系统</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1、本地15寸显示屏，Linux操作系统，4核处理器，系统稳定流畅；</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2、实时监控系统的UPS、温湿度、水浸、门磁、烟感等，提供有效的应急告警保护方案，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3、确保设备运行在一个可靠的基础设施环境；</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4、远程Web界面登录IP地址即可访问模块整机动环系统，实现远程运维，实现多个模块集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中监控，统一云平台管理；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5、可监控IT设备和任何IP终端，做到机房统一网管；</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6、微信小程序、短信、电话远程移动运维，无论何时何地都可实时监控，实现无人值守；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7、支持声光告警（放置于柜内冷通道前端）；</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8、冷通道进风温湿度</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9、需和UPS精密空调为同一品牌</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应急快冷系统</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可实现温度控制功能，实现应急状态快速冷却系统，下出风</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配电单元</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1、配电单元采用19英寸机架式安装设计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2、高度为3U，机架式安装。总输入63A/1P,UPS输入/输出32A/1P(带维修旁路)，市电3路馈出（1路空调+2路IT），UPS 2路馈出（2路IT）,带分路智能检测，含配电数据采集-485通讯。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配电模块能监控：主路输入电压电流、无功功率、开关状态、防雷器开关状态、防雷器状态、UPS开关状态等，馈出支路电压、电流、无功功率、有功功率、开关状态等。</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PDU单元</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12位标准10A供电插排，支持防浪涌，满足大功率设备接入需求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1、具有2个HDMI接口、2个VGA接口、1个CVBS接口、2个RJ45 千兆网络接口；2个USB2.0接口、2个USB3.0接口、1个RS232接口、1个RS485接口（可接入RS485键盘）、1个eSata接口；具有1路音频输入接口、2路音频输出接口、16路报警输入接口、9路报警输出接口（其中第9路支持受控直流12V输出）、具有1路直流12V输出接口（12V 1A）、可内置9块SATA接口硬盘；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2、可接入6T、8T、10T、12TB、14TB、16TB、18TB、20TB 容量的 SATA接口硬盘；可接入 AI 硬盘、加密硬盘；支持不同品牌、不同转速的监控级和企业级硬盘混合接入。支持SATA硬盘，SAS硬盘和SSD硬盘混合接入；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3、支持4通道输出，包括HDMI1、HDMI2、VGA1、VGA2，各输出口均支持显示系统主菜单，且每路均可分别进行预览、回放、配置等操作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4、支持4路视频流人脸识别，支持16路图片流人脸识别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5、人脸正对相机、人脸无遮挡等干扰情况，人脸识别准确率≥99%</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6、采用单人戴口罩正脸依次循环通行进行试验，试验人员数量不小于5人，通过速度不小于1m/s，人员通过间隔时间不大于1s，戴口罩人脸检出率不低于99%</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6TB 7200PRM 256M缓存</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24英寸 1080P HDMI</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484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视频防泄密安全网关</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2"/>
                <w:rFonts w:hint="eastAsia" w:ascii="宋体" w:hAnsi="宋体" w:eastAsia="宋体" w:cs="宋体"/>
                <w:color w:val="auto"/>
                <w:sz w:val="21"/>
                <w:szCs w:val="21"/>
                <w:lang w:val="en-US" w:eastAsia="zh-CN" w:bidi="ar"/>
              </w:rPr>
              <w:t xml:space="preserve">设备规格：标准机架式设备，默认支持6个千兆电口，支持以太网电口的线速转发，最大支持管理50个视频防泄密客户端以及端视频流调阅管控并发处理，配置单电源；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1、支持权限管理操作席终端用户对视频监控系统的访问进行准入控制，禁止非法用户接入视频监控系统。</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2、支持操作席终端机视频防泄密客户端软件下载/导出的视频数据和抓图自动加密保护。</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3、支持在操作席终端禁止通过截屏/录屏软件对监控画面进行截屏和录屏操作。</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4、支持二维码及透明水印技术对操作席终端显示的视频图像拍屏操作进行防护，具有事前震慑、事后追溯。</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5、支持外发视频文件的视频数据加密处理并设置权限和使用期限，过期自动删除。</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6、支持外发视频文件的接收方无需预先安装任何软硬件即可在权限内使用外发视频加密数据。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7、支持视频管控流程审批功能，对需要解密、外发视频监控数据的申请进行审批，批复通过后才有权限获取相关数据。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8、支持黑名单和白名单流量过滤控制，支持IP地址、端口等多种防护方式；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9、支持安全概览、日志管理、资产管理、策略配置、系统管理等功能。</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10、支持业务日志、资产日志、终端日志、系统日志、告警信息，支持风险聚合和风险处理功能。</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11、▲访问控制功能，依据安全策略，控制视频监控文件访问的授权环境及视频监控文件的访问，保护监控文件的能力应不小于5G字节；具有防控用户终端截取内存和显存数据截屏的能力。提供公安部检测机构出具的检测报告截图予以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12、▲视频监控文件的外发应用，支持通过授权，在用户终端将视频监控文件制作成外发数据，并应具有设置密码、时效、编辑、自删除等修改、调整功能；外发数据在时效和权限许可范围内，无需安装专用软件即可使用；5G大小的外发文件在标准配置的计算机上，打开时间比原始视频文件增加不应超过10秒钟。提供公安部检测机构出具的检测报告截图予以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13、▲产品具备公安部权威检测机构颁发的“视频安防监控数据导出防泄密”检测报告，提供检测报告复印件，并加盖公章。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83"/>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视频防泄密客户端安全软件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配套核心安全网关使用：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1、录像/抓图导出防泄密：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录像/抓图数据导出时自动加密保护；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只有在授权的操作席终端上才可以正常使用，一旦带离授权环境则完全无法使用；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2、拍摄屏幕防泄密：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支持显性水印，包含用户信息和设备信息，可威慑拍屏者并用于事后追溯；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支持隐性水印，包含用户信息，用于事后追溯；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3、截屏/录屏防泄密：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禁止在操作席终端上对监控画面进行截屏和录屏；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可防各种截屏/录屏软件；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4、视频数据外发防泄密：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获得授权后操作席终端用户方可将视频数据制作成外发文件；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可对外发文件设置访问权限、时限和次数，并具备自动删除功能；</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视频显示安全网关</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设备规格：标准机架式设备，支持12组HDMI接口解析，支持12路视频显示通道视频流上墙处理，默认支持1个以太网电口管理端口，配置冗余双电源；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1、水印功能：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支持显性水印，包含用户信息、时间信息和警示信息，可威慑拍屏者并用于事后追溯；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支持隐性水印，包含用户信息和时间信息，用于事后追溯；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2、分屏/全屏显示：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支持拼接屏幕防拍屏，支持分屏水印；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支持全屏幕防拍屏，支持整屏水印；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3、安全便捷的管理：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支持GUI人机交互界面控制，操作更便捷；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支持统一网管；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4、水印设置：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支持水印开关设置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支持水印位置设置，支持透明度设置，支持文本颜色设置；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支持水印字体样式、字体大小设置；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具有断电信息保存功能</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76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分布式坐席输入终端</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1、支持纯分布式架构，无需配置服务器即可构建去中心化的分布式音视频及控制系统；</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2、▲可同时输出无损视频流、浅压缩视频流、深压缩视频流（提供国家认可的第三方检测机构出具的检测报告）；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3、支持坐席管理功能和大屏拼接功能在同一硬件框架下配置和使用；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4、支持坐席管理功能和大屏拼接功能在同一软件界面下配置和使用；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5、支持1G、10G速率SFP模块；</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7、支持≥1个万兆光纤接口、≥1个千兆以太网口；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8、支持≥1个HDMI1.4/2.0的输入接口、≥1个HDMI1.4/2.0的输出接口；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9、支持≥1路模拟音频输入、≥1路模拟音频输出；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10、支持≥1个继电器接口；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11、支持≥1路的RS232接口，支持远程开关机，支持红外输入输出；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支持EDID管理；</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12、▲支持3840*2160@60帧/1080P60帧4:4:4采样，信号源从输入节点至输出节点投屏显示图像延时≤1ms（提供国家认可的第三方检测机构出具的检测报告）；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13、支持USB2.0接口，支持物理层USB透传控制，支持U盘、UKey、USBcamera、USB多点触摸屏、USB打印机，能够正常工作；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14、支持HDR，支持HDMI2.0视频格式输入/输出，支持HDCP2.2协议；</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15、工作温度-40℃~+85℃</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16、电源DC12V2.5A</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17、跨屏操作支持主屏、扩展屏，支持 Windows7、Windows10、WindowsXP、Windows11、Windows8.1、Ubuntu、凝思磐石4.2及以上版本、Redhat、MAC、红旗、中标麒麟、银河麒麟、统信 U0S、Debian、Cent0S、Linux、Solaris、Unix等操作系统；</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18、环通输出：支持HDMI2.0信号的环通输出，输入节点支持本地环出，环出信号与输入信号一致，在设备故障的情况下可以环出信号不受影响</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20、坐席对讲：支持坐席语音对讲，支持32人以上语音对讲功能；</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r>
      <w:tr>
        <w:trPr>
          <w:trHeight w:val="76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分布式坐席输出终端</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1、支持纯分布式架构，无需配置服务器即可构建去中心化的分布式音视频及控制系统；</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2、可同时输出无损视频流、浅压缩视频流、深压缩视频流；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3、支持坐席管理功能和大屏拼接功能在同一硬件框架下配置和使用；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4、支持坐席管理功能和大屏拼接功能在同一软件界面下配置和使用；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5、支持1G、10G速率SFP模块；</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7、支持≥1个万兆光纤接口、≥1个千兆以太网口；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8、支持≥1个HDMI1.4/2.0的输入接口、≥1个HDMI1.4/2.0的输出接口；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9、支持≥1路模拟音频输入、≥1路模拟音频输出；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10、支持≥1个继电器接口；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11、支持≥1路的RS232接口，支持远程开关机，支持红外输入输出；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支持EDID管理；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12、支持3840*2160@60帧/1080P60帧4:4:4采样，信号源从输入节点至输出节点投屏显示图像延时≤1ms；</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13、支持USB2.0接口，支持物理层USB透传控制，支持U盘、UKey、USBcamera、USB多点触摸屏、USB打印机，能够正常工作；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14、支持HDR，支持HDMI2.0视频格式输入/输出，支持HDCP2.2协议；</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15、工作温度-40℃~+85℃</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16、电源DC12V2.5A</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17、跨屏操作支持主屏、扩展屏，支持 Windows7、Windows10、WindowsXP、Windows11、Windows8.1、Ubuntu、凝思磐石4.2及以上版本、Redhat、MAC、红旗、中标麒麟、银河麒麟、统信 U0S、Debian、Cent0S、Linux、Solaris、Unix等操作系统（提供国家认可的第三方检测机构出具的检测报告）；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18、环通输出：支持HDMI2.0信号的环通输出，输入节点支持本地环出，环出信号与输入信号一致，在设备故障的情况下可以环出信号不受影响</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20、坐席对讲：支持坐席语音对讲，支持32人以上语音对讲功能；</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智能中控节点</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1、8个串口，2个千兆网口，1个HDMI输出，2个USB键盘鼠标，1个电源指示灯，1个开机按键，1个12v电源。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2、嵌入式Linux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3、支持控制室周边产品的集中控制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可视化中控软件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1、支持Android操作系统的平台设备对分布式系统的管控；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2、支持可编程控制平台，交互式的控制结构，可进行多设备间智能联动；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3、支持自定义添加受控设备，支持多种控件选择，可编辑中控；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4、支持RS-232、RS-422、RS-485、IR、I/O、TCP/IP等控制方式；</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5、可控制无纸化升降、音量大小的调节、电源开关、摄像机的控制、画面切换；</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▲提供原厂软件著作权证书复印件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可视化运维节点</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1、1路千兆网口，1路HDMI输出，2个USB键盘鼠标，1个开机按键，1路IR，1路IO。</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2、支持SNMP网络配置管理，可在通过运维管理服务对网络内的输入/输出节点检测发现，及时反馈设备IP地址、MAC地址、网关地址等状态信息，并可对设备进行批量升级。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3、支持用户日志，设备日志信息的查询。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4、支持设备的可视化拓扑图的自动生成。</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控制平板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不小于10.8英寸 8+128GB</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5G双频双千兆企业路由器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1、48x10GE SFP+；</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2、6x40/100GE QSFP28；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3、交换容量4.8Tbps/76.8Tbps，包转发2000Mpps。</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万兆单模10KM光模块；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融合侦研区主扩音柱（200W）</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1、采用6只意大利进口的3寸全频喇叭单元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2、额定功率≥200W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3、峰值功率≥800W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4、最大声压级（额定/峰值）:118dB/124dB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5、标称阻抗：6Ω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6、频率响应：80Hz-20KHz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7、灵敏度≥95dB(1M/1W)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8、喇叭单元：3＂全频×6</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融合侦研区辅扩音柱（150W）</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1、采用拼接排列扬声器设计，6只3寸进口全频单元；箱体采用12mm夹板制作。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2、阻抗：8Ω、频响：80Hz-20kHz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3、额定功率≥150W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4、灵敏度≥95dB/W/M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融合侦研区音柱壁挂支架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1、固定面板孔位尺寸（长*宽）：≥ 140mm*65mm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2、箱体固定面板孔位尺寸（长*宽）： ≥128mm*70mm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3、设备面板尺寸：≥160mm*90mm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融合侦研区主音箱功放</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融合侦研区辅助音箱功放</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1、具有≥10.1英寸1280x800真彩电阻触摸屏、数字编码器以及按键构成的操作面板。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2、具有≥17个电动推子，电动推子可操控：≥1个LR主声道推子、≥16个通道推子。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3、支持中英文界面切换，且无需重启。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4、内置USB录音、放音功能。能够识别USB电子盘内的中英文歌曲名，具备快进、下一曲、快速暂停等功能；且支持播放APE、FLAC、MP3、WAV音频格式。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5、内置≥16个通道独立的反馈抑制器，内置≥16路自动混音（增益共享型）。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6、具有≥2个内置效果器，自带有经典混响、大房间混响等效果模块；FX音效可使用专用的返回通道返回到混音且不占用单声道和立体声输入通道。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7、支持iPad触摸屏全功能控制，实时数据同步；支持≥8个终端同时控制。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8、可通过网络或者USB升级ARM固件、DSP固件。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9、每个输入通道具有≥4段参数均衡、噪声门、高低通、压缩、反相。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10、每个输出通道具有≥8段参数均衡、高低通、压缩、反相、延时器。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11、模拟输入≥24CH ( MIC/Line)；输出通道支持L/R、10BUS、HeadPhone(L/R)，10BUS混音总线可选择推子前、推子后（PRE/POST）。</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12、支持≥100组场景预设功能，可导出、导入USB存储器，便于数据备份；支持32个PEQ模式存储。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13、内置信号发生器：正弦波、粉红噪声、白噪声。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14、支持通道参数拷贝功能，相同的通道快速复制数据，通道名称可自定义。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15、接线方式：平衡式输入、输出卡侬。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16、支持≥8个推子编组、≥8个用户自定义按键、≥4个快速静音组按键。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1、数字音频处理器支持≥16路平衡式话筒/线路输入通道，采用裸线接口VN.K972250529端子，平衡接法；支持≥16路平衡式线路输出，采用裸线接口端子，平衡接法。</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输入通道支持前级放大、信号发生器、扩展器、压缩器、≥12段参量均衡，≥31段图示均衡、闪避器、AGC自动增益、AM自动混音功能（门限式、增益共享式）、AFC自适应反馈消除、AEC回声消除、ANC噪声消除、音频矩阵。（提供设备界面截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3、输出通道支持≥12段参量均衡，≥31段图示均衡、延时器、分频器、高低通滤波器、限幅器。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4、高性能专业DSP处理器，支持≥32bit/48kHz的声音，支持输入通道48V幻象供电。</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5、具有≥2英寸IPS真彩显示屏，支持显示设备网络信息、实时电平、通道静音状态。</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6、▲支持通过APP软件进行操作控制，面板具备USB接口，支持多媒体存储，可进行播放或存储录播。（提供国家认可的第三方检测机构出具的检测报告）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7、配置双向RS-232接口，可用于控制外部设备；配置RS-485接口，可实现自动摄像跟踪功能。配置≥8通道可编程GPIO控制接口（可自定义输入输出）。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8、支持断电自动保护记忆功能。支持通道拷贝、粘贴、联控功能。管理控制软件可工作在XP/Windows7、8、10等系统环境下。</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9、≥8个场景预设，支持场景信息导入、场景信息导出。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融合侦研区抑制器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1、高性能DSP处理，≥40-bit DPS处理器（400兆主频），提供≥32-bit/48kHz的声音。</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2、▲采用“陷波”+“移频”双方式进行反馈抑制。陷波器提供12固定点+12动态点。高精度移频，范围等同或优于-10Hz到10Hz。（需提供得到CMA或CNAS认可的检测机构出具的检测报告作为该技术参数证明材料）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3、均衡器支持≥31段图示均衡器和8段参量均衡器。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4、支持巴特沃斯，贝塞尔，林克威治-瑞利三种类型及多种倍频程。</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5、具有自动增益功能，声音达到一定峰值自动衰减变小，声音较小则自动增益放大。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6、具有一个IPS真彩显示屏。支持中英文切换显示。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7、具有≥48个陷波器状态LED指示灯实时显示，每通道≥12个静态+≥12个动态陷波器。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8、具有≥双通道直通，一键重置陷波点配置功能。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9、支持≥4个场景切换。</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10、支持设备定位功能、断电自动保护记忆功能。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11、输入通道及插座≥2路XLR与TRS多功能座模拟输入；输出通道及插座≥2路XLR公座+≥2路TRS公座模拟输出。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1、频率指标：优于530-580MHz，640-690MHz，调制方式：宽带FM，频道数目：≥200个频道。</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2、配套有≥1台接收主机和≥2个无线手持话筒。</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3、采用UHF超高频段双真分集接收，并采用PLL锁相环多信道频率合成技术。</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4、接收机指标：采用自动选讯接收方式，灵敏度:≥12dB μV（80dBS/N)，频率响应:优于50Hz-16.5kHz。</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5、发射机指标：音头采用动圈式麦克风；手持麦克风内置螺旋天线。</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6、输出功率:≥30mW。</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7、▲投标产品无线话筒（由于无线电频谱资源属于国家所有，无线话筒含有无线传声器），要求需经由无线传声器经过国家无线电监测中心检测中心检验并出具《短距离微功率设备射频认证试验报告》（提供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融合侦研区放大器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1、频率范围等同或优于500MHZ-1GHZ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2、端子：TNC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3、噪声≤3dB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4、增益≥15db</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融合侦研区分线盒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1、通过内部补偿电路可以减少接线线损。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2、在放大器系统中，通过此分线盒方便转接和安装。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3、分线盒与强波器串连在线路中，方便连接。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4、分线盒在线路中有隔离杂讯的功能，防止自激。</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1、提供≥2进≥8出的天线信号分配器设备。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2、简化天线装配工程，提升接收距离及效能。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3、两路天线信号接收到分配器的天线输入端。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4、两路信号输出到下一台分配器的天线输入端进行级联。</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1、插座采用全铝结构，信息模块接口采用标准模块。</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2、弹起式桌面插座，支持45°仰角。</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3、▲具有≥1个功能按键，支持自定义按键的功能，搭配中控矩阵使用可实现视频切换、搭配中控系统支持扩展场景调用功能、搭配中控会议系统实现会议系统电源开启关闭功能等。（提供设备界面截图佐证）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vMerge w:val="restart"/>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1、设备具有音频时钟同步传输技术，端到端音频传输＜5ms。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2、内置DSP处理器，具有≥16路音频矩阵、啸叫抑制、≥10段EQ调节、音量dB值调节、延时器调节功能。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3、设备接口：通讯接口：≥2路RS232接口、≥1路RS-485接口、≥4路RJ45；音频输出接口≥1路RCA、≥1路卡侬头、≥16路凤凰端子；音频输入接口≥1路RCA、≥1路卡侬头、≥2路凤凰端子。</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6、具有≥16通道同传输出模式，可使同传音频根据通道号独立输出，可供录音或监听设备使用。且输出通道数量，可通过外部设备扩展。</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7、具有≥16通道相控输出模式，内置≥nx16音频矩阵处理器，实现≥16通道分组输出功能。可使任意输入源（包括所有输入源和在线话筒），按任意音量比例，输出到任意通道。</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8、会议主机采用TCP/IP网络协议，具有客户端、WEB端控制方式，可供PC软件或浏览器控制。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9、设备具有安卓手机、平板APP软件，通过软件可控制话筒开关、开启签到、投票、表决、接收会议服务信息、一键关闭无线话筒等功能，免PC操作。</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12、支持环形手拉手功能，确保在其中的一条网线断开或者话筒出现故障时，会议能继续正常进行。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13、具有支持中、英、俄、法文多种语言任意切换显示。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14、PC软件可查看在线无线话筒的电池电量、WiFi信号等信息状态；支持一键关闭所有无线话筒、单独关闭某个无线话筒。</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15、设备具有会议发言录音功能；搭配会议话筒可以录制单个话筒发言音频或录制所有话筒混音输出音频；支持通过主机U盘录音或PC软件录音。</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16、支持搭配同声传译系统，最大可同时传输≥63+1的有线同声传译。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17、系统与语音转写系统深度适配，系统之间通过网线交互数据，实现角色分离语音转写功能。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18、具有消防报警联动触发接口，支持对接烟雾报警器实时检测，触发后报警信息会同步至话筒界面和主机界面。</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19、具有≥1路RS-485接口，支持一台摄像机实现摄像跟踪，支持PELCO-D、VISCA控制协议。配合摄像跟踪主机达到多路视频自动跟踪功能。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20、≥四种话筒管理模式:FIFO（先进先出）、NORMAL（普通模式）、VOICE（声控模式）、APPLY（申请模式）。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21、系统具有发起会议签到、表决、选举、评级、满意度、自定义VN.K972250529功能。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22、具有≥4.3英寸全彩触摸屏，可实现对参数设置或查看，进行任意触摸操作。</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23、强大的编ID功能，可对有线单元、无线单元、译员机、角色分离主机进行编ID。</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24、支持≥10段 EQ调节功能，≥16路多功能输出通道与≥2路LINEOUT输出通道都具有≥10段 EQ调节功能。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25、支持AP信道扫描，监测现场的无线信道使用情况，支持信道自动或手动配置最佳信道，支持AP名称在线显示列表。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26、会议主机具备注册天数显示功能，可以随时了解注册后使用的剩余天数；支持触摸设备屏幕输入注册码进行主机注册。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27、具备主机双机热备功能，可设置主机或从机功能，当主机出现故障时，可自动切换至从机运行，实现双备份功能。</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28、▲具有运维管理平台，可通过web端远程固件升级；具有日志管理功能，可以自动收集和存储系统日志；比如实时监测设备运行状态、设备故障信息，包括内存不足、火警提示、id重复等。（需提供得到CMA或CNAS认可的检测机构出具的检测报告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357"/>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vMerge w:val="continue"/>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56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1、具有自动混音功能，包括增益共享型自动混音以及门限型自动混音。具有自动增益功能，能够有效将话筒音量保持在一定动态范围。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2、具有AFC反馈抑制功能，采用陷波+移频双方式，能够自动抓取啸叫点并设置陷波器陷波，陷波器支持≥12个固定点≥+12个动态点，可有效消除啸叫功能。</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具有话筒语音激励功能，可设置跟踪阈值，当话筒发言达阈值时可实现联动摄像跟踪功能。具有EQ调节功能，输出具有≥31段图示均衡器调节。（需提供得到CMA或CNAS认可的检测机构出具的检测报告作为该技术参数证明材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1、一款双通道音频隔离器。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2、低底噪、无50Hz交流“嗡”声、无高频“嗞啦”干扰。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4、即插即用，支持热插拨。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6、内置瞬态、浪涌抑制、抗静电保护电路。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融合侦研区无线会议主席话筒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1、话筒采用≥48kHz采样率。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2、采用芯片架构及算法，话筒开机连接时间≤5秒。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5、可通过UI设置SSID。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7、具有发言计时和定时发言功能。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9、支持签到功能，通过PC软件设置并发起。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12、主席具备优先权功能，可关闭正在发言的所有代表话筒。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13、采用≥4.3英寸全彩触屏，咪杆长度≤240mm。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14、具备3.5mm耳机孔，可连接外置麦克风。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45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融合侦研区无线会议代表话筒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1、话筒采用≥48kHz采样率。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2、采用芯片架构及算法，话筒开机连接时间≤5秒。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5、可通过UI设置SSID。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7、具有发言计时和定时发言功能。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9、支持签到功能，通过PC软件设置并发起。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12、代表机具有申请发言功能，通过主席机批准申请人发言。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13、采用≥4.3英寸全彩触屏，咪杆长度≤240mm。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14、具备3.5mm耳机孔，可连接外置麦克风。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1、固定端口：5个10/100/1000Base-T电口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2、模式切换：标准交换 端口隔离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3、交换容量10Gbps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4、转发能力 7.4Mpps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5、PoE 4个下行端口，单端口最大供电功率 30</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融合侦研区发射器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1、遵从Wi-Fi 6协议标准（IEEE 802.11ax），向下兼容802.11a/b/g/n/ac/Wave2，支持MU-MIMO，允许AP同时接收多个终端发送数据，整机最大传输速率可达1.601Gbps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2、支持OFDMA空间复用技术和1024QAM调制解调算法。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3、支持中文SSID，可指定最长包含≥31个字符的SSID，也可以使用中英文混合的SSID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4、支持WPA3安全协议。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5、支持等同或优于80/160MHz的高带宽频段。</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融合侦研区充电箱</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1、充电箱具有≥10个USB接口，支持使用USB线充电，提供5V/9V供电。一端连接充电器一端连接会议单元,支持18W快充。支持同时插满所有USB接口。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2、根据设备的耐受电流大小充电器会自动匹配合适的电流大小给设备充电，同时有过流保护功能。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3、智能自动电路保护，所有USB插口均具有短路保护功能和自恢复功能。</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4、额定功率≥100W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5、阻抗：8Ω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6、灵敏度(1W/1M)≥92dB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2、配套有≥1台接收主机和≥2个无线手持话筒。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4、额定功率≥100W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5、阻抗：8Ω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6、灵敏度(1W/1M)≥92dB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2、配套有≥1台接收主机和≥2个无线手持话筒。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实战指挥室音柱（100W）</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1、额定功率≥100W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2、标称阻抗：8Ω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3、频率响应：150Hz-14KHz@-6dB  / 80Hz-20KHz@-10dB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4、灵敏度≥95dB(1M/1W)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5、垂直覆盖角≥20°，水平覆盖角≥120°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6、喇叭单元：3＂全频×4</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实战指挥室调音台</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2、具有≥2组立体主输出、≥4路编组输出、≥4路辅助输出、≥1组立体声监听输出、≥1个耳机监听输出、≥1个效果输出、≥1组主混音断点插入、≥6个断点插入。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3、内置≥24位DSP效果器，提供≥100种预设效果。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4、具备≥13个60mm行程的高精密碳膜推子。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1、数字音频处理器支持≥4路平衡式话筒/线路输入通道，采用裸线接口端子，平衡接法；支持≥4路平衡式线路VN.K972250529输出，采用裸线接口端子，平衡接法。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2、输入通道支持前级放大、信号发生器、扩展器、压缩器、≥5段参量均衡、AM自动混音功能、AFC自适应反馈消除、AEC回声消除、ANC噪声消除。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3、输出通道支持≥31段图示均衡器、延时器、分频器、高低通滤波器、限幅器。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4、支持≥24bit/48kHz的声音，支持输入通道48V幻象供电。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5、具有液晶显示屏，支持显示设备网络信息、实时电平、通道静音状态、矩阵混音状态。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6、支持通过ipad或iPhone或安卓手机APP软件进行操作控制，面板具备USB接口，支持多媒体存储，可进行播放或存储录播。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7、配置双向RS-232接口，可用于控制外部设备；配置RS-485接口，可实现自动摄像跟踪功能。配置≥8通道可编程GPIO控制接口（可自定义输入输出）。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8、支持断电自动保护记忆功能。支持通道拷贝、粘贴、联控功能。支持通过浏览器访问设备，下载自带管理控制软件；可工作在XP/Windows7、8、10等系统环境下。</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实战指挥室抑制器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1、高性能DSP处理，≥40-bit DPS处理器（400兆主频），提供≥32-bit/48kHz的声音。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2、采用“陷波”+“移频”双方式进行反馈抑制。陷波器提供12固定点+12动态点。高精度移频，范围等同或优于-10Hz到10Hz。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3、均衡器支持≥31段图示均衡器和8段参量均衡器。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4、支持巴特沃斯，贝塞尔，林克威治-瑞利三种类型及多种倍频程。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5、具有自动增益功能，声音达到一定峰值自动衰减变小，声音较小则自动增益放大。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6、具有一个IPS真彩显示屏。支持中英文切换显示。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7、具有≥48个陷波器状态LED指示灯实时显示，每通道≥12个静态+≥12个动态陷波器。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8、具有≥双通道直通，一键重置陷波点配置功能。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9、支持≥4个场景切换。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10、支持设备定位功能、断电自动保护记忆功能。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11、输入通道及插座≥2路XLR与TRS多功能座模拟输入；输出通道及插座≥2路XLR公座+≥2路TRS公座模拟输出。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2、配套有≥1台接收主机和≥2个无线手持话筒。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1、插座采用全铝结构，信息模块接口采用标准模块。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2、弹起式桌面插座，支持45°仰角。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3、具有≥1个功能按键，支持自定义按键的功能，搭配中控矩阵使用可实现视频切换、搭配中控系统支持扩展场景调用功能、搭配中控会议系统实现会议系统电源开启关闭功能等。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50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1、设备具有音频时钟同步传输技术，端到端音频传输＜5ms。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2、内置DSP处理器，具有≥16路音频矩阵、啸叫抑制、≥10段EQ调节、音量dB值调节、延时器调节功能。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3、设备接口：通讯接口：≥2路RS232接口、≥1路RS-485接口、≥4路RJ45；音频输出接口≥1路RCA、≥1路卡侬头、≥16路凤凰端子；音频输入接口≥1路RCA、≥1路卡侬头、≥2路凤凰端子。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6、具有≥16通道同传输出模式，可使同传音频根据通道号独立输出，可供录音或监听设备使用。且输出通道数量，可通过外部设备扩展。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7、具有≥16通道相控输出模式，内置≥nx16音频矩阵处理器，实现≥16通道分组输出功能。可使任意输入源（包括所有输入源和在线话筒），按任意音量比例，输出到任意通道。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8、会议主机采用TCP/IP网络协议，具有客户端、WEB端控制方式，可供PC软件或浏览器控制。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9、设备具有安卓手机、平板APP软件，通过软件可控制话筒开关、开启签到、投票、表决、接收会议服务信息、一键关闭无线话筒等功能，免PC操作。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12、支持环形手拉手功能，确保在其中的一条网线断开或者话筒出现故障时，会议能继续正常进行。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13、具有支持中、英、俄、法文多种语言任意切换显示。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14、PC软件可查看在线无线话筒的电池电量、WiFi信号等信息状态；支持一键关闭所有无线话筒、单独关闭某个无线话筒。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15、设备具有会议发言录音功能；搭配会议话筒可以录制单个话筒发言音频或录制所有话筒混音输出音频；支持通过主机U盘录音或PC软件录音。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16、支持搭配同声传译系统，最大可同时传输≥63+1的有线同声传译。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17、系统与语音转写系统深度适配，系统之间通过网线交互数据，实现角色分离语音转写功能。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18、具有消防报警联动触发接口，支持对接烟雾报警器实时检测，触发后报警信息会同步至话筒界面和主机界面。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19、具有≥1路RS-485接口，支持一台摄像机实现摄像跟踪，支持PELCO-D、VISCA控制协议。配合摄像跟踪主机达到多路视频自动跟踪功能。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20、≥四种话筒管理模式:FIFO（先进先出）、NORMAL（普通模式）、VOICE（声控模式）、APPLY（申请模式）。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21、系统具有发起会议签到、表决、选举、评级、满意度、自定义VN.K972250529功能。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22、具有≥4.3英寸全彩触摸屏，可实现对参数设置或查看，进行任意触摸操作。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23、强大的编ID功能，可对有线单元、无线单元、译员机、角色分离主机进行编ID。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24、支持≥10段 EQ调节功能，≥16路多功能输出通道与≥2路LINEOUT输出通道都具有≥10段 EQ调节功能。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25、支持AP信道扫描，监测现场的无线信道使用情况，支持信道自动或手动配置最佳信道，支持AP名称在线显示列表。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26、会议主机具备注册天数显示功能，可以随时了解注册后使用的剩余天数；支持触摸设备屏幕输入注册码进行主机注册。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27、具备主机双机热备功能，可设置主机或从机功能，当主机出现故障时，可自动切换至从机运行，实现双备份功能。</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93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1、具有自动混音功能，包括增益共享型自动混音以及门限型自动混音。具有自动增益功能，能够有效将话筒音量保持在一定动态范围。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2、具有AFC反馈抑制功能，采用陷波+移频双方式，能够自动抓取啸叫点并设置陷波器陷波，陷波器支持≥12个固定点≥+12个动态点，可有效消除啸叫功能。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3、具有话筒语音激励功能，可设置跟踪阈值，当话筒发言达阈值时可实现联动摄像跟踪功能。具有EQ调节功能，输出具有≥31段图示均衡器调节。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1、一款双通道音频隔离器。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2、低底噪、无50Hz交流“嗡”声、无高频“嗞啦”干扰。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4、即插即用，支持热插拨。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6、内置瞬态、浪涌抑制、抗静电保护电路。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≥30米延长线（一公一母）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68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实战指挥室无纸化主机（包含智能无纸化会议管理服务器软件）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硬件部分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无纸化服务主机搭配管理软件，负责处理会议功能模块、会议主题、参会人员信息、会议议题、投票内容等会前信息预设，具有会议各类文件资料的上传分发、人员的权限管理设置、会议信息的实时记录等应用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2、采用CPU配置等同或优于四核（参考的配置等同或优于I7）</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3、采用内存配置≥8G</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4、采用硬盘容量≥1TB</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5、具有千兆网络接口（RJ45）</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6、具有视频输出接口：≥1×HDMI；具备音频接口：≥1×3.5mm音频输入接口、≥1×3.5mm音频输出接口；具备其他接口：≥1×RS232、≥4×USB接口。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软件部分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1、支持多会议室管理，会议室支持可视化布局配置管理。支持会议室坐席可视化控制。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2、支持本地联合会议和异地互联会议（需搭建专网专线）。</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3、支持会议室坐席模拟排位功能，支持人员筛选，支持根据人员权重自动排位和手动排位。</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4、支持多个会议议题进行管理操作，每个议题可以独立上传多份附件；支持议题内加入VN.K972250529文件夹，三级目录文件展示；支持快速创建议题关联的投票。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5、支持统一管理多个投票，实时查看投票过程与结果，控制投票结果实时投屏展示。支持投票导入导出功能。支持投票身份认证。</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6、支持统一管理多个评分，实时查看评分过程与结果，控制评分投屏。支持评分导入导出功能。支持评分身份认证。支持配置平均分规则为默认或截尾平均数。支持评分备注功能。（提供功能界面截图佐证）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7、支持批注白板，可同时管理各参会人员的电子白板存档、手写批注、文档批注，支持后台预览及一键导出功能。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8、支持三员管理功能。开启该功能后系统将分为系统管理员、会务管理员、审计员三种角色。</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9、支持个人中心H5网页展示，可会前、会中上传资料，查看资料，支持会后下载参加过的会议的资料及批注文件，保密会议会前会后不能查看会议资料。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10、支持双机热备，主从设备数据同步，当主设备出现故障时从机接管。</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11、支持服务器监控，可查看服务器cpu使用率、内存使用率、磁盘空间、网络传输速率，可设置阈值警告。</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由于软件决定着本产品功能的完整性，要求设备软件具备《计算机软件著作权登记证书》，提供证书复印件及证书编号在中国版权保护中心官网的查询结果截图。软件名称要求是“智能无纸化会议管理服务器软件”或相近的软件。</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▲出于信息安全考虑，要求投标的智能无纸化会议管理服务器软件需通过信息系统安全等级（二级或以上）保护备案，提供公安机关出具的备案证明复印件。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实战指挥室无纸化升降器（包含无纸化升降器内嵌软件）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硬件部分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1、触控超薄高清显示屏与升降器一体化设计，无外露连接线、无连接背板、无外露螺丝，保证升降显示触控屏整体美观大方。</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2、设备采用全铝结构，优质铝材加上CNC精雕加工，显示屏框架、机箱都为铝合金带麦克风一体升降，设备的表面处理为阳极氧化处理。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3、话筒升降具有自动扶直功能，当麦杆弯曲时，机器关闭可自动扶直麦杆，不会损坏麦杆。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4、具备≥1组232/485，≥2路USB接口。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传动结构做特殊处理，噪音降到最低。产品传动方式以高品质耐拉皮带与高精密度的滑块导轨和直线轴承配合，交流减速电机做驱动动力；中控协议兼容性较强，兼容所有控制主机，控制设备在上升后，屏幕自动供电，下降后，屏幕自行断电，节约环保。</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6、15.6英寸超薄液晶触屏显示器，分辨率达1920*1080P，显示效果清晰亮丽，可调节背光设计</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7、支持≥1路HDMI和≥1路VGA信号输入，当只有一路信号输入时，屏幕会自动识别信号，当两路信号同时输入时，可通过面板按键手动切换，当无信号输入时，屏幕自动进入省电模式。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8、设备可通过中控软件进行集中控制，可通过主机进行控制，一键可让室内所有的设备都上升或下降。</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9、显示屏仰角符合人体工程学原理，不遮挡视线和人脸，要求显示屏仰角角度可调0-30°。</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10、要求升降器具备≥1路环通输出电源插座，给终端供电减少终端电源插座布线。（提供电源接口图佐证）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11、桌面面板具备≥1路USB接口，支持连接U盘可进行浏览文件或上传文件等操作。</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软件部分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1.软件内嵌于终端设备，显示端可对多种文件格式文档进行阅览。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2.支持多种分辨率适配，可适应各种终端界面。</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895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实战指挥室无纸化会议终端（包含无纸化会议终端软件）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硬件部分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多媒体会议终端主机搭配终端内嵌软件负责处理会议过程的文件推送、文件分发、浏览阅读、文件批注、智能签到、投票表决、电子白板、电子铭牌、会议交流、会议服务、视频信号互联互通、会议管控、同屏广播等应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2、支持无纸化会议模式和Windows模式，可任意切换。</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3、可对多种文件格式进行阅览，包括常见格式doc/ docx /xls/ xlsx /ppt /pptx/ pdf /txt/jpg/png等，参会人只可看到有权限的文件。</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4、会议过程中可以随时进行会议笔记记录，支持下载到本地。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5、个人中心模块支持会前、会中上传资料，查看资料（保密会议会前不能查看）；支持会后下载参加过的会议的资料。</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6、结束会议终端自动清除本地会议文件。</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7、具有≥4×USB、≥1×HDMI、≥1×VGA、≥1×LAN、≥1×MIC-IN端口、≥1×LINE-OUT端口、≥1×DC端口、≥1×COM口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8、采用CPU配置不低于I5处理器（四核）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9、采用内存配置不低于4G</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10、采用硬盘容量不低于128GB 固态硬盘</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11、具有千兆网络接口（RJ45）</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软件部分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1、支持会议信息展示。支持查看参会名单和会议人员座位图。</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2、支持文档阅览，可对多种文件格式进行阅览，支持权限设置功能，参会人仅能看到自己有权限查看的文件。同时支持文档批注功能，可以对文档图片进行批注、保存，并支持多人交互批注。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3、支持U盘上传会议资料，进行文件阅览或共享其他参会人员，同时上传文件可保存在服务器和本地终端中。</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4、支持截屏批注，可单人批注或多人批注。批注结果可保存至服务器，会后自动归档处理。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5、内置浏览器，支持浏览以太网网络，可后台统一设置，点击直接打开配置好的网页。</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6、支持屏幕同屏广播，支持跨平台（windows/Android）广播；屏幕广播/文档主讲支持申请模式。同屏广播具备计时功能，可选择倒计时或顺计时，以及具备选择是否同步到大屏功能。</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7、支持异步浏览，参会人员可以通过异步浏览自由使用终端其他功能，也支持浮窗的方式进行异浏览。</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8、支持个人中心（个人空间）功能，可查看自己参与过的会议的会议信息。</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9、支持多媒体分享功能，多种媒体以广播的方式分享到其它终端，并可以交互操作。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10、支持集中控制操作，控制终端显示内容，控制终端开关机，支持对服务器的关机控制，支持无纸化升降器及话筒的统一升降。</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11、会议主持可控制评分功能启用、结束，查看统计结果功能，评分过程结果实时投屏；支持评分签名确认。</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12、会议主持可通过信号管理将任意参会人本地画面屏幕广播至任意或全部参会人，也可以结束任意参会人的共享画面；分组同屏广播最大可支持8个分组，同时投送到大屏显示最大支持4路。</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13、会议主持可管理会议纪要，管理纪要文件查看权限；并可发起会签，现场生成会签文档和最终纪要文件。</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由于软件决定着本产品功能的完整性，要求设备软件具备《计算机软件著作权登记证书》，提供证书复印件及证书编号在中国版权保护中心官网的查询结果截图。软件名称要求是“无纸化会议终端软件”或相近的软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513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实战指挥室无纸化流媒体主机（包含无纸化流媒体服务器嵌入软件）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硬件部分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1、内嵌高清、标清视频信号处理模块，同步、异步处理视频信号输入、输出。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2、支持HDMI信号输入，外部信号通过此接口实时广播画面到所有会议终端并同步显示。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3、支持HDMI信号输出，任何会议终端画面通过此接口输出至大屏幕或其他信号显示设备。</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4、配置≥1路3.5mm音频输入接口和≥1路3.5mm音频输出接口，实现音视频同步输入输出。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5、支持全高清1080P、高清720P等多种高清分辨率输出。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6、要求服务器的CPU配置等同或优于四核（参考配置等同或优于I5），内存配置≥4G，硬盘为固态硬盘且容量≥128GB。</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7、具备视频输入接口：≥1×HDMI；具备视频输出接口：≥1×HDMI；具备音频接口：≥1×3.5mm音频输入接口、≥1×3.5mm音频输出接口；具备≥2×RS-232、≥4×USB接口。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软件部分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1、支持签到投屏功能，将签到过程、签到结果展示在大屏上。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2、支持将电子白板、会议标语、文档主讲、外部信号等信息广播到大屏展示。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3、支持多媒体(桌面同屏、电子白板、文档资料等)分组投屏功能， 最大可支持≥4分屏画面同时投屏输出显示。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4、支持大屏点播功能，直接播放服务器原生视频文件；支持大屏广播功能，将大屏的画面广播同步到各个终端并显示。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5、支持大屏视频矩阵功能，同时支持多路多媒体源进行播放功能。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6、支持投票投屏功能，将投票过程、投票结果以文字、柱状图、饼状图方式展示在大屏上。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7、支持评分投屏功能，评分过程中查看评分人数、未提交人数。支持评分结束后以柱状图（≥10项）或表格（≥10项）的形式投屏显示评分结果。</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由于软件决定着本产品功能的完整性，要求设备软件具备《计算机软件著作权登记证书》，提供证书复印件及证书编号在中国版权保护中心官网的查询结果截图。软件名称要求是“无纸化流媒体服务器嵌入软件”或相近的软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实战指挥室网络主机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1、具有≥24个网络端口，≥4个千兆SFP+光纤口，≥1个控制口。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2、支持网口和光纤线热插拨，支持双备份链路。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3、支持胖瘦一体化，具有智能交换机和普通交换机两种工作模式。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4、通过网络管理平台可实现一键快速替换故障设备。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 IEEE 802.3az 标准的 EEE 节能技术：当 EEE 使能时，可大幅度的减小端口在该阶段的功耗，达到了节能的目的。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6、提供友好的Web管理界面，1:1还原交换机端口和面板状态，可方便、快捷查看交换机端口工作状态、流量趋势等。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7、采用“零部署”上线方式，交换机接上网线后自动展示在待激活列表，无需配置，一键即可激活。同时控制器还能对故障交换机进行一键重启和替换，最大程度节省运维时间。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8、具有自动化拓扑生成功能，设备接线后，管理平台自动生成网络拓扑，并且能够直接在拓扑上进行设备配置。</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实战指挥室无纸化主席移动控制软件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通过移动端扫描二维码方式与无纸化终端进行连接。支持通过移动端（手机或平板）通过无线方式控制无纸化终端显示界面，触摸移动端即可操作无纸化终端；支持通过移动端打开无纸化终端的会议资料文档。支持放大镜放大局部功能，可对无纸化终端的PPT中文字等较小或看不清的部分进行放大操作。（提供扫码、控制无纸化终端、打开文档、放大镜功能界面截图佐证）</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双频 2.5G网口 wifi穿墙/可变端口/AC管理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1、具有≥8路自动、手动电源控制器，内置≥8个20A继电器，负载能力≥4400W/单路；配合中控主机使用，用于控制灯光、电动投影幕、电动窗帘等会议室周边设备。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2、每路继电器都有三连接点的接线柱,具有常开与常闭的功能。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3、具有复位按键，支持恢复到出厂的默认设置。具有1路网络接口，支持通过网络实现远程控制。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4、具有设备运行状态指示灯及≥8个继电器的开关状态指示灯。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5、具有键盘锁（LOCK）功能。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6、机器具备ID识别，通过中控主机网络控制多台时，可通过ID识别。</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1、4路独立音频通道音量调节模块。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2、支持平衡线路级音频输入/出。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3、面板具备小键盘,支持手动操作控制,具有LED指示功能。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4、控制方法: 通过R232协议控制,搭配可编程中控主机使用,也全面支持第三方设备。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5、输入端口：5.8欧式端子，支持平衡线路级音频输入 、输出端口：5.8欧式端子，支持平衡线路级音频输出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1、屏幕尺寸≥98寸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2、接口：HDMI，USB，网线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1、屏幕尺寸：5.76米*2.4米=13.824㎡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2、点间距：1.25mm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3、模组尺寸：320*160mm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4、对比度：≥5000：1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13.824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1、单卡超大带载256*256；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1、单台带载能力1040万像素、最宽16384像素、最高8192像素，集视频处理、视频控制以及 LED 屏体配置等功能于一体，具备多种类的视频信号接收能力、超高清全 4K×2K@60Hz 的图像处理能力和发送能力。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2、拥有完备的视频输入接口： 1 路 HDMI 2.0，4 路 DVI，1 路 3G-SDI。</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3、多输出，大带载：支持 16 路网口和 4 路光纤输出，带载高达 1040 万像素。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 HDR 输出：能够极大地增强显示屏的画质，使画面色彩更加 真实生动，细节更加清晰。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5、支持个性化的画质缩放：支持三种画面缩放模式，包括点对点模式、全屏 缩放、自定义缩放。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6、多窗口显示：支持 5 窗口任意布局。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7、支持预监输出画面：将预监内容通过 HDMI 发送到显示器显示。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8、支持智能控制软件进行操作控制。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9、支持场景预设：最多可创建 10 个用户场景作为模板保存，可直接调用，方便使用。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 EDID 管理：支持用户自定义 EDID 和预设 EDID。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11、支持视频格式：RGB4:4:4、YCbCr4:4:4、YCbCr4:2:2、3840×2160@60Hz向下兼容</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60寸广告机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1、同时可播放多个节目，可循环播放，无缝切换，图片视频混播；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3、U 播播放，即插即用，插入 U 盘就可自动识别 U 盘内容进行播放，支持多种视频、图片、音乐格式；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4、USB、TF、音频输出、HDMI 输入、LAN 网口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5、支持图片,视频，文本，fiash，网页天气预报，ppt，word，excel、pdf</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1、屏幕尺寸：3.84米*1.6米=6.144㎡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2、点间距：1.25mm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3、模组尺寸：320*160mm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4、对比度：≥5000：1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6.144</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1，单卡超大带载256*256；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8、多场景保存和调用：支持 10 个自定义场景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二楼会议室全彩LED显示屏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1、屏幕尺寸：3.2米*1.6米=5.12㎡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2、点间距：1.25mm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3、模组尺寸：320*160mm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4、对比度：≥5000：1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1，单卡超大带载256*256；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8、多场景保存和调用：支持 10 个自定义场景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电脑显示器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27寸 1080P HDMI，支持安装电脑支臂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升降机（点调设备用）</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净水机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1、工作原理：反渗透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2、滤芯：RO膜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3、水效等级：1级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4、功效：直饮</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直饮机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国产优质，设备支持多种水模式选择（热水，泡茶，冲奶，常温等）</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1、容积：20L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2、工作方式：微波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3、底盘形式：平板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立式打印机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功能：复印、打印、扫描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双面打印：支持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网络功能：支持有线网络、支持无线网络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接口：USB接口、网络接口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输出纸张尺寸：A3-A5、B6、A6、长纸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最大原稿尺寸：A3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复印功能原稿类型：纸张、书本、三维物体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连续复印：支持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打印语言：PCL 5e/c、PCL6、PS3仿真、XPS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打印其他性能字体：PCL：80种字体、PS：137种字体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操作系统：Windows、mac、linux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是否有液晶屏：有</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彩色扫描打印机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1、接口：USB，WIFI</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2、双面打印：支持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3、打印方式：喷墨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A4高速双面彩色扫描仪</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座机电话</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具备录音功能。具体类似视甲方最终需求采购</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尺寸：长830mm，宽645mm，高1775mm，双开门，容积406L</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床上四件套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国产优质（样式根据甲方需求采购）</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55寸电视机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定制杯具（茶壶，瓷杯，纸杯）</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定制数量茶壶≥6个，瓷杯≥50个，纸杯≥5000个</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中心警员工作背心</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定制，按个中心名称进行定制，工作背心数量≥100件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室内人脸门禁一体主机</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1、设备应采用嵌入式 linux 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2、前面板防破坏能力应满足 ≥IK07 的要求；结构后壳防破坏能力应满足 ≥IK10 的要求；防水等级应满足≥IP66防护等级；应支持选择嵌入式、壁挂、桌面、立式、人员通道安装；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3、屏幕应为 ≥7 英寸触摸屏；应采用水滴屏全贴合工艺；玻璃屏占比≥90%。屏幕流明度≥600cd/m2；屏幕分辨率应为 800×1280；屏显下端应具有圆形指示灯，指示灯应支持固定频率的亮起和熄灭（呼吸状态）及识别状态提示，采用 200W 像素双目摄像头，帧率应≥25 帧/s；应支持接入 NVR 设备，实现视频监控录像；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4、应支持双码流技术，主码流和子码流均为 1280×720@25fps 输出；在 IE 浏览器下，视频编码格式具有 H.265、H.264、MPEG-4. MJPEG 设置选项；可将 H.265、H.264 格式设置为Baseline/Mai n/High Profile；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5、设备离线应支持 10000个用户（用户权限应能配置为管理员）、 10000 张人脸库、 50000 张卡片容量、150000 笔记录存储 、 10000 个密码；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6、应支持通过文字转换为提示语音的 TTS 功能；应支持本地广告信息播放；应支持广告节目编排播放，播放时间可自定义；应支持图片、文字、视频广告节目播放；应支持在设备端查看人员信息、设备状态、显示模式（认证模式、广告模式和简洁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应支持佩戴口罩情况下的人脸识别功能，提示模式应分为提醒模式或强制模式；提醒模式下，未佩戴口罩时，应能做身份验证及考勤签到，身份验证通过后提醒佩戴口罩；强制模式下未佩戴口罩时，应无法做身份验证，并提醒佩戴口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8、人脸比对平均时间应＜120ms （1:1对比方式）；最大人脸识别距离：＞4m；最小人脸识别距离：＜0.2m，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1、输入电压：100-240VAC；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2、输出电压：12VDC；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3、输出电流：4.17A；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4、输出功率：50W；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5、内置蓄电池；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6、工作温度：-10℃-+70℃；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7、工作湿度：＜95%；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1.、结构：塑料面板；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2、性能：最大耐电流1.25A，电压250V；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3、输出：常开；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4、类型：适合埋入式电器盒使用；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玻璃门单开智能门锁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玻璃门双开智能门锁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智能人脸门锁</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1、无线连接：蓝牙5.0、Wi-Fi IEEE 802.11 b/g/n 2.4GHz、NFC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2、产品安全级别：B级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3、锁芯安全级别：C级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4、工作湿度：0~93% RH，无冷凝</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含网线、光缆、音频线等线缆、辅材及配套安装调试等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79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w:t>
            </w:r>
            <w:r>
              <w:rPr>
                <w:rStyle w:val="658"/>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t xml:space="preserve">4600mm，宽≦2700mm，高≦740mm，深度≦800mm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59"/>
                <w:rFonts w:hint="eastAsia" w:ascii="宋体" w:hAnsi="宋体" w:eastAsia="宋体" w:cs="宋体"/>
                <w:color w:val="auto"/>
                <w:sz w:val="21"/>
                <w:szCs w:val="21"/>
                <w:lang w:val="en-US" w:eastAsia="zh-CN" w:bidi="ar"/>
              </w:rPr>
              <w:t xml:space="preserve">Ω</w:t>
            </w:r>
            <w:r>
              <w:rPr>
                <w:rStyle w:val="657"/>
                <w:rFonts w:hint="eastAsia" w:ascii="宋体" w:hAnsi="宋体" w:eastAsia="宋体" w:cs="宋体"/>
                <w:color w:val="auto"/>
                <w:sz w:val="21"/>
                <w:szCs w:val="21"/>
                <w:lang w:val="en-US" w:eastAsia="zh-CN" w:bidi="ar"/>
              </w:rPr>
              <w:t xml:space="preserve">（需提供含有CNAS、CMA认证标识的检测报告）。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12、控制台应依据YD 5083-2005《电信设备抗地震性能检测规范》标准检测，且在配重200kg的工况下，通过9烈度抗震试验；</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《人造气氛腐蚀试验盐雾试验》测试达到盐雾腐蚀100小时，抗腐蚀能力不低于10级测试要求（投标人参加投标时，提供具有 CNAS或CMA 认可标志的第三方检测机构出具的检测报告扫描件加盖公章）；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621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融合侦研区鱼骨型8人操作员席位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1、操作台尺寸：长≦5800mm，宽≦2700mm，高≦740mm，深度≦800mm</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15102-2017《浸渍胶膜纸饰面纤维板和刨花板》试验标准且不低于5级（应提供带有CNAS、CMA认证标识的检测报告）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11、▲三防要求：应满足以下规定</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防盐雾：盐雾试验应按GJB150.11A-2009规定程序进行；</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防潮（防湿热）：湿热实验应按GJB150.9A-2009规定的程序进行。</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（投标人参加投标时，应提供具有CNAS认可标志的第三方检测机构出具的检测报告扫描件加盖公章）；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2039-2010标准，金黄色葡萄球菌抗（细）菌率99%以上，抗霉菌性能达到0级，具有SGS检测认证。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952"/>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融合侦研区折角型7人操作员席位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1、操作台尺寸：长≦5800mm，宽≦1600mm，高≦740mm，深度≦800mm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5083-2005《电信设备抗地震性能检测规范》标准检测的检测报告，且在配重200kg的工况下，通过9烈度抗震试验；（应提供具有CNAS认可标志的第三方检测机构出具的检测报告扫描件加盖公章）；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2039-2010标准，金黄色葡萄球菌抗（细）菌率99%以上，抗霉菌性能达到0级，具有SGS检测认证。（提供权威第三方检测机构出具的检测报告复印件并加盖公章）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▲为保证灯光控制系统的功能完整性，控制台所配备的灯光控制软件应依据 GB/T 25000.51:2016《系统与软件工程 系统与软件质量要求和评价(SQuaRE) 第 51 部分:就绪可用软件产品(RUSP)的质量要求和测试细则》进行功能性检测，且检测项应全部通过；（需提供含有CNAS、CMA认证标识的检测报告）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33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综合统筹区鱼骨型6人操作员席位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1、操作台尺寸：长≦4600mm，宽≦2700mm，高≦740mm，深度≦800mm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需提供带有CNAS、CMA认证标识的检测报告）。</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提供通过CNAS、CMA认证第三方检测机构出具的检测报告复印件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为保证灯光控制系统的功能完整性，控制台所配备的灯光控制软件应依据 GB/T 25000.51:2016《系统与软件工程 系统与软件质量要求和评价(SQuaRE) 第 51 部分:就绪可用软件产品(RUSP)的质量要求和测试细则》进行功能性检测，且检测项应全部通过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大数据赋能区梅花型3人操作员席位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1、操作台尺寸：长≦2100mm，宽≦2700mm，高≦740mm，深度≦800mm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5、前、后门板：前后门板使用实木颗粒板双帖防火板加工，整体厚度应为20mm。门板应采用PUR封边工艺。同时铰链应经200h中性盐雾测试后性能评级达10级水准（应提供带有CNAS、CMA认证标识的检测报告）。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2039-2010标准，金黄色葡萄球菌抗（细）菌率99%以上，抗霉菌性能达到0级，具有SGS检测认证。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17626标准要求，结果判定应均为A级。（应提供通过CMA认证第三方检测机构出具的检测报告复印件并加盖公章）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为保证灯光控制系统的功能完整性，控制台所配备的灯光控制软件应依据 GB/T 25000.51:2016《系统与软件工程 系统与软件质量要求和评价(SQuaRE) 第 51 部分:就绪可用软件产品(RUSP)的质量要求和测试细则》进行功能性检测，且检测项应全部通过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343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融合侦研区18人会议桌</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1、操作台尺寸：长≦6950mm，宽≦1550mm，高≦740mm（实际尺寸根据现场实际情况复核后和甲方意见为准）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2、框架结构：主体框架结构使用铝型材和钣金结合的结构，其中面板支撑采用2.5mm的优质冷轧钢板加工而成。</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4、会议桌中所使用的铝合金通过GB 10125-2021《人造气氛腐蚀试验盐雾试验》，且达到100h十级。（需提供带有CNAS、CMA认证标识的检测报告）。 </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5、▲会议桌具有符合国标GB/T3325-2017标准出具的控制台型式检测报告，报告包含控制台理化性能、力学性能、安全性能相关方面检测，其中木质件表面贴面层，耐污染、耐湿热达到5级，抗冲击不低于2级，其中有害物质甲醛释放量≤0.009mg/m³，达到并优于国家强制标准E1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6、会议桌整体品牌应符合国际标准Green-guard GOLD 绿色卫士金级认证；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7、会议桌整体按GB20286-2006附录C做燃烧测试达到等级应不低于阻燃1级，质量损失率不大于0.13%，其中“一氧化碳”释放量最高为99ppm。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9、▲会议桌所使用的刨花板和防火板通过GB/T 39600-2021《人造板及其制品甲醛释放量分级》的检测，甲醛释放未检出，符合Enf级要求；（需提供相关带有CNAS、CMA认证的检测报告）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400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实战指挥室20人会议桌</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1、操作台尺寸：长≦7850mm，宽≦2150mm，高≦740mm（实际尺寸根据现场实际情况复核后和甲方意见为准）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2、框架结构：主体框架结构使用铝型材和钣金结合的结构，其中面板支撑采用2.5mm的优质冷轧钢板加工而成。</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4、会议桌中所使用的铝合金通过GB 10125-2021《人造气氛腐蚀试验盐雾试验》，且达到100h十级。 </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会议桌符合国标GB/T3325-2017标准的控制台型式检测要求，报告包含控制台理化性能、力学性能、安全性能相关方面检测，其中木质件表面贴面层，耐污染、耐湿热达到5级，抗冲击不低于2级，其中有害物质甲醛释放量≤0.009mg/m³，达到并优于国家强制标准E1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6、会议桌整体品牌应符合国际标准Green-guard GOLD 绿色卫士金级认证；</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7、▲会议桌整体按GB20286-2006附录C做燃烧测试达到等级应不低于阻燃1级，质量损失率不大于0.13%，其中“一氧化碳”释放量最高为99ppm。（提供通过CMA认证第三方检测机构出具的检测报告复印件并加盖公章）</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8、▲会议桌应获得实施规则ECC-1031EL-A/0标准的中国环境标志产品认证(俗称十环认证)（提供证明文件复印件并加盖公章）</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9、▲会议桌具有由中国质量认证中心出具的《中国环保认证》证书，即CQC证书</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11、会议桌所使用的刨花板和防火板通过GB/T 39600-2021《人造板及其制品甲醛释放量分级》的检测，甲醛释放未检出，符合Enf级要求；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茶水间-休闲椅子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1、尺寸：560mm×540mm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茶水间-茶几</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1、尺寸：1600mm×700mm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1、尺寸：550mm×530mm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2、优质西皮饰面，靠背.坐垫内置再生回弹海绵 ；高标准扁管电镀弓形椅架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1、尺寸：560mm×540mm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1、尺寸：2400mm×400mm×2000mm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特色工作室-茶几</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1、尺寸：1400mm×700mm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1、尺寸：2400mm×400mm×2000mm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1、尺寸：550mm×530mm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2、材质：优质西皮饰面，靠背.坐垫内置再生回弹海绵；高标准扁管电镀弓形椅架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备勤室-床</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1、尺寸：1200mm×2000mm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备勤室-床头柜</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1、尺寸：500mm×400mm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1、尺寸：560mm×540mm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档案室-资料柜</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1、尺寸：900mm×2400mm×400mm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2、材质：采用宝钢牌一级冷轧钢板，数控折弯一体成型新款窄边工艺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接待室会议桌</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1、尺寸：4000mm×1500mm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接待室接待椅</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1、材质：耐磨皮质面料、舒适座包，密度海绵填充，高承重脚轻音滑轮</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二楼会议椅</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1、耐磨皮质面料、舒适座包，密度海绵填充，铝合金固定四脚椅</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一楼办公椅</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1、头枕、背、座全为优质网布；头枕可高度及角度调整；椅背可高低调整；座垫可高低调整；扶手可高低升降</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外立面发光字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烤漆不锈钢围边亚克力发光字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1、3mm白色亚克力面板，1mm不锈钢表面做警务蓝烤漆，内置2835防水LED模组，色温10000K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门厅-文化墙01</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1、精工不锈钢立体金属字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2、1mm不锈钢激光切割焊接打磨电镀/烤漆；字厚10-30mm，内衬10mm雪弗板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门厅-文化墙02</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1、迷你发光字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门厅-文化墙03</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反诈打防区-文化墙01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1、精工字(1mm不锈钢激光切割焊接打磨烤漆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2、背扣12mm透明磨砂亚克力，内置品牌LED模组，色温10000K)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反诈打防区-文化墙02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反诈打防区-文化墙03</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案件会商文化墙</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网络合成作战战训基地文化墙</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1、精工不锈钢立体金属字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2、1mm不锈钢激光切割焊接打磨电镀/烤漆；字厚20mm，内衬10mm厚雪弗板；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专案侦研区-文化墙01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专案侦研区-文化墙02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传统盯案区-文化墙</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茶水间-文化墙</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备勤室-文化墙</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腰线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户外背胶PP或透明磨砂膜;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1440dpi彩白彩UV喷印</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1、亚克力或铝型材或不锈钢烤漆丝印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2、视甲方最终确认方案采取合适工艺</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VI设计、LOGO设计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智慧侦查中心VI设计及LOGO设计</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2、材料品种、规格:12mm厚水泥压力板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193.49 </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柱（梁）面装饰板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2、材料品种、规格:12mm厚水泥压力板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3.77 </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1、部位：东侧墙面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2、字体材质：拉丝不锈钢文宣发光迷你字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3、字体内容：干就干最好 争就争第一、墙体logo等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警察剪影发光造型</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2、定制拉丝不锈钢激光切割发光造型，外喷灰色哑光汽车漆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发光箱体宣传栏</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1、位置：东侧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2、规格：2000mm×1000mm拉丝不锈钢发光灯箱体制安；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3、字体材质：定制拉丝不锈钢发光灯箱，不锈钢激光切割折边烤漆灯箱，钢化玻璃、另加装液压杆等</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2、墙面定制不锈钢折边竖式艺术发光造型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1、胶片装饰造型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2、定制不锈钢造型、烤专色漆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53.28</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结束语造型</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1、部位：东侧墙面结束语造型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2、字体材质：仿古铜立体字、仿古铜一字板造型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3、字体内容：有激情 有担当 有智慧有作为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发光箱体宣传画面</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1、位置：东侧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2、定制发光箱体内画面</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1、部位：西侧红边造型墙板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2、镀锌板折边烤哑光汽车漆，加装红色边条</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不锈钢大字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部位①：西侧墙面不锈钢16个大字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1、字体材质：不锈钢精品立体字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2、字体内容：政治建警 改革强警 科技兴警 从严治警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3、不锈钢激光切割，无痕打磨、平面围边精品字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4、1.0厚PVC衬底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5、具体式样满足甲方要求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部位②：西侧墙面不锈钢6个精品字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1、字体材质：不锈钢金漆球面精品立体字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2、字体内容：以人民为中心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3、不锈钢激光切割，无痕打磨、烤金漆精品字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4、1mm厚PVC衬底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不锈钢精品背发光立体字</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1、部位：西侧墙面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2、字体规格、材质：不锈钢精品背发光立体字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3、字体内容：WELCOME TO DAFENG POLICE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发光迷你字及警徽</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1、部位：西侧墙面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2、字体规格、材质：发光迷你字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3、字体内容：大丰公安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背发光双层假山造型</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1、部位：定制西侧墙面背发光双层假山造型、烤灰色汽车漆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施工宣传临时围挡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1、钢架：镀锌型钢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2、墙板：绿草皮色彩钢板</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文化墙配套安装及服务</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1、拆除工程：1）原宣传栏、装饰板拆除，修凿剥离突出的砌体，铲除围墙涂料及抹灰基层至砖砌体；2）含垃圾清除、外运出现场（运距由投标人自行考虑在报价中）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2、围墙加高：砌块品种、规格、强度等级:水泥标准砖，砂浆：水泥M5.0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3、围墙墙面一般抹灰：1）底层厚度、砂浆配合比:10厚1：1：6混合砂浆底层；2）面层厚度、砂浆配合比:8厚1：1：4混合砂浆面层；3）满铺耐碱玻纤网格布一道（剥离墙面处找平，其他墙面粉平）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4、修缮：1）围墙顶飞檐钢骨架基层及铝塑板面层维修加固处理</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3249"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1、工程部位:围墙及飞檐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2、腻子种类、遍数:外墙柔性耐水腻子两度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3、油漆品种、刷漆遍数:涂刷封底、分格、搅匀后喷涂真石漆两遍，涂刷透明罩光面漆两遍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4、颜色等其他要求:具体颜色及规格详见立面图，投标人施工前提供小样，经招标人确认后施工</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498.74</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keepNext/>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第五章  评标方法与评标标准</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44"/>
        <w:ind w:left="0" w:right="0" w:firstLine="482"/>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（1）本项目对小型和微型企业提供的服务给予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的扣除价格，用扣除后的价格参与评审。</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（2）供应商需按照采购文件的要求提供相应的《小微企业声明函》。</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u w:val="single"/>
          <w:lang w:eastAsia="zh-CN"/>
        </w:rPr>
        <w:t xml:space="preserve">。</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p>
    <w:p>
      <w:pPr>
        <w:ind w:left="0" w:right="0" w:firstLine="480"/>
        <w:keepLines w:val="0"/>
        <w:keepNext w:val="0"/>
        <w:pageBreakBefore w:val="0"/>
        <w:spacing w:line="48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i w:val="0"/>
          <w:iCs w:val="0"/>
          <w:color w:val="auto"/>
          <w:sz w:val="24"/>
          <w:szCs w:val="24"/>
          <w:highlight w:val="none"/>
          <w:lang w:eastAsia="zh-CN"/>
        </w:rPr>
        <w:t xml:space="preserve">投标文件</w:t>
      </w:r>
      <w:r>
        <w:rPr>
          <w:rFonts w:hint="eastAsia" w:ascii="宋体" w:hAnsi="宋体" w:eastAsia="宋体" w:cs="宋体"/>
          <w:i w:val="0"/>
          <w:iCs w:val="0"/>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i w:val="0"/>
          <w:iCs w:val="0"/>
          <w:color w:val="auto"/>
          <w:sz w:val="24"/>
          <w:szCs w:val="24"/>
          <w:highlight w:val="none"/>
          <w:lang w:eastAsia="zh-CN"/>
        </w:rPr>
        <w:t xml:space="preserve">投标文件</w:t>
      </w:r>
      <w:r>
        <w:rPr>
          <w:rFonts w:hint="eastAsia" w:ascii="宋体" w:hAnsi="宋体" w:eastAsia="宋体" w:cs="宋体"/>
          <w:i w:val="0"/>
          <w:iCs w:val="0"/>
          <w:color w:val="auto"/>
          <w:sz w:val="24"/>
          <w:szCs w:val="24"/>
          <w:highlight w:val="none"/>
        </w:rPr>
        <w:t xml:space="preserve">截止时已正式公布的最近一期信息为准，</w:t>
      </w:r>
      <w:r>
        <w:rPr>
          <w:rFonts w:hint="eastAsia" w:ascii="宋体" w:hAnsi="宋体" w:eastAsia="宋体" w:cs="宋体"/>
          <w:b/>
          <w:i w:val="0"/>
          <w:iCs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val="0"/>
          <w:color w:val="auto"/>
          <w:sz w:val="24"/>
          <w:szCs w:val="24"/>
          <w:highlight w:val="none"/>
        </w:rPr>
        <w:t xml:space="preserve">。其他条件相同情况下，应当优先采购节能产品、环境标志产品。</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财办库〔2020〕123号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执行。</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9、本文件中若涉及到数据中心采购，应按照《&lt;绿色数据中心政府采购需求标准（试行）&gt;的通知》（财库〔2023〕7号）执行。</w:t>
      </w:r>
      <w:r/>
    </w:p>
    <w:p>
      <w:pPr>
        <w:pStyle w:val="644"/>
        <w:ind w:left="0" w:righ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10、根据《江苏省政府采购信用管理暂行办法》的规定，供应商信用评价结果为三星的扣2分，评价结果为二星的扣3分，评价结果为一星的扣4分。</w:t>
      </w:r>
      <w:r/>
    </w:p>
    <w:p>
      <w:pPr>
        <w:pStyle w:val="644"/>
        <w:ind w:left="0" w:right="0" w:firstLine="482"/>
        <w:keepLines w:val="0"/>
        <w:keepNext w:val="0"/>
        <w:pageBreakBefore w:val="0"/>
        <w:spacing w:beforeAutospacing="0" w:afterAutospacing="0" w:line="480" w:lineRule="exact"/>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tbl>
      <w:tblPr>
        <w:tblStyle w:val="6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1"/>
        <w:gridCol w:w="1339"/>
        <w:gridCol w:w="7912"/>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投标价</w:t>
            </w:r>
            <w:r/>
          </w:p>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价格分采用低价优先法计算，即满足招标文件要求且投标报价最低的为评标基准价，其价格分为满分。其他供应商的价格分统一按下列公式计算：报价得分=（评标基准价/投标报价）×30，价格分保留两位小数。</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综合实力</w:t>
            </w:r>
            <w:r/>
          </w:p>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1）投标人具有有效期内的ITSS信息技术服务标准符合性证书可得分，四级得0.1分、三级得0.4分、二级得0.7分、一级得1分。</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2）投标人具有有效期内的信息化工程与技术服务能力评价证书（CN-IETS）可得分，CNIETS-E、CNIETS-1得1分，CNIETS-2、CNIETS-3得0.5分，CNIETS-4得0.1分。</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3）投标人具有有效期内的信息通信建设企业服务能力证书可得分，甲级得1分，乙级得0.5分，丙级得0.1分。</w:t>
            </w:r>
            <w:r/>
          </w:p>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4）投标人具有有效期内的信息系统建设和服务能力等级证书可得分，CS1级得0.1分，CS2、CS3级得0.5分，CS4、CS5级得1分。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注：投标人需提供上述证书原件扫描件，未提供不得分。</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相关业绩</w:t>
            </w:r>
            <w:r/>
          </w:p>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Style w:val="661"/>
                <w:color w:val="auto"/>
                <w:lang w:val="en-US" w:eastAsia="zh-CN" w:bidi="ar"/>
              </w:rPr>
              <w:t xml:space="preserve">投标人提供自2021年1月1日以来（以合同签订日期为准）承担过的类似智能化项目业绩，每提供一个业绩得0.5分，满分4分。</w:t>
            </w:r>
            <w:r>
              <w:rPr>
                <w:rStyle w:val="661"/>
                <w:color w:val="auto"/>
                <w:lang w:val="en-US" w:eastAsia="zh-CN" w:bidi="ar"/>
              </w:rPr>
              <w:br/>
            </w:r>
            <w:r>
              <w:rPr>
                <w:rFonts w:hint="eastAsia" w:ascii="宋体" w:hAnsi="宋体" w:eastAsia="宋体" w:cs="宋体"/>
                <w:b/>
                <w:bCs/>
                <w:i w:val="0"/>
                <w:iCs w:val="0"/>
                <w:color w:val="auto"/>
                <w:sz w:val="22"/>
                <w:szCs w:val="22"/>
                <w:u w:val="none"/>
                <w:lang w:val="en-US" w:eastAsia="zh-CN" w:bidi="ar"/>
              </w:rPr>
              <w:t xml:space="preserve">注：投标人需提供类似项目合同及验收证明文件原件扫描件，以上文件缺一不可，未提供不得分。</w:t>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项目团队</w:t>
            </w:r>
            <w:r/>
          </w:p>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Style w:val="662"/>
                <w:color w:val="auto"/>
                <w:lang w:val="en-US" w:eastAsia="zh-CN" w:bidi="ar"/>
              </w:rPr>
              <w:t xml:space="preserve">1）投标人拟派项目经理具备高级及以上工程师职称(电子信息工程类或信息技术类)证书得1分，具备系统架构设计师（高级）证书得1分，具备网络规划设计师（高级）证书得1分。</w:t>
            </w:r>
            <w:r>
              <w:rPr>
                <w:rStyle w:val="662"/>
                <w:color w:val="auto"/>
                <w:lang w:val="en-US" w:eastAsia="zh-CN" w:bidi="ar"/>
              </w:rPr>
              <w:br/>
            </w:r>
            <w:r>
              <w:rPr>
                <w:rStyle w:val="662"/>
                <w:color w:val="auto"/>
                <w:lang w:val="en-US" w:eastAsia="zh-CN" w:bidi="ar"/>
              </w:rPr>
              <w:t xml:space="preserve">2）投标人拟派项目技术负责人具备高级及以上工程师职称(电子信息工程类或信息技术类)证书得1分，具备信息系统项目管理师(高级) 证书得1分，具备系统架构设计师（高级）证书证书得1分。</w:t>
            </w:r>
            <w:r>
              <w:rPr>
                <w:rStyle w:val="662"/>
                <w:color w:val="auto"/>
                <w:lang w:val="en-US" w:eastAsia="zh-CN" w:bidi="ar"/>
              </w:rPr>
              <w:br/>
            </w:r>
            <w:r>
              <w:rPr>
                <w:rStyle w:val="662"/>
                <w:color w:val="auto"/>
                <w:lang w:val="en-US" w:eastAsia="zh-CN" w:bidi="ar"/>
              </w:rPr>
              <w:t xml:space="preserve">3）本项目所配备的项目团队人员（除项目经理和项目技术负责人外）具有以下证书的，每提供一个得2分，满分10分。</w:t>
            </w:r>
            <w:r>
              <w:rPr>
                <w:rStyle w:val="662"/>
                <w:color w:val="auto"/>
                <w:lang w:val="en-US" w:eastAsia="zh-CN" w:bidi="ar"/>
              </w:rPr>
              <w:br/>
            </w:r>
            <w:r>
              <w:rPr>
                <w:rStyle w:val="662"/>
                <w:color w:val="auto"/>
                <w:lang w:val="en-US" w:eastAsia="zh-CN" w:bidi="ar"/>
              </w:rPr>
              <w:t xml:space="preserve">①信息系统项目管理师（高级）证书</w:t>
            </w:r>
            <w:r>
              <w:rPr>
                <w:rStyle w:val="662"/>
                <w:color w:val="auto"/>
                <w:lang w:val="en-US" w:eastAsia="zh-CN" w:bidi="ar"/>
              </w:rPr>
              <w:br/>
            </w:r>
            <w:r>
              <w:rPr>
                <w:rStyle w:val="662"/>
                <w:color w:val="auto"/>
                <w:lang w:val="en-US" w:eastAsia="zh-CN" w:bidi="ar"/>
              </w:rPr>
              <w:t xml:space="preserve">②信息安全保障人员认证证书（认证方向：安全集成）</w:t>
            </w:r>
            <w:r>
              <w:rPr>
                <w:rStyle w:val="662"/>
                <w:color w:val="auto"/>
                <w:lang w:val="en-US" w:eastAsia="zh-CN" w:bidi="ar"/>
              </w:rPr>
              <w:br/>
            </w:r>
            <w:r>
              <w:rPr>
                <w:rStyle w:val="662"/>
                <w:color w:val="auto"/>
                <w:lang w:val="en-US" w:eastAsia="zh-CN" w:bidi="ar"/>
              </w:rPr>
              <w:t xml:space="preserve">③注册信息安全专业人员证书（CISP）</w:t>
            </w:r>
            <w:r>
              <w:rPr>
                <w:rStyle w:val="662"/>
                <w:color w:val="auto"/>
                <w:lang w:val="en-US" w:eastAsia="zh-CN" w:bidi="ar"/>
              </w:rPr>
              <w:br/>
            </w:r>
            <w:r>
              <w:rPr>
                <w:rStyle w:val="662"/>
                <w:color w:val="auto"/>
                <w:lang w:val="en-US" w:eastAsia="zh-CN" w:bidi="ar"/>
              </w:rPr>
              <w:t xml:space="preserve">④网络安全能力认证CCSC证书</w:t>
            </w:r>
            <w:r>
              <w:rPr>
                <w:rStyle w:val="662"/>
                <w:color w:val="auto"/>
                <w:lang w:val="en-US" w:eastAsia="zh-CN" w:bidi="ar"/>
              </w:rPr>
              <w:br/>
            </w:r>
            <w:r>
              <w:rPr>
                <w:rStyle w:val="662"/>
                <w:color w:val="auto"/>
                <w:lang w:val="en-US" w:eastAsia="zh-CN" w:bidi="ar"/>
              </w:rPr>
              <w:t xml:space="preserve">⑤网络工程师（中级）证书</w:t>
            </w:r>
            <w:r>
              <w:rPr>
                <w:rStyle w:val="662"/>
                <w:color w:val="auto"/>
                <w:lang w:val="en-US" w:eastAsia="zh-CN" w:bidi="ar"/>
              </w:rPr>
              <w:br/>
            </w:r>
            <w:r>
              <w:rPr>
                <w:rFonts w:hint="eastAsia" w:ascii="宋体" w:hAnsi="宋体" w:eastAsia="宋体" w:cs="宋体"/>
                <w:b/>
                <w:bCs/>
                <w:i w:val="0"/>
                <w:iCs w:val="0"/>
                <w:color w:val="auto"/>
                <w:sz w:val="22"/>
                <w:szCs w:val="22"/>
                <w:u w:val="none"/>
                <w:lang w:val="en-US" w:eastAsia="zh-CN" w:bidi="ar"/>
              </w:rPr>
              <w:t xml:space="preserve">注：以上人员需提供相应证书原件扫描件以及投标单位与其签订的劳动合同原件扫描件，否则不得分。</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技术参数（26分）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根据所投产品的配置与性能指标、技术参数符合性、技术偏离项等对招标文件的响应程度对投标人进行打分。其中：响应即满足（招标清单）中技术参数要求的，得26分；标注“▲”的参数不满足要求的，每项扣0.5分；不带“▲”参数不满足要求的，每项扣0.3分，扣完为止。 招标文件中要求提供证明材料的以提供证明材料为准，其余未作要求的以投标人提供的技术参数响应及偏离表为准。</w:t>
            </w:r>
            <w:r/>
          </w:p>
        </w:tc>
      </w:tr>
      <w:tr>
        <w:trPr>
          <w:trHeight w:val="418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实施方案（20分）</w:t>
            </w:r>
            <w:r/>
          </w:p>
        </w:tc>
        <w:tc>
          <w:tcPr>
            <w:shd w:val="clear" w:color="auto" w:fill="auto"/>
            <w:tcBorders>
              <w:top w:val="single" w:color="000000" w:sz="4" w:space="0"/>
              <w:left w:val="single" w:color="000000" w:sz="4" w:space="0"/>
              <w:bottom w:val="single" w:color="000000" w:sz="4" w:space="0"/>
              <w:right w:val="single" w:color="000000" w:sz="4" w:space="0"/>
            </w:tcBorders>
            <w:tcW w:w="3971"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投标人需充分理解该项目设计要求并提供该项目的实施方案，从总体概述（本项目施工组织总体设想，总体设计思路）、功能设计方案、兼容性解决方案、系统对接方案、施工组织设计方案（进度计划及保证措施）、售后服务方案、培训方案等七个方面详细阐述。评委根据其全面性、针对性、可行性、先进性进行综合比较评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①功能设计方案、兼容性解决方案、系统对接方案</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投标人针对本项目要求制定功能设计方案、兼容性解决方案、系统对接方案完整详实，科学合理，针对性强，相关措施实用性高，符合采购人需求得4分；功能设计方案、兼容性解决方案、系统对接方案较为完整详实、科学合理、针对性较强，相关措施实用性一般，基本满足采购人需求得2分；功能设计方案、兼容性解决方案、系统对接方案完整性、合理性、针对性较差，相关措施实用性与采购人需求存在较大偏差得1分；未提供得0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②施工组织设计方案（进度计划及保证措施）</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投标人针对本项目要求制定施工组织设计方案，施工组织设计方案完整详实，科学合理，针对性强，相关措施实用性高，符合采购人需求得4分；施工组织设计方案较为完整详实、科学合理、针对性较强，相关措施实用性一般，基本满足采购人需求得2分；施工组织设计方案完整性、合理性、针对性较差，相关措施实用性与采购人需求存在较大偏差得1分；未提供得0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③售后服务方案、培训方案</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投标人针对本项目质量要求制定售后服务方案、培训方案，售后服务方案、培训方案全面、合理、可行，保障度高的，得4分；售后服务方案、培训方案基本合理、可行，但方案一般，保障度一般的，得2分；售后服务方案、培训方案内容一般，方案保障度较差的，得1分；未作出服务承诺或不符合本项目的实际需要的，得0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投标人需在开标前自行前往项目现场勘察，设计并提供文化墙设计、logo设计在项目现场的安装效果图（不少10张），评委根据其全面性、针对性、可行性、先进性进行综合比较评分，设计效果图科学合理，针对性强，美观大气，符合采购人需求得4分；设计效果图较为科学合理、针对性较强，美观度一般，基本满足采购人需求得2分；设计效果图、合理性、针对性较差，美观度与采购人需求存在较大偏差得1分；未提供得0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投标人需在开标前自行前往项目现场勘察，设计并提供项目现场的设备点位图、安装线路图，评委根据其全面性、功能性、可行性、先进性进行综合比较评分，设备点位图、安装线路图完整详实，科学合理，针对性强，相关措施承诺实用性高，符合采购人需求得4分；设备点位图、安装线路图较为完整详实、科学合理、针对性较强，相关措施承诺实用性一般，基本满足采购人需求得2分；设备点位图、安装线路图完整性、合理性、针对性较差，相关措施承诺实用性与采购人需求存在较大偏差得1分；未提供得0分。</w:t>
            </w:r>
            <w:r/>
          </w:p>
        </w:tc>
      </w:tr>
    </w:tbl>
    <w:p>
      <w:pPr>
        <w:pStyle w:val="644"/>
        <w:ind w:left="0" w:right="0" w:firstLine="482"/>
        <w:keepLines w:val="0"/>
        <w:keepNext w:val="0"/>
        <w:pageBreakBefore w:val="0"/>
        <w:spacing w:beforeAutospacing="0" w:afterAutospacing="0" w:line="0" w:lineRule="atLeas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4"/>
        <w:ind w:left="0" w:right="0" w:firstLine="482"/>
        <w:keepLines w:val="0"/>
        <w:keepNext w:val="0"/>
        <w:pageBreakBefore w:val="0"/>
        <w:spacing w:beforeAutospacing="0" w:afterAutospacing="0" w:line="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44"/>
        <w:ind w:left="0" w:right="0" w:firstLine="482"/>
        <w:keepLines w:val="0"/>
        <w:keepNext w:val="0"/>
        <w:pageBreakBefore w:val="0"/>
        <w:spacing w:beforeAutospacing="0" w:afterAutospacing="0" w:line="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44"/>
        <w:ind w:left="0" w:right="0" w:firstLine="482"/>
        <w:keepLines w:val="0"/>
        <w:keepNext w:val="0"/>
        <w:pageBreakBefore w:val="0"/>
        <w:spacing w:beforeAutospacing="0" w:afterAutospacing="0" w:line="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44"/>
        <w:ind w:left="0" w:right="0" w:firstLine="482"/>
        <w:keepLines w:val="0"/>
        <w:keepNext w:val="0"/>
        <w:pageBreakBefore w:val="0"/>
        <w:spacing w:beforeAutospacing="0" w:afterAutospacing="0" w:line="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44"/>
        <w:ind w:left="0" w:right="0" w:firstLine="482"/>
        <w:keepLines w:val="0"/>
        <w:keepNext w:val="0"/>
        <w:pageBreakBefore w:val="0"/>
        <w:spacing w:beforeAutospacing="0" w:afterAutospacing="0" w:line="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44"/>
        <w:ind w:left="0" w:right="0" w:firstLine="0"/>
        <w:jc w:val="center"/>
        <w:keepNext/>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bookmarkStart w:id="181" w:name="_Toc26554094"/>
      <w:r/>
      <w:bookmarkEnd w:id="181"/>
      <w:r/>
      <w:bookmarkStart w:id="182" w:name="_Hlt26955039"/>
      <w:r/>
      <w:bookmarkEnd w:id="182"/>
      <w:r/>
      <w:bookmarkStart w:id="183" w:name="_Hlt26671244"/>
      <w:r/>
      <w:bookmarkEnd w:id="183"/>
      <w:r/>
      <w:bookmarkStart w:id="184" w:name="_Toc120614282"/>
      <w:r/>
      <w:bookmarkStart w:id="185" w:name="_Toc49090576"/>
      <w:r>
        <w:rPr>
          <w:rFonts w:hint="eastAsia" w:ascii="宋体" w:hAnsi="宋体" w:eastAsia="宋体" w:cs="宋体"/>
          <w:b/>
          <w:color w:val="auto"/>
          <w:sz w:val="72"/>
          <w:szCs w:val="72"/>
          <w:highlight w:val="none"/>
        </w:rPr>
        <w:t xml:space="preserve">投  标  文  件</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right="0" w:firstLine="723"/>
        <w:jc w:val="both"/>
        <w:keepLines w:val="0"/>
        <w:keepNext w:val="0"/>
        <w:pageBreakBefore w:val="0"/>
        <w:spacing w:beforeAutospacing="0" w:afterAutospacing="0" w:line="1000" w:lineRule="exact"/>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44"/>
        <w:ind w:right="0" w:firstLine="723"/>
        <w:jc w:val="both"/>
        <w:keepLines w:val="0"/>
        <w:keepNext w:val="0"/>
        <w:pageBreakBefore w:val="0"/>
        <w:spacing w:beforeAutospacing="0" w:afterAutospacing="0" w:line="1000" w:lineRule="exact"/>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44"/>
        <w:ind w:left="0" w:right="0" w:firstLine="723"/>
        <w:jc w:val="both"/>
        <w:keepLines w:val="0"/>
        <w:keepNext w:val="0"/>
        <w:pageBreakBefore w:val="0"/>
        <w:spacing w:beforeAutospacing="0" w:afterAutospacing="0" w:line="1000" w:lineRule="exact"/>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        </w:t>
      </w:r>
      <w:r/>
    </w:p>
    <w:p>
      <w:pPr>
        <w:pStyle w:val="644"/>
        <w:ind w:left="0" w:right="0" w:firstLine="723"/>
        <w:jc w:val="both"/>
        <w:keepLines w:val="0"/>
        <w:keepNext w:val="0"/>
        <w:pageBreakBefore w:val="0"/>
        <w:spacing w:beforeAutospacing="0" w:afterAutospacing="0" w:line="1000" w:lineRule="exact"/>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right="0" w:firstLine="0"/>
        <w:jc w:val="left"/>
        <w:keepLines w:val="0"/>
        <w:keepNext w:val="0"/>
        <w:pageBreakBefore w:val="0"/>
        <w:spacing w:line="60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二、上一年度的财务状况报表（至少提供资产负债表、利润表、现金流量表，投标人成立不满一年无需提供）</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九、小微企业声明函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十一、联合体协议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十二、投标分项报价表</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十三、技术要求响应及偏离表</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十四、商务要求响应及偏离表</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i/>
          <w:color w:val="auto"/>
          <w:highlight w:val="none"/>
          <w:u w:val="single"/>
        </w:rPr>
      </w:pPr>
      <w:r>
        <w:rPr>
          <w:rFonts w:hint="eastAsia" w:ascii="宋体" w:hAnsi="宋体" w:eastAsia="宋体" w:cs="宋体"/>
          <w:i w:val="0"/>
          <w:iCs/>
          <w:color w:val="auto"/>
          <w:highlight w:val="none"/>
          <w:u w:val="none"/>
        </w:rPr>
        <w:t xml:space="preserve">十五、开标一览表</w:t>
      </w:r>
      <w:r/>
    </w:p>
    <w:p>
      <w:pPr>
        <w:ind w:left="0" w:right="0" w:firstLine="0"/>
        <w:keepLines w:val="0"/>
        <w:keepNext w:val="0"/>
        <w:pageBreakBefore w:val="0"/>
        <w:spacing w:line="6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十六、</w:t>
      </w:r>
      <w:r>
        <w:rPr>
          <w:rFonts w:hint="eastAsia" w:ascii="宋体" w:hAnsi="宋体" w:eastAsia="宋体" w:cs="宋体"/>
          <w:color w:val="auto"/>
          <w:sz w:val="24"/>
          <w:highlight w:val="none"/>
          <w:lang w:eastAsia="zh-CN"/>
        </w:rPr>
        <w:t xml:space="preserve">依据评标办法用于评分的材料</w:t>
      </w:r>
      <w:r/>
    </w:p>
    <w:p>
      <w:pPr>
        <w:pStyle w:val="644"/>
        <w:ind w:left="0" w:right="0" w:firstLine="0"/>
        <w:jc w:val="both"/>
        <w:keepLines w:val="0"/>
        <w:keepNext w:val="0"/>
        <w:pageBreakBefore w:val="0"/>
        <w:spacing w:beforeAutospacing="0" w:afterAutospacing="0"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十七、盐城市政府采购事前信用承诺书</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numPr>
          <w:ilvl w:val="0"/>
          <w:numId w:val="0"/>
        </w:numPr>
        <w:ind w:left="0" w:right="0" w:firstLine="0"/>
        <w:jc w:val="both"/>
        <w:pageBreakBefore w:val="0"/>
        <w:spacing w:beforeAutospacing="0" w:afterAutospacing="0" w:line="24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bidi="ar-SA"/>
        </w:rPr>
        <w:t xml:space="preserve">一、</w:t>
      </w:r>
      <w:r>
        <w:rPr>
          <w:rFonts w:hint="eastAsia" w:ascii="宋体" w:hAnsi="宋体" w:eastAsia="宋体" w:cs="宋体"/>
          <w:i w:val="0"/>
          <w:iCs w:val="0"/>
          <w:color w:val="auto"/>
          <w:sz w:val="32"/>
          <w:szCs w:val="32"/>
          <w:highlight w:val="none"/>
          <w:u w:val="single"/>
        </w:rPr>
        <w:t xml:space="preserve">法人或者其他组织的营业执照等证明文件，自然人的身份证明</w:t>
      </w:r>
      <w:r/>
    </w:p>
    <w:p>
      <w:pPr>
        <w:pStyle w:val="644"/>
        <w:ind w:left="0" w:right="0" w:firstLine="0"/>
        <w:jc w:val="both"/>
        <w:pageBreakBefore w:val="0"/>
        <w:spacing w:beforeAutospacing="0" w:afterAutospacing="0" w:line="240" w:lineRule="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二、上一年度的财务状况报表</w:t>
      </w:r>
      <w:r/>
    </w:p>
    <w:p>
      <w:pPr>
        <w:pStyle w:val="644"/>
        <w:ind w:left="0" w:right="0" w:firstLine="0"/>
        <w:jc w:val="both"/>
        <w:pageBreakBefore w:val="0"/>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投标人成立不满一年不需提供</w:t>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644"/>
        <w:ind w:left="0" w:right="0" w:firstLine="0"/>
        <w:jc w:val="both"/>
        <w:pageBreakBefore w:val="0"/>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44"/>
        <w:ind w:left="0" w:right="0" w:firstLine="0"/>
        <w:jc w:val="both"/>
        <w:pageBreakBefore w:val="0"/>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w:t>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w:t>
      </w:r>
      <w:r/>
    </w:p>
    <w:p>
      <w:pPr>
        <w:pStyle w:val="644"/>
        <w:ind w:left="0" w:right="0" w:firstLine="0"/>
        <w:jc w:val="both"/>
        <w:pageBreakBefore w:val="0"/>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bookmarkStart w:id="186" w:name="_Toc120614284"/>
      <w:r>
        <w:rPr>
          <w:rFonts w:hint="eastAsia" w:ascii="宋体" w:hAnsi="宋体" w:eastAsia="宋体" w:cs="宋体"/>
          <w:i w:val="0"/>
          <w:iCs w:val="0"/>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44"/>
        <w:ind w:left="0" w:right="0" w:firstLine="0"/>
        <w:jc w:val="both"/>
        <w:pageBreakBefore w:val="0"/>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644"/>
        <w:ind w:left="0" w:right="0" w:firstLine="0"/>
        <w:jc w:val="center"/>
        <w:keepLines w:val="0"/>
        <w:keepNext w:val="0"/>
        <w:pageBreakBefore w:val="0"/>
        <w:spacing w:beforeAutospacing="0" w:afterAutospacing="0" w:line="0" w:lineRule="atLeast"/>
        <w:widowControl w:val="off"/>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644"/>
        <w:ind w:left="0" w:right="0" w:firstLine="0"/>
        <w:jc w:val="both"/>
        <w:pageBreakBefore w:val="0"/>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4"/>
        <w:ind w:left="0" w:right="0" w:firstLine="0"/>
        <w:jc w:val="center"/>
        <w:pageBreakBefore w:val="0"/>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4"/>
        <w:ind w:left="0" w:right="0" w:firstLine="0"/>
        <w:jc w:val="center"/>
        <w:pageBreakBefore w:val="0"/>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4"/>
        <w:ind w:left="0" w:right="0" w:firstLine="0"/>
        <w:jc w:val="left"/>
        <w:pageBreakBefore w:val="0"/>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4"/>
        <w:ind w:left="0" w:right="0" w:firstLine="0"/>
        <w:jc w:val="left"/>
        <w:pageBreakBefore w:val="0"/>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44"/>
        <w:ind w:left="0" w:right="0" w:firstLine="0"/>
        <w:jc w:val="left"/>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r>
      <w:r>
        <w:rPr>
          <w:rFonts w:hint="eastAsia" w:ascii="宋体" w:hAnsi="宋体" w:eastAsia="宋体" w:cs="宋体"/>
          <w:b w:val="0"/>
          <w:bCs w:val="0"/>
          <w:i w:val="0"/>
          <w:iCs/>
          <w:color w:val="auto"/>
          <w:sz w:val="32"/>
          <w:szCs w:val="32"/>
          <w:highlight w:val="none"/>
          <w:u w:val="single"/>
        </w:rPr>
      </w:r>
    </w:p>
    <w:p>
      <w:pPr>
        <w:pStyle w:val="644"/>
        <w:ind w:left="0" w:right="0" w:firstLine="0"/>
        <w:jc w:val="left"/>
        <w:pageBreakBefore w:val="0"/>
        <w:spacing w:beforeAutospacing="0" w:afterAutospacing="0"/>
        <w:rPr>
          <w:rFonts w:hint="eastAsia" w:ascii="宋体" w:hAnsi="宋体" w:eastAsia="宋体" w:cs="宋体"/>
          <w:b w:val="0"/>
          <w:bCs w:val="0"/>
          <w:i w:val="0"/>
          <w:color w:val="auto"/>
          <w:sz w:val="32"/>
          <w:szCs w:val="32"/>
          <w:highlight w:val="none"/>
          <w:u w:val="single"/>
        </w:rPr>
      </w:pPr>
      <w:r>
        <w:rPr>
          <w:rFonts w:hint="eastAsia" w:ascii="宋体" w:hAnsi="宋体" w:eastAsia="宋体" w:cs="宋体"/>
          <w:b w:val="0"/>
          <w:bCs w:val="0"/>
          <w:i w:val="0"/>
          <w:iCs/>
          <w:color w:val="auto"/>
          <w:sz w:val="32"/>
          <w:szCs w:val="32"/>
          <w:highlight w:val="none"/>
          <w:u w:val="single"/>
        </w:rPr>
        <w:t xml:space="preserve">七、法人授权书</w:t>
      </w:r>
      <w:r/>
    </w:p>
    <w:p>
      <w:pPr>
        <w:pStyle w:val="644"/>
        <w:ind w:left="0" w:right="0" w:firstLine="0"/>
        <w:jc w:val="both"/>
        <w:pageBreakBefore w:val="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44"/>
        <w:ind w:left="0" w:right="0" w:firstLine="0"/>
        <w:jc w:val="both"/>
        <w:pageBreakBefore w:val="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44"/>
        <w:ind w:left="0" w:right="0" w:firstLine="0"/>
        <w:jc w:val="both"/>
        <w:pageBreakBefore w:val="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644"/>
        <w:ind w:right="0"/>
        <w:jc w:val="both"/>
        <w:pageBreakBefore w:val="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44"/>
        <w:ind w:left="0" w:right="0" w:firstLine="0"/>
        <w:jc w:val="both"/>
        <w:pageBreakBefore w:val="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87" w:name="_格式3__银行出具的资信证明"/>
      <w:r/>
      <w:bookmarkStart w:id="188" w:name="_Hlt26671380"/>
      <w:r/>
      <w:bookmarkStart w:id="189" w:name="_Hlt26955070"/>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keepLines/>
        <w:keepNext/>
        <w:pageBreakBefore w:val="0"/>
        <w:spacing w:beforeAutospacing="0" w:afterAutospacing="0" w:line="415"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val="0"/>
          <w:bCs/>
          <w:color w:val="auto"/>
          <w:sz w:val="32"/>
          <w:szCs w:val="32"/>
          <w:highlight w:val="none"/>
          <w:u w:val="single"/>
        </w:rPr>
        <w:t xml:space="preserve">八、投标函</w:t>
      </w:r>
      <w:r/>
    </w:p>
    <w:p>
      <w:pPr>
        <w:pStyle w:val="644"/>
        <w:ind w:left="0" w:right="0" w:firstLine="0"/>
        <w:pageBreakBefore w:val="0"/>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盐城市大丰区公安局</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left"/>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u w:val="single"/>
        </w:rPr>
        <w:t xml:space="preserve">九、小微企业声明函（服务）（分包号：**）</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本公司（联合体）郑重声明，根据《政府采购促进中小企业发展管理办法》(财库[2020]46号)的规定，本公司（联合体）参加盐城市政府</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（项目名称）（分包号：**）</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right"/>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备注3：本项目采购标的按中小企业划分标准所属行业区分为软件和信息技术服务。</w:t>
      </w:r>
      <w:r/>
    </w:p>
    <w:p>
      <w:pPr>
        <w:pStyle w:val="644"/>
        <w:ind w:left="0" w:right="0" w:firstLine="0"/>
        <w:jc w:val="left"/>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u w:val="single"/>
        </w:rPr>
        <w:t xml:space="preserve">十、残疾人福利性单位声明函（分包号：**）</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（备注：1、供应商如不提供此声明函，价格将不做相应扣除。2、中标人为残疾人福利单位的，此声明函将随中标结果同时公告，接受社会监督）</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44"/>
        <w:ind w:left="0" w:right="0" w:firstLine="0"/>
        <w:jc w:val="center"/>
        <w:pageBreakBefore w:val="0"/>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left"/>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u w:val="single"/>
        </w:rPr>
        <w:t xml:space="preserve">十一、联合体协议（参考格式）（分包号：**）</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联合体中各供应商全称（公章）：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u w:val="single"/>
        </w:rPr>
        <w:t xml:space="preserve">十二、投标分项报价表（分包号：**）</w:t>
      </w:r>
      <w:r/>
    </w:p>
    <w:tbl>
      <w:tblPr>
        <w:tblStyle w:val="638"/>
        <w:tblW w:w="52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1075"/>
        <w:gridCol w:w="9581"/>
        <w:gridCol w:w="837"/>
        <w:gridCol w:w="850"/>
        <w:gridCol w:w="850"/>
        <w:gridCol w:w="85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合价（元）</w:t>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万兆供电交换机（外网）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2"/>
                <w:rFonts w:hint="eastAsia" w:ascii="宋体" w:hAnsi="宋体" w:eastAsia="宋体" w:cs="宋体"/>
                <w:color w:val="auto"/>
                <w:sz w:val="21"/>
                <w:szCs w:val="21"/>
                <w:lang w:val="en-US" w:eastAsia="zh-CN" w:bidi="ar"/>
              </w:rPr>
              <w:t xml:space="preserve">1、交换容量≥396Gbps，包转发率≥126Mpps</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2、端口类型≥24个10/100/1000Base-T电口，≥4个1G/10G SFP+光口。</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3、支持POE+，整机PoE最大输出功率375W，单端口最大输出功率35W</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4、▲支持组播VLAN ，可实现同一组数据在不同用户VLAN间的复制和转发，提供官网截图。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5、支持IEEE 802.3ad，支持动态链路聚合LACP</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6、支持Jumbo Frame数据传输。</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7、支持端口限速以及流限速功能，防止恶意侵占网络带宽，提供多种精细化管理手段，支持ARP Detection功能，支持ARP限速</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8、支持SNMPV1/2/3、TELNET、SSH等多种管理方式，支持管理平台、WEB网管，支持云管和自主网功能</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9、▲支持802.1X认证、 WEB认证、MAC认证和二三层Portal认证，支持客户端软件版本检测、Guest VLAN等功能，提供官网截图。</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99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框式PON交换机（外网）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1.整机交换容量≥168Tbps，包转发率≥36000Mpps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2.机箱式多插槽交换机，整机业务槽位数量≥3个</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3.支持冗余电源、冗余主控，主控板主备切换无丢包，主控交换卡、电源、接口模块、风扇等关键部件可热插拔</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4.▲支持融合AC功能，无醋额外配置单独硬件，并且能在交换机上对所有上线的AP 进行管理与配置，（提供权威第三方测试报告和提供官网截图证明）</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5.支持4框虚拟化技术，提供权威第三方测试报告</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6.▲支持MACsec硬件加密技术，实现MAC层安全加密，保证重要数据在传输过程中的保密性，提供权威第三方测试报告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7.支持RRPP、ERPS和RPR等环网技术，收敛时间≤50ms</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8.▲支持sFlow、Netstream等流量统计和分析功能，并支持对VxLAN报文的Netstream流量统计和分析功能，提供权威第三方测试报告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9.支持智能图形化管理功能，能够实现通过图形化界面设备配置及命令一键下发和版本智能升级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10.支持BFD功能，支持与OSPF、VRRP联动，收敛时间≤50ms</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11.▲支持有线/无线终端用户的端点准入防御功能，能够做到终端安全防范无漏洞（提供官网截图证明）</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12.支持以太网无源光网络（提供官网截图证明）</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13.为了保障整体网络兼容性和统一售后，要求核心层与接入层设备统一品牌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14.本次投标产品单台实配：双交流电源，千兆光口≥24个，万兆光口≥4个</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无线接入点（外网）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1、支持802.11ax协议标准，整机双频五流，整机最大接入速率2.975Gbps</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2、▲固定接口≥1个2.5Gbps 自协商以太网口上行口（PoE受电），无线终端最大接入数≥256，提供官网截图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3、支持无线VLAN绑定</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4、支持无线漫游灵敏度调优、弱信号终端优化、智能优化</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5、支持基于AP侧的无线终端限速</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6、支持一键认证、短信认证、账号认证、访客认证、微信公众号认证、哑终端认证、会员认证、钉钉认证、认证逃生、自定义认证服务器地址</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7、支持通过移动终端平台统一管理与运维，可以查看AP在线情况、AP关键指标、AP信道使用情况</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9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万兆防火墙（外网）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2"/>
                <w:rFonts w:hint="eastAsia" w:ascii="宋体" w:hAnsi="宋体" w:eastAsia="宋体" w:cs="宋体"/>
                <w:color w:val="auto"/>
                <w:sz w:val="21"/>
                <w:szCs w:val="21"/>
                <w:lang w:val="en-US" w:eastAsia="zh-CN" w:bidi="ar"/>
              </w:rPr>
              <w:t xml:space="preserve">1、采用非X86多核架构，具备可插拔冗余电源模块</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2、支持1个 1T HDD\480G SSD硬盘槽硬盘插槽，需实配1个1T HDD硬盘</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3、至少配置16个千兆电口，4个Combo口，6个千兆光口，2个万兆光口，1个管理口，1个Console口，2个USB接口。</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4、▲要求具备≥2个接口扩展卡插槽（提供制造商官网截图证明）</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5、全威胁吞吐量≥1G</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6、应用层吞吐量≥2.6Gbps，网络吞吐量≥7G，并发连接数≥260万，新建连接数≥5.5万</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7、整机同时具备防火墙、链路负载均衡、入侵防御、防病毒、带宽控制、应用识别和web应用防护等功能。</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8、配置waf功能授权</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9、支持IPsec VPN隧道自动建立，无需流量触发；支持IPsec VPN智能选路，根据隧道质量调度流量。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10、可针对HTTP/HTTPS的安全策略来专门为Web应用提供保护。对来自Web应用程序客户端的各类请求进行内容检测和验证，确保其安全性与合法性，对非法的请求予以实时阻断，从而对各类网站进行有效防护。</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11、▲支持sql注入、跨站脚本、远程代码执行、字符编码等攻击的防护，支持对网络设备、网页服务器、数据库等设备的专属特征分类，支持CC攻击防护，可基于检测请求报文头的X-forward-for字段，以获取真正的源IP地址（提供功能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12、WAF规则支持用户自定义，同时支持导入和导出功能</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13、支持至少4700种的Web特征的攻击检测和防御</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14、支持至少9400条以上的应用识别，且提示风险类型及风险级别，便于用户根据实际情况进行上网行为管理。（提供截图）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15、支持云端防病毒，为保证检测时效性，特征缓存数至少保证20万条且缓存保留时间不应少于700分钟；</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16、支持数据防泄露，对传输的文件和内容进行识别过滤，对内容与身份证号、信用卡号、银行卡号、手机号等类型进行匹配。</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17、支持流量自学习功能，可设置自学习时间，并自动生成DDoS防范策略。</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18、支持基于接口及IP的报文捕获，并将捕获到的报文生成Wireshark（一种网络封包分析软件）可识别的.cap后缀文件，保存到本地或外部服务器，供用户分析诊断出入设备的流量。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19、支持报文示踪功能，支持真实流量、导入报文、构造报文等方式，用于分析和追踪设备中各个安全业务模块（如：攻击防范、uRPF、会话管理和连接数限制等）对报文的处理过程，通过查看报文示踪记录的详细信息，有利于管理员对网络故障的快速排查和定位。</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20、支持基于Http Accept-Encoding、HTTP Accept-Language、Http Host、Http Request-Method、Http URL-File、Http User-Agent等协议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21、能够防范DOS/DDOS攻击：Land、Smurf、Fraggle、Ping of Death、Tear Drop、IP Spoofing、IP分片报文、ARP欺骗、ARP主动反向查询、TCP报文标志位不合法、超大ICMP报文、地址扫描、端口扫描等攻击防范，还包括针对SYN Flood、UPD Flood、ICMP Flood、DNS Flood、http Flood、https Flood、sip Flood等常见DDoS攻击的检测防御。</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22、▲支持国密SM1/2/3/4算法。（提供功能截图）</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23、所投设备须支持虚拟防火墙功能：支持虚拟防火墙的创建、启动、关闭、删除功能；可独立分配CPU、接口、吞吐量、内存、磁盘空间等资源，支持2台设备堆叠成一台设备使用，实现统一管理，统一配置，所投设备支持高可靠性（包含主备/主主模式）部署。（提供功能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24、提供开放API接口（RESTful，NetConf），可编程管理防火墙，不再仅依赖网管软件。</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25、为体现投标产品生产厂商的软件研发和管理实力，厂商软件开发必须通过CMMI5级认证；</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26、投标产品制造厂商应具有预防潜在的威胁,增强本项目应对灾难的能力，保证产品和服务的连续性，通过ISO 22301业务连续性管理体系认证(认证覆盖的业务范围包括本次投标产品)。须提供相关证书复印件证明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27、投标产品制造厂商应具有完善的售后服务体系，专业的售后服务专业队伍，健全的售后服务制度和质量监测体系，通过服务体系完善程度认证七星级；须提供相关证书复印件证明</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28、为保证投标产品的厂商在安全漏洞方面整体研究水平及安全漏洞及时预防能力。具备网络安全漏洞统一收集验证、预警发布及应急处置体系，进而提高产品的安全性。产品生产厂商须进入国家信息安全漏洞共享平台（CNVD）技术组成员，并为2020年度漏洞信息报送突出贡献单位（CNVD），须提供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29、为保证投标产品的厂商在安全漏洞方面整体研究水平及安全漏洞及时预防能力。具备网络安全漏洞统一收集验证、预警发布及应急处置体系，进而提高产品的安全性。产品生产厂商须进入国家信息安全漏洞库（CNNVD）一级技术支撑单位，须提供证明材料</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30、▲为衡量所投产品制造商具备信息系统安全集成服务能力，提供中国网络安全审查技术与认证中心颁发的信息系统安全集成服务一级服务资质证书；须提供相关证书复印件证明</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防火墙软件授权（外网）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（AV防病毒安全特征库，IPS特征库升级，应用识别特征库）1年授权</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Style w:val="653"/>
                <w:rFonts w:hint="eastAsia" w:ascii="宋体" w:hAnsi="宋体" w:eastAsia="宋体" w:cs="宋体"/>
                <w:color w:val="auto"/>
                <w:sz w:val="21"/>
                <w:szCs w:val="21"/>
                <w:lang w:val="en-US" w:eastAsia="zh-CN" w:bidi="ar"/>
              </w:rPr>
              <w:t xml:space="preserve">1、1U标准机架设备，多核多线程CPU，8G内存，2T存储，标配6个千兆电口，1个扩展槽，可扩展4GE+4SFP插卡、8GE插卡、8SFP插卡，4SFP+插卡，提供设备证明清晰照片证明</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2、事件入库性能≥1500EPS；默认16个日志源；扩展步长8个日志源，最大可至128个日志源。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支持市面主流安全设备、网络设备、中间件、服务器、数据库、操作系统等设备对象的日志数据采集；支持主动、被动相结合的数据采集方式；支持日志转发；支持Syslog、SNMP、JDBC、WMI、FTP、文件等进行数据采集；支持通过Agent采集日志数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4、采集内容支持日志监控、文件监控（文件监控无需开启ftp、sftp协议）、网络包监控；</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5、支持控制采集时间、采集级别、采集范围、采集路径、采集名称、采集文件、多文件采集、采集编码格式、采集正则表达式、自定义采集等；</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6、支持采集网络流量，解析协议不少于ICMP、AMQP、Cassandra、DNS、HTTP、Memcache、MySQL、PgSQL、TNS、Redis、Thrift、MongoDB、NFS、TDS、Sybase、Drda、Dameng、POP、SMTP、达梦等；</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7、对元数据进行重加工或扩展加工，通过正则匹配、OID映射等配置文件编写，上传至现有日志审计平台，直接实现数据的扩展兼容；</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8、提供TOP10资产事件趋势，支持实时告警数、资产总数、日志事件总数、系统健康状况的图表显示。并支持资产总数、日志事件总数、系统健康状况四项的下钻查看详情；提供首页“进入/退出全屏”显示按键；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9、支持基于策略的多资产海量日志关联分析，发现安全事件进行关联通知；系统内置不少于50种常见安全事件关联分析规则；</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10、提供可视化关联分析规则编辑视图，可根据实际业务编辑关联分析规则，关联内容支持不少于资产、源地址、源端口、目的地址、目的端口、事件级别、原始日志、关键词等信息；</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11、支持所有日志事件按照通用模板进行多维日志类型、多设备类型日志进行因果性关联分析，支持三个因果关联，实现日志的多维异常分析；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12、支持自动生成主机访问关系图谱。关系图谱支持无限级延伸，支持点击业务主机节点自动绘制访问关系；</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13、支持关系图谱搜索、过滤，支持自定义关系节点图标、支持基于节点下钻查看日志信息、查看和拓展该点关系图等（提供截图）；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14、对单位内的设备类型、应用类型、协议类型等信息为基础，梳理出设备、应用、协议等之间的访问关系，实时树立访问关系，结合不同类型梳理出正常使用访问操作，非正常授权使用操作；</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15、支持根据内置事件类型，按照用户环境需求，定义无限级深度事件模型，绘制全网事件关联关系模型，提供基于模型而非特征的问题发现能力，辅助发现未知威胁；</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16、▲对单位服务器开放端口关系、服务器端口连接关系、服务代理关系、P2P模型关系等。通过关系图谱，可以提高对于未知威胁发现的能力（提供截图）；</w:t>
            </w:r>
            <w:r>
              <w:rPr>
                <w:rStyle w:val="653"/>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17、对单位网络中DNS服务器的访问关系，可以通过该关系图直接发现异常DNS服务器地址，发现DNS欺骗问题；</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18、结合单位认证授权设备，如堡垒机，进行登录行为的可视化关系，可以通过该图直接发现过度授权和未授权访问问题；</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19、满足单位根据等级保护中关于网络安全、主机安全、风险管理等相关事件统计要求；</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20、 满足单位萨班斯法案（SOX）中关于认证管理、账号管理、权限管理、操作管理、攻击管理、风险管理等相关要求事件统计；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21、满足单位信息安全管理要ISO27001中关于资产管理、人力资源安全管理、通信和操作管理、访问控制管理、信息系统获取/开发和维护管理、信息安全事故、业务连续性等相关要求事件统计；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22、满足单位第三方支付行业（支付卡行业PCI DSS）数据安全标准PCI DSS中关于网络安全管理、访问控制管理、网络监测管理、安全策略管理等相关要求事件统计；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23、提供按照全网概况、操作系统分析、安全设备分析、网络设备分析、数据库分析、Web应用分析、连接关系、事件关系、网络流量等进行分类的分析图组；</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24、支持根据用户需求进行图表自定义无需二次开发，实时查询总体、时间段、时间节点等相关内容以多样式的图表进行丰富综合展示；</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25、HTTP响应时间、响应状态码、访问来源IP、请求内容等信息监控，实现发现如状态码为404或响应时间超长情况监控、下钻、跟踪，提供及时进行Web性能优化的业务辅助；</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26、▲数据库响应时间、请求方式、请求内容等信息监控，实现发现如响应时间超长情况监控、下钻、跟踪，提供及时进行数据库性能优化的业务辅助（提供截图）；</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27、支持实时日志查看，可选择任意时间节点进行查看全部日志或符合时间节点重要事件，无需进行二次查询；</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28、支持在查询结果页面按照时间切片，以柱状图显示每个时间间隔内的日志数量，可直接下钻查询，支持每一秒为一个时间隔。</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29、支持过滤条件不少于以下条件类型：设备IP、来源IP、目的MAC、来源端口、目的端口、目的地址IPV6、源MAC、源地址IPV6、操作用户、目的IP、事件名称、域名、事件级别、应用名称、请求信息、服务名称、错误信息、响应信息、资源类型、错误码、接收字节、数据库表名、状态码、协议、发送字节、请求方式等。</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30、支持在告警信息页面，点击统计图，以环形图形式对告警类型进行统计；</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31、 支持根据时间范围、级别、规则类型、告警全文关键字等方式快速检索安全事件告警，检索结果支持Excel等格式导出。 支持邮件、声音、syslog等多种告警方式。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32、采用基于时间索引方式的日志存储和非关系型数据库的配置的存储架构，支持数据本地集中存储、本地离线备份存储、FTP离线存储、网络存储；</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33、支持日志的数据的冷热模式切换，即基于时间索引的及时关闭和开启索引；</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34、支持在资产列表页面，以环形图、饼状图形式对资产分组和类型进行统计；支持为一个IP分配多种业务类型，同时收取收集不同类型日志，并进行正确解析；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35、支持设备可用性状态监测，当设备出现异常超出设定阀值时及时发出告警信息；</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36、▲所投产品具备公安部颁发的日志分析（三级）销售许可证，提供复印件证明材料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37、▲所投产品具备国家版权局颁发的计算机软件著作登记证书，证书名称包含“日志审计”字样，提供证书复印件证明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38、本次所投安全产品制造厂商须具备ISO27001信息安全管理体系认证证书,提供证书复印件证明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39、为体现投标产品生产厂商的软件研发和管理实力，需获得CMMI 5（软件能力成熟度集成模型）认证，提供证书复印件证明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40、▲设备制造厂商具备信息安全应急处理一级服务资质，提供证明材料。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41、本次所投安全产品制造厂商须是CSA云安全联盟理事单位成员，提供证明材料。</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42、▲为了满足网络安全等级保障2.0标准的需求，设备制造商官网应明确满足180天日志存储要求，支持多条件查询（提供官网截图）</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99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接入交换机（外网）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1、交换容量≥336Gbps，包转发率≥56Mpps。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2、端口类型≥8个10/100/1000Base-T电口，≥2个1000Base-X SFP光口。</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3、▲支持堆叠，持集群或堆叠多虚一技术，实现单一界面管理多台设备，堆叠台数≥9台，并提供官网截图。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4、支持MAC地址学习数目限制，MAC地址深度最≥8K</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5、支持组播VLAN ，可实现同一组数据在不同用户VLAN间的复制和转发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6、支持端口自环检测，可防止数据环路引起广播风暴。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7、支持端口限速以及流限速功能，防止恶意侵占网络带宽，提供多种精细化管理手段</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8、支持SNMPV1/2/3、TELNET、SSH等多种管理方式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9、支持802.1X和MAC认证，支持客户端软件版本检测、Guest VLAN等功能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10、可console管理，支持命令行调试</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11、支持sflow流量统计分析功能。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12、支持STP/RSTP/MSTP多种生成树协议，提高容错能力，提升网络稳定性。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13、所投交换机支持同一品牌的智能管理平台统一运维管理。</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14、▲支持丰富的IPV6业务特性及多种IPv6管理手段，提供官网截图。</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万兆核心交换机（公安内网）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1、交换容量≥5.98Tbps，包转发率≥237Mpps，整机功耗≤60W。</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2、端口类型≥24个100/1000BASE-X SFP光口，≥8个10/100/1000BASE-T电口，≥4个1/10G Base-X SFP+光口，≥1个Console口。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3、支持环境工作温度-5~45℃，工作相对湿度5～95%RH，无冷凝。</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4、支持802.3x流量控制(全双工)，支持未知单播/多播/广播抑制。</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5、▲支持端口镜像、流镜像、远程镜像，支持 SPAN/RSPAN 镜像和多个镜像观察端口，支持Loopback-detection端口环回检测，提供第三方具有CNAS标志的检测报告。</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6、▲支持智能弹性架构的堆叠，持集群或堆叠多虚一技术，实现单一界面管理多台设备，堆叠台数≥9台，并提供官网截图。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7、支持MAC地址学习数目限制，MAC地址深度最深≥32K</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8、支持组播VLAN，可实现同一组数据在不同用户VLAN间的复制和转发。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9、支持多种VLAN功能，支持802.1Q/Guest /Voice VLAN，。</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10、支持LACP/STP/RSTP/MSTP/PVST/Smart Link/RRPP快速环网保护机制等保护协议，提高容错能力，提升网络稳定性。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11、支持二层环网协议，支持SmartLink 树型拓朴和SmartLink多实例，提供主备链路的毫秒级保护，支持RRPP环型拓扑和RRPP多实例。</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12、支持防私接DHCP Snooping，避免上网终端从非法DHCP服务器分配IP地址。</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13、支持丰富的IPv4和IPv6三层路由协议、组播技术以及策略路由机制，支持IPv4/IPv6静态路由，支持双栈。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14、支持集中式MAC地址认证、802.1x认证、PORTAL认证、RADIUS 认证、TACACS认证，支持用户帐号、IP、MAC、VLAN、端口等用户标识元素的动态或静态绑定，同时实现用户策略（VLAN、QoS、ACL）的动态下发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15、支持DLDP单向链路检测协议，支持LLDP，支持NTP，支持VCT电缆检测功能，支持电源的告警功能，风扇、温度告警</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16、支持TCP/IP、ARP、ICMP 协议；支持OSPFv2 路由协议；支持 IGMPv2 协议，提供第三方具有CNAS标志的检测报告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Style w:val="655"/>
                <w:rFonts w:hint="eastAsia" w:ascii="宋体" w:hAnsi="宋体" w:eastAsia="宋体" w:cs="宋体"/>
                <w:color w:val="auto"/>
                <w:sz w:val="21"/>
                <w:szCs w:val="21"/>
                <w:lang w:val="en-US" w:eastAsia="zh-CN" w:bidi="ar"/>
              </w:rPr>
              <w:t xml:space="preserve">1、▲交换容量≥337Gbps，包转发率≥108Mpps，整机功耗≤22W，并提供官网截图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2、端口类型≥24个10/100/1000Base-T电口，≥2个1000Base-X SFP光口，≥2个1000Base-X SFP+光口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3、支持组播VLAN ，可实现同一组数据在不同用户VLAN间的复制和转发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4、支持端口自环检测，可防止数据环路引起广播风暴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5、支持IEEE 802.3ad，支持动态链路聚合LAC</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6、支持Jumbo Frame数据传输，在实现高密千兆接入同时，实现万兆上行的能力</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1、交换容量≥336Gbps，包转发率≥56Mpps。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2、端口类型≥8个10/100/1000Base-T电口，≥2个1000Base-X SFP光口。</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3、▲支持堆叠，持集群或堆叠多虚一技术，实现单一界面管理多台设备，堆叠台数≥9台，并提供官网截图。</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4、支持sflow流量统计分析功能。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5、支持STP/RSTP/MSTP多种生成树协议，提高容错能力，提升网络稳定性。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6、所投交换机支持同一品牌的智能管理平台统一运维管理。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7、支持丰富的IPV6业务特性及多种IPv6管理手段。</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万兆接入交换机（公安内网）</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1、24个10/100/1000Base-T电口(包含两个uplink口，可作为上行口)，2个10G Base-X SFP+ 光口(uplink口)；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2、支持PoE+，整机最大输出：225W，单端口最大供电功率 30W；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3、交换容量：88Gbps，包转发：65.7Mpps；MAC地址表：8K，包缓存≥4Mbit；模式切换：标准交换、端口隔离、汇聚上联、网络克隆。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LC-LC 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千兆接线模块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LC-LC 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模块化电源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AC(70W)电源模块</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1、名称：机柜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2、技术参数：高宽深(2000*600*600)mm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3、内置2个8位10A PDU</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1、产品符合ISO/IEC 11801；ANSI-TIA-568.2-D标准；；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2、PIN 针 采用磷青铜镀镍，再镀“50μ”金工艺；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3、标准19英寸机架式安装，采用高密度SPCC冷轧板，保证产品机械强度；</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(铁质)水平理线架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 芯 LC 双工机架固定式配线箱</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信息模块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1、产品符合ISO/IEC 11801；ANSI-TIA-568.2-D标准； PIN 针采用磷青铜镀镍，再镀”50μ”金工艺；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2、满足AWG23线规（6类 0.57）接入要求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3、塑料采用进口防火PC，符合UL94V-0标准；PCB采用FR-4双层板，IDC打线柱采用磷青铜材质；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4、特别优化金针和线路板补偿设计，有效降低串扰，提升产品性能；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5、内置隔离片设计，有效隔离线对之间的串扰；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6、免工具压线方式，施工便捷，降低施工手法对性能的影响，提升施工效率，降低施工成本；</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信息面板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 型双孔面板</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1、蓝色-3米 6类非屏蔽跳线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2、水晶头采用优质PC材料；PIN 针采用磷青铜，“50μ”镀金工艺；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1、工作波长1310nm, 1550nm, 850nm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2、插损（典型值） ≤0.2dB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3、回损 PC≥45dB,UPC≥50dB,APC≥60dB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4、振动 ≤0.2dB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5、互换性 ≤0.3dB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6、长度≥2米</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一体化冷通道柜</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1、机柜尺寸：600*1200*2000mm（WDH，不含脚轮、调节地脚、柜顶线缆管理组件），封闭冷通道；需满足后期机柜数量扩容需求；机柜具有安装脚轮及调节地脚功能。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柜单元采用冷通道封闭的结构设计。机柜单元前门采用单开钢化玻璃门，在机柜单元前部空间形成密闭冷通道，机柜单元后部空间形成自然散热通道，借助室内房间空调或室温实现精确制冷,最大程度降低空调能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3、机柜单元配备弹门装置。当柜内温度异常时，前门可自动弹开应急散热通风；弹门装置的启动与微模块内部温度设定阈值联动。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4、机柜单元具备智能照明功能。每个机柜单元的前后通道内均配置LED灯。当机柜单元的门开启或关闭时，对应的LED灯自动亮起或熄灭，当打开前门时亮白光用于运维照明。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5、机柜单元应兼容上下进线，顶部盖板过线孔数量不少于2个，底部挡板过线孔数量不少于2个。过线孔均应用橡胶圈或毛刷覆盖以防止漏风；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6、机柜单元配备竖直安装型PDU。PDU额定输入电流32A，输出12口10A国标三扁插座，带电源指示和接线盒，不含工业插头，分左右安装（可根据实际需要选用其他类型PDU）。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7、机柜单元应有很强的兼容性，所有符合EIA-310-D标准的设备都可以安装在机柜单元中；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8、机柜单元应满足欧盟RoHS环保指令，所有部件需可靠接地，确保操作安全，满足IEC60950-1-2005安规标准。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一体化不间断电源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1、为保证电源产品的安全性设备制造厂商应为国产上市一线品牌；</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2、▲制造商具备ISO9000系列质量认证、1SO14001环境保护认证、职业健康安全管理体系认证、社会责任管理体系认证证书、有害物质过程管理IECQ证书，提供相关证书证明；</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3、制造商具备CNAS实验室资质，提供资质证明材料；</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4、▲制造商必须在本省内设有不少于6家直属维修服务网点，本市不少于1家直属维修服务网点，并提供服务工程师资格证书，且应具备原厂完善的售后服务方案（提供官网网址、网址服务网点信息截图，服务网点信息含联系人、联系方式、服务网点地址为依据）；</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5、▲制造商获得高新技术企业证书；为国家技术创新示范企业；为国家认定企业技术中心 </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6、技术研发能力强大，同时具有院士工作站、博士后科研工作站；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7、3KVA，220V输入，220V输出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8、输出功因0.9，比普通机型带载提高13%;</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9、变频功能，支持50Hz输入/60Hz输出或60Hz输入/50Hz输出;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10、直流冷启动，可利用电池开机;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45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1、蓄电池应和主机为同一厂家；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2、蓄电池应通过抗震检测，其抗震等级应不低于9级。</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3、蓄电池应具有泰尔检测认证及检测报告并提供检测报告复印件。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4、蓄电池正常使用时保持气密和液密状态，当内部气压超过预定值时，安全阀自动开启，释放气体，当内部气压降低后，安全阀自动闭合使其密封，防止外部空气进入电池内部。</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5、▲蓄电池连接件压降应低于7mV，需提供第三方检测报告复印件。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 蓄电池在25℃满容量状态下，静置28天后其蓄电池容量保存率应在96%以上 。</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7、蓄电池在大电流放电后，极柱不应熔断，其外观不出现异常。</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8、▲蓄电池密封反应效率不低于99.5%，需提供第三方检测报告复印件。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9、蓄电池连接初电流为I10的电阻连续过放30d后，马上充电后容量应能保持在原容量的99%以上。</w:t>
            </w:r>
            <w:r>
              <w:rPr>
                <w:rStyle w:val="654"/>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10、满足机房设备30分钟以上蓄电需求</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11、容量：12V/7AH</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一体化精密空调</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Style w:val="655"/>
                <w:rFonts w:hint="eastAsia" w:ascii="宋体" w:hAnsi="宋体" w:eastAsia="宋体" w:cs="宋体"/>
                <w:color w:val="auto"/>
                <w:sz w:val="21"/>
                <w:szCs w:val="21"/>
                <w:lang w:val="en-US" w:eastAsia="zh-CN" w:bidi="ar"/>
              </w:rPr>
              <w:t xml:space="preserve">1、▲制冷量≥2kW，风量≥600m3/h，无室外机一体化设计，机架式安装，不大于7U，提供设备照片予以证明。</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2、要求精密制冷单元采用变频压缩机，可根据机柜内部的实际热负荷在一定范围内动态调节冷量输出，以减少压缩机启停次数，延长压缩机寿命，并实现更精确的微模块内部温度控制。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3、投标的风冷型机架式精密空调应在-15℃～45℃的室外环境温度范围内保证正常制冷。</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4、要求整机连续运行设计寿命不小于 10 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5、精密制冷单元的送回风方式为上前送风，上后回风。</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6、每台机架式精密空调空调内置室内回风温度传感器，监控机柜内回风温度。</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7、机架式精密空调通过回风温度控智能制空调运行。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8、输入电压制式 220V~/50Hz，允许电压波动范围：220V±10%，频率：50HZ±2HZ。</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9、整机模块化设计，电路可全正面维护。</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10、压缩机采用高效可靠的转子变频压缩机，为世界知名品牌压缩机。压缩机的噪声等级达到行业标准的要求，同时压缩机可以在现场安装维修。</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11、室内机风机应采用高效离心风机，风机电机轴承的使用寿命大于4万小时。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12、一体化设计，无需室外机，无需铜管连接。</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控接口配置：配置有RS485监控接口，可提供本地和远端两种控制模式，自动进行启停切换和数据保存，具有工作状态、报警信号远端传送和控制功能。具有设备运行参数的设置及智能判断功能，对于超常规的参数设置（错误命令）能自动拒绝。 且具有良好的电气隔离（信号端子对地承受直流电压500V、1 分钟不击穿或闪烁）。                                                                          </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14、具有故障智能检测、诊断功能；空调机预留火灾、烟感等报警以及与其它安全器件联锁接口。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15、相对湿度控制精度：空调器在正常使用条件下，室内相对湿度控制 范围 40%～70%，控制精度应可达到设定点±5%。</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16、具备制冷系统高压告警、电源故障告警、压缩机过流保护等功能。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17、需和UPS为同一厂家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18、输入:AC 220V</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19、制冷剂:R134a</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20、制冷量:2kW</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21、内循环风量:600m3/h</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22、噪音:58dB(A)</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23、安装:机架式7U，深度800mm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机房动环系统</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1、本地15寸显示屏，Linux操作系统，4核处理器，系统稳定流畅；</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2、实时监控系统的UPS、温湿度、水浸、门磁、烟感等，提供有效的应急告警保护方案，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3、确保设备运行在一个可靠的基础设施环境；</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4、远程Web界面登录IP地址即可访问模块整机动环系统，实现远程运维，实现多个模块集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中监控，统一云平台管理；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5、可监控IT设备和任何IP终端，做到机房统一网管；</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6、微信小程序、短信、电话远程移动运维，无论何时何地都可实时监控，实现无人值守；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7、支持声光告警（放置于柜内冷通道前端）；</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8、冷通道进风温湿度</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9、需和UPS精密空调为同一品牌</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应急快冷系统</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可实现温度控制功能，实现应急状态快速冷却系统，下出风</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配电单元</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1、配电单元采用19英寸机架式安装设计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2、高度为3U，机架式安装。总输入63A/1P,UPS输入/输出32A/1P(带维修旁路)，市电3路馈出（1路空调+2路IT），UPS 2路馈出（2路IT）,带分路智能检测，含配电数据采集-485通讯。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配电模块能监控：主路输入电压电流、无功功率、开关状态、防雷器开关状态、防雷器状态、UPS开关状态等，馈出支路电压、电流、无功功率、有功功率、开关状态等。</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PDU单元</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12位标准10A供电插排，支持防浪涌，满足大功率设备接入需求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1、具有2个HDMI接口、2个VGA接口、1个CVBS接口、2个RJ45 千兆网络接口；2个USB2.0接口、2个USB3.0接口、1个RS232接口、1个RS485接口（可接入RS485键盘）、1个eSata接口；具有1路音频输入接口、2路音频输出接口、16路报警输入接口、9路报警输出接口（其中第9路支持受控直流12V输出）、具有1路直流12V输出接口（12V 1A）、可内置9块SATA接口硬盘；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2、可接入6T、8T、10T、12TB、14TB、16TB、18TB、20TB 容量的 SATA接口硬盘；可接入 AI 硬盘、加密硬盘；支持不同品牌、不同转速的监控级和企业级硬盘混合接入。支持SATA硬盘，SAS硬盘和SSD硬盘混合接入；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3、支持4通道输出，包括HDMI1、HDMI2、VGA1、VGA2，各输出口均支持显示系统主菜单，且每路均可分别进行预览、回放、配置等操作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4、支持4路视频流人脸识别，支持16路图片流人脸识别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5、人脸正对相机、人脸无遮挡等干扰情况，人脸识别准确率≥99%</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6、采用单人戴口罩正脸依次循环通行进行试验，试验人员数量不小于5人，通过速度不小于1m/s，人员通过间隔时间不大于1s，戴口罩人脸检出率不低于99%</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6TB 7200PRM 256M缓存</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24英寸 1080P HDMI</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视频防泄密安全网关</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2"/>
                <w:rFonts w:hint="eastAsia" w:ascii="宋体" w:hAnsi="宋体" w:eastAsia="宋体" w:cs="宋体"/>
                <w:color w:val="auto"/>
                <w:sz w:val="21"/>
                <w:szCs w:val="21"/>
                <w:lang w:val="en-US" w:eastAsia="zh-CN" w:bidi="ar"/>
              </w:rPr>
              <w:t xml:space="preserve">设备规格：标准机架式设备，默认支持6个千兆电口，支持以太网电口的线速转发，最大支持管理50个视频防泄密客户端以及端视频流调阅管控并发处理，配置单电源；</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1、支持权限管理操作席终端用户对视频监控系统的访问进行准入控制，禁止非法用户接入视频监控系统。</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2、支持操作席终端机视频防泄密客户端软件下载/导出的视频数据和抓图自动加密保护。</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3、支持在操作席终端禁止通过截屏/录屏软件对监控画面进行截屏和录屏操作。</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4、支持二维码及透明水印技术对操作席终端显示的视频图像拍屏操作进行防护，具有事前震慑、事后追溯。</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5、支持外发视频文件的视频数据加密处理并设置权限和使用期限，过期自动删除。</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6、支持外发视频文件的接收方无需预先安装任何软硬件即可在权限内使用外发视频加密数据。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7、支持视频管控流程审批功能，对需要解密、外发视频监控数据的申请进行审批，批复通过后才有权限获取相关数据。</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8、支持黑名单和白名单流量过滤控制，支持IP地址、端口等多种防护方式；</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9、支持安全概览、日志管理、资产管理、策略配置、系统管理等功能。</w:t>
            </w:r>
            <w:r>
              <w:rPr>
                <w:rStyle w:val="652"/>
                <w:rFonts w:hint="eastAsia" w:ascii="宋体" w:hAnsi="宋体" w:eastAsia="宋体" w:cs="宋体"/>
                <w:color w:val="auto"/>
                <w:sz w:val="21"/>
                <w:szCs w:val="21"/>
                <w:lang w:val="en-US" w:eastAsia="zh-CN" w:bidi="ar"/>
              </w:rPr>
              <w:br/>
            </w:r>
            <w:r>
              <w:rPr>
                <w:rStyle w:val="652"/>
                <w:rFonts w:hint="eastAsia" w:ascii="宋体" w:hAnsi="宋体" w:eastAsia="宋体" w:cs="宋体"/>
                <w:color w:val="auto"/>
                <w:sz w:val="21"/>
                <w:szCs w:val="21"/>
                <w:lang w:val="en-US" w:eastAsia="zh-CN" w:bidi="ar"/>
              </w:rPr>
              <w:t xml:space="preserve">10、支持业务日志、资产日志、终端日志、系统日志、告警信息，支持风险聚合和风险处理功能。</w:t>
            </w:r>
            <w:r>
              <w:rPr>
                <w:rStyle w:val="652"/>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11、▲访问控制功能，依据安全策略，控制视频监控文件访问的授权环境及视频监控文件的访问，保护监控文件的能力应不小于5G字节；具有防控用户终端截取内存和显存数据截屏的能力。提供公安部检测机构出具的检测报告截图予以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12、▲视频监控文件的外发应用，支持通过授权，在用户终端将视频监控文件制作成外发数据，并应具有设置密码、时效、编辑、自删除等修改、调整功能；外发数据在时效和权限许可范围内，无需安装专用软件即可使用；5G大小的外发文件在标准配置的计算机上，打开时间比原始视频文件增加不应超过10秒钟。提供公安部检测机构出具的检测报告截图予以证明。</w:t>
            </w:r>
            <w:r>
              <w:rPr>
                <w:rStyle w:val="653"/>
                <w:rFonts w:hint="eastAsia" w:ascii="宋体" w:hAnsi="宋体" w:eastAsia="宋体" w:cs="宋体"/>
                <w:color w:val="auto"/>
                <w:sz w:val="21"/>
                <w:szCs w:val="21"/>
                <w:lang w:val="en-US" w:eastAsia="zh-CN" w:bidi="ar"/>
              </w:rPr>
              <w:br/>
            </w:r>
            <w:r>
              <w:rPr>
                <w:rStyle w:val="653"/>
                <w:rFonts w:hint="eastAsia" w:ascii="宋体" w:hAnsi="宋体" w:eastAsia="宋体" w:cs="宋体"/>
                <w:color w:val="auto"/>
                <w:sz w:val="21"/>
                <w:szCs w:val="21"/>
                <w:lang w:val="en-US" w:eastAsia="zh-CN" w:bidi="ar"/>
              </w:rPr>
              <w:t xml:space="preserve">13、▲产品具备公安部权威检测机构颁发的“视频安防监控数据导出防泄密”检测报告，提供检测报告复印件，并加盖公章。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783"/>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视频防泄密客户端安全软件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配套核心安全网关使用：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1、录像/抓图导出防泄密：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录像/抓图数据导出时自动加密保护；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只有在授权的操作席终端上才可以正常使用，一旦带离授权环境则完全无法使用；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2、拍摄屏幕防泄密：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支持显性水印，包含用户信息和设备信息，可威慑拍屏者并用于事后追溯；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支持隐性水印，包含用户信息，用于事后追溯；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3、截屏/录屏防泄密：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禁止在操作席终端上对监控画面进行截屏和录屏；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可防各种截屏/录屏软件；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4、视频数据外发防泄密：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获得授权后操作席终端用户方可将视频数据制作成外发文件；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可对外发文件设置访问权限、时限和次数，并具备自动删除功能；</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视频显示安全网关</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top"/>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设备规格：标准机架式设备，支持12组HDMI接口解析，支持12路视频显示通道视频流上墙处理，默认支持1个以太网电口管理端口，配置冗余双电源；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1、水印功能：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支持显性水印，包含用户信息、时间信息和警示信息，可威慑拍屏者并用于事后追溯；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支持隐性水印，包含用户信息和时间信息，用于事后追溯；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2、分屏/全屏显示：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支持拼接屏幕防拍屏，支持分屏水印；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支持全屏幕防拍屏，支持整屏水印；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3、安全便捷的管理：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支持GUI人机交互界面控制，操作更便捷；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支持统一网管；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4、水印设置：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支持水印开关设置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支持水印位置设置，支持透明度设置，支持文本颜色设置；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支持水印字体样式、字体大小设置；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具有断电信息保存功能</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1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分布式坐席输入终端</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1、支持纯分布式架构，无需配置服务器即可构建去中心化的分布式音视频及控制系统；</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2、▲可同时输出无损视频流、浅压缩视频流、深压缩视频流（提供国家认可的第三方检测机构出具的检测报告）；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3、支持坐席管理功能和大屏拼接功能在同一硬件框架下配置和使用；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4、支持坐席管理功能和大屏拼接功能在同一软件界面下配置和使用；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5、支持1G、10G速率SFP模块；</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7、支持≥1个万兆光纤接口、≥1个千兆以太网口；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8、支持≥1个HDMI1.4/2.0的输入接口、≥1个HDMI1.4/2.0的输出接口；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9、支持≥1路模拟音频输入、≥1路模拟音频输出；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10、支持≥1个继电器接口；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11、支持≥1路的RS232接口，支持远程开关机，支持红外输入输出；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支持EDID管理；</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12、▲支持3840*2160@60帧/1080P60帧4:4:4采样，信号源从输入节点至输出节点投屏显示图像延时≤1ms（提供国家认可的第三方检测机构出具的检测报告）；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13、支持USB2.0接口，支持物理层USB透传控制，支持U盘、UKey、USBcamera、USB多点触摸屏、USB打印机，能够正常工作；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14、支持HDR，支持HDMI2.0视频格式输入/输出，支持HDCP2.2协议；</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15、工作温度-40℃~+85℃</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16、电源DC12V2.5A</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17、跨屏操作支持主屏、扩展屏，支持 Windows7、Windows10、WindowsXP、Windows11、Windows8.1、Ubuntu、凝思磐石4.2及以上版本、Redhat、MAC、红旗、中标麒麟、银河麒麟、统信 U0S、Debian、Cent0S、Linux、Solaris、Unix等操作系统；</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18、环通输出：支持HDMI2.0信号的环通输出，输入节点支持本地环出，环出信号与输入信号一致，在设备故障的情况下可以环出信号不受影响</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20、坐席对讲：支持坐席语音对讲，支持32人以上语音对讲功能；</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分布式坐席输出终端</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1、支持纯分布式架构，无需配置服务器即可构建去中心化的分布式音视频及控制系统；</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2、可同时输出无损视频流、浅压缩视频流、深压缩视频流；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3、支持坐席管理功能和大屏拼接功能在同一硬件框架下配置和使用；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4、支持坐席管理功能和大屏拼接功能在同一软件界面下配置和使用；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5、支持1G、10G速率SFP模块；</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6、▲权限管理功能检验：支持精细权限管理功能，具备高一级权限时可直接断开他方控制权直接控制;同级权限可向对方发起断开请求，并倒计时，5秒内无操作即可断开并实现独占接管，信号源可分为完全控制和查看2个等级并可进行分别管理（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7、支持≥1个万兆光纤接口、≥1个千兆以太网口；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8、支持≥1个HDMI1.4/2.0的输入接口、≥1个HDMI1.4/2.0的输出接口；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9、支持≥1路模拟音频输入、≥1路模拟音频输出；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10、支持≥1个继电器接口；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11、支持≥1路的RS232接口，支持远程开关机，支持红外输入输出；</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支持EDID管理；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12、支持3840*2160@60帧/1080P60帧4:4:4采样，信号源从输入节点至输出节点投屏显示图像延时≤1ms；</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13、支持USB2.0接口，支持物理层USB透传控制，支持U盘、UKey、USBcamera、USB多点触摸屏、USB打印机，能够正常工作；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14、支持HDR，支持HDMI2.0视频格式输入/输出，支持HDCP2.2协议；</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15、工作温度-40℃~+85℃</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16、电源DC12V2.5A</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17、跨屏操作支持主屏、扩展屏，支持 Windows7、Windows10、WindowsXP、Windows11、Windows8.1、Ubuntu、凝思磐石4.2及以上版本、Redhat、MAC、红旗、中标麒麟、银河麒麟、统信 U0S、Debian、Cent0S、Linux、Solaris、Unix等操作系统（提供国家认可的第三方检测机构出具的检测报告）；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18、环通输出：支持HDMI2.0信号的环通输出，输入节点支持本地环出，环出信号与输入信号一致，在设备故障的情况下可以环出信号不受影响</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19、支持 USB数据三重隔离，即支持USB2.0的数据透传功能且组网灵活，支持节点USB数据透传和独立式 USB 数据透传混合使用，可通过硬件和软件2种方式控制 USB数据网络打开或关闭，还可通过软件方式控制 USB数据透传功能的打开或关闭；</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20、坐席对讲：支持坐席语音对讲，支持32人以上语音对讲功能；</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21、▲具备单台显示器同时查看并跨屏操控不少于9个不同业务系统的画面功能，鼠标滑动到任意一个分割区域都可对相应的主机进行控制，可设定监视屏以便同时监视多个信号，当需要操作时双击即可全屏显示（提供国家认可的第三方检测机构出具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22、支持同时显示多个坐席终端接入状态，并可通过双击进行全屏显示或浏览</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智能中控节点</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1、8个串口，2个千兆网口，1个HDMI输出，2个USB键盘鼠标，1个电源指示灯，1个开机按键，1个12v电源。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2、嵌入式Linux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3、支持控制室周边产品的集中控制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可视化中控软件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1、支持Android操作系统的平台设备对分布式系统的管控；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2、支持可编程控制平台，交互式的控制结构，可进行多设备间智能联动；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3、支持自定义添加受控设备，支持多种控件选择，可编辑中控；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4、支持RS-232、RS-422、RS-485、IR、I/O、TCP/IP等控制方式；</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5、可控制无纸化升降、音量大小的调节、电源开关、摄像机的控制、画面切换；</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▲提供原厂软件著作权证书复印件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可视化运维节点</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1、1路千兆网口，1路HDMI输出，2个USB键盘鼠标，1个开机按键，1路IR，1路IO。</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2、支持SNMP网络配置管理，可在通过运维管理服务对网络内的输入/输出节点检测发现，及时反馈设备IP地址、MAC地址、网关地址等状态信息，并可对设备进行批量升级。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3、支持用户日志，设备日志信息的查询。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4、支持设备的可视化拓扑图的自动生成。</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控制平板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不小于10.8英寸 8+128GB</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5G双频双千兆企业路由器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万兆交换机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1、48x10GE SFP+；</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2、6x40/100GE QSFP28；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3、交换容量4.8Tbps/76.8Tbps，包转发2000Mpps。</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万兆单模10KM光模块；</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千兆光转电模块</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融合侦研区主扩音柱（200W）</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1、采用6只意大利进口的3寸全频喇叭单元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2、额定功率≥200W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3、峰值功率≥800W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4、最大声压级（额定/峰值）:118dB/124dB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5、标称阻抗：6Ω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6、频率响应：80Hz-20KHz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7、灵敏度≥95dB(1M/1W)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8、喇叭单元：3＂全频×6</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融合侦研区辅扩音柱（150W）</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1、采用拼接排列扬声器设计，6只3寸进口全频单元；箱体采用12mm夹板制作。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2、阻抗：8Ω、频响：80Hz-20kHz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3、额定功率≥150W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4、灵敏度≥95dB/W/M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融合侦研区音柱壁挂支架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1、固定面板孔位尺寸（长*宽）：≥ 140mm*65mm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2、箱体固定面板孔位尺寸（长*宽）： ≥128mm*70mm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3、设备面板尺寸：≥160mm*90mm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013"/>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融合侦研区主音箱功放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融合侦研区辅助音箱功放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6、输出功率：立体声@8Ω：≥500W×2；立体声@4Ω：≥850W×2；桥接@8Ω：≥1700W。</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1、具有≥10.1英寸1280x800真彩电阻触摸屏、数字编码器以及按键构成的操作面板。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2、具有≥17个电动推子，电动推子可操控：≥1个LR主声道推子、≥16个通道推子。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3、支持中英文界面切换，且无需重启。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4、内置USB录音、放音功能。能够识别USB电子盘内的中英文歌曲名，具备快进、下一曲、快速暂停等功能；且支持播放APE、FLAC、MP3、WAV音频格式。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5、内置≥16个通道独立的反馈抑制器，内置≥16路自动混音（增益共享型）。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6、具有≥2个内置效果器，自带有经典混响、大房间混响等效果模块；FX音效可使用专用的返回通道返回到混音且不占用单声道和立体声输入通道。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7、支持iPad触摸屏全功能控制，实时数据同步；支持≥8个终端同时控制。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8、可通过网络或者USB升级ARM固件、DSP固件。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9、每个输入通道具有≥4段参数均衡、噪声门、高低通、压缩、反相。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10、每个输出通道具有≥8段参数均衡、高低通、压缩、反相、延时器。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11、模拟输入≥24CH ( MIC/Line)；输出通道支持L/R、10BUS、HeadPhone(L/R)，10BUS混音总线可选择推子前、推子后（PRE/POST）。</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12、支持≥100组场景预设功能，可导出、导入USB存储器，便于数据备份；支持32个PEQ模式存储。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13、内置信号发生器：正弦波、粉红噪声、白噪声。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14、支持通道参数拷贝功能，相同的通道快速复制数据，通道名称可自定义。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15、接线方式：平衡式输入、输出卡侬。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16、支持≥8个推子编组、≥8个用户自定义按键、≥4个快速静音组按键。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03"/>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1、数字音频处理器支持≥16路平衡式话筒/线路输入通道，采用裸线接口VN.K972250529端子，平衡接法；支持≥16路平衡式线路输出，采用裸线接口端子，平衡接法。</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输入通道支持前级放大、信号发生器、扩展器、压缩器、≥12段参量均衡，≥31段图示均衡、闪避器、AGC自动增益、AM自动混音功能（门限式、增益共享式）、AFC自适应反馈消除、AEC回声消除、ANC噪声消除、音频矩阵。（提供设备界面截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3、输出通道支持≥12段参量均衡，≥31段图示均衡、延时器、分频器、高低通滤波器、限幅器。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4、高性能专业DSP处理器，支持≥32bit/48kHz的声音，支持输入通道48V幻象供电。</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5、具有≥2英寸IPS真彩显示屏，支持显示设备网络信息、实时电平、通道静音状态。</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6、▲支持通过APP软件进行操作控制，面板具备USB接口，支持多媒体存储，可进行播放或存储录播。（提供国家认可的第三方检测机构出具的检测报告）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7、配置双向RS-232接口，可用于控制外部设备；配置RS-485接口，可实现自动摄像跟踪功能。配置≥8通道可编程GPIO控制接口（可自定义输入输出）。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8、支持断电自动保护记忆功能。支持通道拷贝、粘贴、联控功能。管理控制软件可工作在XP/Windows7、8、10等系统环境下。</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9、≥8个场景预设，支持场景信息导入、场景信息导出。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70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融合侦研区抑制器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1、高性能DSP处理，≥40-bit DPS处理器（400兆主频），提供≥32-bit/48kHz的声音。</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2、▲采用“陷波”+“移频”双方式进行反馈抑制。陷波器提供12固定点+12动态点。高精度移频，范围等同或优于-10Hz到10Hz。（需提供得到CMA或CNAS认可的检测机构出具的检测报告作为该技术参数证明材料）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3、均衡器支持≥31段图示均衡器和8段参量均衡器。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4、支持巴特沃斯，贝塞尔，林克威治-瑞利三种类型及多种倍频程。</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5、具有自动增益功能，声音达到一定峰值自动衰减变小，声音较小则自动增益放大。</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6、具有一个IPS真彩显示屏。支持中英文切换显示。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7、具有≥48个陷波器状态LED指示灯实时显示，每通道≥12个静态+≥12个动态陷波器。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8、具有≥双通道直通，一键重置陷波点配置功能。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9、支持≥4个场景切换。</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10、支持设备定位功能、断电自动保护记忆功能。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11、输入通道及插座≥2路XLR与TRS多功能座模拟输入；输出通道及插座≥2路XLR公座+≥2路TRS公座模拟输出。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1、频率指标：优于530-580MHz，640-690MHz，调制方式：宽带FM，频道数目：≥200个频道。</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2、配套有≥1台接收主机和≥2个无线手持话筒。</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3、采用UHF超高频段双真分集接收，并采用PLL锁相环多信道频率合成技术。</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4、接收机指标：采用自动选讯接收方式，灵敏度:≥12dB μV（80dBS/N)，频率响应:优于50Hz-16.5kHz。</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5、发射机指标：音头采用动圈式麦克风；手持麦克风内置螺旋天线。</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6、输出功率:≥30mW。</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7、▲投标产品无线话筒（由于无线电频谱资源属于国家所有，无线话筒含有无线传声器），要求需经由无线传声器经过国家无线电监测中心检测中心检验并出具《短距离微功率设备射频认证试验报告》（提供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融合侦研区放大器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1、频率范围等同或优于500MHZ-1GHZ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2、端子：TNC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3、噪声≤3dB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4、增益≥15db</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融合侦研区分线盒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1、通过内部补偿电路可以减少接线线损。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2、在放大器系统中，通过此分线盒方便转接和安装。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3、分线盒与强波器串连在线路中，方便连接。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4、分线盒在线路中有隔离杂讯的功能，防止自激。</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1、提供≥2进≥8出的天线信号分配器设备。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2、简化天线装配工程，提升接收距离及效能。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3、两路天线信号接收到分配器的天线输入端。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4、两路信号输出到下一台分配器的天线输入端进行级联。</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1、插座采用全铝结构，信息模块接口采用标准模块。</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2、弹起式桌面插座，支持45°仰角。</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3、▲具有≥1个功能按键，支持自定义按键的功能，搭配中控矩阵使用可实现视频切换、搭配中控系统支持扩展场景调用功能、搭配中控会议系统实现会议系统电源开启关闭功能等。（提供设备界面截图佐证）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vMerge w:val="restart"/>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1、设备具有音频时钟同步传输技术，端到端音频传输＜5ms。</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2、内置DSP处理器，具有≥16路音频矩阵、啸叫抑制、≥10段EQ调节、音量dB值调节、延时器调节功能。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3、设备接口：通讯接口：≥2路RS232接口、≥1路RS-485接口、≥4路RJ45；音频输出接口≥1路RCA、≥1路卡侬头、≥16路凤凰端子；音频输入接口≥1路RCA、≥1路卡侬头、≥2路凤凰端子。</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6、具有≥16通道同传输出模式，可使同传音频根据通道号独立输出，可供录音或监听设备使用。且输出通道数量，可通过外部设备扩展。</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7、具有≥16通道相控输出模式，内置≥nx16音频矩阵处理器，实现≥16通道分组输出功能。可使任意输入源（包括所有输入源和在线话筒），按任意音量比例，输出到任意通道。</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8、会议主机采用TCP/IP网络协议，具有客户端、WEB端控制方式，可供PC软件或浏览器控制。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9、设备具有安卓手机、平板APP软件，通过软件可控制话筒开关、开启签到、投票、表决、接收会议服务信息、一键关闭无线话筒等功能，免PC操作。</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12、支持环形手拉手功能，确保在其中的一条网线断开或者话筒出现故障时，会议能继续正常进行。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13、具有支持中、英、俄、法文多种语言任意切换显示。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14、PC软件可查看在线无线话筒的电池电量、WiFi信号等信息状态；支持一键关闭所有无线话筒、单独关闭某个无线话筒。</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15、设备具有会议发言录音功能；搭配会议话筒可以录制单个话筒发言音频或录制所有话筒混音输出音频；支持通过主机U盘录音或PC软件录音。</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16、支持搭配同声传译系统，最大可同时传输≥63+1的有线同声传译。</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17、系统与语音转写系统深度适配，系统之间通过网线交互数据，实现角色分离语音转写功能。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18、具有消防报警联动触发接口，支持对接烟雾报警器实时检测，触发后报警信息会同步至话筒界面和主机界面。</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19、具有≥1路RS-485接口，支持一台摄像机实现摄像跟踪，支持PELCO-D、VISCA控制协议。配合摄像跟踪主机达到多路视频自动跟踪功能。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20、≥四种话筒管理模式:FIFO（先进先出）、NORMAL（普通模式）、VOICE（声控模式）、APPLY（申请模式）。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21、系统具有发起会议签到、表决、选举、评级、满意度、自定义VN.K972250529功能。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22、具有≥4.3英寸全彩触摸屏，可实现对参数设置或查看，进行任意触摸操作。</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23、强大的编ID功能，可对有线单元、无线单元、译员机、角色分离主机进行编ID。</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24、支持≥10段 EQ调节功能，≥16路多功能输出通道与≥2路LINEOUT输出通道都具有≥10段 EQ调节功能。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25、支持AP信道扫描，监测现场的无线信道使用情况，支持信道自动或手动配置最佳信道，支持AP名称在线显示列表。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26、会议主机具备注册天数显示功能，可以随时了解注册后使用的剩余天数；支持触摸设备屏幕输入注册码进行主机注册。</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27、具备主机双机热备功能，可设置主机或从机功能，当主机出现故障时，可自动切换至从机运行，实现双备份功能。</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28、▲具有运维管理平台，可通过web端远程固件升级；具有日志管理功能，可以自动收集和存储系统日志；比如实时监测设备运行状态、设备故障信息，包括内存不足、火警提示、id重复等。（需提供得到CMA或CNAS认可的检测机构出具的检测报告作为该技术参数证明材料）</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357"/>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vMerge w:val="continue"/>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56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1、具有自动混音功能，包括增益共享型自动混音以及门限型自动混音。具有自动增益功能，能够有效将话筒音量保持在一定动态范围。</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2、具有AFC反馈抑制功能，采用陷波+移频双方式，能够自动抓取啸叫点并设置陷波器陷波，陷波器支持≥12个固定点≥+12个动态点，可有效消除啸叫功能。</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3、具有话筒语音激励功能，可设置跟踪阈值，当话筒发言达阈值时可实现联动摄像跟踪功能。具有EQ调节功能，输出具有≥31段图示均衡器调节。（需提供得到CMA或CNAS认可的检测机构出具的检测报告作为该技术参数证明材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1、一款双通道音频隔离器。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2、低底噪、无50Hz交流“嗡”声、无高频“嗞啦”干扰。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4、即插即用，支持热插拨。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6、内置瞬态、浪涌抑制、抗静电保护电路。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27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融合侦研区无线会议主席话筒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1、话筒采用≥48kHz采样率。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2、采用芯片架构及算法，话筒开机连接时间≤5秒。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5、可通过UI设置SSID。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7、具有发言计时和定时发言功能。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9、支持签到功能，通过PC软件设置并发起。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12、主席具备优先权功能，可关闭正在发言的所有代表话筒。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13、采用≥4.3英寸全彩触屏，咪杆长度≤240mm。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14、具备3.5mm耳机孔，可连接外置麦克风。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45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融合侦研区无线会议代表话筒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1、话筒采用≥48kHz采样率。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2、采用芯片架构及算法，话筒开机连接时间≤5秒。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3、具有智能检测故障功能，提示用户AP故障、主机通信故障、信号强度过低等情况。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4、支持通过Type-C口充电，支持18W快充，具有智能指标状态。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5、可通过UI设置SSID。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6、具有中英文切换显示功能，通过PC软件统一设置。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7、具有发言计时和定时发言功能。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8、具有声控功能。通过软件调节声控灵敏度及设置关闭时间。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9、支持签到功能，通过PC软件设置并发起。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10、支持会议投票功能、支持五键选举、三键表决功能。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11、采用≥128位AES加密技术，支持 WPA/WPA2 无线安全技术。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12、代表机具有申请发言功能，通过主席机批准申请人发言。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13、采用≥4.3英寸全彩触屏，咪杆长度≤240mm。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14、具备3.5mm耳机孔，可连接外置麦克风。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15、内置锂电池，电池容量支持≥14小时持续发言。</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1、固定端口：5个10/100/1000Base-T电口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2、模式切换：标准交换 端口隔离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3、交换容量10Gbps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4、转发能力 7.4Mpps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5、PoE 4个下行端口，单端口最大供电功率 30</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融合侦研区发射器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1、遵从Wi-Fi 6协议标准（IEEE 802.11ax），向下兼容802.11a/b/g/n/ac/Wave2，支持MU-MIMO，允许AP同时接收多个终端发送数据，整机最大传输速率可达1.601Gbps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2、支持OFDMA空间复用技术和1024QAM调制解调算法。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3、支持中文SSID，可指定最长包含≥31个字符的SSID，也可以使用中英文混合的SSID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4、支持WPA3安全协议。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5、支持等同或优于80/160MHz的高带宽频段。</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融合侦研区充电箱</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1、充电箱具有≥10个USB接口，支持使用USB线充电，提供5V/9V供电。一端连接充电器一端连接会议单元,支持18W快充。支持同时插满所有USB接口。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2、根据设备的耐受电流大小充电器会自动匹配合适的电流大小给设备充电，同时有过流保护功能。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3、智能自动电路保护，所有USB插口均具有短路保护功能和自恢复功能。</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4、额定功率≥100W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5、阻抗：8Ω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6、灵敏度(1W/1M)≥92dB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2、配套有≥1台接收主机和≥2个无线手持话筒。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反诈侦防区无线话筒台式支架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大数据赋能区天花喇叭</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1、采用1只6.5寸中低音喇叭单元和1只1.5"球顶高音单元的同轴设计方案；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2、采用吸顶安装方式，采用铁质网罩内贴防尘网棉。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3、分频器优化功率响应及人声部分的中频表现力。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4、额定功率≥100W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5、阻抗：8Ω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6、灵敏度(1W/1M)≥92dB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7、频率响应(-10dB)：60Hz-20KHz</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2、配套有≥1台接收主机和≥2个无线手持话筒。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实战指挥室音柱（100W）</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1、额定功率≥100W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2、标称阻抗：8Ω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3、频率响应：150Hz-14KHz@-6dB  / 80Hz-20KHz@-10dB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4、灵敏度≥95dB(1M/1W)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5、垂直覆盖角≥20°，水平覆盖角≥120°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6、喇叭单元：3＂全频×4</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实战指挥室专业功放</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1、1U机箱设计，采用D类数字功放设计方案。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2、标准XLR输入接口，和LINK输出口。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3、电源采用开关电源技术，效率高，有效的抑制电源谐波。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4、内置智能削峰限幅器，支持开机软启动，防止开机时向电网吸收大电流，干扰其它用电设备。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5、具有：过压保护，欠压保护，过流保护，直流保护，输出短路保护，温控风扇等功能。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6、输出功率：立体声@8Ω：≥200W×2；立体声@4Ω：≥400W×2。</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实战指挥室调音台</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2、具有≥2组立体主输出、≥4路编组输出、≥4路辅助输出、≥1组立体声监听输出、≥1个耳机监听输出、≥1个效果输出、≥1组主混音断点插入、≥6个断点插入。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3、内置≥24位DSP效果器，提供≥100种预设效果。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4、具备≥13个60mm行程的高精密碳膜推子。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1、数字音频处理器支持≥4路平衡式话筒/线路输入通道，采用裸线接口端子，平衡接法；支持≥4路平衡式线路VN.K972250529输出，采用裸线接口端子，平衡接法。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2、输入通道支持前级放大、信号发生器、扩展器、压缩器、≥5段参量均衡、AM自动混音功能、AFC自适应反馈消除、AEC回声消除、ANC噪声消除。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3、输出通道支持≥31段图示均衡器、延时器、分频器、高低通滤波器、限幅器。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4、支持≥24bit/48kHz的声音，支持输入通道48V幻象供电。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5、具有液晶显示屏，支持显示设备网络信息、实时电平、通道静音状态、矩阵混音状态。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6、支持通过ipad或iPhone或安卓手机APP软件进行操作控制，面板具备USB接口，支持多媒体存储，可进行播放或存储录播。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7、配置双向RS-232接口，可用于控制外部设备；配置RS-485接口，可实现自动摄像跟踪功能。配置≥8通道可编程GPIO控制接口（可自定义输入输出）。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8、支持断电自动保护记忆功能。支持通道拷贝、粘贴、联控功能。支持通过浏览器访问设备，下载自带管理控制软件；可工作在XP/Windows7、8、10等系统环境下。</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实战指挥室抑制器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1、高性能DSP处理，≥40-bit DPS处理器（400兆主频），提供≥32-bit/48kHz的声音。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2、采用“陷波”+“移频”双方式进行反馈抑制。陷波器提供12固定点+12动态点。高精度移频，范围等同或优于-10Hz到10Hz。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3、均衡器支持≥31段图示均衡器和8段参量均衡器。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4、支持巴特沃斯，贝塞尔，林克威治-瑞利三种类型及多种倍频程。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5、具有自动增益功能，声音达到一定峰值自动衰减变小，声音较小则自动增益放大。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6、具有一个IPS真彩显示屏。支持中英文切换显示。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7、具有≥48个陷波器状态LED指示灯实时显示，每通道≥12个静态+≥12个动态陷波器。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8、具有≥双通道直通，一键重置陷波点配置功能。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9、支持≥4个场景切换。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10、支持设备定位功能、断电自动保护记忆功能。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11、输入通道及插座≥2路XLR与TRS多功能座模拟输入；输出通道及插座≥2路XLR公座+≥2路TRS公座模拟输出。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12、支持通过后台管理软件对多台设备进行批量升级。</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2、当远程控制有效时同时控制后板ALARM（报警）端口导通以起到级联控制ALARM（报警）功能。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3、单个通道最大负载功率≥2200W，所有通道负载总功率≥6000W。输出连接器：多用途电源插座。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实战指挥室无线话筒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1、频率指标：优于530-580MHz，640-690MHz，调制方式：宽带FM，频道数目：≥200个频道。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2、配套有≥1台接收主机和≥2个无线手持话筒。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3、采用UHF超高频段双真分集接收，并采用PLL锁相环多信道频率合成技术。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4、接收机指标：采用自动选讯接收方式，灵敏度:≥12dB μV（80dBS/N)，频率响应:优于50Hz-16.5kHz。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5、发射机指标：音头采用动圈式麦克风；手持麦克风内置螺旋天线。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实战指挥室话筒天线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1、射频频率范围等同或优于450-950MHz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2、驻波比：≤2.0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3、输入阻抗：≤50Ω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4、放大器底噪：＜3.6dB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5、增益：≥18db(典型)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6、极化方式：垂直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7、前后比：≥25dB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实战指挥室无线话筒台式支架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高度：等同或优于160-200mm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桌插</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1、插座采用全铝结构，信息模块接口采用标准模块。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2、弹起式桌面插座，支持45°仰角。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3、具有≥1个功能按键，支持自定义按键的功能，搭配中控矩阵使用可实现视频切换、搭配中控系统支持扩展场景调用功能、搭配中控会议系统实现会议系统电源开启关闭功能等。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4、配置接口：≥1个多功能电源接口、≥2个RJ45网络、≥1个3.5音频、≥1个HDMI高清视频接口、≥1个功能按键</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323"/>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实战指挥室全数字会议系统主机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1、设备具有音频时钟同步传输技术，端到端音频传输＜5ms。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2、内置DSP处理器，具有≥16路音频矩阵、啸叫抑制、≥10段EQ调节、音量dB值调节、延时器调节功能。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3、设备接口：通讯接口：≥2路RS232接口、≥1路RS-485接口、≥4路RJ45；音频输出接口≥1路RCA、≥1路卡侬头、≥16路凤凰端子；音频输入接口≥1路RCA、≥1路卡侬头、≥2路凤凰端子。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4、支持≥16通道音频输出功能，可灵活配置为有线角色分离输出模式、无线角色分离输出模式、同传输出模式、相控输出模式。每个输出通道都可以调节≥10段EQ、音量dB值调节、延时器参数调节。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16通道有线、无线角色分离输出模式，可使有线或无线话筒根据ID号独立输出，最大支持≥128路有线话筒或无线话筒独立音频输出，并支持通过录音软件实现每个话筒独立录音、或语音转写设备对接实现角色分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6、具有≥16通道同传输出模式，可使同传音频根据通道号独立输出，可供录音或监听设备使用。且输出通道数量，可通过外部设备扩展。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7、具有≥16通道相控输出模式，内置≥nx16音频矩阵处理器，实现≥16通道分组输出功能。可使任意输入源（包括所有输入源和在线话筒），按任意音量比例，输出到任意通道。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8、会议主机采用TCP/IP网络协议，具有客户端、WEB端控制方式，可供PC软件或浏览器控制。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9、设备具有安卓手机、平板APP软件，通过软件可控制话筒开关、开启签到、投票、表决、接收会议服务信息、一键关闭无线话筒等功能，免PC操作。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10、设备具有客户端、WEB端控制方式，通过客户端或WEB端可调节音频矩阵参数（包括EQ、音量、延时器、话筒灵敏度等）、≥16通道输出模式切换、开关话筒同步、中英俄法四种语言切换、控制角色分离主机。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12、支持环形手拉手功能，确保在其中的一条网线断开或者话筒出现故障时，会议能继续正常进行。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13、具有支持中、英、俄、法文多种语言任意切换显示。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14、PC软件可查看在线无线话筒的电池电量、WiFi信号等信息状态；支持一键关闭所有无线话筒、单独关闭某个无线话筒。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15、设备具有会议发言录音功能；搭配会议话筒可以录制单个话筒发言音频或录制所有话筒混音输出音频；支持通过主机U盘录音或PC软件录音。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16、支持搭配同声传译系统，最大可同时传输≥63+1的有线同声传译。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17、系统与语音转写系统深度适配，系统之间通过网线交互数据，实现角色分离语音转写功能。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18、具有消防报警联动触发接口，支持对接烟雾报警器实时检测，触发后报警信息会同步至话筒界面和主机界面。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19、具有≥1路RS-485接口，支持一台摄像机实现摄像跟踪，支持PELCO-D、VISCA控制协议。配合摄像跟踪主机达到多路视频自动跟踪功能。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20、≥四种话筒管理模式:FIFO（先进先出）、NORMAL（普通模式）、VOICE（声控模式）、APPLY（申请模式）。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21、系统具有发起会议签到、表决、选举、评级、满意度、自定义VN.K972250529功能。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22、具有≥4.3英寸全彩触摸屏，可实现对参数设置或查看，进行任意触摸操作。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23、强大的编ID功能，可对有线单元、无线单元、译员机、角色分离主机进行编ID。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24、支持≥10段 EQ调节功能，≥16路多功能输出通道与≥2路LINEOUT输出通道都具有≥10段 EQ调节功能。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25、支持AP信道扫描，监测现场的无线信道使用情况，支持信道自动或手动配置最佳信道，支持AP名称在线显示列表。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26、会议主机具备注册天数显示功能，可以随时了解注册后使用的剩余天数；支持触摸设备屏幕输入注册码进行主机注册。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27、具备主机双机热备功能，可设置主机或从机功能，当主机出现故障时，可自动切换至从机运行，实现双备份功能。</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实战指挥室会议话筒处理器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1、具有自动混音功能，包括增益共享型自动混音以及门限型自动混音。具有自动增益功能，能够有效将话筒音量保持在一定动态范围。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2、具有AFC反馈抑制功能，采用陷波+移频双方式，能够自动抓取啸叫点并设置陷波器陷波，陷波器支持≥12个固定点≥+12个动态点，可有效消除啸叫功能。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3、具有话筒语音激励功能，可设置跟踪阈值，当话筒发言达阈值时可实现联动摄像跟踪功能。具有EQ调节功能，输出具有≥31段图示均衡器调节。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4、具有≥2路网口，用于连接无线AP和与会议主机通信；通过网络协议对接数字会议主机，实现音频数据传输。具有≥1路EXTENSION接口，用于连接会议主机扩展口。具有≥1路卡侬平衡输出，≥1路莲花非平衡输出。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6、支持话筒同时开麦数量≥16个有线单元+≥8个无线单元。</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1、一款双通道音频隔离器。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2、低底噪、无50Hz交流“嗡”声、无高频“嗞啦”干扰。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3、点对点平衡传输音频，可以选择前面板2个接口中的任意一个COMBO接口输入，从后面板对应COMBO接口输出。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4、即插即用，支持热插拨。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5、隔离滤波音频传输最远传输信号等同或优于450－600米。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6、内置瞬态、浪涌抑制、抗静电保护电路。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7、具有≥2路XLR输入；具有≥2路XLR输出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连接线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≥30米延长线（一公一母）</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8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实战指挥室无纸化主机（包含智能无纸化会议管理服务器软件）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硬件部分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无纸化服务主机搭配管理软件，负责处理会议功能模块、会议主题、参会人员信息、会议议题、投票内容等会前信息预设，具有会议各类文件资料的上传分发、人员的权限管理设置、会议信息的实时记录等应用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2、采用CPU配置等同或优于四核（参考的配置等同或优于I7）</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3、采用内存配置≥8G</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4、采用硬盘容量≥1TB</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5、具有千兆网络接口（RJ45）</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6、具有视频输出接口：≥1×HDMI；具备音频接口：≥1×3.5mm音频输入接口、≥1×3.5mm音频输出接口；具备其他接口：≥1×RS232、≥4×USB接口。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软件部分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1、支持多会议室管理，会议室支持可视化布局配置管理。支持会议室坐席可视化控制。</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2、支持本地联合会议和异地互联会议（需搭建专网专线）。</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3、支持会议室坐席模拟排位功能，支持人员筛选，支持根据人员权重自动排位和手动排位。</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4、支持多个会议议题进行管理操作，每个议题可以独立上传多份附件；支持议题内加入VN.K972250529文件夹，三级目录文件展示；支持快速创建议题关联的投票。</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5、支持统一管理多个投票，实时查看投票过程与结果，控制投票结果实时投屏展示。支持投票导入导出功能。支持投票身份认证。</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6、支持统一管理多个评分，实时查看评分过程与结果，控制评分投屏。支持评分导入导出功能。支持评分身份认证。支持配置平均分规则为默认或截尾平均数。支持评分备注功能。（提供功能界面截图佐证）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7、支持批注白板，可同时管理各参会人员的电子白板存档、手写批注、文档批注，支持后台预览及一键导出功能。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8、支持三员管理功能。开启该功能后系统将分为系统管理员、会务管理员、审计员三种角色。</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9、支持个人中心H5网页展示，可会前、会中上传资料，查看资料，支持会后下载参加过的会议的资料及批注文件，保密会议会前会后不能查看会议资料。</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10、支持双机热备，主从设备数据同步，当主设备出现故障时从机接管。</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11、支持服务器监控，可查看服务器cpu使用率、内存使用率、磁盘空间、网络传输速率，可设置阈值警告。</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由于软件决定着本产品功能的完整性，要求设备软件具备《计算机软件著作权登记证书》，提供证书复印件及证书编号在中国版权保护中心官网的查询结果截图。软件名称要求是“智能无纸化会议管理服务器软件”或相近的软件。</w:t>
            </w:r>
            <w:r>
              <w:rPr>
                <w:rStyle w:val="655"/>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▲出于信息安全考虑，要求投标的智能无纸化会议管理服务器软件需通过信息系统安全等级（二级或以上）保护备案，提供公安机关出具的备案证明复印件。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实战指挥室无纸化升降器（包含无纸化升降器内嵌软件）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硬件部分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1、触控超薄高清显示屏与升降器一体化设计，无外露连接线、无连接背板、无外露螺丝，保证升降显示触控屏整体美观大方。</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2、设备采用全铝结构，优质铝材加上CNC精雕加工，显示屏框架、机箱都为铝合金带麦克风一体升降，设备的表面处理为阳极氧化处理。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3、话筒升降具有自动扶直功能，当麦杆弯曲时，机器关闭可自动扶直麦杆，不会损坏麦杆。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4、具备≥1组232/485，≥2路USB接口。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传动结构做特殊处理，噪音降到最低。产品传动方式以高品质耐拉皮带与高精密度的滑块导轨和直线轴承配合，交流减速电机做驱动动力；中控协议兼容性较强，兼容所有控制主机，控制设备在上升后，屏幕自动供电，下降后，屏幕自行断电，节约环保。</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6、15.6英寸超薄液晶触屏显示器，分辨率达1920*1080P，显示效果清晰亮丽，可调节背光设计</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7、支持≥1路HDMI和≥1路VGA信号输入，当只有一路信号输入时，屏幕会自动识别信号，当两路信号同时输入时，可通过面板按键手动切换，当无信号输入时，屏幕自动进入省电模式。</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8、设备可通过中控软件进行集中控制，可通过主机进行控制，一键可让室内所有的设备都上升或下降。</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9、显示屏仰角符合人体工程学原理，不遮挡视线和人脸，要求显示屏仰角角度可调0-30°。</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10、要求升降器具备≥1路环通输出电源插座，给终端供电减少终端电源插座布线。（提供电源接口图佐证）</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11、桌面面板具备≥1路USB接口，支持连接U盘可进行浏览文件或上传文件等操作。</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软件部分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1.软件内嵌于终端设备，显示端可对多种文件格式文档进行阅览。</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2.支持多种分辨率适配，可适应各种终端界面。</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实战指挥室无纸化会议终端（包含无纸化会议终端软件）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硬件部分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多媒体会议终端主机搭配终端内嵌软件负责处理会议过程的文件推送、文件分发、浏览阅读、文件批注、智能签到、投票表决、电子白板、电子铭牌、会议交流、会议服务、视频信号互联互通、会议管控、同屏广播等应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2、支持无纸化会议模式和Windows模式，可任意切换。</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3、可对多种文件格式进行阅览，包括常见格式doc/ docx /xls/ xlsx /ppt /pptx/ pdf /txt/jpg/png等，参会人只可看到有权限的文件。</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4、会议过程中可以随时进行会议笔记记录，支持下载到本地。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5、个人中心模块支持会前、会中上传资料，查看资料（保密会议会前不能查看）；支持会后下载参加过的会议的资料。</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6、结束会议终端自动清除本地会议文件。</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7、具有≥4×USB、≥1×HDMI、≥1×VGA、≥1×LAN、≥1×MIC-IN端口、≥1×LINE-OUT端口、≥1×DC端口、≥1×COM口</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8、采用CPU配置不低于I5处理器（四核）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9、采用内存配置不低于4G</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10、采用硬盘容量不低于128GB 固态硬盘</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11、具有千兆网络接口（RJ45）</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软件部分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1、支持会议信息展示。支持查看参会名单和会议人员座位图。</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2、支持文档阅览，可对多种文件格式进行阅览，支持权限设置功能，参会人仅能看到自己有权限查看的文件。同时支持文档批注功能，可以对文档图片进行批注、保存，并支持多人交互批注。</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3、支持U盘上传会议资料，进行文件阅览或共享其他参会人员，同时上传文件可保存在服务器和本地终端中。</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4、支持截屏批注，可单人批注或多人批注。批注结果可保存至服务器，会后自动归档处理。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5、内置浏览器，支持浏览以太网网络，可后台统一设置，点击直接打开配置好的网页。</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6、支持屏幕同屏广播，支持跨平台（windows/Android）广播；屏幕广播/文档主讲支持申请模式。同屏广播具备计时功能，可选择倒计时或顺计时，以及具备选择是否同步到大屏功能。</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7、支持异步浏览，参会人员可以通过异步浏览自由使用终端其他功能，也支持浮窗的方式进行异浏览。</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8、支持个人中心（个人空间）功能，可查看自己参与过的会议的会议信息。</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9、支持多媒体分享功能，多种媒体以广播的方式分享到其它终端，并可以交互操作。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10、支持集中控制操作，控制终端显示内容，控制终端开关机，支持对服务器的关机控制，支持无纸化升降器及话筒的统一升降。</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11、会议主持可控制评分功能启用、结束，查看统计结果功能，评分过程结果实时投屏；支持评分签名确认。</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12、会议主持可通过信号管理将任意参会人本地画面屏幕广播至任意或全部参会人，也可以结束任意参会人的共享画面；分组同屏广播最大可支持8个分组，同时投送到大屏显示最大支持4路。</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13、会议主持可管理会议纪要，管理纪要文件查看权限；并可发起会签，现场生成会签文档和最终纪要文件。</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由于软件决定着本产品功能的完整性，要求设备软件具备《计算机软件著作权登记证书》，提供证书复印件及证书编号在中国版权保护中心官网的查询结果截图。软件名称要求是“无纸化会议终端软件”或相近的软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9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实战指挥室无纸化流媒体主机（包含无纸化流媒体服务器嵌入软件）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4"/>
                <w:rFonts w:hint="eastAsia" w:ascii="宋体" w:hAnsi="宋体" w:eastAsia="宋体" w:cs="宋体"/>
                <w:color w:val="auto"/>
                <w:sz w:val="21"/>
                <w:szCs w:val="21"/>
                <w:lang w:val="en-US" w:eastAsia="zh-CN" w:bidi="ar"/>
              </w:rPr>
              <w:t xml:space="preserve">硬件部分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1、内嵌高清、标清视频信号处理模块，同步、异步处理视频信号输入、输出。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2、支持HDMI信号输入，外部信号通过此接口实时广播画面到所有会议终端并同步显示。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3、支持HDMI信号输出，任何会议终端画面通过此接口输出至大屏幕或其他信号显示设备。</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4、配置≥1路3.5mm音频输入接口和≥1路3.5mm音频输出接口，实现音视频同步输入输出。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5、支持全高清1080P、高清720P等多种高清分辨率输出。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6、要求服务器的CPU配置等同或优于四核（参考配置等同或优于I5），内存配置≥4G，硬盘为固态硬盘且容量≥128GB。</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7、具备视频输入接口：≥1×HDMI；具备视频输出接口：≥1×HDMI；具备音频接口：≥1×3.5mm音频输入接口、≥1×3.5mm音频输出接口；具备≥2×RS-232、≥4×USB接口。</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软件部分</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1、支持签到投屏功能，将签到过程、签到结果展示在大屏上。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2、支持将电子白板、会议标语、文档主讲、外部信号等信息广播到大屏展示。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3、支持多媒体(桌面同屏、电子白板、文档资料等)分组投屏功能， 最大可支持≥4分屏画面同时投屏输出显示。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4、支持大屏点播功能，直接播放服务器原生视频文件；支持大屏广播功能，将大屏的画面广播同步到各个终端并显示。</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5、支持大屏视频矩阵功能，同时支持多路多媒体源进行播放功能。</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6、支持投票投屏功能，将投票过程、投票结果以文字、柱状图、饼状图方式展示在大屏上。</w:t>
            </w:r>
            <w:r>
              <w:rPr>
                <w:rStyle w:val="654"/>
                <w:rFonts w:hint="eastAsia" w:ascii="宋体" w:hAnsi="宋体" w:eastAsia="宋体" w:cs="宋体"/>
                <w:color w:val="auto"/>
                <w:sz w:val="21"/>
                <w:szCs w:val="21"/>
                <w:lang w:val="en-US" w:eastAsia="zh-CN" w:bidi="ar"/>
              </w:rPr>
              <w:br/>
            </w:r>
            <w:r>
              <w:rPr>
                <w:rStyle w:val="654"/>
                <w:rFonts w:hint="eastAsia" w:ascii="宋体" w:hAnsi="宋体" w:eastAsia="宋体" w:cs="宋体"/>
                <w:color w:val="auto"/>
                <w:sz w:val="21"/>
                <w:szCs w:val="21"/>
                <w:lang w:val="en-US" w:eastAsia="zh-CN" w:bidi="ar"/>
              </w:rPr>
              <w:t xml:space="preserve">7、支持评分投屏功能，评分过程中查看评分人数、未提交人数。支持评分结束后以柱状图（≥10项）或表格（≥10项）的形式投屏显示评分结果。</w:t>
            </w:r>
            <w:r>
              <w:rPr>
                <w:rStyle w:val="654"/>
                <w:rFonts w:hint="eastAsia" w:ascii="宋体" w:hAnsi="宋体" w:eastAsia="宋体" w:cs="宋体"/>
                <w:color w:val="auto"/>
                <w:sz w:val="21"/>
                <w:szCs w:val="21"/>
                <w:lang w:val="en-US" w:eastAsia="zh-CN" w:bidi="ar"/>
              </w:rPr>
              <w:br/>
            </w:r>
            <w:r>
              <w:rPr>
                <w:rStyle w:val="655"/>
                <w:rFonts w:hint="eastAsia" w:ascii="宋体" w:hAnsi="宋体" w:eastAsia="宋体" w:cs="宋体"/>
                <w:color w:val="auto"/>
                <w:sz w:val="21"/>
                <w:szCs w:val="21"/>
                <w:lang w:val="en-US" w:eastAsia="zh-CN" w:bidi="ar"/>
              </w:rPr>
              <w:t xml:space="preserve">▲由于软件决定着本产品功能的完整性，要求设备软件具备《计算机软件著作权登记证书》，提供证书复印件及证书编号在中国版权保护中心官网的查询结果截图。软件名称要求是“无纸化流媒体服务器嵌入软件”或相近的软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实战指挥室网络主机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1、具有≥24个网络端口，≥4个千兆SFP+光纤口，≥1个控制口。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2、支持网口和光纤线热插拨，支持双备份链路。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3、支持胖瘦一体化，具有智能交换机和普通交换机两种工作模式。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4、通过网络管理平台可实现一键快速替换故障设备。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 IEEE 802.3az 标准的 EEE 节能技术：当 EEE 使能时，可大幅度的减小端口在该阶段的功耗，达到了节能的目的。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6、提供友好的Web管理界面，1:1还原交换机端口和面板状态，可方便、快捷查看交换机端口工作状态、流量趋势等。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7、采用“零部署”上线方式，交换机接上网线后自动展示在待激活列表，无需配置，一键即可激活。同时控制器还能对故障交换机进行一键重启和替换，最大程度节省运维时间。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8、具有自动化拓扑生成功能，设备接线后，管理平台自动生成网络拓扑，并且能够直接在拓扑上进行设备配置。</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实战指挥室无纸化主席移动控制软件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通过移动端扫描二维码方式与无纸化终端进行连接。支持通过移动端（手机或平板）通过无线方式控制无纸化终端显示界面，触摸移动端即可操作无纸化终端；支持通过移动端打开无纸化终端的会议资料文档。支持放大镜放大局部功能，可对无纸化终端的PPT中文字等较小或看不清的部分进行放大操作。（提供扫码、控制无纸化终端、打开文档、放大镜功能界面截图佐证）</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双频 2.5G网口 wifi穿墙/可变端口/AC管理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1、具有≥8路自动、手动电源控制器，内置≥8个20A继电器，负载能力≥4400W/单路；配合中控主机使用，用于控制灯光、电动投影幕、电动窗帘等会议室周边设备。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2、每路继电器都有三连接点的接线柱,具有常开与常闭的功能。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3、具有复位按键，支持恢复到出厂的默认设置。具有1路网络接口，支持通过网络实现远程控制。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4、具有设备运行状态指示灯及≥8个继电器的开关状态指示灯。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5、具有键盘锁（LOCK）功能。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6、机器具备ID识别，通过中控主机网络控制多台时，可通过ID识别。</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音量控制器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1、4路独立音频通道音量调节模块。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2、支持平衡线路级音频输入/出。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3、面板具备小键盘,支持手动操作控制,具有LED指示功能。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4、控制方法: 通过R232协议控制,搭配可编程中控主机使用,也全面支持第三方设备。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5、输入端口：5.8欧式端子，支持平衡线路级音频输入 、输出端口：5.8欧式端子，支持平衡线路级音频输出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1.8米音频连接线：卡侬头（母）-卡侬头（公）</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1.8米音频连接线：3.5（耳机插头）-双6.35话筒插头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电视机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1、屏幕尺寸≥98寸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2、接口：HDMI，USB，网线</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SA"/>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1、屏幕尺寸：5.76米*2.4米=13.824㎡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2、点间距：1.25mm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3、模组尺寸：320*160mm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4、对比度：≥5000：1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13.824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1、单卡超大带载256*256；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1、单台带载能力1040万像素、最宽16384像素、最高8192像素，集视频处理、视频控制以及 LED 屏体配置等功能于一体，具备多种类的视频信号接收能力、超高清全 4K×2K@60Hz 的图像处理能力和发送能力。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2、拥有完备的视频输入接口： 1 路 HDMI 2.0，4 路 DVI，1 路 3G-SDI。</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3、多输出，大带载：支持 16 路网口和 4 路光纤输出，带载高达 1040 万像素。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 HDR 输出：能够极大地增强显示屏的画质，使画面色彩更加 真实生动，细节更加清晰。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5、支持个性化的画质缩放：支持三种画面缩放模式，包括点对点模式、全屏 缩放、自定义缩放。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6、多窗口显示：支持 5 窗口任意布局。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7、支持预监输出画面：将预监内容通过 HDMI 发送到显示器显示。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8、支持智能控制软件进行操作控制。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9、支持场景预设：最多可创建 10 个用户场景作为模板保存，可直接调用，方便使用。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 EDID 管理：支持用户自定义 EDID 和预设 EDID。</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11、支持视频格式：RGB4:4:4、YCbCr4:4:4、YCbCr4:2:2、3840×2160@60Hz向下兼容</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60寸广告机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1、同时可播放多个节目，可循环播放，无缝切换，图片视频混播；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3、U 播播放，即插即用，插入 U 盘就可自动识别 U 盘内容进行播放，支持多种视频、图片、音乐格式；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4、USB、TF、音频输出、HDMI 输入、LAN 网口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5、支持图片,视频，文本，fiash，网页天气预报，ppt，word，excel、pdf</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1、屏幕尺寸：3.84米*1.6米=6.144㎡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2、点间距：1.25mm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3、模组尺寸：320*160mm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4、对比度：≥5000：1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6.144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1，单卡超大带载256*256；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vMerge w:val="restart"/>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vMerge w:val="continue"/>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8、多场景保存和调用：支持 10 个自定义场景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二楼会议室全彩LED显示屏</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1、屏幕尺寸：3.2米*1.6米=5.12㎡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2、点间距：1.25mm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3、模组尺寸：320*160mm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4、对比度：≥5000：1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5、刷新率：≥3840（Hz）       </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1，单卡超大带载256*256；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 1~1/32 扫之间的任意扫描类型，支持 595 等串行译码扫描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3，支支持常规芯片、PWM 芯片等所有主流 LED 驱动芯片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vMerge w:val="restart"/>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压铸铝箱体</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640mm*480mm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vMerge w:val="continue"/>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640mm*640mm</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13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1、输入接口包括 2 ×HDMI 1.4、 1 × DVI、 1 × 3G-SDI（IN+LOOP），选配 1 × 3.5mm 音频输入接口；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2、输出接口包括 10 路千兆网口，最大带载 650 万像素，单台设备输出最大宽度 10240，高度 8192， 1 路 HDMI 1.3 输出接口，可用作输出预监或视频输出；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3、音频输入输出： 支持 HDMI 伴随音频输入， 支持 3.5mm 独立音频输入， 支持 3.5mm 独立音频输出， 支持通过多功能卡进行音频输出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4、低至 1 帧延迟输出：在低延迟开关开启、输入源同步开启，输入源到接收卡之间的延时可减少至 1 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5、3 个图层：图层大小和位置可单独调节，支持图层按照 Z 序优先级调整；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6、强大视频处理能力：搭载 SuperView III 画质处理技术，支持输出画面无极缩放，支持一键全屏缩放，支持输入源任意截取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7、画质调整：支持输入画质管理，包括亮度、对比度、饱和度和色度调整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8、多场景保存和调用：支持 10 个自定义场景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9、热备份：支持输入源热备功能，支持网口间备份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10、同步输出：支持使用内部输入源作为同步源，保证输入输出画面同步。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11、支持逐点亮色度校正：配合调试软件和校正平台，对每个灯点的亮度和色度进行校正，有效消除色差，使整屏的亮度和色度达到高度均匀一致，提高显示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5V40A</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电脑显示器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27寸 1080P HDMI，支持安装电脑支臂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SA"/>
              </w:rPr>
            </w:pPr>
            <w:r>
              <w:rPr>
                <w:rFonts w:hint="eastAsia" w:ascii="宋体" w:hAnsi="宋体" w:eastAsia="宋体" w:cs="宋体"/>
                <w:i w:val="0"/>
                <w:iCs w:val="0"/>
                <w:color w:val="auto"/>
                <w:sz w:val="21"/>
                <w:szCs w:val="21"/>
                <w:u w:val="none"/>
                <w:lang w:val="en-US" w:eastAsia="zh-CN" w:bidi="ar-SA"/>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升降机（点调设备用）</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净水机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1、工作原理：反渗透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2、滤芯：RO膜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3、水效等级：1级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4、功效：直饮</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直饮机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国产优质，设备支持多种水模式选择（热水，泡茶，冲奶，常温等）</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1、容积：20L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2、工作方式：微波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3、底盘形式：平板</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立式打印机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功能：复印、打印、扫描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双面打印：支持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网络功能：支持有线网络、支持无线网络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接口：USB接口、网络接口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输出纸张尺寸：A3-A5、B6、A6、长纸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最大原稿尺寸：A3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复印功能原稿类型：纸张、书本、三维物体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连续复印：支持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打印语言：PCL 5e/c、PCL6、PS3仿真、XPS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打印其他性能字体：PCL：80种字体、PS：137种字体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操作系统：Windows、mac、linux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是否有液晶屏：有</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彩色扫描打印机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1、接口：USB，WIFI</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2、双面打印：支持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3、打印方式：喷墨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A4高速双面彩色扫描仪</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座机电话</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具备录音功能。具体类似视甲方最终需求采购</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尺寸：长830mm，宽645mm，高1775mm，双开门，容积406L</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床上四件套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国产优质（样式根据甲方需求采购）</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55寸电视机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定制杯具（茶壶，瓷杯，纸杯）</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定制数量茶壶≥6个，瓷杯≥50个，纸杯≥5000个</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中心警员工作背心</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定制，按个中心名称进行定制，工作背心数量≥100件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室内人脸门禁一体主机</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1、设备应采用嵌入式 linux 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2、前面板防破坏能力应满足 ≥IK07 的要求；结构后壳防破坏能力应满足 ≥IK10 的要求；防水等级应满足≥IP66防护等级；应支持选择嵌入式、壁挂、桌面、立式、人员通道安装；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3、屏幕应为 ≥7 英寸触摸屏；应采用水滴屏全贴合工艺；玻璃屏占比≥90%。屏幕流明度≥600cd/m2；屏幕分辨率应为 800×1280；屏显下端应具有圆形指示灯，指示灯应支持固定频率的亮起和熄灭（呼吸状态）及识别状态提示，采用 200W 像素双目摄像头，帧率应≥25 帧/s；应支持接入 NVR 设备，实现视频监控录像；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4、应支持双码流技术，主码流和子码流均为 1280×720@25fps 输出；在 IE 浏览器下，视频编码格式具有 H.265、H.264、MPEG-4. MJPEG 设置选项；可将 H.265、H.264 格式设置为Baseline/Mai n/High Profile；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5、设备离线应支持 10000个用户（用户权限应能配置为管理员）、 10000 张人脸库、 50000 张卡片容量、150000 笔记录存储 、 10000 个密码；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6、应支持通过文字转换为提示语音的 TTS 功能；应支持本地广告信息播放；应支持广告节目编排播放，播放时间可自定义；应支持图片、文字、视频广告节目播放；应支持在设备端查看人员信息、设备状态、显示模式（认证模式、广告模式和简洁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应支持佩戴口罩情况下的人脸识别功能，提示模式应分为提醒模式或强制模式；提醒模式下，未佩戴口罩时，应能做身份验证及考勤签到，身份验证通过后提醒佩戴口罩；强制模式下未佩戴口罩时，应无法做身份验证，并提醒佩戴口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8、人脸比对平均时间应＜120ms （1:1对比方式）；最大人脸识别距离：＞4m；最小人脸识别距离：＜0.2m，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398"/>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1、输入电压：100-240VAC；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2、输出电压：12VDC；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3、输出电流：4.17A；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4、输出功率：50W；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5、内置蓄电池；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6、工作温度：-10℃-+70℃；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7、工作湿度：＜95%；</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1.、结构：塑料面板；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2、性能：最大耐电流1.25A，电压250V；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3、输出：常开；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4、类型：适合埋入式电器盒使用；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玻璃门单开智能门锁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玻璃门双开智能门锁</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智能人脸门锁</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1、无线连接：蓝牙5.0、Wi-Fi IEEE 802.11 b/g/n 2.4GHz、NFC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2、产品安全级别：B级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3、锁芯安全级别：C级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4、工作湿度：0~93% RH，无冷凝</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含网线、光缆、音频线等线缆、辅材及配套安装调试等</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29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w:t>
            </w:r>
            <w:r>
              <w:rPr>
                <w:rStyle w:val="658"/>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t xml:space="preserve">4600mm，宽≦2700mm，高≦740mm，深度≦800mm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59"/>
                <w:rFonts w:hint="eastAsia" w:ascii="宋体" w:hAnsi="宋体" w:eastAsia="宋体" w:cs="宋体"/>
                <w:color w:val="auto"/>
                <w:sz w:val="21"/>
                <w:szCs w:val="21"/>
                <w:lang w:val="en-US" w:eastAsia="zh-CN" w:bidi="ar"/>
              </w:rPr>
              <w:t xml:space="preserve">Ω</w:t>
            </w:r>
            <w:r>
              <w:rPr>
                <w:rStyle w:val="657"/>
                <w:rFonts w:hint="eastAsia" w:ascii="宋体" w:hAnsi="宋体" w:eastAsia="宋体" w:cs="宋体"/>
                <w:color w:val="auto"/>
                <w:sz w:val="21"/>
                <w:szCs w:val="21"/>
                <w:lang w:val="en-US" w:eastAsia="zh-CN" w:bidi="ar"/>
              </w:rPr>
              <w:t xml:space="preserve">（需提供含有CNAS、CMA认证标识的检测报告）。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12、控制台应依据YD 5083-2005《电信设备抗地震性能检测规范》标准检测，且在配重200kg的工况下，通过9烈度抗震试验；</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《人造气氛腐蚀试验盐雾试验》测试达到盐雾腐蚀100小时，抗腐蚀能力不低于10级测试要求（投标人参加投标时，提供具有 CNAS或CMA 认可标志的第三方检测机构出具的检测报告扫描件加盖公章）；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614"/>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融合侦研区鱼骨型8人操作员席位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1、操作台尺寸：长≦5800mm，宽≦2700mm，高≦740mm，深度≦800mm</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2、▲台面板材料：面板使用实木颗粒板双面贴防火板加工，整体厚度不低于27mm（板材厚度提供带国家认可（认证）标识的认证报告）,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15102-2017《浸渍胶膜纸饰面纤维板和刨花板》试验标准且不低于5级（应提供带有CNAS、CMA认证标识的检测报告）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11、▲三防要求：应满足以下规定</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防盐雾：盐雾试验应按GJB150.11A-2009规定程序进行；</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防潮（防湿热）：湿热实验应按GJB150.9A-2009规定的程序进行。</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（投标人参加投标时，应提供具有CNAS认可标志的第三方检测机构出具的检测报告扫描件加盖公章）；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2039-2010标准，金黄色葡萄球菌抗（细）菌率99%以上，抗霉菌性能达到0级，具有SGS检测认证。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95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融合侦研区折角型7人操作员席位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1、操作台尺寸：长≦5800mm，宽≦1600mm，高≦740mm，深度≦800mm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5083-2005《电信设备抗地震性能检测规范》标准检测的检测报告，且在配重200kg的工况下，通过9烈度抗震试验；（应提供具有CNAS认可标志的第三方检测机构出具的检测报告扫描件加盖公章）；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2039-2010标准，金黄色葡萄球菌抗（细）菌率99%以上，抗霉菌性能达到0级，具有SGS检测认证。（提供权威第三方检测机构出具的检测报告复印件并加盖公章）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▲为保证灯光控制系统的功能完整性，控制台所配备的灯光控制软件应依据 GB/T 25000.51:2016《系统与软件工程 系统与软件质量要求和评价(SQuaRE) 第 51 部分:就绪可用软件产品(RUSP)的质量要求和测试细则》进行功能性检测，且检测项应全部通过；（需提供含有CNAS、CMA认证标识的检测报告）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3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综合统筹区鱼骨型6人操作员席位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1、操作台尺寸：长≦4600mm，宽≦2700mm，高≦740mm，深度≦800mm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需提供带有CNAS、CMA认证标识的检测报告）。</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提供通过CNAS、CMA认证第三方检测机构出具的检测报告复印件并加盖公章）</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为保证灯光控制系统的功能完整性，控制台所配备的灯光控制软件应依据 GB/T 25000.51:2016《系统与软件工程 系统与软件质量要求和评价(SQuaRE) 第 51 部分:就绪可用软件产品(RUSP)的质量要求和测试细则》进行功能性检测，且检测项应全部通过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大数据赋能区梅花型3人操作员席位</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1、操作台尺寸：长≦2100mm，宽≦2700mm，高≦740mm，深度≦800mm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台面板材料：面板使用实木颗粒板双面贴防火板加工，整体厚度不低于27mm,且静曲强度应大于30MPa，弹性模量应大于4000MPa，表面耐香烟灼烧、表面耐干热、表面耐污染腐蚀、表面耐龟裂、表面耐水蒸气应能满足GB/T 17657-2022《人造板及饰面人造板理化性能试验方法》、GB/T 15102-2017《浸渍胶膜纸饰面纤维板和刨花板》试验标准且不低于5级。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3、侧板：侧板材质应为木制，应为模块化设计样式，方便安装；可以对LOGO定制化要求，依据提供LOGO标识进行生产制作。</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4、主体框架：为确保钢度及方正</w:t>
            </w:r>
            <w:r>
              <w:rPr>
                <w:rStyle w:val="656"/>
                <w:rFonts w:hint="eastAsia" w:ascii="宋体" w:hAnsi="宋体" w:eastAsia="宋体" w:cs="宋体"/>
                <w:color w:val="auto"/>
                <w:sz w:val="21"/>
                <w:szCs w:val="21"/>
                <w:lang w:val="en-US" w:eastAsia="zh-CN" w:bidi="ar"/>
              </w:rPr>
              <w:t xml:space="preserve">性，满足工程的受力强度要求，主体框架结构应使用优质冷轧钢板。控制台所使用的冷轧钢板应通过GB/T 3325-2017《金属家具通用技术条件》、QB/T3826-1999《轻工产品金属镀层和化学处理层的耐腐蚀试验方法中性盐雾试验(NSS)法》、QB/T3832-1999《轻工产品金属镀层腐蚀试验结果的评价》的检测，且涂层检测结果应无漏喷、锈蚀和脱色、掉色现象；涂层应光滑均匀，色泽一致，应无流挂、疙瘩、皱皮、飞漆等缺陷；中性盐雾连续喷雾150小时，涂层本身的耐腐蚀等级应为10级，涂层对基体的保护等级应为10级。</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5、前、后门板：前后门板使用实木颗粒板双帖防火板加工，整体厚度应为20mm。门板应采用PUR封边工艺。同时铰链应经200h中性盐雾测试后性能评级达10级水准（应提供带有CNAS、CMA认证标识的检测报告）。</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6、屏风：控制台系统设计时，应设计为免专用工具可快速拆装维护结构，方便布线维护以及安装信息面板等各类设备辅件，应带警示导光板，可实现变换红、绿、蓝等多种颜色灯光警示信号。</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7、布线设计合理：结合控制系统对线缆的要求，控制台底柜内部应设置专业理线系统，与整体系统环境相适应，要求布线合理有序、安全、整齐，同时满足强、弱电线分离功能，避免信号干扰。</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8、控制台整体应有符合GB/T 3325-2017标准的检测报告，且报告包含控制台理化性能、力学性能、安全性能相关方面检测，其中木质件表面贴面层至少应满足表面耐磨性能磨850r后无露底，耐干热耐湿热不低于5级；力学性能项目符合最高等级5级水平，其中木制件甲醛释放量应≤0.007mg/m³，达ENF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9、控制台整体按GB20286-2006附录C做燃烧测试等级达到阻燃1级，热释放速率应小于10KW，5分钟热释放量应小于1MJ，一氧化碳浓度应小于40ppm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10、为避免静电敏感元器件以及工作人员遭受静电损伤，产品需设置防静电接地处理，控制台整体应依据GB 4943.1-2022方法进行接地电阻检测，测试结果应符合国家标准要求，且不超过0.1</w:t>
            </w:r>
            <w:r>
              <w:rPr>
                <w:rStyle w:val="660"/>
                <w:rFonts w:hint="eastAsia" w:ascii="宋体" w:hAnsi="宋体" w:eastAsia="宋体" w:cs="宋体"/>
                <w:color w:val="auto"/>
                <w:sz w:val="21"/>
                <w:szCs w:val="21"/>
                <w:lang w:val="en-US" w:eastAsia="zh-CN" w:bidi="ar"/>
              </w:rPr>
              <w:t xml:space="preserve">Ω</w:t>
            </w:r>
            <w:r>
              <w:rPr>
                <w:rStyle w:val="656"/>
                <w:rFonts w:hint="eastAsia" w:ascii="宋体" w:hAnsi="宋体" w:eastAsia="宋体" w:cs="宋体"/>
                <w:color w:val="auto"/>
                <w:sz w:val="21"/>
                <w:szCs w:val="21"/>
                <w:lang w:val="en-US" w:eastAsia="zh-CN" w:bidi="ar"/>
              </w:rPr>
              <w:t xml:space="preserve">。</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11、三防要求：应满足以下规定</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防盐雾：盐雾试验应按GJB150.11A-2009规定程序进行；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防霉菌：霉菌实验满一级要求，实验应按GJB150.10A-2009规定的程序进行；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防潮（防湿热）：湿热实验应按GJB150.9A-2009规定的程序进行。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12、控制台应具有依据YD 5083-2005《电信设备抗地震性能检测规范》标准检测的检测报告，且在配重200kg的工况下，通过9烈度抗震试验；</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13、显示器支架、钣金、铝合金均应通过 GB/T 10125-2021 《人造气氛腐蚀试验盐雾试验》测试达到盐雾腐蚀100小时，抗腐蚀能力不低于10级测试要求；</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14、控制台所使用的防火板饰面刨花板抗菌性能符合JC/T 2039-2010标准，金黄色葡萄球菌抗（细）菌率99%以上，抗霉菌性能达到0级，具有SGS检测认证。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15、为保证控制台灯光控制功能的安全可靠，其灯光控制器应依据GB/T 2423-2008《电工电子产品环境试验》进行高温70℃，低温-10℃的环境测试，且产品外观、结构和功能应正常。</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16、▲为确保信息安全，控制台的传导发射、辐射骚扰测试结果应检测合格，符合GB/T 17743-2021标准要求；控制台静电放电抗扰度、射频电磁场辐射抗扰度、电快速瞬变脉冲群抗扰度、浪涌（冲击）抗扰度、射频场感应的传导骚扰抗扰度的测试结果应符合GB/T 18595-2014、GB/T 17626标准要求，结果判定应均为A级。（应提供通过CMA认证第三方检测机构出具的检测报告复印件并加盖公章）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电脑支臂</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挂墙型固定于控制台背墙，可多方向自由调节、伸缩的支架，稳定承重1个30寸及以下液晶显示器，黑色</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键盘托盘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金属托盘，聚氨酯护腕，人体工程学机构钢制滑轨</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电脑主机服务器托盘</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金属托盘，可竖直放置电脑主机等设备。扣式安装在框架；托盘上开有过线孔，方便线路通过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亚克力灯带</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为保证灯光控制系统的功能完整性，控制台所配备的灯光控制软件应依据 GB/T 25000.51:2016《系统与软件工程 系统与软件质量要求和评价(SQuaRE) 第 51 部分:就绪可用软件产品(RUSP)的质量要求和测试细则》进行功能性检测，且检测项应全部通过</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融合侦研区18人会议桌</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1、操作台尺寸：长≦6950mm，宽≦1550mm，高≦740mm（实际尺寸根据现场实际情况复核后和甲方意见为准）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2、框架结构：主体框架结构使用铝型材和钣金结合的结构，其中面板支撑采用2.5mm的优质冷轧钢板加工而成。</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4、会议桌中所使用的铝合金通过GB 10125-2021《人造气氛腐蚀试验盐雾试验》，且达到100h十级。（需提供带有CNAS、CMA认证标识的检测报告）。 </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5、▲会议桌具有符合国标GB/T3325-2017标准出具的控制台型式检测报告，报告包含控制台理化性能、力学性能、安全性能相关方面检测，其中木质件表面贴面层，耐污染、耐湿热达到5级，抗冲击不低于2级，其中有害物质甲醛释放量≤0.009mg/m³，达到并优于国家强制标准E1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6、会议桌整体品牌应符合国际标准Green-guard GOLD 绿色卫士金级认证；</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7、会议桌整体按GB20286-2006附录C做燃烧测试达到等级应不低于阻燃1级，质量损失率不大于0.13%，其中“一氧化碳”释放量最高为99ppm。</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8、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9、▲会议桌所使用的刨花板和防火板通过GB/T 39600-2021《人造板及其制品甲醛释放量分级》的检测，甲醛释放未检出，符合Enf级要求；（需提供相关带有CNAS、CMA认证的检测报告）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00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实战指挥室20人会议桌</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Style w:val="656"/>
                <w:rFonts w:hint="eastAsia" w:ascii="宋体" w:hAnsi="宋体" w:eastAsia="宋体" w:cs="宋体"/>
                <w:color w:val="auto"/>
                <w:sz w:val="21"/>
                <w:szCs w:val="21"/>
                <w:lang w:val="en-US" w:eastAsia="zh-CN" w:bidi="ar"/>
              </w:rPr>
              <w:t xml:space="preserve">1、操作台尺寸：长≦7850mm，宽≦2150mm，高≦740mm（实际尺寸根据现场实际情况复核后和甲方意见为准）</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2、框架结构：主体框架结构使用铝型材和钣金结合的结构，其中面板支撑采用2.5mm的优质冷轧钢板加工而成。</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3、台面板：面板使用刨花板+防火板制成，整体厚度为27mm,符合相关环保标准。面板前侧封边为鸭嘴边封边，厚度为27mm，宽度为39mm；与桌面材质无缝粘接，保证整体外观协调统一。</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4、会议桌中所使用的铝合金通过GB 10125-2021《人造气氛腐蚀试验盐雾试验》，且达到100h十级。 </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5、会议桌符合国标GB/T3325-2017标准的控制台型式检测要求，报告包含控制台理化性能、力学性能、安全性能相关方面检测，其中木质件表面贴面层，耐污染、耐湿热达到5级，抗冲击不低于2级，其中有害物质甲醛释放量≤0.009mg/m³，达到并优于国家强制标准E1级；</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6、会议桌整体品牌应符合国际标准Green-guard GOLD 绿色卫士金级认证；</w:t>
            </w:r>
            <w:r>
              <w:rPr>
                <w:rStyle w:val="656"/>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7、▲会议桌整体按GB20286-2006附录C做燃烧测试达到等级应不低于阻燃1级，质量损失率不大于0.13%，其中“一氧化碳”释放量最高为99ppm。（提供通过CMA认证第三方检测机构出具的检测报告复印件并加盖公章）</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8、▲会议桌应获得实施规则ECC-1031EL-A/0标准的中国环境标志产品认证(俗称十环认证)（提供证明文件复印件并加盖公章）</w:t>
            </w:r>
            <w:r>
              <w:rPr>
                <w:rStyle w:val="657"/>
                <w:rFonts w:hint="eastAsia" w:ascii="宋体" w:hAnsi="宋体" w:eastAsia="宋体" w:cs="宋体"/>
                <w:color w:val="auto"/>
                <w:sz w:val="21"/>
                <w:szCs w:val="21"/>
                <w:lang w:val="en-US" w:eastAsia="zh-CN" w:bidi="ar"/>
              </w:rPr>
              <w:br/>
            </w:r>
            <w:r>
              <w:rPr>
                <w:rStyle w:val="657"/>
                <w:rFonts w:hint="eastAsia" w:ascii="宋体" w:hAnsi="宋体" w:eastAsia="宋体" w:cs="宋体"/>
                <w:color w:val="auto"/>
                <w:sz w:val="21"/>
                <w:szCs w:val="21"/>
                <w:lang w:val="en-US" w:eastAsia="zh-CN" w:bidi="ar"/>
              </w:rPr>
              <w:t xml:space="preserve">9、▲会议桌具有由中国质量认证中心出具的《中国环保认证》证书，即CQC证书</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10、门板使用刨花板+防火板制成，整体厚度为20mm，采用PUR封边工艺，胶线较普通封边更小，同时，避免了封边后期脱落问题，环保性能更优，具有更优良的耐水蒸汽性、抗腐蚀性、耐久性、耐热性、抗寒性；使用铰链连接到框架上，保证其200000次无障碍开启，可实现快速安装和拆卸；</w:t>
            </w:r>
            <w:r>
              <w:rPr>
                <w:rStyle w:val="656"/>
                <w:rFonts w:hint="eastAsia" w:ascii="宋体" w:hAnsi="宋体" w:eastAsia="宋体" w:cs="宋体"/>
                <w:color w:val="auto"/>
                <w:sz w:val="21"/>
                <w:szCs w:val="21"/>
                <w:lang w:val="en-US" w:eastAsia="zh-CN" w:bidi="ar"/>
              </w:rPr>
              <w:br/>
            </w:r>
            <w:r>
              <w:rPr>
                <w:rStyle w:val="656"/>
                <w:rFonts w:hint="eastAsia" w:ascii="宋体" w:hAnsi="宋体" w:eastAsia="宋体" w:cs="宋体"/>
                <w:color w:val="auto"/>
                <w:sz w:val="21"/>
                <w:szCs w:val="21"/>
                <w:lang w:val="en-US" w:eastAsia="zh-CN" w:bidi="ar"/>
              </w:rPr>
              <w:t xml:space="preserve">11、会议桌所使用的刨花板和防火板通过GB/T 39600-2021《人造板及其制品甲醛释放量分级》的检测，甲醛释放未检出，符合Enf级要求；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电源PDU</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标准机架PDU，可直连UPS配电柜1、产品类型：19英寸标准安装；插座孔形及数量：六位国标五孔</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桌面多媒体信息插座</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多媒体插座采用简单易用的接入方式，连接视频、音频、计算机视频、网络、电话、电源等接口</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茶水间-休闲椅子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1、尺寸：560mm×540mm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茶水间-茶几</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1、尺寸：1600mm×700mm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1、尺寸：550mm×530mm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2、优质西皮饰面，靠背.坐垫内置再生回弹海绵 ；高标准扁管电镀弓形椅架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1、尺寸：560mm×540mm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1、尺寸：2400mm×400mm×2000mm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特色工作室-茶几</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2、材质：岩板饰面，采用五底三磨工艺，绿色环保油漆，黑色铁艺喷涂脚架 </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1、尺寸：1400mm×700mm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工作室-高柜</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1、尺寸：2400mm×400mm×2000mm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工作室-办公椅</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1、尺寸：550mm×530mm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2、材质：优质西皮饰面，靠背.坐垫内置再生回弹海绵；高标准扁管电镀弓形椅架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备勤室-床</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1、尺寸：1200mm×2000mm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备勤室-床头柜</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1、尺寸：500mm×400mm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2、材质：优质橡木，环保油漆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备勤室-休闲椅子</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1、尺寸：560mm×540mm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2、材质：精选麻布面料，高密度再生棉；实木脚架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档案室-资料柜</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1、尺寸：900mm×2400mm×400mm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2、材质：采用宝钢牌一级冷轧钢板，数控折弯一体成型新款窄边工艺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接待室会议桌</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1、尺寸：4000mm×1500mm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2、材质：高品质绿色环保高密度免漆板，板材结合度强捏螺钉力牢，耐磨耐污耐高温；其五金采用优质国标家具专用配件</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接待室接待椅</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1、材质：耐磨皮质面料、舒适座包，密度海绵填充，高承重脚轻音滑轮</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二楼会议椅</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1、耐磨皮质面料、舒适座包，密度海绵填充，铝合金固定四脚椅</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一楼办公椅</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1、头枕、背、座全为优质网布；头枕可高度及角度调整；椅背可高低调整；座垫可高低调整；扶手可高低升降</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外立面发光字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烤漆不锈钢围边亚克力发光字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1、3mm白色亚克力面板，1mm不锈钢表面做警务蓝烤漆，内置2835防水LED模组，色温10000K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门厅-文化墙01</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1、精工不锈钢立体金属字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2、1mm不锈钢激光切割焊接打磨电镀/烤漆；字厚10-30mm，内衬10mm雪弗板</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门厅-文化墙02</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1、迷你发光字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门厅-文化墙03</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反诈打防区-文化墙01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1、精工字(1mm不锈钢激光切割焊接打磨烤漆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2、背扣12mm透明磨砂亚克力，内置品牌LED模组，色温10000K)</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反诈打防区-文化墙02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反诈打防区-文化墙03</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案件会商文化墙</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网络合成作战战训基地文化墙</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1、精工不锈钢立体金属字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2、1mm不锈钢激光切割焊接打磨电镀/烤漆；字厚20mm，内衬10mm厚雪弗板；</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专案侦研区-文化墙01</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专案侦研区-文化墙02</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传统盯案区-文化墙</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茶水间-文化墙</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备勤室-文化墙</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宣绒布UV喷印；2+8mm水晶字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10mm雪弗板UV覆钢化膜；或其他材料工艺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（视甲方最终确认方案采取一种或多种合适工艺）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腰线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户外背胶PP或透明磨砂膜;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1440dpi彩白彩UV喷印</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1、亚克力或铝型材或不锈钢烤漆丝印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2、视甲方最终确认方案采取合适工艺</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VI设计、LOGO设计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智慧侦查中心VI设计及LOGO设计</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2、材料品种、规格:12mm厚水泥压力板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193.49 </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柱（梁）面装饰板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1、基层材料品种、规格:50mm×50mm×3mm、热镀锌方管焊接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2、材料品种、规格:12mm厚水泥压力板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3、不含单列清单的广告部分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3.77 </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1、部位：东侧墙面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2、字体材质：拉丝不锈钢文宣发光迷你字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3、字体内容：干就干最好 争就争第一、墙体logo等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警察剪影发光造型</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2、定制拉丝不锈钢激光切割发光造型，外喷灰色哑光汽车漆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发光箱体宣传栏</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1、位置：东侧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2、规格：2000mm×1000mm拉丝不锈钢发光灯箱体制安；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3、字体材质：定制拉丝不锈钢发光灯箱，不锈钢激光切割折边烤漆灯箱，钢化玻璃、另加装液压杆等</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2、墙面定制不锈钢折边竖式艺术发光造型</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装饰线条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1、胶片装饰造型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2、定制不锈钢造型、烤专色漆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53.28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结束语造型</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1、部位：东侧墙面结束语造型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2、字体材质：仿古铜立体字、仿古铜一字板造型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3、字体内容：有激情 有担当 有智慧有作为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发光箱体宣传画面</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1、位置：东侧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2、定制发光箱体内画面</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1、部位：西侧红边造型墙板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2、镀锌板折边烤哑光汽车漆，加装红色边条</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不锈钢大字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部位①：西侧墙面不锈钢16个大字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1、字体材质：不锈钢精品立体字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2、字体内容：政治建警 改革强警 科技兴警 从严治警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3、不锈钢激光切割，无痕打磨、平面围边精品字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4、1.0厚PVC衬底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5、具体式样满足甲方要求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部位②：西侧墙面不锈钢6个精品字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1、字体材质：不锈钢金漆球面精品立体字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2、字体内容：以人民为中心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3、不锈钢激光切割，无痕打磨、烤金漆精品字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4、1mm厚PVC衬底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不锈钢精品背发光立体字</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1、部位：西侧墙面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2、字体规格、材质：不锈钢精品背发光立体字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3、字体内容：WELCOME TO DAFENG POLICE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发光迷你字及警徽</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1、部位：西侧墙面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2、字体规格、材质：发光迷你字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3、字体内容：大丰公安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背发光双层假山造型</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1、部位：定制西侧墙面背发光双层假山造型、烤灰色汽车漆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2、具体式样满足甲方要求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施工宣传临时围挡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1、钢架：镀锌型钢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2、墙板：绿草皮色彩钢板</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文化墙配套安装及服务</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1、拆除工程：1）原宣传栏、装饰板拆除，修凿剥离突出的砌体，铲除围墙涂料及抹灰基层至砖砌体；2）含垃圾清除、外运出现场（运距由投标人自行考虑在报价中）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2、围墙加高：砌块品种、规格、强度等级:水泥标准砖，砂浆：水泥M5.0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3、围墙墙面一般抹灰：1）底层厚度、砂浆配合比:10厚1：1：6混合砂浆底层；2）面层厚度、砂浆配合比:8厚1：1：4混合砂浆面层；3）满铺耐碱玻纤网格布一道（剥离墙面处找平，其他墙面粉平）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4、修缮：1）围墙顶飞檐钢骨架基层及铝塑板面层维修加固处理</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3248" w:type="pct"/>
            <w:vAlign w:val="center"/>
            <w:textDirection w:val="lrTb"/>
            <w:noWrap w:val="false"/>
          </w:tcPr>
          <w:p>
            <w:pPr>
              <w:jc w:val="left"/>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1、工程部位:围墙及飞檐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2、腻子种类、遍数:外墙柔性耐水腻子两度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3、油漆品种、刷漆遍数:涂刷封底、分格、搅匀后喷涂真石漆两遍，涂刷透明罩光面漆两遍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4、颜色等其他要求:具体颜色及规格详见立面图，投标人施工前提供小样，经招标人确认后施工</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498.74</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30"/>
        </w:trPr>
        <w:tc>
          <w:tcPr>
            <w:gridSpan w:val="6"/>
            <w:shd w:val="clear" w:color="auto" w:fill="auto"/>
            <w:tcBorders>
              <w:top w:val="single" w:color="000000" w:sz="4" w:space="0"/>
              <w:left w:val="single" w:color="000000" w:sz="4" w:space="0"/>
              <w:bottom w:val="single" w:color="000000" w:sz="4" w:space="0"/>
              <w:right w:val="single" w:color="000000" w:sz="4" w:space="0"/>
            </w:tcBorders>
            <w:tcW w:w="4711" w:type="pct"/>
            <w:vAlign w:val="center"/>
            <w:textDirection w:val="lrTb"/>
            <w:noWrap/>
          </w:tcPr>
          <w:p>
            <w:pPr>
              <w:jc w:val="center"/>
              <w:keepLines w:val="0"/>
              <w:keepNext w:val="0"/>
              <w:pageBreakBefore w:val="0"/>
              <w:spacing w:line="47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总计（元）</w:t>
            </w:r>
            <w:r/>
          </w:p>
        </w:tc>
        <w:tc>
          <w:tcPr>
            <w:shd w:val="clear" w:color="auto" w:fill="auto"/>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keepLines w:val="0"/>
              <w:keepNext w:val="0"/>
              <w:pageBreakBefore w:val="0"/>
              <w:spacing w:line="47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bl>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sectPr>
          <w:footnotePr/>
          <w:endnotePr/>
          <w:type w:val="nextPage"/>
          <w:pgSz w:w="16838" w:h="11906" w:orient="landscape"/>
          <w:pgMar w:top="1080" w:right="1440" w:bottom="1080" w:left="1440" w:header="851" w:footer="992" w:gutter="0"/>
          <w:cols w:num="1" w:sep="0" w:space="425" w:equalWidth="1"/>
          <w:docGrid w:linePitch="360"/>
        </w:sectPr>
      </w:pPr>
      <w:r>
        <w:rPr>
          <w:rFonts w:hint="eastAsia" w:ascii="宋体" w:hAnsi="宋体" w:eastAsia="宋体" w:cs="宋体"/>
          <w:color w:val="auto"/>
          <w:highlight w:val="none"/>
        </w:rPr>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十三、技术要求响应及偏离表（分包号：**）</w:t>
      </w:r>
      <w:r/>
    </w:p>
    <w:tbl>
      <w:tblPr>
        <w:tblStyle w:val="638"/>
        <w:tblW w:w="4993"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827"/>
        <w:gridCol w:w="2747"/>
        <w:gridCol w:w="2450"/>
        <w:gridCol w:w="2364"/>
        <w:gridCol w:w="158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投标产品品牌、型号</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77"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8"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85"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44"/>
        <w:ind w:left="0" w:right="0" w:firstLine="0"/>
        <w:jc w:val="both"/>
        <w:pageBreakBefore w:val="0"/>
        <w:spacing w:beforeAutospacing="0" w:afterAutospacing="0"/>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注：行数不够，可自行添加。</w:t>
      </w:r>
      <w:r>
        <w:rPr>
          <w:rFonts w:hint="eastAsia" w:ascii="宋体" w:hAnsi="宋体" w:eastAsia="宋体" w:cs="宋体"/>
          <w:color w:val="auto"/>
          <w:highlight w:val="none"/>
          <w:lang w:val="en-US" w:eastAsia="zh-CN"/>
        </w:rPr>
        <w:t xml:space="preserve">出现超出或偏离时详细列明。</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left"/>
        <w:pageBreakBefore w:val="0"/>
        <w:spacing w:beforeAutospacing="0" w:afterAutospacing="0"/>
        <w:rPr>
          <w:rFonts w:hint="eastAsia" w:ascii="宋体" w:hAnsi="宋体" w:eastAsia="宋体" w:cs="宋体"/>
          <w:color w:val="auto"/>
          <w:highlight w:val="none"/>
        </w:rPr>
      </w:pPr>
      <w:r/>
      <w:bookmarkStart w:id="190" w:name="_Hlt26955054"/>
      <w:r>
        <w:rPr>
          <w:rFonts w:hint="eastAsia" w:ascii="宋体" w:hAnsi="宋体" w:eastAsia="宋体" w:cs="宋体"/>
          <w:b/>
          <w:color w:val="auto"/>
          <w:sz w:val="32"/>
          <w:szCs w:val="32"/>
          <w:highlight w:val="none"/>
          <w:u w:val="single"/>
        </w:rPr>
        <w:t xml:space="preserve">十四、商务要求响应及偏离表（分包号：**）</w:t>
      </w:r>
      <w:r/>
    </w:p>
    <w:tbl>
      <w:tblPr>
        <w:tblStyle w:val="638"/>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3512"/>
        <w:gridCol w:w="3761"/>
        <w:gridCol w:w="1769"/>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bookmarkStart w:id="191" w:name="_Hlt26782999"/>
            <w:r/>
            <w:bookmarkStart w:id="192" w:name="_Hlt24879081"/>
            <w:r/>
            <w:bookmarkStart w:id="193" w:name="_Hlt26671343"/>
            <w:r/>
            <w:bookmarkStart w:id="194" w:name="_Hlt26580838"/>
            <w:r/>
            <w:bookmarkStart w:id="195" w:name="_Hlt26671372"/>
            <w:r/>
            <w:bookmarkStart w:id="196" w:name="_Hlt26955064"/>
            <w:r/>
            <w:bookmarkStart w:id="197" w:name="_Hlt26955056"/>
            <w:r/>
            <w:bookmarkStart w:id="198" w:name="_Hlt26609391"/>
            <w:r>
              <w:rPr>
                <w:rFonts w:hint="eastAsia" w:ascii="宋体" w:hAnsi="宋体" w:eastAsia="宋体" w:cs="宋体"/>
                <w:color w:val="auto"/>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59"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44"/>
        <w:ind w:left="0" w:right="0" w:firstLine="0"/>
        <w:jc w:val="both"/>
        <w:pageBreakBefore w:val="0"/>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注： 行数不够，可自行添加。</w:t>
      </w:r>
      <w:r>
        <w:rPr>
          <w:rFonts w:hint="eastAsia" w:ascii="宋体" w:hAnsi="宋体" w:eastAsia="宋体" w:cs="宋体"/>
          <w:color w:val="auto"/>
          <w:highlight w:val="none"/>
          <w:lang w:val="en-US" w:eastAsia="zh-CN"/>
        </w:rPr>
        <w:t xml:space="preserve">出现超出或偏离时详细列明；全部符合无需填写，直接将上述表格上传即可。</w:t>
      </w:r>
      <w:r/>
    </w:p>
    <w:p>
      <w:pPr>
        <w:pStyle w:val="644"/>
        <w:ind w:left="0" w:right="0" w:firstLine="0"/>
        <w:jc w:val="both"/>
        <w:pageBreakBefore w:val="0"/>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bookmarkStart w:id="199" w:name="_格式2__法定代表人授权书"/>
      <w:r/>
      <w:bookmarkStart w:id="200" w:name="_Hlt26955066"/>
      <w:r/>
      <w:bookmarkStart w:id="201" w:name="_Hlt26671374"/>
      <w:r/>
      <w:bookmarkStart w:id="202" w:name="_Toc462564146"/>
      <w:r/>
      <w:bookmarkStart w:id="203" w:name="_Hlt26609389"/>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4"/>
        <w:ind w:left="0" w:right="0" w:firstLine="0"/>
        <w:jc w:val="both"/>
        <w:pageBreakBefore w:val="0"/>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4"/>
        <w:ind w:left="0" w:right="0" w:firstLine="0"/>
        <w:jc w:val="both"/>
        <w:pageBreakBefore w:val="0"/>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4"/>
        <w:ind w:left="0" w:right="0" w:firstLine="0"/>
        <w:jc w:val="both"/>
        <w:pageBreakBefore w:val="0"/>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4"/>
        <w:ind w:left="0" w:right="0" w:firstLine="0"/>
        <w:jc w:val="both"/>
        <w:pageBreakBefore w:val="0"/>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4"/>
        <w:ind w:left="0" w:right="0" w:firstLine="0"/>
        <w:jc w:val="both"/>
        <w:pageBreakBefore w:val="0"/>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44"/>
        <w:ind w:left="0" w:right="0" w:firstLine="0"/>
        <w:jc w:val="both"/>
        <w:pageBreakBefore w:val="0"/>
        <w:spacing w:beforeAutospacing="0" w:afterAutospacing="0"/>
        <w:rPr>
          <w:rFonts w:hint="eastAsia" w:ascii="宋体" w:hAnsi="宋体" w:eastAsia="宋体" w:cs="宋体"/>
          <w:color w:val="auto"/>
          <w:highlight w:val="none"/>
          <w:u w:val="none"/>
        </w:rPr>
      </w:pPr>
      <w:r>
        <w:rPr>
          <w:rFonts w:hint="eastAsia" w:ascii="宋体" w:hAnsi="宋体" w:eastAsia="宋体" w:cs="宋体"/>
          <w:b/>
          <w:i w:val="0"/>
          <w:iCs/>
          <w:color w:val="auto"/>
          <w:sz w:val="32"/>
          <w:szCs w:val="32"/>
          <w:highlight w:val="none"/>
          <w:u w:val="single"/>
        </w:rPr>
      </w:r>
      <w:r>
        <w:rPr>
          <w:rFonts w:hint="eastAsia" w:ascii="宋体" w:hAnsi="宋体" w:eastAsia="宋体" w:cs="宋体"/>
          <w:b/>
          <w:i w:val="0"/>
          <w:iCs/>
          <w:color w:val="auto"/>
          <w:sz w:val="32"/>
          <w:szCs w:val="32"/>
          <w:highlight w:val="none"/>
          <w:u w:val="single"/>
        </w:rPr>
      </w:r>
    </w:p>
    <w:p>
      <w:pPr>
        <w:pStyle w:val="644"/>
        <w:ind w:left="0" w:right="0" w:firstLine="0"/>
        <w:jc w:val="both"/>
        <w:pageBreakBefore w:val="0"/>
        <w:spacing w:beforeAutospacing="0" w:afterAutospacing="0"/>
        <w:rPr>
          <w:rFonts w:hint="eastAsia" w:ascii="宋体" w:hAnsi="宋体" w:eastAsia="宋体" w:cs="宋体"/>
          <w:b/>
          <w:bCs w:val="0"/>
          <w:i w:val="0"/>
          <w:color w:val="auto"/>
          <w:sz w:val="32"/>
          <w:szCs w:val="32"/>
          <w:highlight w:val="none"/>
          <w:u w:val="single"/>
        </w:rPr>
      </w:pPr>
      <w:r>
        <w:rPr>
          <w:rFonts w:hint="eastAsia" w:ascii="宋体" w:hAnsi="宋体" w:eastAsia="宋体" w:cs="宋体"/>
          <w:b/>
          <w:i w:val="0"/>
          <w:iCs/>
          <w:color w:val="auto"/>
          <w:sz w:val="32"/>
          <w:szCs w:val="32"/>
          <w:highlight w:val="none"/>
          <w:u w:val="single"/>
        </w:rPr>
      </w:r>
      <w:r>
        <w:rPr>
          <w:rFonts w:hint="eastAsia" w:ascii="宋体" w:hAnsi="宋体" w:eastAsia="宋体" w:cs="宋体"/>
          <w:b/>
          <w:i w:val="0"/>
          <w:iCs/>
          <w:color w:val="auto"/>
          <w:sz w:val="32"/>
          <w:szCs w:val="32"/>
          <w:highlight w:val="none"/>
          <w:u w:val="single"/>
        </w:rPr>
      </w:r>
    </w:p>
    <w:p>
      <w:pPr>
        <w:pStyle w:val="644"/>
        <w:ind w:left="0" w:right="0" w:firstLine="0"/>
        <w:jc w:val="both"/>
        <w:pageBreakBefore w:val="0"/>
        <w:spacing w:beforeAutospacing="0" w:afterAutospacing="0"/>
        <w:rPr>
          <w:rFonts w:hint="eastAsia" w:ascii="宋体" w:hAnsi="宋体" w:eastAsia="宋体" w:cs="宋体"/>
          <w:b/>
          <w:bCs w:val="0"/>
          <w:i w:val="0"/>
          <w:color w:val="auto"/>
          <w:sz w:val="32"/>
          <w:szCs w:val="32"/>
          <w:highlight w:val="none"/>
          <w:u w:val="single"/>
        </w:rPr>
      </w:pPr>
      <w:r>
        <w:rPr>
          <w:rFonts w:hint="eastAsia" w:ascii="宋体" w:hAnsi="宋体" w:eastAsia="宋体" w:cs="宋体"/>
          <w:b/>
          <w:i w:val="0"/>
          <w:iCs/>
          <w:color w:val="auto"/>
          <w:sz w:val="32"/>
          <w:szCs w:val="32"/>
          <w:highlight w:val="none"/>
          <w:u w:val="single"/>
        </w:rPr>
      </w:r>
      <w:r>
        <w:rPr>
          <w:rFonts w:hint="eastAsia" w:ascii="宋体" w:hAnsi="宋体" w:eastAsia="宋体" w:cs="宋体"/>
          <w:b/>
          <w:i w:val="0"/>
          <w:iCs/>
          <w:color w:val="auto"/>
          <w:sz w:val="32"/>
          <w:szCs w:val="32"/>
          <w:highlight w:val="none"/>
          <w:u w:val="single"/>
        </w:rPr>
      </w:r>
    </w:p>
    <w:p>
      <w:pPr>
        <w:pStyle w:val="644"/>
        <w:ind w:left="0" w:right="0" w:firstLine="0"/>
        <w:jc w:val="both"/>
        <w:pageBreakBefore w:val="0"/>
        <w:spacing w:beforeAutospacing="0" w:afterAutospacing="0"/>
        <w:rPr>
          <w:rFonts w:hint="eastAsia" w:ascii="宋体" w:hAnsi="宋体" w:eastAsia="宋体" w:cs="宋体"/>
          <w:b/>
          <w:bCs w:val="0"/>
          <w:i w:val="0"/>
          <w:color w:val="auto"/>
          <w:sz w:val="32"/>
          <w:szCs w:val="32"/>
          <w:highlight w:val="none"/>
          <w:u w:val="single"/>
        </w:rPr>
      </w:pPr>
      <w:r>
        <w:rPr>
          <w:rFonts w:hint="eastAsia" w:ascii="宋体" w:hAnsi="宋体" w:eastAsia="宋体" w:cs="宋体"/>
          <w:b/>
          <w:i w:val="0"/>
          <w:iCs/>
          <w:color w:val="auto"/>
          <w:sz w:val="32"/>
          <w:szCs w:val="32"/>
          <w:highlight w:val="none"/>
          <w:u w:val="single"/>
        </w:rPr>
      </w:r>
      <w:r>
        <w:rPr>
          <w:rFonts w:hint="eastAsia" w:ascii="宋体" w:hAnsi="宋体" w:eastAsia="宋体" w:cs="宋体"/>
          <w:b/>
          <w:i w:val="0"/>
          <w:iCs/>
          <w:color w:val="auto"/>
          <w:sz w:val="32"/>
          <w:szCs w:val="32"/>
          <w:highlight w:val="none"/>
          <w:u w:val="single"/>
        </w:rPr>
      </w:r>
    </w:p>
    <w:p>
      <w:pPr>
        <w:pStyle w:val="644"/>
        <w:ind w:left="0" w:right="0" w:firstLine="0"/>
        <w:jc w:val="both"/>
        <w:pageBreakBefore w:val="0"/>
        <w:spacing w:beforeAutospacing="0" w:afterAutospacing="0"/>
        <w:rPr>
          <w:rFonts w:hint="eastAsia" w:ascii="宋体" w:hAnsi="宋体" w:eastAsia="宋体" w:cs="宋体"/>
          <w:b/>
          <w:bCs w:val="0"/>
          <w:i w:val="0"/>
          <w:color w:val="auto"/>
          <w:sz w:val="32"/>
          <w:szCs w:val="32"/>
          <w:highlight w:val="none"/>
          <w:u w:val="single"/>
        </w:rPr>
      </w:pPr>
      <w:r>
        <w:rPr>
          <w:rFonts w:hint="eastAsia" w:ascii="宋体" w:hAnsi="宋体" w:eastAsia="宋体" w:cs="宋体"/>
          <w:b/>
          <w:i w:val="0"/>
          <w:iCs/>
          <w:color w:val="auto"/>
          <w:sz w:val="32"/>
          <w:szCs w:val="32"/>
          <w:highlight w:val="none"/>
          <w:u w:val="single"/>
        </w:rPr>
        <w:t xml:space="preserve">十五、开标一览表</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38"/>
        <w:tblW w:w="5000"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9982"/>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644"/>
              <w:ind w:left="0" w:right="0" w:firstLine="0"/>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元）</w:t>
            </w:r>
            <w:r/>
          </w:p>
        </w:tc>
      </w:tr>
    </w:tbl>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44"/>
        <w:ind w:left="0" w:right="0" w:firstLine="0"/>
        <w:jc w:val="center"/>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left"/>
        <w:pageBreakBefore w:val="0"/>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u w:val="single"/>
        </w:rPr>
        <w:t xml:space="preserve">十六、</w:t>
      </w:r>
      <w:r>
        <w:rPr>
          <w:rFonts w:hint="eastAsia" w:ascii="宋体" w:hAnsi="宋体" w:eastAsia="宋体" w:cs="宋体"/>
          <w:b/>
          <w:bCs/>
          <w:color w:val="auto"/>
          <w:sz w:val="32"/>
          <w:szCs w:val="32"/>
          <w:highlight w:val="none"/>
          <w:u w:val="single"/>
          <w:lang w:eastAsia="zh-CN"/>
        </w:rPr>
        <w:t xml:space="preserve">依据评标办法用于评分的材料</w:t>
      </w:r>
      <w:r/>
    </w:p>
    <w:p>
      <w:pPr>
        <w:pStyle w:val="644"/>
        <w:ind w:left="0" w:right="0" w:firstLine="0"/>
        <w:jc w:val="both"/>
        <w:pageBreakBefore w:val="0"/>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ight="0" w:firstLine="0"/>
        <w:pageBreakBefore w:val="0"/>
        <w:spacing w:line="499" w:lineRule="atLeast"/>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u w:val="single"/>
        </w:rPr>
      </w:r>
      <w:r>
        <w:rPr>
          <w:rFonts w:hint="eastAsia" w:ascii="宋体" w:hAnsi="宋体" w:eastAsia="宋体" w:cs="宋体"/>
          <w:b/>
          <w:bCs/>
          <w:color w:val="auto"/>
          <w:sz w:val="32"/>
          <w:szCs w:val="32"/>
          <w:highlight w:val="none"/>
          <w:u w:val="single"/>
        </w:rPr>
      </w:r>
    </w:p>
    <w:p>
      <w:pPr>
        <w:ind w:left="0" w:right="0" w:firstLine="0"/>
        <w:pageBreakBefore w:val="0"/>
        <w:spacing w:line="499" w:lineRule="atLeast"/>
        <w:widowControl/>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rPr>
          <w:rFonts w:hint="eastAsia" w:ascii="宋体" w:hAnsi="宋体" w:eastAsia="宋体" w:cs="宋体"/>
          <w:b/>
          <w:bCs/>
          <w:color w:val="auto"/>
          <w:sz w:val="32"/>
          <w:szCs w:val="32"/>
          <w:highlight w:val="none"/>
          <w:u w:val="single"/>
        </w:rPr>
      </w:r>
    </w:p>
    <w:p>
      <w:pPr>
        <w:ind w:left="0" w:right="0" w:firstLine="0"/>
        <w:pageBreakBefore w:val="0"/>
        <w:spacing w:line="499" w:lineRule="atLeast"/>
        <w:widowControl/>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rPr>
          <w:rFonts w:hint="eastAsia" w:ascii="宋体" w:hAnsi="宋体" w:eastAsia="宋体" w:cs="宋体"/>
          <w:b/>
          <w:bCs/>
          <w:color w:val="auto"/>
          <w:sz w:val="32"/>
          <w:szCs w:val="32"/>
          <w:highlight w:val="none"/>
          <w:u w:val="single"/>
        </w:rPr>
      </w:r>
    </w:p>
    <w:p>
      <w:pPr>
        <w:ind w:left="0" w:right="0" w:firstLine="0"/>
        <w:pageBreakBefore w:val="0"/>
        <w:spacing w:line="499" w:lineRule="atLeast"/>
        <w:widowControl/>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rPr>
          <w:rFonts w:hint="eastAsia" w:ascii="宋体" w:hAnsi="宋体" w:eastAsia="宋体" w:cs="宋体"/>
          <w:b/>
          <w:bCs/>
          <w:color w:val="auto"/>
          <w:sz w:val="32"/>
          <w:szCs w:val="32"/>
          <w:highlight w:val="none"/>
          <w:u w:val="single"/>
        </w:rPr>
      </w:r>
    </w:p>
    <w:p>
      <w:pPr>
        <w:ind w:left="0" w:right="0" w:firstLine="0"/>
        <w:pageBreakBefore w:val="0"/>
        <w:spacing w:line="499" w:lineRule="atLeast"/>
        <w:widowControl/>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rPr>
          <w:rFonts w:hint="eastAsia" w:ascii="宋体" w:hAnsi="宋体" w:eastAsia="宋体" w:cs="宋体"/>
          <w:b/>
          <w:bCs/>
          <w:color w:val="auto"/>
          <w:sz w:val="32"/>
          <w:szCs w:val="32"/>
          <w:highlight w:val="none"/>
          <w:u w:val="single"/>
        </w:rPr>
      </w:r>
    </w:p>
    <w:p>
      <w:pPr>
        <w:ind w:left="0" w:right="0" w:firstLine="0"/>
        <w:pageBreakBefore w:val="0"/>
        <w:spacing w:line="499" w:lineRule="atLeast"/>
        <w:widowControl/>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t xml:space="preserve">十七、盐城市政府采购事前信用承诺书</w:t>
      </w:r>
      <w:r/>
    </w:p>
    <w:p>
      <w:pPr>
        <w:ind w:left="0" w:right="0" w:firstLine="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8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    </w:t>
      </w:r>
      <w:r/>
    </w:p>
    <w:p>
      <w:pPr>
        <w:ind w:left="0" w:right="0" w:firstLine="720"/>
        <w:jc w:val="left"/>
        <w:keepLines w:val="0"/>
        <w:keepNext w:val="0"/>
        <w:pageBreakBefore w:val="0"/>
        <w:spacing w:line="36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720"/>
        <w:jc w:val="right"/>
        <w:keepLines w:val="0"/>
        <w:keepNext w:val="0"/>
        <w:pageBreakBefore w:val="0"/>
        <w:spacing w:line="360" w:lineRule="atLeas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9"/>
      <w:r/>
      <w:bookmarkEnd w:id="180"/>
      <w:r/>
      <w:bookmarkEnd w:id="184"/>
      <w:r/>
      <w:bookmarkEnd w:id="185"/>
      <w:r/>
      <w:bookmarkEnd w:id="187"/>
      <w:r/>
      <w:bookmarkEnd w:id="188"/>
      <w:r/>
      <w:bookmarkEnd w:id="189"/>
      <w:r/>
      <w:bookmarkEnd w:id="190"/>
      <w:r/>
      <w:bookmarkEnd w:id="199"/>
      <w:r/>
      <w:bookmarkEnd w:id="200"/>
      <w:r/>
      <w:bookmarkEnd w:id="201"/>
      <w:r/>
      <w:bookmarkEnd w:id="202"/>
      <w:r/>
      <w:bookmarkEnd w:id="203"/>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44"/>
        <w:ind w:left="0" w:right="0" w:firstLine="0"/>
        <w:jc w:val="center"/>
        <w:pageBreakBefore w:val="0"/>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44"/>
        <w:ind w:left="0" w:right="0" w:firstLine="0"/>
        <w:jc w:val="center"/>
        <w:pageBreakBefore w:val="0"/>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44"/>
        <w:ind w:left="0" w:right="0" w:firstLine="0"/>
        <w:jc w:val="center"/>
        <w:pageBreakBefore w:val="0"/>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44"/>
        <w:ind w:left="0" w:right="0" w:firstLine="0"/>
        <w:jc w:val="center"/>
        <w:pageBreakBefore w:val="0"/>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44"/>
        <w:ind w:left="0" w:right="0" w:firstLine="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44"/>
        <w:ind w:left="0" w:right="0" w:firstLine="0"/>
        <w:jc w:val="both"/>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44"/>
        <w:ind w:left="0" w:right="0" w:firstLine="0"/>
        <w:jc w:val="both"/>
        <w:pageBreakBefore w:val="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44"/>
        <w:ind w:left="0" w:right="0" w:firstLine="0"/>
        <w:pageBreakBefore w:val="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44"/>
        <w:ind w:left="0" w:right="0" w:firstLine="0"/>
        <w:pageBreakBefore w:val="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4"/>
        <w:ind w:left="0" w:right="0" w:firstLine="0"/>
        <w:pageBreakBefore w:val="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44"/>
        <w:ind w:left="0" w:right="0" w:firstLine="0"/>
        <w:pageBreakBefore w:val="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44"/>
        <w:ind w:left="0" w:right="0" w:firstLine="0"/>
        <w:pageBreakBefore w:val="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44"/>
        <w:ind w:left="0" w:right="0" w:firstLine="0"/>
        <w:pageBreakBefore w:val="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4"/>
        <w:ind w:left="0" w:right="0" w:firstLine="0"/>
        <w:jc w:val="both"/>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firstLine="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64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64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7"/>
    <w:link w:val="12"/>
    <w:uiPriority w:val="9"/>
    <w:rPr>
      <w:rFonts w:ascii="Arial" w:hAnsi="Arial" w:eastAsia="Arial" w:cs="Arial"/>
      <w:sz w:val="40"/>
      <w:szCs w:val="40"/>
    </w:rPr>
  </w:style>
  <w:style w:type="character" w:styleId="15">
    <w:name w:val="Heading 2 Char"/>
    <w:basedOn w:val="637"/>
    <w:link w:val="635"/>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character" w:styleId="19">
    <w:name w:val="Heading 4 Char"/>
    <w:basedOn w:val="637"/>
    <w:link w:val="636"/>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3"/>
    <w:uiPriority w:val="99"/>
  </w:style>
  <w:style w:type="character" w:styleId="44">
    <w:name w:val="Footer Char"/>
    <w:basedOn w:val="637"/>
    <w:link w:val="642"/>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642"/>
    <w:uiPriority w:val="99"/>
  </w:style>
  <w:style w:type="table" w:styleId="47">
    <w:name w:val="Table Grid"/>
    <w:basedOn w:val="63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5">
    <w:name w:val="Heading 2"/>
    <w:basedOn w:val="634"/>
    <w:next w:val="63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36">
    <w:name w:val="Heading 4"/>
    <w:basedOn w:val="634"/>
    <w:next w:val="634"/>
    <w:uiPriority w:val="0"/>
    <w:semiHidden/>
    <w:unhideWhenUsed/>
    <w:qFormat/>
    <w:pPr>
      <w:ind w:firstLine="0"/>
      <w:keepLines/>
      <w:keepNext/>
      <w:spacing w:beforeAutospacing="0" w:afterAutospacing="0" w:line="240" w:lineRule="auto"/>
      <w:outlineLvl w:val="3"/>
    </w:pPr>
    <w:rPr>
      <w:rFonts w:asciiTheme="minorAscii" w:hAnsiTheme="minorAscii"/>
      <w:b/>
      <w:sz w:val="30"/>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Body Text"/>
    <w:basedOn w:val="634"/>
    <w:next w:val="640"/>
    <w:uiPriority w:val="0"/>
    <w:qFormat/>
    <w:pPr>
      <w:spacing w:after="120"/>
    </w:pPr>
  </w:style>
  <w:style w:type="paragraph" w:styleId="640">
    <w:name w:val="toc 2"/>
    <w:basedOn w:val="634"/>
    <w:next w:val="634"/>
    <w:uiPriority w:val="39"/>
    <w:unhideWhenUsed/>
    <w:qFormat/>
    <w:pPr>
      <w:ind w:left="420"/>
    </w:pPr>
  </w:style>
  <w:style w:type="paragraph" w:styleId="641">
    <w:name w:val="Plain Text"/>
    <w:basedOn w:val="634"/>
    <w:uiPriority w:val="99"/>
    <w:qFormat/>
    <w:rPr>
      <w:rFonts w:ascii="宋体" w:hAnsi="Courier New"/>
      <w:sz w:val="28"/>
      <w:szCs w:val="20"/>
    </w:rPr>
  </w:style>
  <w:style w:type="paragraph" w:styleId="642">
    <w:name w:val="Footer"/>
    <w:basedOn w:val="634"/>
    <w:link w:val="647"/>
    <w:uiPriority w:val="0"/>
    <w:qFormat/>
    <w:pPr>
      <w:jc w:val="left"/>
      <w:tabs>
        <w:tab w:val="center" w:pos="4153" w:leader="none"/>
        <w:tab w:val="right" w:pos="8306" w:leader="none"/>
      </w:tabs>
    </w:pPr>
    <w:rPr>
      <w:sz w:val="18"/>
      <w:szCs w:val="18"/>
    </w:rPr>
  </w:style>
  <w:style w:type="paragraph" w:styleId="643">
    <w:name w:val="Header"/>
    <w:basedOn w:val="634"/>
    <w:link w:val="646"/>
    <w:uiPriority w:val="0"/>
    <w:qFormat/>
    <w:pPr>
      <w:jc w:val="center"/>
      <w:tabs>
        <w:tab w:val="center" w:pos="4153" w:leader="none"/>
        <w:tab w:val="right" w:pos="8306" w:leader="none"/>
      </w:tabs>
      <w:pBdr>
        <w:bottom w:val="single" w:color="auto" w:sz="6" w:space="1"/>
      </w:pBdr>
    </w:pPr>
    <w:rPr>
      <w:sz w:val="18"/>
      <w:szCs w:val="18"/>
    </w:rPr>
  </w:style>
  <w:style w:type="paragraph" w:styleId="644">
    <w:name w:val="Normal (Web)"/>
    <w:basedOn w:val="634"/>
    <w:uiPriority w:val="0"/>
    <w:qFormat/>
    <w:pPr>
      <w:jc w:val="left"/>
      <w:spacing w:beforeAutospacing="1" w:afterAutospacing="1"/>
    </w:pPr>
    <w:rPr>
      <w:rFonts w:cs="Times New Roman"/>
      <w:sz w:val="24"/>
    </w:rPr>
  </w:style>
  <w:style w:type="paragraph" w:styleId="645" w:customStyle="1">
    <w:name w:val="Fließtext"/>
    <w:basedOn w:val="634"/>
    <w:uiPriority w:val="0"/>
    <w:qFormat/>
    <w:rPr>
      <w:szCs w:val="20"/>
    </w:rPr>
  </w:style>
  <w:style w:type="character" w:styleId="646" w:customStyle="1">
    <w:name w:val="页眉 Char"/>
    <w:basedOn w:val="637"/>
    <w:link w:val="643"/>
    <w:uiPriority w:val="0"/>
    <w:qFormat/>
    <w:rPr>
      <w:rFonts w:asciiTheme="minorHAnsi" w:hAnsiTheme="minorHAnsi" w:eastAsiaTheme="minorEastAsia" w:cstheme="minorBidi"/>
      <w:sz w:val="18"/>
      <w:szCs w:val="18"/>
    </w:rPr>
  </w:style>
  <w:style w:type="character" w:styleId="647" w:customStyle="1">
    <w:name w:val="页脚 Char"/>
    <w:basedOn w:val="637"/>
    <w:link w:val="642"/>
    <w:uiPriority w:val="0"/>
    <w:qFormat/>
    <w:rPr>
      <w:rFonts w:asciiTheme="minorHAnsi" w:hAnsiTheme="minorHAnsi" w:eastAsiaTheme="minorEastAsia" w:cstheme="minorBidi"/>
      <w:sz w:val="18"/>
      <w:szCs w:val="18"/>
    </w:rPr>
  </w:style>
  <w:style w:type="paragraph" w:styleId="648" w:customStyle="1">
    <w:name w:val="plain text"/>
    <w:basedOn w:val="634"/>
    <w:uiPriority w:val="99"/>
    <w:unhideWhenUsed/>
    <w:qFormat/>
    <w:rPr>
      <w:rFonts w:hint="eastAsia" w:ascii="宋体" w:hAnsi="Courier New"/>
      <w:sz w:val="21"/>
    </w:rPr>
  </w:style>
  <w:style w:type="paragraph" w:styleId="64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650" w:customStyle="1">
    <w:name w:val="Normal_3"/>
    <w:uiPriority w:val="0"/>
    <w:qFormat/>
    <w:rPr>
      <w:rFonts w:ascii="Times New Roman" w:hAnsi="Times New Roman" w:eastAsia="Times New Roman" w:cs="Times New Roman"/>
      <w:sz w:val="24"/>
      <w:szCs w:val="24"/>
    </w:rPr>
  </w:style>
  <w:style w:type="paragraph" w:styleId="651" w:customStyle="1">
    <w:name w:val="Table Paragraph"/>
    <w:basedOn w:val="634"/>
    <w:uiPriority w:val="0"/>
    <w:qFormat/>
    <w:pPr>
      <w:jc w:val="both"/>
      <w:spacing w:after="0" w:line="360" w:lineRule="auto"/>
      <w:widowControl w:val="off"/>
    </w:pPr>
    <w:rPr>
      <w:rFonts w:cs="宋体" w:asciiTheme="minorEastAsia" w:hAnsiTheme="minorEastAsia" w:eastAsiaTheme="minorEastAsia"/>
      <w:color w:val="000000" w:themeColor="text1"/>
      <w:spacing w:val="3"/>
      <w:sz w:val="28"/>
      <w:szCs w:val="28"/>
      <w14:textFill>
        <w14:solidFill>
          <w14:schemeClr w14:val="tx1"/>
        </w14:solidFill>
      </w14:textFill>
    </w:rPr>
  </w:style>
  <w:style w:type="character" w:styleId="652" w:customStyle="1">
    <w:name w:val="font31"/>
    <w:basedOn w:val="637"/>
    <w:uiPriority w:val="0"/>
    <w:qFormat/>
    <w:rPr>
      <w:rFonts w:hint="eastAsia" w:ascii="宋体" w:hAnsi="宋体" w:eastAsia="宋体" w:cs="宋体"/>
      <w:color w:val="000000"/>
      <w:sz w:val="24"/>
      <w:szCs w:val="24"/>
      <w:u w:val="none"/>
    </w:rPr>
  </w:style>
  <w:style w:type="character" w:styleId="653" w:customStyle="1">
    <w:name w:val="font51"/>
    <w:basedOn w:val="637"/>
    <w:uiPriority w:val="0"/>
    <w:qFormat/>
    <w:rPr>
      <w:rFonts w:hint="eastAsia" w:ascii="宋体" w:hAnsi="宋体" w:eastAsia="宋体" w:cs="宋体"/>
      <w:b/>
      <w:bCs/>
      <w:color w:val="000000"/>
      <w:sz w:val="24"/>
      <w:szCs w:val="24"/>
      <w:u w:val="none"/>
    </w:rPr>
  </w:style>
  <w:style w:type="character" w:styleId="654" w:customStyle="1">
    <w:name w:val="font41"/>
    <w:basedOn w:val="637"/>
    <w:uiPriority w:val="0"/>
    <w:qFormat/>
    <w:rPr>
      <w:rFonts w:hint="eastAsia" w:ascii="宋体" w:hAnsi="宋体" w:eastAsia="宋体" w:cs="宋体"/>
      <w:color w:val="000000"/>
      <w:sz w:val="24"/>
      <w:szCs w:val="24"/>
      <w:u w:val="none"/>
    </w:rPr>
  </w:style>
  <w:style w:type="character" w:styleId="655" w:customStyle="1">
    <w:name w:val="font61"/>
    <w:basedOn w:val="637"/>
    <w:uiPriority w:val="0"/>
    <w:qFormat/>
    <w:rPr>
      <w:rFonts w:hint="eastAsia" w:ascii="宋体" w:hAnsi="宋体" w:eastAsia="宋体" w:cs="宋体"/>
      <w:b/>
      <w:bCs/>
      <w:color w:val="000000"/>
      <w:sz w:val="24"/>
      <w:szCs w:val="24"/>
      <w:u w:val="none"/>
    </w:rPr>
  </w:style>
  <w:style w:type="character" w:styleId="656" w:customStyle="1">
    <w:name w:val="font71"/>
    <w:basedOn w:val="637"/>
    <w:uiPriority w:val="0"/>
    <w:qFormat/>
    <w:rPr>
      <w:rFonts w:hint="eastAsia" w:ascii="宋体" w:hAnsi="宋体" w:eastAsia="宋体" w:cs="宋体"/>
      <w:color w:val="000000"/>
      <w:sz w:val="24"/>
      <w:szCs w:val="24"/>
      <w:u w:val="none"/>
    </w:rPr>
  </w:style>
  <w:style w:type="character" w:styleId="657" w:customStyle="1">
    <w:name w:val="font112"/>
    <w:basedOn w:val="637"/>
    <w:uiPriority w:val="0"/>
    <w:qFormat/>
    <w:rPr>
      <w:rFonts w:hint="eastAsia" w:ascii="宋体" w:hAnsi="宋体" w:eastAsia="宋体" w:cs="宋体"/>
      <w:b/>
      <w:bCs/>
      <w:color w:val="000000"/>
      <w:sz w:val="24"/>
      <w:szCs w:val="24"/>
      <w:u w:val="none"/>
    </w:rPr>
  </w:style>
  <w:style w:type="character" w:styleId="658" w:customStyle="1">
    <w:name w:val="font181"/>
    <w:basedOn w:val="637"/>
    <w:uiPriority w:val="0"/>
    <w:qFormat/>
    <w:rPr>
      <w:rFonts w:ascii="宋体" w:hAnsi="宋体" w:eastAsia="宋体" w:cs="宋体"/>
      <w:color w:val="000000"/>
      <w:sz w:val="24"/>
      <w:szCs w:val="24"/>
      <w:u w:val="none"/>
    </w:rPr>
  </w:style>
  <w:style w:type="character" w:styleId="659" w:customStyle="1">
    <w:name w:val="font191"/>
    <w:basedOn w:val="637"/>
    <w:uiPriority w:val="0"/>
    <w:qFormat/>
    <w:rPr>
      <w:rFonts w:ascii="Calibri" w:hAnsi="Calibri" w:cs="Calibri"/>
      <w:b/>
      <w:bCs/>
      <w:color w:val="000000"/>
      <w:sz w:val="24"/>
      <w:szCs w:val="24"/>
      <w:u w:val="none"/>
    </w:rPr>
  </w:style>
  <w:style w:type="character" w:styleId="660" w:customStyle="1">
    <w:name w:val="font201"/>
    <w:basedOn w:val="637"/>
    <w:uiPriority w:val="0"/>
    <w:qFormat/>
    <w:rPr>
      <w:rFonts w:hint="default" w:ascii="Calibri" w:hAnsi="Calibri" w:cs="Calibri"/>
      <w:color w:val="000000"/>
      <w:sz w:val="24"/>
      <w:szCs w:val="24"/>
      <w:u w:val="none"/>
    </w:rPr>
  </w:style>
  <w:style w:type="character" w:styleId="661" w:customStyle="1">
    <w:name w:val="font01"/>
    <w:basedOn w:val="637"/>
    <w:uiPriority w:val="0"/>
    <w:qFormat/>
    <w:rPr>
      <w:rFonts w:hint="eastAsia" w:ascii="宋体" w:hAnsi="宋体" w:eastAsia="宋体" w:cs="宋体"/>
      <w:color w:val="000000"/>
      <w:sz w:val="22"/>
      <w:szCs w:val="22"/>
      <w:u w:val="none"/>
    </w:rPr>
  </w:style>
  <w:style w:type="character" w:styleId="662" w:customStyle="1">
    <w:name w:val="font21"/>
    <w:basedOn w:val="637"/>
    <w:uiPriority w:val="0"/>
    <w:qFormat/>
    <w:rPr>
      <w:rFonts w:hint="eastAsia" w:ascii="宋体" w:hAnsi="宋体" w:eastAsia="宋体" w:cs="宋体"/>
      <w:color w:val="000000"/>
      <w:sz w:val="22"/>
      <w:szCs w:val="22"/>
      <w:u w:val="none"/>
    </w:rPr>
  </w:style>
  <w:style w:type="numbering" w:styleId="38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江苏建友兴业工程项目管理有限公司</cp:lastModifiedBy>
  <cp:revision>273</cp:revision>
  <dcterms:created xsi:type="dcterms:W3CDTF">2014-10-29T12:08:00Z</dcterms:created>
  <dcterms:modified xsi:type="dcterms:W3CDTF">2024-07-29T10:18:35Z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70F396D3445E472BBF0487C90BC69665</vt:lpwstr>
  </property>
</Properties>
</file>