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1DEC1">
      <w:pPr>
        <w:spacing w:line="360" w:lineRule="auto"/>
        <w:jc w:val="center"/>
        <w:outlineLvl w:val="0"/>
        <w:rPr>
          <w:rFonts w:hint="eastAsia"/>
          <w:b/>
          <w:sz w:val="36"/>
          <w:szCs w:val="36"/>
          <w:highlight w:val="none"/>
          <w:lang w:val="en-US" w:eastAsia="zh-CN"/>
        </w:rPr>
      </w:pPr>
      <w:r>
        <w:rPr>
          <w:rFonts w:hint="eastAsia"/>
          <w:b/>
          <w:sz w:val="36"/>
          <w:szCs w:val="36"/>
          <w:highlight w:val="none"/>
          <w:lang w:eastAsia="zh-CN"/>
        </w:rPr>
        <w:t>横塘河西路（青龙西路-龙锦路）及配套桥梁（横塘浜桥）工程-交安设施项目</w:t>
      </w:r>
      <w:r>
        <w:rPr>
          <w:rFonts w:hint="eastAsia"/>
          <w:b/>
          <w:sz w:val="36"/>
          <w:szCs w:val="36"/>
          <w:highlight w:val="none"/>
          <w:lang w:val="en-US" w:eastAsia="zh-CN"/>
        </w:rPr>
        <w:t>合同</w:t>
      </w:r>
    </w:p>
    <w:p w14:paraId="6B97E004">
      <w:pPr>
        <w:pStyle w:val="4"/>
        <w:rPr>
          <w:rFonts w:hint="eastAsia"/>
          <w:lang w:val="zh-CN"/>
        </w:rPr>
      </w:pPr>
    </w:p>
    <w:p w14:paraId="5955430F">
      <w:pPr>
        <w:pStyle w:val="5"/>
        <w:spacing w:line="360" w:lineRule="auto"/>
        <w:rPr>
          <w:rFonts w:eastAsia="宋体" w:cs="宋体"/>
          <w:color w:val="000000"/>
          <w:sz w:val="24"/>
          <w:szCs w:val="24"/>
          <w:highlight w:val="none"/>
        </w:rPr>
      </w:pPr>
      <w:r>
        <w:rPr>
          <w:rFonts w:hint="eastAsia" w:eastAsia="宋体" w:cs="宋体"/>
          <w:b/>
          <w:color w:val="000000"/>
          <w:sz w:val="24"/>
          <w:szCs w:val="24"/>
          <w:highlight w:val="none"/>
          <w:lang w:val="zh-CN"/>
        </w:rPr>
        <w:t>采购人（以下称甲</w:t>
      </w:r>
      <w:r>
        <w:rPr>
          <w:rFonts w:hint="eastAsia" w:eastAsia="宋体" w:cs="宋体"/>
          <w:b/>
          <w:color w:val="000000"/>
          <w:sz w:val="24"/>
          <w:szCs w:val="24"/>
          <w:highlight w:val="none"/>
        </w:rPr>
        <w:t>方）:</w:t>
      </w:r>
      <w:r>
        <w:rPr>
          <w:rFonts w:hint="eastAsia" w:eastAsia="宋体" w:cs="宋体"/>
          <w:b/>
          <w:color w:val="000000"/>
          <w:sz w:val="24"/>
          <w:szCs w:val="24"/>
          <w:highlight w:val="none"/>
          <w:u w:val="single"/>
          <w:lang w:eastAsia="zh-CN"/>
        </w:rPr>
        <w:t>常州市天宁区青龙街道办事处</w:t>
      </w:r>
      <w:r>
        <w:rPr>
          <w:rFonts w:hint="eastAsia" w:eastAsia="宋体" w:cs="宋体"/>
          <w:b/>
          <w:color w:val="000000"/>
          <w:sz w:val="24"/>
          <w:szCs w:val="24"/>
          <w:highlight w:val="none"/>
        </w:rPr>
        <w:t xml:space="preserve">  </w:t>
      </w:r>
      <w:r>
        <w:rPr>
          <w:rFonts w:hint="eastAsia" w:eastAsia="宋体" w:cs="宋体"/>
          <w:color w:val="000000"/>
          <w:sz w:val="24"/>
          <w:szCs w:val="24"/>
          <w:highlight w:val="none"/>
        </w:rPr>
        <w:t>合同编号：</w:t>
      </w:r>
    </w:p>
    <w:p w14:paraId="6BE5E902">
      <w:pPr>
        <w:pStyle w:val="5"/>
        <w:spacing w:line="360" w:lineRule="auto"/>
        <w:rPr>
          <w:rFonts w:eastAsia="宋体" w:cs="宋体"/>
          <w:color w:val="000000"/>
          <w:sz w:val="24"/>
          <w:szCs w:val="24"/>
          <w:highlight w:val="none"/>
          <w:u w:val="single"/>
        </w:rPr>
      </w:pPr>
      <w:r>
        <w:rPr>
          <w:rFonts w:hint="eastAsia" w:eastAsia="宋体" w:cs="宋体"/>
          <w:b/>
          <w:color w:val="000000"/>
          <w:sz w:val="24"/>
          <w:szCs w:val="24"/>
          <w:highlight w:val="none"/>
        </w:rPr>
        <w:t>供应商（</w:t>
      </w:r>
      <w:r>
        <w:rPr>
          <w:rFonts w:hint="eastAsia" w:eastAsia="宋体" w:cs="宋体"/>
          <w:b/>
          <w:color w:val="000000"/>
          <w:sz w:val="24"/>
          <w:szCs w:val="24"/>
          <w:highlight w:val="none"/>
          <w:lang w:val="zh-CN"/>
        </w:rPr>
        <w:t>以下称</w:t>
      </w:r>
      <w:r>
        <w:rPr>
          <w:rFonts w:hint="eastAsia" w:eastAsia="宋体" w:cs="宋体"/>
          <w:b/>
          <w:color w:val="000000"/>
          <w:sz w:val="24"/>
          <w:szCs w:val="24"/>
          <w:highlight w:val="none"/>
        </w:rPr>
        <w:t xml:space="preserve">乙方）: </w:t>
      </w:r>
      <w:r>
        <w:rPr>
          <w:rFonts w:hint="eastAsia" w:eastAsia="宋体" w:cs="宋体"/>
          <w:b/>
          <w:color w:val="000000"/>
          <w:sz w:val="24"/>
          <w:szCs w:val="24"/>
          <w:highlight w:val="none"/>
          <w:u w:val="single"/>
          <w:lang w:val="en-US" w:eastAsia="zh-CN"/>
        </w:rPr>
        <w:t>常州市交通设施有限公司</w:t>
      </w:r>
      <w:r>
        <w:rPr>
          <w:rFonts w:hint="eastAsia" w:cs="宋体"/>
          <w:b/>
          <w:color w:val="000000"/>
          <w:sz w:val="24"/>
          <w:szCs w:val="24"/>
          <w:highlight w:val="none"/>
          <w:lang w:val="en-US" w:eastAsia="zh-CN"/>
        </w:rPr>
        <w:t xml:space="preserve">     </w:t>
      </w:r>
      <w:r>
        <w:rPr>
          <w:rFonts w:hint="eastAsia" w:eastAsia="宋体" w:cs="宋体"/>
          <w:color w:val="000000"/>
          <w:sz w:val="24"/>
          <w:szCs w:val="24"/>
          <w:highlight w:val="none"/>
        </w:rPr>
        <w:t>签订地点：</w:t>
      </w:r>
    </w:p>
    <w:p w14:paraId="0E79E7D4">
      <w:pPr>
        <w:pStyle w:val="6"/>
        <w:spacing w:line="360" w:lineRule="auto"/>
        <w:jc w:val="right"/>
        <w:rPr>
          <w:rFonts w:hAnsi="宋体" w:cs="宋体"/>
          <w:b/>
          <w:color w:val="000000"/>
          <w:sz w:val="24"/>
          <w:szCs w:val="24"/>
          <w:highlight w:val="none"/>
        </w:rPr>
      </w:pPr>
      <w:r>
        <w:rPr>
          <w:rFonts w:hint="eastAsia" w:hAnsi="宋体" w:cs="宋体"/>
          <w:color w:val="000000"/>
          <w:sz w:val="24"/>
          <w:szCs w:val="24"/>
          <w:highlight w:val="none"/>
        </w:rPr>
        <w:t>合同时间</w:t>
      </w:r>
      <w:r>
        <w:rPr>
          <w:rFonts w:hint="eastAsia" w:cs="宋体"/>
          <w:color w:val="000000"/>
          <w:sz w:val="24"/>
          <w:szCs w:val="24"/>
          <w:highlight w:val="none"/>
        </w:rPr>
        <w:t>：</w:t>
      </w:r>
      <w:r>
        <w:rPr>
          <w:rFonts w:hint="eastAsia" w:hAnsi="宋体" w:cs="宋体"/>
          <w:color w:val="000000"/>
          <w:sz w:val="24"/>
          <w:szCs w:val="24"/>
          <w:highlight w:val="none"/>
          <w:u w:val="single"/>
        </w:rPr>
        <w:t xml:space="preserve"> </w:t>
      </w:r>
      <w:r>
        <w:rPr>
          <w:rFonts w:hint="eastAsia" w:hAnsi="宋体" w:cs="宋体"/>
          <w:color w:val="000000"/>
          <w:sz w:val="24"/>
          <w:szCs w:val="24"/>
          <w:highlight w:val="none"/>
          <w:u w:val="single"/>
          <w:lang w:val="en-US" w:eastAsia="zh-CN"/>
        </w:rPr>
        <w:t>2025</w:t>
      </w:r>
      <w:r>
        <w:rPr>
          <w:rFonts w:hint="eastAsia" w:hAnsi="宋体" w:cs="宋体"/>
          <w:color w:val="000000"/>
          <w:sz w:val="24"/>
          <w:szCs w:val="24"/>
          <w:highlight w:val="none"/>
          <w:u w:val="single"/>
        </w:rPr>
        <w:t xml:space="preserve">  年   月   日</w:t>
      </w:r>
    </w:p>
    <w:p w14:paraId="4819CCA9">
      <w:pPr>
        <w:pStyle w:val="5"/>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甲乙双方依据《中华人民共和国民法典》以及有关法律、法规的规定，经协商一致，订立本合同，以便共同遵守。</w:t>
      </w:r>
    </w:p>
    <w:p w14:paraId="4C97C60B">
      <w:pPr>
        <w:pStyle w:val="5"/>
        <w:spacing w:line="360" w:lineRule="auto"/>
        <w:ind w:firstLine="487"/>
        <w:rPr>
          <w:rFonts w:eastAsia="宋体" w:cs="宋体"/>
          <w:b/>
          <w:color w:val="000000"/>
          <w:sz w:val="24"/>
          <w:szCs w:val="24"/>
          <w:highlight w:val="none"/>
        </w:rPr>
      </w:pPr>
      <w:r>
        <w:rPr>
          <w:rFonts w:hint="eastAsia" w:eastAsia="宋体" w:cs="宋体"/>
          <w:b/>
          <w:color w:val="000000"/>
          <w:sz w:val="24"/>
          <w:szCs w:val="24"/>
          <w:highlight w:val="none"/>
        </w:rPr>
        <w:t>第一条 合同标的</w:t>
      </w:r>
    </w:p>
    <w:p w14:paraId="570DC3E5">
      <w:pPr>
        <w:widowControl/>
        <w:spacing w:line="360" w:lineRule="auto"/>
        <w:ind w:firstLine="484"/>
        <w:jc w:val="left"/>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乙方根据甲方需求提供下列服务：</w:t>
      </w:r>
      <w:r>
        <w:rPr>
          <w:rFonts w:hint="eastAsia" w:ascii="宋体" w:hAnsi="宋体" w:cs="宋体"/>
          <w:color w:val="000000"/>
          <w:sz w:val="24"/>
          <w:szCs w:val="24"/>
          <w:highlight w:val="none"/>
          <w:u w:val="single"/>
          <w:lang w:val="zh-CN" w:eastAsia="zh-CN"/>
        </w:rPr>
        <w:t>横塘河西路（青龙西路-龙锦路）及配套桥梁（横塘浜桥）工程-交安设施项目</w:t>
      </w:r>
      <w:r>
        <w:rPr>
          <w:rFonts w:hint="eastAsia" w:ascii="宋体" w:hAnsi="宋体" w:cs="宋体"/>
          <w:color w:val="000000"/>
          <w:sz w:val="24"/>
          <w:szCs w:val="24"/>
          <w:highlight w:val="none"/>
          <w:lang w:val="zh-CN"/>
        </w:rPr>
        <w:t>，</w:t>
      </w:r>
      <w:r>
        <w:rPr>
          <w:rFonts w:hint="eastAsia" w:ascii="宋体" w:hAnsi="宋体" w:cs="宋体"/>
          <w:sz w:val="24"/>
          <w:szCs w:val="24"/>
          <w:highlight w:val="none"/>
        </w:rPr>
        <w:t>系指根据合同规定乙方须承担与服务有关的所有辅助服务</w:t>
      </w:r>
      <w:r>
        <w:rPr>
          <w:rFonts w:hint="eastAsia" w:ascii="宋体" w:hAnsi="宋体" w:cs="宋体"/>
          <w:color w:val="000000"/>
          <w:sz w:val="24"/>
          <w:szCs w:val="24"/>
          <w:highlight w:val="none"/>
          <w:lang w:val="zh-CN"/>
        </w:rPr>
        <w:t>。</w:t>
      </w:r>
    </w:p>
    <w:p w14:paraId="01952EE3">
      <w:pPr>
        <w:pStyle w:val="5"/>
        <w:spacing w:line="360" w:lineRule="auto"/>
        <w:ind w:firstLine="487"/>
        <w:rPr>
          <w:rFonts w:eastAsia="宋体" w:cs="宋体"/>
          <w:b/>
          <w:color w:val="000000"/>
          <w:sz w:val="24"/>
          <w:szCs w:val="24"/>
          <w:highlight w:val="none"/>
        </w:rPr>
      </w:pPr>
      <w:r>
        <w:rPr>
          <w:rFonts w:hint="eastAsia" w:eastAsia="宋体" w:cs="宋体"/>
          <w:b/>
          <w:color w:val="000000"/>
          <w:sz w:val="24"/>
          <w:szCs w:val="24"/>
          <w:highlight w:val="none"/>
        </w:rPr>
        <w:t>第二条 合同价格</w:t>
      </w:r>
    </w:p>
    <w:p w14:paraId="4D59A31C">
      <w:pPr>
        <w:pStyle w:val="5"/>
        <w:spacing w:line="360" w:lineRule="auto"/>
        <w:ind w:firstLine="487"/>
        <w:jc w:val="left"/>
        <w:rPr>
          <w:rFonts w:eastAsia="宋体" w:cs="宋体"/>
          <w:b/>
          <w:color w:val="000000"/>
          <w:sz w:val="24"/>
          <w:szCs w:val="24"/>
          <w:highlight w:val="none"/>
        </w:rPr>
      </w:pPr>
      <w:r>
        <w:rPr>
          <w:rFonts w:hint="eastAsia" w:eastAsia="宋体" w:cs="宋体"/>
          <w:b/>
          <w:color w:val="000000"/>
          <w:sz w:val="24"/>
          <w:szCs w:val="24"/>
          <w:highlight w:val="none"/>
        </w:rPr>
        <w:t>签约合同总价（人民币，下同）：</w:t>
      </w:r>
      <w:r>
        <w:rPr>
          <w:rFonts w:hint="eastAsia" w:eastAsia="宋体" w:cs="宋体"/>
          <w:b/>
          <w:color w:val="000000"/>
          <w:sz w:val="24"/>
          <w:szCs w:val="24"/>
          <w:highlight w:val="none"/>
          <w:u w:val="single"/>
        </w:rPr>
        <w:t xml:space="preserve"> </w:t>
      </w:r>
      <w:r>
        <w:rPr>
          <w:rFonts w:hint="eastAsia" w:cs="宋体"/>
          <w:b/>
          <w:color w:val="000000"/>
          <w:sz w:val="24"/>
          <w:szCs w:val="24"/>
          <w:highlight w:val="none"/>
          <w:u w:val="single"/>
          <w:lang w:val="en-US" w:eastAsia="zh-CN"/>
        </w:rPr>
        <w:t>柒拾陆万伍仟元整。</w:t>
      </w:r>
      <w:r>
        <w:rPr>
          <w:rFonts w:hint="eastAsia" w:eastAsia="宋体" w:cs="宋体"/>
          <w:b/>
          <w:color w:val="000000"/>
          <w:sz w:val="24"/>
          <w:szCs w:val="24"/>
          <w:highlight w:val="none"/>
          <w:u w:val="single"/>
        </w:rPr>
        <w:t xml:space="preserve"> </w:t>
      </w:r>
      <w:r>
        <w:rPr>
          <w:rFonts w:hint="eastAsia" w:eastAsia="宋体" w:cs="宋体"/>
          <w:b/>
          <w:color w:val="000000"/>
          <w:sz w:val="24"/>
          <w:szCs w:val="24"/>
          <w:highlight w:val="none"/>
        </w:rPr>
        <w:t xml:space="preserve">（小写 </w:t>
      </w:r>
      <w:r>
        <w:rPr>
          <w:rFonts w:hint="eastAsia" w:cs="宋体"/>
          <w:b/>
          <w:color w:val="000000"/>
          <w:sz w:val="24"/>
          <w:szCs w:val="24"/>
          <w:highlight w:val="none"/>
          <w:lang w:val="en-US" w:eastAsia="zh-CN"/>
        </w:rPr>
        <w:t>765000.00</w:t>
      </w:r>
      <w:r>
        <w:rPr>
          <w:rFonts w:hint="eastAsia" w:eastAsia="宋体" w:cs="宋体"/>
          <w:b/>
          <w:color w:val="000000"/>
          <w:sz w:val="24"/>
          <w:szCs w:val="24"/>
          <w:highlight w:val="none"/>
        </w:rPr>
        <w:t xml:space="preserve"> ） </w:t>
      </w:r>
    </w:p>
    <w:p w14:paraId="691C3A25">
      <w:pPr>
        <w:pStyle w:val="5"/>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本合同总价包括竞争性磋商文件所确定的采购范围相应服务的提供、人员（包括工资和补贴）、办公场所及设施、保险、劳保、管理、各种税费、利润、税金、政策性文件规定及合同包含的所有风险、责任等各项应有费用，以及为完成该项服务项目所涉及到的一切相关费用，采购人不再支付其他任何费用。</w:t>
      </w:r>
    </w:p>
    <w:p w14:paraId="1592B192">
      <w:pPr>
        <w:pStyle w:val="5"/>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本合同总价款还包含乙方应当提供的伴随服务/售后服务费用。</w:t>
      </w:r>
    </w:p>
    <w:p w14:paraId="7A5A9CB3">
      <w:pPr>
        <w:pStyle w:val="5"/>
        <w:spacing w:line="360" w:lineRule="auto"/>
        <w:ind w:firstLine="482"/>
        <w:rPr>
          <w:rFonts w:eastAsia="宋体" w:cs="宋体"/>
          <w:b/>
          <w:color w:val="000000"/>
          <w:sz w:val="24"/>
          <w:szCs w:val="24"/>
          <w:highlight w:val="none"/>
        </w:rPr>
      </w:pPr>
      <w:r>
        <w:rPr>
          <w:rFonts w:hint="eastAsia" w:eastAsia="宋体" w:cs="宋体"/>
          <w:b/>
          <w:color w:val="000000"/>
          <w:sz w:val="24"/>
          <w:szCs w:val="24"/>
          <w:highlight w:val="none"/>
        </w:rPr>
        <w:t>第三条 合同履行期限</w:t>
      </w:r>
    </w:p>
    <w:p w14:paraId="2A3A95C5">
      <w:pPr>
        <w:spacing w:line="360" w:lineRule="auto"/>
        <w:ind w:firstLine="480"/>
        <w:rPr>
          <w:rFonts w:ascii="宋体" w:hAnsi="宋体" w:cs="宋体"/>
          <w:color w:val="000000"/>
          <w:sz w:val="24"/>
          <w:szCs w:val="24"/>
          <w:highlight w:val="none"/>
        </w:rPr>
      </w:pPr>
      <w:r>
        <w:rPr>
          <w:rFonts w:hint="eastAsia" w:ascii="宋体" w:hAnsi="宋体" w:cs="宋体"/>
          <w:color w:val="000000"/>
          <w:sz w:val="24"/>
          <w:szCs w:val="24"/>
          <w:highlight w:val="none"/>
        </w:rPr>
        <w:t>本项目服务期限为</w:t>
      </w:r>
      <w:r>
        <w:rPr>
          <w:rFonts w:hint="eastAsia" w:ascii="宋体" w:hAnsi="宋体" w:cs="宋体"/>
          <w:color w:val="000000"/>
          <w:sz w:val="24"/>
          <w:szCs w:val="24"/>
          <w:highlight w:val="none"/>
          <w:lang w:val="en-US" w:eastAsia="zh-CN"/>
        </w:rPr>
        <w:t>60天</w:t>
      </w:r>
      <w:r>
        <w:rPr>
          <w:rFonts w:hint="eastAsia" w:ascii="宋体" w:hAnsi="宋体" w:cs="宋体"/>
          <w:color w:val="000000"/>
          <w:sz w:val="24"/>
          <w:szCs w:val="24"/>
          <w:highlight w:val="none"/>
        </w:rPr>
        <w:t>（   年  月   日-   年  月  日）。</w:t>
      </w:r>
    </w:p>
    <w:p w14:paraId="2C40FBA3">
      <w:pPr>
        <w:pStyle w:val="5"/>
        <w:spacing w:line="360" w:lineRule="auto"/>
        <w:ind w:firstLine="482"/>
        <w:rPr>
          <w:rFonts w:eastAsia="宋体" w:cs="宋体"/>
          <w:b/>
          <w:color w:val="000000"/>
          <w:sz w:val="24"/>
          <w:szCs w:val="24"/>
          <w:highlight w:val="none"/>
        </w:rPr>
      </w:pPr>
      <w:r>
        <w:rPr>
          <w:rFonts w:hint="eastAsia" w:eastAsia="宋体" w:cs="宋体"/>
          <w:b/>
          <w:color w:val="000000"/>
          <w:sz w:val="24"/>
          <w:szCs w:val="24"/>
          <w:highlight w:val="none"/>
        </w:rPr>
        <w:t>第四条 组成本合同的有关文件</w:t>
      </w:r>
    </w:p>
    <w:p w14:paraId="25324849">
      <w:pPr>
        <w:pStyle w:val="5"/>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下列与本次采购活动有关的文件及有关附件是本合同不可分割的组成部分，与本合同具有同等法律效力，这些文件包括但不限于：</w:t>
      </w:r>
    </w:p>
    <w:p w14:paraId="68DE0E96">
      <w:pPr>
        <w:pStyle w:val="5"/>
        <w:numPr>
          <w:ilvl w:val="0"/>
          <w:numId w:val="1"/>
        </w:numPr>
        <w:spacing w:line="360" w:lineRule="auto"/>
        <w:ind w:firstLine="484"/>
        <w:rPr>
          <w:rFonts w:hint="eastAsia" w:eastAsia="宋体" w:cs="宋体"/>
          <w:color w:val="000000"/>
          <w:sz w:val="24"/>
          <w:szCs w:val="24"/>
          <w:highlight w:val="none"/>
        </w:rPr>
      </w:pPr>
      <w:r>
        <w:rPr>
          <w:rFonts w:hint="eastAsia" w:eastAsia="宋体" w:cs="宋体"/>
          <w:color w:val="000000"/>
          <w:sz w:val="24"/>
          <w:szCs w:val="24"/>
          <w:highlight w:val="none"/>
        </w:rPr>
        <w:t>竞争性磋商文件（编号：</w:t>
      </w:r>
      <w:r>
        <w:rPr>
          <w:rFonts w:hint="eastAsia" w:eastAsia="宋体" w:cs="宋体"/>
          <w:color w:val="000000"/>
          <w:sz w:val="24"/>
          <w:szCs w:val="24"/>
          <w:highlight w:val="none"/>
          <w:lang w:eastAsia="zh-CN"/>
        </w:rPr>
        <w:t>JSZC-320402-YYYY-C2025-0004</w:t>
      </w:r>
      <w:r>
        <w:rPr>
          <w:rFonts w:hint="eastAsia" w:eastAsia="宋体" w:cs="宋体"/>
          <w:color w:val="000000"/>
          <w:sz w:val="24"/>
          <w:szCs w:val="24"/>
          <w:highlight w:val="none"/>
        </w:rPr>
        <w:t xml:space="preserve">）         </w:t>
      </w:r>
    </w:p>
    <w:p w14:paraId="5AAAEA7C">
      <w:pPr>
        <w:pStyle w:val="5"/>
        <w:numPr>
          <w:ilvl w:val="0"/>
          <w:numId w:val="1"/>
        </w:numPr>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 xml:space="preserve">乙方提供的磋商响应文件； </w:t>
      </w:r>
    </w:p>
    <w:p w14:paraId="4298F095">
      <w:pPr>
        <w:pStyle w:val="5"/>
        <w:spacing w:line="360" w:lineRule="auto"/>
        <w:ind w:firstLine="484"/>
        <w:rPr>
          <w:rFonts w:eastAsia="宋体" w:cs="宋体"/>
          <w:color w:val="000000"/>
          <w:sz w:val="24"/>
          <w:szCs w:val="24"/>
          <w:highlight w:val="none"/>
        </w:rPr>
      </w:pPr>
      <w:r>
        <w:rPr>
          <w:rFonts w:hint="eastAsia" w:eastAsia="宋体" w:cs="宋体"/>
          <w:color w:val="000000"/>
          <w:sz w:val="24"/>
          <w:szCs w:val="24"/>
          <w:highlight w:val="none"/>
        </w:rPr>
        <w:t>（3）成交通知书；                   （4）甲乙双方商定的其他文件等。</w:t>
      </w:r>
    </w:p>
    <w:p w14:paraId="56D667BF">
      <w:pPr>
        <w:spacing w:line="360" w:lineRule="auto"/>
        <w:ind w:firstLine="487"/>
        <w:rPr>
          <w:rFonts w:ascii="宋体" w:hAnsi="宋体" w:cs="宋体"/>
          <w:b/>
          <w:color w:val="000000"/>
          <w:sz w:val="24"/>
          <w:szCs w:val="24"/>
          <w:highlight w:val="none"/>
        </w:rPr>
      </w:pPr>
      <w:r>
        <w:rPr>
          <w:rFonts w:hint="eastAsia" w:ascii="宋体" w:hAnsi="宋体" w:cs="宋体"/>
          <w:b/>
          <w:color w:val="000000"/>
          <w:sz w:val="24"/>
          <w:szCs w:val="24"/>
          <w:highlight w:val="none"/>
        </w:rPr>
        <w:t>第五条 合同款结算及支付</w:t>
      </w:r>
    </w:p>
    <w:p w14:paraId="1E312CD2">
      <w:pPr>
        <w:spacing w:line="360" w:lineRule="auto"/>
        <w:ind w:firstLine="484"/>
        <w:rPr>
          <w:rFonts w:ascii="宋体" w:hAnsi="宋体" w:cs="宋体"/>
          <w:color w:val="000000"/>
          <w:sz w:val="24"/>
          <w:szCs w:val="24"/>
          <w:highlight w:val="none"/>
        </w:rPr>
      </w:pPr>
      <w:r>
        <w:rPr>
          <w:rFonts w:hint="eastAsia" w:ascii="宋体" w:hAnsi="宋体" w:cs="宋体"/>
          <w:color w:val="000000"/>
          <w:sz w:val="24"/>
          <w:szCs w:val="24"/>
          <w:highlight w:val="none"/>
        </w:rPr>
        <w:t>1.本合同项下所有款项均以人民币支付。</w:t>
      </w:r>
    </w:p>
    <w:p w14:paraId="2ACA2176">
      <w:pPr>
        <w:spacing w:line="360" w:lineRule="auto"/>
        <w:ind w:firstLine="484"/>
        <w:rPr>
          <w:rFonts w:ascii="宋体" w:hAnsi="宋体" w:cs="宋体"/>
          <w:color w:val="000000"/>
          <w:sz w:val="24"/>
          <w:szCs w:val="24"/>
          <w:highlight w:val="none"/>
        </w:rPr>
      </w:pPr>
      <w:r>
        <w:rPr>
          <w:rFonts w:hint="eastAsia" w:ascii="宋体" w:hAnsi="宋体" w:cs="宋体"/>
          <w:color w:val="000000"/>
          <w:sz w:val="24"/>
          <w:szCs w:val="24"/>
          <w:highlight w:val="none"/>
        </w:rPr>
        <w:t>2.本合同项下的采购资金由甲方自行支付，乙方向甲方开具发票</w:t>
      </w:r>
      <w:r>
        <w:rPr>
          <w:rFonts w:hint="eastAsia" w:ascii="宋体" w:hAnsi="宋体" w:cs="宋体"/>
          <w:color w:val="000000"/>
          <w:sz w:val="24"/>
          <w:szCs w:val="24"/>
          <w:highlight w:val="none"/>
          <w:lang w:val="en-US" w:eastAsia="zh-CN"/>
        </w:rPr>
        <w:t>,税率为</w:t>
      </w:r>
      <w:r>
        <w:rPr>
          <w:rFonts w:hint="eastAsia" w:ascii="宋体" w:hAnsi="宋体" w:cs="宋体"/>
          <w:color w:val="000000"/>
          <w:sz w:val="24"/>
          <w:szCs w:val="24"/>
          <w:highlight w:val="none"/>
          <w:u w:val="single"/>
          <w:lang w:val="en-US" w:eastAsia="zh-CN"/>
        </w:rPr>
        <w:t>9%</w:t>
      </w:r>
      <w:r>
        <w:rPr>
          <w:rFonts w:hint="eastAsia" w:ascii="宋体" w:hAnsi="宋体" w:cs="宋体"/>
          <w:color w:val="000000"/>
          <w:sz w:val="24"/>
          <w:szCs w:val="24"/>
          <w:highlight w:val="none"/>
        </w:rPr>
        <w:t>。</w:t>
      </w:r>
    </w:p>
    <w:p w14:paraId="08296F23">
      <w:pPr>
        <w:spacing w:line="360" w:lineRule="auto"/>
        <w:ind w:firstLine="487"/>
        <w:rPr>
          <w:rFonts w:ascii="宋体" w:hAnsi="宋体" w:cs="宋体"/>
          <w:b/>
          <w:bCs/>
          <w:color w:val="000000"/>
          <w:sz w:val="24"/>
          <w:szCs w:val="24"/>
          <w:highlight w:val="none"/>
        </w:rPr>
      </w:pPr>
      <w:r>
        <w:rPr>
          <w:rFonts w:hint="eastAsia" w:ascii="宋体" w:hAnsi="宋体" w:cs="宋体"/>
          <w:b/>
          <w:bCs/>
          <w:color w:val="000000"/>
          <w:sz w:val="24"/>
          <w:szCs w:val="24"/>
          <w:highlight w:val="none"/>
        </w:rPr>
        <w:t>3.结算原则：固定</w:t>
      </w:r>
      <w:r>
        <w:rPr>
          <w:rFonts w:hint="eastAsia" w:ascii="宋体" w:hAnsi="宋体" w:cs="宋体"/>
          <w:b/>
          <w:bCs/>
          <w:color w:val="000000"/>
          <w:sz w:val="24"/>
          <w:szCs w:val="24"/>
          <w:highlight w:val="none"/>
          <w:lang w:val="en-US" w:eastAsia="zh-CN"/>
        </w:rPr>
        <w:t>单价</w:t>
      </w:r>
      <w:r>
        <w:rPr>
          <w:rFonts w:hint="eastAsia" w:ascii="宋体" w:hAnsi="宋体" w:cs="宋体"/>
          <w:b/>
          <w:bCs/>
          <w:color w:val="000000"/>
          <w:sz w:val="24"/>
          <w:szCs w:val="24"/>
          <w:highlight w:val="none"/>
        </w:rPr>
        <w:t>。</w:t>
      </w:r>
    </w:p>
    <w:p w14:paraId="3877CA20">
      <w:pPr>
        <w:keepNext w:val="0"/>
        <w:keepLines w:val="0"/>
        <w:pageBreakBefore w:val="0"/>
        <w:widowControl w:val="0"/>
        <w:spacing w:line="360" w:lineRule="auto"/>
        <w:ind w:firstLine="480"/>
        <w:rPr>
          <w:rFonts w:hint="eastAsia" w:ascii="宋体" w:hAnsi="宋体" w:eastAsia="宋体" w:cs="宋体"/>
          <w:bCs/>
          <w:color w:val="auto"/>
          <w:sz w:val="24"/>
          <w:szCs w:val="24"/>
          <w:highlight w:val="none"/>
          <w:u w:val="none"/>
          <w:shd w:val="clear" w:color="auto" w:fill="auto"/>
          <w:lang w:eastAsia="zh-CN"/>
        </w:rPr>
      </w:pPr>
      <w:r>
        <w:rPr>
          <w:rFonts w:hint="eastAsia" w:ascii="宋体" w:hAnsi="宋体" w:cs="宋体"/>
          <w:b/>
          <w:bCs/>
          <w:color w:val="000000"/>
          <w:sz w:val="24"/>
          <w:szCs w:val="24"/>
          <w:highlight w:val="none"/>
        </w:rPr>
        <w:t>4.付款方式：</w:t>
      </w:r>
      <w:r>
        <w:rPr>
          <w:rFonts w:hint="eastAsia" w:ascii="宋体" w:hAnsi="宋体" w:eastAsia="宋体" w:cs="宋体"/>
          <w:color w:val="000000"/>
          <w:sz w:val="24"/>
          <w:szCs w:val="24"/>
          <w:highlight w:val="none"/>
          <w:u w:val="none"/>
          <w:lang w:val="en-US" w:eastAsia="zh-CN"/>
        </w:rPr>
        <w:t>合同签订后支付合同总金额的10%作为合同预付款；服务完成并验收合格后付至合同价款的90%；</w:t>
      </w:r>
      <w:r>
        <w:rPr>
          <w:rFonts w:hint="eastAsia" w:ascii="宋体" w:hAnsi="宋体" w:eastAsia="宋体" w:cs="宋体"/>
          <w:bCs/>
          <w:color w:val="auto"/>
          <w:sz w:val="24"/>
          <w:szCs w:val="24"/>
          <w:highlight w:val="none"/>
          <w:u w:val="none"/>
          <w:shd w:val="clear" w:color="auto" w:fill="auto"/>
          <w:lang w:eastAsia="zh-CN"/>
        </w:rPr>
        <w:t>满足合同约定条件的，服务完成并验收合格之日起60日付清余款（无息）。</w:t>
      </w:r>
    </w:p>
    <w:p w14:paraId="183C1352">
      <w:pPr>
        <w:keepNext w:val="0"/>
        <w:keepLines w:val="0"/>
        <w:pageBreakBefore w:val="0"/>
        <w:widowControl w:val="0"/>
        <w:spacing w:line="360" w:lineRule="auto"/>
        <w:ind w:firstLine="480"/>
        <w:rPr>
          <w:rFonts w:hint="default"/>
          <w:lang w:val="en-US"/>
        </w:rPr>
      </w:pPr>
      <w:r>
        <w:rPr>
          <w:rFonts w:hint="eastAsia" w:ascii="宋体" w:hAnsi="宋体" w:cs="宋体"/>
          <w:b/>
          <w:bCs/>
          <w:color w:val="000000"/>
          <w:sz w:val="24"/>
          <w:szCs w:val="24"/>
          <w:highlight w:val="none"/>
          <w:lang w:val="en-US" w:eastAsia="zh-CN"/>
        </w:rPr>
        <w:t>5.验收标准：</w:t>
      </w:r>
      <w:r>
        <w:rPr>
          <w:rFonts w:hint="eastAsia" w:ascii="宋体" w:hAnsi="宋体" w:cs="宋体"/>
          <w:b w:val="0"/>
          <w:bCs w:val="0"/>
          <w:color w:val="000000"/>
          <w:sz w:val="24"/>
          <w:szCs w:val="24"/>
          <w:highlight w:val="none"/>
          <w:lang w:val="en-US" w:eastAsia="zh-CN"/>
        </w:rPr>
        <w:t>本项目质量要求必须达到：交工验收的质量评定：合格；竣工验收的质量评定：合格，并符合《江苏省政府采购履约验收管理办法》要求。</w:t>
      </w:r>
    </w:p>
    <w:p w14:paraId="59DCD87D">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第六条 违约责任</w:t>
      </w:r>
    </w:p>
    <w:p w14:paraId="196CD665">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1.如乙方不能按约定进行服务的，甲方有权解除合同，同时有权要求乙方按照合同总价5%的标准支付违约金，解除合同的通知自发出之日生效。</w:t>
      </w:r>
    </w:p>
    <w:p w14:paraId="3745FEA8">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2.甲方未按合同规定的期限向乙方支付货款的，每逾期1天甲方向乙方偿付欠款总额的5‰滞纳金，但累计滞纳金总额不超过欠款总额的5% 。</w:t>
      </w:r>
    </w:p>
    <w:p w14:paraId="3A8D72B0">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3.乙方未按本合同的规定和“服务承诺”提供伴随服务的，甲方有权提前解除本合同，同时乙方应按合同总价款的5%向甲方承担违约责任。</w:t>
      </w:r>
    </w:p>
    <w:p w14:paraId="292139D9">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4.乙方在承担上述一项或多项违约责任后，仍应继续履行合同规定的义务（甲方解除合同的除外）。甲方未能及时追究乙方的任何一项违约责任并不表明甲方放弃追究乙方该项或其他违约责任。</w:t>
      </w:r>
    </w:p>
    <w:p w14:paraId="523E8050">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5.乙方属虚假承诺，或是由于乙方的过错造成合同无法继续履行的，应向甲方支付不少于合同总价30%违约金，若该违约金不足以弥补甲方损失，则应当赔偿甲方所有损失。</w:t>
      </w:r>
    </w:p>
    <w:p w14:paraId="5EA60C0F">
      <w:pPr>
        <w:spacing w:line="360" w:lineRule="auto"/>
        <w:ind w:firstLine="480"/>
        <w:rPr>
          <w:rFonts w:hint="eastAsia" w:ascii="宋体" w:hAnsi="宋体" w:cs="宋体"/>
          <w:sz w:val="24"/>
          <w:szCs w:val="24"/>
          <w:highlight w:val="none"/>
        </w:rPr>
      </w:pPr>
      <w:r>
        <w:rPr>
          <w:rFonts w:hint="eastAsia" w:ascii="宋体" w:hAnsi="宋体" w:cs="宋体"/>
          <w:sz w:val="24"/>
          <w:szCs w:val="24"/>
          <w:highlight w:val="none"/>
        </w:rPr>
        <w:t>6.其他未尽事宜，以《民法典》等有关法律法规规定为准，无相关规定的，双方协商解决。</w:t>
      </w:r>
    </w:p>
    <w:p w14:paraId="4BA80C96">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第七条 合同的变更和终止</w:t>
      </w:r>
    </w:p>
    <w:p w14:paraId="56260234">
      <w:pPr>
        <w:spacing w:line="360" w:lineRule="auto"/>
        <w:ind w:firstLine="484"/>
        <w:rPr>
          <w:rFonts w:ascii="宋体" w:hAnsi="宋体" w:cs="宋体"/>
          <w:sz w:val="24"/>
          <w:szCs w:val="24"/>
          <w:highlight w:val="none"/>
        </w:rPr>
      </w:pPr>
      <w:r>
        <w:rPr>
          <w:rFonts w:hint="eastAsia" w:ascii="宋体" w:hAnsi="宋体" w:cs="宋体"/>
          <w:sz w:val="24"/>
          <w:szCs w:val="24"/>
          <w:highlight w:val="none"/>
        </w:rPr>
        <w:t>1.本合同一经签订，甲乙双方不得擅自变更、中止或终止合同。</w:t>
      </w:r>
    </w:p>
    <w:p w14:paraId="55CCEE21">
      <w:pPr>
        <w:spacing w:line="360" w:lineRule="auto"/>
        <w:ind w:firstLine="484"/>
        <w:rPr>
          <w:rFonts w:ascii="宋体" w:hAnsi="宋体" w:cs="宋体"/>
          <w:sz w:val="24"/>
          <w:szCs w:val="24"/>
          <w:highlight w:val="none"/>
        </w:rPr>
      </w:pPr>
      <w:r>
        <w:rPr>
          <w:rFonts w:hint="eastAsia" w:ascii="宋体" w:hAnsi="宋体" w:cs="宋体"/>
          <w:sz w:val="24"/>
          <w:szCs w:val="24"/>
          <w:highlight w:val="none"/>
        </w:rPr>
        <w:t>2.除发生法律规定的不能预见、不能避免并不能克服的客观情况外，甲乙双方不得放弃或拒绝履行合同。</w:t>
      </w:r>
    </w:p>
    <w:p w14:paraId="003B3CEE">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第八条 合同的转让</w:t>
      </w:r>
    </w:p>
    <w:p w14:paraId="2C38AFC8">
      <w:pPr>
        <w:spacing w:line="360" w:lineRule="auto"/>
        <w:ind w:firstLine="484"/>
        <w:rPr>
          <w:rFonts w:ascii="宋体" w:hAnsi="宋体" w:cs="宋体"/>
          <w:sz w:val="24"/>
          <w:szCs w:val="24"/>
          <w:highlight w:val="none"/>
        </w:rPr>
      </w:pPr>
      <w:r>
        <w:rPr>
          <w:rFonts w:hint="eastAsia" w:ascii="宋体" w:hAnsi="宋体" w:cs="宋体"/>
          <w:sz w:val="24"/>
          <w:szCs w:val="24"/>
          <w:highlight w:val="none"/>
        </w:rPr>
        <w:t>乙方不得擅自部分或全部转让其应履行的合同义务。</w:t>
      </w:r>
    </w:p>
    <w:p w14:paraId="3C2483D4">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第九条 不可抗力</w:t>
      </w:r>
    </w:p>
    <w:p w14:paraId="40F09F8F">
      <w:pPr>
        <w:spacing w:line="360" w:lineRule="auto"/>
        <w:ind w:firstLine="484"/>
        <w:rPr>
          <w:rFonts w:ascii="宋体" w:hAnsi="宋体" w:cs="宋体"/>
          <w:sz w:val="24"/>
          <w:szCs w:val="24"/>
          <w:highlight w:val="none"/>
        </w:rPr>
      </w:pPr>
      <w:r>
        <w:rPr>
          <w:rFonts w:hint="eastAsia" w:ascii="宋体" w:hAnsi="宋体" w:cs="宋体"/>
          <w:sz w:val="24"/>
          <w:szCs w:val="24"/>
          <w:highlight w:val="none"/>
        </w:rPr>
        <w:t>甲、乙方中任何一方，因不可抗力不能按时或完全履行合同的，应及时通知对方，并在</w:t>
      </w:r>
      <w:r>
        <w:rPr>
          <w:rFonts w:hint="eastAsia" w:ascii="宋体" w:hAnsi="宋体" w:cs="宋体"/>
          <w:sz w:val="24"/>
          <w:szCs w:val="24"/>
          <w:highlight w:val="none"/>
          <w:u w:val="single"/>
        </w:rPr>
        <w:t xml:space="preserve">   </w:t>
      </w:r>
      <w:r>
        <w:rPr>
          <w:rFonts w:hint="eastAsia" w:ascii="宋体" w:hAnsi="宋体" w:cs="宋体"/>
          <w:sz w:val="24"/>
          <w:szCs w:val="24"/>
          <w:highlight w:val="none"/>
        </w:rPr>
        <w:t>5日内提供相应证明。未履行完合同部分是否继续履行、如何履行等问题，可由双方初步协商，并向主管部门报告。确定为不可抗力原因造成的损失，免予承担责任。</w:t>
      </w:r>
    </w:p>
    <w:p w14:paraId="19BF8338">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第十条 争议的解决</w:t>
      </w:r>
    </w:p>
    <w:p w14:paraId="266D1285">
      <w:pPr>
        <w:spacing w:line="360" w:lineRule="auto"/>
        <w:ind w:firstLine="484"/>
        <w:rPr>
          <w:rFonts w:ascii="宋体" w:hAnsi="宋体" w:cs="宋体"/>
          <w:sz w:val="24"/>
          <w:szCs w:val="24"/>
          <w:highlight w:val="none"/>
        </w:rPr>
      </w:pPr>
      <w:r>
        <w:rPr>
          <w:rFonts w:hint="eastAsia" w:ascii="宋体" w:hAnsi="宋体" w:cs="宋体"/>
          <w:sz w:val="24"/>
          <w:szCs w:val="24"/>
          <w:highlight w:val="none"/>
        </w:rPr>
        <w:t>1.因履行本合同引起的或与本合同有关的争议，甲、乙双方应首先通过友好协商解决，如果协商不能解决争议，则采取以下第（ ）种方式解决争议：</w:t>
      </w:r>
    </w:p>
    <w:p w14:paraId="40E0A6AE">
      <w:pPr>
        <w:spacing w:line="360" w:lineRule="auto"/>
        <w:ind w:firstLine="484"/>
        <w:rPr>
          <w:rFonts w:ascii="宋体" w:hAnsi="宋体" w:cs="宋体"/>
          <w:sz w:val="24"/>
          <w:szCs w:val="24"/>
          <w:highlight w:val="none"/>
        </w:rPr>
      </w:pPr>
      <w:r>
        <w:rPr>
          <w:rFonts w:hint="eastAsia" w:ascii="宋体" w:hAnsi="宋体" w:cs="宋体"/>
          <w:sz w:val="24"/>
          <w:szCs w:val="24"/>
          <w:highlight w:val="none"/>
        </w:rPr>
        <w:t>（1）向甲方所在地人民法院提起诉讼；</w:t>
      </w:r>
    </w:p>
    <w:p w14:paraId="6394CDB1">
      <w:pPr>
        <w:spacing w:line="360" w:lineRule="auto"/>
        <w:ind w:firstLine="484"/>
        <w:rPr>
          <w:rFonts w:ascii="宋体" w:hAnsi="宋体" w:cs="宋体"/>
          <w:sz w:val="24"/>
          <w:szCs w:val="24"/>
          <w:highlight w:val="none"/>
        </w:rPr>
      </w:pPr>
      <w:r>
        <w:rPr>
          <w:rFonts w:hint="eastAsia" w:ascii="宋体" w:hAnsi="宋体" w:cs="宋体"/>
          <w:sz w:val="24"/>
          <w:szCs w:val="24"/>
          <w:highlight w:val="none"/>
        </w:rPr>
        <w:t>（2）向甲方所在地仲裁委员会按其仲裁规则申请仲裁。</w:t>
      </w:r>
    </w:p>
    <w:p w14:paraId="1EF9A7DC">
      <w:pPr>
        <w:spacing w:line="360" w:lineRule="auto"/>
        <w:ind w:firstLine="484"/>
        <w:rPr>
          <w:rFonts w:ascii="宋体" w:hAnsi="宋体" w:cs="宋体"/>
          <w:sz w:val="24"/>
          <w:szCs w:val="24"/>
          <w:highlight w:val="none"/>
        </w:rPr>
      </w:pPr>
      <w:r>
        <w:rPr>
          <w:rFonts w:hint="eastAsia" w:ascii="宋体" w:hAnsi="宋体" w:cs="宋体"/>
          <w:sz w:val="24"/>
          <w:szCs w:val="24"/>
          <w:highlight w:val="none"/>
        </w:rPr>
        <w:t>如没有约定，默认采取第2种方式解决争议。</w:t>
      </w:r>
    </w:p>
    <w:p w14:paraId="4185BB5D">
      <w:pPr>
        <w:spacing w:line="360" w:lineRule="auto"/>
        <w:ind w:firstLine="484"/>
        <w:rPr>
          <w:rFonts w:ascii="宋体" w:hAnsi="宋体" w:cs="宋体"/>
          <w:sz w:val="24"/>
          <w:szCs w:val="24"/>
          <w:highlight w:val="none"/>
        </w:rPr>
      </w:pPr>
      <w:r>
        <w:rPr>
          <w:rFonts w:hint="eastAsia" w:ascii="宋体" w:hAnsi="宋体" w:cs="宋体"/>
          <w:sz w:val="24"/>
          <w:szCs w:val="24"/>
          <w:highlight w:val="none"/>
        </w:rPr>
        <w:t>2.在法院审理和仲裁期间，除有争议部分外，本合同其他部分应继续履行。</w:t>
      </w:r>
    </w:p>
    <w:p w14:paraId="34B78D96">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 xml:space="preserve">第十一条 诚实信用 </w:t>
      </w:r>
    </w:p>
    <w:p w14:paraId="0D0D104D">
      <w:pPr>
        <w:spacing w:line="360" w:lineRule="auto"/>
        <w:ind w:firstLine="484"/>
        <w:rPr>
          <w:rFonts w:ascii="宋体" w:hAnsi="宋体" w:cs="宋体"/>
          <w:sz w:val="24"/>
          <w:szCs w:val="24"/>
          <w:highlight w:val="none"/>
        </w:rPr>
      </w:pPr>
      <w:r>
        <w:rPr>
          <w:rFonts w:hint="eastAsia" w:ascii="宋体" w:hAnsi="宋体" w:cs="宋体"/>
          <w:sz w:val="24"/>
          <w:szCs w:val="24"/>
          <w:highlight w:val="none"/>
        </w:rPr>
        <w:t>乙方应诚实信用，严格按照竞争性磋商文件要求和磋商承诺履行合同，不向甲方进行商业贿赂或者提供不正当利益。</w:t>
      </w:r>
    </w:p>
    <w:p w14:paraId="3BDE178B">
      <w:pPr>
        <w:spacing w:line="360" w:lineRule="auto"/>
        <w:ind w:firstLine="487"/>
        <w:rPr>
          <w:rFonts w:ascii="宋体" w:hAnsi="宋体" w:cs="宋体"/>
          <w:b/>
          <w:sz w:val="24"/>
          <w:szCs w:val="24"/>
          <w:highlight w:val="none"/>
        </w:rPr>
      </w:pPr>
      <w:r>
        <w:rPr>
          <w:rFonts w:hint="eastAsia" w:ascii="宋体" w:hAnsi="宋体" w:cs="宋体"/>
          <w:b/>
          <w:sz w:val="24"/>
          <w:szCs w:val="24"/>
          <w:highlight w:val="none"/>
        </w:rPr>
        <w:t>第十二条 合同生效及其他</w:t>
      </w:r>
    </w:p>
    <w:p w14:paraId="0DA5647B">
      <w:pPr>
        <w:spacing w:line="360" w:lineRule="auto"/>
        <w:ind w:firstLine="484"/>
        <w:rPr>
          <w:rFonts w:hint="eastAsia" w:ascii="宋体" w:hAnsi="宋体" w:cs="宋体"/>
          <w:sz w:val="24"/>
          <w:szCs w:val="24"/>
          <w:highlight w:val="none"/>
        </w:rPr>
      </w:pPr>
      <w:r>
        <w:rPr>
          <w:rFonts w:hint="eastAsia" w:ascii="宋体" w:hAnsi="宋体" w:cs="宋体"/>
          <w:sz w:val="24"/>
          <w:szCs w:val="24"/>
          <w:highlight w:val="none"/>
        </w:rPr>
        <w:t>1.本合同自经甲乙双方授权代表签订并加盖公章后，自签订之日起生效。</w:t>
      </w:r>
    </w:p>
    <w:p w14:paraId="1E6139D8">
      <w:pPr>
        <w:spacing w:line="360" w:lineRule="auto"/>
        <w:ind w:firstLine="484"/>
        <w:rPr>
          <w:rFonts w:ascii="宋体" w:hAnsi="宋体" w:cs="宋体"/>
          <w:color w:val="000000"/>
          <w:sz w:val="24"/>
          <w:szCs w:val="24"/>
          <w:highlight w:val="none"/>
        </w:rPr>
      </w:pPr>
      <w:r>
        <w:rPr>
          <w:rFonts w:hint="eastAsia" w:ascii="宋体" w:hAnsi="宋体" w:cs="宋体"/>
          <w:sz w:val="24"/>
          <w:szCs w:val="24"/>
          <w:highlight w:val="none"/>
        </w:rPr>
        <w:t>2.本合同应按照中华人民共和国的现行法律进行解释。</w:t>
      </w:r>
    </w:p>
    <w:p w14:paraId="73851271">
      <w:pPr>
        <w:spacing w:line="360" w:lineRule="auto"/>
        <w:jc w:val="left"/>
        <w:rPr>
          <w:rFonts w:hint="eastAsia" w:ascii="宋体" w:hAnsi="宋体" w:cs="宋体"/>
          <w:b/>
          <w:bCs/>
          <w:color w:val="000000"/>
          <w:sz w:val="24"/>
          <w:szCs w:val="24"/>
          <w:highlight w:val="none"/>
        </w:rPr>
      </w:pPr>
    </w:p>
    <w:p w14:paraId="2352FD62">
      <w:pPr>
        <w:spacing w:line="360" w:lineRule="auto"/>
        <w:jc w:val="left"/>
        <w:rPr>
          <w:rFonts w:hint="eastAsia" w:ascii="宋体" w:hAnsi="宋体" w:cs="宋体"/>
          <w:b/>
          <w:bCs/>
          <w:color w:val="000000"/>
          <w:sz w:val="24"/>
          <w:szCs w:val="24"/>
          <w:highlight w:val="none"/>
        </w:rPr>
      </w:pPr>
    </w:p>
    <w:p w14:paraId="56AD46D7">
      <w:pPr>
        <w:spacing w:line="360" w:lineRule="auto"/>
        <w:jc w:val="left"/>
        <w:rPr>
          <w:rFonts w:ascii="宋体" w:hAnsi="宋体" w:cs="宋体"/>
          <w:color w:val="000000"/>
          <w:sz w:val="24"/>
          <w:szCs w:val="24"/>
          <w:highlight w:val="none"/>
        </w:rPr>
      </w:pPr>
      <w:r>
        <w:rPr>
          <w:rFonts w:hint="eastAsia" w:ascii="宋体" w:hAnsi="宋体" w:cs="宋体"/>
          <w:b/>
          <w:bCs/>
          <w:color w:val="000000"/>
          <w:sz w:val="24"/>
          <w:szCs w:val="24"/>
          <w:highlight w:val="none"/>
        </w:rPr>
        <w:t>甲    方</w:t>
      </w:r>
      <w:r>
        <w:rPr>
          <w:rFonts w:hint="eastAsia" w:ascii="宋体" w:hAnsi="宋体" w:cs="宋体"/>
          <w:color w:val="000000"/>
          <w:sz w:val="24"/>
          <w:szCs w:val="24"/>
          <w:highlight w:val="none"/>
        </w:rPr>
        <w:t xml:space="preserve">：                               </w:t>
      </w:r>
      <w:r>
        <w:rPr>
          <w:rFonts w:hint="eastAsia" w:ascii="宋体" w:hAnsi="宋体" w:cs="宋体"/>
          <w:b/>
          <w:bCs/>
          <w:color w:val="000000"/>
          <w:sz w:val="24"/>
          <w:szCs w:val="24"/>
          <w:highlight w:val="none"/>
        </w:rPr>
        <w:t>乙    方</w:t>
      </w:r>
      <w:r>
        <w:rPr>
          <w:rFonts w:hint="eastAsia" w:ascii="宋体" w:hAnsi="宋体" w:cs="宋体"/>
          <w:color w:val="000000"/>
          <w:sz w:val="24"/>
          <w:szCs w:val="24"/>
          <w:highlight w:val="none"/>
        </w:rPr>
        <w:t>：</w:t>
      </w:r>
    </w:p>
    <w:p w14:paraId="52AAE6C0">
      <w:pPr>
        <w:spacing w:line="360" w:lineRule="auto"/>
        <w:rPr>
          <w:rFonts w:hint="eastAsia" w:ascii="宋体" w:hAnsi="宋体" w:eastAsia="宋体" w:cs="宋体"/>
          <w:color w:val="000000"/>
          <w:sz w:val="24"/>
          <w:szCs w:val="24"/>
          <w:highlight w:val="none"/>
          <w:u w:val="single"/>
          <w:lang w:eastAsia="zh-CN"/>
        </w:rPr>
      </w:pPr>
      <w:r>
        <w:rPr>
          <w:rFonts w:hint="eastAsia" w:ascii="宋体" w:hAnsi="宋体" w:cs="宋体"/>
          <w:color w:val="000000"/>
          <w:sz w:val="24"/>
          <w:szCs w:val="24"/>
          <w:highlight w:val="none"/>
        </w:rPr>
        <w:t xml:space="preserve">单位名称（章）：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单位名称（章）：</w:t>
      </w:r>
      <w:r>
        <w:rPr>
          <w:rFonts w:hint="eastAsia" w:ascii="宋体" w:hAnsi="宋体" w:cs="宋体"/>
          <w:color w:val="000000"/>
          <w:sz w:val="24"/>
          <w:szCs w:val="24"/>
          <w:highlight w:val="none"/>
          <w:lang w:eastAsia="zh-CN"/>
        </w:rPr>
        <w:t>常州市交通设施有限公司</w:t>
      </w:r>
    </w:p>
    <w:p w14:paraId="3D765996">
      <w:pPr>
        <w:spacing w:line="360" w:lineRule="auto"/>
        <w:rPr>
          <w:rFonts w:hint="default" w:ascii="宋体" w:hAnsi="宋体" w:eastAsia="宋体" w:cs="宋体"/>
          <w:color w:val="000000"/>
          <w:sz w:val="24"/>
          <w:szCs w:val="24"/>
          <w:highlight w:val="none"/>
          <w:u w:val="single"/>
          <w:lang w:val="en-US" w:eastAsia="zh-CN"/>
        </w:rPr>
      </w:pPr>
      <w:r>
        <w:rPr>
          <w:rFonts w:hint="eastAsia" w:ascii="宋体" w:hAnsi="宋体" w:cs="宋体"/>
          <w:color w:val="000000"/>
          <w:sz w:val="24"/>
          <w:szCs w:val="24"/>
          <w:highlight w:val="none"/>
        </w:rPr>
        <w:t xml:space="preserve">单位地址：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单位地址：</w:t>
      </w:r>
      <w:r>
        <w:rPr>
          <w:rFonts w:hint="eastAsia" w:ascii="宋体" w:hAnsi="宋体" w:cs="宋体"/>
          <w:color w:val="000000"/>
          <w:sz w:val="24"/>
          <w:szCs w:val="24"/>
          <w:highlight w:val="none"/>
          <w:lang w:eastAsia="zh-CN"/>
        </w:rPr>
        <w:t>常州新北区河海西路</w:t>
      </w:r>
      <w:r>
        <w:rPr>
          <w:rFonts w:hint="eastAsia" w:ascii="宋体" w:hAnsi="宋体" w:cs="宋体"/>
          <w:color w:val="000000"/>
          <w:sz w:val="24"/>
          <w:szCs w:val="24"/>
          <w:highlight w:val="none"/>
          <w:lang w:val="en-US" w:eastAsia="zh-CN"/>
        </w:rPr>
        <w:t>183号</w:t>
      </w:r>
    </w:p>
    <w:p w14:paraId="084C23C7">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 xml:space="preserve">法定代表人：       委托代理人：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法定代表人：     委托代理人：                            </w:t>
      </w:r>
    </w:p>
    <w:p w14:paraId="1F25D8AC">
      <w:pPr>
        <w:spacing w:line="360" w:lineRule="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 xml:space="preserve">电话：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电话：</w:t>
      </w:r>
      <w:r>
        <w:rPr>
          <w:rFonts w:hint="eastAsia" w:ascii="宋体" w:hAnsi="宋体" w:cs="宋体"/>
          <w:color w:val="000000"/>
          <w:sz w:val="24"/>
          <w:szCs w:val="24"/>
          <w:highlight w:val="none"/>
          <w:lang w:val="en-US" w:eastAsia="zh-CN"/>
        </w:rPr>
        <w:t>0519-85105061</w:t>
      </w:r>
      <w:r>
        <w:rPr>
          <w:rFonts w:hint="eastAsia" w:ascii="宋体" w:hAnsi="宋体" w:cs="宋体"/>
          <w:color w:val="000000"/>
          <w:sz w:val="24"/>
          <w:szCs w:val="24"/>
          <w:highlight w:val="none"/>
        </w:rPr>
        <w:t xml:space="preserve">     传真：</w:t>
      </w:r>
      <w:r>
        <w:rPr>
          <w:rFonts w:hint="eastAsia" w:ascii="宋体" w:hAnsi="宋体" w:cs="宋体"/>
          <w:color w:val="000000"/>
          <w:sz w:val="24"/>
          <w:szCs w:val="24"/>
          <w:highlight w:val="none"/>
          <w:lang w:val="en-US" w:eastAsia="zh-CN"/>
        </w:rPr>
        <w:t>/</w:t>
      </w:r>
    </w:p>
    <w:p w14:paraId="6CCA8D71">
      <w:pPr>
        <w:spacing w:line="360" w:lineRule="auto"/>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传真：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开户银行：</w:t>
      </w:r>
      <w:r>
        <w:rPr>
          <w:rFonts w:hint="eastAsia" w:ascii="宋体" w:hAnsi="宋体" w:cs="宋体"/>
          <w:sz w:val="24"/>
          <w:szCs w:val="24"/>
        </w:rPr>
        <w:t>江苏银行常州分行营业部</w:t>
      </w:r>
      <w:r>
        <w:rPr>
          <w:rFonts w:hint="eastAsia" w:ascii="宋体" w:hAnsi="宋体" w:cs="宋体"/>
          <w:color w:val="000000"/>
          <w:sz w:val="24"/>
          <w:szCs w:val="24"/>
          <w:highlight w:val="none"/>
        </w:rPr>
        <w:t xml:space="preserve">        </w:t>
      </w:r>
    </w:p>
    <w:p w14:paraId="2F299DE8">
      <w:pPr>
        <w:spacing w:line="360" w:lineRule="auto"/>
        <w:ind w:firstLine="4951" w:firstLineChars="2063"/>
        <w:rPr>
          <w:rFonts w:ascii="宋体" w:hAnsi="宋体" w:cs="宋体"/>
          <w:sz w:val="24"/>
          <w:szCs w:val="24"/>
        </w:rPr>
      </w:pPr>
      <w:r>
        <w:rPr>
          <w:rFonts w:hint="eastAsia" w:ascii="宋体" w:hAnsi="宋体" w:cs="宋体"/>
          <w:color w:val="000000"/>
          <w:sz w:val="24"/>
          <w:szCs w:val="24"/>
          <w:highlight w:val="none"/>
        </w:rPr>
        <w:t>账号：</w:t>
      </w:r>
      <w:r>
        <w:rPr>
          <w:rFonts w:ascii="宋体" w:hAnsi="宋体" w:cs="宋体"/>
          <w:sz w:val="24"/>
          <w:szCs w:val="24"/>
        </w:rPr>
        <w:t>80400188000126833</w:t>
      </w:r>
    </w:p>
    <w:p w14:paraId="08669829">
      <w:pPr>
        <w:rPr>
          <w:rFonts w:ascii="宋体" w:hAnsi="宋体" w:cs="宋体"/>
          <w:sz w:val="24"/>
          <w:szCs w:val="24"/>
        </w:rPr>
      </w:pPr>
      <w:r>
        <w:rPr>
          <w:rFonts w:ascii="宋体" w:hAnsi="宋体" w:cs="宋体"/>
          <w:sz w:val="24"/>
          <w:szCs w:val="24"/>
        </w:rPr>
        <w:br w:type="page"/>
      </w:r>
    </w:p>
    <w:p w14:paraId="4C57E07E">
      <w:pPr>
        <w:jc w:val="center"/>
        <w:rPr>
          <w:rFonts w:hint="eastAsia" w:ascii="方正小标宋简体" w:hAnsi="方正小标宋简体" w:eastAsia="方正小标宋简体" w:cs="方正小标宋简体"/>
          <w:b w:val="0"/>
          <w:bCs/>
          <w:sz w:val="48"/>
          <w:szCs w:val="48"/>
        </w:rPr>
      </w:pPr>
      <w:r>
        <w:rPr>
          <w:rFonts w:hint="eastAsia" w:ascii="方正小标宋简体" w:hAnsi="方正小标宋简体" w:eastAsia="方正小标宋简体" w:cs="方正小标宋简体"/>
          <w:b w:val="0"/>
          <w:bCs/>
          <w:sz w:val="48"/>
          <w:szCs w:val="48"/>
          <w:lang w:eastAsia="zh-CN"/>
        </w:rPr>
        <w:t>廉</w:t>
      </w:r>
      <w:r>
        <w:rPr>
          <w:rFonts w:hint="eastAsia" w:ascii="方正小标宋简体" w:hAnsi="方正小标宋简体" w:eastAsia="方正小标宋简体" w:cs="方正小标宋简体"/>
          <w:b w:val="0"/>
          <w:bCs/>
          <w:sz w:val="48"/>
          <w:szCs w:val="48"/>
          <w:lang w:val="en-US" w:eastAsia="zh-CN"/>
        </w:rPr>
        <w:t xml:space="preserve"> </w:t>
      </w:r>
      <w:r>
        <w:rPr>
          <w:rFonts w:hint="eastAsia" w:ascii="方正小标宋简体" w:hAnsi="方正小标宋简体" w:eastAsia="方正小标宋简体" w:cs="方正小标宋简体"/>
          <w:b w:val="0"/>
          <w:bCs/>
          <w:sz w:val="48"/>
          <w:szCs w:val="48"/>
        </w:rPr>
        <w:t>政</w:t>
      </w:r>
      <w:r>
        <w:rPr>
          <w:rFonts w:hint="eastAsia" w:ascii="方正小标宋简体" w:hAnsi="方正小标宋简体" w:eastAsia="方正小标宋简体" w:cs="方正小标宋简体"/>
          <w:b w:val="0"/>
          <w:bCs/>
          <w:sz w:val="48"/>
          <w:szCs w:val="48"/>
          <w:lang w:val="en-US" w:eastAsia="zh-CN"/>
        </w:rPr>
        <w:t xml:space="preserve"> </w:t>
      </w:r>
      <w:r>
        <w:rPr>
          <w:rFonts w:hint="eastAsia" w:ascii="方正小标宋简体" w:hAnsi="方正小标宋简体" w:eastAsia="方正小标宋简体" w:cs="方正小标宋简体"/>
          <w:b w:val="0"/>
          <w:bCs/>
          <w:sz w:val="48"/>
          <w:szCs w:val="48"/>
        </w:rPr>
        <w:t>责</w:t>
      </w:r>
      <w:r>
        <w:rPr>
          <w:rFonts w:hint="eastAsia" w:ascii="方正小标宋简体" w:hAnsi="方正小标宋简体" w:eastAsia="方正小标宋简体" w:cs="方正小标宋简体"/>
          <w:b w:val="0"/>
          <w:bCs/>
          <w:sz w:val="48"/>
          <w:szCs w:val="48"/>
          <w:lang w:val="en-US" w:eastAsia="zh-CN"/>
        </w:rPr>
        <w:t xml:space="preserve"> </w:t>
      </w:r>
      <w:r>
        <w:rPr>
          <w:rFonts w:hint="eastAsia" w:ascii="方正小标宋简体" w:hAnsi="方正小标宋简体" w:eastAsia="方正小标宋简体" w:cs="方正小标宋简体"/>
          <w:b w:val="0"/>
          <w:bCs/>
          <w:sz w:val="48"/>
          <w:szCs w:val="48"/>
        </w:rPr>
        <w:t>任</w:t>
      </w:r>
      <w:r>
        <w:rPr>
          <w:rFonts w:hint="eastAsia" w:ascii="方正小标宋简体" w:hAnsi="方正小标宋简体" w:eastAsia="方正小标宋简体" w:cs="方正小标宋简体"/>
          <w:b w:val="0"/>
          <w:bCs/>
          <w:sz w:val="48"/>
          <w:szCs w:val="48"/>
          <w:lang w:val="en-US" w:eastAsia="zh-CN"/>
        </w:rPr>
        <w:t xml:space="preserve"> </w:t>
      </w:r>
      <w:r>
        <w:rPr>
          <w:rFonts w:hint="eastAsia" w:ascii="方正小标宋简体" w:hAnsi="方正小标宋简体" w:eastAsia="方正小标宋简体" w:cs="方正小标宋简体"/>
          <w:b w:val="0"/>
          <w:bCs/>
          <w:sz w:val="48"/>
          <w:szCs w:val="48"/>
        </w:rPr>
        <w:t>书</w:t>
      </w:r>
    </w:p>
    <w:p w14:paraId="76861C2A">
      <w:pPr>
        <w:spacing w:line="360" w:lineRule="auto"/>
        <w:rPr>
          <w:rFonts w:hint="eastAsia" w:ascii="仿宋_GB2312" w:hAnsi="仿宋_GB2312" w:eastAsia="仿宋_GB2312" w:cs="仿宋_GB2312"/>
          <w:sz w:val="28"/>
          <w:szCs w:val="28"/>
        </w:rPr>
      </w:pPr>
    </w:p>
    <w:p w14:paraId="3AEF99A8">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为进一步加强零星采购的廉政建设，特订立如下责任书。</w:t>
      </w:r>
    </w:p>
    <w:p w14:paraId="6BF6E938">
      <w:pPr>
        <w:widowControl/>
        <w:snapToGrid w:val="0"/>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一、甲、乙双方的权利和义务</w:t>
      </w:r>
    </w:p>
    <w:p w14:paraId="5FC130A9">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 甲乙双方应严格遵守党的政策规定和国家有关法律法规。</w:t>
      </w:r>
    </w:p>
    <w:p w14:paraId="0584D722">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 甲乙双方应严格执行项目的合同文件，自觉按合同办事。</w:t>
      </w:r>
    </w:p>
    <w:p w14:paraId="33530F2F">
      <w:pPr>
        <w:widowControl/>
        <w:snapToGrid w:val="0"/>
        <w:ind w:firstLine="624"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pacing w:val="-4"/>
          <w:kern w:val="0"/>
          <w:sz w:val="32"/>
          <w:szCs w:val="32"/>
        </w:rPr>
        <w:t>3．甲乙双方的业务活动应坚持公开、公平、公正、诚信、透明的原则</w:t>
      </w:r>
      <w:r>
        <w:rPr>
          <w:rFonts w:hint="default" w:ascii="Times New Roman" w:hAnsi="Times New Roman" w:eastAsia="仿宋_GB2312" w:cs="Times New Roman"/>
          <w:kern w:val="0"/>
          <w:sz w:val="32"/>
          <w:szCs w:val="32"/>
        </w:rPr>
        <w:t>。</w:t>
      </w:r>
    </w:p>
    <w:p w14:paraId="492EC93B">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4．甲乙双方不得以任何理由向对方工作人员行贿或馈赠礼金、有价证券、贵重礼品。不得在对方报销任何应由个人支付的费用。</w:t>
      </w:r>
    </w:p>
    <w:p w14:paraId="5EF0C406">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5．甲乙双方不得以任何理由违反廉洁自律的有关规定。</w:t>
      </w:r>
    </w:p>
    <w:p w14:paraId="37DF4CF0">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6．甲乙双方发现对方严重违反本协议条款的行为，有及时提醒对方、向其上级有关部门举报、建议给予处理并要求告知处理结果的权利。</w:t>
      </w:r>
    </w:p>
    <w:p w14:paraId="09C8D83D">
      <w:pPr>
        <w:widowControl/>
        <w:snapToGrid w:val="0"/>
        <w:ind w:firstLine="640" w:firstLineChars="20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二、违约责任</w:t>
      </w:r>
    </w:p>
    <w:p w14:paraId="6F74AC85">
      <w:pPr>
        <w:widowControl/>
        <w:snapToGrid w:val="0"/>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1．甲、乙双方及其工作人员违反本协议有关规定的，按管理权限，依据有关规定给予经济处罚或追究党纪政纪责任；涉嫌犯罪的，移交司法机关追究刑事责任；给双方单位造成经济损失的，应予以赔偿。</w:t>
      </w:r>
    </w:p>
    <w:p w14:paraId="0B7E36F9">
      <w:pPr>
        <w:widowControl/>
        <w:snapToGrid w:val="0"/>
        <w:ind w:firstLine="640" w:firstLineChars="200"/>
        <w:rPr>
          <w:rFonts w:hint="default" w:ascii="Times New Roman" w:hAnsi="Times New Roman" w:eastAsia="宋体" w:cs="Times New Roman"/>
          <w:szCs w:val="24"/>
        </w:rPr>
      </w:pPr>
      <w:r>
        <w:rPr>
          <w:rFonts w:hint="default" w:ascii="Times New Roman" w:hAnsi="Times New Roman" w:eastAsia="仿宋_GB2312" w:cs="Times New Roman"/>
          <w:kern w:val="0"/>
          <w:sz w:val="32"/>
          <w:szCs w:val="32"/>
        </w:rPr>
        <w:t>2．本协议一式三份，由甲、乙双方各执一份，送交甲方的监督单位一份。</w:t>
      </w:r>
    </w:p>
    <w:p w14:paraId="373121FF">
      <w:pPr>
        <w:widowControl/>
        <w:snapToGrid w:val="0"/>
        <w:rPr>
          <w:rFonts w:hint="default" w:ascii="Times New Roman" w:hAnsi="Times New Roman" w:eastAsia="仿宋_GB2312" w:cs="Times New Roman"/>
          <w:kern w:val="0"/>
          <w:sz w:val="32"/>
          <w:szCs w:val="32"/>
        </w:rPr>
      </w:pPr>
    </w:p>
    <w:p w14:paraId="0BB4A8B9">
      <w:pPr>
        <w:widowControl/>
        <w:snapToGrid w:val="0"/>
        <w:rPr>
          <w:rFonts w:hint="default" w:ascii="Times New Roman" w:hAnsi="Times New Roman" w:eastAsia="仿宋_GB2312" w:cs="Times New Roman"/>
          <w:kern w:val="0"/>
          <w:sz w:val="32"/>
          <w:szCs w:val="32"/>
        </w:rPr>
      </w:pPr>
    </w:p>
    <w:p w14:paraId="5397E10C">
      <w:pPr>
        <w:widowControl/>
        <w:snapToGrid w:val="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甲方单位（盖章）：            乙方单位（盖章）：</w:t>
      </w:r>
    </w:p>
    <w:p w14:paraId="3C7946A5">
      <w:pPr>
        <w:widowControl/>
        <w:snapToGrid w:val="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代表人：                      法定代表人：</w:t>
      </w:r>
    </w:p>
    <w:p w14:paraId="5C4A7725">
      <w:pPr>
        <w:widowControl/>
        <w:snapToGrid w:val="0"/>
        <w:rPr>
          <w:rFonts w:hint="default" w:ascii="Times New Roman" w:hAnsi="Times New Roman" w:eastAsia="仿宋_GB2312" w:cs="Times New Roman"/>
          <w:kern w:val="0"/>
          <w:sz w:val="32"/>
          <w:szCs w:val="32"/>
        </w:rPr>
      </w:pPr>
    </w:p>
    <w:p w14:paraId="005BCCDA">
      <w:pPr>
        <w:rPr>
          <w:rFonts w:ascii="宋体" w:hAnsi="宋体" w:cs="宋体"/>
          <w:sz w:val="24"/>
          <w:szCs w:val="24"/>
        </w:rPr>
      </w:pPr>
      <w:r>
        <w:rPr>
          <w:rFonts w:hint="default" w:ascii="Times New Roman" w:hAnsi="Times New Roman" w:eastAsia="仿宋_GB2312" w:cs="Times New Roman"/>
          <w:kern w:val="0"/>
          <w:sz w:val="32"/>
          <w:szCs w:val="32"/>
        </w:rPr>
        <w:t>日期：    年   月   日        日期：     年   月   日</w:t>
      </w:r>
      <w:r>
        <w:rPr>
          <w:rFonts w:ascii="宋体" w:hAnsi="宋体" w:cs="宋体"/>
          <w:sz w:val="24"/>
          <w:szCs w:val="24"/>
        </w:rPr>
        <w:br w:type="page"/>
      </w:r>
    </w:p>
    <w:tbl>
      <w:tblPr>
        <w:tblStyle w:val="2"/>
        <w:tblW w:w="102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3"/>
        <w:gridCol w:w="952"/>
        <w:gridCol w:w="5026"/>
        <w:gridCol w:w="713"/>
        <w:gridCol w:w="638"/>
        <w:gridCol w:w="210"/>
        <w:gridCol w:w="840"/>
        <w:gridCol w:w="1110"/>
      </w:tblGrid>
      <w:tr w14:paraId="4D8B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10202" w:type="dxa"/>
            <w:gridSpan w:val="8"/>
            <w:tcBorders>
              <w:top w:val="nil"/>
              <w:left w:val="nil"/>
              <w:bottom w:val="nil"/>
              <w:right w:val="nil"/>
            </w:tcBorders>
            <w:shd w:val="clear" w:color="auto" w:fill="auto"/>
            <w:noWrap/>
            <w:vAlign w:val="center"/>
          </w:tcPr>
          <w:p w14:paraId="3A1EDE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分项报价表</w:t>
            </w:r>
          </w:p>
        </w:tc>
      </w:tr>
      <w:tr w14:paraId="16C10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jc w:val="center"/>
        </w:trPr>
        <w:tc>
          <w:tcPr>
            <w:tcW w:w="10202" w:type="dxa"/>
            <w:gridSpan w:val="8"/>
            <w:tcBorders>
              <w:top w:val="nil"/>
              <w:left w:val="nil"/>
              <w:bottom w:val="nil"/>
              <w:right w:val="nil"/>
            </w:tcBorders>
            <w:shd w:val="clear" w:color="auto" w:fill="auto"/>
            <w:vAlign w:val="center"/>
          </w:tcPr>
          <w:p w14:paraId="58D925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项目编号/包号：</w:t>
            </w:r>
            <w:r>
              <w:rPr>
                <w:rStyle w:val="7"/>
                <w:lang w:val="en-US" w:eastAsia="zh-CN" w:bidi="ar"/>
              </w:rPr>
              <w:t>JSZC-320402-YYYY-C2025-0004</w:t>
            </w:r>
            <w:r>
              <w:rPr>
                <w:rStyle w:val="8"/>
                <w:lang w:val="en-US" w:eastAsia="zh-CN" w:bidi="ar"/>
              </w:rPr>
              <w:t xml:space="preserve"> </w:t>
            </w:r>
            <w:r>
              <w:rPr>
                <w:rStyle w:val="8"/>
                <w:lang w:val="en-US" w:eastAsia="zh-CN" w:bidi="ar"/>
              </w:rPr>
              <w:br w:type="textWrapping"/>
            </w:r>
            <w:r>
              <w:rPr>
                <w:rStyle w:val="8"/>
                <w:lang w:val="en-US" w:eastAsia="zh-CN" w:bidi="ar"/>
              </w:rPr>
              <w:t>项目名称：</w:t>
            </w:r>
            <w:r>
              <w:rPr>
                <w:rStyle w:val="7"/>
                <w:lang w:val="en-US" w:eastAsia="zh-CN" w:bidi="ar"/>
              </w:rPr>
              <w:t>横塘河西路（青龙西路-龙锦路）及配套桥梁（横塘浜桥）工程-交安设施项目</w:t>
            </w:r>
            <w:r>
              <w:rPr>
                <w:rStyle w:val="8"/>
                <w:lang w:val="en-US" w:eastAsia="zh-CN" w:bidi="ar"/>
              </w:rPr>
              <w:t>报价单位：人民币元</w:t>
            </w:r>
          </w:p>
        </w:tc>
      </w:tr>
      <w:tr w14:paraId="7524A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42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2EA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名称</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31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参数描述</w:t>
            </w:r>
            <w:bookmarkStart w:id="0" w:name="_GoBack"/>
            <w:bookmarkEnd w:id="0"/>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B2B3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0D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1F8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全费用综合单价</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B20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合价</w:t>
            </w:r>
          </w:p>
        </w:tc>
      </w:tr>
      <w:tr w14:paraId="4CD95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FCF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524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标杆、标志</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386F">
            <w:pPr>
              <w:jc w:val="left"/>
              <w:rPr>
                <w:rFonts w:hint="eastAsia" w:ascii="宋体" w:hAnsi="宋体" w:eastAsia="宋体" w:cs="宋体"/>
                <w:b/>
                <w:bCs/>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C6EE">
            <w:pPr>
              <w:jc w:val="left"/>
              <w:rPr>
                <w:rFonts w:hint="eastAsia" w:ascii="宋体" w:hAnsi="宋体" w:eastAsia="宋体" w:cs="宋体"/>
                <w:b/>
                <w:bCs/>
                <w:i w:val="0"/>
                <w:iCs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A32E">
            <w:pPr>
              <w:jc w:val="center"/>
              <w:rPr>
                <w:rFonts w:hint="eastAsia" w:ascii="宋体" w:hAnsi="宋体" w:eastAsia="宋体" w:cs="宋体"/>
                <w:b/>
                <w:bCs/>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74D8">
            <w:pPr>
              <w:jc w:val="center"/>
              <w:rPr>
                <w:rFonts w:hint="eastAsia" w:ascii="宋体" w:hAnsi="宋体" w:eastAsia="宋体" w:cs="宋体"/>
                <w:b/>
                <w:bCs/>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DA64">
            <w:pPr>
              <w:jc w:val="center"/>
              <w:rPr>
                <w:rFonts w:hint="eastAsia" w:ascii="宋体" w:hAnsi="宋体" w:eastAsia="宋体" w:cs="宋体"/>
                <w:b/>
                <w:bCs/>
                <w:i w:val="0"/>
                <w:iCs w:val="0"/>
                <w:color w:val="000000"/>
                <w:sz w:val="18"/>
                <w:szCs w:val="18"/>
                <w:u w:val="none"/>
              </w:rPr>
            </w:pPr>
          </w:p>
        </w:tc>
      </w:tr>
      <w:tr w14:paraId="736C3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8E7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FB65">
            <w:pPr>
              <w:keepNext w:val="0"/>
              <w:keepLines w:val="0"/>
              <w:widowControl/>
              <w:suppressLineNumbers w:val="0"/>
              <w:jc w:val="left"/>
              <w:textAlignment w:val="center"/>
              <w:rPr>
                <w:rFonts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拆除标杆、标志</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A2C9">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拆除现状标杆、标志; 含废旧处置; 包干,结算不调整;</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D4BD">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5E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A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4803.75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7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4803.75 </w:t>
            </w:r>
          </w:p>
        </w:tc>
      </w:tr>
      <w:tr w14:paraId="473E1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D7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5D7D">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标杆</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1EC8">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单柱式立杆:Φ76*2550mm镀锌管(原色);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表面镀锌应符合交通安全设施总说明内施工及质量技术要求;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C25砼基础;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含土方开挖或路面破除、回填、弃置、底盘、托盘、法兰片、地脚螺栓等所有工作内容;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6A5E">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3C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0B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528.41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E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4227.30 </w:t>
            </w:r>
          </w:p>
        </w:tc>
      </w:tr>
      <w:tr w14:paraId="44542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8C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5F12">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标杆</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4FD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双柱式立杆:2Φ159*10*3200mm,235号钢材热浸镀锌防腐处理,杆件喷塑处理;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表面镀锌应符合交通安全设施总说明内施工及质量技术要求;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C20钢筋砼基础;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含土方开挖或路面破除、回填、弃置、法兰盘、底座加劲肋、柱帽、法兰、锚固板、地脚螺栓等所有工作内容;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3D28">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E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60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8166.37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E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16332.74 </w:t>
            </w:r>
          </w:p>
        </w:tc>
      </w:tr>
      <w:tr w14:paraId="4A30B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068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53B2">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标杆</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614A">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悬臂式立杆:Φ219*10*8200mm+3Φ159*10*4650/691mm,235号钢材热浸镀锌防腐处理,杆件喷塑处理;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表面镀锌应符合交通安全设施总说明内施工及质量技术要求;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C20钢筋砼基础;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含土方开挖或路面破除、回填、弃置、法兰盘、底座加劲肋、柱帽、法兰、锚固板、地脚螺栓等所有工作内容;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395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F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6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17485.64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01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104913.86 </w:t>
            </w:r>
          </w:p>
        </w:tc>
      </w:tr>
      <w:tr w14:paraId="25811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A4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BE21">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标杆</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1870">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悬臂式立杆:Φ219*10*7100mm+2Φ159*10*5000/611mm,235号钢材热浸镀锌防腐处理,杆件喷塑处理;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表面镀锌应符合交通安全设施总说明内施工及质量技术要求;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C20钢筋砼基础;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含土方开挖或路面破除、回填、弃置、法兰盘、底座加劲肋、柱帽、法兰、锚固板、地脚螺栓等所有工作内容;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36B9">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46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1F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14123.02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8F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14123.02 </w:t>
            </w:r>
          </w:p>
        </w:tc>
      </w:tr>
      <w:tr w14:paraId="7FAF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9D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7E6B">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646E">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矩形标志:路名牌1500*450mm:3004铝合金板2mm厚,铝合金龙骨加固,符合交通安全设施总说明内标志板设计要求;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含边缘折边处理、铆钉连接、螺栓、抱箍及底衬等所有工作内容;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D943">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6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8D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2209.72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2A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35355.59 </w:t>
            </w:r>
          </w:p>
        </w:tc>
      </w:tr>
      <w:tr w14:paraId="3C67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77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F38D">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1479">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矩形标志:3700*800*2mm:铝合金板LF2,铝合金龙骨加固,符合交通安全设施总说明内标志板设计要求;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含边缘折边处理、铆钉连接、螺栓、抱箍及底衬等所有工作内容;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772DF">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E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7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1729.35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87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3458.70 </w:t>
            </w:r>
          </w:p>
        </w:tc>
      </w:tr>
      <w:tr w14:paraId="47AF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F6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7309">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BBC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圆形标志:D=1200*2mm:铝合金板LF2,铝合金龙骨加固,符合交通安全设施总说明内标志板设计要求;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含边缘折边处理、铆钉连接、螺栓、抱箍及底衬等所有工作内容;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098F">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43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7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1008.79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F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14123.02 </w:t>
            </w:r>
          </w:p>
        </w:tc>
      </w:tr>
      <w:tr w14:paraId="1EEBD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CD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606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102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圆形标志:D=800*2mm:铝合金板LF2,铝合金龙骨加固,符合交通安全设施总说明内标志板设计要求;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含边缘折边处理、铆钉连接、螺栓、抱箍及底衬等所有工作内容;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A5C3">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C8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7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603.35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A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8446.91 </w:t>
            </w:r>
          </w:p>
        </w:tc>
      </w:tr>
      <w:tr w14:paraId="47347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325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BE53">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173B">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矩形标志:3800*2300*3mm:铝合金板5A02,铝合金龙骨加固,符合交通安全设施总说明内标志板设计要求;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含边缘折边处理、铆钉连接、螺栓、抱箍及底衬等所有工作内容;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D807">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19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E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5245.69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59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31474.16 </w:t>
            </w:r>
          </w:p>
        </w:tc>
      </w:tr>
      <w:tr w14:paraId="49BE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3E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8741">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标志板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8715">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矩形标志修改现状版面信息:3800*2300mm;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含拆装、贴膜等所有工作内容;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符合交通安全设施总说明内标志板设计要求;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采用IV类反光膜;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CEC0">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块</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F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4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3007.15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E9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30071.46 </w:t>
            </w:r>
          </w:p>
        </w:tc>
      </w:tr>
      <w:tr w14:paraId="7862C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3B8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EC3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标线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A1FA">
            <w:pPr>
              <w:jc w:val="left"/>
              <w:rPr>
                <w:rFonts w:hint="eastAsia" w:ascii="宋体" w:hAnsi="宋体" w:eastAsia="宋体" w:cs="宋体"/>
                <w:b/>
                <w:bCs/>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C1FA">
            <w:pPr>
              <w:jc w:val="left"/>
              <w:rPr>
                <w:rFonts w:hint="eastAsia" w:ascii="宋体" w:hAnsi="宋体" w:eastAsia="宋体" w:cs="宋体"/>
                <w:b/>
                <w:bCs/>
                <w:i w:val="0"/>
                <w:iCs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640AE">
            <w:pPr>
              <w:jc w:val="center"/>
              <w:rPr>
                <w:rFonts w:hint="eastAsia" w:ascii="宋体" w:hAnsi="宋体" w:eastAsia="宋体" w:cs="宋体"/>
                <w:b/>
                <w:bCs/>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A49B">
            <w:pPr>
              <w:jc w:val="center"/>
              <w:rPr>
                <w:rFonts w:hint="eastAsia" w:ascii="宋体" w:hAnsi="宋体" w:eastAsia="宋体" w:cs="宋体"/>
                <w:b/>
                <w:bCs/>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F27A">
            <w:pPr>
              <w:jc w:val="center"/>
              <w:rPr>
                <w:rFonts w:hint="eastAsia" w:ascii="宋体" w:hAnsi="宋体" w:eastAsia="宋体" w:cs="宋体"/>
                <w:b/>
                <w:bCs/>
                <w:i w:val="0"/>
                <w:iCs w:val="0"/>
                <w:color w:val="000000"/>
                <w:sz w:val="18"/>
                <w:szCs w:val="18"/>
                <w:u w:val="none"/>
              </w:rPr>
            </w:pPr>
          </w:p>
        </w:tc>
      </w:tr>
      <w:tr w14:paraId="4C0B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DF3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6176">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清除标线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94CD">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清除原地面标线;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方式自行考虑,含各种实线、虚线、横道线、停车线、箭头等;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按实际面积计量;</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E35D">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m2</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04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D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100.88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AA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23202.10 </w:t>
            </w:r>
          </w:p>
        </w:tc>
      </w:tr>
      <w:tr w14:paraId="1B6D1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2AA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4406">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横道线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AECA">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横道线+导向箭头+其他标线:采用热熔反光型涂料,玻璃微珠含18-25%;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线型、线宽、厚度、颜色符合交通安全设施总说明内交通标线要求;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DE140">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m2</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62C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AA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148.92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3F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244222.56 </w:t>
            </w:r>
          </w:p>
        </w:tc>
      </w:tr>
      <w:tr w14:paraId="592E7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2E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23CA">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8311">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实线:采用热熔反光型涂料,玻璃微珠含18-25%;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线型、线宽、厚度、颜色符合交通安全设施总说明内交通标线要求;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CFFB3">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m</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B9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1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5.76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8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18734.62 </w:t>
            </w:r>
          </w:p>
        </w:tc>
      </w:tr>
      <w:tr w14:paraId="1723B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A3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12DF">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标线</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5E51">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虚线:采用热熔反光型涂料,玻璃微珠含18-25%;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线型、线宽、厚度、颜色符合交通安全设施总说明内交通标线要求;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2C632">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m</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2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5E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3.46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E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5188.05 </w:t>
            </w:r>
          </w:p>
        </w:tc>
      </w:tr>
      <w:tr w14:paraId="0358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FE3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425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4366">
            <w:pPr>
              <w:jc w:val="left"/>
              <w:rPr>
                <w:rFonts w:hint="eastAsia" w:ascii="宋体" w:hAnsi="宋体" w:eastAsia="宋体" w:cs="宋体"/>
                <w:b/>
                <w:bCs/>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76086">
            <w:pPr>
              <w:jc w:val="left"/>
              <w:rPr>
                <w:rFonts w:hint="eastAsia" w:ascii="宋体" w:hAnsi="宋体" w:eastAsia="宋体" w:cs="宋体"/>
                <w:b/>
                <w:bCs/>
                <w:i w:val="0"/>
                <w:iCs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2822">
            <w:pPr>
              <w:jc w:val="center"/>
              <w:rPr>
                <w:rFonts w:hint="eastAsia" w:ascii="宋体" w:hAnsi="宋体" w:eastAsia="宋体" w:cs="宋体"/>
                <w:b/>
                <w:bCs/>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01217">
            <w:pPr>
              <w:jc w:val="center"/>
              <w:rPr>
                <w:rFonts w:hint="eastAsia" w:ascii="宋体" w:hAnsi="宋体" w:eastAsia="宋体" w:cs="宋体"/>
                <w:b/>
                <w:bCs/>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C9B2">
            <w:pPr>
              <w:jc w:val="center"/>
              <w:rPr>
                <w:rFonts w:hint="eastAsia" w:ascii="宋体" w:hAnsi="宋体" w:eastAsia="宋体" w:cs="宋体"/>
                <w:b/>
                <w:bCs/>
                <w:i w:val="0"/>
                <w:iCs w:val="0"/>
                <w:color w:val="000000"/>
                <w:sz w:val="18"/>
                <w:szCs w:val="18"/>
                <w:u w:val="none"/>
              </w:rPr>
            </w:pPr>
          </w:p>
        </w:tc>
      </w:tr>
      <w:tr w14:paraId="11F9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DA4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BE77">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警示柱</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5CA1">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警示桩:热镀锌钢管Φ114*5*1200mm，外露柱体表面用红、白反光漆;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含钻孔、恢复等所有工作内容;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E508">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C6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F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172.93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E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6917.40 </w:t>
            </w:r>
          </w:p>
        </w:tc>
      </w:tr>
      <w:tr w14:paraId="4B96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EF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5BF84">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警示柱</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1BCB">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芝麻灰花岗岩止车柱:Φ200*600mm，外露柱体刷黄色夜间反光漆70mm宽;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含土方开挖或路面破除、回填、弃置、垫层、基础、灌缝等所有工作内容;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607AA">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C6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4E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270.93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5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13546.57 </w:t>
            </w:r>
          </w:p>
        </w:tc>
      </w:tr>
      <w:tr w14:paraId="396C6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E5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CBB">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隔离护栏</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DFF5">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中央分隔护栏:立柱100*100*3灰色热镀锌钢静电喷涂,高1200/850mm,3M黄色反光膜,铝制柱帽;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竖杆25*25*2.0灰色热镀锌钢静电喷涂,高800/450mm@138mm;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外框/横管40*60*2.5灰色热镀锌钢静电喷涂;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 xml:space="preserve">详见图纸大样; </w:t>
            </w:r>
            <w:r>
              <w:rPr>
                <w:rFonts w:hint="eastAsia" w:ascii="新宋体" w:hAnsi="新宋体" w:eastAsia="新宋体" w:cs="新宋体"/>
                <w:i w:val="0"/>
                <w:iCs w:val="0"/>
                <w:color w:val="000000"/>
                <w:kern w:val="0"/>
                <w:sz w:val="18"/>
                <w:szCs w:val="18"/>
                <w:u w:val="none"/>
                <w:lang w:val="en-US" w:eastAsia="zh-CN" w:bidi="ar"/>
              </w:rPr>
              <w:br w:type="textWrapping"/>
            </w:r>
            <w:r>
              <w:rPr>
                <w:rFonts w:hint="eastAsia" w:ascii="新宋体" w:hAnsi="新宋体" w:eastAsia="新宋体" w:cs="新宋体"/>
                <w:i w:val="0"/>
                <w:iCs w:val="0"/>
                <w:color w:val="000000"/>
                <w:kern w:val="0"/>
                <w:sz w:val="18"/>
                <w:szCs w:val="18"/>
                <w:u w:val="none"/>
                <w:lang w:val="en-US" w:eastAsia="zh-CN" w:bidi="ar"/>
              </w:rPr>
              <w:t>满足规范及设计要求;</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42F3">
            <w:pPr>
              <w:keepNext w:val="0"/>
              <w:keepLines w:val="0"/>
              <w:widowControl/>
              <w:suppressLineNumbers w:val="0"/>
              <w:jc w:val="left"/>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m</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4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2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251.72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81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125858.20 </w:t>
            </w:r>
          </w:p>
        </w:tc>
      </w:tr>
      <w:tr w14:paraId="21FF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A04D">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A4A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暂列金</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5D89">
            <w:pPr>
              <w:jc w:val="left"/>
              <w:rPr>
                <w:rFonts w:hint="eastAsia" w:ascii="宋体" w:hAnsi="宋体" w:eastAsia="宋体" w:cs="宋体"/>
                <w:b/>
                <w:bCs/>
                <w:i w:val="0"/>
                <w:iCs w:val="0"/>
                <w:color w:val="000000"/>
                <w:sz w:val="18"/>
                <w:szCs w:val="18"/>
                <w:u w:val="none"/>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5B51">
            <w:pPr>
              <w:jc w:val="left"/>
              <w:rPr>
                <w:rFonts w:hint="eastAsia" w:ascii="宋体" w:hAnsi="宋体" w:eastAsia="宋体" w:cs="宋体"/>
                <w:i w:val="0"/>
                <w:iCs w:val="0"/>
                <w:color w:val="000000"/>
                <w:sz w:val="18"/>
                <w:szCs w:val="18"/>
                <w:u w:val="none"/>
              </w:rPr>
            </w:pP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F31F">
            <w:pPr>
              <w:jc w:val="center"/>
              <w:rPr>
                <w:rFonts w:hint="eastAsia" w:ascii="宋体" w:hAnsi="宋体" w:eastAsia="宋体" w:cs="宋体"/>
                <w:i w:val="0"/>
                <w:iCs w:val="0"/>
                <w:color w:val="000000"/>
                <w:sz w:val="18"/>
                <w:szCs w:val="18"/>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F48E5">
            <w:pPr>
              <w:jc w:val="center"/>
              <w:rPr>
                <w:rFonts w:hint="eastAsia" w:ascii="宋体" w:hAnsi="宋体" w:eastAsia="宋体" w:cs="宋体"/>
                <w:i w:val="0"/>
                <w:iCs w:val="0"/>
                <w:color w:val="000000"/>
                <w:sz w:val="18"/>
                <w:szCs w:val="18"/>
                <w:u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F3BA">
            <w:pPr>
              <w:jc w:val="center"/>
              <w:rPr>
                <w:rFonts w:hint="eastAsia" w:ascii="宋体" w:hAnsi="宋体" w:eastAsia="宋体" w:cs="宋体"/>
                <w:i w:val="0"/>
                <w:iCs w:val="0"/>
                <w:color w:val="000000"/>
                <w:sz w:val="18"/>
                <w:szCs w:val="18"/>
                <w:u w:val="none"/>
              </w:rPr>
            </w:pPr>
          </w:p>
        </w:tc>
      </w:tr>
      <w:tr w14:paraId="4E783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44D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2C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暂列金</w:t>
            </w:r>
          </w:p>
        </w:tc>
        <w:tc>
          <w:tcPr>
            <w:tcW w:w="5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14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项目暂列金60000元，投标时不能改动</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81C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E3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62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60000.00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125B">
            <w:pPr>
              <w:keepNext w:val="0"/>
              <w:keepLines w:val="0"/>
              <w:widowControl/>
              <w:suppressLineNumbers w:val="0"/>
              <w:jc w:val="center"/>
              <w:textAlignment w:val="center"/>
              <w:rPr>
                <w:rFonts w:hint="eastAsia" w:ascii="新宋体" w:hAnsi="新宋体" w:eastAsia="新宋体" w:cs="新宋体"/>
                <w:i w:val="0"/>
                <w:iCs w:val="0"/>
                <w:color w:val="000000"/>
                <w:sz w:val="18"/>
                <w:szCs w:val="18"/>
                <w:u w:val="none"/>
              </w:rPr>
            </w:pPr>
            <w:r>
              <w:rPr>
                <w:rFonts w:hint="eastAsia" w:ascii="新宋体" w:hAnsi="新宋体" w:eastAsia="新宋体" w:cs="新宋体"/>
                <w:i w:val="0"/>
                <w:iCs w:val="0"/>
                <w:color w:val="000000"/>
                <w:kern w:val="0"/>
                <w:sz w:val="18"/>
                <w:szCs w:val="18"/>
                <w:u w:val="none"/>
                <w:lang w:val="en-US" w:eastAsia="zh-CN" w:bidi="ar"/>
              </w:rPr>
              <w:t xml:space="preserve">60000.00 </w:t>
            </w:r>
          </w:p>
        </w:tc>
      </w:tr>
      <w:tr w14:paraId="71D1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202"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A5D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以上表格为基础数据，供应商可自主增加但不可减少，否则做无效标处理</w:t>
            </w:r>
          </w:p>
        </w:tc>
      </w:tr>
      <w:tr w14:paraId="41870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25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59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676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765000.00 </w:t>
            </w:r>
          </w:p>
        </w:tc>
      </w:tr>
    </w:tbl>
    <w:p w14:paraId="54A3F579">
      <w:pPr>
        <w:rPr>
          <w:rFonts w:ascii="宋体" w:hAnsi="宋体" w:cs="宋体"/>
          <w:color w:val="000000"/>
          <w:sz w:val="24"/>
          <w:szCs w:val="24"/>
          <w:highlight w:val="none"/>
        </w:rPr>
      </w:pPr>
      <w:r>
        <w:rPr>
          <w:rFonts w:hint="eastAsia" w:ascii="宋体" w:hAnsi="宋体" w:cs="宋体"/>
          <w:color w:val="000000"/>
          <w:sz w:val="24"/>
          <w:szCs w:val="24"/>
          <w:highlight w:val="none"/>
        </w:rPr>
        <w:t xml:space="preserve">                                                                       </w:t>
      </w:r>
    </w:p>
    <w:p w14:paraId="04CCF245">
      <w:pPr>
        <w:spacing w:line="360" w:lineRule="auto"/>
      </w:pPr>
      <w:r>
        <w:rPr>
          <w:rFonts w:hint="eastAsia" w:ascii="宋体" w:hAnsi="宋体" w:cs="宋体"/>
          <w:color w:val="000000"/>
          <w:sz w:val="24"/>
          <w:highlight w:val="none"/>
        </w:rPr>
        <w:t xml:space="preserve">                                                                               </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F85CE5"/>
    <w:multiLevelType w:val="singleLevel"/>
    <w:tmpl w:val="7DF85CE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795DEF"/>
    <w:rsid w:val="098D74F7"/>
    <w:rsid w:val="0CDD0C11"/>
    <w:rsid w:val="3F4E0D86"/>
    <w:rsid w:val="52603EB2"/>
    <w:rsid w:val="59F900A2"/>
    <w:rsid w:val="7A964DFE"/>
    <w:rsid w:val="7E79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pPr>
    <w:rPr>
      <w:rFonts w:hint="default" w:ascii="Symbol" w:hAnsi="Symbol" w:eastAsia="宋体" w:cs="Symbol"/>
      <w:color w:val="000000"/>
      <w:sz w:val="24"/>
      <w:szCs w:val="24"/>
      <w:lang w:val="en-US" w:eastAsia="zh-CN" w:bidi="ar-SA"/>
    </w:rPr>
  </w:style>
  <w:style w:type="paragraph" w:customStyle="1" w:styleId="5">
    <w:name w:val="纯文本11"/>
    <w:basedOn w:val="1"/>
    <w:next w:val="6"/>
    <w:qFormat/>
    <w:uiPriority w:val="99"/>
    <w:rPr>
      <w:rFonts w:hint="eastAsia" w:ascii="宋体" w:hAnsi="Courier New"/>
      <w:szCs w:val="20"/>
    </w:rPr>
  </w:style>
  <w:style w:type="paragraph" w:customStyle="1" w:styleId="6">
    <w:name w:val="正文缩进11"/>
    <w:basedOn w:val="1"/>
    <w:next w:val="1"/>
    <w:qFormat/>
    <w:uiPriority w:val="99"/>
    <w:pPr>
      <w:ind w:firstLine="420"/>
      <w:jc w:val="left"/>
    </w:pPr>
    <w:rPr>
      <w:rFonts w:ascii="宋体"/>
      <w:sz w:val="24"/>
    </w:rPr>
  </w:style>
  <w:style w:type="character" w:customStyle="1" w:styleId="7">
    <w:name w:val="font81"/>
    <w:basedOn w:val="3"/>
    <w:qFormat/>
    <w:uiPriority w:val="0"/>
    <w:rPr>
      <w:rFonts w:hint="eastAsia" w:ascii="宋体" w:hAnsi="宋体" w:eastAsia="宋体" w:cs="宋体"/>
      <w:color w:val="000000"/>
      <w:sz w:val="24"/>
      <w:szCs w:val="24"/>
      <w:u w:val="single"/>
    </w:rPr>
  </w:style>
  <w:style w:type="character" w:customStyle="1" w:styleId="8">
    <w:name w:val="font0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3641</Words>
  <Characters>4334</Characters>
  <Lines>0</Lines>
  <Paragraphs>0</Paragraphs>
  <TotalTime>4</TotalTime>
  <ScaleCrop>false</ScaleCrop>
  <LinksUpToDate>false</LinksUpToDate>
  <CharactersWithSpaces>4898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2025-12-05T02:04:00Z</dcterms:created>
  <dc:creator>admin</dc:creator>
  <cp:lastModifiedBy>czjtss</cp:lastModifiedBy>
  <dcterms:modified xsi:type="dcterms:W3CDTF">2025-12-09T07:29:35Z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D9625A68A8AD46C3855C4BEE41DB4BC9_11</vt:lpwstr>
  </property>
  <property fmtid="{D5CDD505-2E9C-101B-9397-08002B2CF9AE}" pid="4" name="KSOTemplateDocerSaveRecord">
    <vt:lpwstr>eyJoZGlkIjoiNzgxYTFjMGY5YTZkNmUyYzEwYjA3OTg1MzgxNmRhOGIiLCJ1c2VySWQiOiIxMDMxMTM3ODg2In0=</vt:lpwstr>
  </property>
</Properties>
</file>