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3"/>
        <w:ind w:firstLine="2891"/>
        <w:jc w:val="both"/>
        <w:pageBreakBefore w:val="0"/>
        <w:spacing w:line="360" w:lineRule="auto"/>
        <w:rPr>
          <w:rFonts w:hint="eastAsia" w:ascii="新宋体" w:hAnsi="新宋体" w:eastAsia="新宋体"/>
          <w:b/>
          <w:bCs/>
          <w:color w:val="000000"/>
          <w:sz w:val="144"/>
          <w:szCs w:val="144"/>
          <w:highlight w:val="none"/>
        </w:rPr>
      </w:pPr>
      <w:r>
        <w:rPr>
          <w:rFonts w:hint="eastAsia" w:ascii="新宋体" w:hAnsi="新宋体" w:eastAsia="新宋体"/>
          <w:b/>
          <w:bCs/>
          <w:color w:val="000000"/>
          <w:sz w:val="144"/>
          <w:szCs w:val="144"/>
          <w:highlight w:val="none"/>
        </w:rPr>
      </w:r>
      <w:r/>
    </w:p>
    <w:p>
      <w:pPr>
        <w:pStyle w:val="1203"/>
        <w:ind w:firstLine="1928"/>
        <w:jc w:val="center"/>
        <w:pageBreakBefore w:val="0"/>
        <w:spacing w:line="360" w:lineRule="auto"/>
        <w:rPr>
          <w:rFonts w:hint="eastAsia" w:ascii="新宋体" w:hAnsi="新宋体" w:eastAsia="新宋体"/>
          <w:b/>
          <w:bCs/>
          <w:color w:val="000000"/>
          <w:sz w:val="96"/>
          <w:highlight w:val="none"/>
        </w:rPr>
      </w:pPr>
      <w:r>
        <w:rPr>
          <w:rFonts w:hint="eastAsia" w:ascii="新宋体" w:hAnsi="新宋体" w:eastAsia="新宋体"/>
          <w:b/>
          <w:bCs/>
          <w:color w:val="000000"/>
          <w:sz w:val="96"/>
          <w:highlight w:val="none"/>
        </w:rPr>
      </w:r>
      <w:r/>
    </w:p>
    <w:p>
      <w:pPr>
        <w:pStyle w:val="1203"/>
        <w:ind w:firstLine="472"/>
        <w:jc w:val="center"/>
        <w:pageBreakBefore w:val="0"/>
        <w:spacing w:line="360" w:lineRule="auto"/>
        <w:rPr>
          <w:rFonts w:hint="eastAsia" w:ascii="新宋体" w:hAnsi="新宋体" w:eastAsia="新宋体"/>
          <w:b/>
          <w:bCs/>
          <w:color w:val="000000"/>
          <w:sz w:val="96"/>
          <w:highlight w:val="none"/>
        </w:rPr>
      </w:pPr>
      <w:r>
        <w:rPr>
          <w:rFonts w:hint="eastAsia" w:ascii="新宋体" w:hAnsi="新宋体" w:eastAsia="新宋体"/>
          <w:b/>
          <w:bCs/>
          <w:color w:val="000000"/>
          <w:sz w:val="84"/>
          <w:szCs w:val="84"/>
          <w:highlight w:val="none"/>
        </w:rPr>
        <w:t xml:space="preserve">竞争性磋商文件</w:t>
      </w:r>
      <w:r>
        <w:rPr>
          <w:rFonts w:hint="eastAsia" w:ascii="新宋体" w:hAnsi="新宋体" w:eastAsia="新宋体"/>
          <w:b/>
          <w:bCs/>
          <w:color w:val="000000"/>
          <w:sz w:val="96"/>
          <w:highlight w:val="none"/>
        </w:rPr>
      </w:r>
      <w:r/>
    </w:p>
    <w:p>
      <w:pPr>
        <w:pStyle w:val="1203"/>
        <w:ind w:firstLine="0"/>
        <w:jc w:val="center"/>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t xml:space="preserve">（全流程电子化）</w:t>
      </w:r>
      <w:r>
        <w:rPr>
          <w:rFonts w:hint="eastAsia" w:ascii="新宋体" w:hAnsi="新宋体" w:eastAsia="新宋体"/>
          <w:b/>
          <w:bCs/>
          <w:color w:val="000000"/>
          <w:sz w:val="32"/>
          <w:szCs w:val="32"/>
          <w:highlight w:val="none"/>
        </w:rPr>
      </w:r>
      <w:r/>
    </w:p>
    <w:p>
      <w:pPr>
        <w:pStyle w:val="1203"/>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1203"/>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1203"/>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1203"/>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1203"/>
        <w:ind w:firstLine="1285"/>
        <w:jc w:val="both"/>
        <w:pageBreakBefore w:val="0"/>
        <w:spacing w:line="360" w:lineRule="auto"/>
        <w:rPr>
          <w:rFonts w:hint="eastAsia" w:ascii="新宋体" w:hAnsi="新宋体" w:eastAsia="新宋体"/>
          <w:b/>
          <w:bCs/>
          <w:color w:val="000000"/>
          <w:sz w:val="32"/>
          <w:szCs w:val="32"/>
          <w:highlight w:val="none"/>
          <w:lang w:eastAsia="zh-CN"/>
        </w:rPr>
      </w:pPr>
      <w:r>
        <w:rPr>
          <w:rFonts w:hint="eastAsia" w:ascii="新宋体" w:hAnsi="新宋体" w:eastAsia="新宋体"/>
          <w:b/>
          <w:bCs/>
          <w:color w:val="000000"/>
          <w:sz w:val="32"/>
          <w:szCs w:val="32"/>
          <w:highlight w:val="none"/>
        </w:rPr>
        <w:t xml:space="preserve">项目名称：</w:t>
      </w:r>
      <w:r>
        <w:rPr>
          <w:rFonts w:hint="eastAsia" w:ascii="新宋体" w:hAnsi="新宋体" w:eastAsia="新宋体"/>
          <w:b/>
          <w:bCs/>
          <w:color w:val="000000"/>
          <w:sz w:val="32"/>
          <w:szCs w:val="32"/>
          <w:highlight w:val="none"/>
          <w:lang w:eastAsia="zh-CN"/>
        </w:rPr>
        <w:t xml:space="preserve">药品检验实训室建设项目</w:t>
      </w:r>
      <w:r>
        <w:rPr>
          <w:rFonts w:hint="eastAsia" w:ascii="新宋体" w:hAnsi="新宋体" w:eastAsia="新宋体"/>
          <w:b/>
          <w:bCs/>
          <w:color w:val="000000"/>
          <w:sz w:val="32"/>
          <w:szCs w:val="32"/>
          <w:highlight w:val="none"/>
          <w:lang w:eastAsia="zh-CN"/>
        </w:rPr>
      </w:r>
      <w:r/>
    </w:p>
    <w:p>
      <w:pPr>
        <w:pStyle w:val="1203"/>
        <w:ind w:firstLine="1285"/>
        <w:jc w:val="both"/>
        <w:pageBreakBefore w:val="0"/>
        <w:spacing w:line="360" w:lineRule="auto"/>
        <w:rPr>
          <w:rFonts w:hint="eastAsia" w:ascii="新宋体" w:hAnsi="新宋体" w:eastAsia="新宋体"/>
          <w:b/>
          <w:bCs/>
          <w:color w:val="000000"/>
          <w:sz w:val="32"/>
          <w:szCs w:val="32"/>
          <w:highlight w:val="none"/>
          <w:lang w:eastAsia="zh-CN"/>
        </w:rPr>
      </w:pPr>
      <w:r>
        <w:rPr>
          <w:rFonts w:hint="eastAsia" w:ascii="新宋体" w:hAnsi="新宋体" w:eastAsia="新宋体"/>
          <w:b/>
          <w:bCs/>
          <w:color w:val="000000"/>
          <w:sz w:val="32"/>
          <w:szCs w:val="32"/>
          <w:highlight w:val="none"/>
        </w:rPr>
        <w:t xml:space="preserve">项目编号：</w:t>
      </w:r>
      <w:r>
        <w:rPr>
          <w:rFonts w:hint="eastAsia" w:ascii="新宋体" w:hAnsi="新宋体" w:eastAsia="新宋体"/>
          <w:b/>
          <w:bCs/>
          <w:color w:val="000000"/>
          <w:sz w:val="32"/>
          <w:szCs w:val="32"/>
          <w:highlight w:val="none"/>
          <w:lang w:eastAsia="zh-CN"/>
        </w:rPr>
        <w:t xml:space="preserve">JSZC-321200-HQGC-C2026-0006</w:t>
      </w:r>
      <w:r>
        <w:rPr>
          <w:rFonts w:hint="eastAsia" w:ascii="新宋体" w:hAnsi="新宋体" w:eastAsia="新宋体"/>
          <w:b/>
          <w:bCs/>
          <w:color w:val="000000"/>
          <w:sz w:val="32"/>
          <w:szCs w:val="32"/>
          <w:highlight w:val="none"/>
          <w:lang w:eastAsia="zh-CN"/>
        </w:rPr>
      </w:r>
      <w:r/>
    </w:p>
    <w:p>
      <w:pPr>
        <w:pStyle w:val="1203"/>
        <w:ind w:left="3065" w:hanging="1606"/>
        <w:jc w:val="both"/>
        <w:pageBreakBefore w:val="0"/>
        <w:spacing w:line="360" w:lineRule="auto"/>
        <w:rPr>
          <w:rFonts w:hint="eastAsia" w:ascii="新宋体" w:hAnsi="新宋体" w:eastAsia="新宋体"/>
          <w:b/>
          <w:bCs/>
          <w:color w:val="000000"/>
          <w:sz w:val="32"/>
          <w:szCs w:val="32"/>
          <w:highlight w:val="none"/>
          <w:lang w:eastAsia="zh-CN"/>
        </w:rPr>
      </w:pPr>
      <w:r>
        <w:rPr>
          <w:rFonts w:hint="eastAsia" w:ascii="新宋体" w:hAnsi="新宋体" w:eastAsia="新宋体"/>
          <w:b/>
          <w:bCs/>
          <w:color w:val="000000"/>
          <w:sz w:val="32"/>
          <w:szCs w:val="32"/>
          <w:highlight w:val="none"/>
        </w:rPr>
        <w:t xml:space="preserve">采 购 人：</w:t>
      </w:r>
      <w:r>
        <w:rPr>
          <w:rFonts w:hint="eastAsia" w:ascii="新宋体" w:hAnsi="新宋体" w:eastAsia="新宋体"/>
          <w:b/>
          <w:bCs/>
          <w:color w:val="000000"/>
          <w:sz w:val="32"/>
          <w:szCs w:val="32"/>
          <w:highlight w:val="none"/>
          <w:lang w:eastAsia="zh-CN"/>
        </w:rPr>
        <w:t xml:space="preserve">泰州职业技术学院 </w:t>
      </w:r>
      <w:r>
        <w:rPr>
          <w:rFonts w:hint="eastAsia" w:ascii="新宋体" w:hAnsi="新宋体" w:eastAsia="新宋体"/>
          <w:b/>
          <w:bCs/>
          <w:color w:val="000000"/>
          <w:sz w:val="32"/>
          <w:szCs w:val="32"/>
          <w:highlight w:val="none"/>
          <w:lang w:eastAsia="zh-CN"/>
        </w:rPr>
      </w:r>
      <w:r/>
    </w:p>
    <w:p>
      <w:pPr>
        <w:pStyle w:val="1173"/>
        <w:ind w:firstLine="480"/>
        <w:jc w:val="center"/>
        <w:pageBreakBefore w:val="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173"/>
        <w:ind w:firstLine="2249"/>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r>
      <w:r/>
    </w:p>
    <w:p>
      <w:pPr>
        <w:pStyle w:val="1173"/>
        <w:ind w:firstLine="2249"/>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r>
      <w:r/>
    </w:p>
    <w:p>
      <w:pPr>
        <w:pStyle w:val="1173"/>
        <w:jc w:val="center"/>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t xml:space="preserve">采购代理：江苏华强工程投资管理咨询有限公司</w:t>
      </w:r>
      <w:r>
        <w:rPr>
          <w:rFonts w:hint="eastAsia" w:ascii="新宋体" w:hAnsi="新宋体" w:eastAsia="新宋体"/>
          <w:b/>
          <w:bCs/>
          <w:color w:val="000000"/>
          <w:sz w:val="32"/>
          <w:szCs w:val="32"/>
          <w:highlight w:val="none"/>
        </w:rPr>
      </w:r>
      <w:r/>
    </w:p>
    <w:p>
      <w:pPr>
        <w:pStyle w:val="1203"/>
        <w:ind w:firstLine="643"/>
        <w:jc w:val="center"/>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t xml:space="preserve">202</w:t>
      </w:r>
      <w:r>
        <w:rPr>
          <w:rFonts w:hint="eastAsia" w:ascii="新宋体" w:hAnsi="新宋体" w:eastAsia="新宋体"/>
          <w:b/>
          <w:bCs/>
          <w:color w:val="000000"/>
          <w:sz w:val="32"/>
          <w:szCs w:val="32"/>
          <w:highlight w:val="none"/>
          <w:lang w:val="en-US" w:eastAsia="zh-CN"/>
        </w:rPr>
        <w:t xml:space="preserve">6</w:t>
      </w:r>
      <w:r>
        <w:rPr>
          <w:rFonts w:hint="eastAsia" w:ascii="新宋体" w:hAnsi="新宋体" w:eastAsia="新宋体"/>
          <w:b/>
          <w:bCs/>
          <w:color w:val="000000"/>
          <w:sz w:val="32"/>
          <w:szCs w:val="32"/>
          <w:highlight w:val="none"/>
        </w:rPr>
        <w:t xml:space="preserve">年</w:t>
      </w:r>
      <w:r>
        <w:rPr>
          <w:rFonts w:hint="eastAsia" w:ascii="新宋体" w:hAnsi="新宋体" w:eastAsia="新宋体"/>
          <w:b/>
          <w:bCs/>
          <w:color w:val="000000"/>
          <w:sz w:val="32"/>
          <w:szCs w:val="32"/>
          <w:highlight w:val="none"/>
          <w:lang w:val="en-US" w:eastAsia="zh-CN"/>
        </w:rPr>
        <w:t xml:space="preserve">1</w:t>
      </w:r>
      <w:r>
        <w:rPr>
          <w:rFonts w:hint="eastAsia" w:ascii="新宋体" w:hAnsi="新宋体" w:eastAsia="新宋体"/>
          <w:b/>
          <w:bCs/>
          <w:color w:val="000000"/>
          <w:sz w:val="32"/>
          <w:szCs w:val="32"/>
          <w:highlight w:val="none"/>
        </w:rPr>
        <w:t xml:space="preserve">月</w:t>
      </w:r>
      <w:r>
        <w:rPr>
          <w:rFonts w:hint="eastAsia" w:ascii="新宋体" w:hAnsi="新宋体" w:eastAsia="新宋体"/>
          <w:b/>
          <w:bCs/>
          <w:color w:val="000000"/>
          <w:sz w:val="32"/>
          <w:szCs w:val="32"/>
          <w:highlight w:val="none"/>
        </w:rPr>
      </w:r>
      <w:r/>
    </w:p>
    <w:p>
      <w:pPr>
        <w:pStyle w:val="1203"/>
        <w:jc w:val="center"/>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1203"/>
        <w:jc w:val="center"/>
        <w:pageBreakBefore w:val="0"/>
        <w:spacing w:line="360" w:lineRule="auto"/>
        <w:rPr>
          <w:rFonts w:hint="eastAsia" w:ascii="新宋体" w:hAnsi="新宋体" w:eastAsia="新宋体"/>
          <w:b/>
          <w:bCs/>
          <w:color w:val="000000"/>
          <w:highlight w:val="none"/>
        </w:rPr>
      </w:pPr>
      <w:r>
        <w:rPr>
          <w:rFonts w:hint="eastAsia" w:ascii="新宋体" w:hAnsi="新宋体" w:eastAsia="新宋体"/>
          <w:b/>
          <w:bCs/>
          <w:color w:val="000000"/>
          <w:highlight w:val="none"/>
        </w:rPr>
      </w:r>
      <w:r/>
    </w:p>
    <w:p>
      <w:pPr>
        <w:pStyle w:val="1204"/>
        <w:jc w:val="center"/>
        <w:pageBreakBefore w:val="0"/>
        <w:spacing w:before="0" w:line="360" w:lineRule="auto"/>
        <w:rPr>
          <w:rFonts w:hint="eastAsia" w:ascii="宋体" w:hAnsi="宋体" w:eastAsia="宋体"/>
          <w:b/>
          <w:color w:val="000000"/>
          <w:sz w:val="40"/>
          <w:highlight w:val="none"/>
          <w:lang w:val="zh-CN"/>
        </w:rPr>
      </w:pPr>
      <w:r>
        <w:rPr>
          <w:rFonts w:ascii="宋体" w:hAnsi="宋体" w:eastAsia="宋体"/>
          <w:b/>
          <w:color w:val="000000"/>
          <w:sz w:val="40"/>
          <w:highlight w:val="none"/>
          <w:lang w:val="zh-CN"/>
        </w:rPr>
        <w:t xml:space="preserve">目</w:t>
      </w:r>
      <w:r>
        <w:rPr>
          <w:rFonts w:hint="eastAsia" w:ascii="宋体" w:hAnsi="宋体" w:eastAsia="宋体"/>
          <w:b/>
          <w:color w:val="000000"/>
          <w:sz w:val="40"/>
          <w:highlight w:val="none"/>
        </w:rPr>
        <w:t xml:space="preserve">  </w:t>
      </w:r>
      <w:r>
        <w:rPr>
          <w:rFonts w:ascii="宋体" w:hAnsi="宋体" w:eastAsia="宋体"/>
          <w:b/>
          <w:color w:val="000000"/>
          <w:sz w:val="40"/>
          <w:highlight w:val="none"/>
          <w:lang w:val="zh-CN"/>
        </w:rPr>
        <w:t xml:space="preserve">录</w:t>
      </w:r>
      <w:r>
        <w:rPr>
          <w:rFonts w:hint="eastAsia" w:ascii="宋体" w:hAnsi="宋体" w:eastAsia="宋体"/>
          <w:b/>
          <w:color w:val="000000"/>
          <w:sz w:val="40"/>
          <w:highlight w:val="none"/>
          <w:lang w:val="zh-CN"/>
        </w:rPr>
      </w:r>
      <w:r/>
    </w:p>
    <w:p>
      <w:pPr>
        <w:pStyle w:val="1173"/>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189"/>
        <w:pageBreakBefore w:val="0"/>
        <w:spacing w:line="360" w:lineRule="auto"/>
        <w:tabs>
          <w:tab w:val="right" w:pos="9440" w:leader="dot"/>
        </w:tabs>
        <w:rPr>
          <w:rFonts w:hint="eastAsia" w:ascii="宋体" w:hAnsi="宋体" w:eastAsia="宋体" w:cs="宋体"/>
          <w:caps w:val="0"/>
          <w:color w:val="000000"/>
          <w:sz w:val="24"/>
          <w:szCs w:val="24"/>
          <w:highlight w:val="none"/>
        </w:rPr>
      </w:pPr>
      <w:r>
        <w:rPr>
          <w:rStyle w:val="1201"/>
          <w:rFonts w:hint="eastAsia" w:ascii="宋体" w:hAnsi="宋体" w:eastAsia="宋体" w:cs="宋体"/>
          <w:color w:val="000000"/>
          <w:sz w:val="24"/>
          <w:szCs w:val="24"/>
          <w:highlight w:val="none"/>
        </w:rPr>
        <w:fldChar w:fldCharType="begin"/>
      </w:r>
      <w:r>
        <w:rPr>
          <w:rStyle w:val="1201"/>
          <w:rFonts w:hint="eastAsia" w:ascii="宋体" w:hAnsi="宋体" w:eastAsia="宋体" w:cs="宋体"/>
          <w:color w:val="000000"/>
          <w:sz w:val="24"/>
          <w:szCs w:val="24"/>
          <w:highlight w:val="none"/>
        </w:rPr>
        <w:instrText xml:space="preserve"> TOC \o "1-1" \h \z \u </w:instrText>
      </w:r>
      <w:r>
        <w:rPr>
          <w:rStyle w:val="1201"/>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第一章 竞争性磋商采购公告</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fldChar w:fldCharType="begin"/>
      </w:r>
      <w:r>
        <w:rPr>
          <w:rFonts w:hint="eastAsia" w:ascii="宋体" w:hAnsi="宋体" w:eastAsia="宋体" w:cs="宋体"/>
          <w:caps w:val="0"/>
          <w:color w:val="000000"/>
          <w:sz w:val="24"/>
          <w:szCs w:val="24"/>
          <w:highlight w:val="none"/>
        </w:rPr>
        <w:instrText xml:space="preserve"> PAGEREF _Toc86268900 \h </w:instrText>
      </w:r>
      <w:r>
        <w:rPr>
          <w:rFonts w:hint="eastAsia" w:ascii="宋体" w:hAnsi="宋体" w:eastAsia="宋体" w:cs="宋体"/>
          <w:caps w:val="0"/>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3</w:t>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r>
      <w:r/>
    </w:p>
    <w:p>
      <w:pPr>
        <w:pStyle w:val="1189"/>
        <w:pageBreakBefore w:val="0"/>
        <w:spacing w:line="360" w:lineRule="auto"/>
        <w:tabs>
          <w:tab w:val="right" w:pos="9440" w:leader="dot"/>
        </w:tabs>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第二章 参加磋商</w:t>
      </w:r>
      <w:r>
        <w:rPr>
          <w:rFonts w:hint="eastAsia" w:ascii="宋体" w:hAnsi="宋体" w:eastAsia="宋体" w:cs="宋体"/>
          <w:caps w:val="0"/>
          <w:color w:val="000000"/>
          <w:sz w:val="24"/>
          <w:szCs w:val="24"/>
          <w:highlight w:val="none"/>
          <w:lang w:val="en-US" w:eastAsia="zh-CN"/>
        </w:rPr>
        <w:t xml:space="preserve">的</w:t>
      </w:r>
      <w:r>
        <w:rPr>
          <w:rFonts w:hint="eastAsia" w:ascii="宋体" w:hAnsi="宋体" w:eastAsia="宋体" w:cs="宋体"/>
          <w:caps w:val="0"/>
          <w:color w:val="000000"/>
          <w:sz w:val="24"/>
          <w:szCs w:val="24"/>
          <w:highlight w:val="none"/>
        </w:rPr>
        <w:t xml:space="preserve">供应商须知</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t xml:space="preserve">7</w:t>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r>
      <w:r/>
    </w:p>
    <w:p>
      <w:pPr>
        <w:pStyle w:val="1189"/>
        <w:pageBreakBefore w:val="0"/>
        <w:spacing w:line="360" w:lineRule="auto"/>
        <w:tabs>
          <w:tab w:val="right" w:pos="9440" w:leader="dot"/>
        </w:tabs>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第三章 合同条款及格式</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fldChar w:fldCharType="begin"/>
      </w:r>
      <w:r>
        <w:rPr>
          <w:rFonts w:hint="eastAsia" w:ascii="宋体" w:hAnsi="宋体" w:eastAsia="宋体" w:cs="宋体"/>
          <w:caps w:val="0"/>
          <w:color w:val="000000"/>
          <w:sz w:val="24"/>
          <w:szCs w:val="24"/>
          <w:highlight w:val="none"/>
        </w:rPr>
        <w:instrText xml:space="preserve"> PAGEREF _Toc86268901 \h </w:instrText>
      </w:r>
      <w:r>
        <w:rPr>
          <w:rFonts w:hint="eastAsia" w:ascii="宋体" w:hAnsi="宋体" w:eastAsia="宋体" w:cs="宋体"/>
          <w:caps w:val="0"/>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25</w:t>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r>
      <w:r/>
    </w:p>
    <w:p>
      <w:pPr>
        <w:pStyle w:val="1189"/>
        <w:pageBreakBefore w:val="0"/>
        <w:spacing w:line="360" w:lineRule="auto"/>
        <w:tabs>
          <w:tab w:val="right" w:pos="9440" w:leader="dot"/>
        </w:tabs>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第四章 项目需求</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fldChar w:fldCharType="begin"/>
      </w:r>
      <w:r>
        <w:rPr>
          <w:rFonts w:hint="eastAsia" w:ascii="宋体" w:hAnsi="宋体" w:eastAsia="宋体" w:cs="宋体"/>
          <w:caps w:val="0"/>
          <w:color w:val="000000"/>
          <w:sz w:val="24"/>
          <w:szCs w:val="24"/>
          <w:highlight w:val="none"/>
        </w:rPr>
        <w:instrText xml:space="preserve"> PAGEREF _Toc86268902 \h </w:instrText>
      </w:r>
      <w:r>
        <w:rPr>
          <w:rFonts w:hint="eastAsia" w:ascii="宋体" w:hAnsi="宋体" w:eastAsia="宋体" w:cs="宋体"/>
          <w:caps w:val="0"/>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26</w:t>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rPr>
      </w:r>
      <w:r/>
    </w:p>
    <w:p>
      <w:pPr>
        <w:pStyle w:val="1189"/>
        <w:pageBreakBefore w:val="0"/>
        <w:spacing w:line="360" w:lineRule="auto"/>
        <w:tabs>
          <w:tab w:val="right" w:pos="9440" w:leader="dot"/>
        </w:tabs>
        <w:rPr>
          <w:rFonts w:hint="eastAsia" w:ascii="宋体" w:hAnsi="宋体" w:eastAsia="宋体" w:cs="宋体"/>
          <w:caps w:val="0"/>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第五章 评审方法和评审标准</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lang w:val="en-US" w:eastAsia="zh-CN"/>
        </w:rPr>
        <w:t xml:space="preserve">31</w:t>
      </w:r>
      <w:r>
        <w:rPr>
          <w:rFonts w:hint="eastAsia" w:ascii="宋体" w:hAnsi="宋体" w:eastAsia="宋体" w:cs="宋体"/>
          <w:caps w:val="0"/>
          <w:color w:val="000000"/>
          <w:sz w:val="24"/>
          <w:szCs w:val="24"/>
          <w:highlight w:val="none"/>
          <w:lang w:val="en-US" w:eastAsia="zh-CN"/>
        </w:rPr>
      </w:r>
      <w:r/>
    </w:p>
    <w:p>
      <w:pPr>
        <w:pStyle w:val="1189"/>
        <w:pageBreakBefore w:val="0"/>
        <w:spacing w:line="360" w:lineRule="auto"/>
        <w:tabs>
          <w:tab w:val="right" w:pos="9440" w:leader="dot"/>
        </w:tabs>
        <w:rPr>
          <w:rStyle w:val="1201"/>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"_Toc86268903"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aps w:val="0"/>
          <w:color w:val="000000"/>
          <w:sz w:val="24"/>
          <w:szCs w:val="24"/>
          <w:highlight w:val="none"/>
        </w:rPr>
        <w:t xml:space="preserve">第六章 响应文件的组成和格式</w:t>
      </w:r>
      <w:r>
        <w:rPr>
          <w:rFonts w:hint="eastAsia" w:ascii="宋体" w:hAnsi="宋体" w:eastAsia="宋体" w:cs="宋体"/>
          <w:caps w:val="0"/>
          <w:color w:val="000000"/>
          <w:sz w:val="24"/>
          <w:szCs w:val="24"/>
          <w:highlight w:val="none"/>
        </w:rPr>
        <w:tab/>
      </w:r>
      <w:r>
        <w:rPr>
          <w:rFonts w:hint="eastAsia" w:ascii="宋体" w:hAnsi="宋体" w:eastAsia="宋体" w:cs="宋体"/>
          <w:caps w:val="0"/>
          <w:color w:val="000000"/>
          <w:sz w:val="24"/>
          <w:szCs w:val="24"/>
          <w:highlight w:val="none"/>
        </w:rPr>
        <w:t xml:space="preserve">3</w:t>
      </w:r>
      <w:r>
        <w:rPr>
          <w:rFonts w:hint="eastAsia" w:ascii="宋体" w:hAnsi="宋体" w:eastAsia="宋体" w:cs="宋体"/>
          <w:caps w:val="0"/>
          <w:color w:val="000000"/>
          <w:sz w:val="24"/>
          <w:szCs w:val="24"/>
          <w:highlight w:val="none"/>
        </w:rPr>
        <w:fldChar w:fldCharType="end"/>
      </w:r>
      <w:r>
        <w:rPr>
          <w:rFonts w:hint="eastAsia" w:ascii="宋体" w:hAnsi="宋体" w:eastAsia="宋体" w:cs="宋体"/>
          <w:caps w:val="0"/>
          <w:color w:val="000000"/>
          <w:sz w:val="24"/>
          <w:szCs w:val="24"/>
          <w:highlight w:val="none"/>
          <w:lang w:val="en-US" w:eastAsia="zh-CN"/>
        </w:rPr>
        <w:t xml:space="preserve">6</w:t>
      </w:r>
      <w:r>
        <w:rPr>
          <w:rStyle w:val="1201"/>
          <w:rFonts w:hint="eastAsia" w:ascii="宋体" w:hAnsi="宋体" w:eastAsia="宋体" w:cs="宋体"/>
          <w:color w:val="000000"/>
          <w:sz w:val="24"/>
          <w:szCs w:val="24"/>
          <w:highlight w:val="none"/>
          <w:lang w:eastAsia="zh-CN"/>
        </w:rPr>
      </w:r>
      <w:r/>
    </w:p>
    <w:p>
      <w:pPr>
        <w:pStyle w:val="1189"/>
        <w:pageBreakBefore w:val="0"/>
        <w:spacing w:line="360" w:lineRule="auto"/>
        <w:tabs>
          <w:tab w:val="right" w:pos="9440" w:leader="dot"/>
        </w:tabs>
        <w:rPr>
          <w:rStyle w:val="1201"/>
          <w:rFonts w:hint="eastAsia" w:ascii="宋体" w:hAnsi="宋体" w:eastAsia="宋体" w:cs="宋体"/>
          <w:color w:val="000000"/>
          <w:sz w:val="24"/>
          <w:szCs w:val="24"/>
          <w:highlight w:val="none"/>
        </w:rPr>
      </w:pPr>
      <w:r>
        <w:rPr>
          <w:rStyle w:val="1201"/>
          <w:rFonts w:hint="eastAsia" w:ascii="宋体" w:hAnsi="宋体" w:eastAsia="宋体" w:cs="宋体"/>
          <w:color w:val="000000"/>
          <w:sz w:val="24"/>
          <w:szCs w:val="24"/>
          <w:highlight w:val="none"/>
        </w:rPr>
        <w:fldChar w:fldCharType="end"/>
      </w:r>
      <w:r>
        <w:rPr>
          <w:rStyle w:val="1201"/>
          <w:rFonts w:hint="eastAsia" w:ascii="宋体" w:hAnsi="宋体" w:eastAsia="宋体" w:cs="宋体"/>
          <w:color w:val="000000"/>
          <w:sz w:val="24"/>
          <w:szCs w:val="24"/>
          <w:highlight w:val="none"/>
        </w:rPr>
      </w:r>
      <w:r/>
    </w:p>
    <w:p>
      <w:pPr>
        <w:pStyle w:val="1189"/>
        <w:pageBreakBefore w:val="0"/>
        <w:spacing w:line="360" w:lineRule="auto"/>
        <w:tabs>
          <w:tab w:val="right" w:pos="9440" w:leader="dot"/>
        </w:tabs>
        <w:rPr>
          <w:rStyle w:val="1201"/>
          <w:rFonts w:hint="eastAsia" w:ascii="宋体" w:hAnsi="宋体" w:eastAsia="宋体" w:cs="宋体"/>
          <w:color w:val="000000"/>
          <w:sz w:val="24"/>
          <w:szCs w:val="24"/>
          <w:highlight w:val="none"/>
        </w:rPr>
      </w:pPr>
      <w:r>
        <w:rPr>
          <w:rStyle w:val="1201"/>
          <w:rFonts w:hint="eastAsia" w:ascii="宋体" w:hAnsi="宋体" w:eastAsia="宋体" w:cs="宋体"/>
          <w:color w:val="000000"/>
          <w:sz w:val="24"/>
          <w:szCs w:val="24"/>
          <w:highlight w:val="none"/>
        </w:rPr>
      </w:r>
      <w:r/>
    </w:p>
    <w:p>
      <w:pPr>
        <w:pStyle w:val="1189"/>
        <w:pageBreakBefore w:val="0"/>
        <w:spacing w:line="360" w:lineRule="auto"/>
        <w:tabs>
          <w:tab w:val="right" w:pos="9440" w:leader="dot"/>
        </w:tabs>
        <w:rPr>
          <w:rStyle w:val="1201"/>
          <w:rFonts w:hint="eastAsia" w:ascii="宋体" w:hAnsi="宋体" w:eastAsia="宋体" w:cs="宋体"/>
          <w:color w:val="000000"/>
          <w:sz w:val="24"/>
          <w:szCs w:val="24"/>
          <w:highlight w:val="none"/>
        </w:rPr>
      </w:pPr>
      <w:r>
        <w:rPr>
          <w:rStyle w:val="1201"/>
          <w:rFonts w:hint="eastAsia" w:ascii="宋体" w:hAnsi="宋体" w:eastAsia="宋体" w:cs="宋体"/>
          <w:color w:val="000000"/>
          <w:sz w:val="24"/>
          <w:szCs w:val="24"/>
          <w:highlight w:val="none"/>
        </w:rPr>
      </w:r>
      <w:r/>
    </w:p>
    <w:p>
      <w:pPr>
        <w:pStyle w:val="1203"/>
        <w:ind w:firstLine="360"/>
        <w:jc w:val="center"/>
        <w:pageBreakBefore w:val="0"/>
        <w:spacing w:line="360" w:lineRule="auto"/>
        <w:rPr>
          <w:rStyle w:val="1201"/>
          <w:rFonts w:hint="eastAsia" w:ascii="宋体" w:hAnsi="宋体" w:eastAsia="宋体" w:cs="宋体"/>
          <w:caps/>
          <w:color w:val="000000"/>
          <w:sz w:val="24"/>
          <w:szCs w:val="24"/>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1701" w:equalWidth="1"/>
          <w:docGrid w:linePitch="360"/>
        </w:sectPr>
      </w:pPr>
      <w:r>
        <w:rPr>
          <w:rStyle w:val="1201"/>
          <w:rFonts w:hint="eastAsia" w:ascii="宋体" w:hAnsi="宋体" w:eastAsia="宋体" w:cs="宋体"/>
          <w:caps/>
          <w:color w:val="000000"/>
          <w:sz w:val="24"/>
          <w:szCs w:val="24"/>
          <w:highlight w:val="none"/>
        </w:rPr>
      </w:r>
      <w:r/>
    </w:p>
    <w:p>
      <w:pPr>
        <w:pStyle w:val="1174"/>
        <w:ind w:firstLine="482"/>
        <w:jc w:val="center"/>
        <w:pageBreakBefore w:val="0"/>
        <w:spacing w:line="360" w:lineRule="auto"/>
        <w:rPr>
          <w:rFonts w:hint="eastAsia" w:ascii="宋体" w:hAnsi="宋体" w:eastAsia="宋体" w:cs="宋体"/>
          <w:b/>
          <w:color w:val="000000"/>
          <w:sz w:val="24"/>
          <w:szCs w:val="24"/>
          <w:highlight w:val="none"/>
        </w:rPr>
      </w:pPr>
      <w:r/>
      <w:bookmarkStart w:id="0" w:name="_Toc86268900"/>
      <w:r>
        <w:rPr>
          <w:rFonts w:hint="eastAsia" w:ascii="宋体" w:hAnsi="宋体" w:eastAsia="宋体" w:cs="宋体"/>
          <w:b/>
          <w:color w:val="000000"/>
          <w:sz w:val="24"/>
          <w:szCs w:val="24"/>
          <w:highlight w:val="none"/>
        </w:rPr>
        <w:t xml:space="preserve">第一章 竞争性磋商采购公告</w:t>
      </w:r>
      <w:bookmarkEnd w:id="0"/>
      <w:r>
        <w:rPr>
          <w:rFonts w:hint="eastAsia" w:ascii="宋体" w:hAnsi="宋体" w:eastAsia="宋体" w:cs="宋体"/>
          <w:b/>
          <w:color w:val="000000"/>
          <w:sz w:val="24"/>
          <w:szCs w:val="24"/>
          <w:highlight w:val="none"/>
        </w:rPr>
      </w:r>
      <w:r/>
    </w:p>
    <w:p>
      <w:pPr>
        <w:pStyle w:val="1173"/>
        <w:jc w:val="left"/>
        <w:pageBreakBefore w:val="0"/>
        <w:spacing w:line="360" w:lineRule="auto"/>
        <w:widowControl/>
        <w:rPr>
          <w:rFonts w:hint="eastAsia" w:ascii="宋体" w:hAnsi="宋体" w:eastAsia="宋体" w:cs="宋体"/>
          <w:color w:val="000000"/>
          <w:sz w:val="24"/>
          <w:szCs w:val="24"/>
          <w:highlight w:val="none"/>
        </w:rPr>
      </w:pPr>
      <w:r/>
      <w:bookmarkStart w:id="1" w:name="_Toc35393798"/>
      <w:r/>
      <w:bookmarkStart w:id="2" w:name="_Toc28359089"/>
      <w:r/>
      <w:bookmarkStart w:id="3" w:name="_Toc28359012"/>
      <w:r/>
      <w:bookmarkStart w:id="4" w:name="_Toc35393629"/>
      <w:r/>
      <w:bookmarkStart w:id="5" w:name="_Toc61149549"/>
      <w:r/>
      <w:bookmarkStart w:id="6" w:name="_Toc513029209"/>
      <w:r/>
      <w:bookmarkStart w:id="7" w:name="_Toc14577347"/>
      <w:r>
        <w:rPr>
          <w:rFonts w:hint="eastAsia" w:ascii="宋体" w:hAnsi="宋体" w:eastAsia="宋体" w:cs="宋体"/>
          <w:b/>
          <w:bCs/>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173"/>
        <w:ind w:firstLine="48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eastAsia="zh-CN"/>
        </w:rPr>
        <w:t xml:space="preserve">药品检验实训室建设项目</w:t>
      </w:r>
      <w:r>
        <w:rPr>
          <w:rFonts w:hint="eastAsia" w:ascii="宋体" w:hAnsi="宋体" w:eastAsia="宋体" w:cs="宋体"/>
          <w:color w:val="000000"/>
          <w:sz w:val="24"/>
          <w:szCs w:val="24"/>
          <w:highlight w:val="none"/>
          <w:u w:val="none"/>
          <w:lang w:val="en-US" w:eastAsia="zh-CN"/>
        </w:rPr>
        <w:t xml:space="preserve">JSZC-321200-HQGC-C2026-0006采购项目</w:t>
      </w:r>
      <w:r>
        <w:rPr>
          <w:rFonts w:hint="eastAsia" w:ascii="宋体" w:hAnsi="宋体" w:eastAsia="宋体" w:cs="宋体"/>
          <w:color w:val="000000"/>
          <w:sz w:val="24"/>
          <w:szCs w:val="24"/>
          <w:highlight w:val="none"/>
        </w:rPr>
        <w:t xml:space="preserve">的潜在供应商应</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u w:val="single"/>
          <w:lang w:eastAsia="zh-CN"/>
        </w:rPr>
        <w:t xml:space="preserve">江苏政府采购网</w:t>
      </w:r>
      <w:r>
        <w:rPr>
          <w:rFonts w:hint="eastAsia" w:ascii="宋体" w:hAnsi="宋体" w:eastAsia="宋体" w:cs="宋体"/>
          <w:color w:val="000000"/>
          <w:sz w:val="24"/>
          <w:szCs w:val="24"/>
          <w:highlight w:val="none"/>
          <w:u w:val="single"/>
          <w:lang w:eastAsia="en-US"/>
        </w:rPr>
        <w:t xml:space="preserve">“苏采云”系统</w:t>
      </w:r>
      <w:r>
        <w:rPr>
          <w:rFonts w:hint="eastAsia" w:ascii="宋体" w:hAnsi="宋体" w:eastAsia="宋体" w:cs="宋体"/>
          <w:color w:val="000000"/>
          <w:sz w:val="24"/>
          <w:szCs w:val="24"/>
          <w:highlight w:val="none"/>
          <w:u w:val="single"/>
          <w:lang w:eastAsia="zh-CN"/>
        </w:rPr>
        <w:fldChar w:fldCharType="begin"/>
      </w:r>
      <w:r>
        <w:rPr>
          <w:rFonts w:hint="eastAsia" w:ascii="宋体" w:hAnsi="宋体" w:eastAsia="宋体" w:cs="宋体"/>
          <w:color w:val="000000"/>
          <w:sz w:val="24"/>
          <w:szCs w:val="24"/>
          <w:highlight w:val="none"/>
          <w:u w:val="single"/>
          <w:lang w:eastAsia="zh-CN"/>
        </w:rPr>
        <w:instrText xml:space="preserve"> HYPERLINK "mailto:或通过邮箱196673901@qq.com）获取采购文件，并于2020年%2012月" </w:instrText>
      </w:r>
      <w:r>
        <w:rPr>
          <w:rFonts w:hint="eastAsia" w:ascii="宋体" w:hAnsi="宋体" w:eastAsia="宋体" w:cs="宋体"/>
          <w:color w:val="000000"/>
          <w:sz w:val="24"/>
          <w:szCs w:val="24"/>
          <w:highlight w:val="none"/>
          <w:u w:val="single"/>
          <w:lang w:eastAsia="zh-CN"/>
        </w:rPr>
        <w:fldChar w:fldCharType="separate"/>
      </w:r>
      <w:r>
        <w:rPr>
          <w:rFonts w:hint="eastAsia" w:ascii="宋体" w:hAnsi="宋体" w:eastAsia="宋体" w:cs="宋体"/>
          <w:color w:val="000000"/>
          <w:sz w:val="24"/>
          <w:szCs w:val="24"/>
          <w:highlight w:val="none"/>
          <w:u w:val="none"/>
          <w:lang w:eastAsia="zh-CN"/>
        </w:rPr>
        <w:t xml:space="preserve">获取采购文件，并于202</w:t>
      </w: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eastAsia="zh-CN"/>
        </w:rPr>
        <w:t xml:space="preserve">年</w:t>
      </w: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lang w:eastAsia="zh-CN"/>
        </w:rPr>
        <w:t xml:space="preserve">月</w:t>
      </w:r>
      <w:r>
        <w:rPr>
          <w:rFonts w:hint="eastAsia" w:ascii="宋体" w:hAnsi="宋体" w:eastAsia="宋体" w:cs="宋体"/>
          <w:color w:val="000000"/>
          <w:sz w:val="24"/>
          <w:szCs w:val="24"/>
          <w:highlight w:val="none"/>
          <w:u w:val="single"/>
          <w:lang w:eastAsia="zh-CN"/>
        </w:rPr>
        <w:fldChar w:fldCharType="end"/>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0分（北京时间）前提交响应文件。</w:t>
      </w:r>
      <w:r>
        <w:rPr>
          <w:rFonts w:hint="eastAsia" w:ascii="宋体" w:hAnsi="宋体" w:eastAsia="宋体" w:cs="宋体"/>
          <w:sz w:val="24"/>
          <w:szCs w:val="24"/>
          <w:highlight w:val="none"/>
        </w:rPr>
      </w:r>
      <w:r/>
    </w:p>
    <w:p>
      <w:pPr>
        <w:pStyle w:val="1173"/>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bookmarkEnd w:id="1"/>
      <w:r/>
      <w:bookmarkEnd w:id="2"/>
      <w:r/>
      <w:bookmarkEnd w:id="3"/>
      <w:r/>
      <w:bookmarkEnd w:id="4"/>
      <w:r>
        <w:rPr>
          <w:rFonts w:hint="eastAsia" w:ascii="宋体" w:hAnsi="宋体" w:eastAsia="宋体" w:cs="宋体"/>
          <w:b/>
          <w:b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lang w:eastAsia="zh-CN"/>
        </w:rPr>
      </w:pPr>
      <w:r/>
      <w:bookmarkStart w:id="8" w:name="_Toc28359090"/>
      <w:r/>
      <w:bookmarkStart w:id="9" w:name="_Toc35393630"/>
      <w:r/>
      <w:bookmarkStart w:id="10" w:name="_Toc35393799"/>
      <w:r/>
      <w:bookmarkStart w:id="11" w:name="_Toc28359013"/>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JSZC-321200-HQGC-C2026-0006</w:t>
      </w:r>
      <w:r>
        <w:rPr>
          <w:rFonts w:hint="eastAsia" w:ascii="宋体" w:hAnsi="宋体" w:eastAsia="宋体" w:cs="宋体"/>
          <w:color w:val="000000"/>
          <w:sz w:val="24"/>
          <w:szCs w:val="24"/>
          <w:highlight w:val="none"/>
          <w:lang w:eastAsia="zh-CN"/>
        </w:rPr>
      </w:r>
      <w:r/>
    </w:p>
    <w:p>
      <w:pPr>
        <w:pStyle w:val="1173"/>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药品检验实训室建设项目</w:t>
      </w:r>
      <w:r>
        <w:rPr>
          <w:rFonts w:hint="eastAsia" w:ascii="宋体" w:hAnsi="宋体" w:eastAsia="宋体" w:cs="宋体"/>
          <w:color w:val="000000"/>
          <w:sz w:val="24"/>
          <w:szCs w:val="24"/>
          <w:highlight w:val="none"/>
          <w:lang w:eastAsia="zh-CN"/>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 </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142.3</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lang w:val="en-US" w:eastAsia="zh-CN"/>
        </w:rPr>
        <w:t xml:space="preserve">人民币</w:t>
      </w: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lang w:val="en-US" w:eastAsia="zh-CN"/>
        </w:rPr>
        <w:t xml:space="preserve">92.5</w:t>
      </w:r>
      <w:r>
        <w:rPr>
          <w:rFonts w:hint="eastAsia" w:ascii="宋体" w:hAnsi="宋体" w:eastAsia="宋体" w:cs="宋体"/>
          <w:color w:val="000000"/>
          <w:sz w:val="24"/>
          <w:szCs w:val="24"/>
          <w:highlight w:val="none"/>
        </w:rPr>
        <w:t xml:space="preserve">万元；采购包2：</w:t>
      </w:r>
      <w:r>
        <w:rPr>
          <w:rFonts w:hint="eastAsia" w:ascii="宋体" w:hAnsi="宋体" w:eastAsia="宋体" w:cs="宋体"/>
          <w:color w:val="000000"/>
          <w:sz w:val="24"/>
          <w:szCs w:val="24"/>
          <w:highlight w:val="none"/>
          <w:lang w:val="en-US" w:eastAsia="zh-CN"/>
        </w:rPr>
        <w:t xml:space="preserve">49.8</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同各分包的预算金额</w:t>
      </w:r>
      <w:r>
        <w:rPr>
          <w:rFonts w:hint="eastAsia" w:ascii="宋体" w:hAnsi="宋体" w:eastAsia="宋体" w:cs="宋体"/>
          <w:color w:val="000000"/>
          <w:sz w:val="24"/>
          <w:szCs w:val="24"/>
          <w:highlight w:val="none"/>
          <w:lang w:val="en-US" w:eastAsia="zh-CN"/>
        </w:rPr>
      </w:r>
      <w:r/>
    </w:p>
    <w:p>
      <w:pPr>
        <w:pStyle w:val="1173"/>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eastAsia="zh-CN"/>
        </w:rPr>
        <w:t xml:space="preserve">具体详见磋商文件采购需求</w:t>
      </w:r>
      <w:r>
        <w:rPr>
          <w:rFonts w:hint="eastAsia" w:ascii="宋体" w:hAnsi="宋体" w:eastAsia="宋体" w:cs="宋体"/>
          <w:color w:val="000000"/>
          <w:sz w:val="24"/>
          <w:szCs w:val="24"/>
          <w:highlight w:val="none"/>
          <w:lang w:eastAsia="zh-CN"/>
        </w:rPr>
      </w:r>
      <w:r/>
    </w:p>
    <w:p>
      <w:pPr>
        <w:pStyle w:val="1173"/>
        <w:ind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采购包1：</w:t>
      </w:r>
      <w:r>
        <w:rPr>
          <w:rFonts w:ascii="宋体" w:hAnsi="宋体" w:eastAsia="宋体" w:cs="宋体"/>
          <w:color w:val="000000"/>
          <w:sz w:val="24"/>
          <w:szCs w:val="24"/>
          <w:highlight w:val="none"/>
          <w:lang w:val="en-US" w:eastAsia="zh-CN"/>
        </w:rPr>
      </w:r>
      <w:r/>
    </w:p>
    <w:tbl>
      <w:tblPr>
        <w:tblpPr w:horzAnchor="page" w:tblpX="1695" w:vertAnchor="text" w:tblpY="566" w:leftFromText="180" w:topFromText="0" w:rightFromText="180" w:bottomFromText="0"/>
        <w:tblW w:w="9057" w:type="dxa"/>
        <w:tblInd w:w="-108" w:type="dxa"/>
        <w:tblLayout w:type="autofit"/>
        <w:tblCellMar>
          <w:left w:w="108" w:type="dxa"/>
          <w:top w:w="0" w:type="dxa"/>
          <w:right w:w="108" w:type="dxa"/>
          <w:bottom w:w="0" w:type="dxa"/>
        </w:tblCellMar>
        <w:tblLook w:val="04A0" w:firstRow="1" w:lastRow="0" w:firstColumn="1" w:lastColumn="0" w:noHBand="0" w:noVBand="1"/>
      </w:tblPr>
      <w:tblGrid>
        <w:gridCol w:w="1123"/>
        <w:gridCol w:w="3454"/>
        <w:gridCol w:w="1362"/>
        <w:gridCol w:w="1559"/>
        <w:gridCol w:w="1559"/>
      </w:tblGrid>
      <w:tr>
        <w:trPr>
          <w:trHeight w:val="936"/>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spacing w:line="360" w:lineRule="auto"/>
              <w:widowControl/>
              <w:rPr>
                <w:rFonts w:ascii="宋体" w:hAnsi="宋体" w:eastAsia="宋体" w:cs="宋体"/>
                <w:b/>
                <w:bCs/>
                <w:szCs w:val="21"/>
                <w:highlight w:val="none"/>
              </w:rPr>
              <w:framePr w:vAnchor="text" w:hAnchor="page" w:x="1695" w:y="566"/>
            </w:pPr>
            <w:r>
              <w:rPr>
                <w:rFonts w:hint="eastAsia" w:ascii="宋体" w:hAnsi="宋体" w:eastAsia="宋体" w:cs="宋体"/>
                <w:b/>
                <w:bCs/>
                <w:szCs w:val="21"/>
                <w:highlight w:val="none"/>
                <w:lang w:bidi="ar"/>
              </w:rPr>
              <w:t xml:space="preserve">序号</w:t>
            </w: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spacing w:line="360" w:lineRule="auto"/>
              <w:widowControl/>
              <w:rPr>
                <w:rFonts w:ascii="宋体" w:hAnsi="宋体" w:eastAsia="宋体" w:cs="宋体"/>
                <w:b/>
                <w:bCs/>
                <w:szCs w:val="21"/>
                <w:highlight w:val="none"/>
              </w:rPr>
              <w:framePr w:vAnchor="text" w:hAnchor="page" w:x="1695" w:y="566"/>
            </w:pPr>
            <w:r>
              <w:rPr>
                <w:rFonts w:hint="eastAsia" w:ascii="宋体" w:hAnsi="宋体" w:eastAsia="宋体" w:cs="宋体"/>
                <w:b/>
                <w:bCs/>
                <w:szCs w:val="21"/>
                <w:highlight w:val="none"/>
                <w:lang w:bidi="ar"/>
              </w:rPr>
              <w:t xml:space="preserve">产品名称</w:t>
            </w:r>
            <w:r>
              <w:rPr>
                <w:rFonts w:ascii="宋体" w:hAnsi="宋体" w:eastAsia="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数量</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单位</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hint="eastAsia"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是否接受进口产品</w:t>
            </w:r>
            <w:r>
              <w:rPr>
                <w:rFonts w:hint="eastAsia" w:ascii="宋体" w:hAnsi="宋体" w:eastAsia="宋体" w:cs="Times New Roman"/>
                <w:szCs w:val="21"/>
                <w:highlight w:val="none"/>
              </w:rPr>
            </w:r>
            <w:r/>
          </w:p>
          <w:p>
            <w:pPr>
              <w:pStyle w:val="1173"/>
              <w:jc w:val="center"/>
              <w:widowControl/>
              <w:rPr>
                <w:rFonts w:hint="eastAsia"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响应</w:t>
            </w:r>
            <w:r>
              <w:rPr>
                <w:rFonts w:hint="eastAsia"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红外光谱仪防潮箱</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套</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hint="eastAsia" w:ascii="宋体" w:hAnsi="宋体" w:eastAsia="宋体" w:cs="Times New Roman"/>
                <w:szCs w:val="21"/>
                <w:highlight w:val="none"/>
                <w:lang w:val="en-US" w:eastAsia="zh-CN"/>
              </w:rPr>
              <w:framePr w:vAnchor="text" w:hAnchor="page" w:x="1695" w:y="566"/>
            </w:pPr>
            <w:r>
              <w:rPr>
                <w:rFonts w:hint="eastAsia" w:ascii="宋体" w:hAnsi="宋体" w:cs="Times New Roman"/>
                <w:szCs w:val="21"/>
                <w:highlight w:val="none"/>
                <w:lang w:val="en-US" w:eastAsia="zh-CN"/>
              </w:rPr>
              <w:t xml:space="preserve">否</w:t>
            </w:r>
            <w:r>
              <w:rPr>
                <w:rFonts w:hint="eastAsia" w:ascii="宋体" w:hAnsi="宋体" w:eastAsia="宋体" w:cs="Times New Roman"/>
                <w:szCs w:val="21"/>
                <w:highlight w:val="none"/>
                <w:lang w:val="en-US" w:eastAsia="zh-CN"/>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lang w:bidi="ar"/>
              </w:rPr>
              <w:framePr w:vAnchor="text" w:hAnchor="page" w:x="1695" w:y="566"/>
            </w:pPr>
            <w:r>
              <w:rPr>
                <w:rFonts w:hint="eastAsia" w:ascii="宋体" w:hAnsi="宋体" w:eastAsia="宋体" w:cs="Times New Roman"/>
                <w:szCs w:val="21"/>
                <w:highlight w:val="none"/>
                <w:lang w:bidi="ar"/>
              </w:rPr>
              <w:t xml:space="preserve">色谱柱</w:t>
            </w:r>
            <w:r>
              <w:rPr>
                <w:rFonts w:ascii="宋体" w:hAnsi="宋体" w:eastAsia="宋体" w:cs="Times New Roman"/>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根</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hint="eastAsia"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hint="eastAsia"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3</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lang w:bidi="ar"/>
              </w:rPr>
              <w:framePr w:vAnchor="text" w:hAnchor="page" w:x="1695" w:y="566"/>
            </w:pPr>
            <w:r>
              <w:rPr>
                <w:rFonts w:hint="eastAsia" w:ascii="宋体" w:hAnsi="宋体" w:eastAsia="宋体" w:cs="Times New Roman"/>
                <w:szCs w:val="21"/>
                <w:highlight w:val="none"/>
                <w:lang w:bidi="ar"/>
              </w:rPr>
              <w:t xml:space="preserve">色谱柱保护柱</w:t>
            </w:r>
            <w:r>
              <w:rPr>
                <w:rFonts w:ascii="宋体" w:hAnsi="宋体" w:eastAsia="宋体" w:cs="Times New Roman"/>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套</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hint="eastAsia"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hint="eastAsia"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4</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lang w:bidi="ar"/>
              </w:rPr>
              <w:framePr w:vAnchor="text" w:hAnchor="page" w:x="1695" w:y="566"/>
            </w:pPr>
            <w:r>
              <w:rPr>
                <w:rFonts w:ascii="宋体" w:hAnsi="宋体" w:eastAsia="宋体" w:cs="Times New Roman"/>
                <w:szCs w:val="21"/>
                <w:highlight w:val="none"/>
                <w:lang w:bidi="ar"/>
              </w:rPr>
              <w:t xml:space="preserve">紫外分光光度计</w:t>
            </w:r>
            <w:r>
              <w:rPr>
                <w:rFonts w:ascii="宋体" w:hAnsi="宋体" w:eastAsia="宋体" w:cs="Times New Roman"/>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8</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套</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目视旋光仪</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大容量冰箱</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7</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手套培养箱</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8</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空气压缩机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9</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空压机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10</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数控超声波清洗器</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台式高速离心机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高速分散机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13</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斯托默粘度计</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14</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不锈钢粉碎机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15</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数显阿贝折射仪</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10</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16</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卡尔费休水分测定仪</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3</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17</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真空搅拌脱泡机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18</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溶出仪</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4</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19</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甲醇乙醇测定仪</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20</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lang w:bidi="ar"/>
              </w:rPr>
              <w:t xml:space="preserve">电热套</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48</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21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烘箱</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22</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油浴锅</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20</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25"/>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23</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pH计</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20</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ascii="宋体" w:hAnsi="宋体" w:eastAsia="宋体" w:cs="Times New Roman"/>
                <w:szCs w:val="21"/>
                <w:highlight w:val="none"/>
              </w:rPr>
              <w:t xml:space="preserve">台</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ascii="宋体" w:hAnsi="宋体" w:eastAsia="宋体" w:cs="Times New Roman"/>
                <w:szCs w:val="21"/>
                <w:highlight w:val="none"/>
              </w:rPr>
            </w:r>
            <w:r/>
          </w:p>
        </w:tc>
      </w:tr>
      <w:tr>
        <w:trPr>
          <w:trHeight w:val="344"/>
        </w:trPr>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24</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3454" w:type="dxa"/>
            <w:vAlign w:val="center"/>
            <w:textDirection w:val="lrTb"/>
            <w:noWrap w:val="false"/>
          </w:tcPr>
          <w:p>
            <w:pPr>
              <w:pStyle w:val="1173"/>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压片机</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1</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ascii="宋体" w:hAnsi="宋体" w:eastAsia="宋体" w:cs="Times New Roman"/>
                <w:szCs w:val="21"/>
                <w:highlight w:val="none"/>
              </w:rPr>
              <w:framePr w:vAnchor="text" w:hAnchor="page" w:x="1695" w:y="566"/>
            </w:pPr>
            <w:r>
              <w:rPr>
                <w:rFonts w:hint="eastAsia" w:ascii="宋体" w:hAnsi="宋体" w:eastAsia="宋体" w:cs="Times New Roman"/>
                <w:szCs w:val="21"/>
                <w:highlight w:val="none"/>
              </w:rPr>
              <w:t xml:space="preserve">套</w:t>
            </w:r>
            <w:r>
              <w:rPr>
                <w:rFonts w:ascii="宋体" w:hAnsi="宋体" w:eastAsia="宋体" w:cs="Times New Roman"/>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173"/>
              <w:jc w:val="center"/>
              <w:widowControl/>
              <w:rPr>
                <w:rFonts w:hint="eastAsia" w:ascii="宋体" w:hAnsi="宋体" w:eastAsia="宋体" w:cs="Times New Roman"/>
                <w:szCs w:val="21"/>
                <w:highlight w:val="none"/>
              </w:rPr>
              <w:framePr w:vAnchor="text" w:hAnchor="page" w:x="1695" w:y="566"/>
            </w:pPr>
            <w:r>
              <w:rPr>
                <w:rFonts w:hint="eastAsia" w:ascii="宋体" w:hAnsi="宋体" w:cs="Times New Roman"/>
                <w:szCs w:val="21"/>
                <w:highlight w:val="none"/>
                <w:lang w:val="en-US" w:eastAsia="zh-CN"/>
              </w:rPr>
              <w:t xml:space="preserve">否</w:t>
            </w:r>
            <w:r>
              <w:rPr>
                <w:rFonts w:hint="eastAsia" w:ascii="宋体" w:hAnsi="宋体" w:eastAsia="宋体" w:cs="Times New Roman"/>
                <w:szCs w:val="21"/>
                <w:highlight w:val="none"/>
              </w:rPr>
            </w:r>
            <w:r/>
          </w:p>
        </w:tc>
      </w:tr>
    </w:tbl>
    <w:p>
      <w:pPr>
        <w:pStyle w:val="1185"/>
        <w:rPr>
          <w:rFonts w:hint="eastAsia"/>
          <w:highlight w:val="none"/>
          <w:lang w:val="en-US" w:eastAsia="zh-CN"/>
        </w:rPr>
      </w:pPr>
      <w:r>
        <w:rPr>
          <w:rFonts w:hint="eastAsia"/>
          <w:highlight w:val="none"/>
          <w:lang w:val="en-US" w:eastAsia="zh-CN"/>
        </w:rPr>
        <w:t xml:space="preserve">采购包2：</w:t>
      </w:r>
      <w:r>
        <w:rPr>
          <w:rFonts w:hint="eastAsia"/>
          <w:highlight w:val="none"/>
          <w:lang w:val="en-US" w:eastAsia="zh-CN"/>
        </w:rPr>
      </w:r>
      <w:r/>
    </w:p>
    <w:p>
      <w:pPr>
        <w:pStyle w:val="1185"/>
        <w:rPr>
          <w:rFonts w:hint="eastAsia"/>
          <w:highlight w:val="none"/>
          <w:lang w:val="en-US" w:eastAsia="zh-CN"/>
        </w:rPr>
      </w:pPr>
      <w:r>
        <w:rPr>
          <w:rFonts w:hint="eastAsia"/>
          <w:highlight w:val="none"/>
          <w:lang w:val="en-US" w:eastAsia="zh-CN"/>
        </w:rPr>
      </w:r>
      <w:r/>
    </w:p>
    <w:tbl>
      <w:tblPr>
        <w:tblW w:w="8566" w:type="dxa"/>
        <w:jc w:val="center"/>
        <w:tblInd w:w="-342" w:type="dxa"/>
        <w:tblLayout w:type="autofit"/>
        <w:tblCellMar>
          <w:left w:w="108" w:type="dxa"/>
          <w:top w:w="0" w:type="dxa"/>
          <w:right w:w="108" w:type="dxa"/>
          <w:bottom w:w="0" w:type="dxa"/>
        </w:tblCellMar>
        <w:tblLook w:val="04A0" w:firstRow="1" w:lastRow="0" w:firstColumn="1" w:lastColumn="0" w:noHBand="0" w:noVBand="1"/>
      </w:tblPr>
      <w:tblGrid>
        <w:gridCol w:w="1051"/>
        <w:gridCol w:w="2610"/>
        <w:gridCol w:w="1200"/>
        <w:gridCol w:w="1830"/>
        <w:gridCol w:w="1875"/>
      </w:tblGrid>
      <w:tr>
        <w:trPr>
          <w:trHeight w:val="510"/>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1173"/>
              <w:jc w:val="center"/>
              <w:spacing w:line="360" w:lineRule="auto"/>
              <w:widowControl/>
              <w:rPr>
                <w:rFonts w:ascii="宋体" w:hAnsi="宋体" w:eastAsia="宋体" w:cs="宋体"/>
                <w:b/>
                <w:bCs/>
                <w:sz w:val="22"/>
                <w:highlight w:val="none"/>
              </w:rPr>
            </w:pPr>
            <w:r>
              <w:rPr>
                <w:rFonts w:hint="eastAsia" w:ascii="宋体" w:hAnsi="宋体" w:eastAsia="宋体" w:cs="宋体"/>
                <w:b/>
                <w:bCs/>
                <w:sz w:val="22"/>
                <w:highlight w:val="none"/>
                <w:lang w:bidi="ar"/>
              </w:rPr>
              <w:t xml:space="preserve">序号</w:t>
            </w:r>
            <w:r>
              <w:rPr>
                <w:rFonts w:ascii="宋体" w:hAnsi="宋体" w:eastAsia="宋体" w:cs="宋体"/>
                <w:b/>
                <w:bCs/>
                <w:sz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1173"/>
              <w:jc w:val="center"/>
              <w:spacing w:line="360" w:lineRule="auto"/>
              <w:widowControl/>
              <w:rPr>
                <w:rFonts w:ascii="宋体" w:hAnsi="宋体" w:eastAsia="宋体" w:cs="宋体"/>
                <w:b/>
                <w:bCs/>
                <w:sz w:val="22"/>
                <w:highlight w:val="none"/>
              </w:rPr>
            </w:pPr>
            <w:r>
              <w:rPr>
                <w:rFonts w:hint="eastAsia" w:ascii="宋体" w:hAnsi="宋体" w:eastAsia="宋体" w:cs="宋体"/>
                <w:b/>
                <w:bCs/>
                <w:sz w:val="22"/>
                <w:highlight w:val="none"/>
                <w:lang w:bidi="ar"/>
              </w:rPr>
              <w:t xml:space="preserve">产品名称</w:t>
            </w:r>
            <w:r>
              <w:rPr>
                <w:rFonts w:ascii="宋体" w:hAnsi="宋体" w:eastAsia="宋体" w:cs="宋体"/>
                <w:b/>
                <w:bCs/>
                <w:sz w:val="22"/>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73"/>
              <w:jc w:val="center"/>
              <w:spacing w:line="360" w:lineRule="auto"/>
              <w:widowControl/>
              <w:rPr>
                <w:rFonts w:ascii="宋体" w:hAnsi="宋体" w:eastAsia="宋体" w:cs="宋体"/>
                <w:b/>
                <w:bCs/>
                <w:sz w:val="22"/>
                <w:highlight w:val="none"/>
              </w:rPr>
            </w:pPr>
            <w:r>
              <w:rPr>
                <w:rFonts w:hint="eastAsia" w:ascii="宋体" w:hAnsi="宋体" w:eastAsia="宋体" w:cs="宋体"/>
                <w:b/>
                <w:bCs/>
                <w:sz w:val="22"/>
                <w:highlight w:val="none"/>
                <w:lang w:bidi="ar"/>
              </w:rPr>
              <w:t xml:space="preserve">数量</w:t>
            </w:r>
            <w:r>
              <w:rPr>
                <w:rFonts w:ascii="宋体" w:hAnsi="宋体" w:eastAsia="宋体" w:cs="宋体"/>
                <w:b/>
                <w:bCs/>
                <w:sz w:val="22"/>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1173"/>
              <w:jc w:val="center"/>
              <w:spacing w:line="360" w:lineRule="auto"/>
              <w:widowControl/>
              <w:rPr>
                <w:rFonts w:ascii="宋体" w:hAnsi="宋体" w:eastAsia="宋体" w:cs="宋体"/>
                <w:b/>
                <w:bCs/>
                <w:sz w:val="22"/>
                <w:highlight w:val="none"/>
              </w:rPr>
            </w:pPr>
            <w:r>
              <w:rPr>
                <w:rFonts w:hint="eastAsia" w:ascii="宋体" w:hAnsi="宋体" w:eastAsia="宋体" w:cs="宋体"/>
                <w:b/>
                <w:bCs/>
                <w:sz w:val="22"/>
                <w:highlight w:val="none"/>
                <w:lang w:bidi="ar"/>
              </w:rPr>
              <w:t xml:space="preserve">单位</w:t>
            </w:r>
            <w:r>
              <w:rPr>
                <w:rFonts w:ascii="宋体" w:hAnsi="宋体" w:eastAsia="宋体" w:cs="宋体"/>
                <w:b/>
                <w:bCs/>
                <w:sz w:val="22"/>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1173"/>
              <w:jc w:val="center"/>
              <w:widowControl/>
              <w:rPr>
                <w:rFonts w:ascii="等线" w:hAnsi="等线" w:eastAsia="等线" w:cs="等线"/>
                <w:sz w:val="22"/>
                <w:highlight w:val="none"/>
              </w:rPr>
            </w:pPr>
            <w:r>
              <w:rPr>
                <w:rFonts w:hint="eastAsia" w:ascii="宋体" w:hAnsi="宋体" w:eastAsia="宋体" w:cs="Times New Roman"/>
                <w:szCs w:val="21"/>
                <w:highlight w:val="none"/>
              </w:rPr>
              <w:t xml:space="preserve">是否接受进口产品响应</w:t>
            </w:r>
            <w:r>
              <w:rPr>
                <w:rFonts w:ascii="等线" w:hAnsi="等线" w:eastAsia="等线" w:cs="等线"/>
                <w:sz w:val="22"/>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1173"/>
              <w:jc w:val="center"/>
              <w:widowControl/>
              <w:rPr>
                <w:rFonts w:ascii="Times New Roman" w:hAnsi="Times New Roman" w:eastAsia="宋体" w:cs="Times New Roman"/>
                <w:sz w:val="24"/>
                <w:szCs w:val="24"/>
                <w:highlight w:val="none"/>
              </w:rPr>
            </w:pPr>
            <w:r>
              <w:rPr>
                <w:rFonts w:ascii="Times New Roman" w:hAnsi="Times New Roman" w:eastAsia="等线" w:cs="Times New Roman"/>
                <w:sz w:val="24"/>
                <w:szCs w:val="24"/>
                <w:highlight w:val="none"/>
              </w:rPr>
              <w:t xml:space="preserve">1</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1173"/>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液相色谱仪</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73"/>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1</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1173"/>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套</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1173"/>
              <w:jc w:val="center"/>
              <w:rPr>
                <w:rFonts w:hint="eastAsia" w:eastAsia="宋体"/>
                <w:highlight w:val="none"/>
                <w:lang w:val="en-US" w:eastAsia="zh-CN"/>
              </w:rPr>
            </w:pPr>
            <w:r>
              <w:rPr>
                <w:rFonts w:hint="eastAsia"/>
                <w:highlight w:val="none"/>
                <w:lang w:val="en-US" w:eastAsia="zh-CN"/>
              </w:rPr>
              <w:t xml:space="preserve">是</w:t>
            </w:r>
            <w:r>
              <w:rPr>
                <w:rFonts w:hint="eastAsia" w:eastAsia="宋体"/>
                <w:highlight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1173"/>
              <w:jc w:val="center"/>
              <w:widowControl/>
              <w:rPr>
                <w:rFonts w:ascii="Times New Roman" w:hAnsi="Times New Roman" w:eastAsia="宋体" w:cs="Times New Roman"/>
                <w:sz w:val="24"/>
                <w:szCs w:val="24"/>
                <w:highlight w:val="none"/>
              </w:rPr>
            </w:pPr>
            <w:r>
              <w:rPr>
                <w:rFonts w:ascii="Times New Roman" w:hAnsi="Times New Roman" w:eastAsia="等线" w:cs="Times New Roman"/>
                <w:sz w:val="24"/>
                <w:szCs w:val="24"/>
                <w:highlight w:val="none"/>
              </w:rPr>
              <w:t xml:space="preserve">2</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1173"/>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红外光谱仪</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73"/>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1</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1173"/>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lang w:bidi="ar"/>
              </w:rPr>
              <w:t xml:space="preserve">套</w:t>
            </w:r>
            <w:r>
              <w:rPr>
                <w:rFonts w:ascii="Times New Roman" w:hAnsi="Times New Roman"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1185"/>
              <w:jc w:val="center"/>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是</w:t>
            </w:r>
            <w:r>
              <w:rPr>
                <w:rFonts w:hint="eastAsia" w:ascii="宋体" w:hAnsi="宋体" w:eastAsia="宋体"/>
                <w:sz w:val="24"/>
                <w:szCs w:val="24"/>
                <w:highlight w:val="none"/>
                <w:lang w:eastAsia="zh-CN"/>
              </w:rPr>
            </w:r>
            <w:r/>
          </w:p>
        </w:tc>
      </w:tr>
    </w:tbl>
    <w:p>
      <w:pPr>
        <w:pStyle w:val="1185"/>
        <w:rPr>
          <w:highlight w:val="none"/>
          <w:lang w:val="en-US" w:eastAsia="zh-CN"/>
        </w:rPr>
      </w:pPr>
      <w:r>
        <w:rPr>
          <w:highlight w:val="none"/>
          <w:lang w:val="en-US" w:eastAsia="zh-CN"/>
        </w:rPr>
      </w:r>
      <w:r/>
    </w:p>
    <w:p>
      <w:pPr>
        <w:pStyle w:val="1173"/>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采购包1、包2</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eastAsia="zh-CN"/>
        </w:rPr>
        <w:t xml:space="preserve">采购人发出进场通知后60天内完成交货，90天内完成安装、调试。因供货方自身原因引起的交付期拖延，每拖延一天扣罚设备总款项的1‰。</w:t>
      </w:r>
      <w:r>
        <w:rPr>
          <w:rFonts w:hint="eastAsia" w:ascii="宋体" w:hAnsi="宋体" w:eastAsia="宋体" w:cs="宋体"/>
          <w:color w:val="000000"/>
          <w:sz w:val="24"/>
          <w:szCs w:val="24"/>
          <w:highlight w:val="none"/>
          <w:lang w:eastAsia="zh-CN"/>
        </w:rPr>
      </w:r>
      <w:r/>
    </w:p>
    <w:p>
      <w:pPr>
        <w:pStyle w:val="1173"/>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免费质保期要求：1年</w:t>
      </w:r>
      <w:r>
        <w:rPr>
          <w:rFonts w:ascii="Times New Roman" w:hAnsi="Times New Roman" w:cs="Times New Roman"/>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本项目（是/否）接受联合体：否。</w:t>
      </w:r>
      <w:r>
        <w:rPr>
          <w:rFonts w:hint="eastAsia" w:ascii="宋体" w:hAnsi="宋体" w:eastAsia="宋体" w:cs="宋体"/>
          <w:color w:val="000000"/>
          <w:sz w:val="24"/>
          <w:szCs w:val="24"/>
          <w:highlight w:val="none"/>
        </w:rPr>
      </w:r>
      <w:r/>
    </w:p>
    <w:p>
      <w:pPr>
        <w:pStyle w:val="1173"/>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bookmarkEnd w:id="8"/>
      <w:r/>
      <w:bookmarkEnd w:id="9"/>
      <w:r/>
      <w:bookmarkEnd w:id="10"/>
      <w:r/>
      <w:bookmarkEnd w:id="11"/>
      <w:r>
        <w:rPr>
          <w:rFonts w:hint="eastAsia" w:ascii="宋体" w:hAnsi="宋体" w:eastAsia="宋体" w:cs="宋体"/>
          <w:b/>
          <w:b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bookmarkStart w:id="12" w:name="_Toc28359091"/>
      <w:r/>
      <w:bookmarkStart w:id="13" w:name="_Toc28359014"/>
      <w:r/>
      <w:bookmarkStart w:id="14" w:name="_Toc35393800"/>
      <w:r/>
      <w:bookmarkStart w:id="15" w:name="_Toc35393631"/>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满足《中华人民共和国政府采购法》第二十二条规定：</w:t>
      </w:r>
      <w:r>
        <w:rPr>
          <w:rFonts w:hint="eastAsia" w:ascii="宋体" w:hAnsi="宋体" w:eastAsia="宋体" w:cs="宋体"/>
          <w:color w:val="000000"/>
          <w:sz w:val="24"/>
          <w:szCs w:val="24"/>
          <w:highlight w:val="none"/>
        </w:rPr>
      </w:r>
      <w:r/>
    </w:p>
    <w:p>
      <w:pPr>
        <w:pStyle w:val="1173"/>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p>
      <w:pPr>
        <w:pStyle w:val="1173"/>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p>
      <w:pPr>
        <w:pStyle w:val="1173"/>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具有依法缴纳税收和社会保障资金的良好记录；</w:t>
      </w:r>
      <w:r>
        <w:rPr>
          <w:rFonts w:hint="eastAsia" w:ascii="宋体" w:hAnsi="宋体" w:eastAsia="宋体" w:cs="宋体"/>
          <w:color w:val="000000"/>
          <w:sz w:val="24"/>
          <w:szCs w:val="24"/>
          <w:highlight w:val="none"/>
        </w:rPr>
      </w:r>
      <w:r/>
    </w:p>
    <w:p>
      <w:pPr>
        <w:pStyle w:val="1173"/>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具备履行合同所必需的设备和专业技术能力；</w:t>
      </w:r>
      <w:r>
        <w:rPr>
          <w:rFonts w:hint="eastAsia" w:ascii="宋体" w:hAnsi="宋体" w:eastAsia="宋体" w:cs="宋体"/>
          <w:color w:val="000000"/>
          <w:sz w:val="24"/>
          <w:szCs w:val="24"/>
          <w:highlight w:val="none"/>
        </w:rPr>
      </w:r>
      <w:r/>
    </w:p>
    <w:p>
      <w:pPr>
        <w:pStyle w:val="1173"/>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rPr>
      </w:r>
      <w:r/>
    </w:p>
    <w:p>
      <w:pPr>
        <w:pStyle w:val="1173"/>
        <w:ind w:firstLine="42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lang w:val="en-US" w:eastAsia="zh-CN"/>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本项目为非专门面向中小微企业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2、本项目属于货物类采购。根据《政府采购促进中小企业发展管理办法》（财库〔2020〕46号）、《关于做好政府采购支持企业发展有关事项的通知》(苏财购(2020)52号)的要求，本项目</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小型、微型企业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3、中小微企业划型标准请对照《关于印发中小企业划型标准规定的通知》（工信部联企业〔2011〕300号）。本项目采购标的对应的行业主要为工业。</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4、本项目实施本国产品标准及相关政策</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4.1本项目对采购本国产品给予政策支持，具体内容见</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文件“第五章 评标方法及评标标准”。</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采购包2:</w:t>
      </w:r>
      <w:r>
        <w:rPr>
          <w:rFonts w:hint="eastAsia" w:ascii="宋体" w:hAnsi="宋体" w:eastAsia="宋体" w:cs="宋体"/>
          <w:color w:val="000000"/>
          <w:sz w:val="24"/>
          <w:szCs w:val="24"/>
          <w:highlight w:val="none"/>
          <w:lang w:val="en-US" w:eastAsia="zh-CN"/>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本项目为非专门面向中小微企业</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属于货物类采购。根据《政府采购促进中小企业发展管理办法》（财库〔2020〕46号）、《关于做好政府采购支持企业发展有关事项的通知》(苏财购(2020)52号)的要求，本项目小型、微型企业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3、中小微企业划型标准请对照《关于印发中小企业划型标准规定的通知》（工信部联企业〔2011〕300号）（详见格式）。本项目采购标的对应的行业主要为工业。</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4、本项目实施本国产品标准及相关政策</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4.1本项目对采购本国产品给予政策支持，具体内容见</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文件“第五章 评标方法及评标标准”。</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1173"/>
        <w:numPr>
          <w:ilvl w:val="0"/>
          <w:numId w:val="0"/>
        </w:numPr>
        <w:ind w:firstLine="480"/>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b/>
          <w:bCs/>
          <w:sz w:val="24"/>
          <w:szCs w:val="24"/>
          <w:highlight w:val="none"/>
        </w:rPr>
      </w:r>
      <w:r/>
    </w:p>
    <w:p>
      <w:pPr>
        <w:pStyle w:val="1173"/>
        <w:numPr>
          <w:ilvl w:val="0"/>
          <w:numId w:val="1"/>
        </w:numPr>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本项目的特定资格要求：</w:t>
      </w:r>
      <w:r>
        <w:rPr>
          <w:rFonts w:hint="eastAsia" w:ascii="宋体" w:hAnsi="宋体" w:eastAsia="宋体" w:cs="宋体"/>
          <w:bCs/>
          <w:color w:val="000000"/>
          <w:sz w:val="24"/>
          <w:szCs w:val="24"/>
          <w:highlight w:val="none"/>
        </w:rPr>
      </w:r>
      <w:r/>
    </w:p>
    <w:p>
      <w:pPr>
        <w:pStyle w:val="1173"/>
        <w:numPr>
          <w:ilvl w:val="0"/>
          <w:numId w:val="0"/>
        </w:numPr>
        <w:ind w:firstLine="480"/>
        <w:jc w:val="left"/>
        <w:spacing w:line="360" w:lineRule="auto"/>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采购包1</w:t>
      </w:r>
      <w:r>
        <w:rPr>
          <w:rFonts w:hint="eastAsia" w:ascii="宋体" w:hAnsi="宋体" w:eastAsia="宋体" w:cs="宋体"/>
          <w:bCs/>
          <w:color w:val="000000"/>
          <w:sz w:val="24"/>
          <w:szCs w:val="24"/>
          <w:highlight w:val="none"/>
          <w:lang w:val="en-US" w:eastAsia="zh-CN"/>
        </w:rPr>
      </w:r>
      <w:r/>
    </w:p>
    <w:p>
      <w:pPr>
        <w:pStyle w:val="1173"/>
        <w:numPr>
          <w:ilvl w:val="0"/>
          <w:numId w:val="0"/>
        </w:numPr>
        <w:ind w:firstLine="480"/>
        <w:jc w:val="left"/>
        <w:spacing w:line="360" w:lineRule="auto"/>
        <w:shd w:val="clear" w:color="auto" w:fill="ffffff"/>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1.供应商未被“信用中国”网站(www.creditchina.gov.cn)列入失信被执行人、重大税收违法失信主体名单，未被中国政府采购网(www.ccgp.gov.cn)列入政府采购严重违法失信行为记录名单。</w:t>
      </w:r>
      <w:r>
        <w:rPr>
          <w:rFonts w:hint="eastAsia" w:ascii="宋体" w:hAnsi="宋体" w:eastAsia="宋体" w:cs="宋体"/>
          <w:color w:val="000000"/>
          <w:sz w:val="24"/>
          <w:szCs w:val="24"/>
          <w:highlight w:val="none"/>
          <w:u w:val="none"/>
          <w:lang w:val="en-US" w:eastAsia="zh-CN"/>
        </w:rPr>
      </w:r>
      <w:r/>
    </w:p>
    <w:p>
      <w:pPr>
        <w:pStyle w:val="1173"/>
        <w:numPr>
          <w:ilvl w:val="0"/>
          <w:numId w:val="0"/>
        </w:numPr>
        <w:ind w:firstLine="480"/>
        <w:jc w:val="left"/>
        <w:spacing w:line="360" w:lineRule="auto"/>
        <w:shd w:val="clear" w:color="auto" w:fill="ffffff"/>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u w:val="none"/>
          <w:lang w:val="en-US" w:eastAsia="zh-CN"/>
        </w:rPr>
      </w:r>
      <w:r/>
    </w:p>
    <w:p>
      <w:pPr>
        <w:pStyle w:val="1173"/>
        <w:numPr>
          <w:ilvl w:val="0"/>
          <w:numId w:val="0"/>
        </w:numPr>
        <w:ind w:firstLine="480"/>
        <w:jc w:val="left"/>
        <w:spacing w:line="360" w:lineRule="auto"/>
        <w:shd w:val="clear" w:color="auto" w:fill="ffffff"/>
        <w:widowControl/>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highlight w:val="none"/>
          <w:lang w:val="en-US" w:eastAsia="zh-CN"/>
        </w:rPr>
        <w:t xml:space="preserve">未被采购人列入黑名单的供应商。</w:t>
      </w:r>
      <w:r>
        <w:rPr>
          <w:rFonts w:ascii="宋体" w:hAnsi="宋体" w:eastAsia="宋体" w:cs="宋体"/>
          <w:color w:val="000000"/>
          <w:sz w:val="24"/>
          <w:szCs w:val="24"/>
          <w:highlight w:val="none"/>
          <w:u w:val="none"/>
          <w:lang w:val="en-US" w:eastAsia="zh-CN"/>
        </w:rPr>
      </w:r>
      <w:r/>
    </w:p>
    <w:p>
      <w:pPr>
        <w:pStyle w:val="1173"/>
        <w:numPr>
          <w:ilvl w:val="0"/>
          <w:numId w:val="0"/>
        </w:numPr>
        <w:ind w:firstLine="480"/>
        <w:jc w:val="left"/>
        <w:spacing w:line="360" w:lineRule="auto"/>
        <w:shd w:val="clear" w:color="auto" w:fill="ffffff"/>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采购包2：</w:t>
      </w:r>
      <w:r>
        <w:rPr>
          <w:rFonts w:hint="eastAsia" w:ascii="宋体" w:hAnsi="宋体" w:eastAsia="宋体" w:cs="宋体"/>
          <w:bCs/>
          <w:color w:val="000000"/>
          <w:sz w:val="24"/>
          <w:szCs w:val="24"/>
          <w:highlight w:val="none"/>
          <w:lang w:val="en-US" w:eastAsia="zh-CN"/>
        </w:rPr>
      </w:r>
      <w:r/>
    </w:p>
    <w:p>
      <w:pPr>
        <w:pStyle w:val="1173"/>
        <w:numPr>
          <w:ilvl w:val="0"/>
          <w:numId w:val="0"/>
        </w:numPr>
        <w:ind w:firstLine="480"/>
        <w:jc w:val="left"/>
        <w:spacing w:line="360" w:lineRule="auto"/>
        <w:shd w:val="clear" w:color="auto" w:fill="ffffff"/>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1.供应商未被“信用中国”网站(www.creditchina.gov.cn)列入失信被执行人、重大税收违法失信主体名单，未被中国政府采购网(www.ccgp.gov.cn)列入政府采购严重违法失信行为记录名单。</w:t>
      </w:r>
      <w:r>
        <w:rPr>
          <w:rFonts w:hint="eastAsia" w:ascii="宋体" w:hAnsi="宋体" w:eastAsia="宋体" w:cs="宋体"/>
          <w:color w:val="000000"/>
          <w:sz w:val="24"/>
          <w:szCs w:val="24"/>
          <w:highlight w:val="none"/>
          <w:u w:val="none"/>
          <w:lang w:val="en-US" w:eastAsia="zh-CN"/>
        </w:rPr>
      </w:r>
      <w:r/>
    </w:p>
    <w:p>
      <w:pPr>
        <w:pStyle w:val="1173"/>
        <w:numPr>
          <w:ilvl w:val="0"/>
          <w:numId w:val="0"/>
        </w:numPr>
        <w:ind w:firstLine="480"/>
        <w:jc w:val="left"/>
        <w:spacing w:line="360" w:lineRule="auto"/>
        <w:shd w:val="clear" w:color="auto" w:fill="ffffff"/>
        <w:widowControl/>
        <w:rPr>
          <w:rFonts w:hint="eastAsia" w:ascii="宋体" w:hAnsi="宋体" w:eastAsia="宋体" w:cs="宋体"/>
          <w:b/>
          <w:bCs/>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2.单位负责人为同一人或者存在直接控股、管理关系的不同供应商，不得参加同一合同项下的政府采购活动。</w:t>
      </w:r>
      <w:r>
        <w:rPr>
          <w:rFonts w:hint="eastAsia" w:ascii="宋体" w:hAnsi="宋体" w:eastAsia="宋体" w:cs="宋体"/>
          <w:b/>
          <w:bCs/>
          <w:sz w:val="24"/>
          <w:szCs w:val="24"/>
          <w:highlight w:val="none"/>
          <w:u w:val="none"/>
          <w:lang w:val="en-US" w:eastAsia="zh-CN" w:bidi="ar-SA"/>
        </w:rPr>
      </w:r>
      <w:r/>
    </w:p>
    <w:p>
      <w:pPr>
        <w:pStyle w:val="1173"/>
        <w:numPr>
          <w:ilvl w:val="0"/>
          <w:numId w:val="0"/>
        </w:numPr>
        <w:ind w:firstLine="480"/>
        <w:jc w:val="left"/>
        <w:spacing w:line="360" w:lineRule="auto"/>
        <w:shd w:val="clear" w:color="auto" w:fill="ffffff"/>
        <w:widowControl/>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highlight w:val="none"/>
          <w:lang w:val="en-US" w:eastAsia="zh-CN"/>
        </w:rPr>
        <w:t xml:space="preserve">未被采购人列入黑名单的供应商。</w:t>
      </w:r>
      <w:r>
        <w:rPr>
          <w:rFonts w:hint="eastAsia" w:ascii="宋体" w:hAnsi="宋体" w:cs="宋体"/>
          <w:bCs/>
          <w:color w:val="000000"/>
          <w:sz w:val="24"/>
          <w:szCs w:val="24"/>
          <w:highlight w:val="none"/>
          <w:lang w:val="en-US" w:eastAsia="zh-CN"/>
        </w:rPr>
      </w:r>
      <w:r/>
    </w:p>
    <w:p>
      <w:pPr>
        <w:pStyle w:val="1181"/>
        <w:ind w:firstLine="480"/>
        <w:spacing w:line="360" w:lineRule="auto"/>
        <w:rPr>
          <w:rFonts w:eastAsia="宋体"/>
          <w:highlight w:val="none"/>
          <w:lang w:val="en-US" w:eastAsia="zh-CN"/>
        </w:rPr>
      </w:pPr>
      <w:r>
        <w:rPr>
          <w:rFonts w:hint="eastAsia" w:ascii="宋体" w:hAnsi="宋体" w:cs="宋体"/>
          <w:bCs/>
          <w:color w:val="000000"/>
          <w:sz w:val="24"/>
          <w:szCs w:val="24"/>
          <w:highlight w:val="none"/>
          <w:lang w:val="en-US" w:eastAsia="zh-CN"/>
        </w:rPr>
        <w:t xml:space="preserve">4.本条针对接受进口产品的货物:液相色谱仪、红外光谱仪。本文件所称进口产品是指通过中国海关报关验放进入中国境内且产自关境外的产品)对于采用进口产品响应的供应商，必须提供所有进口产品的下列授权文件之一(原件扫描或复印件):①该设备制造商出具的授权函；②制造商的国内子公司或办事处出具的授权函；③制造商对授权的区域代理商出具的授权函及该区域代理商出具的授权函；④供应商取得的产品代理证书。</w:t>
      </w:r>
      <w:r>
        <w:rPr>
          <w:rFonts w:eastAsia="宋体"/>
          <w:highlight w:val="none"/>
          <w:lang w:val="en-US" w:eastAsia="zh-CN"/>
        </w:rPr>
      </w:r>
      <w:r/>
    </w:p>
    <w:p>
      <w:pPr>
        <w:pStyle w:val="1173"/>
        <w:numPr>
          <w:ilvl w:val="0"/>
          <w:numId w:val="0"/>
        </w:numPr>
        <w:ind w:firstLine="480"/>
        <w:jc w:val="left"/>
        <w:spacing w:line="360" w:lineRule="auto"/>
        <w:shd w:val="clear" w:color="auto" w:fill="ffffff"/>
        <w:widowControl/>
        <w:rPr>
          <w:rFonts w:ascii="宋体" w:hAnsi="宋体" w:cs="宋体"/>
          <w:bCs/>
          <w:color w:val="000000"/>
          <w:sz w:val="24"/>
          <w:szCs w:val="24"/>
          <w:highlight w:val="none"/>
          <w:lang w:val="en-US" w:eastAsia="zh-CN"/>
        </w:rPr>
      </w:pPr>
      <w:r>
        <w:rPr>
          <w:rFonts w:ascii="宋体" w:hAnsi="宋体" w:cs="宋体"/>
          <w:bCs/>
          <w:color w:val="000000"/>
          <w:sz w:val="24"/>
          <w:szCs w:val="24"/>
          <w:highlight w:val="none"/>
          <w:lang w:val="en-US" w:eastAsia="zh-CN"/>
        </w:rPr>
      </w:r>
      <w:r/>
    </w:p>
    <w:p>
      <w:pPr>
        <w:pStyle w:val="1173"/>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bookmarkEnd w:id="12"/>
      <w:r/>
      <w:bookmarkEnd w:id="13"/>
      <w:r/>
      <w:bookmarkEnd w:id="14"/>
      <w:r/>
      <w:bookmarkEnd w:id="15"/>
      <w:r>
        <w:rPr>
          <w:rFonts w:hint="eastAsia" w:ascii="宋体" w:hAnsi="宋体" w:eastAsia="宋体" w:cs="宋体"/>
          <w:b/>
          <w:bCs/>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bCs/>
          <w:color w:val="000000"/>
          <w:sz w:val="24"/>
          <w:szCs w:val="24"/>
          <w:highlight w:val="none"/>
        </w:rPr>
      </w:pPr>
      <w:r/>
      <w:bookmarkStart w:id="16" w:name="_Toc28359015"/>
      <w:r/>
      <w:bookmarkStart w:id="17" w:name="_Toc28359092"/>
      <w:r/>
      <w:bookmarkStart w:id="18" w:name="_Toc35393801"/>
      <w:r/>
      <w:bookmarkStart w:id="19" w:name="_Toc35393632"/>
      <w:r>
        <w:rPr>
          <w:rFonts w:hint="eastAsia" w:ascii="宋体" w:hAnsi="宋体" w:eastAsia="宋体" w:cs="宋体"/>
          <w:bCs/>
          <w:color w:val="000000"/>
          <w:sz w:val="24"/>
          <w:szCs w:val="24"/>
          <w:highlight w:val="none"/>
        </w:rPr>
        <w:t xml:space="preserve">时间:自磋商文件公告发布之日起5个工作日</w:t>
      </w:r>
      <w:r>
        <w:rPr>
          <w:rFonts w:hint="eastAsia" w:ascii="宋体" w:hAnsi="宋体" w:eastAsia="宋体" w:cs="宋体"/>
          <w:bCs/>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地点：江苏政府采购网“苏采云”系统</w:t>
      </w:r>
      <w:r>
        <w:rPr>
          <w:rFonts w:hint="eastAsia" w:ascii="宋体" w:hAnsi="宋体" w:eastAsia="宋体" w:cs="宋体"/>
          <w:bCs/>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获取方式：江苏政府采购网“苏采云”系统内免费下载</w:t>
      </w:r>
      <w:r>
        <w:rPr>
          <w:rFonts w:hint="eastAsia" w:ascii="宋体" w:hAnsi="宋体" w:eastAsia="宋体" w:cs="宋体"/>
          <w:bCs/>
          <w:color w:val="000000"/>
          <w:sz w:val="24"/>
          <w:szCs w:val="24"/>
          <w:highlight w:val="none"/>
        </w:rPr>
      </w:r>
      <w:r/>
    </w:p>
    <w:p>
      <w:pPr>
        <w:pStyle w:val="1173"/>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bookmarkEnd w:id="16"/>
      <w:r/>
      <w:bookmarkEnd w:id="17"/>
      <w:r/>
      <w:bookmarkEnd w:id="18"/>
      <w:r/>
      <w:bookmarkEnd w:id="19"/>
      <w:r>
        <w:rPr>
          <w:rFonts w:hint="eastAsia" w:ascii="宋体" w:hAnsi="宋体" w:eastAsia="宋体" w:cs="宋体"/>
          <w:b/>
          <w:b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bookmarkStart w:id="20" w:name="_Toc35393633"/>
      <w:r/>
      <w:bookmarkStart w:id="21" w:name="_Toc28359016"/>
      <w:r/>
      <w:bookmarkStart w:id="22" w:name="_Toc35393802"/>
      <w:r/>
      <w:bookmarkStart w:id="23" w:name="_Toc28359093"/>
      <w:r>
        <w:rPr>
          <w:rFonts w:hint="eastAsia" w:ascii="宋体" w:hAnsi="宋体" w:eastAsia="宋体" w:cs="宋体"/>
          <w:color w:val="000000"/>
          <w:sz w:val="24"/>
          <w:szCs w:val="24"/>
          <w:highlight w:val="none"/>
        </w:rPr>
        <w:t xml:space="preserve">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时</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en-US"/>
        </w:rPr>
        <w:t xml:space="preserve">地点：江苏政府采购网“苏采云”系统（网址：http://jszfcg.jsczt.cn/）</w:t>
      </w:r>
      <w:r>
        <w:rPr>
          <w:rFonts w:hint="eastAsia" w:ascii="宋体" w:hAnsi="宋体" w:eastAsia="宋体" w:cs="宋体"/>
          <w:color w:val="000000"/>
          <w:sz w:val="24"/>
          <w:szCs w:val="24"/>
          <w:highlight w:val="none"/>
        </w:rPr>
      </w:r>
      <w:r/>
    </w:p>
    <w:p>
      <w:pPr>
        <w:pStyle w:val="1173"/>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五、开启</w:t>
      </w:r>
      <w:bookmarkEnd w:id="20"/>
      <w:r/>
      <w:bookmarkEnd w:id="21"/>
      <w:r/>
      <w:bookmarkEnd w:id="22"/>
      <w:r/>
      <w:bookmarkEnd w:id="23"/>
      <w:r>
        <w:rPr>
          <w:rFonts w:hint="eastAsia" w:ascii="宋体" w:hAnsi="宋体" w:eastAsia="宋体" w:cs="宋体"/>
          <w:b/>
          <w:b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bookmarkStart w:id="24" w:name="_Toc28359017"/>
      <w:r/>
      <w:bookmarkStart w:id="25" w:name="_Toc35393803"/>
      <w:r/>
      <w:bookmarkStart w:id="26" w:name="_Toc28359094"/>
      <w:r/>
      <w:bookmarkStart w:id="27" w:name="_Toc35393634"/>
      <w:r>
        <w:rPr>
          <w:rFonts w:hint="eastAsia" w:ascii="宋体" w:hAnsi="宋体" w:eastAsia="宋体" w:cs="宋体"/>
          <w:color w:val="000000"/>
          <w:sz w:val="24"/>
          <w:szCs w:val="24"/>
          <w:highlight w:val="none"/>
        </w:rPr>
        <w:t xml:space="preserve">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时</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en-US"/>
        </w:rPr>
        <w:t xml:space="preserve">江苏政府采购网“苏采云”系统（网址：http://jszfcg.jsczt.cn/）“开标大厅”</w:t>
      </w:r>
      <w:r>
        <w:rPr>
          <w:rFonts w:hint="eastAsia" w:ascii="宋体" w:hAnsi="宋体" w:eastAsia="宋体" w:cs="宋体"/>
          <w:color w:val="000000"/>
          <w:sz w:val="24"/>
          <w:szCs w:val="24"/>
          <w:highlight w:val="none"/>
        </w:rPr>
      </w:r>
      <w:r/>
    </w:p>
    <w:p>
      <w:pPr>
        <w:pStyle w:val="1173"/>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bookmarkEnd w:id="24"/>
      <w:r/>
      <w:bookmarkEnd w:id="25"/>
      <w:r/>
      <w:bookmarkEnd w:id="26"/>
      <w:r/>
      <w:bookmarkEnd w:id="27"/>
      <w:r>
        <w:rPr>
          <w:rFonts w:hint="eastAsia" w:ascii="宋体" w:hAnsi="宋体" w:eastAsia="宋体" w:cs="宋体"/>
          <w:b/>
          <w:b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bookmarkStart w:id="28" w:name="_Toc35393804"/>
      <w:r/>
      <w:bookmarkStart w:id="29" w:name="_Toc35393635"/>
      <w:r>
        <w:rPr>
          <w:rFonts w:hint="eastAsia" w:ascii="宋体" w:hAnsi="宋体" w:eastAsia="宋体" w:cs="宋体"/>
          <w:color w:val="000000"/>
          <w:sz w:val="24"/>
          <w:szCs w:val="24"/>
          <w:highlight w:val="none"/>
        </w:rPr>
      </w:r>
      <w:r/>
    </w:p>
    <w:p>
      <w:pPr>
        <w:pStyle w:val="1173"/>
        <w:numPr>
          <w:ilvl w:val="0"/>
          <w:numId w:val="2"/>
        </w:numPr>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其他补充事宜</w:t>
      </w:r>
      <w:bookmarkEnd w:id="28"/>
      <w:r/>
      <w:bookmarkEnd w:id="29"/>
      <w:r/>
      <w:bookmarkStart w:id="30" w:name="_Toc35393805"/>
      <w:r/>
      <w:bookmarkStart w:id="31" w:name="_Toc28359018"/>
      <w:r/>
      <w:bookmarkStart w:id="32" w:name="_Toc35393636"/>
      <w:r/>
      <w:bookmarkStart w:id="33" w:name="_Toc28359095"/>
      <w:r>
        <w:rPr>
          <w:rFonts w:hint="eastAsia" w:ascii="宋体" w:hAnsi="宋体" w:eastAsia="宋体" w:cs="宋体"/>
          <w:b/>
          <w:bCs/>
          <w:color w:val="000000"/>
          <w:sz w:val="24"/>
          <w:szCs w:val="24"/>
          <w:highlight w:val="none"/>
        </w:rPr>
      </w:r>
      <w:r/>
    </w:p>
    <w:p>
      <w:pPr>
        <w:pStyle w:val="1173"/>
        <w:numPr>
          <w:ilvl w:val="0"/>
          <w:numId w:val="0"/>
        </w:numPr>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无。</w:t>
      </w:r>
      <w:r>
        <w:rPr>
          <w:rFonts w:hint="eastAsia" w:ascii="宋体" w:hAnsi="宋体" w:eastAsia="宋体" w:cs="宋体"/>
          <w:b/>
          <w:bCs/>
          <w:color w:val="000000"/>
          <w:sz w:val="24"/>
          <w:szCs w:val="24"/>
          <w:highlight w:val="none"/>
        </w:rPr>
      </w:r>
      <w:r/>
    </w:p>
    <w:p>
      <w:pPr>
        <w:pStyle w:val="1173"/>
        <w:numPr>
          <w:ilvl w:val="0"/>
          <w:numId w:val="2"/>
        </w:numPr>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凡对本次采购提出询问，请按以下方式联系</w:t>
      </w:r>
      <w:bookmarkEnd w:id="30"/>
      <w:r/>
      <w:bookmarkEnd w:id="31"/>
      <w:r/>
      <w:bookmarkEnd w:id="32"/>
      <w:r/>
      <w:bookmarkEnd w:id="33"/>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项目联系人信息</w:t>
      </w:r>
      <w:r>
        <w:rPr>
          <w:rFonts w:hint="eastAsia" w:ascii="宋体" w:hAnsi="宋体" w:eastAsia="宋体" w:cs="宋体"/>
          <w:color w:val="000000"/>
          <w:sz w:val="24"/>
          <w:szCs w:val="24"/>
          <w:highlight w:val="none"/>
          <w:lang w:val="en-US" w:eastAsia="zh-CN"/>
        </w:rPr>
      </w:r>
      <w:r/>
    </w:p>
    <w:p>
      <w:pPr>
        <w:pStyle w:val="117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名    称：泰州职业技术学院智能制药与化工新材料学院</w:t>
      </w:r>
      <w:r>
        <w:rPr>
          <w:rFonts w:hint="eastAsia" w:ascii="宋体" w:hAnsi="宋体" w:eastAsia="宋体" w:cs="宋体"/>
          <w:color w:val="000000"/>
          <w:sz w:val="24"/>
          <w:szCs w:val="24"/>
          <w:highlight w:val="none"/>
          <w:lang w:val="en-US" w:eastAsia="zh-CN"/>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地址：泰州市医药高新区天星路8号  </w:t>
      </w:r>
      <w:r>
        <w:rPr>
          <w:rFonts w:hint="eastAsia" w:ascii="宋体" w:hAnsi="宋体" w:eastAsia="宋体" w:cs="宋体"/>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刘老师</w:t>
      </w:r>
      <w:r>
        <w:rPr>
          <w:rFonts w:hint="eastAsia" w:ascii="宋体" w:hAnsi="宋体" w:eastAsia="宋体" w:cs="宋体"/>
          <w:color w:val="000000"/>
          <w:sz w:val="24"/>
          <w:szCs w:val="24"/>
          <w:highlight w:val="none"/>
          <w:lang w:val="en-US" w:eastAsia="zh-CN"/>
        </w:rPr>
      </w:r>
      <w:r/>
    </w:p>
    <w:p>
      <w:pPr>
        <w:pStyle w:val="117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电话：15189900862</w:t>
      </w:r>
      <w:r>
        <w:rPr>
          <w:rFonts w:hint="eastAsia" w:ascii="宋体" w:hAnsi="宋体" w:eastAsia="宋体" w:cs="宋体"/>
          <w:color w:val="000000"/>
          <w:sz w:val="24"/>
          <w:szCs w:val="24"/>
          <w:highlight w:val="none"/>
          <w:lang w:val="en-US" w:eastAsia="zh-CN"/>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采购人信息</w:t>
      </w:r>
      <w:r>
        <w:rPr>
          <w:rFonts w:hint="eastAsia" w:ascii="宋体" w:hAnsi="宋体" w:eastAsia="宋体" w:cs="宋体"/>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称：泰州职业技术学院</w:t>
      </w:r>
      <w:r>
        <w:rPr>
          <w:rFonts w:hint="eastAsia" w:ascii="宋体" w:hAnsi="宋体" w:eastAsia="宋体" w:cs="宋体"/>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地址：泰州市医药高新区天星路8号  </w:t>
      </w:r>
      <w:r>
        <w:rPr>
          <w:rFonts w:hint="eastAsia" w:ascii="宋体" w:hAnsi="宋体" w:eastAsia="宋体" w:cs="宋体"/>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联系人：潘先生  </w:t>
      </w:r>
      <w:r>
        <w:rPr>
          <w:rFonts w:hint="eastAsia" w:ascii="宋体" w:hAnsi="宋体" w:eastAsia="宋体" w:cs="宋体"/>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联系方式：0523-86662746  </w:t>
      </w:r>
      <w:r>
        <w:rPr>
          <w:rFonts w:hint="eastAsia" w:ascii="宋体" w:hAnsi="宋体" w:eastAsia="宋体" w:cs="宋体"/>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称：江苏华强工程投资管理咨询有限公司         </w:t>
      </w:r>
      <w:r>
        <w:rPr>
          <w:rFonts w:hint="eastAsia" w:ascii="宋体" w:hAnsi="宋体" w:eastAsia="宋体" w:cs="宋体"/>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址：泰州市海陵南路179号华诚大厦B座9楼西侧</w:t>
      </w:r>
      <w:r>
        <w:rPr>
          <w:rFonts w:hint="eastAsia" w:ascii="宋体" w:hAnsi="宋体" w:eastAsia="宋体" w:cs="宋体"/>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联系人：闵女士</w:t>
      </w:r>
      <w:r>
        <w:rPr>
          <w:rFonts w:hint="eastAsia" w:ascii="宋体" w:hAnsi="宋体" w:eastAsia="宋体" w:cs="宋体"/>
          <w:color w:val="000000"/>
          <w:sz w:val="24"/>
          <w:szCs w:val="24"/>
          <w:highlight w:val="none"/>
        </w:rPr>
      </w:r>
      <w:r/>
    </w:p>
    <w:p>
      <w:pPr>
        <w:pStyle w:val="1173"/>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0523-86933620</w:t>
      </w:r>
      <w:r>
        <w:rPr>
          <w:rFonts w:ascii="宋体" w:hAnsi="宋体" w:eastAsia="宋体" w:cs="宋体"/>
          <w:color w:val="000000"/>
          <w:sz w:val="24"/>
          <w:szCs w:val="24"/>
          <w:highlight w:val="none"/>
          <w:lang w:val="en-US" w:eastAsia="zh-CN"/>
        </w:rPr>
      </w:r>
      <w:r/>
    </w:p>
    <w:p>
      <w:pPr>
        <w:pStyle w:val="1173"/>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监督电话</w:t>
      </w:r>
      <w:r>
        <w:rPr>
          <w:rFonts w:hint="eastAsia" w:ascii="宋体" w:hAnsi="宋体" w:eastAsia="宋体" w:cs="宋体"/>
          <w:b w:val="0"/>
          <w:bCs w:val="0"/>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none"/>
        </w:rPr>
        <w:t xml:space="preserve">泰州职业技术学院纪委办</w:t>
      </w:r>
      <w:r>
        <w:rPr>
          <w:rFonts w:hint="eastAsia" w:ascii="宋体" w:hAnsi="宋体" w:eastAsia="宋体" w:cs="宋体"/>
          <w:color w:val="000000"/>
          <w:sz w:val="24"/>
          <w:szCs w:val="24"/>
          <w:highlight w:val="none"/>
          <w:u w:val="none"/>
        </w:rPr>
      </w:r>
      <w:r/>
    </w:p>
    <w:p>
      <w:pPr>
        <w:pStyle w:val="11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none"/>
        </w:rPr>
        <w:t xml:space="preserve">泰州市医药高新区天星路8号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73"/>
        <w:ind w:firstLine="480"/>
        <w:spacing w:line="360" w:lineRule="auto"/>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none"/>
        </w:rPr>
        <w:t xml:space="preserve">孙老师0523-86664025</w:t>
      </w:r>
      <w:r>
        <w:rPr>
          <w:rFonts w:hint="eastAsia" w:ascii="宋体" w:hAnsi="宋体" w:eastAsia="宋体" w:cs="宋体"/>
          <w:color w:val="000000"/>
          <w:sz w:val="24"/>
          <w:szCs w:val="24"/>
          <w:highlight w:val="none"/>
          <w:u w:val="none"/>
        </w:rPr>
      </w:r>
      <w:r/>
    </w:p>
    <w:p>
      <w:pPr>
        <w:pStyle w:val="1173"/>
        <w:ind w:firstLine="480"/>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117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1173"/>
        <w:ind w:firstLine="482"/>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第二章 参加磋商</w:t>
      </w:r>
      <w:r>
        <w:rPr>
          <w:rFonts w:hint="eastAsia" w:ascii="宋体" w:hAnsi="宋体" w:eastAsia="宋体" w:cs="宋体"/>
          <w:b/>
          <w:color w:val="000000"/>
          <w:sz w:val="24"/>
          <w:szCs w:val="24"/>
          <w:highlight w:val="none"/>
          <w:lang w:val="en-US" w:eastAsia="zh-CN"/>
        </w:rPr>
        <w:t xml:space="preserve">的</w:t>
      </w:r>
      <w:r>
        <w:rPr>
          <w:rFonts w:hint="eastAsia" w:ascii="宋体" w:hAnsi="宋体" w:eastAsia="宋体" w:cs="宋体"/>
          <w:b/>
          <w:color w:val="000000"/>
          <w:sz w:val="24"/>
          <w:szCs w:val="24"/>
          <w:highlight w:val="none"/>
        </w:rPr>
        <w:t xml:space="preserve">供应商须知</w:t>
      </w:r>
      <w:r>
        <w:rPr>
          <w:rFonts w:hint="eastAsia" w:ascii="宋体" w:hAnsi="宋体" w:eastAsia="宋体" w:cs="宋体"/>
          <w:b/>
          <w:color w:val="000000"/>
          <w:sz w:val="24"/>
          <w:szCs w:val="24"/>
          <w:highlight w:val="none"/>
        </w:rPr>
      </w:r>
      <w:r/>
    </w:p>
    <w:p>
      <w:pPr>
        <w:pStyle w:val="1173"/>
        <w:ind w:firstLine="480"/>
        <w:jc w:val="center"/>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（参加竞争性磋商的供应商以下简称“磋商供应商”）</w:t>
      </w:r>
      <w:r>
        <w:rPr>
          <w:rFonts w:hint="eastAsia" w:ascii="宋体" w:hAnsi="宋体" w:eastAsia="宋体" w:cs="宋体"/>
          <w:b/>
          <w:bCs/>
          <w:color w:val="000000"/>
          <w:sz w:val="24"/>
          <w:szCs w:val="24"/>
          <w:highlight w:val="none"/>
        </w:rPr>
      </w:r>
      <w:r/>
    </w:p>
    <w:p>
      <w:pPr>
        <w:pStyle w:val="1173"/>
        <w:ind w:firstLine="482"/>
        <w:pageBreakBefore w:val="0"/>
        <w:spacing w:line="360" w:lineRule="auto"/>
        <w:tabs>
          <w:tab w:val="left" w:pos="900" w:leader="none"/>
        </w:tabs>
        <w:rPr>
          <w:rFonts w:hint="eastAsia" w:ascii="宋体" w:hAnsi="宋体" w:eastAsia="宋体" w:cs="宋体"/>
          <w:b/>
          <w:color w:val="000000"/>
          <w:sz w:val="24"/>
          <w:szCs w:val="24"/>
          <w:highlight w:val="none"/>
        </w:rPr>
      </w:pPr>
      <w:r/>
      <w:bookmarkEnd w:id="5"/>
      <w:r/>
      <w:bookmarkEnd w:id="6"/>
      <w:r/>
      <w:bookmarkEnd w:id="7"/>
      <w:r>
        <w:rPr>
          <w:rFonts w:hint="eastAsia" w:ascii="宋体" w:hAnsi="宋体" w:eastAsia="宋体" w:cs="宋体"/>
          <w:b/>
          <w:color w:val="000000"/>
          <w:sz w:val="24"/>
          <w:szCs w:val="24"/>
          <w:highlight w:val="none"/>
        </w:rPr>
        <w:t xml:space="preserve">一、总则</w:t>
      </w:r>
      <w:r>
        <w:rPr>
          <w:rFonts w:hint="eastAsia" w:ascii="宋体" w:hAnsi="宋体" w:eastAsia="宋体" w:cs="宋体"/>
          <w:b/>
          <w:color w:val="000000"/>
          <w:sz w:val="24"/>
          <w:szCs w:val="24"/>
          <w:highlight w:val="none"/>
        </w:rPr>
      </w:r>
      <w:r/>
    </w:p>
    <w:p>
      <w:pPr>
        <w:pStyle w:val="1173"/>
        <w:ind w:firstLine="480"/>
        <w:pageBreakBefore w:val="0"/>
        <w:spacing w:line="360" w:lineRule="auto"/>
        <w:tabs>
          <w:tab w:val="left" w:pos="900" w:leader="none"/>
          <w:tab w:val="center" w:pos="487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1.适用范围</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本磋商文件仅适用于</w:t>
      </w:r>
      <w:r>
        <w:rPr>
          <w:rFonts w:hint="eastAsia" w:ascii="宋体" w:hAnsi="宋体" w:eastAsia="宋体" w:cs="宋体"/>
          <w:color w:val="000000"/>
          <w:sz w:val="24"/>
          <w:szCs w:val="24"/>
          <w:highlight w:val="none"/>
          <w:lang w:eastAsia="zh-CN"/>
        </w:rPr>
        <w:t xml:space="preserve">药品检验实训室建设项目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2.项目采购方式</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本次采购采取竞争性磋商的方式。</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3.合格的磋商供应商</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3.1满足本磋商文件“竞争性磋商采购公告”中合格磋商供应商资格要求的规定。</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3.2.满足本磋商文件实质性要求和条件的规定。</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4.参加磋商费用</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4.1参加磋商</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供应商应自行承担所有与参加磋商有关的费用。不论最终的成交结果如何，江苏华强工程投资管理咨询有限公司（以下简称代理机构）在任何情况下均无义务和责任承担这些费用。</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bCs/>
          <w:color w:val="000000"/>
          <w:sz w:val="24"/>
          <w:szCs w:val="24"/>
          <w:highlight w:val="none"/>
        </w:rPr>
        <w:t xml:space="preserve">4.2</w:t>
      </w:r>
      <w:r>
        <w:rPr>
          <w:rFonts w:hint="eastAsia" w:ascii="宋体" w:hAnsi="宋体" w:eastAsia="宋体" w:cs="宋体"/>
          <w:b/>
          <w:bCs/>
          <w:color w:val="000000"/>
          <w:sz w:val="24"/>
          <w:szCs w:val="24"/>
          <w:highlight w:val="none"/>
          <w:u w:val="single"/>
          <w:lang w:val="en-US" w:eastAsia="zh-CN"/>
        </w:rPr>
        <w:t xml:space="preserve">招标代理服务费参考计价格[2002]1980 号文和发改价格[2011]534 号文件规定收费标准的 51.33%计取，上述费用由供应商支付，请各供应商在报价时考虑，确定成交供应商后领取成交通知书前一次性缴纳给招标代理服务机构。</w:t>
      </w:r>
      <w:r>
        <w:rPr>
          <w:rFonts w:hint="eastAsia" w:ascii="宋体" w:hAnsi="宋体" w:eastAsia="宋体" w:cs="宋体"/>
          <w:b/>
          <w:bCs/>
          <w:color w:val="000000"/>
          <w:sz w:val="24"/>
          <w:szCs w:val="24"/>
          <w:highlight w:val="none"/>
          <w:u w:val="single"/>
          <w:lang w:val="en-US" w:eastAsia="zh-CN"/>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5.磋商文件的约束力</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供应商一旦领取了本磋商文件并决定参加磋商，</w:t>
      </w:r>
      <w:r>
        <w:rPr>
          <w:rFonts w:hint="eastAsia" w:ascii="宋体" w:hAnsi="宋体" w:eastAsia="宋体" w:cs="宋体"/>
          <w:color w:val="000000"/>
          <w:sz w:val="24"/>
          <w:szCs w:val="24"/>
          <w:highlight w:val="none"/>
          <w:lang w:eastAsia="zh-CN"/>
        </w:rPr>
        <w:t xml:space="preserve">即</w:t>
      </w:r>
      <w:r>
        <w:rPr>
          <w:rFonts w:hint="eastAsia" w:ascii="宋体" w:hAnsi="宋体" w:eastAsia="宋体" w:cs="宋体"/>
          <w:color w:val="000000"/>
          <w:sz w:val="24"/>
          <w:szCs w:val="24"/>
          <w:highlight w:val="none"/>
          <w:lang w:val="en-US" w:eastAsia="zh-CN"/>
        </w:rPr>
        <w:t xml:space="preserve">视</w:t>
      </w:r>
      <w:r>
        <w:rPr>
          <w:rFonts w:hint="eastAsia" w:ascii="宋体" w:hAnsi="宋体" w:eastAsia="宋体" w:cs="宋体"/>
          <w:color w:val="000000"/>
          <w:sz w:val="24"/>
          <w:szCs w:val="24"/>
          <w:highlight w:val="none"/>
        </w:rPr>
        <w:t xml:space="preserve">为接受了本磋商文件的规定和约束，并且视为自竞争性磋商公告期限届满之日起已经知道或应当知道自身权益是否受到了损害。</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bookmarkStart w:id="34" w:name="_Toc513029237"/>
      <w:r/>
      <w:bookmarkStart w:id="35" w:name="_Toc16938553"/>
      <w:r/>
      <w:bookmarkStart w:id="36" w:name="_Toc20823309"/>
      <w:r>
        <w:rPr>
          <w:rFonts w:hint="eastAsia" w:ascii="宋体" w:hAnsi="宋体" w:eastAsia="宋体" w:cs="宋体"/>
          <w:color w:val="000000"/>
          <w:sz w:val="24"/>
          <w:szCs w:val="24"/>
          <w:highlight w:val="none"/>
        </w:rPr>
        <w:t xml:space="preserve">6.磋商文件的解释</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磋商文件需求部分（供应商资格要求、项目需求、商务技术评分标准</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）由采购人解释，其他部分由采购代理机构解释。</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bookmarkStart w:id="37" w:name="_Toc20823281"/>
      <w:r/>
      <w:bookmarkStart w:id="38" w:name="_Toc120614215"/>
      <w:r/>
      <w:bookmarkStart w:id="39" w:name="_Toc16938525"/>
      <w:r>
        <w:rPr>
          <w:rFonts w:hint="eastAsia" w:ascii="宋体" w:hAnsi="宋体" w:eastAsia="宋体" w:cs="宋体"/>
          <w:b/>
          <w:color w:val="000000"/>
          <w:sz w:val="24"/>
          <w:szCs w:val="24"/>
          <w:highlight w:val="none"/>
        </w:rPr>
        <w:t xml:space="preserve">二、磋商文件</w:t>
      </w:r>
      <w:bookmarkEnd w:id="37"/>
      <w:r/>
      <w:bookmarkEnd w:id="38"/>
      <w:r/>
      <w:bookmarkEnd w:id="39"/>
      <w:r>
        <w:rPr>
          <w:rFonts w:hint="eastAsia" w:ascii="宋体" w:hAnsi="宋体" w:eastAsia="宋体" w:cs="宋体"/>
          <w:b/>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bookmarkStart w:id="40" w:name="_Toc20823282"/>
      <w:r/>
      <w:bookmarkStart w:id="41" w:name="_Toc16938526"/>
      <w:r/>
      <w:bookmarkStart w:id="42" w:name="_Toc513029210"/>
      <w:r>
        <w:rPr>
          <w:rFonts w:hint="eastAsia" w:ascii="宋体" w:hAnsi="宋体" w:eastAsia="宋体" w:cs="宋体"/>
          <w:color w:val="000000"/>
          <w:sz w:val="24"/>
          <w:szCs w:val="24"/>
          <w:highlight w:val="none"/>
        </w:rPr>
        <w:t xml:space="preserve">1.磋商文件构成</w:t>
      </w:r>
      <w:bookmarkEnd w:id="40"/>
      <w:r/>
      <w:bookmarkEnd w:id="41"/>
      <w:r/>
      <w:bookmarkEnd w:id="42"/>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磋商文件由以下部分组成：</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（1）竞争性磋商公告</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（3）合同条款及格式</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（4）项目需求</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（5）评审方法和评审标准</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（6）响应文件组成和格式</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请仔细检查磋商文件是否齐全，如有缺漏请立即与采购人或采购代理机构联系解决。</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bookmarkStart w:id="43" w:name="_Toc462564070"/>
      <w:r/>
      <w:bookmarkStart w:id="44" w:name="_Toc16938527"/>
      <w:r/>
      <w:bookmarkStart w:id="45" w:name="_Toc20823283"/>
      <w:r/>
      <w:bookmarkStart w:id="46" w:name="_Toc513029211"/>
      <w:r>
        <w:rPr>
          <w:rFonts w:hint="eastAsia" w:ascii="宋体" w:hAnsi="宋体" w:eastAsia="宋体" w:cs="宋体"/>
          <w:color w:val="000000"/>
          <w:sz w:val="24"/>
          <w:szCs w:val="24"/>
          <w:highlight w:val="none"/>
        </w:rPr>
        <w:t xml:space="preserve">2.磋商文件的澄清</w:t>
      </w:r>
      <w:bookmarkEnd w:id="43"/>
      <w:r/>
      <w:bookmarkEnd w:id="44"/>
      <w:r/>
      <w:bookmarkEnd w:id="45"/>
      <w:r/>
      <w:bookmarkEnd w:id="46"/>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bookmarkStart w:id="47" w:name="_Toc16938528"/>
      <w:r/>
      <w:bookmarkStart w:id="48" w:name="_Toc462564071"/>
      <w:r/>
      <w:bookmarkStart w:id="49" w:name="_Toc513029212"/>
      <w:r/>
      <w:bookmarkStart w:id="50" w:name="_Toc20823284"/>
      <w:r>
        <w:rPr>
          <w:rFonts w:hint="eastAsia" w:ascii="宋体" w:hAnsi="宋体" w:eastAsia="宋体" w:cs="宋体"/>
          <w:color w:val="000000"/>
          <w:sz w:val="24"/>
          <w:szCs w:val="24"/>
          <w:highlight w:val="none"/>
        </w:rPr>
        <w:t xml:space="preserve">3.磋商文件的修改</w:t>
      </w:r>
      <w:bookmarkEnd w:id="47"/>
      <w:r/>
      <w:bookmarkEnd w:id="48"/>
      <w:r/>
      <w:bookmarkEnd w:id="49"/>
      <w:r/>
      <w:bookmarkEnd w:id="50"/>
      <w:r>
        <w:rPr>
          <w:rFonts w:hint="eastAsia" w:ascii="宋体" w:hAnsi="宋体" w:eastAsia="宋体" w:cs="宋体"/>
          <w:color w:val="000000"/>
          <w:sz w:val="24"/>
          <w:szCs w:val="24"/>
          <w:highlight w:val="none"/>
        </w:rPr>
      </w:r>
      <w:r/>
    </w:p>
    <w:p>
      <w:pPr>
        <w:pStyle w:val="1173"/>
        <w:ind w:firstLine="480"/>
        <w:pageBreakBefore w:val="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3.2磋商文件的修改将在江苏政府采购网公布，补充文件将作为磋商文件的组成部分，并对供应商具有约束力。</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w:t>
      </w:r>
      <w:r>
        <w:rPr>
          <w:rFonts w:hint="eastAsia" w:ascii="宋体" w:hAnsi="宋体" w:eastAsia="宋体" w:cs="宋体"/>
          <w:b/>
          <w:bCs/>
          <w:color w:val="000000"/>
          <w:sz w:val="24"/>
          <w:szCs w:val="24"/>
          <w:highlight w:val="none"/>
          <w:u w:val="single"/>
          <w:lang w:val="en-US" w:eastAsia="zh-CN"/>
        </w:rPr>
        <w:t xml:space="preserve">到</w:t>
      </w:r>
      <w:r>
        <w:rPr>
          <w:rFonts w:hint="eastAsia" w:ascii="宋体" w:hAnsi="宋体" w:eastAsia="宋体" w:cs="宋体"/>
          <w:b/>
          <w:bCs/>
          <w:color w:val="000000"/>
          <w:sz w:val="24"/>
          <w:szCs w:val="24"/>
          <w:highlight w:val="none"/>
          <w:u w:val="single"/>
        </w:rPr>
        <w:t xml:space="preserve">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b/>
          <w:bCs/>
          <w:color w:val="000000"/>
          <w:sz w:val="24"/>
          <w:szCs w:val="24"/>
          <w:highlight w:val="none"/>
          <w:u w:val="singl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bookmarkStart w:id="51" w:name="_Toc16938529"/>
      <w:r/>
      <w:bookmarkStart w:id="52" w:name="_Toc462564072"/>
      <w:r/>
      <w:bookmarkStart w:id="53" w:name="_Toc120614216"/>
      <w:r/>
      <w:bookmarkStart w:id="54" w:name="_Toc513029213"/>
      <w:r/>
      <w:bookmarkStart w:id="55" w:name="_Toc20823285"/>
      <w:r>
        <w:rPr>
          <w:rFonts w:hint="eastAsia" w:ascii="宋体" w:hAnsi="宋体" w:eastAsia="宋体" w:cs="宋体"/>
          <w:b/>
          <w:color w:val="000000"/>
          <w:sz w:val="24"/>
          <w:szCs w:val="24"/>
          <w:highlight w:val="none"/>
        </w:rPr>
        <w:t xml:space="preserve">三、响应文件的编制</w:t>
      </w:r>
      <w:bookmarkEnd w:id="51"/>
      <w:r/>
      <w:bookmarkEnd w:id="52"/>
      <w:r/>
      <w:bookmarkEnd w:id="53"/>
      <w:r/>
      <w:bookmarkEnd w:id="54"/>
      <w:r/>
      <w:bookmarkEnd w:id="55"/>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bookmarkStart w:id="56" w:name="_Toc513029214"/>
      <w:r/>
      <w:bookmarkStart w:id="57" w:name="_Toc462564073"/>
      <w:r/>
      <w:bookmarkStart w:id="58" w:name="_Toc20823286"/>
      <w:r/>
      <w:bookmarkStart w:id="59" w:name="_Toc16938530"/>
      <w:r>
        <w:rPr>
          <w:rFonts w:hint="eastAsia" w:ascii="宋体" w:hAnsi="宋体" w:eastAsia="宋体" w:cs="宋体"/>
          <w:color w:val="000000"/>
          <w:sz w:val="24"/>
          <w:szCs w:val="24"/>
          <w:highlight w:val="none"/>
        </w:rPr>
        <w:t xml:space="preserve">1.响应文件的语言及度量衡单位</w:t>
      </w:r>
      <w:bookmarkEnd w:id="56"/>
      <w:r/>
      <w:bookmarkEnd w:id="57"/>
      <w:r/>
      <w:bookmarkEnd w:id="58"/>
      <w:r/>
      <w:bookmarkEnd w:id="59"/>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1.1供应商提交的响应文件以及供应商与采购人或采购代理机构就有关磋商的所有来往通知、函件和文件均应使用简体中文。</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bookmarkStart w:id="60" w:name="_Toc16938531"/>
      <w:r/>
      <w:bookmarkStart w:id="61" w:name="_Toc462564074"/>
      <w:r/>
      <w:bookmarkStart w:id="62" w:name="_Toc20823287"/>
      <w:r/>
      <w:bookmarkStart w:id="63" w:name="_Toc513029215"/>
      <w:r>
        <w:rPr>
          <w:rFonts w:hint="eastAsia" w:ascii="宋体" w:hAnsi="宋体" w:eastAsia="宋体" w:cs="宋体"/>
          <w:color w:val="000000"/>
          <w:sz w:val="24"/>
          <w:szCs w:val="24"/>
          <w:highlight w:val="none"/>
        </w:rPr>
        <w:t xml:space="preserve">2.响应文件构成</w:t>
      </w:r>
      <w:bookmarkEnd w:id="60"/>
      <w:r/>
      <w:bookmarkEnd w:id="61"/>
      <w:r/>
      <w:bookmarkEnd w:id="62"/>
      <w:r/>
      <w:bookmarkEnd w:id="63"/>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2.1供应商编写的响应文件应包括资格审查文件、商务技术响应文件、报价响应文件。供应商按第六章 响应文件的组成和格式要求编写响应文件。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bookmarkStart w:id="64" w:name="_Hlt26670360"/>
      <w:r/>
      <w:bookmarkEnd w:id="64"/>
      <w:r/>
      <w:bookmarkStart w:id="65" w:name="_Hlt26954838"/>
      <w:r/>
      <w:bookmarkEnd w:id="65"/>
      <w:r/>
      <w:bookmarkStart w:id="66" w:name="_Hlt26668975"/>
      <w:r/>
      <w:bookmarkEnd w:id="66"/>
      <w:r/>
      <w:bookmarkStart w:id="67" w:name="_Toc49090511"/>
      <w:r/>
      <w:bookmarkStart w:id="68" w:name="_Toc14577360"/>
      <w:r>
        <w:rPr>
          <w:rFonts w:hint="eastAsia" w:ascii="宋体" w:hAnsi="宋体" w:eastAsia="宋体" w:cs="宋体"/>
          <w:color w:val="000000"/>
          <w:sz w:val="24"/>
          <w:szCs w:val="24"/>
          <w:highlight w:val="none"/>
        </w:rPr>
        <w:t xml:space="preserve">3.</w:t>
      </w:r>
      <w:bookmarkEnd w:id="67"/>
      <w:r/>
      <w:bookmarkEnd w:id="68"/>
      <w:r>
        <w:rPr>
          <w:rFonts w:hint="eastAsia" w:ascii="宋体" w:hAnsi="宋体" w:eastAsia="宋体" w:cs="宋体"/>
          <w:color w:val="000000"/>
          <w:sz w:val="24"/>
          <w:szCs w:val="24"/>
          <w:highlight w:val="none"/>
        </w:rPr>
        <w:t xml:space="preserve">磋商响应有效期</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3.1磋商响应有效期为采购文件规定的响应文件</w:t>
      </w:r>
      <w:r>
        <w:rPr>
          <w:rFonts w:hint="eastAsia" w:ascii="宋体" w:hAnsi="宋体" w:eastAsia="宋体" w:cs="宋体"/>
          <w:color w:val="000000"/>
          <w:sz w:val="24"/>
          <w:szCs w:val="24"/>
          <w:highlight w:val="none"/>
        </w:rPr>
        <w:t xml:space="preserve">提交</w:t>
      </w:r>
      <w:r>
        <w:rPr>
          <w:rFonts w:hint="eastAsia" w:ascii="宋体" w:hAnsi="宋体" w:eastAsia="宋体" w:cs="宋体"/>
          <w:bCs/>
          <w:color w:val="000000"/>
          <w:sz w:val="24"/>
          <w:szCs w:val="24"/>
          <w:highlight w:val="none"/>
        </w:rPr>
        <w:t xml:space="preserve">截止时间后</w:t>
      </w:r>
      <w:r>
        <w:rPr>
          <w:rFonts w:hint="eastAsia" w:ascii="宋体" w:hAnsi="宋体" w:eastAsia="宋体" w:cs="宋体"/>
          <w:b/>
          <w:color w:val="000000"/>
          <w:sz w:val="24"/>
          <w:szCs w:val="24"/>
          <w:highlight w:val="none"/>
          <w:u w:val="single"/>
        </w:rPr>
        <w:t xml:space="preserve">六十（60）天</w:t>
      </w:r>
      <w:r>
        <w:rPr>
          <w:rFonts w:hint="eastAsia" w:ascii="宋体" w:hAnsi="宋体" w:eastAsia="宋体" w:cs="宋体"/>
          <w:bCs/>
          <w:color w:val="000000"/>
          <w:sz w:val="24"/>
          <w:szCs w:val="24"/>
          <w:highlight w:val="none"/>
        </w:rPr>
        <w:t xml:space="preserve">。磋</w:t>
      </w:r>
      <w:r>
        <w:rPr>
          <w:rFonts w:hint="eastAsia" w:ascii="宋体" w:hAnsi="宋体" w:eastAsia="宋体" w:cs="宋体"/>
          <w:color w:val="000000"/>
          <w:sz w:val="24"/>
          <w:szCs w:val="24"/>
          <w:highlight w:val="none"/>
        </w:rPr>
        <w:t xml:space="preserve">商响应有效期比规定短的将被视为非实质性响应而予以拒绝。</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磋商响应有效期的延长</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bookmarkStart w:id="69" w:name="_Toc513029224"/>
      <w:r/>
      <w:bookmarkStart w:id="70" w:name="_Toc20823296"/>
      <w:r/>
      <w:bookmarkStart w:id="71" w:name="_Toc16938540"/>
      <w:r/>
      <w:bookmarkStart w:id="72" w:name="_Hlt26954852"/>
      <w:r/>
      <w:bookmarkEnd w:id="72"/>
      <w:r/>
      <w:bookmarkStart w:id="73" w:name="_Hlt26954739"/>
      <w:r/>
      <w:bookmarkEnd w:id="73"/>
      <w:r/>
      <w:bookmarkStart w:id="74" w:name="_Toc120614217"/>
      <w:r>
        <w:rPr>
          <w:rFonts w:hint="eastAsia" w:ascii="宋体" w:hAnsi="宋体" w:eastAsia="宋体" w:cs="宋体"/>
          <w:color w:val="000000"/>
          <w:sz w:val="24"/>
          <w:szCs w:val="24"/>
          <w:highlight w:val="none"/>
        </w:rPr>
        <w:t xml:space="preserve">5.电子响应文件其他要求</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5.1电子招标投标交易平台（即“苏采云”系统）相关要求是本采购文件的组成部分。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5.2供应商应对CA证书妥善保管，如被他人盗用投标，因此带来的后果均由供应商自行承担。</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5.3供应商应当对采购文件提出的实质性要求和条件作出实质性响应，并在电子投标系统逐条应答。</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5.4供应商应</w:t>
      </w:r>
      <w:r>
        <w:rPr>
          <w:rFonts w:hint="eastAsia" w:ascii="宋体" w:hAnsi="宋体" w:eastAsia="宋体" w:cs="宋体"/>
          <w:color w:val="000000"/>
          <w:sz w:val="24"/>
          <w:szCs w:val="24"/>
          <w:highlight w:val="none"/>
          <w:lang w:val="en-US" w:eastAsia="zh-CN"/>
        </w:rPr>
        <w:t xml:space="preserve">将</w:t>
      </w:r>
      <w:r>
        <w:rPr>
          <w:rFonts w:hint="eastAsia" w:ascii="宋体" w:hAnsi="宋体" w:eastAsia="宋体" w:cs="宋体"/>
          <w:color w:val="000000"/>
          <w:sz w:val="24"/>
          <w:szCs w:val="24"/>
          <w:highlight w:val="none"/>
        </w:rPr>
        <w:t xml:space="preserve">要求提供的资格证明文件（如资质证书、资格证书）、技术资料（如白皮书、彩页、手册、检测报告等）扫描上传至投标系统。 </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四、响应文件的提交</w:t>
      </w:r>
      <w:bookmarkEnd w:id="69"/>
      <w:r/>
      <w:bookmarkEnd w:id="70"/>
      <w:r/>
      <w:bookmarkEnd w:id="71"/>
      <w:r/>
      <w:bookmarkEnd w:id="74"/>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bookmarkStart w:id="75" w:name="_Toc20823297"/>
      <w:r/>
      <w:bookmarkStart w:id="76" w:name="_Toc20823301"/>
      <w:r/>
      <w:bookmarkStart w:id="77" w:name="_Toc513029229"/>
      <w:r/>
      <w:bookmarkStart w:id="78" w:name="_Toc16938545"/>
      <w:r/>
      <w:bookmarkStart w:id="79" w:name="_Toc120614218"/>
      <w:r/>
      <w:bookmarkStart w:id="80" w:name="_Toc513029225"/>
      <w:r/>
      <w:bookmarkStart w:id="81" w:name="_Toc462564084"/>
      <w:r/>
      <w:bookmarkStart w:id="82" w:name="_Toc16938541"/>
      <w:r>
        <w:rPr>
          <w:rFonts w:hint="eastAsia" w:ascii="宋体" w:hAnsi="宋体" w:eastAsia="宋体" w:cs="宋体"/>
          <w:color w:val="000000"/>
          <w:sz w:val="24"/>
          <w:szCs w:val="24"/>
          <w:highlight w:val="none"/>
        </w:rPr>
        <w:t xml:space="preserve">1.响应文件</w:t>
      </w:r>
      <w:bookmarkEnd w:id="75"/>
      <w:r/>
      <w:bookmarkEnd w:id="80"/>
      <w:r/>
      <w:bookmarkEnd w:id="81"/>
      <w:r/>
      <w:bookmarkEnd w:id="82"/>
      <w:r>
        <w:rPr>
          <w:rFonts w:hint="eastAsia" w:ascii="宋体" w:hAnsi="宋体" w:eastAsia="宋体" w:cs="宋体"/>
          <w:color w:val="000000"/>
          <w:sz w:val="24"/>
          <w:szCs w:val="24"/>
          <w:highlight w:val="none"/>
        </w:rPr>
        <w:t xml:space="preserve">的提交</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线上提交与接收地点：供应商应当通过“苏采云”系统提交数据电文形式的响应文件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即电子投标</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，“苏采云”系统自动接收。</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rPr>
          <w:rFonts w:hint="eastAsia" w:ascii="宋体" w:hAnsi="宋体" w:eastAsia="宋体" w:cs="宋体"/>
          <w:b/>
          <w:b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2.提交响应文件截止日期</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2.1供应商上传电子响应文件的时间不得迟于竞争性磋商公告中规定的响应文件提交截止时间。</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供应商应充分考虑网络环境、网络带宽等风险因素，如因供应商自身原因造成的电子响应文件上传不成功由供应商自行承担全部责任。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3.响应文件的密封（加密）要求：</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w:t>
      </w:r>
      <w:r>
        <w:rPr>
          <w:rFonts w:hint="eastAsia" w:ascii="宋体" w:hAnsi="宋体" w:eastAsia="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rPr>
        <w:t xml:space="preserve">加密。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3.2供应商须通过“苏采云”系统提供的政府采购客户端工具（使用“CA数字证书”）加盖电子签章。</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说明：供应商应使用CA数字证书以及自备的能够登录“苏采云”系统的电脑，在达到开标时间后，使用CA数字证书解密各自响应文件。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3.3供应商未按规定加密的响应文件，“苏采云”系统将拒收并提示。</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4.响应文件的拒收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“苏采云”系统拒绝接收在规定的响应文件提交截止时间后上传的任何响应文件。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响应文件的撤回和修改</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响应文件的撤回</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5.1.1电子响应文件的撤回</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供应商可在响应文件提交截止时间前，撤回其电子响应文件，具体操作方法见“苏采云”系统供应商操作手册。</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5.1.2供应商撤回电子响应文件，则认为其不再参与本项目竞争性磋商活动。</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5.2响应文件的修改</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供应商可在响应文件提交截止时间前，对其电子响应文件进行修改。具体操作方法见“苏采云”系统供应商操作手册。</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5.3在响应文件提交截止时间之后，供应商不得对其电子响应文件做任何修改。</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5.4在响应文件提交截止时间至磋商文件中规定的磋商响应有效期满之间的这段时间内，供应商不得撤回其响应文件。</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w:t>
      </w:r>
      <w:bookmarkEnd w:id="76"/>
      <w:r/>
      <w:bookmarkEnd w:id="77"/>
      <w:r/>
      <w:bookmarkEnd w:id="78"/>
      <w:r/>
      <w:bookmarkEnd w:id="79"/>
      <w:r/>
      <w:bookmarkStart w:id="83" w:name="_Toc513029230"/>
      <w:r/>
      <w:bookmarkStart w:id="84" w:name="_Toc16938546"/>
      <w:r/>
      <w:bookmarkStart w:id="85" w:name="_Toc20823302"/>
      <w:r>
        <w:rPr>
          <w:rFonts w:hint="eastAsia" w:ascii="宋体" w:hAnsi="宋体" w:eastAsia="宋体" w:cs="宋体"/>
          <w:b/>
          <w:color w:val="000000"/>
          <w:sz w:val="24"/>
          <w:szCs w:val="24"/>
          <w:highlight w:val="none"/>
        </w:rPr>
        <w:t xml:space="preserve">、磋商与评审</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1.磋商仪式</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1.1采购人或采购代理机构将在磋商公告中规定的时间和地点组织磋商开始仪式。</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color w:val="000000"/>
          <w:sz w:val="24"/>
          <w:szCs w:val="24"/>
          <w:highlight w:val="none"/>
          <w:u w:val="single"/>
        </w:rPr>
        <w:t xml:space="preserve">30分钟</w:t>
      </w:r>
      <w:r>
        <w:rPr>
          <w:rFonts w:hint="eastAsia" w:ascii="宋体" w:hAnsi="宋体" w:eastAsia="宋体" w:cs="宋体"/>
          <w:b/>
          <w:color w:val="000000"/>
          <w:sz w:val="24"/>
          <w:szCs w:val="24"/>
          <w:highlight w:val="none"/>
        </w:rPr>
        <w:t xml:space="preserve">之内完成。</w:t>
      </w:r>
      <w:r>
        <w:rPr>
          <w:rFonts w:hint="eastAsia" w:ascii="宋体" w:hAnsi="宋体" w:eastAsia="宋体" w:cs="宋体"/>
          <w:b/>
          <w:color w:val="000000"/>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color w:val="000000"/>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1.2磋商活动的文件解密工作由采购代理机构组织。</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注：各供应商请关注开标大厅交流区，在开标结束后，请勿离开开标大厅，采购人或采购代理机构通知最后报价填报后，</w:t>
      </w:r>
      <w:r>
        <w:rPr>
          <w:rFonts w:hint="eastAsia" w:ascii="宋体" w:hAnsi="宋体" w:eastAsia="宋体" w:cs="宋体"/>
          <w:b/>
          <w:color w:val="000000"/>
          <w:sz w:val="24"/>
          <w:szCs w:val="24"/>
          <w:highlight w:val="none"/>
          <w:lang w:eastAsia="zh-CN"/>
        </w:rPr>
        <w:t xml:space="preserve">所有</w:t>
      </w:r>
      <w:r>
        <w:rPr>
          <w:rFonts w:hint="eastAsia" w:ascii="宋体" w:hAnsi="宋体" w:eastAsia="宋体" w:cs="宋体"/>
          <w:b/>
          <w:color w:val="000000"/>
          <w:sz w:val="24"/>
          <w:szCs w:val="24"/>
          <w:highlight w:val="none"/>
        </w:rPr>
        <w:t xml:space="preserve">响应供应商须在</w:t>
      </w:r>
      <w:r>
        <w:rPr>
          <w:rFonts w:hint="eastAsia" w:ascii="宋体" w:hAnsi="宋体" w:eastAsia="宋体" w:cs="宋体"/>
          <w:b/>
          <w:color w:val="000000"/>
          <w:sz w:val="24"/>
          <w:szCs w:val="24"/>
          <w:highlight w:val="none"/>
          <w:u w:val="single"/>
          <w:lang w:eastAsia="zh-CN"/>
        </w:rPr>
        <w:t xml:space="preserve">15分钟</w:t>
      </w:r>
      <w:r>
        <w:rPr>
          <w:rFonts w:hint="eastAsia" w:ascii="宋体" w:hAnsi="宋体" w:eastAsia="宋体" w:cs="宋体"/>
          <w:b/>
          <w:color w:val="000000"/>
          <w:sz w:val="24"/>
          <w:szCs w:val="24"/>
          <w:highlight w:val="none"/>
        </w:rPr>
        <w:t xml:space="preserve">内填写并提交最后报价，未在规定时间内提交最后报价的，视作无效响应处理。</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2.1磋商开始仪式结束后，采购人或采购代理机构将立即组织磋商小组进行评审。</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2.2磋商小组由采购人代表和评审专家</w:t>
      </w:r>
      <w:r>
        <w:rPr>
          <w:rFonts w:hint="eastAsia"/>
          <w:highlight w:val="none"/>
          <w:lang w:val="en-US" w:eastAsia="zh-CN"/>
        </w:rPr>
        <w:t xml:space="preserve">共同</w:t>
      </w:r>
      <w:r>
        <w:rPr>
          <w:rFonts w:hint="eastAsia" w:ascii="宋体" w:hAnsi="宋体" w:eastAsia="宋体" w:cs="宋体"/>
          <w:color w:val="000000"/>
          <w:sz w:val="24"/>
          <w:szCs w:val="24"/>
          <w:highlight w:val="none"/>
        </w:rPr>
        <w:t xml:space="preserve">组成，</w:t>
      </w:r>
      <w:r>
        <w:rPr>
          <w:rFonts w:hint="eastAsia" w:ascii="宋体" w:hAnsi="宋体" w:eastAsia="宋体" w:cs="宋体"/>
          <w:color w:val="000000"/>
          <w:sz w:val="24"/>
          <w:szCs w:val="24"/>
          <w:highlight w:val="none"/>
          <w:lang w:val="en-US" w:eastAsia="zh-CN"/>
        </w:rPr>
        <w:t xml:space="preserve">成员人数为5人及以上单数，</w:t>
      </w:r>
      <w:r>
        <w:rPr>
          <w:rFonts w:hint="eastAsia" w:ascii="宋体" w:hAnsi="宋体" w:eastAsia="宋体" w:cs="宋体"/>
          <w:color w:val="000000"/>
          <w:sz w:val="24"/>
          <w:szCs w:val="24"/>
          <w:highlight w:val="none"/>
        </w:rPr>
        <w:t xml:space="preserve">其中评审专家人数不得少于磋商小组成员总数的2/3。采购人不得以评审专家身份参加本部门或本单位采购项目的评审。采购代理机构不得参加本机构代理的采购项目的评审。</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2.4磋商小组独立工作，负责评审所有响应文件并确定成交候选人。</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3.磋商评审过程的保密与公正</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3.1磋商小组、采购人或采购代理机构、相关监督人员等与评审工作有关的人员，对评审情况以及在评审过程中获悉的国家秘密、商业秘密负有保密责任。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3.2在磋商评审过程中，磋商供应商不得以任何行为影响磋商评审过程，否则其响应文件将被视为无效响应文件。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3.5在评审期间，采购人或采购代理机构将设专门人员与供应商联系。</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3.6采购人、采购代理机构和磋商小组不向未成交的供应商解释未成交原因，也不公布评审过程中的相关细节。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4.评审过程的澄清</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rPr>
          <w:rFonts w:hint="eastAsia" w:ascii="宋体" w:hAnsi="宋体" w:eastAsia="宋体" w:cs="宋体"/>
          <w:color w:val="000000"/>
          <w:sz w:val="24"/>
          <w:szCs w:val="24"/>
          <w:highlight w:val="none"/>
          <w:lang w:val="zh-CN"/>
        </w:rPr>
      </w:r>
      <w:r/>
    </w:p>
    <w:p>
      <w:pPr>
        <w:pStyle w:val="1173"/>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rPr>
          <w:rFonts w:hint="eastAsia" w:ascii="宋体" w:hAnsi="宋体" w:eastAsia="宋体" w:cs="宋体"/>
          <w:color w:val="000000"/>
          <w:sz w:val="24"/>
          <w:szCs w:val="24"/>
          <w:highlight w:val="none"/>
          <w:lang w:val="zh-CN"/>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4.3接到磋商小组</w:t>
      </w:r>
      <w:r>
        <w:rPr>
          <w:rFonts w:hint="eastAsia" w:ascii="宋体" w:hAnsi="宋体" w:eastAsia="宋体" w:cs="宋体"/>
          <w:color w:val="000000"/>
          <w:sz w:val="24"/>
          <w:szCs w:val="24"/>
          <w:highlight w:val="none"/>
          <w:lang w:val="zh-CN"/>
        </w:rPr>
        <w:t xml:space="preserve">澄清、说明或更正</w:t>
      </w:r>
      <w:r>
        <w:rPr>
          <w:rFonts w:hint="eastAsia" w:ascii="宋体" w:hAnsi="宋体" w:eastAsia="宋体" w:cs="宋体"/>
          <w:color w:val="000000"/>
          <w:sz w:val="24"/>
          <w:szCs w:val="24"/>
          <w:highlight w:val="none"/>
        </w:rPr>
        <w:t xml:space="preserve">要求的供应商应按磋商小组规定的时间和格式做出</w:t>
      </w:r>
      <w:r>
        <w:rPr>
          <w:rFonts w:hint="eastAsia" w:ascii="宋体" w:hAnsi="宋体" w:eastAsia="宋体" w:cs="宋体"/>
          <w:color w:val="000000"/>
          <w:sz w:val="24"/>
          <w:szCs w:val="24"/>
          <w:highlight w:val="none"/>
          <w:lang w:val="zh-CN"/>
        </w:rPr>
        <w:t xml:space="preserve">澄清、说明或更正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澄清、说明或更正</w:t>
      </w:r>
      <w:r>
        <w:rPr>
          <w:rFonts w:hint="eastAsia" w:ascii="宋体" w:hAnsi="宋体" w:eastAsia="宋体" w:cs="宋体"/>
          <w:color w:val="000000"/>
          <w:sz w:val="24"/>
          <w:szCs w:val="24"/>
          <w:highlight w:val="none"/>
        </w:rPr>
        <w:t xml:space="preserve">的内容作为响应文件的补充部分，但实质性的内容不得做任何更改。</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4.4接到磋商小组澄清、说明或更正要求的供应商如未按规定作出澄清、说明或更正的，其风险由供应商自行承担。</w:t>
      </w:r>
      <w:r>
        <w:rPr>
          <w:rFonts w:hint="eastAsia" w:ascii="宋体" w:hAnsi="宋体" w:eastAsia="宋体" w:cs="宋体"/>
          <w:color w:val="000000"/>
          <w:sz w:val="24"/>
          <w:szCs w:val="24"/>
          <w:highlight w:val="none"/>
          <w:lang w:val="zh-CN"/>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5.对响应文件的审查</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5.1响应文件初审分为资格性审查和符合性审查。</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5.1.1资格性检查：</w:t>
      </w:r>
      <w:r>
        <w:rPr>
          <w:rFonts w:hint="eastAsia" w:ascii="宋体" w:hAnsi="宋体" w:eastAsia="宋体" w:cs="宋体"/>
          <w:color w:val="000000"/>
          <w:sz w:val="24"/>
          <w:szCs w:val="24"/>
          <w:highlight w:val="none"/>
          <w:lang w:val="zh-CN"/>
        </w:rPr>
        <w:t xml:space="preserve">依据法律法规和磋商文件的规定，由采购人对响应文件中的资格审查文件进行审查。</w:t>
      </w:r>
      <w:r>
        <w:rPr>
          <w:rFonts w:hint="eastAsia" w:ascii="宋体" w:hAnsi="宋体" w:eastAsia="宋体" w:cs="宋体"/>
          <w:color w:val="000000"/>
          <w:sz w:val="24"/>
          <w:szCs w:val="24"/>
          <w:highlight w:val="none"/>
          <w:lang w:val="zh-CN"/>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采购人在进行资格审查的同时，将在“信用中国”网站查询供应商的信用记录，以确定供应商是否具备磋商资格。</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5.1.3未通过资格审查或符合性审查的供应商，</w:t>
      </w:r>
      <w:r>
        <w:rPr>
          <w:rFonts w:hint="eastAsia" w:ascii="宋体" w:hAnsi="宋体" w:eastAsia="宋体" w:cs="宋体"/>
          <w:color w:val="000000"/>
          <w:sz w:val="24"/>
          <w:szCs w:val="24"/>
          <w:highlight w:val="none"/>
          <w:lang w:val="zh-CN"/>
        </w:rPr>
        <w:t xml:space="preserve">采购代理机构将在苏采云系统中告知未通过资格审查或符合性审查的原因，评审结束后，采购代理机构将不再告知未通过资格审查或符合性审查的原因。  </w:t>
      </w:r>
      <w:r>
        <w:rPr>
          <w:rFonts w:hint="eastAsia" w:ascii="宋体" w:hAnsi="宋体" w:eastAsia="宋体" w:cs="宋体"/>
          <w:color w:val="000000"/>
          <w:sz w:val="24"/>
          <w:szCs w:val="24"/>
          <w:highlight w:val="none"/>
          <w:lang w:val="zh-CN"/>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zh-CN"/>
        </w:rPr>
        <w:t xml:space="preserve">在正式磋商之前</w:t>
      </w:r>
      <w:r>
        <w:rPr>
          <w:rFonts w:hint="eastAsia" w:ascii="宋体" w:hAnsi="宋体" w:eastAsia="宋体" w:cs="宋体"/>
          <w:color w:val="000000"/>
          <w:sz w:val="24"/>
          <w:szCs w:val="24"/>
          <w:highlight w:val="none"/>
        </w:rPr>
        <w:t xml:space="preserve">，磋商小组将首先审查每份响应文件是否实质性响应了磋商文件的要求。实质性响应的响应文件</w:t>
      </w:r>
      <w:r>
        <w:rPr>
          <w:rFonts w:hint="eastAsia" w:ascii="宋体" w:hAnsi="宋体" w:eastAsia="宋体" w:cs="宋体"/>
          <w:color w:val="000000"/>
          <w:sz w:val="24"/>
          <w:szCs w:val="24"/>
          <w:highlight w:val="none"/>
          <w:lang w:eastAsia="zh-CN"/>
        </w:rPr>
        <w:t xml:space="preserve">应该</w:t>
      </w:r>
      <w:r>
        <w:rPr>
          <w:rFonts w:hint="eastAsia" w:ascii="宋体" w:hAnsi="宋体" w:eastAsia="宋体" w:cs="宋体"/>
          <w:color w:val="000000"/>
          <w:sz w:val="24"/>
          <w:szCs w:val="24"/>
          <w:highlight w:val="none"/>
        </w:rPr>
        <w:t xml:space="preserve">与磋商文件要求的全部条款、条件和规格相符，没有重大负偏离或保留。</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5.3如果响应文件实质上没有响应磋商文件的要求，磋商小组将予以拒绝，供应商不得通过修改或撤销不符合要求的偏离或保留而使其响应文件成为实质性响应的文件。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5.4磋商小组将对确定为实质性响应的文件进行进一步审核，看其是否有计算上或累加上的算术错误，修正错误的原则如下：</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（1）响应文件中报价总表内容与响应文件中相应内容不一致的，以报价总表为准。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（3）单价金额小数点或者百分比有明显错位的，以报价总表的总价为准，并修改单价。</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5.7供应商在评审全过程中应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，并安排专人与采购人或采购代理机构及磋商小组联系。</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响应文件线上格式要求</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6.1供应商应当通过“苏采云”系统提交数据电文形式的响应文件（即电子投标）。</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6.2通过“苏采云”系统提交政府采购客户端工具导出加密的响应文件（后缀名为zip）。</w:t>
      </w:r>
      <w:r>
        <w:rPr>
          <w:rFonts w:hint="eastAsia" w:ascii="宋体" w:hAnsi="宋体" w:eastAsia="宋体" w:cs="宋体"/>
          <w:b/>
          <w:bCs/>
          <w:color w:val="000000"/>
          <w:sz w:val="24"/>
          <w:szCs w:val="24"/>
          <w:highlight w:val="none"/>
        </w:rPr>
        <w:t xml:space="preserve">响应文件不得超过150M</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6.3本项目采用线上投标，即供应商响应文件从政府采购客户端工具制作通过“苏采云”系统提交，未提供线上响应文件的，投标无效。</w:t>
      </w:r>
      <w:bookmarkEnd w:id="83"/>
      <w:r/>
      <w:bookmarkEnd w:id="84"/>
      <w:r/>
      <w:bookmarkEnd w:id="85"/>
      <w:r/>
      <w:bookmarkStart w:id="86" w:name="_Toc120614219"/>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 被认定为未实质性响应磋商文件的情形：</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7.1出现下列情形之一的，作无效响应处理，</w:t>
      </w:r>
      <w:r>
        <w:rPr>
          <w:rFonts w:hint="eastAsia" w:ascii="宋体" w:hAnsi="宋体" w:eastAsia="宋体" w:cs="宋体"/>
          <w:b/>
          <w:color w:val="000000"/>
          <w:sz w:val="24"/>
          <w:szCs w:val="24"/>
          <w:highlight w:val="none"/>
        </w:rPr>
        <w:t xml:space="preserve">并视情报监管部门调查其相互串通投标嫌疑。</w:t>
      </w:r>
      <w:r>
        <w:rPr>
          <w:rFonts w:hint="eastAsia" w:ascii="宋体" w:hAnsi="宋体" w:eastAsia="宋体" w:cs="宋体"/>
          <w:b/>
          <w:bCs/>
          <w:color w:val="000000"/>
          <w:sz w:val="24"/>
          <w:szCs w:val="24"/>
          <w:highlight w:val="none"/>
        </w:rPr>
        <w:tab/>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7.1.1供应商在规定的时间内未在苏采云系统内成功提交磋商响应文件的。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7.1.2未完整提交响应文件的。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7.1.3同一供应商提交两个（含两个）以上不同的响应报价的。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7.1.4不具备磋商文件中规定的资格要求的。 </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7.1.5供应商在系统规定的时间内未成功解密电子响应文件的。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7.1.6未完整上传响应文件电子文档的，或上传的文件打不开的。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7.1.8响应报价超过了采购预算或最高限价的。 </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7.1.9未通过符合性检查的。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7.1.10不符合法律法规和磋商文件中规定的其他实质性要求的。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7.1.12响应文件含有采购人不能接受的附加条件的。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7.1.13本项目采购产品被财政部、国家发展改革委、生态环境部等列入“节能产品品目清单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7.1.14响应文件未按照磋商文件要求加盖电子签章。</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注：凡是响应文件中要求法定代表人或授权委托人签字，和以供应商名称落款并注明需要盖章的，均需相应盖章（或电子签章）或签字。否则视为未按照采购文件要求盖章或签字。</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7.1.15供应商的商务技术部分得分相差悬殊，评审委员会认为得分畸低者没有实质性响应的。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7.1.16</w:t>
      </w:r>
      <w:r>
        <w:rPr>
          <w:rFonts w:hint="eastAsia" w:ascii="宋体" w:hAnsi="宋体" w:eastAsia="宋体" w:cs="宋体"/>
          <w:b/>
          <w:color w:val="000000"/>
          <w:sz w:val="24"/>
          <w:szCs w:val="24"/>
          <w:highlight w:val="none"/>
        </w:rPr>
        <w:t xml:space="preserve">不同供应商的响应文件由同一单位或者个人编制的；不同供应商的磋商响应文件相互混传；</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7.1.17不同供应商委托同一单位或者个人办理磋商事宜；不同供应商的磋商响应文件错漏之处雷同；</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7.1.18不同供应商的响应文件载明的项目管理成员或者联系人员为同一人；</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7.1.19不同供应商的响应文件异常一致或者响应报价呈规律性差异。</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7.1.20供应商之间相互约定，一致抬高或压低投标报价；</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7.1.21供应商之间相互约定，在招标项目中轮流以高价位或低价位成交；</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7.1.22不同供应商的技术服务方案（或施工组织设计方案）基本雷同的；不同供应商的磋商响应文件出现了评审委员会认为不应当雷同的情况；</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7.1.23开标前已有举报，开标后发现各投标单位的报价情况与举报情况相吻合的；</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7.1.24磋商小组一致认定判为无效响应的；</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7.1.25不同的供应商响应文件制作机器码、文件创建标识码一致的。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其他法律法规及本磋商文件规定的属无效响应的情形：</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7.2</w:t>
      </w:r>
      <w:r>
        <w:rPr>
          <w:rFonts w:hint="eastAsia" w:ascii="宋体" w:hAnsi="宋体" w:eastAsia="宋体" w:cs="宋体"/>
          <w:b/>
          <w:color w:val="000000"/>
          <w:sz w:val="24"/>
          <w:szCs w:val="24"/>
          <w:highlight w:val="none"/>
        </w:rPr>
        <w:t xml:space="preserve">凡磋商响应文件有下列情形之一的，属于重大偏差，视同未能对采购文件作出实质性响应，按废标处理。 </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7.2.1法人授权委托书或投标函未加盖投标供应商公章（或电子印章）的；</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7.2.2未按采购文件规定的格式填写，内容不全或关键字迹模糊、无法辨认的； </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7.2.4磋商响应文件载明的项目完成期限超过采购文件规定的期限；</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7.2.5明显不符合技术规范、技术标准的要求，或者对采购文件质量要求未明确响应的；</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7.2.6投标报价低于成本或者高于采购文件规定的最高限价（招标控制价）的；</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7.2.7磋商响应文件载明的货物包装方式、检验标准和方法等不符合采购文件的要求；</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7.2.8组成联合体参加磋商活动的，磋商响应文件未附联合体各方共同投标协议的；</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7.2.9在同一采购项目中，联合体成员以自己名义单独参加磋商或者参加其他联合体磋商活动的；</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7.2.10未按采购文件要求提供磋商响应文件内容不全的；</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7.2.11以他人的名义投标、串通投标、以行贿手段谋取中标或者以其他弄虚作假方式投标的；</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7.3出现下列情形之一的，磋商失败。</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7.3.2出现影响采购公正的违法违规行为的；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7.3.3因重大变故，采购任务取消的。</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7.3.4磋商小组认定磋商文件存在歧义、重大缺陷导致评审工作无法进行。</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7.3.5 因系统故障原因造成磋商无法继续进行的</w:t>
      </w:r>
      <w:r>
        <w:rPr>
          <w:rFonts w:hint="eastAsia" w:ascii="宋体" w:hAnsi="宋体" w:eastAsia="宋体" w:cs="宋体"/>
          <w:b/>
          <w:color w:val="000000"/>
          <w:sz w:val="24"/>
          <w:szCs w:val="24"/>
          <w:highlight w:val="none"/>
        </w:rPr>
        <w:t xml:space="preserve">（适用于不见面磋商模式）</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7.4 响应</w:t>
      </w:r>
      <w:r>
        <w:rPr>
          <w:rFonts w:hint="eastAsia" w:ascii="宋体" w:hAnsi="宋体" w:eastAsia="宋体" w:cs="宋体"/>
          <w:b/>
          <w:color w:val="000000"/>
          <w:sz w:val="24"/>
          <w:szCs w:val="24"/>
          <w:highlight w:val="none"/>
        </w:rPr>
        <w:t xml:space="preserve">文件提交</w:t>
      </w:r>
      <w:r>
        <w:rPr>
          <w:rFonts w:hint="eastAsia" w:ascii="宋体" w:hAnsi="宋体" w:eastAsia="宋体" w:cs="宋体"/>
          <w:b/>
          <w:bCs/>
          <w:color w:val="000000"/>
          <w:sz w:val="24"/>
          <w:szCs w:val="24"/>
          <w:highlight w:val="none"/>
        </w:rPr>
        <w:t xml:space="preserve">截止时间结束后参加磋商的供应商不足三家的处理：</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7.4.1如出现响应</w:t>
      </w:r>
      <w:r>
        <w:rPr>
          <w:rFonts w:hint="eastAsia" w:ascii="宋体" w:hAnsi="宋体" w:eastAsia="宋体" w:cs="宋体"/>
          <w:b/>
          <w:color w:val="000000"/>
          <w:sz w:val="24"/>
          <w:szCs w:val="24"/>
          <w:highlight w:val="none"/>
        </w:rPr>
        <w:t xml:space="preserve">文件提交</w:t>
      </w:r>
      <w:r>
        <w:rPr>
          <w:rFonts w:hint="eastAsia" w:ascii="宋体" w:hAnsi="宋体" w:eastAsia="宋体" w:cs="宋体"/>
          <w:b/>
          <w:bCs/>
          <w:color w:val="000000"/>
          <w:sz w:val="24"/>
          <w:szCs w:val="24"/>
          <w:highlight w:val="none"/>
        </w:rPr>
        <w:t xml:space="preserve">截止时间结束后参加磋商的供应商或者在评审期间对磋商文件做出实质响应的供应商不足三家</w:t>
      </w:r>
      <w:r>
        <w:rPr>
          <w:rFonts w:hint="eastAsia" w:ascii="宋体" w:hAnsi="宋体" w:eastAsia="宋体" w:cs="宋体"/>
          <w:b/>
          <w:bCs/>
          <w:color w:val="000000"/>
          <w:sz w:val="24"/>
          <w:szCs w:val="24"/>
          <w:highlight w:val="none"/>
          <w:lang w:val="en-US" w:eastAsia="zh-CN"/>
        </w:rPr>
        <w:t xml:space="preserve">的</w:t>
      </w:r>
      <w:r>
        <w:rPr>
          <w:rFonts w:hint="eastAsia" w:ascii="宋体" w:hAnsi="宋体" w:eastAsia="宋体" w:cs="宋体"/>
          <w:b/>
          <w:bCs/>
          <w:color w:val="000000"/>
          <w:sz w:val="24"/>
          <w:szCs w:val="24"/>
          <w:highlight w:val="none"/>
        </w:rPr>
        <w:t xml:space="preserve">情况，按政府采购相关规定执行。</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w:t>
      </w:r>
      <w:bookmarkEnd w:id="86"/>
      <w:r>
        <w:rPr>
          <w:rFonts w:hint="eastAsia" w:ascii="宋体" w:hAnsi="宋体" w:eastAsia="宋体" w:cs="宋体"/>
          <w:b/>
          <w:color w:val="000000"/>
          <w:sz w:val="24"/>
          <w:szCs w:val="24"/>
          <w:highlight w:val="none"/>
        </w:rPr>
        <w:t xml:space="preserve">、成交</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1.确定成交单位</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1.1成交候选供应商的选取原则和数量见磋商文件第四部分规定。</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1.2采购人授权磋商小组在成交候选供应商中直接确定成交供应商。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1.3采购代理机构将在“江苏政府采购网”发布成交结果公告，公告期限为1个工作日。</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1.4若有充分证据证明，成交供应商出现下列情况之一的，一经查实，将被取消成交资格：</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1.4.1提供虚假材料谋取成交的。</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1.4.2向采购人或采购代理机构行贿或者评审专家提供其他不正当利益的。</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1.4.3恶意竞争，最后报价明显低于其自身合理成本且又无法提供证明的。</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1.4.4属于本文件规定的无效条件，但在评审过程中又未被磋商小组发现的。</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w:t>
      </w:r>
      <w:r>
        <w:rPr>
          <w:rFonts w:hint="eastAsia" w:ascii="宋体" w:hAnsi="宋体" w:eastAsia="宋体" w:cs="宋体"/>
          <w:color w:val="000000"/>
          <w:sz w:val="24"/>
          <w:szCs w:val="24"/>
          <w:highlight w:val="none"/>
          <w:lang w:val="zh-CN"/>
        </w:rPr>
        <w:t xml:space="preserve">与评审专家、采购人、</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zh-CN"/>
        </w:rPr>
        <w:t xml:space="preserve">供应商或者采购</w:t>
      </w:r>
      <w:r>
        <w:rPr>
          <w:rFonts w:hint="eastAsia" w:ascii="宋体" w:hAnsi="宋体" w:eastAsia="宋体" w:cs="宋体"/>
          <w:color w:val="000000"/>
          <w:sz w:val="24"/>
          <w:szCs w:val="24"/>
          <w:highlight w:val="none"/>
        </w:rPr>
        <w:t xml:space="preserve">代理机构</w:t>
      </w:r>
      <w:r>
        <w:rPr>
          <w:rFonts w:hint="eastAsia" w:ascii="宋体" w:hAnsi="宋体" w:eastAsia="宋体" w:cs="宋体"/>
          <w:color w:val="000000"/>
          <w:sz w:val="24"/>
          <w:szCs w:val="24"/>
          <w:highlight w:val="none"/>
          <w:lang w:val="zh-CN"/>
        </w:rPr>
        <w:t xml:space="preserve">工作人员恶意串通的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1.4.6采取不正当手段诋毁、排挤其他供应商的。</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1.4.7</w:t>
      </w:r>
      <w:r>
        <w:rPr>
          <w:rFonts w:hint="eastAsia" w:ascii="宋体" w:hAnsi="宋体" w:eastAsia="宋体" w:cs="宋体"/>
          <w:color w:val="000000"/>
          <w:sz w:val="24"/>
          <w:szCs w:val="24"/>
          <w:highlight w:val="none"/>
          <w:lang w:val="zh-CN"/>
        </w:rPr>
        <w:t xml:space="preserve">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lang w:val="zh-CN"/>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1.4.8</w:t>
      </w:r>
      <w:r>
        <w:rPr>
          <w:rFonts w:hint="eastAsia" w:ascii="宋体" w:hAnsi="宋体" w:eastAsia="宋体" w:cs="宋体"/>
          <w:color w:val="000000"/>
          <w:sz w:val="24"/>
          <w:szCs w:val="24"/>
          <w:highlight w:val="none"/>
          <w:lang w:val="zh-CN"/>
        </w:rPr>
        <w:t xml:space="preserve">将政府采购合同转包的。</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1.5.有下列情形之一的，视为供应商串通参与磋商，响应无效：</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1.5.1不同供应商的响应文件由同一单位或者个人编制；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1.5.2不同供应商委托同一单位或者个人办理磋商事宜；</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1.5.3不同供应商的响应文件载明的项目管理成员或者联系人员为同一人；</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1.5.4不同供应商的响应文件异常一致或者响应报价呈规律性差异。</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2.质疑处理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2.1提出质疑的供应商应当是参与所质疑项目采购活动的供应商。潜在供应商依法获取其可质疑的磋商文件的，可以对磋商文件提出质疑。</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2.2.1对可以质疑的磋商文件提出质疑的，为收到磋商文件之日或者磋商文件公告期限届满之日；</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2.2.2对采购过程提出质疑的，为各采购程序环节结束之日；</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2.2.3对成交结果提出质疑的，为成交结果公告期限届满之日。</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供应商应当在法定质疑期内一次性提出针对同一采购程序环节的质疑。</w:t>
      </w:r>
      <w:r>
        <w:rPr>
          <w:rFonts w:hint="eastAsia" w:ascii="宋体" w:hAnsi="宋体" w:eastAsia="宋体" w:cs="宋体"/>
          <w:color w:val="000000"/>
          <w:sz w:val="24"/>
          <w:szCs w:val="24"/>
          <w:highlight w:val="none"/>
          <w:lang w:val="zh-CN"/>
        </w:rPr>
        <w:t xml:space="preserve">供应商如在法定期限内对同一采购程序环节提出多次质疑的，采购人、</w:t>
      </w: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val="zh-CN"/>
        </w:rPr>
        <w:t xml:space="preserve">将只对供应商第一次质疑作出答复。</w:t>
      </w:r>
      <w:r>
        <w:rPr>
          <w:rFonts w:hint="eastAsia" w:ascii="宋体" w:hAnsi="宋体" w:eastAsia="宋体" w:cs="宋体"/>
          <w:color w:val="000000"/>
          <w:sz w:val="24"/>
          <w:szCs w:val="24"/>
          <w:highlight w:val="none"/>
          <w:lang w:val="zh-CN"/>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2.4质疑答复依据《政府采购质疑和投诉办法》（财政部令第94号）。</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采购人或采购代理机构质疑接收人及联系方式，见磋商文件第一部分。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以下情形的质疑不予受理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2.5.1内容不符合《政府采购质疑和投诉办法》第十二条规定的质疑。</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2.5.2超出政府采购法定期限的质疑。</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七、成交通知书</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特别说明：成交供应商在下载成交通知书后须提供</w:t>
      </w:r>
      <w:r>
        <w:rPr>
          <w:rFonts w:hint="eastAsia" w:ascii="宋体" w:hAnsi="宋体" w:eastAsia="宋体" w:cs="宋体"/>
          <w:b/>
          <w:bCs/>
          <w:color w:val="000000"/>
          <w:sz w:val="24"/>
          <w:szCs w:val="24"/>
          <w:highlight w:val="none"/>
          <w:u w:val="single"/>
        </w:rPr>
        <w:t xml:space="preserve">3套</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val="en-US" w:eastAsia="zh-CN"/>
        </w:rPr>
        <w:t xml:space="preserve">公章</w:t>
      </w:r>
      <w:r>
        <w:rPr>
          <w:rFonts w:hint="eastAsia" w:ascii="宋体" w:hAnsi="宋体" w:eastAsia="宋体" w:cs="宋体"/>
          <w:b/>
          <w:bCs/>
          <w:color w:val="000000"/>
          <w:sz w:val="24"/>
          <w:szCs w:val="24"/>
          <w:highlight w:val="none"/>
        </w:rPr>
        <w:t xml:space="preserve">的系统内打印的纸质响应文件给采购代理机构。</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八、授予合同</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1.签订合同</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签订合同时需做好提交各类声明函、承诺函、业绩证明、资质、证书等相应原件的核查准备；核查后发现虚假或违背承诺的，依照相关法律法规规定处理。</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1.3签订合同后，成交供应商不得将合同标的进行转包。未经采购人同意，</w:t>
      </w:r>
      <w:r>
        <w:rPr>
          <w:rFonts w:hint="eastAsia" w:ascii="宋体" w:hAnsi="宋体" w:eastAsia="宋体" w:cs="宋体"/>
          <w:color w:val="000000"/>
          <w:sz w:val="24"/>
          <w:szCs w:val="24"/>
          <w:highlight w:val="none"/>
          <w:lang w:val="zh-CN"/>
        </w:rPr>
        <w:t xml:space="preserve">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货物和服务的追加、减少和添购</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2.2采购结束后，采购人若由于各种客观原因，必须对采购项目所牵涉的货物和服务进行适当地减少时，在双方协商一致的前提下，可以按照采购时的价格水平做相应的调减，并据此签订补充合同。</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九、电子招标投标交易平台</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电子招标投标交易平台（即“苏采云”系统，网址：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"http://jszfcg.jsczt.cn/）相关要求是本采购文件的组成部分。"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eastAsia="en-US"/>
        </w:rPr>
        <w:t xml:space="preserve">http://jszfcg.jsczt.cn/）相关要求是本采购文件的组成部分。</w:t>
      </w:r>
      <w:r>
        <w:rPr>
          <w:rFonts w:hint="eastAsia" w:ascii="宋体" w:hAnsi="宋体" w:eastAsia="宋体" w:cs="宋体"/>
          <w:color w:val="000000"/>
          <w:sz w:val="24"/>
          <w:szCs w:val="24"/>
          <w:highlight w:val="none"/>
          <w:lang w:eastAsia="en-US"/>
        </w:rPr>
        <w:fldChar w:fldCharType="end"/>
      </w:r>
      <w:r>
        <w:rPr>
          <w:rFonts w:hint="eastAsia" w:ascii="宋体" w:hAnsi="宋体" w:eastAsia="宋体" w:cs="宋体"/>
          <w:color w:val="000000"/>
          <w:sz w:val="24"/>
          <w:szCs w:val="24"/>
          <w:highlight w:val="none"/>
          <w:lang w:eastAsia="en-US"/>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十、履约保证金</w:t>
      </w:r>
      <w:r>
        <w:rPr>
          <w:rFonts w:hint="eastAsia" w:ascii="宋体" w:hAnsi="宋体" w:eastAsia="宋体" w:cs="宋体"/>
          <w:b/>
          <w:color w:val="000000"/>
          <w:sz w:val="24"/>
          <w:szCs w:val="24"/>
          <w:highlight w:val="none"/>
        </w:rPr>
      </w:r>
      <w:r/>
    </w:p>
    <w:p>
      <w:pPr>
        <w:pStyle w:val="117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vertAlign w:val="baseline"/>
          <w:lang w:val="en-US" w:eastAsia="zh-CN" w:bidi="ar"/>
        </w:rPr>
        <w:suppressLineNumbers w:val="0"/>
      </w:pPr>
      <w:r>
        <w:rPr>
          <w:rFonts w:hint="eastAsia" w:ascii="宋体" w:hAnsi="宋体" w:eastAsia="宋体" w:cs="宋体"/>
          <w:color w:val="000000"/>
          <w:sz w:val="24"/>
          <w:szCs w:val="24"/>
          <w:highlight w:val="none"/>
          <w:vertAlign w:val="baseline"/>
          <w:lang w:val="en-US" w:eastAsia="zh-CN" w:bidi="ar"/>
        </w:rPr>
        <w:t xml:space="preserve">1.履约保证金金额：中标价的5%；</w:t>
      </w:r>
      <w:r>
        <w:rPr>
          <w:rFonts w:hint="eastAsia" w:ascii="宋体" w:hAnsi="宋体" w:eastAsia="宋体" w:cs="宋体"/>
          <w:color w:val="000000"/>
          <w:sz w:val="24"/>
          <w:szCs w:val="24"/>
          <w:highlight w:val="none"/>
          <w:vertAlign w:val="baseline"/>
          <w:lang w:val="en-US" w:eastAsia="zh-CN" w:bidi="ar"/>
        </w:rPr>
      </w:r>
      <w:r/>
    </w:p>
    <w:p>
      <w:pPr>
        <w:pStyle w:val="117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vertAlign w:val="baseline"/>
          <w:lang w:val="en-US" w:eastAsia="zh-CN" w:bidi="ar"/>
        </w:rPr>
        <w:suppressLineNumbers w:val="0"/>
      </w:pPr>
      <w:r>
        <w:rPr>
          <w:rFonts w:hint="eastAsia" w:ascii="宋体" w:hAnsi="宋体" w:eastAsia="宋体" w:cs="宋体"/>
          <w:color w:val="000000"/>
          <w:sz w:val="24"/>
          <w:szCs w:val="24"/>
          <w:highlight w:val="none"/>
          <w:vertAlign w:val="baseline"/>
          <w:lang w:val="en-US" w:eastAsia="zh-CN" w:bidi="ar"/>
        </w:rPr>
        <w:t xml:space="preserve">2.履约保证金缴纳时间：成交单位须在发出成交通知书后7日内缴纳履约保证金；</w:t>
      </w:r>
      <w:r>
        <w:rPr>
          <w:rFonts w:hint="eastAsia" w:ascii="宋体" w:hAnsi="宋体" w:eastAsia="宋体" w:cs="宋体"/>
          <w:color w:val="000000"/>
          <w:sz w:val="24"/>
          <w:szCs w:val="24"/>
          <w:highlight w:val="none"/>
          <w:vertAlign w:val="baseline"/>
          <w:lang w:val="en-US" w:eastAsia="zh-CN" w:bidi="ar"/>
        </w:rPr>
      </w:r>
      <w:r/>
    </w:p>
    <w:p>
      <w:pPr>
        <w:pStyle w:val="117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vertAlign w:val="baseline"/>
          <w:lang w:val="en-US" w:eastAsia="zh-CN" w:bidi="ar"/>
        </w:rPr>
        <w:suppressLineNumbers w:val="0"/>
      </w:pPr>
      <w:r>
        <w:rPr>
          <w:rFonts w:hint="eastAsia" w:ascii="宋体" w:hAnsi="宋体" w:eastAsia="宋体" w:cs="宋体"/>
          <w:color w:val="000000"/>
          <w:sz w:val="24"/>
          <w:szCs w:val="24"/>
          <w:highlight w:val="none"/>
          <w:vertAlign w:val="baseline"/>
          <w:lang w:val="en-US" w:eastAsia="zh-CN" w:bidi="ar"/>
        </w:rPr>
        <w:t xml:space="preserve">3.履约保证金缴纳形式：支票、汇票、本票或者金融机构、担保机构出具的保函、保证保险等非现金形式汇至采购人指定账户。</w:t>
      </w:r>
      <w:r>
        <w:rPr>
          <w:rFonts w:hint="eastAsia" w:ascii="宋体" w:hAnsi="宋体" w:eastAsia="宋体" w:cs="宋体"/>
          <w:color w:val="000000"/>
          <w:sz w:val="24"/>
          <w:szCs w:val="24"/>
          <w:highlight w:val="none"/>
          <w:vertAlign w:val="baseline"/>
          <w:lang w:val="en-US" w:eastAsia="zh-CN" w:bidi="ar"/>
        </w:rPr>
      </w:r>
      <w:r/>
    </w:p>
    <w:p>
      <w:pPr>
        <w:pStyle w:val="117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vertAlign w:val="baseline"/>
          <w:lang w:val="en-US" w:eastAsia="zh-CN" w:bidi="ar"/>
        </w:rPr>
        <w:suppressLineNumbers w:val="0"/>
      </w:pPr>
      <w:r>
        <w:rPr>
          <w:rFonts w:hint="eastAsia" w:ascii="宋体" w:hAnsi="宋体" w:eastAsia="宋体" w:cs="宋体"/>
          <w:color w:val="000000"/>
          <w:sz w:val="24"/>
          <w:szCs w:val="24"/>
          <w:highlight w:val="none"/>
          <w:vertAlign w:val="baseline"/>
          <w:lang w:val="en-US" w:eastAsia="zh-CN" w:bidi="ar"/>
        </w:rPr>
        <w:t xml:space="preserve">4.履约保证金退还时间：</w:t>
      </w:r>
      <w:r>
        <w:rPr>
          <w:rFonts w:hint="eastAsia" w:ascii="宋体" w:hAnsi="宋体" w:eastAsia="宋体" w:cs="宋体"/>
          <w:sz w:val="24"/>
          <w:szCs w:val="24"/>
          <w:highlight w:val="none"/>
          <w:lang w:val="zh-CN"/>
        </w:rPr>
        <w:t xml:space="preserve">项目完成经验收合格后，30日内，无息退还全额履约保证金。</w:t>
      </w:r>
      <w:r>
        <w:rPr>
          <w:rFonts w:hint="eastAsia" w:ascii="宋体" w:hAnsi="宋体" w:eastAsia="宋体" w:cs="宋体"/>
          <w:color w:val="000000"/>
          <w:sz w:val="24"/>
          <w:szCs w:val="24"/>
          <w:highlight w:val="none"/>
          <w:vertAlign w:val="baseline"/>
          <w:lang w:val="en-US" w:eastAsia="zh-CN" w:bidi="ar"/>
        </w:rPr>
      </w:r>
      <w:r/>
    </w:p>
    <w:p>
      <w:pPr>
        <w:pStyle w:val="1173"/>
        <w:ind w:firstLine="482"/>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十一、质疑提出和处理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格式请在江苏政府采购网“下载中心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有关质疑资料”下载</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（一）质疑的提出</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1.质疑人必须是直接参加本次磋商活动的当事人。</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下载磋商文件的供应商应根据第二章“投标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3.提出质疑时，必须坚持“谁主张，谁举证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4.对本次招标有质疑的，实行实名制，不得进行虚假、恶意质疑。质疑人应在质疑有效期内以书面形式提出《质疑函》（格式请下载），《质疑函》内容应包括质疑事项、主要内容、事实依据、</w:t>
      </w:r>
      <w:r>
        <w:rPr>
          <w:rFonts w:hint="eastAsia" w:ascii="宋体" w:hAnsi="宋体" w:eastAsia="宋体" w:cs="宋体"/>
          <w:color w:val="000000"/>
          <w:sz w:val="24"/>
          <w:szCs w:val="24"/>
          <w:highlight w:val="none"/>
          <w:lang w:eastAsia="zh-CN"/>
        </w:rPr>
        <w:t xml:space="preserve">适用</w:t>
      </w:r>
      <w:r>
        <w:rPr>
          <w:rFonts w:hint="eastAsia" w:ascii="宋体" w:hAnsi="宋体" w:eastAsia="宋体" w:cs="宋体"/>
          <w:color w:val="000000"/>
          <w:sz w:val="24"/>
          <w:szCs w:val="24"/>
          <w:highlight w:val="none"/>
        </w:rPr>
        <w:t xml:space="preserve">法规条款、佐证材料等。同时，质疑人应保证其提出的质疑内容及相关佐证材料的真实性及来源的合法性，并承担相应的法律责任。</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对不能提供相关佐证材料的、涉及商业秘密的、非书面形式的、非送达的、匿名的《质疑函》将不予受理。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相关佐证材料要具备客观性、关联性、合法性，无法查实的（如宣传册、媒体报道、猜测、推理等）不能作为佐证材料。</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采购单位或采购代理机构不负责</w:t>
      </w:r>
      <w:r>
        <w:rPr>
          <w:rFonts w:hint="eastAsia" w:ascii="宋体" w:hAnsi="宋体" w:eastAsia="宋体" w:cs="宋体"/>
          <w:color w:val="000000"/>
          <w:sz w:val="24"/>
          <w:szCs w:val="24"/>
          <w:highlight w:val="none"/>
          <w:lang w:val="en-US" w:eastAsia="zh-CN"/>
        </w:rPr>
        <w:t xml:space="preserve">收</w:t>
      </w:r>
      <w:r>
        <w:rPr>
          <w:rFonts w:hint="eastAsia" w:ascii="宋体" w:hAnsi="宋体" w:eastAsia="宋体" w:cs="宋体"/>
          <w:color w:val="000000"/>
          <w:sz w:val="24"/>
          <w:szCs w:val="24"/>
          <w:highlight w:val="none"/>
        </w:rPr>
        <w:t xml:space="preserve">集相关佐证材料等工作。</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（二）《质疑函》的受理和回复</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1.《质疑函》须由质疑人的法定代表人或参加本次磋商被授权人送达采购单位和采购代理机构。</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3.对不符合质疑要求的，出具《质疑退回通知书》并提出相关补充材料要求，质疑人未在规定的时间内提供补充佐证材料的，视同放弃质疑。</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4.采购单位、采购代理机构负责将质疑人提出的质疑相关材料提供给相关专家或评审小组审核，并将审核意见回复质疑人。</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5.因质疑情况复杂，组织论证或审查时间较长的，采购单位、采购代理机构以书面形式通知质疑人，可适当延长质疑回复处理时间。</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（三）质疑处理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1.质疑成立的处理。采购单位或采购代理机构终止采购，并建议有关部门对相关当事人予以处理。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2.质疑不成立的处理。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1）质疑人书面《申请撤回质疑函》的，不作违约处理。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2）质疑人在规定的时间内不配合进行质疑调查处理的，按自动撤回《质疑函》处理。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3）质疑人不按《质疑函》</w:t>
      </w:r>
      <w:r>
        <w:rPr>
          <w:rFonts w:hint="eastAsia" w:ascii="宋体" w:hAnsi="宋体" w:eastAsia="宋体" w:cs="宋体"/>
          <w:color w:val="000000"/>
          <w:sz w:val="24"/>
          <w:szCs w:val="24"/>
          <w:highlight w:val="none"/>
          <w:lang w:eastAsia="zh-CN"/>
        </w:rPr>
        <w:t xml:space="preserve">格式</w:t>
      </w:r>
      <w:r>
        <w:rPr>
          <w:rFonts w:hint="eastAsia" w:ascii="宋体" w:hAnsi="宋体" w:eastAsia="宋体" w:cs="宋体"/>
          <w:color w:val="000000"/>
          <w:sz w:val="24"/>
          <w:szCs w:val="24"/>
          <w:highlight w:val="none"/>
        </w:rPr>
        <w:t xml:space="preserve">提出质疑的，作违约处理。同时，视情列入不良供应商名单。</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5）质疑人不能提供相关佐证材料的，采购单位、采购代理机构已指出，质疑人仍然坚持提出质疑的，作违约处理。同时，列入不良供应商名单。</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7）质疑人承担使用虚假材料或恶意方式质疑的法律责任。</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4.无佐证材料的举报</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违约处理。供应商不得进行不提供相关佐证材料（含无法查实的如宣传册、媒体报道、猜测、推理等）向有关部门的举报，否则作违约处理。同时对其在1至3年内禁止参加由采购单位组织的政府采购活动的违约处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5.投诉不成立的作违约处理。供应商进行质疑后，采购单位回复质疑不成立，供应商仍进行投诉的，并最终投诉不成立的，</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违约处理。采购单位有权对其在1至3年内禁止参加由采购单位组织的政府采购活动的违约处理。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质疑回复函》，质疑、举报、投诉不成立等相关情况，视情在泰州市政府采购网、省、国家级等相关媒体予以披露。并建议相关政府采购机构对该供应商同步实施1至3年内禁入。</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7.质疑供应商对采购单位或代理机构的答复不满意或者采购单位或代理机构未在规定的时间内作出答复的，可以在答复期满后15个工作日内向政府采购监督管理部门投诉。</w:t>
      </w:r>
      <w:r>
        <w:rPr>
          <w:rFonts w:hint="eastAsia" w:ascii="宋体" w:hAnsi="宋体" w:eastAsia="宋体" w:cs="宋体"/>
          <w:b/>
          <w:color w:val="000000"/>
          <w:sz w:val="24"/>
          <w:szCs w:val="24"/>
          <w:highlight w:val="none"/>
        </w:rPr>
      </w:r>
      <w:r/>
    </w:p>
    <w:p>
      <w:pPr>
        <w:pStyle w:val="1173"/>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十二、其他事项说明：</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采购项目需要落实的政府采购相关法律法规及政策：</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1.《中华人民共和国政府采购法》</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2.《中华人民共和国政府采购法实施条例》</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3.《政府采购竞争性磋商采购方式管理办法》</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4.政府采购促进中小企业发展办法的通知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财库〔2020〕46号 </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.《江苏省财政厅关于进一步加大政府采购支持中小企业力度的通知》苏财购〔2022〕45号</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.根据《江苏省财政厅关于加强政府绿色采购有关事项的通知》（苏财购〔2023〕65号）文件精神，严格落实政府绿色采购的各项要求。</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.节能环保</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本项目中如有涉及节能环保产品要求的，应当按《财政部、发展改革委、生态环境部、市场监管总局关于调整优化节能产品、环境标志产品政府采购执行机制的通知》</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财库〔2019〕9号</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文件执行。</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.需求标准</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本项目中如有涉及商品包装、快递包装的，应当按《关于印发〈商品包装政府采购需求标准（试行）〉、〈快递包装政府采购需求标准（试行）〉的通知》（财办库〔2020〕123号）文件执行。</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本项目中如有涉及采购数据中心相关设备、运维服务的，应当按《关于印发〈绿色数据中心政府采购需求标准（试行）〉的通知》（财办库〔2023〕7号）文件执行。</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bidi="ar"/>
        </w:rPr>
        <w:t xml:space="preserve">.中标、成交供应商可以采用电子履约保函形式代替缴纳履约保证金，具体可登录江苏政府采购网的保险保函模块进行办理。</w:t>
      </w:r>
      <w:r>
        <w:rPr>
          <w:rFonts w:hint="eastAsia" w:ascii="宋体" w:hAnsi="宋体" w:eastAsia="宋体" w:cs="宋体"/>
          <w:color w:val="000000"/>
          <w:sz w:val="24"/>
          <w:szCs w:val="24"/>
          <w:highlight w:val="none"/>
          <w:lang w:bidi="ar"/>
        </w:rPr>
      </w:r>
      <w:r/>
    </w:p>
    <w:p>
      <w:pPr>
        <w:pStyle w:val="1173"/>
        <w:ind w:firstLine="480"/>
        <w:pageBreakBefore w:val="0"/>
        <w:spacing w:line="360" w:lineRule="auto"/>
        <w:rPr>
          <w:rFonts w:hint="eastAsia" w:ascii="宋体" w:hAnsi="宋体" w:eastAsia="宋体" w:cs="宋体"/>
          <w:color w:val="000000"/>
          <w:sz w:val="24"/>
          <w:szCs w:val="24"/>
          <w:highlight w:val="none"/>
          <w:lang w:bidi="ar"/>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.中标、成交供应商可凭政府采购合同办理融资贷款，详情请见泰州市政府采购网“政采贷”专栏。</w:t>
      </w:r>
      <w:r>
        <w:rPr>
          <w:rFonts w:hint="eastAsia" w:ascii="宋体" w:hAnsi="宋体" w:eastAsia="宋体" w:cs="宋体"/>
          <w:color w:val="000000"/>
          <w:sz w:val="24"/>
          <w:szCs w:val="24"/>
          <w:highlight w:val="none"/>
          <w:lang w:bidi="ar"/>
        </w:rPr>
      </w:r>
      <w:r/>
    </w:p>
    <w:p>
      <w:pPr>
        <w:pStyle w:val="1174"/>
        <w:numPr>
          <w:ilvl w:val="0"/>
          <w:numId w:val="3"/>
        </w:numPr>
        <w:ind w:firstLine="482"/>
        <w:jc w:val="center"/>
        <w:pageBreakBefore w:val="0"/>
        <w:spacing w:line="360" w:lineRule="auto"/>
        <w:rPr>
          <w:rFonts w:hint="eastAsia" w:ascii="宋体" w:hAnsi="宋体" w:eastAsia="宋体" w:cs="宋体"/>
          <w:b/>
          <w:color w:val="000000"/>
          <w:sz w:val="24"/>
          <w:szCs w:val="24"/>
          <w:highlight w:val="none"/>
        </w:rPr>
      </w:pPr>
      <w:r/>
      <w:bookmarkEnd w:id="34"/>
      <w:r/>
      <w:bookmarkEnd w:id="35"/>
      <w:r/>
      <w:bookmarkEnd w:id="36"/>
      <w:r/>
      <w:bookmarkStart w:id="87" w:name="_Toc86268901"/>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合同条款及格式</w:t>
      </w:r>
      <w:bookmarkEnd w:id="87"/>
      <w:r>
        <w:rPr>
          <w:rFonts w:hint="eastAsia" w:ascii="宋体" w:hAnsi="宋体" w:eastAsia="宋体" w:cs="宋体"/>
          <w:b/>
          <w:color w:val="000000"/>
          <w:sz w:val="24"/>
          <w:szCs w:val="24"/>
          <w:highlight w:val="none"/>
        </w:rPr>
      </w:r>
      <w:r/>
    </w:p>
    <w:p>
      <w:pPr>
        <w:pStyle w:val="1205"/>
        <w:ind w:left="0"/>
        <w:jc w:val="center"/>
        <w:pageBreakBefore w:val="0"/>
        <w:spacing w:line="360" w:lineRule="auto"/>
        <w:tabs>
          <w:tab w:val="left" w:pos="1050" w:leader="none"/>
          <w:tab w:val="right" w:pos="9402" w:leader="dot"/>
        </w:tabs>
        <w:rPr>
          <w:rFonts w:hint="eastAsia" w:ascii="宋体" w:hAnsi="宋体" w:eastAsia="宋体" w:cs="宋体"/>
          <w:b/>
          <w:iCs/>
          <w:color w:val="000000"/>
          <w:sz w:val="24"/>
          <w:szCs w:val="24"/>
          <w:highlight w:val="none"/>
        </w:rPr>
        <w:outlineLvl w:val="0"/>
      </w:pPr>
      <w:r>
        <w:rPr>
          <w:rFonts w:hint="eastAsia" w:ascii="宋体" w:hAnsi="宋体" w:eastAsia="宋体" w:cs="宋体"/>
          <w:b/>
          <w:iCs/>
          <w:color w:val="000000"/>
          <w:sz w:val="24"/>
          <w:szCs w:val="24"/>
          <w:highlight w:val="none"/>
        </w:rPr>
        <w:t xml:space="preserve"> 合同授予</w:t>
      </w:r>
      <w:r>
        <w:rPr>
          <w:rFonts w:hint="eastAsia" w:ascii="宋体" w:hAnsi="宋体" w:eastAsia="宋体" w:cs="宋体"/>
          <w:b/>
          <w:i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一、成交供应商在《成交通知书》</w:t>
      </w:r>
      <w:r>
        <w:rPr>
          <w:rFonts w:hint="eastAsia" w:ascii="宋体" w:hAnsi="宋体" w:eastAsia="宋体" w:cs="宋体"/>
          <w:bCs/>
          <w:color w:val="000000"/>
          <w:sz w:val="24"/>
          <w:szCs w:val="24"/>
          <w:highlight w:val="none"/>
        </w:rPr>
        <w:t xml:space="preserve">发出后30日</w:t>
      </w:r>
      <w:r>
        <w:rPr>
          <w:rFonts w:hint="eastAsia" w:ascii="宋体" w:hAnsi="宋体" w:eastAsia="宋体" w:cs="宋体"/>
          <w:color w:val="000000"/>
          <w:sz w:val="24"/>
          <w:szCs w:val="24"/>
          <w:highlight w:val="none"/>
        </w:rPr>
        <w:t xml:space="preserve">内须按照磋商文件确定的事项签订采购合同。合同一式六份，采购单位四份、供应商两份。所签合同不得对磋商文件作实质性修改。采购单位不得向成交供应商提出不合理的要求作为签订合同的条件，不得与成交供应商私下订立背离磋商文件实质性内容的协议。 </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五、按政府采购合同约定支付的合同款，实行财政国库直接支付。</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六、不响应付款方式的，视同响应文件无效，按无效响应文件处理。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七、付款方式详见磋商文件第四章。</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八、项目款的支付不计息。</w:t>
      </w:r>
      <w:r>
        <w:rPr>
          <w:rFonts w:hint="eastAsia" w:ascii="宋体" w:hAnsi="宋体" w:eastAsia="宋体" w:cs="宋体"/>
          <w:color w:val="000000"/>
          <w:sz w:val="24"/>
          <w:szCs w:val="24"/>
          <w:highlight w:val="none"/>
        </w:rPr>
      </w:r>
      <w:r/>
    </w:p>
    <w:p>
      <w:pPr>
        <w:pStyle w:val="1173"/>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73"/>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06"/>
        <w:jc w:val="center"/>
        <w:pageBreakBefore w:val="0"/>
        <w:spacing w:before="0" w:after="0" w:line="36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bookmarkStart w:id="88" w:name="_Toc498006744"/>
      <w:r/>
      <w:bookmarkStart w:id="89" w:name="_Toc87985472"/>
      <w:r>
        <w:rPr>
          <w:rFonts w:hint="eastAsia" w:ascii="宋体" w:hAnsi="宋体" w:eastAsia="宋体" w:cs="宋体"/>
          <w:color w:val="000000"/>
          <w:sz w:val="24"/>
          <w:szCs w:val="24"/>
          <w:highlight w:val="none"/>
        </w:rPr>
      </w:r>
      <w:r/>
    </w:p>
    <w:p>
      <w:pPr>
        <w:pStyle w:val="1189"/>
        <w:jc w:val="center"/>
        <w:pageBreakBefore w:val="0"/>
        <w:spacing w:before="0" w:after="0" w:line="360" w:lineRule="auto"/>
        <w:tabs>
          <w:tab w:val="right" w:pos="9440" w:leader="dot"/>
        </w:tabs>
        <w:rPr>
          <w:rFonts w:hint="eastAsia" w:ascii="宋体" w:hAnsi="宋体" w:eastAsia="宋体" w:cs="宋体"/>
          <w:sz w:val="24"/>
          <w:szCs w:val="24"/>
          <w:highlight w:val="none"/>
        </w:rPr>
      </w:pPr>
      <w:r/>
      <w:bookmarkStart w:id="90" w:name="_Toc86268902"/>
      <w:r>
        <w:rPr>
          <w:rFonts w:hint="eastAsia" w:ascii="宋体" w:hAnsi="宋体" w:eastAsia="宋体" w:cs="宋体"/>
          <w:sz w:val="24"/>
          <w:szCs w:val="24"/>
          <w:highlight w:val="none"/>
        </w:rPr>
        <w:t xml:space="preserve">（参考文本）</w:t>
      </w:r>
      <w:r>
        <w:rPr>
          <w:rFonts w:hint="eastAsia" w:ascii="宋体" w:hAnsi="宋体" w:eastAsia="宋体" w:cs="宋体"/>
          <w:sz w:val="24"/>
          <w:szCs w:val="24"/>
          <w:highlight w:val="none"/>
        </w:rPr>
      </w:r>
      <w:r/>
    </w:p>
    <w:p>
      <w:pPr>
        <w:pStyle w:val="1173"/>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合同条款表</w:t>
      </w:r>
      <w:r>
        <w:rPr>
          <w:rFonts w:hint="eastAsia" w:ascii="宋体" w:hAnsi="宋体" w:eastAsia="宋体" w:cs="宋体"/>
          <w:b/>
          <w:bCs/>
          <w:sz w:val="24"/>
          <w:szCs w:val="24"/>
          <w:highlight w:val="none"/>
        </w:rPr>
      </w:r>
      <w:r/>
    </w:p>
    <w:tbl>
      <w:tblPr>
        <w:tblpPr w:horzAnchor="page" w:tblpX="1899" w:vertAnchor="text" w:tblpY="398" w:leftFromText="180" w:topFromText="0" w:rightFromText="180" w:bottomFromText="0"/>
        <w:tblW w:w="80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337"/>
      </w:tblGrid>
      <w:tr>
        <w:trPr>
          <w:trHeight w:val="604"/>
          <w:tblHeader/>
        </w:trPr>
        <w:tc>
          <w:tcPr>
            <w:tcW w:w="709" w:type="dxa"/>
            <w:vAlign w:val="center"/>
            <w:textDirection w:val="lrTb"/>
            <w:noWrap w:val="false"/>
          </w:tcPr>
          <w:p>
            <w:pPr>
              <w:pStyle w:val="1173"/>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7337" w:type="dxa"/>
            <w:vAlign w:val="center"/>
            <w:textDirection w:val="lrTb"/>
            <w:noWrap w:val="false"/>
          </w:tcPr>
          <w:p>
            <w:pPr>
              <w:pStyle w:val="1173"/>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内             容</w:t>
            </w:r>
            <w:r>
              <w:rPr>
                <w:rFonts w:hint="eastAsia" w:ascii="宋体" w:hAnsi="宋体" w:eastAsia="宋体" w:cs="宋体"/>
                <w:sz w:val="24"/>
                <w:szCs w:val="24"/>
                <w:highlight w:val="none"/>
              </w:rPr>
            </w:r>
            <w:r/>
          </w:p>
        </w:tc>
      </w:tr>
      <w:tr>
        <w:trPr>
          <w:trHeight w:val="930"/>
        </w:trPr>
        <w:tc>
          <w:tcPr>
            <w:tcW w:w="709" w:type="dxa"/>
            <w:vAlign w:val="center"/>
            <w:textDirection w:val="lrTb"/>
            <w:noWrap w:val="false"/>
          </w:tcPr>
          <w:p>
            <w:pPr>
              <w:pStyle w:val="1173"/>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7337" w:type="dxa"/>
            <w:vAlign w:val="center"/>
            <w:textDirection w:val="lrTb"/>
            <w:noWrap w:val="false"/>
          </w:tcPr>
          <w:p>
            <w:pPr>
              <w:pStyle w:val="1173"/>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买方名称：</w:t>
            </w:r>
            <w:r>
              <w:rPr>
                <w:rFonts w:hint="eastAsia" w:ascii="宋体" w:hAnsi="宋体" w:eastAsia="宋体" w:cs="宋体"/>
                <w:sz w:val="24"/>
                <w:szCs w:val="24"/>
                <w:highlight w:val="none"/>
                <w:lang w:eastAsia="zh-CN"/>
              </w:rPr>
              <w:t xml:space="preserve">泰州职业技术学院 </w:t>
            </w:r>
            <w:r>
              <w:rPr>
                <w:rFonts w:hint="eastAsia" w:ascii="宋体" w:hAnsi="宋体" w:eastAsia="宋体" w:cs="宋体"/>
                <w:sz w:val="24"/>
                <w:szCs w:val="24"/>
                <w:highlight w:val="none"/>
              </w:rPr>
              <w:t xml:space="preserve">（签订合同前称</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173"/>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卖方名称：与买方签订合同协议书的当事人</w:t>
            </w:r>
            <w:r>
              <w:rPr>
                <w:rFonts w:hint="eastAsia" w:ascii="宋体" w:hAnsi="宋体" w:eastAsia="宋体" w:cs="宋体"/>
                <w:sz w:val="24"/>
                <w:szCs w:val="24"/>
                <w:highlight w:val="none"/>
              </w:rPr>
            </w:r>
            <w:r/>
          </w:p>
        </w:tc>
      </w:tr>
      <w:tr>
        <w:trPr>
          <w:trHeight w:val="1234"/>
        </w:trPr>
        <w:tc>
          <w:tcPr>
            <w:tcW w:w="709" w:type="dxa"/>
            <w:vAlign w:val="center"/>
            <w:textDirection w:val="lrTb"/>
            <w:noWrap w:val="false"/>
          </w:tcPr>
          <w:p>
            <w:pPr>
              <w:pStyle w:val="1173"/>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7337" w:type="dxa"/>
            <w:vAlign w:val="center"/>
            <w:textDirection w:val="lrTb"/>
            <w:noWrap w:val="false"/>
          </w:tcPr>
          <w:p>
            <w:pPr>
              <w:pStyle w:val="1173"/>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履约保证金金额：</w:t>
            </w:r>
            <w:r>
              <w:rPr>
                <w:rFonts w:hint="eastAsia" w:ascii="宋体" w:hAnsi="宋体" w:eastAsia="宋体" w:cs="宋体"/>
                <w:sz w:val="24"/>
                <w:szCs w:val="24"/>
                <w:highlight w:val="none"/>
              </w:rPr>
              <w:t xml:space="preserve">合同签订前汇入合同总价5%的履约保证金至</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指定账户</w:t>
            </w:r>
            <w:r>
              <w:rPr>
                <w:rFonts w:hint="eastAsia" w:ascii="宋体" w:hAnsi="宋体" w:eastAsia="宋体" w:cs="宋体"/>
                <w:sz w:val="24"/>
                <w:szCs w:val="24"/>
                <w:highlight w:val="none"/>
              </w:rPr>
            </w:r>
            <w:r/>
          </w:p>
          <w:p>
            <w:pPr>
              <w:pStyle w:val="1173"/>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币种：人民币</w:t>
            </w:r>
            <w:r>
              <w:rPr>
                <w:rFonts w:hint="eastAsia" w:ascii="宋体" w:hAnsi="宋体" w:eastAsia="宋体" w:cs="宋体"/>
                <w:sz w:val="24"/>
                <w:szCs w:val="24"/>
                <w:highlight w:val="none"/>
              </w:rPr>
            </w:r>
            <w:r/>
          </w:p>
          <w:p>
            <w:pPr>
              <w:pStyle w:val="1173"/>
              <w:ind w:right="-11"/>
              <w:pageBreakBefore w:val="0"/>
              <w:spacing w:line="360" w:lineRule="auto"/>
              <w:rPr>
                <w:rFonts w:hint="eastAsia" w:ascii="宋体" w:hAnsi="宋体" w:eastAsia="宋体" w:cs="宋体"/>
                <w:bCs/>
                <w:sz w:val="24"/>
                <w:szCs w:val="24"/>
                <w:highlight w:val="none"/>
              </w:rPr>
              <w:framePr w:vAnchor="text" w:hAnchor="page" w:x="1899" w:y="398"/>
            </w:pPr>
            <w:r>
              <w:rPr>
                <w:rFonts w:hint="eastAsia" w:ascii="宋体" w:hAnsi="宋体" w:eastAsia="宋体" w:cs="宋体"/>
                <w:bCs/>
                <w:sz w:val="24"/>
                <w:szCs w:val="24"/>
                <w:highlight w:val="none"/>
              </w:rPr>
              <w:t xml:space="preserve">履约保证金形式：以</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（支票、汇票、本票或者金融机构、担保机构出具的保函、保证保险、电子履约保函等非现金）形式提交；</w:t>
            </w:r>
            <w:r>
              <w:rPr>
                <w:rFonts w:hint="eastAsia" w:ascii="宋体" w:hAnsi="宋体" w:eastAsia="宋体" w:cs="宋体"/>
                <w:bCs/>
                <w:sz w:val="24"/>
                <w:szCs w:val="24"/>
                <w:highlight w:val="none"/>
              </w:rPr>
            </w:r>
            <w:r/>
          </w:p>
          <w:p>
            <w:pPr>
              <w:pStyle w:val="1173"/>
              <w:ind w:right="-11"/>
              <w:pageBreakBefore w:val="0"/>
              <w:spacing w:line="360" w:lineRule="auto"/>
              <w:rPr>
                <w:rFonts w:hint="eastAsia" w:ascii="宋体" w:hAnsi="宋体" w:eastAsia="宋体" w:cs="宋体"/>
                <w:bCs/>
                <w:sz w:val="24"/>
                <w:szCs w:val="24"/>
                <w:highlight w:val="none"/>
              </w:rPr>
              <w:framePr w:vAnchor="text" w:hAnchor="page" w:x="1899" w:y="398"/>
            </w:pPr>
            <w:r>
              <w:rPr>
                <w:rFonts w:hint="eastAsia" w:ascii="宋体" w:hAnsi="宋体" w:eastAsia="宋体" w:cs="宋体"/>
                <w:b/>
                <w:bCs w:val="0"/>
                <w:sz w:val="24"/>
                <w:szCs w:val="24"/>
                <w:highlight w:val="none"/>
                <w:lang w:val="en-US" w:eastAsia="zh-CN"/>
              </w:rPr>
              <w:t xml:space="preserve">电子履约保函和履约保证金、纸质保函具有同等法律效力。若供应商以电子履约保函（保险）形式递交的，可登录江苏政府采购网下载“政府采购电子履约保函（保险）操作手册”。平台技术服务公司联系电话：025-52817676，电子履约保函（保险）平台服务电话：400-680-0040。</w:t>
            </w:r>
            <w:r>
              <w:rPr>
                <w:rFonts w:hint="eastAsia" w:ascii="宋体" w:hAnsi="宋体" w:eastAsia="宋体" w:cs="宋体"/>
                <w:bCs/>
                <w:sz w:val="24"/>
                <w:szCs w:val="24"/>
                <w:highlight w:val="none"/>
              </w:rPr>
            </w:r>
            <w:r/>
          </w:p>
          <w:p>
            <w:pPr>
              <w:pStyle w:val="1173"/>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履约保证金有效期：</w:t>
            </w:r>
            <w:r>
              <w:rPr>
                <w:rFonts w:hint="eastAsia" w:ascii="宋体" w:hAnsi="宋体" w:eastAsia="宋体" w:cs="宋体"/>
                <w:sz w:val="24"/>
                <w:szCs w:val="24"/>
                <w:highlight w:val="none"/>
                <w:lang w:val="zh-CN"/>
              </w:rPr>
              <w:t xml:space="preserve">自提交之日起至项目验收合格止，</w:t>
            </w:r>
            <w:r>
              <w:rPr>
                <w:rFonts w:hint="eastAsia" w:ascii="宋体" w:hAnsi="宋体" w:eastAsia="宋体" w:cs="宋体"/>
                <w:sz w:val="24"/>
                <w:szCs w:val="24"/>
                <w:highlight w:val="none"/>
              </w:rPr>
              <w:t xml:space="preserve">无息退还。</w:t>
            </w:r>
            <w:r>
              <w:rPr>
                <w:rFonts w:hint="eastAsia" w:ascii="宋体" w:hAnsi="宋体" w:eastAsia="宋体" w:cs="宋体"/>
                <w:sz w:val="24"/>
                <w:szCs w:val="24"/>
                <w:highlight w:val="none"/>
              </w:rPr>
            </w:r>
            <w:r/>
          </w:p>
          <w:p>
            <w:pPr>
              <w:pStyle w:val="1173"/>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b/>
                <w:bCs/>
                <w:sz w:val="24"/>
                <w:szCs w:val="24"/>
                <w:highlight w:val="none"/>
              </w:rPr>
              <w:t xml:space="preserve">政府采购履约资金扶持政策</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tc>
      </w:tr>
      <w:tr>
        <w:trPr>
          <w:trHeight w:val="466"/>
        </w:trPr>
        <w:tc>
          <w:tcPr>
            <w:tcW w:w="709" w:type="dxa"/>
            <w:vAlign w:val="center"/>
            <w:textDirection w:val="lrTb"/>
            <w:noWrap w:val="false"/>
          </w:tcPr>
          <w:p>
            <w:pPr>
              <w:pStyle w:val="1173"/>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7337" w:type="dxa"/>
            <w:vAlign w:val="center"/>
            <w:textDirection w:val="lrTb"/>
            <w:noWrap w:val="false"/>
          </w:tcPr>
          <w:p>
            <w:pPr>
              <w:pStyle w:val="1173"/>
              <w:pageBreakBefore w:val="0"/>
              <w:spacing w:line="360" w:lineRule="auto"/>
              <w:rPr>
                <w:rFonts w:hint="eastAsia" w:ascii="宋体" w:hAnsi="宋体" w:eastAsia="宋体" w:cs="宋体"/>
                <w:sz w:val="24"/>
                <w:szCs w:val="24"/>
                <w:highlight w:val="none"/>
                <w:lang w:eastAsia="zh-CN"/>
              </w:rPr>
              <w:framePr w:vAnchor="text" w:hAnchor="page" w:x="1899" w:y="398"/>
            </w:pPr>
            <w:r>
              <w:rPr>
                <w:rFonts w:hint="eastAsia" w:ascii="宋体" w:hAnsi="宋体" w:eastAsia="宋体" w:cs="宋体"/>
                <w:sz w:val="24"/>
                <w:szCs w:val="24"/>
                <w:highlight w:val="none"/>
              </w:rPr>
              <w:t xml:space="preserve">合同履行期限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采购人发出进场通知后60天内完成交货，90天内完成安装、调试。因供货方自身原因引起的交付期拖延，每拖延一天扣罚设备总款项的1‰。</w:t>
            </w:r>
            <w:r>
              <w:rPr>
                <w:rFonts w:hint="eastAsia" w:ascii="宋体" w:hAnsi="宋体" w:eastAsia="宋体" w:cs="宋体"/>
                <w:sz w:val="24"/>
                <w:szCs w:val="24"/>
                <w:highlight w:val="none"/>
                <w:lang w:eastAsia="zh-CN"/>
              </w:rPr>
            </w:r>
            <w:r/>
          </w:p>
        </w:tc>
      </w:tr>
      <w:tr>
        <w:trPr>
          <w:trHeight w:val="764"/>
        </w:trPr>
        <w:tc>
          <w:tcPr>
            <w:tcW w:w="709" w:type="dxa"/>
            <w:vAlign w:val="center"/>
            <w:textDirection w:val="lrTb"/>
            <w:noWrap w:val="false"/>
          </w:tcPr>
          <w:p>
            <w:pPr>
              <w:pStyle w:val="1173"/>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7337" w:type="dxa"/>
            <w:vAlign w:val="center"/>
            <w:textDirection w:val="lrTb"/>
            <w:noWrap w:val="false"/>
          </w:tcPr>
          <w:p>
            <w:pPr>
              <w:pStyle w:val="1173"/>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卖方应提供的服务：免费咨询、免费培训等卖方提供的所有服务已包括在投标报价中。</w:t>
            </w:r>
            <w:r>
              <w:rPr>
                <w:rFonts w:hint="eastAsia" w:ascii="宋体" w:hAnsi="宋体" w:eastAsia="宋体" w:cs="宋体"/>
                <w:sz w:val="24"/>
                <w:szCs w:val="24"/>
                <w:highlight w:val="none"/>
              </w:rPr>
            </w:r>
            <w:r/>
          </w:p>
        </w:tc>
      </w:tr>
      <w:tr>
        <w:trPr>
          <w:trHeight w:val="585"/>
        </w:trPr>
        <w:tc>
          <w:tcPr>
            <w:tcW w:w="709" w:type="dxa"/>
            <w:vAlign w:val="center"/>
            <w:textDirection w:val="lrTb"/>
            <w:noWrap w:val="false"/>
          </w:tcPr>
          <w:p>
            <w:pPr>
              <w:pStyle w:val="1173"/>
              <w:ind w:right="-11"/>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7337" w:type="dxa"/>
            <w:vAlign w:val="center"/>
            <w:textDirection w:val="lrTb"/>
            <w:noWrap w:val="false"/>
          </w:tcPr>
          <w:p>
            <w:pPr>
              <w:pStyle w:val="1173"/>
              <w:ind w:right="-11"/>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要求的备品备件有：</w:t>
            </w:r>
            <w:r>
              <w:rPr>
                <w:rFonts w:hint="eastAsia" w:ascii="宋体" w:hAnsi="宋体" w:eastAsia="宋体" w:cs="宋体"/>
                <w:sz w:val="24"/>
                <w:szCs w:val="24"/>
                <w:highlight w:val="none"/>
              </w:rPr>
              <w:t xml:space="preserve">所有产品安装所需人工、辅材等包含在产品报价中。</w:t>
            </w:r>
            <w:r>
              <w:rPr>
                <w:rFonts w:hint="eastAsia" w:ascii="宋体" w:hAnsi="宋体" w:eastAsia="宋体" w:cs="宋体"/>
                <w:sz w:val="24"/>
                <w:szCs w:val="24"/>
                <w:highlight w:val="none"/>
              </w:rPr>
            </w:r>
            <w:r/>
          </w:p>
        </w:tc>
      </w:tr>
      <w:tr>
        <w:trPr>
          <w:trHeight w:val="838"/>
        </w:trPr>
        <w:tc>
          <w:tcPr>
            <w:tcW w:w="709" w:type="dxa"/>
            <w:vAlign w:val="center"/>
            <w:textDirection w:val="lrTb"/>
            <w:noWrap w:val="false"/>
          </w:tcPr>
          <w:p>
            <w:pPr>
              <w:pStyle w:val="1173"/>
              <w:ind w:right="-11"/>
              <w:jc w:val="center"/>
              <w:pageBreakBefore w:val="0"/>
              <w:spacing w:line="360" w:lineRule="auto"/>
              <w:rPr>
                <w:rFonts w:hint="eastAsia" w:ascii="宋体" w:hAnsi="宋体" w:eastAsia="宋体" w:cs="宋体"/>
                <w:sz w:val="24"/>
                <w:szCs w:val="24"/>
                <w:highlight w:val="none"/>
              </w:rPr>
              <w:framePr w:vAnchor="text" w:hAnchor="page" w:x="1899" w:y="398"/>
            </w:pPr>
            <w:r/>
            <w:bookmarkStart w:id="91" w:name="_Hlk513629757"/>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7337" w:type="dxa"/>
            <w:vAlign w:val="center"/>
            <w:textDirection w:val="lrTb"/>
            <w:noWrap w:val="false"/>
          </w:tcPr>
          <w:p>
            <w:pPr>
              <w:pStyle w:val="1173"/>
              <w:pageBreakBefore w:val="0"/>
              <w:spacing w:line="360" w:lineRule="auto"/>
              <w:rPr>
                <w:rFonts w:hint="eastAsia" w:ascii="宋体" w:hAnsi="宋体" w:eastAsia="宋体" w:cs="宋体"/>
                <w:sz w:val="24"/>
                <w:szCs w:val="24"/>
                <w:highlight w:val="none"/>
                <w:lang w:eastAsia="zh-CN"/>
              </w:rPr>
              <w:framePr w:vAnchor="text" w:hAnchor="page" w:x="1899" w:y="398"/>
            </w:pPr>
            <w:r>
              <w:rPr>
                <w:rFonts w:hint="eastAsia" w:ascii="宋体" w:hAnsi="宋体" w:eastAsia="宋体" w:cs="宋体"/>
                <w:sz w:val="24"/>
                <w:szCs w:val="24"/>
                <w:highlight w:val="none"/>
              </w:rPr>
              <w:t xml:space="preserve">质保期（自验收合格之日起开始计算）免费质保期要求：1年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r>
      <w:tr>
        <w:trPr>
          <w:trHeight w:val="884"/>
        </w:trPr>
        <w:tc>
          <w:tcPr>
            <w:tcW w:w="709" w:type="dxa"/>
            <w:vAlign w:val="center"/>
            <w:textDirection w:val="lrTb"/>
            <w:noWrap w:val="false"/>
          </w:tcPr>
          <w:p>
            <w:pPr>
              <w:pStyle w:val="1173"/>
              <w:jc w:val="center"/>
              <w:pageBreakBefore w:val="0"/>
              <w:spacing w:line="360" w:lineRule="auto"/>
              <w:rPr>
                <w:rFonts w:hint="eastAsia" w:ascii="宋体" w:hAnsi="宋体" w:eastAsia="宋体" w:cs="宋体"/>
                <w:sz w:val="24"/>
                <w:szCs w:val="24"/>
                <w:highlight w:val="none"/>
              </w:rPr>
              <w:framePr w:vAnchor="text" w:hAnchor="page" w:x="1899" w:y="398"/>
            </w:pPr>
            <w:r/>
            <w:bookmarkEnd w:id="91"/>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W w:w="7337" w:type="dxa"/>
            <w:vAlign w:val="center"/>
            <w:textDirection w:val="lrTb"/>
            <w:noWrap w:val="false"/>
          </w:tcPr>
          <w:p>
            <w:pPr>
              <w:pStyle w:val="1173"/>
              <w:jc w:val="left"/>
              <w:spacing w:line="360" w:lineRule="auto"/>
              <w:widowControl/>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付款方式：</w:t>
            </w:r>
            <w:r>
              <w:rPr>
                <w:rFonts w:hint="eastAsia" w:ascii="宋体" w:hAnsi="宋体" w:eastAsia="宋体" w:cs="宋体"/>
                <w:sz w:val="24"/>
                <w:szCs w:val="24"/>
                <w:highlight w:val="none"/>
                <w:lang w:val="zh-CN"/>
              </w:rPr>
              <w:t xml:space="preserve">合同签订生效一周内预付合同金额的30%，项目完成经验收合格</w:t>
            </w:r>
            <w:bookmarkStart w:id="92" w:name="_Hlk111467244"/>
            <w:r>
              <w:rPr>
                <w:rFonts w:hint="eastAsia" w:ascii="宋体" w:hAnsi="宋体" w:eastAsia="宋体" w:cs="宋体"/>
                <w:sz w:val="24"/>
                <w:szCs w:val="24"/>
                <w:highlight w:val="none"/>
                <w:lang w:val="zh-CN"/>
              </w:rPr>
              <w:t xml:space="preserve">付至合同价的100%</w:t>
            </w:r>
            <w:bookmarkEnd w:id="92"/>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r>
            <w:r/>
          </w:p>
        </w:tc>
      </w:tr>
      <w:tr>
        <w:trPr>
          <w:trHeight w:val="517"/>
        </w:trPr>
        <w:tc>
          <w:tcPr>
            <w:tcW w:w="709" w:type="dxa"/>
            <w:vAlign w:val="center"/>
            <w:textDirection w:val="lrTb"/>
            <w:noWrap w:val="false"/>
          </w:tcPr>
          <w:p>
            <w:pPr>
              <w:pStyle w:val="1173"/>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W w:w="7337" w:type="dxa"/>
            <w:vAlign w:val="center"/>
            <w:textDirection w:val="lrTb"/>
            <w:noWrap w:val="false"/>
          </w:tcPr>
          <w:p>
            <w:pPr>
              <w:pStyle w:val="1173"/>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合同价</w:t>
            </w:r>
            <w:r>
              <w:rPr>
                <w:rFonts w:hint="eastAsia" w:ascii="宋体" w:hAnsi="宋体" w:eastAsia="宋体" w:cs="宋体"/>
                <w:sz w:val="24"/>
                <w:szCs w:val="24"/>
                <w:highlight w:val="none"/>
                <w:lang w:val="en-US" w:eastAsia="zh-CN"/>
              </w:rPr>
              <w:t xml:space="preserve">格</w:t>
            </w:r>
            <w:r>
              <w:rPr>
                <w:rFonts w:hint="eastAsia" w:ascii="宋体" w:hAnsi="宋体" w:eastAsia="宋体" w:cs="宋体"/>
                <w:sz w:val="24"/>
                <w:szCs w:val="24"/>
                <w:highlight w:val="none"/>
              </w:rPr>
              <w:t xml:space="preserve">和分项价格：固定不变。</w:t>
            </w:r>
            <w:r>
              <w:rPr>
                <w:rFonts w:hint="eastAsia" w:ascii="宋体" w:hAnsi="宋体" w:eastAsia="宋体" w:cs="宋体"/>
                <w:sz w:val="24"/>
                <w:szCs w:val="24"/>
                <w:highlight w:val="none"/>
              </w:rPr>
            </w:r>
            <w:r/>
          </w:p>
        </w:tc>
      </w:tr>
      <w:tr>
        <w:trPr>
          <w:trHeight w:val="517"/>
        </w:trPr>
        <w:tc>
          <w:tcPr>
            <w:tcW w:w="709" w:type="dxa"/>
            <w:vAlign w:val="center"/>
            <w:textDirection w:val="lrTb"/>
            <w:noWrap w:val="false"/>
          </w:tcPr>
          <w:p>
            <w:pPr>
              <w:pStyle w:val="1173"/>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W w:w="7337" w:type="dxa"/>
            <w:vAlign w:val="center"/>
            <w:textDirection w:val="lrTb"/>
            <w:noWrap w:val="false"/>
          </w:tcPr>
          <w:p>
            <w:pPr>
              <w:pStyle w:val="1173"/>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lang w:eastAsia="zh-CN"/>
              </w:rPr>
              <w:t xml:space="preserve">成交供应商。</w:t>
            </w:r>
            <w:r>
              <w:rPr>
                <w:rFonts w:hint="eastAsia" w:ascii="宋体" w:hAnsi="宋体" w:eastAsia="宋体" w:cs="宋体"/>
                <w:sz w:val="24"/>
                <w:szCs w:val="24"/>
                <w:highlight w:val="none"/>
              </w:rPr>
              <w:t xml:space="preserve">不得私自将本项目转包给第三方，否则将作违约处理，</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有权撤销合同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拒付货款，且</w:t>
            </w:r>
            <w:r>
              <w:rPr>
                <w:rFonts w:hint="eastAsia" w:ascii="宋体" w:hAnsi="宋体" w:eastAsia="宋体" w:cs="宋体"/>
                <w:sz w:val="24"/>
                <w:szCs w:val="24"/>
                <w:highlight w:val="none"/>
                <w:lang w:eastAsia="zh-CN"/>
              </w:rPr>
              <w:t xml:space="preserve">成交供应商。</w:t>
            </w:r>
            <w:r>
              <w:rPr>
                <w:rFonts w:hint="eastAsia" w:ascii="宋体" w:hAnsi="宋体" w:eastAsia="宋体" w:cs="宋体"/>
                <w:sz w:val="24"/>
                <w:szCs w:val="24"/>
                <w:highlight w:val="none"/>
              </w:rPr>
              <w:t xml:space="preserve">还要承担给</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造成的损失。</w:t>
            </w:r>
            <w:r>
              <w:rPr>
                <w:rFonts w:hint="eastAsia" w:ascii="宋体" w:hAnsi="宋体" w:eastAsia="宋体" w:cs="宋体"/>
                <w:sz w:val="24"/>
                <w:szCs w:val="24"/>
                <w:highlight w:val="none"/>
              </w:rPr>
            </w:r>
            <w:r/>
          </w:p>
        </w:tc>
      </w:tr>
      <w:tr>
        <w:trPr>
          <w:trHeight w:val="517"/>
        </w:trPr>
        <w:tc>
          <w:tcPr>
            <w:tcW w:w="709" w:type="dxa"/>
            <w:vAlign w:val="center"/>
            <w:textDirection w:val="lrTb"/>
            <w:noWrap w:val="false"/>
          </w:tcPr>
          <w:p>
            <w:pPr>
              <w:pStyle w:val="1173"/>
              <w:jc w:val="center"/>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W w:w="7337" w:type="dxa"/>
            <w:vAlign w:val="center"/>
            <w:textDirection w:val="lrTb"/>
            <w:noWrap w:val="false"/>
          </w:tcPr>
          <w:p>
            <w:pPr>
              <w:pStyle w:val="1173"/>
              <w:pageBreakBefore w:val="0"/>
              <w:spacing w:line="360" w:lineRule="auto"/>
              <w:rPr>
                <w:rFonts w:hint="eastAsia" w:ascii="宋体" w:hAnsi="宋体" w:eastAsia="宋体" w:cs="宋体"/>
                <w:sz w:val="24"/>
                <w:szCs w:val="24"/>
                <w:highlight w:val="none"/>
              </w:rPr>
              <w:framePr w:vAnchor="text" w:hAnchor="page" w:x="1899" w:y="398"/>
            </w:pPr>
            <w:r>
              <w:rPr>
                <w:rFonts w:hint="eastAsia" w:ascii="宋体" w:hAnsi="宋体" w:eastAsia="宋体" w:cs="宋体"/>
                <w:sz w:val="24"/>
                <w:szCs w:val="24"/>
                <w:highlight w:val="none"/>
              </w:rPr>
              <w:t xml:space="preserve">仲裁所在地：泰州</w:t>
            </w:r>
            <w:r>
              <w:rPr>
                <w:rFonts w:hint="eastAsia" w:ascii="宋体" w:hAnsi="宋体" w:eastAsia="宋体" w:cs="宋体"/>
                <w:sz w:val="24"/>
                <w:szCs w:val="24"/>
                <w:highlight w:val="none"/>
              </w:rPr>
            </w:r>
            <w:r/>
          </w:p>
        </w:tc>
      </w:tr>
    </w:tbl>
    <w:p>
      <w:pPr>
        <w:pStyle w:val="1189"/>
        <w:jc w:val="center"/>
        <w:pageBreakBefore w:val="0"/>
        <w:spacing w:before="0" w:after="0" w:line="360" w:lineRule="auto"/>
        <w:tabs>
          <w:tab w:val="right" w:pos="9440" w:leader="dot"/>
        </w:tabs>
        <w:rPr>
          <w:rFonts w:hint="eastAsia" w:ascii="宋体" w:hAnsi="宋体" w:eastAsia="宋体" w:cs="宋体"/>
          <w:b w:val="0"/>
          <w:bCs/>
          <w:caps w:val="0"/>
          <w:sz w:val="24"/>
          <w:szCs w:val="24"/>
          <w:highlight w:val="none"/>
        </w:rPr>
      </w:pPr>
      <w:r>
        <w:rPr>
          <w:rFonts w:hint="eastAsia" w:ascii="宋体" w:hAnsi="宋体" w:eastAsia="宋体" w:cs="宋体"/>
          <w:b w:val="0"/>
          <w:bCs/>
          <w:caps w:val="0"/>
          <w:sz w:val="24"/>
          <w:szCs w:val="24"/>
          <w:highlight w:val="none"/>
        </w:rPr>
      </w:r>
      <w:r/>
    </w:p>
    <w:p>
      <w:pPr>
        <w:pStyle w:val="1173"/>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bookmarkStart w:id="93" w:name="_Toc185412941"/>
      <w:r/>
      <w:bookmarkStart w:id="94" w:name="_Toc258313648"/>
      <w:r/>
      <w:bookmarkStart w:id="95" w:name="_Toc185672381"/>
      <w:r/>
      <w:bookmarkStart w:id="96" w:name="_Toc185670844"/>
      <w:r/>
      <w:bookmarkStart w:id="97" w:name="_Toc168227940"/>
      <w:r/>
      <w:bookmarkStart w:id="98" w:name="_Toc214682915"/>
      <w:r/>
      <w:bookmarkStart w:id="99" w:name="_Toc185671412"/>
      <w:r/>
      <w:bookmarkStart w:id="100" w:name="_Toc186515170"/>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232"/>
        <w:ind w:firstLine="210"/>
        <w:jc w:val="center"/>
        <w:pageBreakBefore w:val="0"/>
        <w:spacing w:line="360" w:lineRule="auto"/>
        <w:rPr>
          <w:rFonts w:hint="eastAsia" w:ascii="宋体" w:hAnsi="宋体" w:eastAsia="宋体" w:cs="宋体"/>
          <w:b/>
          <w:color w:val="000000"/>
          <w:sz w:val="24"/>
          <w:szCs w:val="24"/>
          <w:highlight w:val="none"/>
        </w:rPr>
        <w:sectPr>
          <w:footerReference w:type="default" r:id="rId14"/>
          <w:footerReference w:type="even" r:id="rId15"/>
          <w:footnotePr/>
          <w:endnotePr/>
          <w:type w:val="nextPage"/>
          <w:pgSz w:w="11906" w:h="16838" w:orient="portrait"/>
          <w:pgMar w:top="1440" w:right="1080" w:bottom="1440" w:left="1080" w:header="851" w:footer="851" w:gutter="0"/>
          <w:cols w:num="1" w:sep="0" w:space="1701" w:equalWidth="1"/>
          <w:docGrid w:linePitch="360"/>
        </w:sectPr>
      </w:pPr>
      <w:r>
        <w:rPr>
          <w:rFonts w:hint="eastAsia" w:ascii="宋体" w:hAnsi="宋体" w:eastAsia="宋体" w:cs="宋体"/>
          <w:b/>
          <w:color w:val="000000"/>
          <w:sz w:val="24"/>
          <w:szCs w:val="24"/>
          <w:highlight w:val="none"/>
        </w:rPr>
      </w:r>
      <w:r/>
    </w:p>
    <w:p>
      <w:pPr>
        <w:pStyle w:val="1189"/>
        <w:jc w:val="center"/>
        <w:pageBreakBefore w:val="0"/>
        <w:spacing w:before="0" w:after="0" w:line="360" w:lineRule="auto"/>
        <w:tabs>
          <w:tab w:val="right" w:pos="9440" w:leader="dot"/>
        </w:tabs>
        <w:rPr>
          <w:rFonts w:hint="eastAsia" w:ascii="宋体" w:hAnsi="宋体" w:eastAsia="宋体" w:cs="宋体"/>
          <w:b w:val="0"/>
          <w:caps w:val="0"/>
          <w:sz w:val="24"/>
          <w:szCs w:val="24"/>
          <w:highlight w:val="none"/>
        </w:rPr>
      </w:pPr>
      <w:r>
        <w:rPr>
          <w:rFonts w:hint="eastAsia" w:ascii="宋体" w:hAnsi="宋体" w:eastAsia="宋体" w:cs="宋体"/>
          <w:sz w:val="24"/>
          <w:szCs w:val="24"/>
          <w:highlight w:val="none"/>
        </w:rPr>
        <w:t xml:space="preserve">采购合同</w:t>
      </w:r>
      <w:r>
        <w:rPr>
          <w:rFonts w:hint="eastAsia" w:ascii="宋体" w:hAnsi="宋体" w:eastAsia="宋体" w:cs="宋体"/>
          <w:b w:val="0"/>
          <w:caps w:val="0"/>
          <w:sz w:val="24"/>
          <w:szCs w:val="24"/>
          <w:highlight w:val="none"/>
        </w:rPr>
        <w:t xml:space="preserve">（参考文本）</w:t>
      </w:r>
      <w:r>
        <w:rPr>
          <w:rFonts w:hint="eastAsia" w:ascii="宋体" w:hAnsi="宋体" w:eastAsia="宋体" w:cs="宋体"/>
          <w:b w:val="0"/>
          <w:caps w:val="0"/>
          <w:sz w:val="24"/>
          <w:szCs w:val="24"/>
          <w:highlight w:val="none"/>
        </w:rPr>
      </w:r>
      <w:r/>
    </w:p>
    <w:p>
      <w:pPr>
        <w:pStyle w:val="1203"/>
        <w:ind w:firstLine="4320"/>
        <w:jc w:val="both"/>
        <w:pageBreakBefore w:val="0"/>
        <w:spacing w:before="0"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合同编号：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173"/>
        <w:ind w:left="480" w:hanging="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3"/>
        <w:ind w:left="480" w:hanging="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            （以下称甲方）  住所地：</w:t>
      </w:r>
      <w:r>
        <w:rPr>
          <w:rFonts w:hint="eastAsia" w:ascii="宋体" w:hAnsi="宋体" w:eastAsia="宋体" w:cs="宋体"/>
          <w:sz w:val="24"/>
          <w:szCs w:val="24"/>
          <w:highlight w:val="none"/>
        </w:rPr>
      </w:r>
      <w:r/>
    </w:p>
    <w:p>
      <w:pPr>
        <w:pStyle w:val="1173"/>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3"/>
        <w:ind w:left="480" w:hanging="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          （以下称乙方）</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住所地：</w:t>
      </w:r>
      <w:r>
        <w:rPr>
          <w:rFonts w:hint="eastAsia" w:ascii="宋体" w:hAnsi="宋体" w:eastAsia="宋体" w:cs="宋体"/>
          <w:sz w:val="24"/>
          <w:szCs w:val="24"/>
          <w:highlight w:val="none"/>
        </w:rPr>
      </w:r>
      <w:r/>
    </w:p>
    <w:p>
      <w:pPr>
        <w:pStyle w:val="1173"/>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03"/>
        <w:ind w:firstLine="480"/>
        <w:jc w:val="both"/>
        <w:pageBreakBefore w:val="0"/>
        <w:spacing w:before="0"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中华人民共和国民法典》等法律法规的规定，甲乙双方按照项目的招标结果签订本合同。</w:t>
      </w:r>
      <w:r>
        <w:rPr>
          <w:rFonts w:hint="eastAsia" w:ascii="宋体" w:hAnsi="宋体" w:eastAsia="宋体" w:cs="宋体"/>
          <w:sz w:val="24"/>
          <w:szCs w:val="24"/>
          <w:highlight w:val="none"/>
        </w:rPr>
      </w:r>
      <w:r/>
    </w:p>
    <w:p>
      <w:pPr>
        <w:pStyle w:val="1173"/>
        <w:ind w:left="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第一条：合同标的</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供货一览表：</w:t>
      </w:r>
      <w:r>
        <w:rPr>
          <w:rFonts w:hint="eastAsia" w:ascii="宋体" w:hAnsi="宋体" w:eastAsia="宋体" w:cs="宋体"/>
          <w:sz w:val="24"/>
          <w:szCs w:val="24"/>
          <w:highlight w:val="none"/>
        </w:rPr>
      </w:r>
      <w:r/>
    </w:p>
    <w:tbl>
      <w:tblPr>
        <w:tblW w:w="99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2025"/>
        <w:gridCol w:w="1070"/>
        <w:gridCol w:w="1409"/>
        <w:gridCol w:w="1600"/>
        <w:gridCol w:w="1611"/>
        <w:gridCol w:w="1611"/>
      </w:tblGrid>
      <w:tr>
        <w:trPr>
          <w:trHeight w:val="872" w:hRule="exact"/>
        </w:trPr>
        <w:tc>
          <w:tcPr>
            <w:tcW w:w="637" w:type="dxa"/>
            <w:vAlign w:val="center"/>
            <w:textDirection w:val="lrTb"/>
            <w:noWrap w:val="false"/>
          </w:tcPr>
          <w:p>
            <w:pPr>
              <w:pStyle w:val="1173"/>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rPr>
            </w:r>
            <w:r/>
          </w:p>
        </w:tc>
        <w:tc>
          <w:tcPr>
            <w:tcW w:w="2025" w:type="dxa"/>
            <w:vAlign w:val="center"/>
            <w:textDirection w:val="lrTb"/>
            <w:noWrap w:val="false"/>
          </w:tcPr>
          <w:p>
            <w:pPr>
              <w:pStyle w:val="1173"/>
              <w:jc w:val="center"/>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货物名称</w:t>
            </w:r>
            <w:r>
              <w:rPr>
                <w:rFonts w:hint="eastAsia" w:ascii="宋体" w:hAnsi="宋体" w:eastAsia="宋体" w:cs="宋体"/>
                <w:b/>
                <w:sz w:val="24"/>
                <w:szCs w:val="24"/>
                <w:highlight w:val="none"/>
              </w:rPr>
            </w:r>
            <w:r/>
          </w:p>
        </w:tc>
        <w:tc>
          <w:tcPr>
            <w:tcW w:w="1070" w:type="dxa"/>
            <w:vAlign w:val="center"/>
            <w:textDirection w:val="lrTb"/>
            <w:noWrap w:val="false"/>
          </w:tcPr>
          <w:p>
            <w:pPr>
              <w:pStyle w:val="1173"/>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规格型号</w:t>
            </w:r>
            <w:r>
              <w:rPr>
                <w:rFonts w:hint="eastAsia" w:ascii="宋体" w:hAnsi="宋体" w:eastAsia="宋体" w:cs="宋体"/>
                <w:b/>
                <w:sz w:val="24"/>
                <w:szCs w:val="24"/>
                <w:highlight w:val="none"/>
              </w:rPr>
            </w:r>
            <w:r/>
          </w:p>
        </w:tc>
        <w:tc>
          <w:tcPr>
            <w:tcW w:w="1409" w:type="dxa"/>
            <w:vAlign w:val="center"/>
            <w:textDirection w:val="lrTb"/>
            <w:noWrap w:val="false"/>
          </w:tcPr>
          <w:p>
            <w:pPr>
              <w:pStyle w:val="1173"/>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rPr>
                <w:rFonts w:hint="eastAsia" w:ascii="宋体" w:hAnsi="宋体" w:eastAsia="宋体" w:cs="宋体"/>
                <w:b/>
                <w:bCs/>
                <w:sz w:val="24"/>
                <w:szCs w:val="24"/>
                <w:highlight w:val="none"/>
              </w:rPr>
            </w:r>
            <w:r/>
          </w:p>
        </w:tc>
        <w:tc>
          <w:tcPr>
            <w:tcW w:w="1600" w:type="dxa"/>
            <w:vAlign w:val="center"/>
            <w:textDirection w:val="lrTb"/>
            <w:noWrap w:val="false"/>
          </w:tcPr>
          <w:p>
            <w:pPr>
              <w:pStyle w:val="1173"/>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rPr>
                <w:rFonts w:hint="eastAsia" w:ascii="宋体" w:hAnsi="宋体" w:eastAsia="宋体" w:cs="宋体"/>
                <w:b/>
                <w:bCs/>
                <w:sz w:val="24"/>
                <w:szCs w:val="24"/>
                <w:highlight w:val="none"/>
              </w:rPr>
            </w:r>
            <w:r/>
          </w:p>
        </w:tc>
        <w:tc>
          <w:tcPr>
            <w:tcW w:w="1611" w:type="dxa"/>
            <w:vAlign w:val="center"/>
            <w:textDirection w:val="lrTb"/>
            <w:noWrap w:val="false"/>
          </w:tcPr>
          <w:p>
            <w:pPr>
              <w:pStyle w:val="1173"/>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单价</w:t>
            </w:r>
            <w:r>
              <w:rPr>
                <w:rFonts w:hint="eastAsia" w:ascii="宋体" w:hAnsi="宋体" w:eastAsia="宋体" w:cs="宋体"/>
                <w:b/>
                <w:bCs/>
                <w:sz w:val="24"/>
                <w:szCs w:val="24"/>
                <w:highlight w:val="none"/>
              </w:rPr>
            </w:r>
            <w:r/>
          </w:p>
        </w:tc>
        <w:tc>
          <w:tcPr>
            <w:tcW w:w="1611" w:type="dxa"/>
            <w:vAlign w:val="center"/>
            <w:textDirection w:val="lrTb"/>
            <w:noWrap w:val="false"/>
          </w:tcPr>
          <w:p>
            <w:pPr>
              <w:pStyle w:val="1173"/>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总价</w:t>
            </w:r>
            <w:r>
              <w:rPr>
                <w:rFonts w:hint="eastAsia" w:ascii="宋体" w:hAnsi="宋体" w:eastAsia="宋体" w:cs="宋体"/>
                <w:b/>
                <w:bCs/>
                <w:sz w:val="24"/>
                <w:szCs w:val="24"/>
                <w:highlight w:val="none"/>
              </w:rPr>
            </w:r>
            <w:r/>
          </w:p>
        </w:tc>
      </w:tr>
      <w:tr>
        <w:trPr>
          <w:trHeight w:val="567" w:hRule="exact"/>
        </w:trPr>
        <w:tc>
          <w:tcPr>
            <w:tcW w:w="637" w:type="dxa"/>
            <w:vAlign w:val="center"/>
            <w:textDirection w:val="lrTb"/>
            <w:noWrap w:val="false"/>
          </w:tcPr>
          <w:p>
            <w:pPr>
              <w:pStyle w:val="1173"/>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2025" w:type="dxa"/>
            <w:vAlign w:val="center"/>
            <w:textDirection w:val="lrTb"/>
            <w:noWrap w:val="false"/>
          </w:tcPr>
          <w:p>
            <w:pPr>
              <w:pStyle w:val="1173"/>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0" w:type="dxa"/>
            <w:vAlign w:val="center"/>
            <w:textDirection w:val="lrTb"/>
            <w:noWrap w:val="false"/>
          </w:tcPr>
          <w:p>
            <w:pPr>
              <w:pStyle w:val="1173"/>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9" w:type="dxa"/>
            <w:vAlign w:val="center"/>
            <w:textDirection w:val="lrTb"/>
            <w:noWrap w:val="false"/>
          </w:tcPr>
          <w:p>
            <w:pPr>
              <w:pStyle w:val="1173"/>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600" w:type="dxa"/>
            <w:vAlign w:val="top"/>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637" w:type="dxa"/>
            <w:vAlign w:val="center"/>
            <w:textDirection w:val="lrTb"/>
            <w:noWrap w:val="false"/>
          </w:tcPr>
          <w:p>
            <w:pPr>
              <w:pStyle w:val="1173"/>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2025" w:type="dxa"/>
            <w:vAlign w:val="center"/>
            <w:textDirection w:val="lrTb"/>
            <w:noWrap w:val="false"/>
          </w:tcPr>
          <w:p>
            <w:pPr>
              <w:pStyle w:val="1173"/>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0" w:type="dxa"/>
            <w:vAlign w:val="center"/>
            <w:textDirection w:val="lrTb"/>
            <w:noWrap w:val="false"/>
          </w:tcPr>
          <w:p>
            <w:pPr>
              <w:pStyle w:val="1173"/>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9" w:type="dxa"/>
            <w:vAlign w:val="center"/>
            <w:textDirection w:val="lrTb"/>
            <w:noWrap w:val="false"/>
          </w:tcPr>
          <w:p>
            <w:pPr>
              <w:pStyle w:val="1173"/>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600" w:type="dxa"/>
            <w:vAlign w:val="top"/>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637" w:type="dxa"/>
            <w:vAlign w:val="center"/>
            <w:textDirection w:val="lrTb"/>
            <w:noWrap w:val="false"/>
          </w:tcPr>
          <w:p>
            <w:pPr>
              <w:pStyle w:val="1173"/>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2025" w:type="dxa"/>
            <w:vAlign w:val="center"/>
            <w:textDirection w:val="lrTb"/>
            <w:noWrap w:val="false"/>
          </w:tcPr>
          <w:p>
            <w:pPr>
              <w:pStyle w:val="1173"/>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0" w:type="dxa"/>
            <w:vAlign w:val="center"/>
            <w:textDirection w:val="lrTb"/>
            <w:noWrap w:val="false"/>
          </w:tcPr>
          <w:p>
            <w:pPr>
              <w:pStyle w:val="1173"/>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9" w:type="dxa"/>
            <w:vAlign w:val="center"/>
            <w:textDirection w:val="lrTb"/>
            <w:noWrap w:val="false"/>
          </w:tcPr>
          <w:p>
            <w:pPr>
              <w:pStyle w:val="1173"/>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600" w:type="dxa"/>
            <w:vAlign w:val="top"/>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637" w:type="dxa"/>
            <w:vAlign w:val="center"/>
            <w:textDirection w:val="lrTb"/>
            <w:noWrap w:val="false"/>
          </w:tcPr>
          <w:p>
            <w:pPr>
              <w:pStyle w:val="1173"/>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2025" w:type="dxa"/>
            <w:vAlign w:val="center"/>
            <w:textDirection w:val="lrTb"/>
            <w:noWrap w:val="false"/>
          </w:tcPr>
          <w:p>
            <w:pPr>
              <w:pStyle w:val="1173"/>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0" w:type="dxa"/>
            <w:vAlign w:val="center"/>
            <w:textDirection w:val="lrTb"/>
            <w:noWrap w:val="false"/>
          </w:tcPr>
          <w:p>
            <w:pPr>
              <w:pStyle w:val="1173"/>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9" w:type="dxa"/>
            <w:vAlign w:val="center"/>
            <w:textDirection w:val="lrTb"/>
            <w:noWrap w:val="false"/>
          </w:tcPr>
          <w:p>
            <w:pPr>
              <w:pStyle w:val="1173"/>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600" w:type="dxa"/>
            <w:vAlign w:val="top"/>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67" w:hRule="exact"/>
        </w:trPr>
        <w:tc>
          <w:tcPr>
            <w:tcW w:w="637" w:type="dxa"/>
            <w:vAlign w:val="center"/>
            <w:textDirection w:val="lrTb"/>
            <w:noWrap w:val="false"/>
          </w:tcPr>
          <w:p>
            <w:pPr>
              <w:pStyle w:val="1173"/>
              <w:ind w:firstLine="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2025" w:type="dxa"/>
            <w:vAlign w:val="center"/>
            <w:textDirection w:val="lrTb"/>
            <w:noWrap w:val="false"/>
          </w:tcPr>
          <w:p>
            <w:pPr>
              <w:pStyle w:val="1173"/>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70" w:type="dxa"/>
            <w:vAlign w:val="center"/>
            <w:textDirection w:val="lrTb"/>
            <w:noWrap w:val="false"/>
          </w:tcPr>
          <w:p>
            <w:pPr>
              <w:pStyle w:val="1173"/>
              <w:jc w:val="center"/>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09" w:type="dxa"/>
            <w:vAlign w:val="center"/>
            <w:textDirection w:val="lrTb"/>
            <w:noWrap w:val="false"/>
          </w:tcPr>
          <w:p>
            <w:pPr>
              <w:pStyle w:val="1173"/>
              <w:jc w:val="center"/>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600" w:type="dxa"/>
            <w:vAlign w:val="top"/>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173"/>
              <w:ind w:firstLine="9"/>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18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3"/>
        <w:ind w:left="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第二条：合同总价款</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本合同项下货物总价款为人民币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本合同总价款是货物设计、制造、包装、仓储、运输、安装及验收合格之前及保修期内备品备件发生的所有含税费用。</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本合同总价款还包含乙方应当提供的伴随服务/售后服务费用。</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 </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第三条：组成本合同的有关文件</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下列关于泰州市政府采购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或与本次采购活动方式相适应的文件及有关附件是本合同不可分割的组成部分，与本合同具有同等法律效力，这些文件包括但不限于： </w:t>
      </w:r>
      <w:r>
        <w:rPr>
          <w:rFonts w:hint="eastAsia" w:ascii="宋体" w:hAnsi="宋体" w:eastAsia="宋体" w:cs="宋体"/>
          <w:sz w:val="24"/>
          <w:szCs w:val="24"/>
          <w:highlight w:val="none"/>
        </w:rPr>
      </w:r>
      <w:r/>
    </w:p>
    <w:p>
      <w:pPr>
        <w:pStyle w:val="1173"/>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乙方提供的投标文件和投标报价表； </w:t>
      </w:r>
      <w:r>
        <w:rPr>
          <w:rFonts w:hint="eastAsia" w:ascii="宋体" w:hAnsi="宋体" w:eastAsia="宋体" w:cs="宋体"/>
          <w:sz w:val="24"/>
          <w:szCs w:val="24"/>
          <w:highlight w:val="none"/>
        </w:rPr>
      </w:r>
      <w:r/>
    </w:p>
    <w:p>
      <w:pPr>
        <w:pStyle w:val="1173"/>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供货一览表；</w:t>
      </w:r>
      <w:r>
        <w:rPr>
          <w:rFonts w:hint="eastAsia" w:ascii="宋体" w:hAnsi="宋体" w:eastAsia="宋体" w:cs="宋体"/>
          <w:sz w:val="24"/>
          <w:szCs w:val="24"/>
          <w:highlight w:val="none"/>
        </w:rPr>
      </w:r>
      <w:r/>
    </w:p>
    <w:p>
      <w:pPr>
        <w:pStyle w:val="1173"/>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技术规格响应表；</w:t>
      </w:r>
      <w:r>
        <w:rPr>
          <w:rFonts w:hint="eastAsia" w:ascii="宋体" w:hAnsi="宋体" w:eastAsia="宋体" w:cs="宋体"/>
          <w:sz w:val="24"/>
          <w:szCs w:val="24"/>
          <w:highlight w:val="none"/>
        </w:rPr>
      </w:r>
      <w:r/>
    </w:p>
    <w:p>
      <w:pPr>
        <w:pStyle w:val="1173"/>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有关投标承诺、服务承诺；</w:t>
      </w:r>
      <w:r>
        <w:rPr>
          <w:rFonts w:hint="eastAsia" w:ascii="宋体" w:hAnsi="宋体" w:eastAsia="宋体" w:cs="宋体"/>
          <w:sz w:val="24"/>
          <w:szCs w:val="24"/>
          <w:highlight w:val="none"/>
        </w:rPr>
      </w:r>
      <w:r/>
    </w:p>
    <w:p>
      <w:pPr>
        <w:pStyle w:val="1173"/>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中标或成交通知书；</w:t>
      </w:r>
      <w:r>
        <w:rPr>
          <w:rFonts w:hint="eastAsia" w:ascii="宋体" w:hAnsi="宋体" w:eastAsia="宋体" w:cs="宋体"/>
          <w:sz w:val="24"/>
          <w:szCs w:val="24"/>
          <w:highlight w:val="none"/>
        </w:rPr>
      </w:r>
      <w:r/>
    </w:p>
    <w:p>
      <w:pPr>
        <w:pStyle w:val="1173"/>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甲乙双方商定的其他文件；</w:t>
      </w:r>
      <w:r>
        <w:rPr>
          <w:rFonts w:hint="eastAsia" w:ascii="宋体" w:hAnsi="宋体" w:eastAsia="宋体" w:cs="宋体"/>
          <w:sz w:val="24"/>
          <w:szCs w:val="24"/>
          <w:highlight w:val="none"/>
        </w:rPr>
      </w:r>
      <w:r/>
    </w:p>
    <w:p>
      <w:pPr>
        <w:pStyle w:val="1173"/>
        <w:numPr>
          <w:ilvl w:val="0"/>
          <w:numId w:val="4"/>
        </w:numPr>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w:t>
      </w:r>
      <w:r>
        <w:rPr>
          <w:rFonts w:hint="eastAsia" w:ascii="宋体" w:hAnsi="宋体" w:eastAsia="宋体" w:cs="宋体"/>
          <w:sz w:val="24"/>
          <w:szCs w:val="24"/>
          <w:highlight w:val="none"/>
          <w:lang w:val="en-US" w:eastAsia="zh-CN"/>
        </w:rPr>
        <w:t xml:space="preserve">采购 </w:t>
      </w:r>
      <w:r>
        <w:rPr>
          <w:rFonts w:hint="eastAsia" w:ascii="宋体" w:hAnsi="宋体" w:eastAsia="宋体" w:cs="宋体"/>
          <w:sz w:val="24"/>
          <w:szCs w:val="24"/>
          <w:highlight w:val="none"/>
        </w:rPr>
        <w:t xml:space="preserve">文件。</w:t>
      </w:r>
      <w:r>
        <w:rPr>
          <w:rFonts w:hint="eastAsia" w:ascii="宋体" w:hAnsi="宋体" w:eastAsia="宋体" w:cs="宋体"/>
          <w:sz w:val="24"/>
          <w:szCs w:val="24"/>
          <w:highlight w:val="none"/>
        </w:rPr>
      </w:r>
      <w:r/>
    </w:p>
    <w:p>
      <w:pPr>
        <w:pStyle w:val="1173"/>
        <w:ind w:left="420" w:hanging="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第四条：权利保证</w:t>
      </w:r>
      <w:r>
        <w:rPr>
          <w:rFonts w:hint="eastAsia" w:ascii="宋体" w:hAnsi="宋体" w:eastAsia="宋体" w:cs="宋体"/>
          <w:sz w:val="24"/>
          <w:szCs w:val="24"/>
          <w:highlight w:val="none"/>
        </w:rPr>
      </w:r>
      <w:r/>
    </w:p>
    <w:p>
      <w:pPr>
        <w:pStyle w:val="1173"/>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w:t>
      </w:r>
      <w:r>
        <w:rPr>
          <w:rFonts w:hint="eastAsia" w:ascii="宋体" w:hAnsi="宋体" w:eastAsia="宋体" w:cs="宋体"/>
          <w:sz w:val="24"/>
          <w:szCs w:val="24"/>
          <w:highlight w:val="none"/>
          <w:lang w:eastAsia="zh-CN"/>
        </w:rPr>
        <w:t xml:space="preserve">保证</w:t>
      </w:r>
      <w:r>
        <w:rPr>
          <w:rFonts w:hint="eastAsia" w:ascii="宋体" w:hAnsi="宋体" w:eastAsia="宋体" w:cs="宋体"/>
          <w:sz w:val="24"/>
          <w:szCs w:val="24"/>
          <w:highlight w:val="none"/>
        </w:rPr>
        <w:t xml:space="preserve">甲方在使用该货物或其任何一部分时不受第三方提出侵犯其专利权、版权、商标权或其他权利的起诉。一旦出现侵权，乙方应承担全部责任。 </w:t>
      </w:r>
      <w:r>
        <w:rPr>
          <w:rFonts w:hint="eastAsia" w:ascii="宋体" w:hAnsi="宋体" w:eastAsia="宋体" w:cs="宋体"/>
          <w:sz w:val="24"/>
          <w:szCs w:val="24"/>
          <w:highlight w:val="none"/>
        </w:rPr>
      </w:r>
      <w:r/>
    </w:p>
    <w:p>
      <w:pPr>
        <w:pStyle w:val="1173"/>
        <w:ind w:left="420" w:hanging="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第五条：质量保证</w:t>
      </w:r>
      <w:r>
        <w:rPr>
          <w:rFonts w:hint="eastAsia" w:ascii="宋体" w:hAnsi="宋体" w:eastAsia="宋体" w:cs="宋体"/>
          <w:sz w:val="24"/>
          <w:szCs w:val="24"/>
          <w:highlight w:val="none"/>
        </w:rPr>
      </w:r>
      <w:r/>
    </w:p>
    <w:p>
      <w:pPr>
        <w:pStyle w:val="1173"/>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1.乙方所提供的货物的技术规格应与</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规定的技术规格及所附的“技术规格响应表”相一致；若技术性能无特殊说明，则按国家有关部门最新颁布的标准及规范为准。</w:t>
      </w:r>
      <w:r>
        <w:rPr>
          <w:rFonts w:hint="eastAsia" w:ascii="宋体" w:hAnsi="宋体" w:eastAsia="宋体" w:cs="宋体"/>
          <w:sz w:val="24"/>
          <w:szCs w:val="24"/>
          <w:highlight w:val="none"/>
        </w:rPr>
      </w:r>
      <w:r/>
    </w:p>
    <w:p>
      <w:pPr>
        <w:pStyle w:val="1173"/>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车辆验收后，在质量保证期内，乙方应对由于设计、工艺或材料的缺陷所发生的任何不足或故障负责，所需费用由乙方承担。 </w:t>
      </w:r>
      <w:r>
        <w:rPr>
          <w:rFonts w:hint="eastAsia" w:ascii="宋体" w:hAnsi="宋体" w:eastAsia="宋体" w:cs="宋体"/>
          <w:sz w:val="24"/>
          <w:szCs w:val="24"/>
          <w:highlight w:val="none"/>
        </w:rPr>
      </w:r>
      <w:r/>
    </w:p>
    <w:p>
      <w:pPr>
        <w:pStyle w:val="1173"/>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第六条：交货和验收</w:t>
      </w:r>
      <w:r>
        <w:rPr>
          <w:rFonts w:hint="eastAsia" w:ascii="宋体" w:hAnsi="宋体" w:eastAsia="宋体" w:cs="宋体"/>
          <w:sz w:val="24"/>
          <w:szCs w:val="24"/>
          <w:highlight w:val="none"/>
        </w:rPr>
      </w:r>
      <w:r/>
    </w:p>
    <w:p>
      <w:pPr>
        <w:pStyle w:val="1173"/>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乙方应按照本合同或</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规定的时间和方式向甲方交付货物。交货地点由甲方指定，乙方应当在_________（期间）前将货物交付甲方。 </w:t>
      </w:r>
      <w:r>
        <w:rPr>
          <w:rFonts w:hint="eastAsia" w:ascii="宋体" w:hAnsi="宋体" w:eastAsia="宋体" w:cs="宋体"/>
          <w:sz w:val="24"/>
          <w:szCs w:val="24"/>
          <w:highlight w:val="none"/>
        </w:rPr>
      </w:r>
      <w:r/>
    </w:p>
    <w:p>
      <w:pPr>
        <w:pStyle w:val="1173"/>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乙方交付的货物应当完全符合本合同或者</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所规定的货物、数量和规格要求。乙方不得少交或多交货物。乙方提供的货物不符合</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和合同规定的，甲方有权拒收货物，由此引起的风险，由乙方承担。</w:t>
      </w:r>
      <w:r>
        <w:rPr>
          <w:rFonts w:hint="eastAsia" w:ascii="宋体" w:hAnsi="宋体" w:eastAsia="宋体" w:cs="宋体"/>
          <w:sz w:val="24"/>
          <w:szCs w:val="24"/>
          <w:highlight w:val="none"/>
        </w:rPr>
      </w:r>
      <w:r/>
    </w:p>
    <w:p>
      <w:pPr>
        <w:pStyle w:val="1173"/>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货物的到货验收包括：型号、规格、数量、外观质量</w:t>
      </w:r>
      <w:r>
        <w:rPr>
          <w:rFonts w:hint="eastAsia" w:ascii="宋体" w:hAnsi="宋体" w:eastAsia="宋体" w:cs="宋体"/>
          <w:sz w:val="24"/>
          <w:szCs w:val="24"/>
          <w:highlight w:val="none"/>
          <w:lang w:eastAsia="zh-CN"/>
        </w:rPr>
        <w:t xml:space="preserve">以</w:t>
      </w:r>
      <w:r>
        <w:rPr>
          <w:rFonts w:hint="eastAsia" w:ascii="宋体" w:hAnsi="宋体" w:eastAsia="宋体" w:cs="宋体"/>
          <w:sz w:val="24"/>
          <w:szCs w:val="24"/>
          <w:highlight w:val="none"/>
        </w:rPr>
        <w:t xml:space="preserve">及使用性能是否符合要求等。</w:t>
      </w:r>
      <w:r>
        <w:rPr>
          <w:rFonts w:hint="eastAsia" w:ascii="宋体" w:hAnsi="宋体" w:eastAsia="宋体" w:cs="宋体"/>
          <w:sz w:val="24"/>
          <w:szCs w:val="24"/>
          <w:highlight w:val="none"/>
        </w:rPr>
      </w:r>
      <w:r/>
    </w:p>
    <w:p>
      <w:pPr>
        <w:pStyle w:val="1173"/>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应将所提供车辆用户手册、原厂保修卡、随车资料及配件、随车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sz w:val="24"/>
          <w:szCs w:val="24"/>
          <w:highlight w:val="none"/>
        </w:rPr>
      </w:r>
      <w:r/>
    </w:p>
    <w:p>
      <w:pPr>
        <w:pStyle w:val="1173"/>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甲方应当在到货后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个工作日内对货物进行验收；需要乙方对货物或系统进行安装调试的，甲方应在货物安装调试完毕后的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个工作日内进行质量验收。验收合格的，由甲方签署验收单并加盖单位公章。</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对检验期限另有规定的，从其规定。</w:t>
      </w:r>
      <w:r>
        <w:rPr>
          <w:rFonts w:hint="eastAsia" w:ascii="宋体" w:hAnsi="宋体" w:eastAsia="宋体" w:cs="宋体"/>
          <w:sz w:val="24"/>
          <w:szCs w:val="24"/>
          <w:highlight w:val="none"/>
        </w:rPr>
      </w:r>
      <w:r/>
    </w:p>
    <w:p>
      <w:pPr>
        <w:pStyle w:val="1173"/>
        <w:ind w:firstLine="480"/>
        <w:jc w:val="both"/>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货物和系统调试验收的标准：按行业通行标准、厂方出厂标准和乙方投标文件的承诺（不低于国家相关标准）。</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第七条：伴随服务／售后服务</w:t>
      </w:r>
      <w:r>
        <w:rPr>
          <w:rFonts w:hint="eastAsia" w:ascii="宋体" w:hAnsi="宋体" w:eastAsia="宋体" w:cs="宋体"/>
          <w:sz w:val="24"/>
          <w:szCs w:val="24"/>
          <w:highlight w:val="none"/>
        </w:rPr>
      </w:r>
      <w:r/>
    </w:p>
    <w:p>
      <w:pPr>
        <w:pStyle w:val="1173"/>
        <w:ind w:firstLine="24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1.免费质保期要求：</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年</w:t>
      </w:r>
      <w:r>
        <w:rPr>
          <w:rFonts w:hint="eastAsia" w:ascii="宋体" w:hAnsi="宋体" w:eastAsia="宋体" w:cs="宋体"/>
          <w:spacing w:val="-3"/>
          <w:sz w:val="24"/>
          <w:szCs w:val="24"/>
          <w:highlight w:val="none"/>
        </w:rPr>
        <w:t xml:space="preserve">。</w:t>
      </w:r>
      <w:r>
        <w:rPr>
          <w:rFonts w:hint="eastAsia" w:ascii="宋体" w:hAnsi="宋体" w:eastAsia="宋体" w:cs="宋体"/>
          <w:sz w:val="24"/>
          <w:szCs w:val="24"/>
          <w:highlight w:val="none"/>
        </w:rPr>
      </w:r>
      <w:r/>
    </w:p>
    <w:p>
      <w:pPr>
        <w:pStyle w:val="1173"/>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货物在质保期内因货物本身的质量问题发生故障，乙方应在15个工作日内负责免费更换。对超过质保期发生故障的货物，乙方应当在15个工作日内负责维修并按照成本价收取零配件费用。对达不到技术要求者，根据实际情况，经双方协商，可按以下办法处理：</w:t>
      </w:r>
      <w:r>
        <w:rPr>
          <w:rFonts w:hint="eastAsia" w:ascii="宋体" w:hAnsi="宋体" w:eastAsia="宋体" w:cs="宋体"/>
          <w:sz w:val="24"/>
          <w:szCs w:val="24"/>
          <w:highlight w:val="none"/>
        </w:rPr>
      </w:r>
      <w:r/>
    </w:p>
    <w:p>
      <w:pPr>
        <w:pStyle w:val="1173"/>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（1）更换：由乙方承担所发生的全部费用。</w:t>
      </w:r>
      <w:r>
        <w:rPr>
          <w:rFonts w:hint="eastAsia" w:ascii="宋体" w:hAnsi="宋体" w:eastAsia="宋体" w:cs="宋体"/>
          <w:sz w:val="24"/>
          <w:szCs w:val="24"/>
          <w:highlight w:val="none"/>
        </w:rPr>
      </w:r>
      <w:r/>
    </w:p>
    <w:p>
      <w:pPr>
        <w:pStyle w:val="1173"/>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（2）退货处理：乙方应退还甲方支付的合同款，同时应承担该货物的直接费用（运输、保险、检验）。</w:t>
      </w:r>
      <w:r>
        <w:rPr>
          <w:rFonts w:hint="eastAsia" w:ascii="宋体" w:hAnsi="宋体" w:eastAsia="宋体" w:cs="宋体"/>
          <w:sz w:val="24"/>
          <w:szCs w:val="24"/>
          <w:highlight w:val="none"/>
        </w:rPr>
      </w:r>
      <w:r/>
    </w:p>
    <w:p>
      <w:pPr>
        <w:pStyle w:val="1173"/>
        <w:ind w:left="420"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2.除前款规定外，乙方还应提供下列服务：</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（1）货物的现场安装、调试和/或启动监督；</w:t>
      </w:r>
      <w:r>
        <w:rPr>
          <w:rFonts w:hint="eastAsia" w:ascii="宋体" w:hAnsi="宋体" w:eastAsia="宋体" w:cs="宋体"/>
          <w:sz w:val="24"/>
          <w:szCs w:val="24"/>
          <w:highlight w:val="none"/>
        </w:rPr>
      </w:r>
      <w:r/>
    </w:p>
    <w:p>
      <w:pPr>
        <w:pStyle w:val="1173"/>
        <w:ind w:left="420" w:hanging="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（2）就货物的安装、启动、运行及维护等对甲方人员进行免费培训。</w:t>
      </w:r>
      <w:r>
        <w:rPr>
          <w:rFonts w:hint="eastAsia" w:ascii="宋体" w:hAnsi="宋体" w:eastAsia="宋体" w:cs="宋体"/>
          <w:sz w:val="24"/>
          <w:szCs w:val="24"/>
          <w:highlight w:val="none"/>
        </w:rPr>
      </w:r>
      <w:r/>
    </w:p>
    <w:p>
      <w:pPr>
        <w:pStyle w:val="1173"/>
        <w:ind w:left="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3.若</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中不包含有关伴随服务或售后服务的承诺，双方</w:t>
      </w:r>
      <w:r>
        <w:rPr>
          <w:rFonts w:hint="eastAsia" w:ascii="宋体" w:hAnsi="宋体" w:eastAsia="宋体" w:cs="宋体"/>
          <w:sz w:val="24"/>
          <w:szCs w:val="24"/>
          <w:highlight w:val="none"/>
          <w:lang w:eastAsia="zh-CN"/>
        </w:rPr>
        <w:t xml:space="preserve">做</w:t>
      </w:r>
      <w:r>
        <w:rPr>
          <w:rFonts w:hint="eastAsia" w:ascii="宋体" w:hAnsi="宋体" w:eastAsia="宋体" w:cs="宋体"/>
          <w:sz w:val="24"/>
          <w:szCs w:val="24"/>
          <w:highlight w:val="none"/>
        </w:rPr>
        <w:t xml:space="preserve">如下约定：</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（2）质保服务方式均为乙方上门保修，即由乙方派员到车辆使用现场维修，由此产生的一切费用均由乙方承担。</w:t>
      </w:r>
      <w:r>
        <w:rPr>
          <w:rFonts w:hint="eastAsia" w:ascii="宋体" w:hAnsi="宋体" w:eastAsia="宋体" w:cs="宋体"/>
          <w:sz w:val="24"/>
          <w:szCs w:val="24"/>
          <w:highlight w:val="none"/>
        </w:rPr>
      </w:r>
      <w:r/>
    </w:p>
    <w:p>
      <w:pPr>
        <w:pStyle w:val="1173"/>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货物送达甲方指定地点并经验收合格后，履约保证金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元整无息退还。</w:t>
      </w:r>
      <w:r>
        <w:rPr>
          <w:rFonts w:hint="eastAsia" w:ascii="宋体" w:hAnsi="宋体" w:eastAsia="宋体" w:cs="宋体"/>
          <w:sz w:val="24"/>
          <w:szCs w:val="24"/>
          <w:highlight w:val="none"/>
        </w:rPr>
      </w:r>
      <w:r/>
    </w:p>
    <w:p>
      <w:pPr>
        <w:pStyle w:val="1173"/>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货款支付</w:t>
      </w:r>
      <w:r>
        <w:rPr>
          <w:rFonts w:hint="eastAsia" w:ascii="宋体" w:hAnsi="宋体" w:eastAsia="宋体" w:cs="宋体"/>
          <w:sz w:val="24"/>
          <w:szCs w:val="24"/>
          <w:highlight w:val="none"/>
        </w:rPr>
      </w:r>
      <w:r/>
    </w:p>
    <w:p>
      <w:pPr>
        <w:pStyle w:val="1173"/>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本合同项下所有款项均以人民币支付。</w:t>
      </w:r>
      <w:r>
        <w:rPr>
          <w:rFonts w:hint="eastAsia" w:ascii="宋体" w:hAnsi="宋体" w:eastAsia="宋体" w:cs="宋体"/>
          <w:sz w:val="24"/>
          <w:szCs w:val="24"/>
          <w:highlight w:val="none"/>
        </w:rPr>
      </w:r>
      <w:r/>
    </w:p>
    <w:p>
      <w:pPr>
        <w:pStyle w:val="1173"/>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本合同项下的采购资金由甲方自行支付，乙方向甲方开具发票。</w:t>
      </w:r>
      <w:r>
        <w:rPr>
          <w:rFonts w:hint="eastAsia" w:ascii="宋体" w:hAnsi="宋体" w:eastAsia="宋体" w:cs="宋体"/>
          <w:sz w:val="24"/>
          <w:szCs w:val="24"/>
          <w:highlight w:val="none"/>
        </w:rPr>
      </w:r>
      <w:r/>
    </w:p>
    <w:p>
      <w:pPr>
        <w:pStyle w:val="1173"/>
        <w:ind w:firstLine="48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3.合同签订生效一周内预付合同金额的30%，项目完成经验收合格付至合同价的100%。</w:t>
      </w:r>
      <w:r>
        <w:rPr>
          <w:rFonts w:hint="eastAsia" w:ascii="宋体" w:hAnsi="宋体" w:eastAsia="宋体" w:cs="宋体"/>
          <w:sz w:val="24"/>
          <w:szCs w:val="24"/>
          <w:highlight w:val="none"/>
          <w:lang w:eastAsia="zh-CN"/>
        </w:rPr>
      </w:r>
      <w:r/>
    </w:p>
    <w:p>
      <w:pPr>
        <w:pStyle w:val="1173"/>
        <w:ind w:firstLine="48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根据《苏财购〔2020〕52号》文的相关约定，乙方明确表示无需预付款或者主动要求降低预付款比例的，甲方可不适用关于预付款的规定，签订合同时，乙方需附上明确表示无需预付款或者主动要求降低预付款比例的书面声明。</w:t>
      </w: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r>
      <w:r/>
    </w:p>
    <w:p>
      <w:pPr>
        <w:pStyle w:val="1173"/>
        <w:ind w:firstLine="48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第十条：违约责任</w:t>
      </w:r>
      <w:r>
        <w:rPr>
          <w:rFonts w:hint="eastAsia" w:ascii="宋体" w:hAnsi="宋体" w:eastAsia="宋体" w:cs="宋体"/>
          <w:sz w:val="24"/>
          <w:szCs w:val="24"/>
          <w:highlight w:val="none"/>
        </w:rPr>
      </w:r>
      <w:r/>
    </w:p>
    <w:p>
      <w:pPr>
        <w:pStyle w:val="1173"/>
        <w:ind w:left="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1.甲方无正当理由拒收货物、拒付货物款的，由甲方向乙方偿付合同总价的10%违约金。</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2.如乙方不能交付货物，甲方有权扣留全部履约保证金，作为乙方应向甲方支付的违约金，且甲方有权解除合同，解除合同的通知自到达乙方时生效。甲方在今后的所有项目招标采购时，有权拒绝乙方参加。</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乙方逾期交付货物的，每逾期1天，乙方向甲方偿付逾期交货部分货款总额的5‰的滞纳金。如乙方逾期交货达30天，按本条第2项执行。</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4.乙方所交付的货物型号、规格不符合</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规定的，甲方有权拒收。甲方拒收的，按本条第2项执行。</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乙方承诺的或国家规定的质量保证期内（取两者中最长的期限），如经乙方两次维修或更换，货物仍不能达到合同约定的质量标准，甲方有权退货，乙方应退回全部货款，并按本条第2项处理，同时，乙方还须赔偿甲方因此遭受的损失。</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6.乙方未按本合同的规定和“服务承诺”提供伴随服务/售后服务的，应按合同总价款的10%向甲方承担违约责任，且甲方在今后的所有项目招标采购时，有权拒绝乙方参加。</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7.乙方在承担上述3-6款一项或多项违约责任后，仍应继续履行合同规定的义务（甲方解除合同的除外）。甲方未及时追究乙方的任何一项违约责任并不表明甲方放弃追究乙方该项或其他违约责任。</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8.因乙方责任不能按合同履约，造成装备或配套产品不能如期装备队伍，影响队伍执勤备战，甲方有权追究乙方所造成的经济、法律和社会责任。签署本合同即视同乙方认可本条款。</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第十一条：合同的变更和终止</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w:t>
      </w:r>
      <w:r>
        <w:rPr>
          <w:rFonts w:hint="eastAsia" w:ascii="宋体" w:hAnsi="宋体" w:eastAsia="宋体" w:cs="宋体"/>
          <w:sz w:val="24"/>
          <w:szCs w:val="24"/>
          <w:highlight w:val="none"/>
          <w:lang w:eastAsia="zh-CN"/>
        </w:rPr>
        <w:t xml:space="preserve">中华人民共和国政府采购法</w:t>
      </w:r>
      <w:r>
        <w:rPr>
          <w:rFonts w:hint="eastAsia" w:ascii="宋体" w:hAnsi="宋体" w:eastAsia="宋体" w:cs="宋体"/>
          <w:sz w:val="24"/>
          <w:szCs w:val="24"/>
          <w:highlight w:val="none"/>
        </w:rPr>
        <w:t xml:space="preserve">》规定的情形外，本合同一经签订，甲乙双方不得擅自变更、中止或终止合同。</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第十二条：合同的转让</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乙方不得擅自部分或全部转让其应履行的合同义务。</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第十三条：争议的解决</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1.因车辆的质量问题发生争议的，应当邀请国家认可的质量检测机构对货物质量进行鉴定。货物符合标准的，鉴定费由甲方承担；货物不符合质量标准的，鉴定费由乙方承担。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2.因履行本合同引起的或与本合同有关的争议，甲、乙双方应首先通过友好协商解决，如果协商不能解决争议，则采取以下第（）种方式解决争议：</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（1）向甲方所在地有管辖权的人民法院提起诉讼；</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（2）向泰州仲裁委员会按其仲裁规则申请仲裁。</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3.在诉讼期间，本合同应继续履行。</w:t>
      </w:r>
      <w:r>
        <w:rPr>
          <w:rFonts w:hint="eastAsia" w:ascii="宋体" w:hAnsi="宋体" w:eastAsia="宋体" w:cs="宋体"/>
          <w:sz w:val="24"/>
          <w:szCs w:val="24"/>
          <w:highlight w:val="none"/>
        </w:rPr>
      </w:r>
      <w:r/>
    </w:p>
    <w:p>
      <w:pPr>
        <w:pStyle w:val="1173"/>
        <w:ind w:firstLine="48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第十四条：合同生效及其他</w:t>
      </w:r>
      <w:r>
        <w:rPr>
          <w:rFonts w:hint="eastAsia" w:ascii="宋体" w:hAnsi="宋体" w:eastAsia="宋体" w:cs="宋体"/>
          <w:sz w:val="24"/>
          <w:szCs w:val="24"/>
          <w:highlight w:val="none"/>
        </w:rPr>
      </w:r>
      <w:r/>
    </w:p>
    <w:p>
      <w:pPr>
        <w:pStyle w:val="1173"/>
        <w:numPr>
          <w:ilvl w:val="0"/>
          <w:numId w:val="0"/>
        </w:numPr>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本合同自签订之日起生效。</w:t>
      </w:r>
      <w:r>
        <w:rPr>
          <w:rFonts w:hint="eastAsia" w:ascii="宋体" w:hAnsi="宋体" w:eastAsia="宋体" w:cs="宋体"/>
          <w:sz w:val="24"/>
          <w:szCs w:val="24"/>
          <w:highlight w:val="none"/>
        </w:rPr>
      </w:r>
      <w:r/>
    </w:p>
    <w:p>
      <w:pPr>
        <w:pStyle w:val="1173"/>
        <w:numPr>
          <w:ilvl w:val="0"/>
          <w:numId w:val="0"/>
        </w:numPr>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lang w:val="en-US" w:eastAsia="zh-CN"/>
        </w:rPr>
        <w:t xml:space="preserve">肆</w:t>
      </w:r>
      <w:r>
        <w:rPr>
          <w:rFonts w:hint="eastAsia" w:ascii="宋体" w:hAnsi="宋体" w:eastAsia="宋体" w:cs="宋体"/>
          <w:sz w:val="24"/>
          <w:szCs w:val="24"/>
          <w:highlight w:val="none"/>
        </w:rPr>
        <w:t xml:space="preserve">份，甲乙双方各执贰份。</w:t>
      </w:r>
      <w:r>
        <w:rPr>
          <w:rFonts w:hint="eastAsia" w:ascii="宋体" w:hAnsi="宋体" w:eastAsia="宋体" w:cs="宋体"/>
          <w:sz w:val="24"/>
          <w:szCs w:val="24"/>
          <w:highlight w:val="none"/>
        </w:rPr>
      </w:r>
      <w:r/>
    </w:p>
    <w:p>
      <w:pPr>
        <w:pStyle w:val="1173"/>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3.本合同应按照</w:t>
      </w:r>
      <w:r>
        <w:rPr>
          <w:rFonts w:hint="eastAsia" w:ascii="宋体" w:hAnsi="宋体" w:eastAsia="宋体" w:cs="宋体"/>
          <w:sz w:val="24"/>
          <w:szCs w:val="24"/>
          <w:highlight w:val="none"/>
          <w:lang w:eastAsia="zh-CN"/>
        </w:rPr>
        <w:t xml:space="preserve">中华人民共和国</w:t>
      </w:r>
      <w:r>
        <w:rPr>
          <w:rFonts w:hint="eastAsia" w:ascii="宋体" w:hAnsi="宋体" w:eastAsia="宋体" w:cs="宋体"/>
          <w:sz w:val="24"/>
          <w:szCs w:val="24"/>
          <w:highlight w:val="none"/>
        </w:rPr>
        <w:t xml:space="preserve">现行法律进行解释。</w:t>
      </w:r>
      <w:r>
        <w:rPr>
          <w:rFonts w:hint="eastAsia" w:ascii="宋体" w:hAnsi="宋体" w:eastAsia="宋体" w:cs="宋体"/>
          <w:sz w:val="24"/>
          <w:szCs w:val="24"/>
          <w:highlight w:val="none"/>
        </w:rPr>
      </w:r>
      <w:r/>
    </w:p>
    <w:p>
      <w:pPr>
        <w:pStyle w:val="1173"/>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3"/>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  （盖章）              乙方（供应商）：  （盖章）</w:t>
      </w:r>
      <w:r>
        <w:rPr>
          <w:rFonts w:hint="eastAsia" w:ascii="宋体" w:hAnsi="宋体" w:eastAsia="宋体" w:cs="宋体"/>
          <w:sz w:val="24"/>
          <w:szCs w:val="24"/>
          <w:highlight w:val="none"/>
        </w:rPr>
      </w:r>
      <w:r/>
    </w:p>
    <w:p>
      <w:pPr>
        <w:pStyle w:val="1173"/>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法定代表人（委托代理人）：               法定代表人（委托代理人）：</w:t>
      </w:r>
      <w:r>
        <w:rPr>
          <w:rFonts w:hint="eastAsia" w:ascii="宋体" w:hAnsi="宋体" w:eastAsia="宋体" w:cs="宋体"/>
          <w:sz w:val="24"/>
          <w:szCs w:val="24"/>
          <w:highlight w:val="none"/>
        </w:rPr>
      </w:r>
      <w:r/>
    </w:p>
    <w:p>
      <w:pPr>
        <w:pStyle w:val="1173"/>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电话：</w:t>
      </w:r>
      <w:r>
        <w:rPr>
          <w:rFonts w:hint="eastAsia" w:ascii="宋体" w:hAnsi="宋体" w:eastAsia="宋体" w:cs="宋体"/>
          <w:sz w:val="24"/>
          <w:szCs w:val="24"/>
          <w:highlight w:val="none"/>
        </w:rPr>
      </w:r>
      <w:r/>
    </w:p>
    <w:p>
      <w:pPr>
        <w:pStyle w:val="1173"/>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rPr>
          <w:rFonts w:hint="eastAsia" w:ascii="宋体" w:hAnsi="宋体" w:eastAsia="宋体" w:cs="宋体"/>
          <w:sz w:val="24"/>
          <w:szCs w:val="24"/>
          <w:highlight w:val="none"/>
        </w:rPr>
      </w:r>
      <w:r/>
    </w:p>
    <w:p>
      <w:pPr>
        <w:pStyle w:val="1173"/>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                                   账号：</w:t>
      </w:r>
      <w:r>
        <w:rPr>
          <w:rFonts w:hint="eastAsia" w:ascii="宋体" w:hAnsi="宋体" w:eastAsia="宋体" w:cs="宋体"/>
          <w:sz w:val="24"/>
          <w:szCs w:val="24"/>
          <w:highlight w:val="none"/>
        </w:rPr>
      </w:r>
      <w:r/>
    </w:p>
    <w:p>
      <w:pPr>
        <w:pStyle w:val="1173"/>
        <w:ind w:firstLine="240"/>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                              单位地址：</w:t>
      </w:r>
      <w:r>
        <w:rPr>
          <w:rFonts w:hint="eastAsia" w:ascii="宋体" w:hAnsi="宋体" w:eastAsia="宋体" w:cs="宋体"/>
          <w:sz w:val="24"/>
          <w:szCs w:val="24"/>
          <w:highlight w:val="none"/>
        </w:rPr>
      </w:r>
      <w:r/>
    </w:p>
    <w:p>
      <w:pPr>
        <w:pStyle w:val="1183"/>
        <w:ind w:firstLine="5176"/>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3"/>
        <w:ind w:firstLine="4816"/>
        <w:jc w:val="righ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3"/>
        <w:ind w:right="420" w:firstLine="6016"/>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1179"/>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73"/>
        <w:ind w:firstLine="472"/>
        <w:pageBreakBefore w:val="0"/>
        <w:spacing w:line="360" w:lineRule="auto"/>
        <w:tabs>
          <w:tab w:val="left" w:pos="0" w:leader="none"/>
          <w:tab w:val="left" w:pos="993" w:leader="none"/>
          <w:tab w:val="left" w:pos="1134" w:leader="none"/>
        </w:tabs>
        <w:rPr>
          <w:rFonts w:hint="eastAsia" w:ascii="宋体" w:hAnsi="宋体" w:eastAsia="宋体" w:cs="宋体"/>
          <w:color w:val="000000"/>
          <w:sz w:val="24"/>
          <w:szCs w:val="24"/>
          <w:highlight w:val="none"/>
          <w:lang w:val="zh-CN"/>
        </w:rPr>
        <w:sectPr>
          <w:footerReference w:type="default" r:id="rId16"/>
          <w:footnotePr/>
          <w:endnotePr/>
          <w:type w:val="nextPage"/>
          <w:pgSz w:w="11906" w:h="16838" w:orient="portrait"/>
          <w:pgMar w:top="1440" w:right="1080" w:bottom="1440" w:left="1080" w:header="851" w:footer="851" w:gutter="0"/>
          <w:cols w:num="1" w:sep="0" w:space="1701" w:equalWidth="1"/>
          <w:docGrid w:linePitch="360"/>
        </w:sectPr>
      </w:pPr>
      <w:r>
        <w:rPr>
          <w:rFonts w:hint="eastAsia" w:ascii="宋体" w:hAnsi="宋体" w:eastAsia="宋体" w:cs="宋体"/>
          <w:color w:val="000000"/>
          <w:sz w:val="24"/>
          <w:szCs w:val="24"/>
          <w:highlight w:val="none"/>
          <w:lang w:val="zh-CN"/>
        </w:rPr>
      </w:r>
      <w:r/>
    </w:p>
    <w:p>
      <w:pPr>
        <w:pStyle w:val="1174"/>
        <w:numPr>
          <w:ilvl w:val="0"/>
          <w:numId w:val="3"/>
        </w:numPr>
        <w:ind w:firstLine="482"/>
        <w:jc w:val="center"/>
        <w:pageBreakBefore w:val="0"/>
        <w:spacing w:line="360" w:lineRule="auto"/>
        <w:rPr>
          <w:rFonts w:hint="eastAsia" w:ascii="宋体" w:hAnsi="宋体" w:eastAsia="宋体" w:cs="宋体"/>
          <w:b/>
          <w:color w:val="000000"/>
          <w:sz w:val="24"/>
          <w:szCs w:val="24"/>
          <w:highlight w:val="none"/>
        </w:rPr>
      </w:pPr>
      <w:r/>
      <w:bookmarkEnd w:id="93"/>
      <w:r/>
      <w:bookmarkEnd w:id="94"/>
      <w:r/>
      <w:bookmarkEnd w:id="95"/>
      <w:r/>
      <w:bookmarkEnd w:id="96"/>
      <w:r/>
      <w:bookmarkEnd w:id="97"/>
      <w:r/>
      <w:bookmarkEnd w:id="98"/>
      <w:r/>
      <w:bookmarkEnd w:id="99"/>
      <w:r/>
      <w:bookmarkEnd w:id="100"/>
      <w:r>
        <w:rPr>
          <w:rFonts w:hint="eastAsia" w:ascii="宋体" w:hAnsi="宋体" w:eastAsia="宋体" w:cs="宋体"/>
          <w:b/>
          <w:color w:val="000000"/>
          <w:sz w:val="24"/>
          <w:szCs w:val="24"/>
          <w:highlight w:val="none"/>
        </w:rPr>
        <w:t xml:space="preserve"> 项目需求</w:t>
      </w:r>
      <w:bookmarkEnd w:id="90"/>
      <w:r>
        <w:rPr>
          <w:rFonts w:hint="eastAsia" w:ascii="宋体" w:hAnsi="宋体" w:eastAsia="宋体" w:cs="宋体"/>
          <w:b/>
          <w:color w:val="000000"/>
          <w:sz w:val="24"/>
          <w:szCs w:val="24"/>
          <w:highlight w:val="none"/>
        </w:rPr>
      </w:r>
      <w:r/>
    </w:p>
    <w:p>
      <w:pPr>
        <w:pStyle w:val="1173"/>
        <w:jc w:val="center"/>
        <w:keepLines/>
        <w:keepNext/>
        <w:pageBreakBefore w:val="0"/>
        <w:spacing w:line="360" w:lineRule="auto"/>
        <w:rPr>
          <w:rFonts w:hint="eastAsia" w:ascii="宋体" w:hAnsi="宋体" w:eastAsia="宋体" w:cs="宋体"/>
          <w:b w:val="0"/>
          <w:bCs/>
          <w:sz w:val="24"/>
          <w:szCs w:val="24"/>
          <w:highlight w:val="none"/>
          <w:vertAlign w:val="baseline"/>
        </w:rPr>
        <w:outlineLvl w:val="1"/>
      </w:pPr>
      <w:r>
        <w:rPr>
          <w:rFonts w:hint="eastAsia" w:ascii="宋体" w:hAnsi="宋体" w:eastAsia="宋体" w:cs="宋体"/>
          <w:b w:val="0"/>
          <w:bCs/>
          <w:sz w:val="24"/>
          <w:szCs w:val="24"/>
          <w:highlight w:val="none"/>
          <w:vertAlign w:val="baseline"/>
        </w:rPr>
      </w:r>
      <w:r/>
    </w:p>
    <w:p>
      <w:pPr>
        <w:pStyle w:val="1182"/>
        <w:numPr>
          <w:ilvl w:val="0"/>
          <w:numId w:val="5"/>
        </w:numPr>
        <w:ind w:firstLine="482"/>
        <w:pageBreakBefore w:val="0"/>
        <w:spacing w:line="360" w:lineRule="auto"/>
        <w:rPr>
          <w:rFonts w:hint="eastAsia" w:ascii="宋体" w:hAnsi="宋体" w:eastAsia="宋体" w:cs="宋体"/>
          <w:b/>
          <w:bCs/>
          <w:color w:val="000000"/>
          <w:sz w:val="24"/>
          <w:szCs w:val="24"/>
          <w:highlight w:val="none"/>
          <w:lang w:val="en-US" w:eastAsia="zh-CN" w:bidi="en-US"/>
        </w:rPr>
      </w:pPr>
      <w:r>
        <w:rPr>
          <w:rFonts w:hint="eastAsia" w:ascii="宋体" w:hAnsi="宋体" w:eastAsia="宋体" w:cs="宋体"/>
          <w:b/>
          <w:bCs/>
          <w:color w:val="000000"/>
          <w:sz w:val="24"/>
          <w:szCs w:val="24"/>
          <w:highlight w:val="none"/>
          <w:lang w:val="en-US" w:eastAsia="zh-CN" w:bidi="en-US"/>
        </w:rPr>
        <w:t xml:space="preserve">采购需求及技术参数</w:t>
      </w:r>
      <w:r>
        <w:rPr>
          <w:rFonts w:hint="eastAsia" w:ascii="宋体" w:hAnsi="宋体" w:eastAsia="宋体" w:cs="宋体"/>
          <w:b/>
          <w:bCs/>
          <w:color w:val="000000"/>
          <w:sz w:val="24"/>
          <w:szCs w:val="24"/>
          <w:highlight w:val="none"/>
          <w:lang w:val="en-US" w:eastAsia="zh-CN" w:bidi="en-US"/>
        </w:rPr>
      </w:r>
      <w:r/>
    </w:p>
    <w:p>
      <w:pPr>
        <w:pStyle w:val="1236"/>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泰州职业技术学院</w:t>
      </w:r>
      <w:r>
        <w:rPr>
          <w:rFonts w:hint="eastAsia" w:ascii="宋体" w:hAnsi="宋体" w:eastAsia="宋体" w:cs="宋体"/>
          <w:bCs/>
          <w:sz w:val="24"/>
          <w:szCs w:val="24"/>
          <w:highlight w:val="none"/>
          <w:lang w:eastAsia="zh-CN"/>
        </w:rPr>
        <w:t xml:space="preserve">药品检验实训室建设</w:t>
      </w:r>
      <w:r>
        <w:rPr>
          <w:rFonts w:hint="eastAsia" w:ascii="宋体" w:hAnsi="宋体" w:eastAsia="宋体" w:cs="宋体"/>
          <w:bCs/>
          <w:sz w:val="24"/>
          <w:szCs w:val="24"/>
          <w:highlight w:val="none"/>
        </w:rPr>
        <w:t xml:space="preserve">项目聚焦药学类专业实践教学设备扩建，拟通过系统性采购高效液相色谱仪、气相色谱仪、紫外</w:t>
      </w:r>
      <w:r>
        <w:rPr>
          <w:rFonts w:hint="eastAsia" w:ascii="宋体" w:hAnsi="宋体" w:eastAsia="宋体" w:cs="宋体"/>
          <w:bCs/>
          <w:sz w:val="24"/>
          <w:szCs w:val="24"/>
          <w:highlight w:val="none"/>
        </w:rPr>
        <w:t xml:space="preserve">-可见分光光度计、红外光谱仪等大型分析仪器，以及台式高速离心机、高速分散机、斯托默粘度计、不锈钢粉碎机、数显阿贝折射仪、卡尔费休水分测定仪等小型分析仪器，构建覆盖药品质量检测全流程的现代化实训平台。项目旨在强化学生对药品检验技术、仪器分析、中药制剂检验技术等核心课程的实操能力。采购设备均对标《中国药典》（现行版）及国际通行的药品检验规范，确保实验数据精准可靠。项目要求供应商提供全流程技术支持，包括设备安装调试、人员培训及质保期内维保服务，并承诺配合学院开展实训课程设计，助力区域医药产业技术人才培养与技术创新</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r>
      <w:r/>
    </w:p>
    <w:p>
      <w:pPr>
        <w:pStyle w:val="1182"/>
        <w:numPr>
          <w:ilvl w:val="0"/>
          <w:numId w:val="0"/>
        </w:numPr>
        <w:ind w:firstLine="482"/>
        <w:jc w:val="both"/>
        <w:pageBreakBefore w:val="0"/>
        <w:spacing w:after="120" w:line="360" w:lineRule="auto"/>
        <w:widowControl w:val="off"/>
        <w:rPr>
          <w:rFonts w:hint="eastAsia" w:ascii="宋体" w:hAnsi="宋体" w:eastAsia="宋体" w:cs="宋体"/>
          <w:b/>
          <w:bCs/>
          <w:color w:val="000000"/>
          <w:sz w:val="24"/>
          <w:szCs w:val="24"/>
          <w:highlight w:val="none"/>
          <w:lang w:val="en-US" w:eastAsia="zh-CN" w:bidi="en-US"/>
        </w:rPr>
      </w:pPr>
      <w:r>
        <w:rPr>
          <w:rFonts w:hint="eastAsia" w:ascii="宋体" w:hAnsi="宋体" w:eastAsia="宋体" w:cs="宋体"/>
          <w:b/>
          <w:bCs/>
          <w:color w:val="000000"/>
          <w:sz w:val="24"/>
          <w:szCs w:val="24"/>
          <w:highlight w:val="none"/>
          <w:lang w:val="en-US" w:eastAsia="zh-CN" w:bidi="en-US"/>
        </w:rPr>
        <w:t xml:space="preserve">采购包1，最高限价：92.6万元。</w:t>
      </w:r>
      <w:r>
        <w:rPr>
          <w:rFonts w:hint="eastAsia" w:ascii="宋体" w:hAnsi="宋体" w:eastAsia="宋体" w:cs="宋体"/>
          <w:b/>
          <w:bCs/>
          <w:color w:val="000000"/>
          <w:sz w:val="24"/>
          <w:szCs w:val="24"/>
          <w:highlight w:val="none"/>
          <w:lang w:val="en-US" w:eastAsia="zh-CN" w:bidi="en-US"/>
        </w:rPr>
      </w:r>
      <w:r/>
    </w:p>
    <w:p>
      <w:pPr>
        <w:pStyle w:val="1236"/>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采购包1</w:t>
      </w:r>
      <w:r>
        <w:rPr>
          <w:rFonts w:hint="eastAsia" w:ascii="宋体" w:hAnsi="宋体" w:eastAsia="宋体" w:cs="宋体"/>
          <w:b/>
          <w:sz w:val="24"/>
          <w:szCs w:val="24"/>
          <w:highlight w:val="none"/>
        </w:rPr>
        <w:t xml:space="preserve">技术参数：</w:t>
      </w:r>
      <w:r>
        <w:rPr>
          <w:rFonts w:hint="eastAsia" w:ascii="宋体" w:hAnsi="宋体" w:eastAsia="宋体" w:cs="宋体"/>
          <w:b/>
          <w:sz w:val="24"/>
          <w:szCs w:val="24"/>
          <w:highlight w:val="none"/>
        </w:rPr>
      </w:r>
      <w:r/>
    </w:p>
    <w:tbl>
      <w:tblPr>
        <w:tblW w:w="833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57"/>
        <w:gridCol w:w="1119"/>
        <w:gridCol w:w="565"/>
        <w:gridCol w:w="456"/>
        <w:gridCol w:w="5735"/>
      </w:tblGrid>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序号</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产品名称</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参数</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红外光谱仪防潮箱</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1、湿度范围：20</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-50%</w:t>
            </w:r>
            <w:r>
              <w:rPr>
                <w:rFonts w:hint="eastAsia" w:ascii="宋体" w:hAnsi="宋体" w:eastAsia="宋体" w:cs="宋体"/>
                <w:sz w:val="24"/>
                <w:szCs w:val="24"/>
                <w:highlight w:val="none"/>
                <w:lang w:bidi="ar"/>
              </w:rPr>
            </w:r>
            <w:r/>
          </w:p>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2、产品承重：≥125KG</w:t>
            </w:r>
            <w:r>
              <w:rPr>
                <w:rFonts w:hint="eastAsia" w:ascii="宋体" w:hAnsi="宋体" w:eastAsia="宋体" w:cs="宋体"/>
                <w:sz w:val="24"/>
                <w:szCs w:val="24"/>
                <w:highlight w:val="none"/>
                <w:lang w:bidi="ar"/>
              </w:rPr>
            </w:r>
            <w:r/>
          </w:p>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3、产品体积：≥251L</w:t>
            </w:r>
            <w:r>
              <w:rPr>
                <w:rFonts w:hint="eastAsia" w:ascii="宋体" w:hAnsi="宋体" w:eastAsia="宋体" w:cs="宋体"/>
                <w:sz w:val="24"/>
                <w:szCs w:val="24"/>
                <w:highlight w:val="none"/>
                <w:lang w:bidi="ar"/>
              </w:rPr>
            </w:r>
            <w:r/>
          </w:p>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4、产品颜色：白色+灰色拼</w:t>
            </w:r>
            <w:r>
              <w:rPr>
                <w:rFonts w:hint="eastAsia" w:ascii="宋体" w:hAnsi="宋体" w:eastAsia="宋体" w:cs="宋体"/>
                <w:sz w:val="24"/>
                <w:szCs w:val="24"/>
                <w:highlight w:val="none"/>
                <w:lang w:bidi="ar"/>
              </w:rPr>
            </w:r>
            <w:r/>
          </w:p>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★5、除湿单元：半导体电子除湿</w:t>
            </w:r>
            <w:r>
              <w:rPr>
                <w:rFonts w:hint="eastAsia" w:ascii="宋体" w:hAnsi="宋体" w:eastAsia="宋体" w:cs="宋体"/>
                <w:sz w:val="24"/>
                <w:szCs w:val="24"/>
                <w:highlight w:val="none"/>
                <w:lang w:bidi="ar"/>
              </w:rPr>
            </w:r>
            <w:r/>
          </w:p>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6、噪音：静音 无噪音</w:t>
            </w:r>
            <w:r>
              <w:rPr>
                <w:rFonts w:hint="eastAsia" w:ascii="宋体" w:hAnsi="宋体" w:eastAsia="宋体" w:cs="宋体"/>
                <w:sz w:val="24"/>
                <w:szCs w:val="24"/>
                <w:highlight w:val="none"/>
                <w:lang w:bidi="ar"/>
              </w:rPr>
            </w:r>
            <w:r/>
          </w:p>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★7、尺寸：L≥</w:t>
            </w:r>
            <w:r>
              <w:rPr>
                <w:rFonts w:hint="eastAsia" w:ascii="宋体" w:hAnsi="宋体" w:eastAsia="宋体" w:cs="宋体"/>
                <w:sz w:val="24"/>
                <w:szCs w:val="24"/>
                <w:highlight w:val="none"/>
                <w:lang w:val="en-US" w:eastAsia="zh-CN" w:bidi="ar"/>
              </w:rPr>
              <w:t xml:space="preserve">900</w:t>
            </w:r>
            <w:r>
              <w:rPr>
                <w:rFonts w:hint="eastAsia" w:ascii="宋体" w:hAnsi="宋体" w:eastAsia="宋体" w:cs="宋体"/>
                <w:sz w:val="24"/>
                <w:szCs w:val="24"/>
                <w:highlight w:val="none"/>
                <w:lang w:bidi="ar"/>
              </w:rPr>
              <w:t xml:space="preserve">*W≥</w:t>
            </w:r>
            <w:r>
              <w:rPr>
                <w:rFonts w:hint="eastAsia" w:ascii="宋体" w:hAnsi="宋体" w:eastAsia="宋体" w:cs="宋体"/>
                <w:sz w:val="24"/>
                <w:szCs w:val="24"/>
                <w:highlight w:val="none"/>
                <w:lang w:val="en-US" w:eastAsia="zh-CN" w:bidi="ar"/>
              </w:rPr>
              <w:t xml:space="preserve">900</w:t>
            </w:r>
            <w:r>
              <w:rPr>
                <w:rFonts w:hint="eastAsia" w:ascii="宋体" w:hAnsi="宋体" w:eastAsia="宋体" w:cs="宋体"/>
                <w:sz w:val="24"/>
                <w:szCs w:val="24"/>
                <w:highlight w:val="none"/>
                <w:lang w:bidi="ar"/>
              </w:rPr>
              <w:t xml:space="preserve">*H≥</w:t>
            </w:r>
            <w:r>
              <w:rPr>
                <w:rFonts w:hint="eastAsia" w:ascii="宋体" w:hAnsi="宋体" w:eastAsia="宋体" w:cs="宋体"/>
                <w:sz w:val="24"/>
                <w:szCs w:val="24"/>
                <w:highlight w:val="none"/>
                <w:lang w:val="en-US" w:eastAsia="zh-CN" w:bidi="ar"/>
              </w:rPr>
              <w:t xml:space="preserve">600</w:t>
            </w:r>
            <w:r>
              <w:rPr>
                <w:rFonts w:hint="eastAsia" w:ascii="宋体" w:hAnsi="宋体" w:eastAsia="宋体" w:cs="宋体"/>
                <w:sz w:val="24"/>
                <w:szCs w:val="24"/>
                <w:highlight w:val="none"/>
                <w:lang w:bidi="ar"/>
              </w:rPr>
              <w:t xml:space="preserve">（mm）外，L≥</w:t>
            </w:r>
            <w:r>
              <w:rPr>
                <w:rFonts w:hint="eastAsia" w:ascii="宋体" w:hAnsi="宋体" w:eastAsia="宋体" w:cs="宋体"/>
                <w:sz w:val="24"/>
                <w:szCs w:val="24"/>
                <w:highlight w:val="none"/>
                <w:lang w:val="en-US" w:eastAsia="zh-CN" w:bidi="ar"/>
              </w:rPr>
              <w:t xml:space="preserve">800</w:t>
            </w:r>
            <w:r>
              <w:rPr>
                <w:rFonts w:hint="eastAsia" w:ascii="宋体" w:hAnsi="宋体" w:eastAsia="宋体" w:cs="宋体"/>
                <w:sz w:val="24"/>
                <w:szCs w:val="24"/>
                <w:highlight w:val="none"/>
                <w:lang w:bidi="ar"/>
              </w:rPr>
              <w:t xml:space="preserve">*W≥</w:t>
            </w:r>
            <w:r>
              <w:rPr>
                <w:rFonts w:hint="eastAsia" w:ascii="宋体" w:hAnsi="宋体" w:eastAsia="宋体" w:cs="宋体"/>
                <w:sz w:val="24"/>
                <w:szCs w:val="24"/>
                <w:highlight w:val="none"/>
                <w:lang w:val="en-US" w:eastAsia="zh-CN" w:bidi="ar"/>
              </w:rPr>
              <w:t xml:space="preserve">800</w:t>
            </w:r>
            <w:r>
              <w:rPr>
                <w:rFonts w:hint="eastAsia" w:ascii="宋体" w:hAnsi="宋体" w:eastAsia="宋体" w:cs="宋体"/>
                <w:sz w:val="24"/>
                <w:szCs w:val="24"/>
                <w:highlight w:val="none"/>
                <w:lang w:bidi="ar"/>
              </w:rPr>
              <w:t xml:space="preserve">*H≥420（mm）内（提供证明图纸）</w:t>
            </w:r>
            <w:r>
              <w:rPr>
                <w:rFonts w:hint="eastAsia" w:ascii="宋体" w:hAnsi="宋体" w:eastAsia="宋体" w:cs="宋体"/>
                <w:sz w:val="24"/>
                <w:szCs w:val="24"/>
                <w:highlight w:val="none"/>
                <w:lang w:bidi="ar"/>
              </w:rPr>
            </w:r>
            <w:r/>
          </w:p>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8、除湿单元：3套（内部三套），不同电路控制，互不影响。</w:t>
            </w:r>
            <w:r>
              <w:rPr>
                <w:rFonts w:hint="eastAsia" w:ascii="宋体" w:hAnsi="宋体" w:eastAsia="宋体" w:cs="宋体"/>
                <w:sz w:val="24"/>
                <w:szCs w:val="24"/>
                <w:highlight w:val="none"/>
                <w:lang w:bidi="ar"/>
              </w:rPr>
            </w:r>
            <w:r/>
          </w:p>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9、材质：冷压钢板（静电喷涂）</w:t>
            </w:r>
            <w:r>
              <w:rPr>
                <w:rFonts w:hint="eastAsia" w:ascii="宋体" w:hAnsi="宋体" w:eastAsia="宋体" w:cs="宋体"/>
                <w:sz w:val="24"/>
                <w:szCs w:val="24"/>
                <w:highlight w:val="none"/>
                <w:lang w:bidi="ar"/>
              </w:rPr>
            </w:r>
            <w:r/>
          </w:p>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10、电源：220v</w:t>
            </w:r>
            <w:r>
              <w:rPr>
                <w:rFonts w:hint="eastAsia" w:ascii="宋体" w:hAnsi="宋体" w:eastAsia="宋体" w:cs="宋体"/>
                <w:sz w:val="24"/>
                <w:szCs w:val="24"/>
                <w:highlight w:val="none"/>
                <w:lang w:bidi="ar"/>
              </w:rPr>
            </w:r>
            <w:r/>
          </w:p>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11、功率：≥60W</w:t>
            </w:r>
            <w:r>
              <w:rPr>
                <w:rFonts w:hint="eastAsia" w:ascii="宋体" w:hAnsi="宋体" w:eastAsia="宋体" w:cs="宋体"/>
                <w:sz w:val="24"/>
                <w:szCs w:val="24"/>
                <w:highlight w:val="none"/>
                <w:lang w:bidi="ar"/>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色谱柱</w:t>
            </w: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C18，5um，4.6x150mm</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色谱柱保护柱</w:t>
            </w: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C18, 5um, 4.0x10</w:t>
            </w:r>
            <w:r>
              <w:rPr>
                <w:rFonts w:hint="eastAsia" w:ascii="宋体" w:hAnsi="宋体" w:eastAsia="宋体" w:cs="宋体"/>
                <w:sz w:val="24"/>
                <w:szCs w:val="24"/>
                <w:highlight w:val="none"/>
                <w:lang w:val="en-US" w:eastAsia="zh-CN"/>
              </w:rPr>
              <w:t xml:space="preserve">mm</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紫外分光光度计</w:t>
            </w:r>
            <w:r>
              <w:rPr>
                <w:rFonts w:hint="eastAsia" w:ascii="宋体" w:hAnsi="宋体" w:eastAsia="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★1、测光方式：比例双光束、双检测器</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2、波长范围:190.0～1100.0nm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3、波长准确性:±0.3nm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4、波长重复性:≤0.2nm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5、光谱带宽:</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2nm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★6、杂散光: ≤</w:t>
            </w:r>
            <w:r>
              <w:rPr>
                <w:rFonts w:hint="eastAsia" w:ascii="宋体" w:hAnsi="宋体" w:eastAsia="宋体" w:cs="宋体"/>
                <w:sz w:val="24"/>
                <w:szCs w:val="24"/>
                <w:highlight w:val="none"/>
                <w:lang w:bidi="ar"/>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0.01%T(220nm NaI,360nm NaNO2)</w:t>
            </w:r>
            <w:r>
              <w:rPr>
                <w:rFonts w:hint="eastAsia" w:ascii="宋体" w:hAnsi="宋体" w:eastAsia="宋体" w:cs="宋体"/>
                <w:sz w:val="24"/>
                <w:szCs w:val="24"/>
                <w:highlight w:val="none"/>
              </w:rPr>
            </w:r>
            <w:r/>
          </w:p>
          <w:p>
            <w:pPr>
              <w:pStyle w:val="1173"/>
              <w:numPr>
                <w:ilvl w:val="0"/>
                <w:numId w:val="6"/>
              </w:numPr>
              <w:jc w:val="lef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漂移:±0.0005Abs/h(500nm,预热1h)</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8、噪声:±0.0005Abs(500nm)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★9、光源：氙灯</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光源寿命长（光源质保5年）</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10、显示方式:</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8英寸液晶触摸屏，内置专业操作软件。</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标配专业分析软件，可连接电脑，可实现定量测量、光谱扫描、多波长、动力学、时间扫描等功能，扫描图谱可以进行三维转换、求谱面积、加减谱线、求导等运算；标准曲线有测量、系数输入法、OD值输入三种定量法；可根据不同用户的实际实验需求，自定义个性化测量方法；光谱扫描可通过设定扫描次数、时间间隔后实现1-99次自动扫描。</w:t>
            </w:r>
            <w:r>
              <w:rPr>
                <w:rFonts w:hint="eastAsia" w:ascii="宋体" w:hAnsi="宋体" w:eastAsia="宋体" w:cs="宋体"/>
                <w:sz w:val="24"/>
                <w:szCs w:val="24"/>
                <w:highlight w:val="none"/>
                <w:lang w:bidi="ar"/>
              </w:rPr>
            </w:r>
            <w:r/>
          </w:p>
          <w:p>
            <w:pPr>
              <w:pStyle w:val="1173"/>
              <w:numPr>
                <w:ilvl w:val="0"/>
                <w:numId w:val="0"/>
              </w:num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★12、主机包含有性能验证功能，具有波长精度，波长重复性，光度精度，光度重复性，杂散光，分辨率验证功能，方便用户进行仪器性能验证。</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13、仪器样品池内的底部，设计有漏</w:t>
            </w:r>
            <w:r>
              <w:rPr>
                <w:rFonts w:hint="eastAsia" w:ascii="宋体" w:hAnsi="宋体" w:eastAsia="宋体" w:cs="宋体"/>
                <w:sz w:val="24"/>
                <w:szCs w:val="24"/>
                <w:highlight w:val="none"/>
                <w:lang w:eastAsia="zh-CN" w:bidi="ar"/>
              </w:rPr>
              <w:t xml:space="preserve">液</w:t>
            </w:r>
            <w:r>
              <w:rPr>
                <w:rFonts w:hint="eastAsia" w:ascii="宋体" w:hAnsi="宋体" w:eastAsia="宋体" w:cs="宋体"/>
                <w:sz w:val="24"/>
                <w:szCs w:val="24"/>
                <w:highlight w:val="none"/>
                <w:lang w:bidi="ar"/>
              </w:rPr>
              <w:t xml:space="preserve">孔，可以不小心洒落的液体可通过该孔自动流出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14、主机外壳上，有换灯的小窗口，换灯时避免拆卸整体罩壳</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★15、</w:t>
            </w:r>
            <w:r>
              <w:rPr>
                <w:rFonts w:hint="eastAsia" w:ascii="宋体" w:hAnsi="宋体" w:eastAsia="宋体" w:cs="宋体"/>
                <w:i w:val="0"/>
                <w:iCs w:val="0"/>
                <w:caps w:val="0"/>
                <w:spacing w:val="0"/>
                <w:sz w:val="24"/>
                <w:szCs w:val="24"/>
                <w:highlight w:val="none"/>
                <w:lang w:bidi="ar"/>
              </w:rPr>
              <w:t xml:space="preserve">标配自动五联架，</w:t>
            </w:r>
            <w:r>
              <w:rPr>
                <w:rStyle w:val="1198"/>
                <w:rFonts w:hint="eastAsia" w:ascii="宋体" w:hAnsi="宋体" w:eastAsia="宋体" w:cs="宋体"/>
                <w:i w:val="0"/>
                <w:iCs w:val="0"/>
                <w:caps w:val="0"/>
                <w:spacing w:val="0"/>
                <w:sz w:val="24"/>
                <w:szCs w:val="24"/>
                <w:highlight w:val="none"/>
                <w:lang w:bidi="ar"/>
              </w:rPr>
              <w:t xml:space="preserve">可放10-100mm不同光程比色皿</w:t>
            </w:r>
            <w:r>
              <w:rPr>
                <w:rFonts w:hint="eastAsia" w:ascii="宋体" w:hAnsi="宋体" w:eastAsia="宋体" w:cs="宋体"/>
                <w:i w:val="0"/>
                <w:iCs w:val="0"/>
                <w:caps w:val="0"/>
                <w:spacing w:val="0"/>
                <w:sz w:val="24"/>
                <w:szCs w:val="24"/>
                <w:highlight w:val="none"/>
                <w:lang w:bidi="ar"/>
              </w:rPr>
              <w:t xml:space="preserve">。配适配工作站一套 </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目视旋光仪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1、采用目视瞄准，手动测量的方法，使用简便。</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2、测量模式：旋光度</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3、仪器光源：WXG-4：钠光灯</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4、工作波长：589nm(钠D光谱)</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5、测量范围：±180°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6、度盘格值：1°</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7、度盘游标读数值：0.05°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8、放大镜放大倍数：4×</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9、试管长度：100mm/200mm普通型</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10、电源：220V±22V,50Hz±1Hz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11、仪器尺寸：≥435mm×≥135mm×≥320mm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12、仪器净重：钠灯/≥5kg</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大容量冰箱</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236"/>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1、总容积：600L及以上</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2、制冷方式：风冷</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3、门款式：对开门</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4、冷藏室容积≥295L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5、冷冻室容积≥325L</w:t>
            </w:r>
            <w:r>
              <w:rPr>
                <w:rFonts w:hint="eastAsia" w:ascii="宋体" w:hAnsi="宋体" w:eastAsia="宋体" w:cs="宋体"/>
                <w:sz w:val="24"/>
                <w:szCs w:val="24"/>
                <w:highlight w:val="none"/>
                <w:lang w:bidi="ar"/>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手套培养箱</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jc w:val="left"/>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1、手套箱功能：密闭循环；手套箱内的惰性气体经循环风机和净化器密闭循环，不断地除水除氧；自动控制再生；除水除氧材料可以再生，再生过程由程序控制；</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箱体压力控制；手套箱内压力通过PLC自动控制,工作压力+/-1500pa内可以自由设定，超出+/-1500pa系统自动保护；真空泵自动控制；真空泵要求在系统需要时自动开启；</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2、集成有封闭的箱体（带有倾斜的操作面安全玻璃单面视窗）、过渡舱、循环净化单元、PLC控制及触摸屏操作系统、真空系统、显示系统、支架（联体）等</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箱体：材料：304不锈钢，厚度3mm内表面：不锈钢拉丝处理外表面：喷漆，白色；内部尺寸：设备总尺寸：≥1935L×≥760W×≥1800Hmm，工作仓尺寸：≥1220L×≥760W×≥900Hmm；材质：SUS304不锈钢，厚度：≥3mm。密闭性：泄漏率≤0.001Vol%/h。</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透明钢化玻璃窗：倾斜的视窗，透明钢化安全玻璃，厚度8mm。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手套口：材料为阳极氧化铝，O型圈密封，直径220mm，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手套：丁基橡胶，厚度0.4mm，直径8”长度32”。</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过滤器：规格0.3微米，安装于箱体内的净化气体进、出口处各一个</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4、箱体照明：无紫外线白色光，安装在每块玻璃窗前上方节能、发热量小、亮度高。</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接口：备用接口4个，DN40KF材质：SUS304不锈钢；卡盘式快装接口，使用气体或液体能方便、安全地进入箱体内。</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电源接口：1个（220V）位于手套箱工作仓内，为用电设备提供电源。在手套箱里面安装一个电源排插，有三组孔位，。每一组孔位有二线和三线两种擦口。</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脚踏开关：控制箱体的气体补充和排空，安置于箱体下方,微调工作</w:t>
            </w:r>
            <w:r>
              <w:rPr>
                <w:rFonts w:hint="eastAsia" w:ascii="宋体" w:hAnsi="宋体" w:eastAsia="宋体" w:cs="宋体"/>
                <w:sz w:val="24"/>
                <w:szCs w:val="24"/>
                <w:highlight w:val="none"/>
                <w:lang w:eastAsia="zh-CN" w:bidi="ar"/>
              </w:rPr>
              <w:t xml:space="preserve">舱内</w:t>
            </w:r>
            <w:r>
              <w:rPr>
                <w:rFonts w:hint="eastAsia" w:ascii="宋体" w:hAnsi="宋体" w:eastAsia="宋体" w:cs="宋体"/>
                <w:sz w:val="24"/>
                <w:szCs w:val="24"/>
                <w:highlight w:val="none"/>
                <w:lang w:bidi="ar"/>
              </w:rPr>
              <w:t xml:space="preserve">压力。</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手套箱机架：碳钢喷塑，一体式；配活动脚轮和可升降支撑脚；可转移手套箱。</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真空表：机械式表盘显示，测量</w:t>
            </w:r>
            <w:r>
              <w:rPr>
                <w:rFonts w:hint="eastAsia" w:ascii="宋体" w:hAnsi="宋体" w:eastAsia="宋体" w:cs="宋体"/>
                <w:sz w:val="24"/>
                <w:szCs w:val="24"/>
                <w:highlight w:val="none"/>
                <w:lang w:eastAsia="zh-CN" w:bidi="ar"/>
              </w:rPr>
              <w:t xml:space="preserve">过渡</w:t>
            </w:r>
            <w:r>
              <w:rPr>
                <w:rFonts w:hint="eastAsia" w:ascii="宋体" w:hAnsi="宋体" w:eastAsia="宋体" w:cs="宋体"/>
                <w:sz w:val="24"/>
                <w:szCs w:val="24"/>
                <w:highlight w:val="none"/>
                <w:lang w:bidi="ar"/>
              </w:rPr>
              <w:t xml:space="preserve">舱和工具</w:t>
            </w:r>
            <w:r>
              <w:rPr>
                <w:rFonts w:hint="eastAsia" w:ascii="宋体" w:hAnsi="宋体" w:eastAsia="宋体" w:cs="宋体"/>
                <w:sz w:val="24"/>
                <w:szCs w:val="24"/>
                <w:highlight w:val="none"/>
                <w:lang w:eastAsia="zh-CN" w:bidi="ar"/>
              </w:rPr>
              <w:t xml:space="preserve">过渡</w:t>
            </w:r>
            <w:r>
              <w:rPr>
                <w:rFonts w:hint="eastAsia" w:ascii="宋体" w:hAnsi="宋体" w:eastAsia="宋体" w:cs="宋体"/>
                <w:sz w:val="24"/>
                <w:szCs w:val="24"/>
                <w:highlight w:val="none"/>
                <w:lang w:bidi="ar"/>
              </w:rPr>
              <w:t xml:space="preserve">舱的真空度。</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5、大过渡舱位于箱体右侧；直径≥385mm×≥600mm材质：SUS304不锈钢；</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密闭性：泄漏率≤0.001Vol%/h。</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滑动托盘，304不锈钢舱门：双门，阳极氧化铝材料，厚度10mm，竖直操作，带提升机构。压力表：模拟显示，电磁阀触摸屏自动操作</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6、小过渡舱尺寸：直径150mm，长度300mm，进入手套箱部分长度100mm材料：304不锈钢表面：内表面为拉丝处理，外表面喷漆（白色）舱门：双门。压力表：模拟显示，手动阀手动操作</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7、气体净化循环系统净化柱：功能：气体密闭，除水、除氧(循环能力90m3/h)；容器材料：304不锈钢</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净化材料：铜触媒：4kg分子筛：6.0kg净化能力：除氧：60L除水：2Kg,水氧指标：小于0.1ppm（空箱）</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循环系统：工作气体：氮气、氩气循环能力：集成风机流量90m3/h</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再生:操作：PLC自动控制再生过程。再生气体：工作气体与氢气混合气体，</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阀门:主阀：DN40KF，电气动角阀。控制阀：电磁阀(黄铜)</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8、控制系统：功能：包括自诊断、断电自启动特性，具有压力控制和自适应功能；自动控制、循环控制、密码保护；单元控制采用西门子PLC触摸屏。</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8.1、压力控制：控制箱体、过渡舱的压力工作压力+/-1500pa内可以自由设定，超出+/-1500pa系统自动保护；</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8.2、脚踏板：控制箱体压力，方便操作升压和降压</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8.3、显示系统：采用西门子PLC触摸屏PT177，显示运行状态，箱体压力、系统记录等</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9、真空泵流量8m3/h，极限真空度≤2x10-1pa。可手动或通过PLC启动，流量8m3/h，可对过渡舱抽真空，并保持箱体压力平衡，真空泵极限真空度≤2x10-1pa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★10、在标准状况下，一个标准大气压，99.999%的惰性气源，并空箱运转下，水氧指标小于0.1ppm，箱体泄漏率≤0.001Vol%/h</w:t>
            </w:r>
            <w:r>
              <w:rPr>
                <w:rFonts w:hint="eastAsia" w:ascii="宋体" w:hAnsi="宋体" w:eastAsia="宋体" w:cs="宋体"/>
                <w:sz w:val="24"/>
                <w:szCs w:val="24"/>
                <w:highlight w:val="none"/>
                <w:lang w:eastAsia="zh-CN" w:bidi="ar"/>
              </w:rPr>
              <w:t xml:space="preserve">，</w:t>
            </w:r>
            <w:r>
              <w:rPr>
                <w:rFonts w:hint="eastAsia" w:ascii="宋体" w:hAnsi="宋体" w:eastAsia="宋体" w:cs="Times New Roman"/>
                <w:szCs w:val="21"/>
                <w:highlight w:val="none"/>
                <w:lang w:bidi="ar"/>
              </w:rPr>
              <w:t xml:space="preserve">产品符合密封性一级要求</w:t>
            </w:r>
            <w:r>
              <w:rPr>
                <w:rFonts w:hint="eastAsia" w:ascii="宋体" w:hAnsi="宋体" w:eastAsia="宋体" w:cs="Times New Roman"/>
                <w:szCs w:val="21"/>
                <w:highlight w:val="none"/>
                <w:lang w:eastAsia="zh-CN" w:bidi="ar"/>
              </w:rPr>
              <w:t xml:space="preserve">。</w:t>
            </w:r>
            <w:r>
              <w:rPr>
                <w:rFonts w:hint="eastAsia" w:ascii="宋体" w:hAnsi="宋体" w:eastAsia="宋体" w:cs="宋体"/>
                <w:sz w:val="24"/>
                <w:szCs w:val="24"/>
                <w:highlight w:val="none"/>
                <w:lang w:bidi="ar"/>
              </w:rPr>
            </w:r>
            <w:r/>
          </w:p>
          <w:p>
            <w:pPr>
              <w:pStyle w:val="1185"/>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11、泄漏率: ≤0.001Vol%/h</w:t>
            </w:r>
            <w:r>
              <w:rPr>
                <w:rFonts w:hint="eastAsia" w:ascii="宋体" w:hAnsi="宋体" w:eastAsia="宋体" w:cs="宋体"/>
                <w:sz w:val="24"/>
                <w:szCs w:val="24"/>
                <w:highlight w:val="none"/>
                <w:lang w:bidi="ar"/>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空气压缩机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1、排气量：152-40L/min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2、排气压力：0.1～0.8MPa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3、电压频率Volt./Hz：220V50Hz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4、功率W：≥750W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5、转速Speed(R.P.M)：1450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6、运行噪声dB(A)40：53±2</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7、储气罐Tank(Lt)：≥25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8、毛重G.W(KG)：≥100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9、净重G.W(KG)：≥80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10、外形尺寸L×W×Hmm：≥580×≥740×≥815</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空压机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1、排气量：460-120L/min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2、排气压力：0.1～0.8MPa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3、电压频率Volt./Hz：220V50Hz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4、功率HP/W：3.0HP2200W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5、转速Speed(R.P.M)：1450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6、运行噪声dB(A)40：55±3</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7、储气罐Tank(Lt)：≥120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8、毛重G.W(KG)：≥236</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9、净重G.W(KG)：≥210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10、外形尺寸L×W×Hmm≥1200*≥922*≥1075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11、压力露点℃：-20℃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12、再生气量损耗：10</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-15%</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数控超声波清洗器</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1、容量：≥30L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2、外形尺寸：≥531*≥326*≥435mm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3、内槽尺寸：≥500*≥300*≥200mm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4、超声频率：40kHz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5、超声功率：≥800W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6、超声功率可调范围：40</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-100%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7、加热功率：≥800W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8、温度设定范围：室温-80℃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9、工作时间可调：1-480min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10、液位显示、保护：有</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11、其他配置：降音盖、不锈钢网架、不锈钢托架、手控进排水、AC220V/50Hz电源</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台式高速离心机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1、最高转速:≥16000r/min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2、转速精度:±20r/min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3、最大离心力:≥20920*g</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4、最大容量:4*100ml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5、微机控制交流变频电机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6、定时范围:1~99min59s</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7、整机噪音:＜55dB</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8、电源:AC220V55Hz5A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9、外形尺寸:≥390*≥330*≥320mm(长宽高)</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高速分散机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1、电动机功率：550W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2、变频器调速范围：0～7500r/min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3、升降行程：200mm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4、外形尺寸：450×420×550mm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5、使用电源：220V50Hz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6、主机重量：33kg</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斯托默粘度计</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1、显示方式：液晶显示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2、测量范围：40.2KU-141.0KU(KU值)、32g-1099g(负荷值)、27mpa.s(cP)-5250mpa.s(cP)0℃-100℃（同时测量和显示四个参数）</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3、测量准确度：满量程的1.5%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4、测量重复性：满量程的1.5%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5、搅拌轴转速：200r/min±1r/min</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6、容器容量：大约500ml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7、功率：10W</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不锈钢粉碎机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1、304不锈钢粉碎机，粉碎程度30-300目</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数显阿贝折射仪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1、采用目视瞄准，光学度盘读数，温度数显，简单可靠。基座采用不锈钢材质，棱镜采用硬质玻璃，不易磨损。</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2、内置流通池可配置专用的恒温水浴槽，满足在恒定温度下的测量。</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3、测量范围(nD)：1.3000~1.7000；(Brix)：0</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t xml:space="preserve">-95%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4、准确度(nD)：±0.0003(估计读数)</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5、平均色散示值：±0.0005</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6、温度显示：数字温度计</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7、观察方式：双目</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8、仪器尺寸：≥160mm×≥140mm×≥100mm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9、仪器净重：≥3kg</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卡尔费休水分测定仪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1、全封闭系统，滴定杯、溶剂瓶、试剂瓶均配有干燥管，管路接头及密封件均采用耐腐蚀材料，避免环境水分的渗入，避免有毒试剂</w:t>
            </w:r>
            <w:r>
              <w:rPr>
                <w:rFonts w:hint="eastAsia" w:ascii="宋体" w:hAnsi="宋体" w:eastAsia="宋体" w:cs="Times New Roman"/>
                <w:highlight w:val="none"/>
                <w:lang w:eastAsia="zh-CN" w:bidi="ar"/>
              </w:rPr>
              <w:t xml:space="preserve">外溢</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2、按键操作仪器可进行计量管清洗、定量馈液、吸溶剂、排废液、自动滴定等功能；适用各品牌卡尔-费休试剂，实现自动更换溶剂和排出废液</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3、状态灯指示仪器的是否在工作和是否就绪，滴定曲线动态显示，标定、测样和检定结果自动保存</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val="en-US" w:eastAsia="zh-CN" w:bidi="ar"/>
              </w:rPr>
              <w:t xml:space="preserve">4</w:t>
            </w:r>
            <w:r>
              <w:rPr>
                <w:rFonts w:hint="eastAsia" w:ascii="宋体" w:hAnsi="宋体" w:eastAsia="宋体" w:cs="Times New Roman"/>
                <w:highlight w:val="none"/>
                <w:lang w:bidi="ar"/>
              </w:rPr>
              <w:t xml:space="preserve">、滴定过程中根据滴定杯内的含水量自动调节馈液速度，实时显示馈液体积，馈液速度和电极信号，测定简便、迅速、准确。高精度计量管在满足滴定精度的同时，还能保证极低的故障率，可满足长时间连续不间断的工作环境</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val="en-US" w:eastAsia="zh-CN" w:bidi="ar"/>
              </w:rPr>
              <w:t xml:space="preserve">5</w:t>
            </w:r>
            <w:r>
              <w:rPr>
                <w:rFonts w:hint="eastAsia" w:ascii="宋体" w:hAnsi="宋体" w:eastAsia="宋体" w:cs="Times New Roman"/>
                <w:highlight w:val="none"/>
                <w:lang w:bidi="ar"/>
              </w:rPr>
              <w:t xml:space="preserve">、仪器运行平稳，噪音小，仪器测量结果格式符合GLP/GMP要求</w:t>
            </w:r>
            <w:r>
              <w:rPr>
                <w:rFonts w:ascii="宋体" w:hAnsi="宋体" w:eastAsia="宋体" w:cs="Times New Roman"/>
                <w:highlight w:val="none"/>
                <w:lang w:bidi="ar"/>
              </w:rPr>
            </w:r>
            <w:r/>
          </w:p>
          <w:p>
            <w:pPr>
              <w:pStyle w:val="1236"/>
              <w:rPr>
                <w:rFonts w:hint="eastAsia" w:ascii="宋体" w:hAnsi="宋体" w:eastAsia="宋体" w:cs="Times New Roman"/>
                <w:highlight w:val="none"/>
                <w:lang w:bidi="ar"/>
              </w:rPr>
            </w:pPr>
            <w:r>
              <w:rPr>
                <w:rFonts w:hint="eastAsia"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技术参数</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1、测定方法：卡尔费休容量法</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2、测定结果数据存储:100条</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3、水分含量测定范围：0.001∽100.00%（10ppm-100%）</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4、检测电极：双铂片电极</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5、计量管体积：20mL</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6、相对标准偏差：RSD≤0.5%（20mg H20）</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7、检测方式：自动检测、固定时长检测</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8、阀门及管路材质：双向三通电磁驱动控制阀，防腐材料管路及密封接头</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★9、测量分辨率：</w:t>
            </w:r>
            <w:r>
              <w:rPr>
                <w:rFonts w:hint="eastAsia" w:ascii="宋体" w:hAnsi="宋体" w:eastAsia="宋体" w:cs="Times New Roman"/>
                <w:highlight w:val="none"/>
                <w:lang w:val="en-US" w:eastAsia="zh-CN" w:bidi="ar"/>
              </w:rPr>
              <w:t xml:space="preserve">小于等于</w:t>
            </w:r>
            <w:r>
              <w:rPr>
                <w:rFonts w:hint="eastAsia" w:ascii="宋体" w:hAnsi="宋体" w:eastAsia="宋体" w:cs="Times New Roman"/>
                <w:highlight w:val="none"/>
                <w:lang w:bidi="ar"/>
              </w:rPr>
              <w:t xml:space="preserve">1PPM</w:t>
            </w:r>
            <w:r>
              <w:rPr>
                <w:rFonts w:ascii="宋体" w:hAnsi="宋体" w:eastAsia="宋体" w:cs="Times New Roman"/>
                <w:highlight w:val="none"/>
                <w:lang w:bidi="ar"/>
              </w:rPr>
            </w:r>
            <w:r/>
          </w:p>
          <w:p>
            <w:pPr>
              <w:pStyle w:val="1236"/>
              <w:rPr>
                <w:rFonts w:hint="eastAsia" w:ascii="宋体" w:hAnsi="宋体" w:eastAsia="宋体" w:cs="Times New Roman"/>
                <w:highlight w:val="none"/>
                <w:lang w:bidi="ar"/>
              </w:rPr>
            </w:pPr>
            <w:r>
              <w:rPr>
                <w:rFonts w:hint="eastAsia" w:ascii="宋体" w:hAnsi="宋体" w:eastAsia="宋体" w:cs="Times New Roman"/>
                <w:highlight w:val="none"/>
                <w:lang w:bidi="ar"/>
              </w:rPr>
              <w:t xml:space="preserve">★10、电压可调范围：0～120mV</w:t>
            </w:r>
            <w:r>
              <w:rPr>
                <w:rFonts w:hint="eastAsia"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11、样品检测时间：几十秒到几分钟</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12、方法存储：5个</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13、水分滴定的线性相关系数：≥0.998</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1</w:t>
            </w:r>
            <w:r>
              <w:rPr>
                <w:rFonts w:hint="eastAsia" w:ascii="宋体" w:hAnsi="宋体" w:eastAsia="宋体" w:cs="Times New Roman"/>
                <w:highlight w:val="none"/>
                <w:lang w:val="en-US" w:eastAsia="zh-CN" w:bidi="ar"/>
              </w:rPr>
              <w:t xml:space="preserve">4</w:t>
            </w:r>
            <w:r>
              <w:rPr>
                <w:rFonts w:hint="eastAsia" w:ascii="宋体" w:hAnsi="宋体" w:eastAsia="宋体" w:cs="Times New Roman"/>
                <w:highlight w:val="none"/>
                <w:lang w:bidi="ar"/>
              </w:rPr>
              <w:t xml:space="preserve">、辅助设置：自动吸溶剂排废液，废液瓶溢出警示，滴定延时，终点延时，检定辅助</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★1</w:t>
            </w:r>
            <w:r>
              <w:rPr>
                <w:rFonts w:hint="eastAsia" w:ascii="宋体" w:hAnsi="宋体" w:eastAsia="宋体" w:cs="Times New Roman"/>
                <w:highlight w:val="none"/>
                <w:lang w:val="en-US" w:eastAsia="zh-CN" w:bidi="ar"/>
              </w:rPr>
              <w:t xml:space="preserve">5</w:t>
            </w:r>
            <w:r>
              <w:rPr>
                <w:rFonts w:hint="eastAsia" w:ascii="宋体" w:hAnsi="宋体" w:eastAsia="宋体" w:cs="Times New Roman"/>
                <w:highlight w:val="none"/>
                <w:lang w:bidi="ar"/>
              </w:rPr>
              <w:t xml:space="preserve">、采样电流精度：0.1uA</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1</w:t>
            </w:r>
            <w:r>
              <w:rPr>
                <w:rFonts w:hint="eastAsia" w:ascii="宋体" w:hAnsi="宋体" w:eastAsia="宋体" w:cs="Times New Roman"/>
                <w:highlight w:val="none"/>
                <w:lang w:val="en-US" w:eastAsia="zh-CN" w:bidi="ar"/>
              </w:rPr>
              <w:t xml:space="preserve">6</w:t>
            </w:r>
            <w:r>
              <w:rPr>
                <w:rFonts w:hint="eastAsia" w:ascii="宋体" w:hAnsi="宋体" w:eastAsia="宋体" w:cs="Times New Roman"/>
                <w:highlight w:val="none"/>
                <w:lang w:bidi="ar"/>
              </w:rPr>
              <w:t xml:space="preserve">、使用环境湿度：≤80%</w:t>
            </w:r>
            <w:r>
              <w:rPr>
                <w:rFonts w:ascii="宋体" w:hAnsi="宋体" w:eastAsia="宋体" w:cs="Times New Roman"/>
                <w:highlight w:val="none"/>
                <w:lang w:bidi="ar"/>
              </w:rPr>
            </w:r>
            <w:r/>
          </w:p>
          <w:p>
            <w:pPr>
              <w:pStyle w:val="1236"/>
              <w:rPr>
                <w:rFonts w:ascii="宋体" w:hAnsi="宋体" w:eastAsia="宋体" w:cs="Times New Roman"/>
                <w:highlight w:val="none"/>
                <w:lang w:bidi="ar"/>
              </w:rPr>
            </w:pPr>
            <w:r>
              <w:rPr>
                <w:rFonts w:hint="eastAsia" w:ascii="宋体" w:hAnsi="宋体" w:eastAsia="宋体" w:cs="Times New Roman"/>
                <w:highlight w:val="none"/>
                <w:lang w:bidi="ar"/>
              </w:rPr>
              <w:t xml:space="preserve">动态显示，测量结果自动记忆（提供产品实物图片佐证）</w:t>
            </w:r>
            <w:r>
              <w:rPr>
                <w:rFonts w:ascii="宋体" w:hAnsi="宋体" w:eastAsia="宋体" w:cs="Times New Roman"/>
                <w:highlight w:val="none"/>
                <w:lang w:bidi="ar"/>
              </w:rPr>
            </w:r>
            <w:r/>
          </w:p>
          <w:p>
            <w:pPr>
              <w:pStyle w:val="1236"/>
              <w:rPr>
                <w:rFonts w:hint="eastAsia" w:ascii="宋体" w:hAnsi="宋体" w:eastAsia="宋体" w:cs="宋体"/>
                <w:sz w:val="24"/>
                <w:szCs w:val="24"/>
                <w:highlight w:val="none"/>
              </w:rPr>
            </w:pPr>
            <w:r>
              <w:rPr>
                <w:rFonts w:hint="eastAsia" w:ascii="宋体" w:hAnsi="宋体" w:eastAsia="宋体" w:cs="Times New Roman"/>
                <w:highlight w:val="none"/>
                <w:lang w:bidi="ar"/>
              </w:rPr>
              <w:t xml:space="preserve">标准配置：全自动卡尔费水分测定仪主机1台；全封闭安全滴定池组件 1套；防腐蚀外壳双铂电极 1支；连接液路管全套；试剂瓶盖及干燥管套件（含分子筛、干燥剂等）1套；20ml高精度计量管组件 1套；玻璃注射器，微量注样针及备用消耗品包 1套；</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真空搅拌脱泡机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1、最大搅拌量：2000ml,2*1000g</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2、工作方式：真空/自传/公转/非接触式</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★3、公转速度：200-2500rpm+人工可调,精度</w:t>
            </w: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lang w:bidi="ar"/>
              </w:rPr>
              <w:t xml:space="preserve">rpm(异步电机)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★4、自转速度：无级可调转速,精度</w:t>
            </w: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lang w:bidi="ar"/>
              </w:rPr>
              <w:t xml:space="preserve">rpm(伺服电机)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★5、设定之间：0-300SX5(共5个阶段)，精度1S</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6、连续运转时间：30mins</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★7、密封腔体：一次铸模成型</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8、存储程序：≥</w:t>
            </w:r>
            <w:r>
              <w:rPr>
                <w:rFonts w:hint="eastAsia" w:ascii="宋体" w:hAnsi="宋体" w:eastAsia="宋体" w:cs="宋体"/>
                <w:sz w:val="24"/>
                <w:szCs w:val="24"/>
                <w:highlight w:val="none"/>
                <w:lang w:val="en-US" w:eastAsia="zh-CN" w:bidi="ar"/>
              </w:rPr>
              <w:t xml:space="preserve">10</w:t>
            </w:r>
            <w:r>
              <w:rPr>
                <w:rFonts w:hint="eastAsia" w:ascii="宋体" w:hAnsi="宋体" w:eastAsia="宋体" w:cs="宋体"/>
                <w:sz w:val="24"/>
                <w:szCs w:val="24"/>
                <w:highlight w:val="none"/>
                <w:lang w:bidi="ar"/>
              </w:rPr>
              <w:t xml:space="preserve">组</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9、真空度：低于-100kpa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10、工作环境：10-35℃，35-80%RH</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11、外形尺寸：L≥800mm*W≥770mm*H≥870mm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12、主机重量：≥300KG</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13、真空设置：独立开关/带延时控制功能/可人工设定</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14、自检功能：不平衡超限自动报警提醒</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15、安全保护：故障自动停止/运转自动上锁/开盖停机</w:t>
            </w: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溶出仪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numPr>
                <w:ilvl w:val="0"/>
                <w:numId w:val="7"/>
              </w:numPr>
              <w:widowControl/>
              <w:rPr>
                <w:rFonts w:ascii="宋体" w:hAnsi="宋体" w:eastAsia="宋体" w:cs="Times New Roman"/>
                <w:szCs w:val="21"/>
                <w:highlight w:val="none"/>
                <w:lang w:bidi="ar"/>
              </w:rPr>
            </w:pPr>
            <w:r>
              <w:rPr>
                <w:rFonts w:ascii="宋体" w:hAnsi="宋体" w:eastAsia="宋体" w:cs="Times New Roman"/>
                <w:szCs w:val="21"/>
                <w:highlight w:val="none"/>
                <w:lang w:bidi="ar"/>
              </w:rPr>
              <w:t xml:space="preserve">实现同时或选择间隔时间的方式进行投取样，保证溶出时间的一致和准确，安装8个篮杆或桨杆，可安装8个185mm高度高精度溶出杯</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2、溶出时间和进度实时显示</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3、投样与取样均有动态图及声音提示</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bidi="ar"/>
              </w:rPr>
              <w:t xml:space="preserve">★</w:t>
            </w:r>
            <w:r>
              <w:rPr>
                <w:rFonts w:ascii="宋体" w:hAnsi="宋体" w:eastAsia="宋体" w:cs="Times New Roman"/>
                <w:szCs w:val="21"/>
                <w:highlight w:val="none"/>
                <w:lang w:bidi="ar"/>
              </w:rPr>
              <w:t xml:space="preserve">4、</w:t>
            </w:r>
            <w:r>
              <w:rPr>
                <w:rFonts w:hint="eastAsia" w:ascii="宋体" w:hAnsi="宋体" w:eastAsia="宋体" w:cs="Times New Roman"/>
                <w:szCs w:val="21"/>
                <w:highlight w:val="none"/>
                <w:lang w:bidi="ar"/>
              </w:rPr>
              <w:t xml:space="preserve">摆动幅度≤1.0mm、轴偏差≤3.0mm</w:t>
            </w:r>
            <w:r>
              <w:rPr>
                <w:rFonts w:ascii="宋体" w:hAnsi="宋体" w:eastAsia="宋体" w:cs="Times New Roman"/>
                <w:szCs w:val="21"/>
                <w:highlight w:val="none"/>
                <w:lang w:bidi="ar"/>
              </w:rPr>
            </w:r>
            <w:r/>
          </w:p>
          <w:p>
            <w:pPr>
              <w:pStyle w:val="1173"/>
              <w:numPr>
                <w:ilvl w:val="0"/>
                <w:numId w:val="0"/>
              </w:numPr>
              <w:widowControl/>
              <w:rPr>
                <w:rFonts w:ascii="宋体" w:hAnsi="宋体" w:eastAsia="宋体" w:cs="Times New Roman"/>
                <w:szCs w:val="21"/>
                <w:highlight w:val="none"/>
              </w:rPr>
            </w:pPr>
            <w:r>
              <w:rPr>
                <w:rFonts w:ascii="宋体" w:hAnsi="宋体" w:eastAsia="宋体" w:cs="Times New Roman"/>
                <w:szCs w:val="21"/>
                <w:highlight w:val="none"/>
                <w:lang w:bidi="ar"/>
              </w:rPr>
              <w:t xml:space="preserve">5、定时预热功能，并呈现倒计时显示</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6、超低、超高温报警及二次过热保护功能</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7、可选用小杯法配件进行药典第三法小杯法实验</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bidi="ar"/>
              </w:rPr>
              <w:t xml:space="preserve">★</w:t>
            </w:r>
            <w:r>
              <w:rPr>
                <w:rFonts w:hint="eastAsia" w:ascii="宋体" w:hAnsi="宋体" w:eastAsia="宋体" w:cs="Times New Roman"/>
                <w:szCs w:val="21"/>
                <w:highlight w:val="none"/>
                <w:lang w:val="en-US" w:eastAsia="zh-CN" w:bidi="ar"/>
              </w:rPr>
              <w:t xml:space="preserve">8</w:t>
            </w:r>
            <w:r>
              <w:rPr>
                <w:rFonts w:ascii="宋体" w:hAnsi="宋体" w:eastAsia="宋体" w:cs="Times New Roman"/>
                <w:szCs w:val="21"/>
                <w:highlight w:val="none"/>
                <w:lang w:bidi="ar"/>
              </w:rPr>
              <w:t xml:space="preserve">、转杆与溶出杯轴偏差：测量的最大值与最小值之差均不得超出</w:t>
            </w:r>
            <w:r>
              <w:rPr>
                <w:rFonts w:hint="eastAsia" w:ascii="宋体" w:hAnsi="宋体" w:eastAsia="宋体" w:cs="Times New Roman"/>
                <w:szCs w:val="21"/>
                <w:highlight w:val="none"/>
                <w:lang w:val="en-US" w:eastAsia="zh-CN" w:bidi="ar"/>
              </w:rPr>
              <w:t xml:space="preserve">3</w:t>
            </w:r>
            <w:r>
              <w:rPr>
                <w:rFonts w:ascii="宋体" w:hAnsi="宋体" w:eastAsia="宋体" w:cs="Times New Roman"/>
                <w:szCs w:val="21"/>
                <w:highlight w:val="none"/>
                <w:lang w:bidi="ar"/>
              </w:rPr>
              <w:t xml:space="preserve">.0mm。</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9</w:t>
            </w:r>
            <w:r>
              <w:rPr>
                <w:rFonts w:ascii="宋体" w:hAnsi="宋体" w:eastAsia="宋体" w:cs="Times New Roman"/>
                <w:szCs w:val="21"/>
                <w:highlight w:val="none"/>
                <w:lang w:bidi="ar"/>
              </w:rPr>
              <w:t xml:space="preserve">、调速范围：25－250转/分</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10</w:t>
            </w:r>
            <w:r>
              <w:rPr>
                <w:rFonts w:ascii="宋体" w:hAnsi="宋体" w:eastAsia="宋体" w:cs="Times New Roman"/>
                <w:szCs w:val="21"/>
                <w:highlight w:val="none"/>
                <w:lang w:bidi="ar"/>
              </w:rPr>
              <w:t xml:space="preserve">、转速分辨率：1转/分</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bidi="ar"/>
              </w:rPr>
              <w:t xml:space="preserve">★</w:t>
            </w:r>
            <w:r>
              <w:rPr>
                <w:rFonts w:hint="eastAsia" w:ascii="宋体" w:hAnsi="宋体" w:eastAsia="宋体" w:cs="Times New Roman"/>
                <w:szCs w:val="21"/>
                <w:highlight w:val="none"/>
                <w:lang w:val="en-US" w:eastAsia="zh-CN" w:bidi="ar"/>
              </w:rPr>
              <w:t xml:space="preserve">11</w:t>
            </w:r>
            <w:r>
              <w:rPr>
                <w:rFonts w:ascii="宋体" w:hAnsi="宋体" w:eastAsia="宋体" w:cs="Times New Roman"/>
                <w:szCs w:val="21"/>
                <w:highlight w:val="none"/>
                <w:lang w:bidi="ar"/>
              </w:rPr>
              <w:t xml:space="preserve">、稳速误差：≤±4％</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1</w:t>
            </w:r>
            <w:r>
              <w:rPr>
                <w:rFonts w:hint="eastAsia" w:ascii="宋体" w:hAnsi="宋体" w:eastAsia="宋体" w:cs="Times New Roman"/>
                <w:szCs w:val="21"/>
                <w:highlight w:val="none"/>
                <w:lang w:val="en-US" w:eastAsia="zh-CN" w:bidi="ar"/>
              </w:rPr>
              <w:t xml:space="preserve">2</w:t>
            </w:r>
            <w:r>
              <w:rPr>
                <w:rFonts w:ascii="宋体" w:hAnsi="宋体" w:eastAsia="宋体" w:cs="Times New Roman"/>
                <w:szCs w:val="21"/>
                <w:highlight w:val="none"/>
                <w:lang w:bidi="ar"/>
              </w:rPr>
              <w:t xml:space="preserve">、调温范围：5</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t xml:space="preserve">（室温）－45</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1</w:t>
            </w:r>
            <w:r>
              <w:rPr>
                <w:rFonts w:hint="eastAsia" w:ascii="宋体" w:hAnsi="宋体" w:eastAsia="宋体" w:cs="Times New Roman"/>
                <w:szCs w:val="21"/>
                <w:highlight w:val="none"/>
                <w:lang w:val="en-US" w:eastAsia="zh-CN" w:bidi="ar"/>
              </w:rPr>
              <w:t xml:space="preserve">3</w:t>
            </w:r>
            <w:r>
              <w:rPr>
                <w:rFonts w:ascii="宋体" w:hAnsi="宋体" w:eastAsia="宋体" w:cs="Times New Roman"/>
                <w:szCs w:val="21"/>
                <w:highlight w:val="none"/>
                <w:lang w:bidi="ar"/>
              </w:rPr>
              <w:t xml:space="preserve">、温度分辨率：≤0.1</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1</w:t>
            </w:r>
            <w:r>
              <w:rPr>
                <w:rFonts w:hint="eastAsia" w:ascii="宋体" w:hAnsi="宋体" w:eastAsia="宋体" w:cs="Times New Roman"/>
                <w:szCs w:val="21"/>
                <w:highlight w:val="none"/>
                <w:lang w:val="en-US" w:eastAsia="zh-CN" w:bidi="ar"/>
              </w:rPr>
              <w:t xml:space="preserve">4</w:t>
            </w:r>
            <w:r>
              <w:rPr>
                <w:rFonts w:ascii="宋体" w:hAnsi="宋体" w:eastAsia="宋体" w:cs="Times New Roman"/>
                <w:szCs w:val="21"/>
                <w:highlight w:val="none"/>
                <w:lang w:bidi="ar"/>
              </w:rPr>
              <w:t xml:space="preserve">、控温误差：≤±0.3</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15</w:t>
            </w:r>
            <w:r>
              <w:rPr>
                <w:rFonts w:ascii="宋体" w:hAnsi="宋体" w:eastAsia="宋体" w:cs="Times New Roman"/>
                <w:szCs w:val="21"/>
                <w:highlight w:val="none"/>
                <w:lang w:bidi="ar"/>
              </w:rPr>
              <w:t xml:space="preserve">、数据传输间隔时间：30秒</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16</w:t>
            </w:r>
            <w:r>
              <w:rPr>
                <w:rFonts w:ascii="宋体" w:hAnsi="宋体" w:eastAsia="宋体" w:cs="Times New Roman"/>
                <w:szCs w:val="21"/>
                <w:highlight w:val="none"/>
                <w:lang w:bidi="ar"/>
              </w:rPr>
              <w:t xml:space="preserve">、工作噪声：＜60dB</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17</w:t>
            </w:r>
            <w:r>
              <w:rPr>
                <w:rFonts w:ascii="宋体" w:hAnsi="宋体" w:eastAsia="宋体" w:cs="Times New Roman"/>
                <w:szCs w:val="21"/>
                <w:highlight w:val="none"/>
                <w:lang w:bidi="ar"/>
              </w:rPr>
              <w:t xml:space="preserve">、工作环境：温度5－37</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t xml:space="preserve">，相对湿度≤80％</w:t>
            </w:r>
            <w:r>
              <w:rPr>
                <w:rFonts w:ascii="宋体" w:hAnsi="宋体" w:eastAsia="宋体" w:cs="Times New Roman"/>
                <w:szCs w:val="21"/>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甲醇乙醇测定仪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1、智能横流:光源自动校准，长时间连续工作光源无温漂现象</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2、充电器:12V充电器</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3、显示方式:7英寸液晶触摸屏显示</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4、光源:超高亮发光二极管</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5、打印机:串口5V打印</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6、波长配置:标准412NM</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7、USB接口:USB2.0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8、检测下限:0.02g/100ml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9、检测范围:0.00~0.20g/100ml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10、吸光度值范围:0.000~4.000A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11、重复性:士0.1%(A)</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12、重复性误差:吸光度(A)&lt;0.003</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13、稳定性:光电漂移(A)±0.002(3分钟)</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14、吸光度准确度:士2.0%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15、线性误差:士1.0%</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电热套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1、输入电源：220V</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2、频率：50HZ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3、功率W：250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4、显示方式：电压表</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5、最大可放置烧瓶ml：500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6、温控范围：环境温度-380(°C)</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8、净重：1.6kg</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9、产品尺寸：≥200mm*≥165mm</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烘箱</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1、电源电压：AC220V50HZ</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2、控温范围：RT+10～250℃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3、恒温波动度：±1.0℃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4、温度分辨率：≤0.1℃</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5、温度均匀度：±3%（测试点为100℃）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6、工作环境温度：+5～40℃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7、输入功率：≥2050W</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8、容积：≥136L</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9、内胆尺寸（mm）W×D×H：≥550×≥450×≥550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10、外形尺寸（mm）W×D×H：≥840×≥580×≥730</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11、载物托架（标配）：≥2块</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12、定时范围：0~9999min</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油浴锅</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1、特征：智能型</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2、搅拌容量：≥2000ml（最大）</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3、搅拌速度：0-2600（无极调速）</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4、加热温度：-400℃（室温）</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5、控温方式：智能自动</w:t>
            </w:r>
            <w:r>
              <w:rPr>
                <w:rFonts w:hint="eastAsia" w:ascii="宋体" w:hAnsi="宋体" w:eastAsia="宋体" w:cs="宋体"/>
                <w:sz w:val="24"/>
                <w:szCs w:val="24"/>
                <w:highlight w:val="none"/>
                <w:lang w:bidi="ar"/>
              </w:rPr>
              <w:br w:type="textWrapping" w:clear="all"/>
            </w:r>
            <w:r>
              <w:rPr>
                <w:rFonts w:hint="eastAsia" w:ascii="宋体" w:hAnsi="宋体" w:eastAsia="宋体" w:cs="宋体"/>
                <w:sz w:val="24"/>
                <w:szCs w:val="24"/>
                <w:highlight w:val="none"/>
                <w:lang w:bidi="ar"/>
              </w:rPr>
              <w:t xml:space="preserve">6、工作电压：220V/50Hz</w:t>
            </w:r>
            <w:r>
              <w:rPr>
                <w:rFonts w:hint="eastAsia" w:ascii="宋体" w:hAnsi="宋体" w:eastAsia="宋体" w:cs="宋体"/>
                <w:sz w:val="24"/>
                <w:szCs w:val="24"/>
                <w:highlight w:val="none"/>
                <w:lang w:bidi="ar"/>
              </w:rPr>
            </w:r>
            <w:r/>
          </w:p>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7、整机尺寸：≥250mm*≥235mm*≥250mm</w:t>
            </w:r>
            <w:r>
              <w:rPr>
                <w:rFonts w:hint="eastAsia" w:ascii="宋体" w:hAnsi="宋体" w:eastAsia="宋体" w:cs="宋体"/>
                <w:sz w:val="24"/>
                <w:szCs w:val="24"/>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pH计</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widowControl/>
              <w:rPr>
                <w:rFonts w:ascii="宋体" w:hAnsi="宋体" w:eastAsia="宋体" w:cs="Times New Roman"/>
                <w:szCs w:val="21"/>
                <w:highlight w:val="none"/>
              </w:rPr>
            </w:pPr>
            <w:r>
              <w:rPr>
                <w:rFonts w:ascii="宋体" w:hAnsi="宋体" w:eastAsia="宋体" w:cs="Segoe UI Symbol"/>
                <w:szCs w:val="21"/>
                <w:highlight w:val="none"/>
                <w:lang w:bidi="ar"/>
              </w:rPr>
              <w:t xml:space="preserve">★</w:t>
            </w:r>
            <w:r>
              <w:rPr>
                <w:rFonts w:ascii="宋体" w:hAnsi="宋体" w:eastAsia="宋体" w:cs="Times New Roman"/>
                <w:szCs w:val="21"/>
                <w:highlight w:val="none"/>
                <w:lang w:bidi="ar"/>
              </w:rPr>
              <w:t xml:space="preserve">1、测量范围：pH：-20.00~20.00；mV：-2000~2000V；温度：-5~105</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2、分辨率：pH：0.01pH；mV：1mV；温度：0.1</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ascii="宋体" w:hAnsi="宋体" w:eastAsia="宋体" w:cs="Segoe UI Symbol"/>
                <w:szCs w:val="21"/>
                <w:highlight w:val="none"/>
                <w:lang w:bidi="ar"/>
              </w:rPr>
              <w:t xml:space="preserve">★</w:t>
            </w:r>
            <w:r>
              <w:rPr>
                <w:rFonts w:ascii="宋体" w:hAnsi="宋体" w:eastAsia="宋体" w:cs="Times New Roman"/>
                <w:szCs w:val="21"/>
                <w:highlight w:val="none"/>
                <w:lang w:bidi="ar"/>
              </w:rPr>
              <w:t xml:space="preserve">3、精度：pH：±0.01pH；mV：±1mV；温度：±0.2</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4、4.3英寸LCD显示屏，一键操作实现快速精确测量。</w:t>
            </w:r>
            <w:r>
              <w:rPr>
                <w:rFonts w:ascii="宋体" w:hAnsi="宋体" w:eastAsia="宋体" w:cs="Times New Roman"/>
                <w:szCs w:val="21"/>
                <w:highlight w:val="none"/>
                <w:lang w:bidi="ar"/>
              </w:rPr>
              <w:br w:type="textWrapping" w:clear="all"/>
            </w:r>
            <w:r>
              <w:rPr>
                <w:rFonts w:ascii="宋体" w:hAnsi="宋体" w:eastAsia="宋体" w:cs="Segoe UI Symbol"/>
                <w:szCs w:val="21"/>
                <w:highlight w:val="none"/>
                <w:lang w:bidi="ar"/>
              </w:rPr>
              <w:t xml:space="preserve">★</w:t>
            </w:r>
            <w:r>
              <w:rPr>
                <w:rFonts w:ascii="宋体" w:hAnsi="宋体" w:eastAsia="宋体" w:cs="Times New Roman"/>
                <w:szCs w:val="21"/>
                <w:highlight w:val="none"/>
                <w:lang w:bidi="ar"/>
              </w:rPr>
              <w:t xml:space="preserve">5、线性/分段2种校准模式，具备自动校准、缓冲液识别功能，可进行5点校准，4组预定义缓冲液组；</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6、电极状态可显示，随时提醒电极使用情况并具有自动/手动温度补偿，提高测量的精确度；</w:t>
            </w:r>
            <w:r>
              <w:rPr>
                <w:rFonts w:ascii="宋体" w:hAnsi="宋体" w:eastAsia="宋体" w:cs="Times New Roman"/>
                <w:szCs w:val="21"/>
                <w:highlight w:val="none"/>
                <w:lang w:bidi="ar"/>
              </w:rPr>
              <w:br w:type="textWrapping" w:clear="all"/>
            </w:r>
            <w:r>
              <w:rPr>
                <w:rFonts w:ascii="宋体" w:hAnsi="宋体" w:eastAsia="宋体" w:cs="Times New Roman"/>
                <w:szCs w:val="21"/>
                <w:highlight w:val="none"/>
                <w:lang w:bidi="ar"/>
              </w:rPr>
              <w:t xml:space="preserve">7、储存容量：20000组数据；</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8</w:t>
            </w:r>
            <w:r>
              <w:rPr>
                <w:rFonts w:ascii="宋体" w:hAnsi="宋体" w:eastAsia="宋体" w:cs="Times New Roman"/>
                <w:szCs w:val="21"/>
                <w:highlight w:val="none"/>
                <w:lang w:bidi="ar"/>
              </w:rPr>
              <w:t xml:space="preserve">、通过pH软件许可连接RS232或USB接口轻松传输数据至打印机或电脑</w:t>
            </w:r>
            <w:r>
              <w:rPr>
                <w:rFonts w:ascii="宋体" w:hAnsi="宋体" w:eastAsia="宋体" w:cs="Times New Roman"/>
                <w:szCs w:val="21"/>
                <w:highlight w:val="none"/>
                <w:lang w:bidi="ar"/>
              </w:rPr>
              <w:br w:type="textWrapping" w:clear="all"/>
            </w:r>
            <w:r>
              <w:rPr>
                <w:rFonts w:hint="eastAsia" w:ascii="宋体" w:hAnsi="宋体" w:eastAsia="宋体" w:cs="Times New Roman"/>
                <w:szCs w:val="21"/>
                <w:highlight w:val="none"/>
                <w:lang w:val="en-US" w:eastAsia="zh-CN" w:bidi="ar"/>
              </w:rPr>
              <w:t xml:space="preserve">9</w:t>
            </w:r>
            <w:r>
              <w:rPr>
                <w:rFonts w:ascii="宋体" w:hAnsi="宋体" w:eastAsia="宋体" w:cs="Times New Roman"/>
                <w:szCs w:val="21"/>
                <w:highlight w:val="none"/>
                <w:lang w:bidi="ar"/>
              </w:rPr>
              <w:t xml:space="preserve">、三合一专用电极：pH范围：0-14，温度范围：0-80</w:t>
            </w:r>
            <w:r>
              <w:rPr>
                <w:rFonts w:hint="eastAsia" w:ascii="宋体" w:hAnsi="宋体" w:eastAsia="宋体" w:cs="宋体"/>
                <w:szCs w:val="21"/>
                <w:highlight w:val="none"/>
                <w:lang w:bidi="ar"/>
              </w:rPr>
              <w:t xml:space="preserve">℃</w:t>
            </w:r>
            <w:r>
              <w:rPr>
                <w:rFonts w:ascii="宋体" w:hAnsi="宋体" w:eastAsia="宋体" w:cs="Times New Roman"/>
                <w:szCs w:val="21"/>
                <w:highlight w:val="none"/>
                <w:lang w:bidi="ar"/>
              </w:rPr>
              <w:t xml:space="preserve">，塑壳，BNC/Cinch接口(NTC30kΩ)及1m电缆</w:t>
            </w:r>
            <w:r>
              <w:rPr>
                <w:rFonts w:ascii="宋体" w:hAnsi="宋体" w:eastAsia="宋体" w:cs="Times New Roman"/>
                <w:szCs w:val="21"/>
                <w:highlight w:val="none"/>
              </w:rPr>
            </w:r>
            <w:r/>
          </w:p>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压片机</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1173"/>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pStyle w:val="1173"/>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小型油压机（2吨），7mm压片模具，样品固定环，插板，玛瑙研钵和研杵，50克KBr粉末</w:t>
            </w:r>
            <w:r>
              <w:rPr>
                <w:rFonts w:hint="eastAsia" w:ascii="宋体" w:hAnsi="宋体" w:eastAsia="宋体" w:cs="宋体"/>
                <w:sz w:val="24"/>
                <w:szCs w:val="24"/>
                <w:highlight w:val="none"/>
              </w:rPr>
            </w:r>
            <w:r/>
          </w:p>
        </w:tc>
      </w:tr>
    </w:tbl>
    <w:p>
      <w:pPr>
        <w:pStyle w:val="1236"/>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73"/>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173"/>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173"/>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173"/>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173"/>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173"/>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1173"/>
        <w:numPr>
          <w:ilvl w:val="0"/>
          <w:numId w:val="0"/>
        </w:numPr>
        <w:pageBreakBefore w:val="0"/>
        <w:spacing w:line="360" w:lineRule="auto"/>
        <w:rPr>
          <w:rFonts w:hint="eastAsia" w:ascii="宋体" w:hAnsi="宋体" w:eastAsia="宋体" w:cs="宋体"/>
          <w:b/>
          <w:color w:val="000000"/>
          <w:sz w:val="24"/>
          <w:szCs w:val="24"/>
          <w:highlight w:val="none"/>
          <w:lang w:val="en-US" w:eastAsia="zh-CN" w:bidi="ar-SA"/>
        </w:rPr>
        <w:sectPr>
          <w:footerReference w:type="default" r:id="rId17"/>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b/>
          <w:color w:val="000000"/>
          <w:sz w:val="24"/>
          <w:szCs w:val="24"/>
          <w:highlight w:val="none"/>
          <w:lang w:val="en-US" w:eastAsia="zh-CN" w:bidi="ar-SA"/>
        </w:rPr>
      </w:r>
      <w:r/>
    </w:p>
    <w:p>
      <w:pPr>
        <w:pStyle w:val="1173"/>
        <w:numPr>
          <w:ilvl w:val="0"/>
          <w:numId w:val="0"/>
        </w:numPr>
        <w:ind w:firstLine="482"/>
        <w:pageBreakBefore w:val="0"/>
        <w:spacing w:line="360" w:lineRule="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采购包2，最高限价：49.8万元。</w:t>
      </w:r>
      <w:r>
        <w:rPr>
          <w:rFonts w:hint="eastAsia" w:ascii="宋体" w:hAnsi="宋体" w:eastAsia="宋体" w:cs="宋体"/>
          <w:b/>
          <w:color w:val="000000"/>
          <w:sz w:val="24"/>
          <w:szCs w:val="24"/>
          <w:highlight w:val="none"/>
          <w:lang w:val="en-US" w:eastAsia="zh-CN" w:bidi="ar-SA"/>
        </w:rPr>
      </w:r>
      <w:r/>
    </w:p>
    <w:p>
      <w:pPr>
        <w:pStyle w:val="1236"/>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采购包2</w:t>
      </w:r>
      <w:r>
        <w:rPr>
          <w:rFonts w:hint="eastAsia" w:ascii="宋体" w:hAnsi="宋体" w:eastAsia="宋体" w:cs="宋体"/>
          <w:sz w:val="24"/>
          <w:szCs w:val="24"/>
          <w:highlight w:val="none"/>
        </w:rPr>
        <w:t xml:space="preserve">招标设备清单和技术参数如下</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tbl>
      <w:tblPr>
        <w:tblW w:w="833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80"/>
        <w:gridCol w:w="851"/>
        <w:gridCol w:w="709"/>
        <w:gridCol w:w="567"/>
        <w:gridCol w:w="5625"/>
      </w:tblGrid>
      <w:tr>
        <w:trPr>
          <w:trHeight w:val="51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1173"/>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序号</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73"/>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产品名称</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73"/>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数量</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单位</w:t>
            </w:r>
            <w:r>
              <w:rPr>
                <w:rFonts w:hint="eastAsia" w:ascii="宋体" w:hAnsi="宋体" w:eastAsia="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pStyle w:val="1173"/>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液相色谱仪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1系统控制：</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1.1仪器面板：支持，标配彩色液晶触控屏，GUI操作界面</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1.2工作站：支持，GUI操作界面</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1.3移动终端：支持手机、平板电脑等智能终端，GUI操作界面</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ascii="微软雅黑" w:hAnsi="微软雅黑" w:eastAsia="微软雅黑" w:cs="微软雅黑"/>
                <w:color w:val="000000"/>
                <w:sz w:val="21"/>
                <w:szCs w:val="21"/>
                <w:highlight w:val="none"/>
                <w:shd w:val="clear" w:color="auto" w:fill="ccebff"/>
              </w:rPr>
              <w:t xml:space="preserve">★</w:t>
            </w:r>
            <w:r>
              <w:rPr>
                <w:rFonts w:ascii="微软雅黑" w:hAnsi="微软雅黑" w:eastAsia="微软雅黑" w:cs="微软雅黑"/>
                <w:color w:val="000000"/>
                <w:sz w:val="21"/>
                <w:szCs w:val="21"/>
                <w:highlight w:val="none"/>
                <w:shd w:val="clear" w:color="auto" w:fill="ccebff"/>
                <w:lang w:val="en-US" w:eastAsia="zh-CN"/>
              </w:rPr>
              <w:t xml:space="preserve">1.4</w:t>
            </w:r>
            <w:r>
              <w:rPr>
                <w:rFonts w:ascii="微软雅黑" w:hAnsi="微软雅黑" w:eastAsia="微软雅黑" w:cs="微软雅黑"/>
                <w:i w:val="0"/>
                <w:iCs w:val="0"/>
                <w:caps w:val="0"/>
                <w:color w:val="000000"/>
                <w:spacing w:val="0"/>
                <w:sz w:val="21"/>
                <w:szCs w:val="21"/>
                <w:highlight w:val="none"/>
                <w:shd w:val="clear" w:color="auto" w:fill="ccebff"/>
              </w:rPr>
              <w:t xml:space="preserve">系统控制与扩展能力：系统应具备集成控制能力，能通过单一工作站软件统一控制并实时监控所有系统模块（包括输液泵、自动进样器、柱温箱、检测器等）。系统硬件架构应支持灵活扩展，可同时连接的物理模块数量不少于4个（例如：可实现双泵、自动进样器、柱温箱及双检测器的同时连接与控制），并确保多模块同步运行时的数据通讯稳定与时序精确。</w:t>
            </w:r>
            <w:r>
              <w:rPr>
                <w:rFonts w:hint="eastAsia" w:ascii="宋体" w:hAnsi="宋体" w:eastAsia="宋体" w:cs="宋体"/>
                <w:sz w:val="24"/>
                <w:szCs w:val="24"/>
                <w:highlight w:val="none"/>
              </w:rPr>
            </w:r>
            <w:r/>
          </w:p>
          <w:p>
            <w:pPr>
              <w:pStyle w:val="1173"/>
              <w:rPr>
                <w:rFonts w:ascii="微软雅黑" w:hAnsi="微软雅黑" w:eastAsia="微软雅黑" w:cs="微软雅黑"/>
                <w:i w:val="0"/>
                <w:iCs w:val="0"/>
                <w:caps w:val="0"/>
                <w:color w:val="000000"/>
                <w:spacing w:val="0"/>
                <w:sz w:val="21"/>
                <w:szCs w:val="21"/>
                <w:highlight w:val="none"/>
                <w:shd w:val="clear" w:color="auto" w:fill="ccebff"/>
              </w:rPr>
            </w:pPr>
            <w:r>
              <w:rPr>
                <w:rFonts w:ascii="微软雅黑" w:hAnsi="微软雅黑" w:eastAsia="微软雅黑" w:cs="微软雅黑"/>
                <w:color w:val="000000"/>
                <w:sz w:val="21"/>
                <w:szCs w:val="21"/>
                <w:highlight w:val="none"/>
                <w:shd w:val="clear" w:color="auto" w:fill="ccebff"/>
              </w:rPr>
              <w:t xml:space="preserve">★1.5</w:t>
            </w:r>
            <w:r>
              <w:rPr>
                <w:rFonts w:ascii="微软雅黑" w:hAnsi="微软雅黑" w:eastAsia="微软雅黑" w:cs="微软雅黑"/>
                <w:i w:val="0"/>
                <w:iCs w:val="0"/>
                <w:caps w:val="0"/>
                <w:color w:val="000000"/>
                <w:spacing w:val="0"/>
                <w:sz w:val="21"/>
                <w:szCs w:val="21"/>
                <w:highlight w:val="none"/>
                <w:shd w:val="clear" w:color="auto" w:fill="ccebff"/>
              </w:rPr>
              <w:t xml:space="preserve"> 信号输入与系统集成能力：为满足未来功能拓展与外部设备联用需求（如连接额外的检测器、馏分收集器、或作为其他仪器的前端等），系统主机应提供不少于2路独立的模拟信号输入接口（或具备同等扩展能力的数字通讯接口），用于接收和处理外部信号。</w:t>
            </w:r>
            <w:r>
              <w:rPr>
                <w:rFonts w:ascii="微软雅黑" w:hAnsi="微软雅黑" w:eastAsia="微软雅黑" w:cs="微软雅黑"/>
                <w:i w:val="0"/>
                <w:iCs w:val="0"/>
                <w:caps w:val="0"/>
                <w:color w:val="000000"/>
                <w:spacing w:val="0"/>
                <w:sz w:val="21"/>
                <w:szCs w:val="21"/>
                <w:highlight w:val="none"/>
                <w:shd w:val="clear" w:color="auto" w:fill="ccebff"/>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输液泵</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★2.1脱气单元：不少于5路，包含4路流动相和1路清洗液 </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2.2泵类型：并联双柱塞</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★2.3泵腔体积：&lt; 10uL，减小压力脉动且减小延迟体积</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2.4脉动：&lt; 0.15MPa（1.0mL/min，10MPa，水）</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★2.5流速范围：0.0001～10 mL/min</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2.6流速重现性：&lt;0.065%RSD 或 &lt;0.02minSD，其中较大值</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2.7梯度：4元梯度</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2.8梯度范围：0～100%（0.1% 步进）</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2.9梯度程序：20步</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2.10梯度准确度：±0.55%（0.1～2mL/min，1～20MPa，指定条件）</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2.11梯度重现性：±0.13%（1mL/min，10MPa，指定条件）</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2.12最大耐压：不小于49MPa</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2.13标配物理双泵头以便于维护</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2.14无需阻尼器即可实现系统压力稳定：减小延迟体积</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自动进样器</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3.1进样方式：全量进样（无样品损失）</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3.2最大耐压：不小于49MPa</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3.3进样准确度：±1.5%（50uL，N=6）</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3.4进样体积：0.1～100uL（可选：0.1～50uL、1～500uL、1～2,000uL）</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3.5进样精度：RSD &lt;0.20% （5.0-2000uL）</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RSD &lt;0.25% （2.0-4.9uL）</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RSD &lt;0.5%  （1.0-1.9uL）</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RSD &lt;1.0%  （0.5-0.9uL）</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3.6交叉污染: ≦ 0.0025% (典型值)</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★3.7进样周期：最小14sec（5uL）</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★3.8样品数量： 不小于210位（1.5mL）</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3.9进样线性：&gt;0.9995（1～100uL，指定条件）</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3.10标配前处理功能：支持样品转移，添加，稀释</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柱温箱</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4.1标配制冷和加热功能：</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★4.2采用强制空气循环式，使得色谱柱加热更均匀</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4.3容量：可放置5根色谱和梯度混合器、柱切换阀等</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4.4控温范围：室温-10～85℃</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紫外检测器</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★5.1波长范围：190～650nm</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5.2噪音：±2.8×10-6AU（250nm，响应 2sec，空池）</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5.3漂移：100×10-6AU/h（250nm）</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5.4双波长检测：支持</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5.5比例色谱：支持</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 标配双重温度控制功能，即光学系统的温度和流通池的温度均可主动设定和控制，从而保证了基线的稳定，有效避免室温波动对灵敏度的影响，获得高度精确的数据。</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扩展性</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.1可灵活扩展同品牌示差折光、同品牌蒸发光散射等检测器</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.2可升级为双流路系统</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.3可拓展选配有机物检测专用耗材及方法包，实现有机物特异性选择、富集及检测，消除背景干扰，特异性选择富集能力50倍以上。</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、色谱工作站</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 GUI操作界面，方便友好，易于使用，工作站基于windows系统，数据传输基于主流的网络协议，确保数据真实可靠，符合cGMP标准。</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.2可以使用同一厂家工作站控制所有可扩展部件（包括输液泵、检测器等），进行数据采集和分析处理；</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、配置要求：</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.1物理双泵头四元梯度泵一套</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.2五路在线脱气单元一套</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.3专用混合器一套</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.4紫外检测器一套</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.5柱温箱一套（同时具备制冷和加热功能）</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.6自动进样器一套</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.7专用附件包一套</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.8原厂控制软件一套</w:t>
            </w:r>
            <w:r>
              <w:rPr>
                <w:rFonts w:hint="eastAsia" w:ascii="宋体" w:hAnsi="宋体" w:eastAsia="宋体" w:cs="宋体"/>
                <w:sz w:val="24"/>
                <w:szCs w:val="24"/>
                <w:highlight w:val="none"/>
              </w:rPr>
            </w:r>
            <w:r/>
          </w:p>
          <w:p>
            <w:pPr>
              <w:pStyle w:val="1236"/>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.9低压梯度单元一套</w:t>
            </w:r>
            <w:r>
              <w:rPr>
                <w:rFonts w:hint="eastAsia" w:ascii="宋体" w:hAnsi="宋体" w:eastAsia="宋体" w:cs="宋体"/>
                <w:sz w:val="24"/>
                <w:szCs w:val="24"/>
                <w:highlight w:val="none"/>
              </w:rPr>
            </w:r>
            <w:r/>
          </w:p>
          <w:p>
            <w:pPr>
              <w:pStyle w:val="1236"/>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.10适配工作站一套</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红外光谱仪</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173"/>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套</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分辨率：不低于0.25cm</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。用户可根据测试需要，</w:t>
            </w:r>
            <w:r>
              <w:rPr>
                <w:rFonts w:hint="eastAsia" w:ascii="宋体" w:hAnsi="宋体" w:eastAsia="宋体" w:cs="宋体"/>
                <w:sz w:val="24"/>
                <w:szCs w:val="24"/>
                <w:highlight w:val="none"/>
                <w:lang w:val="en-US" w:eastAsia="zh-CN"/>
              </w:rPr>
              <w:t xml:space="preserve">在</w:t>
            </w:r>
            <w:r>
              <w:rPr>
                <w:rFonts w:hint="eastAsia" w:ascii="宋体" w:hAnsi="宋体" w:eastAsia="宋体" w:cs="宋体"/>
                <w:sz w:val="24"/>
                <w:szCs w:val="24"/>
                <w:highlight w:val="none"/>
              </w:rPr>
              <w:t xml:space="preserve">0.25cm</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16cm</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lang w:val="en-US" w:eastAsia="zh-CN"/>
              </w:rPr>
              <w:t xml:space="preserve">之间对</w:t>
            </w:r>
            <w:r>
              <w:rPr>
                <w:rFonts w:hint="eastAsia" w:ascii="宋体" w:hAnsi="宋体" w:eastAsia="宋体" w:cs="宋体"/>
                <w:sz w:val="24"/>
                <w:szCs w:val="24"/>
                <w:highlight w:val="none"/>
              </w:rPr>
              <w:t xml:space="preserve">光谱分辨率</w:t>
            </w:r>
            <w:r>
              <w:rPr>
                <w:rFonts w:hint="eastAsia" w:ascii="宋体" w:hAnsi="宋体" w:eastAsia="宋体" w:cs="宋体"/>
                <w:sz w:val="24"/>
                <w:szCs w:val="24"/>
                <w:highlight w:val="none"/>
              </w:rPr>
              <w:t xml:space="preserve">自由设置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信噪比：不低于55000:1（4cm-1光谱分辨率，1分钟扫描，峰-峰值，KBr窗片，无需吹扫）</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等效峰-峰值噪声≤7.89×10-6Abs（4cm-1光谱分辨率，1分钟扫描，峰-峰值，KBr窗片，无需吹扫）</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光谱范围：7800~350cm-1</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波数重复性精度：±0.0025cm-1</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光源：高强度长寿命SiN陶瓷光源</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30°角入射迈克尔逊干涉仪，能量利用率高</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 线性导轨动镜驱动机构，可实现高精度大载荷的直线往复运动</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 高级动态准直功能，可以在开机自检和实际光谱扫描过程中实现自动准直和实时准直</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 分束器：中红外镀锗双面防潮镀层KBr分束器</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激光器：高单色性高稳定He-Ne激光器，波长和功率长期稳定。</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检测器：半导体控温型高灵敏度DLATGS检测器，标配内置电子温度调节装置以保证良好的稳定性</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13．检测器封装采用永久防潮的KRS-5光学窗片，确保不会因受潮导致检测器损坏</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可升级到双检测器，仪器内部可同时安装两个检测器，软件选择，自动切换</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可升级高速扫描功能，实现每秒钟20张完整光谱（7800~350cm-1）的高速扫描</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样品室光学窗片采用新型的特氟龙镀层KBr光学窗片，既保证长期可靠的防潮性能，也同时保证相对高的光通量。</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仪器有外在明显的湿度指示灯（硬件）和湿度指示剂实时监控湿度，并在软件中有湿度实时指示</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软件功能模块：包括光谱扫描、光度测定、定量（单组份/多组分同时定量）、时间程序测定、再解析、简单宏程序、IR Pilot向导式软件模块等</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 自动分析助手：包括药典报告程序（定性鉴别）；异物分析程序（混合物分析，自动解析可能的主成分和次要成分，无需提前提供组分种数）；食品添加剂鉴别程序；纯度判定程序（相似度计算）</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 IR Pilot向导式软件模块：提供23个标准应用的工作流，只需简单选择分析目的和所用附件，不用设置任何参数，即可实现一键测量</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定量模块：可以用峰高、峰面积、峰比率等建立多点标准曲线定量；计算得到的浓度可以自动应用到用户自定义的方程中；可自动进行合格与否的判定；可进行CLS多变量统计分析建模；可升级PLS多变量统计分析建模</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光度测定模块：可直接自动读取指定峰位的峰高、峰面积、峰比率数值；读取值可以自动应用到用户自定义的方程中；可自动进行合格与否的判定</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光谱检索功能：可基于光谱检索，也可基于峰检索、文本检索或组合检索；用户可自建库（支持中文路径）；可使用用户自建谱库，也可使用Sadtler谱库、S.T. Japan等第三方商品谱库</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软件配备11200张以上的标准谱库，有正版授权的USB加密锁。包括溶剂、药品、食品添加剂、农业化学品、污染物、聚合物、有机化合物、无机物等多种标准谱库，其中聚合物谱图不少于1800张</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 可升级时间程序测定模块：可以按照设定的时间间隔连续扫描光谱，并按照用户指定的峰高、峰面积、峰比率、浓度等生成时间序列数据</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 </w:t>
            </w:r>
            <w:r>
              <w:rPr>
                <w:rFonts w:hint="eastAsia" w:ascii="宋体" w:hAnsi="宋体" w:eastAsia="宋体" w:cs="宋体"/>
                <w:i w:val="0"/>
                <w:iCs w:val="0"/>
                <w:caps w:val="0"/>
                <w:color w:val="000000"/>
                <w:spacing w:val="0"/>
                <w:sz w:val="24"/>
                <w:szCs w:val="24"/>
                <w:highlight w:val="none"/>
                <w:shd w:val="clear" w:color="auto" w:fill="auto"/>
              </w:rPr>
              <w:t xml:space="preserve">数据格式兼容性：可以直接打开至少三家主流红外光谱仪厂家标准格式的原始光谱数据文件；可以导入导出通用光谱格式JCAMP（*.dx，*.jdx）文件，以及纯文本格式ASCII（*.txt，*.asc）文件，以方便打开其他程序得到的光谱原始数据或在第三方软件上直接导入使用</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27．软件支持附件自动识别和参数自动优化功能</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★28.为方便未来拓展兼容多种红外附件，样品室尺寸不小于200(W)×225(D)×170(H) mm</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 可联用红外显微镜实现小至10μm的微小样品和微区的显微红外分析，软件控制自动切换光路，并可拓展选配印迹测试附件</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 可联用热分析仪（TGA或STA），实现TG-IR实时在线联用分析（热红联用）</w:t>
            </w:r>
            <w:r>
              <w:rPr>
                <w:rFonts w:hint="eastAsia" w:ascii="宋体" w:hAnsi="宋体" w:eastAsia="宋体" w:cs="宋体"/>
                <w:sz w:val="24"/>
                <w:szCs w:val="24"/>
                <w:highlight w:val="none"/>
              </w:rPr>
            </w:r>
            <w:r/>
          </w:p>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可以使用EDX-FTIR联用分析软件进行EDXRF（能量色散X射线荧光光谱仪）光谱和FTIR光谱数据的综合联用分析，即用同一个软件可对FTIR数据和EDXRF数据进行直接联用综合分析并给出分析结果</w:t>
            </w:r>
            <w:r>
              <w:rPr>
                <w:rFonts w:hint="eastAsia" w:ascii="宋体" w:hAnsi="宋体" w:eastAsia="宋体" w:cs="宋体"/>
                <w:sz w:val="24"/>
                <w:szCs w:val="24"/>
                <w:highlight w:val="none"/>
              </w:rPr>
            </w:r>
            <w:r/>
          </w:p>
          <w:p>
            <w:pPr>
              <w:pStyle w:val="118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w:t>
            </w:r>
            <w:r>
              <w:rPr>
                <w:rFonts w:hint="eastAsia" w:ascii="宋体" w:hAnsi="宋体" w:eastAsia="宋体" w:cs="宋体"/>
                <w:sz w:val="24"/>
                <w:szCs w:val="24"/>
                <w:highlight w:val="none"/>
              </w:rPr>
              <w:t xml:space="preserve">适配工作站一套</w:t>
            </w:r>
            <w:r>
              <w:rPr>
                <w:rFonts w:hint="eastAsia" w:ascii="宋体" w:hAnsi="宋体" w:eastAsia="宋体" w:cs="宋体"/>
                <w:sz w:val="24"/>
                <w:szCs w:val="24"/>
                <w:highlight w:val="none"/>
              </w:rPr>
            </w:r>
            <w:r/>
          </w:p>
        </w:tc>
      </w:tr>
    </w:tbl>
    <w:p>
      <w:pPr>
        <w:pStyle w:val="117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18"/>
        <w:numPr>
          <w:ilvl w:val="0"/>
          <w:numId w:val="0"/>
        </w:numPr>
        <w:ind w:right="238" w:firstLine="482"/>
        <w:jc w:val="both"/>
        <w:keepLines/>
        <w:keepNext/>
        <w:pageBreakBefore w:val="0"/>
        <w:spacing w:line="36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r>
      <w:r/>
    </w:p>
    <w:p>
      <w:pPr>
        <w:pStyle w:val="1176"/>
        <w:pageBreakBefore w:val="0"/>
        <w:spacing w:before="0" w:after="0"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采购需求</w:t>
      </w:r>
      <w:r>
        <w:rPr>
          <w:rFonts w:hint="eastAsia" w:ascii="宋体" w:hAnsi="宋体" w:eastAsia="宋体" w:cs="宋体"/>
          <w:bCs/>
          <w:sz w:val="24"/>
          <w:szCs w:val="24"/>
          <w:highlight w:val="none"/>
        </w:rPr>
        <w:t xml:space="preserve">相关</w:t>
      </w:r>
      <w:r>
        <w:rPr>
          <w:rFonts w:hint="eastAsia" w:ascii="宋体" w:hAnsi="宋体" w:eastAsia="宋体" w:cs="宋体"/>
          <w:bCs/>
          <w:sz w:val="24"/>
          <w:szCs w:val="24"/>
          <w:highlight w:val="none"/>
          <w:lang w:val="en-US" w:eastAsia="zh-CN"/>
        </w:rPr>
        <w:t xml:space="preserve">要求</w:t>
      </w:r>
      <w:r>
        <w:rPr>
          <w:rFonts w:hint="eastAsia" w:ascii="宋体" w:hAnsi="宋体" w:eastAsia="宋体" w:cs="宋体"/>
          <w:bCs/>
          <w:sz w:val="24"/>
          <w:szCs w:val="24"/>
          <w:highlight w:val="none"/>
          <w:lang w:val="en-US" w:eastAsia="zh-CN"/>
        </w:rPr>
      </w:r>
      <w:r/>
    </w:p>
    <w:p>
      <w:pPr>
        <w:pStyle w:val="1179"/>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1.供应商交货时必须同时提供操作、使用、说明、注意事项教学光盘（或U盘），涉及进口部件时，须提供报关单等进口证明材料。</w:t>
      </w:r>
      <w:r>
        <w:rPr>
          <w:rFonts w:hint="eastAsia" w:ascii="宋体" w:hAnsi="宋体" w:eastAsia="宋体" w:cs="宋体"/>
          <w:sz w:val="24"/>
          <w:szCs w:val="24"/>
          <w:highlight w:val="none"/>
        </w:rPr>
      </w:r>
      <w:r/>
    </w:p>
    <w:p>
      <w:pPr>
        <w:pStyle w:val="1179"/>
        <w:pageBreakBefore w:val="0"/>
        <w:spacing w:line="360" w:lineRule="auto"/>
        <w:rPr>
          <w:rFonts w:hint="eastAsia" w:ascii="宋体" w:hAnsi="宋体" w:eastAsia="宋体" w:cs="宋体"/>
          <w:b w:val="0"/>
          <w:sz w:val="24"/>
          <w:szCs w:val="24"/>
          <w:highlight w:val="none"/>
        </w:rPr>
      </w:pPr>
      <w:r>
        <w:rPr>
          <w:rFonts w:hint="eastAsia" w:ascii="宋体" w:hAnsi="宋体" w:eastAsia="宋体" w:cs="宋体"/>
          <w:sz w:val="24"/>
          <w:szCs w:val="24"/>
          <w:highlight w:val="none"/>
        </w:rPr>
        <w:t xml:space="preserve">2.供应商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供应商应对由于设计、工艺、材料和配套件缺陷所产生的任何不足或故障负责（如因装备质量缺陷等问题导致</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在使用过程中发生伤亡的，由供应商负责一切后果，并承担法律责任）。</w:t>
      </w:r>
      <w:r>
        <w:rPr>
          <w:rFonts w:hint="eastAsia" w:ascii="宋体" w:hAnsi="宋体" w:eastAsia="宋体" w:cs="宋体"/>
          <w:b w:val="0"/>
          <w:sz w:val="24"/>
          <w:szCs w:val="24"/>
          <w:highlight w:val="none"/>
        </w:rPr>
      </w:r>
      <w:r/>
    </w:p>
    <w:p>
      <w:pPr>
        <w:pStyle w:val="1173"/>
        <w:ind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3.供应商要充分考虑知识产权问题，由于采购人在其本国使用成交供应商设备或设备任何一部分时而引起第三方提出的侵犯专利权、商标权或工业设计权的起诉、行政程序索赔等由成交供应商承担，以及采购人为此而产生的损失和损害、费用和支出（包括律师费）均由成交供应商承担。</w:t>
      </w:r>
      <w:r>
        <w:rPr>
          <w:rFonts w:hint="eastAsia" w:ascii="宋体" w:hAnsi="宋体" w:eastAsia="宋体" w:cs="宋体"/>
          <w:b/>
          <w:sz w:val="24"/>
          <w:szCs w:val="24"/>
          <w:highlight w:val="none"/>
          <w:lang w:val="en-US" w:eastAsia="zh-CN" w:bidi="ar-SA"/>
        </w:rPr>
      </w:r>
      <w:r/>
    </w:p>
    <w:p>
      <w:pPr>
        <w:pStyle w:val="1173"/>
        <w:jc w:val="left"/>
        <w:keepLines w:val="0"/>
        <w:keepNext w:val="0"/>
        <w:pageBreakBefore w:val="0"/>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三、供货及质保期限</w:t>
      </w:r>
      <w:r>
        <w:rPr>
          <w:rFonts w:hint="eastAsia" w:ascii="宋体" w:hAnsi="宋体" w:eastAsia="宋体" w:cs="宋体"/>
          <w:b/>
          <w:sz w:val="24"/>
          <w:szCs w:val="24"/>
          <w:highlight w:val="none"/>
          <w:lang w:val="en-US" w:eastAsia="zh-CN" w:bidi="ar-SA"/>
        </w:rPr>
      </w:r>
      <w:r/>
    </w:p>
    <w:p>
      <w:pPr>
        <w:pStyle w:val="1173"/>
        <w:ind w:firstLine="47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采购人发出进场通知后60天内完成交货，90天内完成安装、调试。因供货方自身原因引起的交付期拖延，每拖延一天扣罚设备总款项的1‰。</w:t>
      </w:r>
      <w:r>
        <w:rPr>
          <w:rFonts w:hint="eastAsia" w:ascii="宋体" w:hAnsi="宋体" w:eastAsia="宋体" w:cs="宋体"/>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交货</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由采购人指定。</w:t>
      </w:r>
      <w:r>
        <w:rPr>
          <w:rFonts w:hint="eastAsia" w:ascii="宋体" w:hAnsi="宋体" w:eastAsia="宋体" w:cs="宋体"/>
          <w:color w:val="000000"/>
          <w:sz w:val="24"/>
          <w:szCs w:val="24"/>
          <w:highlight w:val="none"/>
        </w:rPr>
      </w:r>
      <w:r/>
    </w:p>
    <w:p>
      <w:pPr>
        <w:pStyle w:val="1217"/>
        <w:ind w:firstLine="422"/>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质保期</w:t>
      </w:r>
      <w:r>
        <w:rPr>
          <w:rFonts w:hint="eastAsia" w:ascii="宋体" w:hAnsi="宋体" w:eastAsia="宋体" w:cs="宋体"/>
          <w:sz w:val="24"/>
          <w:szCs w:val="24"/>
          <w:highlight w:val="none"/>
        </w:rPr>
        <w:t xml:space="preserve">：免费质保期要求：1年（自验收合格之日起开始计算）；</w:t>
      </w:r>
      <w:r>
        <w:rPr>
          <w:rFonts w:hint="eastAsia" w:ascii="宋体" w:hAnsi="宋体" w:eastAsia="宋体" w:cs="宋体"/>
          <w:sz w:val="24"/>
          <w:szCs w:val="24"/>
          <w:highlight w:val="none"/>
        </w:rPr>
      </w:r>
      <w:r/>
    </w:p>
    <w:p>
      <w:pPr>
        <w:pStyle w:val="1182"/>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、质量与验收</w:t>
      </w:r>
      <w:r>
        <w:rPr>
          <w:rFonts w:hint="eastAsia" w:ascii="宋体" w:hAnsi="宋体" w:eastAsia="宋体" w:cs="宋体"/>
          <w:b/>
          <w:sz w:val="24"/>
          <w:szCs w:val="24"/>
          <w:highlight w:val="none"/>
        </w:rPr>
      </w:r>
      <w:r/>
    </w:p>
    <w:p>
      <w:pPr>
        <w:pStyle w:val="1173"/>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1.成交供应商应按照本采购文件及采购合同的有关规定提供合格产品；</w:t>
      </w:r>
      <w:r>
        <w:rPr>
          <w:rFonts w:hint="eastAsia" w:ascii="宋体" w:hAnsi="宋体" w:eastAsia="宋体" w:cs="宋体"/>
          <w:sz w:val="24"/>
          <w:szCs w:val="24"/>
          <w:highlight w:val="none"/>
        </w:rPr>
      </w:r>
      <w:r/>
    </w:p>
    <w:p>
      <w:pPr>
        <w:pStyle w:val="1217"/>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货物的验收包括：数量、外观、质量、性能、随机备件备品、装箱单、随机资料及包装；所有设备和附（配）件应符合其规定的性能，无瑕疵和缺陷，质量为合格产品，同时有明确的生产制造厂商。成交供应商对质量问题负责包修、包换和包退，因此发生的费用由成交供应商自行承担；</w:t>
      </w:r>
      <w:r>
        <w:rPr>
          <w:rFonts w:hint="eastAsia" w:ascii="宋体" w:hAnsi="宋体" w:eastAsia="宋体" w:cs="宋体"/>
          <w:sz w:val="24"/>
          <w:szCs w:val="24"/>
          <w:highlight w:val="none"/>
        </w:rPr>
      </w:r>
      <w:r/>
    </w:p>
    <w:p>
      <w:pPr>
        <w:pStyle w:val="1217"/>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3.成交供应商应提前通知采购人设备送达指定地点的时间，采购人根据相关约定进行验收；</w:t>
      </w:r>
      <w:r>
        <w:rPr>
          <w:rFonts w:hint="eastAsia" w:ascii="宋体" w:hAnsi="宋体" w:eastAsia="宋体" w:cs="宋体"/>
          <w:sz w:val="24"/>
          <w:szCs w:val="24"/>
          <w:highlight w:val="none"/>
        </w:rPr>
      </w:r>
      <w:r/>
    </w:p>
    <w:p>
      <w:pPr>
        <w:pStyle w:val="1217"/>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4.验收标准：依据合同、协议、</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、投标文件、承诺及约定的相关标准。</w:t>
      </w:r>
      <w:r>
        <w:rPr>
          <w:rFonts w:hint="eastAsia" w:ascii="宋体" w:hAnsi="宋体" w:eastAsia="宋体" w:cs="宋体"/>
          <w:sz w:val="24"/>
          <w:szCs w:val="24"/>
          <w:highlight w:val="none"/>
        </w:rPr>
      </w:r>
      <w:r/>
    </w:p>
    <w:p>
      <w:pPr>
        <w:pStyle w:val="1217"/>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5.发生故障时，成交供应商应及时响应采购人需求。</w:t>
      </w:r>
      <w:r>
        <w:rPr>
          <w:rFonts w:hint="eastAsia" w:ascii="宋体" w:hAnsi="宋体" w:eastAsia="宋体" w:cs="宋体"/>
          <w:sz w:val="24"/>
          <w:szCs w:val="24"/>
          <w:highlight w:val="none"/>
        </w:rPr>
      </w:r>
      <w:r/>
    </w:p>
    <w:p>
      <w:pPr>
        <w:pStyle w:val="1173"/>
        <w:jc w:val="left"/>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、付款条件</w:t>
      </w:r>
      <w:r>
        <w:rPr>
          <w:rFonts w:hint="eastAsia" w:ascii="宋体" w:hAnsi="宋体" w:eastAsia="宋体" w:cs="宋体"/>
          <w:b/>
          <w:color w:val="000000"/>
          <w:sz w:val="24"/>
          <w:szCs w:val="24"/>
          <w:highlight w:val="none"/>
          <w:lang w:eastAsia="zh-CN"/>
        </w:rPr>
      </w:r>
      <w:r/>
    </w:p>
    <w:p>
      <w:pPr>
        <w:pStyle w:val="1173"/>
        <w:numPr>
          <w:ilvl w:val="0"/>
          <w:numId w:val="0"/>
        </w:numPr>
        <w:ind w:firstLine="480"/>
        <w:pageBreakBefore w:val="0"/>
        <w:spacing w:line="360" w:lineRule="auto"/>
        <w:rPr>
          <w:rFonts w:hint="eastAsia" w:ascii="宋体" w:hAnsi="宋体" w:eastAsia="宋体" w:cs="宋体"/>
          <w:sz w:val="24"/>
          <w:szCs w:val="24"/>
          <w:highlight w:val="none"/>
          <w:lang w:val="en-US" w:eastAsia="zh-CN"/>
        </w:rPr>
      </w:pPr>
      <w:r/>
      <w:bookmarkEnd w:id="88"/>
      <w:r/>
      <w:bookmarkEnd w:id="89"/>
      <w:r/>
      <w:bookmarkStart w:id="101" w:name="_Toc86268903"/>
      <w:r/>
      <w:bookmarkStart w:id="102" w:name="_Toc61149622"/>
      <w:r/>
      <w:bookmarkStart w:id="103" w:name="_Toc23828480"/>
      <w:r/>
      <w:bookmarkStart w:id="104" w:name="_Toc26554097"/>
      <w:r>
        <w:rPr>
          <w:rFonts w:hint="eastAsia" w:ascii="宋体" w:hAnsi="宋体" w:eastAsia="宋体" w:cs="宋体"/>
          <w:sz w:val="24"/>
          <w:szCs w:val="24"/>
          <w:highlight w:val="none"/>
          <w:lang w:val="en-US" w:eastAsia="zh-CN"/>
        </w:rPr>
        <w:t xml:space="preserve">合同签订生效一周内预付合同金额的30%，项目完成经验收合格付至合同价的100%。</w:t>
      </w:r>
      <w:r>
        <w:rPr>
          <w:rFonts w:hint="eastAsia" w:ascii="宋体" w:hAnsi="宋体" w:eastAsia="宋体" w:cs="宋体"/>
          <w:sz w:val="24"/>
          <w:szCs w:val="24"/>
          <w:highlight w:val="none"/>
          <w:lang w:val="en-US" w:eastAsia="zh-CN"/>
        </w:rPr>
      </w:r>
      <w:r/>
    </w:p>
    <w:p>
      <w:pPr>
        <w:pStyle w:val="1173"/>
        <w:numPr>
          <w:ilvl w:val="0"/>
          <w:numId w:val="0"/>
        </w:numP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六、售</w:t>
      </w:r>
      <w:r>
        <w:rPr>
          <w:rFonts w:hint="eastAsia" w:ascii="宋体" w:hAnsi="宋体" w:eastAsia="宋体" w:cs="宋体"/>
          <w:b/>
          <w:sz w:val="24"/>
          <w:szCs w:val="24"/>
          <w:highlight w:val="none"/>
        </w:rPr>
        <w:t xml:space="preserve">后服务</w:t>
      </w:r>
      <w:r>
        <w:rPr>
          <w:rFonts w:hint="eastAsia" w:ascii="宋体" w:hAnsi="宋体" w:eastAsia="宋体" w:cs="宋体"/>
          <w:b/>
          <w:sz w:val="24"/>
          <w:szCs w:val="24"/>
          <w:highlight w:val="none"/>
          <w:lang w:val="en-US" w:eastAsia="zh-CN"/>
        </w:rPr>
        <w:t xml:space="preserve">要求</w:t>
      </w:r>
      <w:r>
        <w:rPr>
          <w:rFonts w:hint="eastAsia" w:ascii="宋体" w:hAnsi="宋体" w:eastAsia="宋体" w:cs="宋体"/>
          <w:b/>
          <w:sz w:val="24"/>
          <w:szCs w:val="24"/>
          <w:highlight w:val="none"/>
        </w:rPr>
      </w:r>
      <w:r/>
    </w:p>
    <w:p>
      <w:pPr>
        <w:pStyle w:val="1173"/>
        <w:numPr>
          <w:ilvl w:val="0"/>
          <w:numId w:val="0"/>
        </w:num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成交供应商应提供客户服务和现场服务。除驻场服务外，应具备灵活多样的通讯手段，提供7×24小时响应服务。实时解决常见问题。</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（1）故障响应。成交供应商在接到系统故障报修要求时，半小时内做出明确响应和维护安排，在2小时内为建设单位提供维护服务，并做出故障诊断报告，4小时内恢复正常。</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（2）热线服务。成交供应商应提供热线电话、E-mail、传真、网站等途径，随时接受建设单位提出的各种技术和使用问题，不能即时解决的问题要在1小时内提出解决方案。</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应具备相关的售后服务体系，承诺服务期内提供完善、及时、无推诿的应用软件等项目实施范围内的服务保障。</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项目服务期满后，供应商必须承诺在法定工作时间内，可以提供技术指导和咨询；供应商要长期建立完善的技术支持和售后服务管理体系和服务队伍，为配合用户使用提供全方位的技术支持工作。</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color w:val="000000"/>
          <w:sz w:val="24"/>
          <w:szCs w:val="24"/>
          <w:highlight w:val="none"/>
        </w:rPr>
        <w:t xml:space="preserve">以上提到的所有采购需求及技术服务为本建设项目的基本需求。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应根据自身</w:t>
      </w:r>
      <w:r>
        <w:rPr>
          <w:rFonts w:hint="eastAsia" w:ascii="宋体" w:hAnsi="宋体" w:eastAsia="宋体" w:cs="宋体"/>
          <w:color w:val="000000"/>
          <w:sz w:val="24"/>
          <w:szCs w:val="24"/>
          <w:highlight w:val="none"/>
          <w:lang w:val="en-US" w:eastAsia="zh-CN"/>
        </w:rPr>
        <w:t xml:space="preserve">经验及专业视角对以上内容进行合理的增补，保证建设内容能够满足项目目标要求。</w:t>
      </w:r>
      <w:r>
        <w:rPr>
          <w:rFonts w:hint="eastAsia" w:ascii="宋体" w:hAnsi="宋体" w:eastAsia="宋体" w:cs="宋体"/>
          <w:b/>
          <w:sz w:val="24"/>
          <w:szCs w:val="24"/>
          <w:highlight w:val="none"/>
          <w:lang w:val="en-US" w:eastAsia="zh-CN"/>
        </w:rPr>
      </w:r>
      <w:r/>
    </w:p>
    <w:p>
      <w:pPr>
        <w:pStyle w:val="1173"/>
        <w:numPr>
          <w:ilvl w:val="0"/>
          <w:numId w:val="0"/>
        </w:numPr>
        <w:pageBreakBefore w:val="0"/>
        <w:spacing w:line="360" w:lineRule="auto"/>
        <w:rPr>
          <w:rFonts w:ascii="宋体" w:hAnsi="宋体" w:eastAsia="宋体" w:cs="宋体"/>
          <w:b/>
          <w:sz w:val="24"/>
          <w:szCs w:val="24"/>
          <w:highlight w:val="none"/>
          <w:lang w:val="en-US" w:eastAsia="zh-CN"/>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b/>
          <w:sz w:val="24"/>
          <w:szCs w:val="24"/>
          <w:highlight w:val="none"/>
          <w:lang w:val="en-US" w:eastAsia="zh-CN"/>
        </w:rPr>
        <w:t xml:space="preserve">七、供应商若非投标产品原厂家的，成交后签订合同前须提供该产品原厂家（或驻中国办事机构）出具的有效的经销授权书。</w:t>
      </w:r>
      <w:r>
        <w:rPr>
          <w:rFonts w:ascii="宋体" w:hAnsi="宋体" w:eastAsia="宋体" w:cs="宋体"/>
          <w:b/>
          <w:sz w:val="24"/>
          <w:szCs w:val="24"/>
          <w:highlight w:val="none"/>
          <w:lang w:val="en-US" w:eastAsia="zh-CN"/>
        </w:rPr>
      </w:r>
      <w:r/>
    </w:p>
    <w:p>
      <w:pPr>
        <w:pStyle w:val="1174"/>
        <w:numPr>
          <w:ilvl w:val="0"/>
          <w:numId w:val="8"/>
        </w:numPr>
        <w:ind w:firstLine="482"/>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评审方法和评审标准</w:t>
      </w:r>
      <w:bookmarkEnd w:id="101"/>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一、磋商模式</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不见面远程磋商模式：开标当天各供应商在各自地点通过苏采云系统及时登录不见面开标大厅，参加磋商活动。</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二、磋商组织及磋商小组职责</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1.本次竞争性磋商依据《中华人民共和国政府采购法》《政府采购竞争性磋商采购方式管理暂行办法》及有关法规成立磋商小组。磋商小组由采购人代表和评审专家共</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人及以上单数组成。</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2.磋商小组的职责：</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（2）磋商文件内容违反国家有关强制性规定的，磋商小组应当停止评审并向采购人或者采购代理机构说明情况。</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（3）磋商小组成员应当遵守评审工作纪律，不得泄露评审情况和评审中获悉的商业秘密</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对个人的评审意见承担法律责任。</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（4）磋商小组成员在评审过程中发现供应商有行贿、提供虚假材料或者串通等违法行为的，应当及时向财政部门报告。</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（5）磋商小组成员在评审过程中受到非法干涉的，应当及时向财政、监察等部门举报。</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（6）配合采购单位答复供应商提出的质疑；配合财政部门的投诉处理和监督检查工作。</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3.评审有关记录由磋商小组成员签名，存档备查。</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三、评审步骤</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第一阶段：</w:t>
      </w:r>
      <w:r>
        <w:rPr>
          <w:rFonts w:hint="eastAsia" w:ascii="宋体" w:hAnsi="宋体" w:eastAsia="宋体" w:cs="宋体"/>
          <w:color w:val="000000"/>
          <w:sz w:val="24"/>
          <w:szCs w:val="24"/>
          <w:highlight w:val="none"/>
        </w:rPr>
        <w:t xml:space="preserve">采购人代表</w:t>
      </w:r>
      <w:r>
        <w:rPr>
          <w:rFonts w:hint="eastAsia" w:ascii="宋体" w:hAnsi="宋体" w:eastAsia="宋体" w:cs="宋体"/>
          <w:color w:val="000000"/>
          <w:sz w:val="24"/>
          <w:szCs w:val="24"/>
          <w:highlight w:val="none"/>
          <w:lang w:val="zh-CN"/>
        </w:rPr>
        <w:t xml:space="preserve">对每个供应商的资格进行审查。</w:t>
      </w:r>
      <w:r>
        <w:rPr>
          <w:rFonts w:hint="eastAsia" w:ascii="宋体" w:hAnsi="宋体" w:eastAsia="宋体" w:cs="宋体"/>
          <w:color w:val="000000"/>
          <w:sz w:val="24"/>
          <w:szCs w:val="24"/>
          <w:highlight w:val="none"/>
        </w:rPr>
        <w:t xml:space="preserve">供应商资格不合格的，其响应文件判定为无效响应文件。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第二阶段：</w:t>
      </w:r>
      <w:r>
        <w:rPr>
          <w:rFonts w:hint="eastAsia" w:ascii="宋体" w:hAnsi="宋体" w:eastAsia="宋体" w:cs="宋体"/>
          <w:color w:val="000000"/>
          <w:sz w:val="24"/>
          <w:szCs w:val="24"/>
          <w:highlight w:val="none"/>
        </w:rPr>
        <w:t xml:space="preserve">依据磋商文件的规定，由磋商小组</w:t>
      </w:r>
      <w:r>
        <w:rPr>
          <w:rFonts w:hint="eastAsia" w:ascii="宋体" w:hAnsi="宋体" w:eastAsia="宋体" w:cs="宋体"/>
          <w:color w:val="000000"/>
          <w:sz w:val="24"/>
          <w:szCs w:val="24"/>
          <w:highlight w:val="none"/>
          <w:lang w:val="zh-CN"/>
        </w:rPr>
        <w:t xml:space="preserve">对每个符合资格要求的供应商</w:t>
      </w:r>
      <w:r>
        <w:rPr>
          <w:rFonts w:hint="eastAsia" w:ascii="宋体" w:hAnsi="宋体" w:eastAsia="宋体" w:cs="宋体"/>
          <w:color w:val="000000"/>
          <w:sz w:val="24"/>
          <w:szCs w:val="24"/>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第三阶段：</w:t>
      </w:r>
      <w:r>
        <w:rPr>
          <w:rFonts w:hint="eastAsia" w:ascii="宋体" w:hAnsi="宋体" w:eastAsia="宋体" w:cs="宋体"/>
          <w:color w:val="000000"/>
          <w:sz w:val="24"/>
          <w:szCs w:val="24"/>
          <w:highlight w:val="none"/>
        </w:rPr>
        <w:t xml:space="preserve">磋商小组与通过符合性审查的供应商单一分别进行磋商。单一分别磋商结束后，系统进入商务技术响应文件评审。</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第</w:t>
      </w: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val="zh-CN"/>
        </w:rPr>
        <w:t xml:space="preserve">阶段：</w:t>
      </w:r>
      <w:r>
        <w:rPr>
          <w:rFonts w:hint="eastAsia" w:ascii="宋体" w:hAnsi="宋体" w:eastAsia="宋体" w:cs="宋体"/>
          <w:color w:val="000000"/>
          <w:sz w:val="24"/>
          <w:szCs w:val="24"/>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四、磋商程序</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w:t>
      </w:r>
      <w:r>
        <w:rPr>
          <w:rFonts w:hint="eastAsia" w:ascii="宋体" w:hAnsi="宋体" w:eastAsia="宋体" w:cs="宋体"/>
          <w:b/>
          <w:bCs/>
          <w:color w:val="000000"/>
          <w:sz w:val="24"/>
          <w:szCs w:val="24"/>
          <w:highlight w:val="none"/>
        </w:rPr>
        <w:t xml:space="preserve">采购需求中的技术、服务要求以及合同草案条款</w:t>
      </w:r>
      <w:r>
        <w:rPr>
          <w:rFonts w:hint="eastAsia" w:ascii="宋体" w:hAnsi="宋体" w:eastAsia="宋体" w:cs="宋体"/>
          <w:color w:val="000000"/>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eastAsia="宋体" w:cs="宋体"/>
          <w:b/>
          <w:bCs/>
          <w:color w:val="000000"/>
          <w:sz w:val="24"/>
          <w:szCs w:val="24"/>
          <w:highlight w:val="none"/>
          <w:lang w:eastAsia="zh-CN"/>
        </w:rPr>
        <w:t xml:space="preserve">15分钟</w:t>
      </w:r>
      <w:r>
        <w:rPr>
          <w:rFonts w:hint="eastAsia" w:ascii="宋体" w:hAnsi="宋体" w:eastAsia="宋体" w:cs="宋体"/>
          <w:b/>
          <w:bCs/>
          <w:color w:val="000000"/>
          <w:sz w:val="24"/>
          <w:szCs w:val="24"/>
          <w:highlight w:val="none"/>
        </w:rPr>
        <w:t xml:space="preserve">内</w:t>
      </w:r>
      <w:r>
        <w:rPr>
          <w:rFonts w:hint="eastAsia" w:ascii="宋体" w:hAnsi="宋体" w:eastAsia="宋体" w:cs="宋体"/>
          <w:color w:val="000000"/>
          <w:sz w:val="24"/>
          <w:szCs w:val="24"/>
          <w:highlight w:val="none"/>
        </w:rPr>
        <w:t xml:space="preserve">提交最后报价。</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4.除非在磋商中磋商小组对采购需求中的技术、服务要求以及合同草案条款做了实质性变更，</w:t>
      </w:r>
      <w:r>
        <w:rPr>
          <w:rFonts w:hint="eastAsia" w:ascii="宋体" w:hAnsi="宋体" w:eastAsia="宋体" w:cs="宋体"/>
          <w:b/>
          <w:bCs/>
          <w:color w:val="000000"/>
          <w:sz w:val="24"/>
          <w:szCs w:val="24"/>
          <w:highlight w:val="none"/>
        </w:rPr>
        <w:t xml:space="preserve">否则采购单位不接受供应商高于自己前一轮的磋商报价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5.在磋商中，磋商的任何一方不得透露与磋商有关的其他响应磋商的供应商的技术资料、价格及其他信息。</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五、磋商评定结果的方法</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u w:val="single"/>
        </w:rPr>
        <w:t xml:space="preserve">经磋商确定最终采购需求和提交最后报价的供应商后，</w:t>
      </w:r>
      <w:r>
        <w:rPr>
          <w:rFonts w:hint="eastAsia" w:ascii="宋体" w:hAnsi="宋体" w:eastAsia="宋体" w:cs="宋体"/>
          <w:color w:val="000000"/>
          <w:sz w:val="24"/>
          <w:szCs w:val="24"/>
          <w:highlight w:val="none"/>
        </w:rPr>
        <w:t xml:space="preserve">由磋商小组采用综合评分法</w:t>
      </w:r>
      <w:r>
        <w:rPr>
          <w:rFonts w:hint="eastAsia" w:ascii="宋体" w:hAnsi="宋体" w:eastAsia="宋体" w:cs="宋体"/>
          <w:b/>
          <w:color w:val="000000"/>
          <w:sz w:val="24"/>
          <w:szCs w:val="24"/>
          <w:highlight w:val="none"/>
          <w:u w:val="single"/>
        </w:rPr>
        <w:t xml:space="preserve">对提交最后报价的供应商的响应文件和最后报价</w:t>
      </w:r>
      <w:r>
        <w:rPr>
          <w:rFonts w:hint="eastAsia" w:ascii="宋体" w:hAnsi="宋体" w:eastAsia="宋体" w:cs="宋体"/>
          <w:color w:val="000000"/>
          <w:sz w:val="24"/>
          <w:szCs w:val="24"/>
          <w:highlight w:val="none"/>
        </w:rPr>
        <w:t xml:space="preserve">进行综合评分。综合评分法，是指响应文件满足磋商文件全部实质性要求且按评审因素的量化指标评审得分最高的供应商为成交候选供应商的评审方法。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2.评审时，磋商小组各成员应当独立对每个有效响应的文件进行评价、打分，然后汇总每个供应商每项评分因素的得分（计算结果均四舍五入保留两位小数）。</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3.本次项目磋商的商务技术和报价评审总分值为100分。 </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4.商务技术分按算术平均值计算，分值四舍五入保留两位小数。</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5.报价分统一采用低价优先法计算直接取得，与商务技术分相加为供应商的综合得分（四舍五入保留两位小数）。</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6.综合得分最高的供应商推荐为项目预成交人并出具评审磋商报告。</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7.确定成交候选人的特殊情况处理： </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（1）若总分相同，则按最终报价响应得分高者优先</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（2）若总分且最终报价响应得分相同，则采取现场抽签的方式确定（供应商的抽签顺序分别为各供应商递交响应文件签到顺序号）。</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8.磋商评审时，评委对评审的细则若有争议，由磋商小组集体讨论确定，并对未尽情况有最终解释权。</w:t>
      </w:r>
      <w:r>
        <w:rPr>
          <w:rFonts w:hint="eastAsia" w:ascii="宋体" w:hAnsi="宋体" w:eastAsia="宋体" w:cs="宋体"/>
          <w:color w:val="000000"/>
          <w:sz w:val="24"/>
          <w:szCs w:val="24"/>
          <w:highlight w:val="none"/>
        </w:rPr>
      </w:r>
      <w:r/>
    </w:p>
    <w:p>
      <w:pPr>
        <w:pStyle w:val="1173"/>
        <w:ind w:firstLine="0"/>
        <w:jc w:val="center"/>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采购包一</w:t>
      </w:r>
      <w:r>
        <w:rPr>
          <w:rFonts w:hint="eastAsia" w:ascii="宋体" w:hAnsi="宋体" w:eastAsia="宋体" w:cs="宋体"/>
          <w:b/>
          <w:color w:val="000000"/>
          <w:sz w:val="24"/>
          <w:szCs w:val="24"/>
          <w:highlight w:val="none"/>
        </w:rPr>
        <w:t xml:space="preserve"> 评审标准</w:t>
      </w:r>
      <w:r>
        <w:rPr>
          <w:rFonts w:hint="eastAsia" w:ascii="宋体" w:hAnsi="宋体" w:eastAsia="宋体" w:cs="宋体"/>
          <w:sz w:val="24"/>
          <w:szCs w:val="24"/>
          <w:highlight w:val="none"/>
          <w:lang w:val="en-US" w:eastAsia="zh-CN" w:bidi="ar-SA"/>
        </w:rPr>
      </w:r>
      <w:r/>
    </w:p>
    <w:tbl>
      <w:tblPr>
        <w:tblW w:w="4916" w:type="pct"/>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7466"/>
        <w:gridCol w:w="863"/>
      </w:tblGrid>
      <w:tr>
        <w:trPr/>
        <w:tc>
          <w:tcPr>
            <w:tcW w:w="508"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评分点</w:t>
            </w:r>
            <w:r>
              <w:rPr>
                <w:rFonts w:hint="eastAsia" w:ascii="宋体" w:hAnsi="宋体" w:eastAsia="宋体" w:cs="宋体"/>
                <w:sz w:val="24"/>
                <w:szCs w:val="24"/>
                <w:highlight w:val="none"/>
              </w:rPr>
            </w:r>
            <w:r/>
          </w:p>
        </w:tc>
        <w:tc>
          <w:tcPr>
            <w:tcW w:w="4025" w:type="dxa"/>
            <w:vAlign w:val="center"/>
            <w:textDirection w:val="lrTb"/>
            <w:noWrap w:val="false"/>
          </w:tcPr>
          <w:p>
            <w:pPr>
              <w:pStyle w:val="1173"/>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rPr>
                <w:rFonts w:hint="eastAsia" w:ascii="宋体" w:hAnsi="宋体" w:eastAsia="宋体" w:cs="宋体"/>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rPr>
                <w:rFonts w:hint="eastAsia" w:ascii="宋体" w:hAnsi="宋体" w:eastAsia="宋体" w:cs="宋体"/>
                <w:sz w:val="24"/>
                <w:szCs w:val="24"/>
                <w:highlight w:val="none"/>
              </w:rPr>
            </w:r>
            <w:r/>
          </w:p>
        </w:tc>
      </w:tr>
      <w:tr>
        <w:trPr/>
        <w:tc>
          <w:tcPr>
            <w:tcW w:w="508"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rPr>
                <w:rFonts w:hint="eastAsia" w:ascii="宋体" w:hAnsi="宋体" w:eastAsia="宋体" w:cs="宋体"/>
                <w:sz w:val="24"/>
                <w:szCs w:val="24"/>
                <w:highlight w:val="none"/>
              </w:rPr>
            </w:r>
            <w:r/>
          </w:p>
        </w:tc>
        <w:tc>
          <w:tcPr>
            <w:tcW w:w="4025" w:type="dxa"/>
            <w:vAlign w:val="center"/>
            <w:textDirection w:val="lrTb"/>
            <w:noWrap w:val="false"/>
          </w:tcPr>
          <w:p>
            <w:pPr>
              <w:pStyle w:val="1173"/>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要求且最低投标价格为评标基准价，其价格分为满分</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1173"/>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其他投标供应商的价格分统一按照下列公式计算：</w:t>
            </w:r>
            <w:r>
              <w:rPr>
                <w:rFonts w:hint="eastAsia" w:ascii="宋体" w:hAnsi="宋体" w:eastAsia="宋体" w:cs="宋体"/>
                <w:sz w:val="24"/>
                <w:szCs w:val="24"/>
                <w:highlight w:val="none"/>
              </w:rPr>
            </w:r>
            <w:r/>
          </w:p>
          <w:p>
            <w:pPr>
              <w:pStyle w:val="1173"/>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w:t>
            </w:r>
            <w:r>
              <w:rPr>
                <w:rFonts w:hint="eastAsia" w:ascii="宋体" w:hAnsi="宋体" w:eastAsia="宋体" w:cs="宋体"/>
                <w:sz w:val="24"/>
                <w:szCs w:val="24"/>
                <w:highlight w:val="none"/>
                <w:u w:val="single"/>
                <w:lang w:val="en-US" w:eastAsia="zh-CN"/>
              </w:rPr>
              <w:t xml:space="preserve">50</w: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p>
            <w:pPr>
              <w:pStyle w:val="1173"/>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(投标价得分以四舍五入方法</w:t>
            </w:r>
            <w:r>
              <w:rPr>
                <w:rFonts w:hint="eastAsia" w:ascii="宋体" w:hAnsi="宋体" w:eastAsia="宋体" w:cs="宋体"/>
                <w:sz w:val="24"/>
                <w:szCs w:val="24"/>
                <w:highlight w:val="none"/>
                <w:lang w:val="en-US" w:eastAsia="zh-CN"/>
              </w:rPr>
              <w:t xml:space="preserve">计算</w:t>
            </w:r>
            <w:r>
              <w:rPr>
                <w:rFonts w:hint="eastAsia" w:ascii="宋体" w:hAnsi="宋体" w:eastAsia="宋体" w:cs="宋体"/>
                <w:sz w:val="24"/>
                <w:szCs w:val="24"/>
                <w:highlight w:val="none"/>
              </w:rPr>
              <w:t xml:space="preserve">到小数点后两位)</w:t>
            </w:r>
            <w:r>
              <w:rPr>
                <w:rFonts w:hint="eastAsia" w:ascii="宋体" w:hAnsi="宋体" w:eastAsia="宋体" w:cs="宋体"/>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r>
        <w:trPr>
          <w:trHeight w:val="567"/>
        </w:trPr>
        <w:tc>
          <w:tcPr>
            <w:tcW w:w="508"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技术分</w:t>
            </w:r>
            <w:r>
              <w:rPr>
                <w:rFonts w:hint="eastAsia" w:ascii="宋体" w:hAnsi="宋体" w:eastAsia="宋体" w:cs="宋体"/>
                <w:sz w:val="24"/>
                <w:szCs w:val="24"/>
                <w:highlight w:val="none"/>
              </w:rPr>
            </w:r>
            <w:r/>
          </w:p>
        </w:tc>
        <w:tc>
          <w:tcPr>
            <w:tcW w:w="4025" w:type="dxa"/>
            <w:vAlign w:val="center"/>
            <w:textDirection w:val="lrTb"/>
            <w:noWrap w:val="false"/>
          </w:tcPr>
          <w:p>
            <w:pPr>
              <w:pStyle w:val="1173"/>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技术指标响应性（</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分）：完全响应</w:t>
            </w:r>
            <w:r>
              <w:rPr>
                <w:rFonts w:hint="eastAsia" w:ascii="宋体" w:hAnsi="宋体" w:eastAsia="宋体" w:cs="宋体"/>
                <w:sz w:val="24"/>
                <w:szCs w:val="24"/>
                <w:highlight w:val="none"/>
                <w:lang w:eastAsia="zh-CN"/>
              </w:rPr>
              <w:t xml:space="preserve">采购文件</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分。技术指标“</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”为重要指标每有一项负偏离扣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楷体" w:hAnsi="楷体"/>
                <w:sz w:val="24"/>
                <w:szCs w:val="24"/>
                <w:highlight w:val="none"/>
              </w:rPr>
              <w:t xml:space="preserve">其他指标每有一项负偏离扣</w:t>
            </w:r>
            <w:r>
              <w:rPr>
                <w:rFonts w:hint="eastAsia" w:ascii="楷体" w:hAnsi="楷体"/>
                <w:sz w:val="24"/>
                <w:szCs w:val="24"/>
                <w:highlight w:val="none"/>
                <w:lang w:val="en-US" w:eastAsia="zh-CN"/>
              </w:rPr>
              <w:t xml:space="preserve">0.2</w:t>
            </w:r>
            <w:r>
              <w:rPr>
                <w:rFonts w:hint="eastAsia" w:ascii="楷体" w:hAnsi="楷体"/>
                <w:sz w:val="24"/>
                <w:szCs w:val="24"/>
                <w:highlight w:val="none"/>
              </w:rPr>
              <w:t xml:space="preserve">分，</w:t>
            </w:r>
            <w:r>
              <w:rPr>
                <w:rFonts w:hint="eastAsia" w:ascii="宋体" w:hAnsi="宋体" w:eastAsia="宋体" w:cs="宋体"/>
                <w:sz w:val="24"/>
                <w:szCs w:val="24"/>
                <w:highlight w:val="none"/>
              </w:rPr>
              <w:t xml:space="preserve">扣完为止（缺项</w:t>
            </w:r>
            <w:r>
              <w:rPr>
                <w:rFonts w:hint="eastAsia" w:ascii="宋体" w:hAnsi="宋体" w:eastAsia="宋体" w:cs="宋体"/>
                <w:sz w:val="24"/>
                <w:szCs w:val="24"/>
                <w:highlight w:val="none"/>
                <w:lang w:val="en-US" w:eastAsia="zh-CN"/>
              </w:rPr>
              <w:t xml:space="preserve">和</w:t>
            </w:r>
            <w:r>
              <w:rPr>
                <w:rFonts w:hint="eastAsia" w:ascii="宋体" w:hAnsi="宋体" w:eastAsia="宋体" w:cs="宋体"/>
                <w:sz w:val="24"/>
                <w:szCs w:val="24"/>
                <w:highlight w:val="none"/>
              </w:rPr>
              <w:t xml:space="preserve">漏项视为负偏离）。技术参数须提供相关证明材料,应在《技术参数响应及偏离表》后附相关证明材料</w:t>
            </w:r>
            <w:r>
              <w:rPr>
                <w:rFonts w:hint="eastAsia" w:ascii="宋体" w:hAnsi="宋体" w:cs="宋体"/>
                <w:sz w:val="24"/>
                <w:szCs w:val="24"/>
                <w:highlight w:val="none"/>
              </w:rPr>
              <w:t xml:space="preserve">（</w:t>
            </w:r>
            <w:r>
              <w:rPr>
                <w:rFonts w:hint="eastAsia" w:ascii="楷体" w:hAnsi="楷体"/>
                <w:sz w:val="24"/>
                <w:szCs w:val="24"/>
                <w:highlight w:val="none"/>
              </w:rPr>
              <w:t xml:space="preserve">技术参数</w:t>
            </w:r>
            <w:r>
              <w:rPr>
                <w:rFonts w:hint="eastAsia" w:ascii="宋体" w:hAnsi="宋体" w:cs="宋体"/>
                <w:sz w:val="24"/>
                <w:szCs w:val="24"/>
                <w:highlight w:val="none"/>
              </w:rPr>
              <w:t xml:space="preserve">指标须</w:t>
            </w:r>
            <w:r>
              <w:rPr>
                <w:rFonts w:hint="eastAsia" w:ascii="宋体" w:hAnsi="宋体" w:cs="宋体"/>
                <w:sz w:val="24"/>
                <w:szCs w:val="24"/>
                <w:highlight w:val="none"/>
                <w:lang w:val="en-US" w:eastAsia="zh-CN"/>
              </w:rPr>
              <w:t xml:space="preserve">提供含有生产制</w:t>
            </w:r>
            <w:r>
              <w:rPr>
                <w:rFonts w:hint="eastAsia" w:ascii="宋体" w:hAnsi="宋体" w:cs="宋体"/>
                <w:sz w:val="24"/>
                <w:szCs w:val="24"/>
                <w:highlight w:val="none"/>
              </w:rPr>
              <w:t xml:space="preserve">造厂家</w:t>
            </w:r>
            <w:r>
              <w:rPr>
                <w:rFonts w:hint="eastAsia" w:ascii="宋体" w:hAnsi="宋体" w:cs="宋体"/>
                <w:sz w:val="24"/>
                <w:szCs w:val="24"/>
                <w:highlight w:val="none"/>
                <w:lang w:val="en-US" w:eastAsia="zh-CN"/>
              </w:rPr>
              <w:t xml:space="preserve">公章的书面报告</w:t>
            </w:r>
            <w:r>
              <w:rPr>
                <w:rFonts w:hint="eastAsia" w:ascii="宋体" w:hAnsi="宋体" w:cs="宋体"/>
                <w:sz w:val="24"/>
                <w:szCs w:val="24"/>
                <w:highlight w:val="none"/>
              </w:rPr>
              <w:t xml:space="preserve">或技术性能说明</w:t>
            </w:r>
            <w:r>
              <w:rPr>
                <w:rFonts w:hint="eastAsia" w:ascii="宋体" w:hAnsi="宋体" w:cs="宋体"/>
                <w:sz w:val="24"/>
                <w:szCs w:val="24"/>
                <w:highlight w:val="none"/>
                <w:lang w:val="en-US" w:eastAsia="zh-CN"/>
              </w:rPr>
              <w:t xml:space="preserve">的复印件</w:t>
            </w:r>
            <w:r>
              <w:rPr>
                <w:rFonts w:hint="eastAsia" w:ascii="宋体" w:hAnsi="宋体" w:cs="宋体"/>
                <w:sz w:val="24"/>
                <w:szCs w:val="24"/>
                <w:highlight w:val="none"/>
              </w:rPr>
              <w:t xml:space="preserve">，不能提供不得分）</w:t>
            </w:r>
            <w:r>
              <w:rPr>
                <w:rFonts w:hint="eastAsia" w:ascii="宋体" w:hAnsi="宋体" w:eastAsia="宋体" w:cs="宋体"/>
                <w:sz w:val="24"/>
                <w:szCs w:val="24"/>
                <w:highlight w:val="none"/>
              </w:rPr>
              <w:t xml:space="preserve">，并注明页码。如技术参数中要求提供相关证明材料的而投标人未提供相关证明材料或相关证明材料不全或无法辨认的视为负偏离。若发现有提供虚假的证明材料或虚假应答技术偏离表的或投标人中标后所供货物技术参数达不到投标时承诺的技术参数，采购人有权拒绝接收其货物并向采购人所在地财政部门汇报，由此造成一切损失由中标人自行承担，并追究相关责任。</w:t>
            </w:r>
            <w:r>
              <w:rPr>
                <w:rFonts w:hint="eastAsia" w:ascii="宋体" w:hAnsi="宋体" w:eastAsia="宋体" w:cs="宋体"/>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r>
        <w:trPr>
          <w:trHeight w:val="567"/>
        </w:trPr>
        <w:tc>
          <w:tcPr>
            <w:tcW w:w="508"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项目实施方案分</w:t>
            </w:r>
            <w:r>
              <w:rPr>
                <w:rFonts w:hint="eastAsia" w:ascii="宋体" w:hAnsi="宋体" w:eastAsia="宋体" w:cs="宋体"/>
                <w:sz w:val="24"/>
                <w:szCs w:val="24"/>
                <w:highlight w:val="none"/>
              </w:rPr>
            </w:r>
            <w:r/>
          </w:p>
        </w:tc>
        <w:tc>
          <w:tcPr>
            <w:tcW w:w="402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根据各供应商提供的实施服务方案（包括但不限于供货方案、安装调试方案、组织实施方案、人员配备情况、验收方案等内容）进行评审。</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①科学、严密、合理，描述详细且具有针对性的得5分；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②较合理、严密、描述较为详细，不存在实施难度的得4分；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③基本合理、描述一般、存在可操作性的3分；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④有不合理项、描述略欠缺、存在一定的实施难度的得2分；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⑤有明显不合理项、描述欠缺、存在实施难度的得1分；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⑥未提供不得分。</w:t>
            </w:r>
            <w:r>
              <w:rPr>
                <w:rFonts w:hint="eastAsia" w:ascii="宋体" w:hAnsi="宋体" w:eastAsia="宋体" w:cs="宋体"/>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rPr>
                <w:rFonts w:hint="eastAsia" w:ascii="宋体" w:hAnsi="宋体" w:eastAsia="宋体" w:cs="宋体"/>
                <w:sz w:val="24"/>
                <w:szCs w:val="24"/>
                <w:highlight w:val="none"/>
              </w:rPr>
            </w:r>
            <w:r/>
          </w:p>
        </w:tc>
      </w:tr>
      <w:tr>
        <w:trPr>
          <w:trHeight w:val="567"/>
        </w:trPr>
        <w:tc>
          <w:tcPr>
            <w:tcW w:w="508"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售后服务方案分</w:t>
            </w:r>
            <w:r>
              <w:rPr>
                <w:rFonts w:hint="eastAsia" w:ascii="宋体" w:hAnsi="宋体" w:eastAsia="宋体" w:cs="宋体"/>
                <w:sz w:val="24"/>
                <w:szCs w:val="24"/>
                <w:highlight w:val="none"/>
              </w:rPr>
            </w:r>
            <w:r/>
          </w:p>
        </w:tc>
        <w:tc>
          <w:tcPr>
            <w:tcW w:w="402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根据售后服务方案（包括但不限于售后服务制度、内容、维护响应计划、服务网点、服务人员等内容）进行评审。</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①科学、严密、合理，描述详细、具有针对性且提供本地化服务、快速响应的得5分；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②科学、严密、合理，描述详细且具有针对性的得4分；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③较合理、严密、描述较为详细，不存在实施难度的得3分；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④基本合理、描述一般、存在可操作性的2分；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⑤有不合理项、描述略欠缺、存在一定的实施难度的得1分；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⑥未提供不得分。</w:t>
            </w:r>
            <w:r>
              <w:rPr>
                <w:rFonts w:hint="eastAsia" w:ascii="宋体" w:hAnsi="宋体" w:eastAsia="宋体" w:cs="宋体"/>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rPr>
                <w:rFonts w:hint="eastAsia" w:ascii="宋体" w:hAnsi="宋体" w:eastAsia="宋体" w:cs="宋体"/>
                <w:sz w:val="24"/>
                <w:szCs w:val="24"/>
                <w:highlight w:val="none"/>
              </w:rPr>
            </w:r>
            <w:r/>
          </w:p>
        </w:tc>
      </w:tr>
      <w:tr>
        <w:trPr>
          <w:trHeight w:val="567"/>
        </w:trPr>
        <w:tc>
          <w:tcPr>
            <w:tcW w:w="508"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仿宋" w:hAnsi="仿宋" w:eastAsia="仿宋" w:cs="仿宋"/>
                <w:b/>
                <w:sz w:val="24"/>
                <w:highlight w:val="none"/>
                <w:lang w:val="en-US" w:eastAsia="zh-CN"/>
              </w:rPr>
              <w:t xml:space="preserve">质保期后维修服务承诺</w:t>
            </w:r>
            <w:r>
              <w:rPr>
                <w:rFonts w:hint="eastAsia" w:ascii="宋体" w:hAnsi="宋体" w:eastAsia="宋体" w:cs="宋体"/>
                <w:sz w:val="24"/>
                <w:szCs w:val="24"/>
                <w:highlight w:val="none"/>
              </w:rPr>
            </w:r>
            <w:r/>
          </w:p>
        </w:tc>
        <w:tc>
          <w:tcPr>
            <w:tcW w:w="402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投标供应商承诺在质保期过后，</w:t>
            </w:r>
            <w:bookmarkStart w:id="105" w:name="_Hlk216571217"/>
            <w:r>
              <w:rPr>
                <w:rFonts w:hint="eastAsia" w:ascii="宋体" w:hAnsi="宋体" w:eastAsia="宋体" w:cs="宋体"/>
                <w:sz w:val="24"/>
                <w:szCs w:val="24"/>
                <w:highlight w:val="none"/>
                <w:lang w:eastAsia="zh-CN"/>
              </w:rPr>
              <w:t xml:space="preserve">终身维修</w:t>
            </w:r>
            <w:r>
              <w:rPr>
                <w:rFonts w:hint="eastAsia" w:ascii="宋体" w:hAnsi="宋体" w:eastAsia="宋体" w:cs="宋体"/>
                <w:sz w:val="24"/>
                <w:szCs w:val="24"/>
                <w:highlight w:val="none"/>
              </w:rPr>
              <w:t xml:space="preserve">，对于产品维修只收取基本材料备件费，不收取工时费的</w:t>
            </w:r>
            <w:bookmarkEnd w:id="105"/>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分（需提供满足要求的承诺函盖章原件）；未按要求承诺的不得分。</w:t>
            </w:r>
            <w:r>
              <w:rPr>
                <w:rFonts w:hint="eastAsia" w:ascii="宋体" w:hAnsi="宋体" w:eastAsia="宋体" w:cs="宋体"/>
                <w:sz w:val="24"/>
                <w:szCs w:val="24"/>
                <w:highlight w:val="none"/>
              </w:rPr>
            </w:r>
            <w:r/>
          </w:p>
        </w:tc>
        <w:tc>
          <w:tcPr>
            <w:tcW w:w="465" w:type="dxa"/>
            <w:vAlign w:val="center"/>
            <w:textDirection w:val="lrTb"/>
            <w:noWrap w:val="false"/>
          </w:tcPr>
          <w:p>
            <w:pPr>
              <w:pStyle w:val="1173"/>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rPr>
                <w:rFonts w:ascii="宋体" w:hAnsi="宋体" w:eastAsia="宋体" w:cs="宋体"/>
                <w:sz w:val="24"/>
                <w:szCs w:val="24"/>
                <w:highlight w:val="none"/>
                <w:lang w:val="en-US" w:eastAsia="zh-CN"/>
              </w:rPr>
            </w:r>
            <w:r/>
          </w:p>
        </w:tc>
      </w:tr>
      <w:tr>
        <w:trPr>
          <w:trHeight w:val="567"/>
        </w:trPr>
        <w:tc>
          <w:tcPr>
            <w:tcW w:w="508"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仿宋" w:hAnsi="仿宋" w:eastAsia="仿宋" w:cs="仿宋"/>
                <w:b/>
                <w:sz w:val="24"/>
                <w:highlight w:val="none"/>
                <w:lang w:val="en-US" w:eastAsia="zh-CN"/>
              </w:rPr>
              <w:t xml:space="preserve">主要材料备件价格</w:t>
            </w:r>
            <w:r>
              <w:rPr>
                <w:rFonts w:hint="eastAsia" w:ascii="宋体" w:hAnsi="宋体" w:eastAsia="宋体" w:cs="宋体"/>
                <w:sz w:val="24"/>
                <w:szCs w:val="24"/>
                <w:highlight w:val="none"/>
              </w:rPr>
            </w:r>
            <w:r/>
          </w:p>
        </w:tc>
        <w:tc>
          <w:tcPr>
            <w:tcW w:w="402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列出主要材料备件价格，备件齐全且价格合理的，得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分，备件缺漏</w:t>
            </w:r>
            <w:r>
              <w:rPr>
                <w:rFonts w:hint="eastAsia" w:ascii="宋体" w:hAnsi="宋体" w:eastAsia="宋体" w:cs="宋体"/>
                <w:sz w:val="24"/>
                <w:szCs w:val="24"/>
                <w:highlight w:val="none"/>
                <w:lang w:val="en-US" w:eastAsia="zh-CN"/>
              </w:rPr>
              <w:t xml:space="preserve">或者</w:t>
            </w:r>
            <w:r>
              <w:rPr>
                <w:rFonts w:hint="eastAsia" w:ascii="宋体" w:hAnsi="宋体" w:eastAsia="宋体" w:cs="宋体"/>
                <w:sz w:val="24"/>
                <w:szCs w:val="24"/>
                <w:highlight w:val="none"/>
              </w:rPr>
              <w:t xml:space="preserve">价格不合理的得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未提供</w:t>
            </w:r>
            <w:r>
              <w:rPr>
                <w:rFonts w:hint="eastAsia" w:ascii="宋体" w:hAnsi="宋体" w:eastAsia="宋体" w:cs="宋体"/>
                <w:sz w:val="24"/>
                <w:szCs w:val="24"/>
                <w:highlight w:val="none"/>
              </w:rPr>
              <w:t xml:space="preserve">不得分。</w:t>
            </w:r>
            <w:r>
              <w:rPr>
                <w:rFonts w:hint="eastAsia" w:ascii="宋体" w:hAnsi="宋体" w:eastAsia="宋体" w:cs="宋体"/>
                <w:sz w:val="24"/>
                <w:szCs w:val="24"/>
                <w:highlight w:val="none"/>
              </w:rPr>
            </w:r>
            <w:r/>
          </w:p>
        </w:tc>
        <w:tc>
          <w:tcPr>
            <w:tcW w:w="465" w:type="dxa"/>
            <w:vAlign w:val="center"/>
            <w:textDirection w:val="lrTb"/>
            <w:noWrap w:val="false"/>
          </w:tcPr>
          <w:p>
            <w:pPr>
              <w:pStyle w:val="1173"/>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2分</w:t>
            </w:r>
            <w:r>
              <w:rPr>
                <w:rFonts w:ascii="宋体" w:hAnsi="宋体" w:eastAsia="宋体" w:cs="宋体"/>
                <w:sz w:val="24"/>
                <w:szCs w:val="24"/>
                <w:highlight w:val="none"/>
                <w:lang w:val="en-US" w:eastAsia="zh-CN"/>
              </w:rPr>
            </w:r>
            <w:r/>
          </w:p>
        </w:tc>
      </w:tr>
      <w:tr>
        <w:trPr>
          <w:trHeight w:val="567"/>
        </w:trPr>
        <w:tc>
          <w:tcPr>
            <w:tcW w:w="508"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质保分</w:t>
            </w:r>
            <w:r>
              <w:rPr>
                <w:rFonts w:hint="eastAsia" w:ascii="宋体" w:hAnsi="宋体" w:eastAsia="宋体" w:cs="宋体"/>
                <w:sz w:val="24"/>
                <w:szCs w:val="24"/>
                <w:highlight w:val="none"/>
              </w:rPr>
            </w:r>
            <w:r/>
          </w:p>
        </w:tc>
        <w:tc>
          <w:tcPr>
            <w:tcW w:w="402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在原有质保一年的基础上，增加一年质保加2分，本项最高得分</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注：提供原厂质保服务，附承诺函</w:t>
            </w:r>
            <w:r>
              <w:rPr>
                <w:rFonts w:hint="eastAsia" w:ascii="宋体" w:hAnsi="宋体" w:eastAsia="宋体" w:cs="宋体"/>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r>
    </w:tbl>
    <w:p>
      <w:pPr>
        <w:pStyle w:val="1173"/>
        <w:ind w:firstLine="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73"/>
        <w:ind w:firstLine="482"/>
        <w:jc w:val="center"/>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采购包二 评审标准</w:t>
      </w:r>
      <w:r>
        <w:rPr>
          <w:rFonts w:hint="eastAsia" w:ascii="宋体" w:hAnsi="宋体" w:eastAsia="宋体" w:cs="宋体"/>
          <w:b/>
          <w:bCs/>
          <w:color w:val="000000"/>
          <w:sz w:val="24"/>
          <w:szCs w:val="24"/>
          <w:highlight w:val="none"/>
          <w:lang w:val="en-US" w:eastAsia="zh-CN"/>
        </w:rPr>
      </w:r>
      <w:r/>
    </w:p>
    <w:tbl>
      <w:tblPr>
        <w:tblW w:w="491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7464"/>
        <w:gridCol w:w="862"/>
      </w:tblGrid>
      <w:tr>
        <w:trPr/>
        <w:tc>
          <w:tcPr>
            <w:tcW w:w="506"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评分点</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1173"/>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c>
          <w:tcPr>
            <w:tcW w:w="506"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117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要求且最低投标价格为评标基准价，其价格分为满分</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7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其他投标供应商的价格分统一按照下列公式计算：</w:t>
            </w:r>
            <w:r>
              <w:rPr>
                <w:rFonts w:hint="eastAsia" w:ascii="宋体" w:hAnsi="宋体" w:eastAsia="宋体" w:cs="宋体"/>
                <w:color w:val="000000"/>
                <w:sz w:val="24"/>
                <w:szCs w:val="24"/>
                <w:highlight w:val="none"/>
              </w:rPr>
            </w:r>
            <w:r/>
          </w:p>
          <w:p>
            <w:pPr>
              <w:pStyle w:val="117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117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(投标价得分以四舍五入方法</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到小数点后两位)</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567"/>
        </w:trPr>
        <w:tc>
          <w:tcPr>
            <w:tcW w:w="506"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技术分</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117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技术指标响应性（</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分）：完全响应</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分。技术指标“</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”为重要指标每有一项负偏离扣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楷体" w:hAnsi="楷体"/>
                <w:color w:val="000000"/>
                <w:sz w:val="24"/>
                <w:szCs w:val="24"/>
                <w:highlight w:val="none"/>
              </w:rPr>
              <w:t xml:space="preserve">其他指标每有一项负偏离扣</w:t>
            </w:r>
            <w:r>
              <w:rPr>
                <w:rFonts w:hint="eastAsia" w:ascii="楷体" w:hAnsi="楷体"/>
                <w:color w:val="000000"/>
                <w:sz w:val="24"/>
                <w:szCs w:val="24"/>
                <w:highlight w:val="none"/>
                <w:lang w:val="en-US" w:eastAsia="zh-CN"/>
              </w:rPr>
              <w:t xml:space="preserve">0.5</w:t>
            </w:r>
            <w:r>
              <w:rPr>
                <w:rFonts w:hint="eastAsia" w:ascii="楷体" w:hAnsi="楷体"/>
                <w:color w:val="000000"/>
                <w:sz w:val="24"/>
                <w:szCs w:val="24"/>
                <w:highlight w:val="none"/>
              </w:rPr>
              <w:t xml:space="preserve">分，</w:t>
            </w:r>
            <w:r>
              <w:rPr>
                <w:rFonts w:hint="eastAsia" w:ascii="宋体" w:hAnsi="宋体" w:eastAsia="宋体" w:cs="宋体"/>
                <w:color w:val="000000"/>
                <w:sz w:val="24"/>
                <w:szCs w:val="24"/>
                <w:highlight w:val="none"/>
              </w:rPr>
              <w:t xml:space="preserve">扣完为止（缺项</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漏项视为负偏离）。技术参数须提供相关证明材料,应在《技术参数响应及偏离表》后附相关证明材料</w:t>
            </w:r>
            <w:r>
              <w:rPr>
                <w:rFonts w:hint="eastAsia" w:ascii="宋体" w:hAnsi="宋体" w:cs="宋体"/>
                <w:color w:val="000000"/>
                <w:sz w:val="24"/>
                <w:szCs w:val="24"/>
                <w:highlight w:val="none"/>
              </w:rPr>
              <w:t xml:space="preserve">（</w:t>
            </w:r>
            <w:r>
              <w:rPr>
                <w:rFonts w:hint="eastAsia" w:ascii="楷体" w:hAnsi="楷体"/>
                <w:color w:val="000000"/>
                <w:sz w:val="24"/>
                <w:szCs w:val="24"/>
                <w:highlight w:val="none"/>
              </w:rPr>
              <w:t xml:space="preserve">技术参数</w:t>
            </w:r>
            <w:r>
              <w:rPr>
                <w:rFonts w:hint="eastAsia" w:ascii="宋体" w:hAnsi="宋体" w:cs="宋体"/>
                <w:color w:val="000000"/>
                <w:sz w:val="24"/>
                <w:szCs w:val="24"/>
                <w:highlight w:val="none"/>
              </w:rPr>
              <w:t xml:space="preserve">指标须</w:t>
            </w:r>
            <w:r>
              <w:rPr>
                <w:rFonts w:hint="eastAsia" w:ascii="宋体" w:hAnsi="宋体" w:cs="宋体"/>
                <w:color w:val="000000"/>
                <w:sz w:val="24"/>
                <w:szCs w:val="24"/>
                <w:highlight w:val="none"/>
                <w:lang w:val="en-US" w:eastAsia="zh-CN"/>
              </w:rPr>
              <w:t xml:space="preserve">提供含有生产制</w:t>
            </w:r>
            <w:r>
              <w:rPr>
                <w:rFonts w:hint="eastAsia" w:ascii="宋体" w:hAnsi="宋体" w:cs="宋体"/>
                <w:color w:val="000000"/>
                <w:sz w:val="24"/>
                <w:szCs w:val="24"/>
                <w:highlight w:val="none"/>
              </w:rPr>
              <w:t xml:space="preserve">造厂家</w:t>
            </w:r>
            <w:r>
              <w:rPr>
                <w:rFonts w:hint="eastAsia" w:ascii="宋体" w:hAnsi="宋体" w:cs="宋体"/>
                <w:color w:val="000000"/>
                <w:sz w:val="24"/>
                <w:szCs w:val="24"/>
                <w:highlight w:val="none"/>
                <w:lang w:val="en-US" w:eastAsia="zh-CN"/>
              </w:rPr>
              <w:t xml:space="preserve">公章的书面报告</w:t>
            </w:r>
            <w:r>
              <w:rPr>
                <w:rFonts w:hint="eastAsia" w:ascii="宋体" w:hAnsi="宋体" w:cs="宋体"/>
                <w:color w:val="000000"/>
                <w:sz w:val="24"/>
                <w:szCs w:val="24"/>
                <w:highlight w:val="none"/>
              </w:rPr>
              <w:t xml:space="preserve">或技术性能说明</w:t>
            </w:r>
            <w:r>
              <w:rPr>
                <w:rFonts w:hint="eastAsia" w:ascii="宋体" w:hAnsi="宋体" w:cs="宋体"/>
                <w:color w:val="000000"/>
                <w:sz w:val="24"/>
                <w:szCs w:val="24"/>
                <w:highlight w:val="none"/>
                <w:lang w:val="en-US" w:eastAsia="zh-CN"/>
              </w:rPr>
              <w:t xml:space="preserve">的复印件</w:t>
            </w:r>
            <w:r>
              <w:rPr>
                <w:rFonts w:hint="eastAsia" w:ascii="宋体" w:hAnsi="宋体" w:cs="宋体"/>
                <w:color w:val="000000"/>
                <w:sz w:val="24"/>
                <w:szCs w:val="24"/>
                <w:highlight w:val="none"/>
              </w:rPr>
              <w:t xml:space="preserve">，不能提供不得分）</w:t>
            </w:r>
            <w:r>
              <w:rPr>
                <w:rFonts w:hint="eastAsia" w:ascii="宋体" w:hAnsi="宋体" w:eastAsia="宋体" w:cs="宋体"/>
                <w:color w:val="000000"/>
                <w:sz w:val="24"/>
                <w:szCs w:val="24"/>
                <w:highlight w:val="none"/>
              </w:rPr>
              <w:t xml:space="preserve">，并注明页码。如技术参数中要求提供相关证明材料的而投标人未提供相关证明材料或相关证明材料不全或无法辨认的视为负偏离。若发现有提供虚假的证明材料或虚假应答技术偏离表的或投标人中标后所供货物技术参数达不到投标时承诺的技术参数，采购人有权拒绝接收其货物并向采购人所在地财政部门汇报，由此造成一切损失由中标人自行承担，并追究相关责任。</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567"/>
        </w:trPr>
        <w:tc>
          <w:tcPr>
            <w:tcW w:w="506"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项目实施方案分</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根据各供应商提供的实施服务方案（包括但不限于供货方案、安装调试方案、组织实施方案、人员配备情况、验收方案等内容）进行评审。</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①科学、严密、合理，描述详细且具有针对性的得5分；</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②较合理、严密、描述较为详细，不存在实施难度的得4分；</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③基本合理、描述一般、存在可操作性的3分；</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④有不合理项、描述略欠缺、存在一定的实施难度的得2分；</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⑤有明显不合理项、描述欠缺、存在实施难度的得1分；</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⑥未提供不得分。</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r>
      <w:tr>
        <w:trPr>
          <w:trHeight w:val="567"/>
        </w:trPr>
        <w:tc>
          <w:tcPr>
            <w:tcW w:w="506"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售后服务方案分</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根据售后服务方案（包括但不限于售后服务制度、内容、维护响应计划、服务网点、服务人员等内容）进行评审。</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①科学、严密、合理，描述详细、具有针对性且提供本地化服务、快速响应的得5分；</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②科学、严密、合理，描述详细且具有针对性的得4分；</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③较合理、严密、描述较为详细，不存在实施难度的得3分；</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④基本合理、描述一般、存在可操作性的2分；</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⑤有不合理项、描述略欠缺、存在一定的实施难度的得1分；</w:t>
            </w:r>
            <w:r>
              <w:rPr>
                <w:rFonts w:hint="eastAsia" w:ascii="宋体" w:hAnsi="宋体" w:eastAsia="宋体" w:cs="宋体"/>
                <w:color w:val="000000"/>
                <w:sz w:val="24"/>
                <w:szCs w:val="24"/>
                <w:highlight w:val="none"/>
              </w:rPr>
            </w:r>
            <w:r/>
          </w:p>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⑥未提供不得分。</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r>
      <w:tr>
        <w:trPr>
          <w:trHeight w:val="567"/>
        </w:trPr>
        <w:tc>
          <w:tcPr>
            <w:tcW w:w="506" w:type="dxa"/>
            <w:vAlign w:val="center"/>
            <w:textDirection w:val="lrTb"/>
            <w:noWrap w:val="false"/>
          </w:tcPr>
          <w:p>
            <w:pPr>
              <w:pStyle w:val="1173"/>
              <w:spacing w:line="360" w:lineRule="auto"/>
              <w:rPr>
                <w:rFonts w:hint="eastAsia" w:ascii="宋体" w:hAnsi="宋体" w:eastAsia="宋体" w:cs="宋体"/>
                <w:color w:val="000000"/>
                <w:sz w:val="24"/>
                <w:szCs w:val="24"/>
                <w:highlight w:val="none"/>
                <w:lang w:val="en-US" w:eastAsia="zh-CN" w:bidi="ar-SA"/>
              </w:rPr>
            </w:pPr>
            <w:r>
              <w:rPr>
                <w:rFonts w:hint="eastAsia" w:ascii="仿宋" w:hAnsi="仿宋" w:eastAsia="仿宋" w:cs="仿宋"/>
                <w:b/>
                <w:color w:val="000000"/>
                <w:sz w:val="24"/>
                <w:highlight w:val="none"/>
                <w:lang w:val="en-US" w:eastAsia="zh-CN"/>
              </w:rPr>
              <w:t xml:space="preserve">质保期后维修服务承诺</w:t>
            </w:r>
            <w:r>
              <w:rPr>
                <w:rFonts w:hint="eastAsia" w:ascii="宋体" w:hAnsi="宋体" w:eastAsia="宋体" w:cs="宋体"/>
                <w:color w:val="000000"/>
                <w:sz w:val="24"/>
                <w:szCs w:val="24"/>
                <w:highlight w:val="none"/>
                <w:lang w:val="en-US" w:eastAsia="zh-CN" w:bidi="ar-SA"/>
              </w:rPr>
            </w:r>
            <w:r/>
          </w:p>
        </w:tc>
        <w:tc>
          <w:tcPr>
            <w:tcW w:w="4028" w:type="dxa"/>
            <w:vAlign w:val="center"/>
            <w:textDirection w:val="lrTb"/>
            <w:noWrap w:val="false"/>
          </w:tcPr>
          <w:p>
            <w:pPr>
              <w:pStyle w:val="1173"/>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投标供应商承诺在质保期过后，</w:t>
            </w:r>
            <w:r>
              <w:rPr>
                <w:rFonts w:hint="eastAsia" w:ascii="宋体" w:hAnsi="宋体" w:eastAsia="宋体" w:cs="宋体"/>
                <w:color w:val="000000"/>
                <w:sz w:val="24"/>
                <w:szCs w:val="24"/>
                <w:highlight w:val="none"/>
                <w:lang w:eastAsia="zh-CN"/>
              </w:rPr>
              <w:t xml:space="preserve">终身维修</w:t>
            </w:r>
            <w:r>
              <w:rPr>
                <w:rFonts w:hint="eastAsia" w:ascii="宋体" w:hAnsi="宋体" w:eastAsia="宋体" w:cs="宋体"/>
                <w:color w:val="000000"/>
                <w:sz w:val="24"/>
                <w:szCs w:val="24"/>
                <w:highlight w:val="none"/>
              </w:rPr>
              <w:t xml:space="preserve">，对于产品维修只收取基本材料备件费，不收取工时费的，得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分（需提供满足要求的承诺函盖章原件）；未按要求承诺的不得分。</w:t>
            </w:r>
            <w:r>
              <w:rPr>
                <w:rFonts w:hint="eastAsia" w:ascii="宋体" w:hAnsi="宋体" w:eastAsia="宋体" w:cs="宋体"/>
                <w:color w:val="000000"/>
                <w:sz w:val="24"/>
                <w:szCs w:val="24"/>
                <w:highlight w:val="none"/>
                <w:lang w:val="en-US" w:eastAsia="zh-CN" w:bidi="ar-SA"/>
              </w:rPr>
            </w:r>
            <w:r/>
          </w:p>
        </w:tc>
        <w:tc>
          <w:tcPr>
            <w:tcW w:w="465" w:type="dxa"/>
            <w:vAlign w:val="center"/>
            <w:textDirection w:val="lrTb"/>
            <w:noWrap w:val="false"/>
          </w:tcPr>
          <w:p>
            <w:pPr>
              <w:pStyle w:val="1173"/>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bidi="ar-SA"/>
              </w:rPr>
            </w:r>
            <w:r/>
          </w:p>
        </w:tc>
      </w:tr>
      <w:tr>
        <w:trPr>
          <w:trHeight w:val="567"/>
        </w:trPr>
        <w:tc>
          <w:tcPr>
            <w:tcW w:w="506" w:type="dxa"/>
            <w:vAlign w:val="center"/>
            <w:textDirection w:val="lrTb"/>
            <w:noWrap w:val="false"/>
          </w:tcPr>
          <w:p>
            <w:pPr>
              <w:pStyle w:val="1173"/>
              <w:spacing w:line="360" w:lineRule="auto"/>
              <w:rPr>
                <w:rFonts w:hint="eastAsia" w:ascii="宋体" w:hAnsi="宋体" w:eastAsia="宋体" w:cs="宋体"/>
                <w:color w:val="000000"/>
                <w:sz w:val="24"/>
                <w:szCs w:val="24"/>
                <w:highlight w:val="none"/>
                <w:lang w:val="en-US" w:eastAsia="zh-CN" w:bidi="ar-SA"/>
              </w:rPr>
            </w:pPr>
            <w:r>
              <w:rPr>
                <w:rFonts w:hint="eastAsia" w:ascii="仿宋" w:hAnsi="仿宋" w:eastAsia="仿宋" w:cs="仿宋"/>
                <w:b/>
                <w:color w:val="000000"/>
                <w:sz w:val="24"/>
                <w:highlight w:val="none"/>
                <w:lang w:val="en-US" w:eastAsia="zh-CN"/>
              </w:rPr>
              <w:t xml:space="preserve">主要材料备件价格</w:t>
            </w:r>
            <w:r>
              <w:rPr>
                <w:rFonts w:hint="eastAsia" w:ascii="宋体" w:hAnsi="宋体" w:eastAsia="宋体" w:cs="宋体"/>
                <w:color w:val="000000"/>
                <w:sz w:val="24"/>
                <w:szCs w:val="24"/>
                <w:highlight w:val="none"/>
                <w:lang w:val="en-US" w:eastAsia="zh-CN" w:bidi="ar-SA"/>
              </w:rPr>
            </w:r>
            <w:r/>
          </w:p>
        </w:tc>
        <w:tc>
          <w:tcPr>
            <w:tcW w:w="4028" w:type="dxa"/>
            <w:vAlign w:val="center"/>
            <w:textDirection w:val="lrTb"/>
            <w:noWrap w:val="false"/>
          </w:tcPr>
          <w:p>
            <w:pPr>
              <w:pStyle w:val="1173"/>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列出主要材料备件价格，备件齐全且价格合理的，得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分，备件缺漏</w:t>
            </w:r>
            <w:r>
              <w:rPr>
                <w:rFonts w:hint="eastAsia" w:ascii="宋体" w:hAnsi="宋体" w:eastAsia="宋体" w:cs="宋体"/>
                <w:color w:val="000000"/>
                <w:sz w:val="24"/>
                <w:szCs w:val="24"/>
                <w:highlight w:val="none"/>
                <w:lang w:val="en-US" w:eastAsia="zh-CN"/>
              </w:rPr>
              <w:t xml:space="preserve">或者</w:t>
            </w:r>
            <w:r>
              <w:rPr>
                <w:rFonts w:hint="eastAsia" w:ascii="宋体" w:hAnsi="宋体" w:eastAsia="宋体" w:cs="宋体"/>
                <w:color w:val="000000"/>
                <w:sz w:val="24"/>
                <w:szCs w:val="24"/>
                <w:highlight w:val="none"/>
              </w:rPr>
              <w:t xml:space="preserve">价格不合理的得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bidi="ar-SA"/>
              </w:rPr>
            </w:r>
            <w:r/>
          </w:p>
        </w:tc>
        <w:tc>
          <w:tcPr>
            <w:tcW w:w="465" w:type="dxa"/>
            <w:vAlign w:val="center"/>
            <w:textDirection w:val="lrTb"/>
            <w:noWrap w:val="false"/>
          </w:tcPr>
          <w:p>
            <w:pPr>
              <w:pStyle w:val="1173"/>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val="en-US" w:eastAsia="zh-CN" w:bidi="ar-SA"/>
              </w:rPr>
            </w:r>
            <w:r/>
          </w:p>
        </w:tc>
      </w:tr>
      <w:tr>
        <w:trPr>
          <w:trHeight w:val="567"/>
        </w:trPr>
        <w:tc>
          <w:tcPr>
            <w:tcW w:w="506"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质保分</w:t>
            </w:r>
            <w:r>
              <w:rPr>
                <w:rFonts w:hint="eastAsia" w:ascii="宋体" w:hAnsi="宋体" w:eastAsia="宋体" w:cs="宋体"/>
                <w:color w:val="000000"/>
                <w:sz w:val="24"/>
                <w:szCs w:val="24"/>
                <w:highlight w:val="none"/>
              </w:rPr>
            </w:r>
            <w:r/>
          </w:p>
        </w:tc>
        <w:tc>
          <w:tcPr>
            <w:tcW w:w="4028"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在原有质保一年的基础上，增加一年质保加2分，本项最高得分</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8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注：提供原厂质保服务，附承诺函</w:t>
            </w:r>
            <w:r>
              <w:rPr>
                <w:rFonts w:hint="eastAsia" w:ascii="宋体" w:hAnsi="宋体" w:eastAsia="宋体" w:cs="宋体"/>
                <w:color w:val="000000"/>
                <w:sz w:val="24"/>
                <w:szCs w:val="24"/>
                <w:highlight w:val="none"/>
              </w:rPr>
            </w:r>
            <w:r/>
          </w:p>
        </w:tc>
        <w:tc>
          <w:tcPr>
            <w:tcW w:w="465" w:type="dxa"/>
            <w:vAlign w:val="center"/>
            <w:textDirection w:val="lrTb"/>
            <w:noWrap w:val="false"/>
          </w:tcPr>
          <w:p>
            <w:pPr>
              <w:pStyle w:val="11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1173"/>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注：1.上述响应文件中，证书或证明或业绩必须提供复印件或扫描件（加盖供应商公章），如发现弄虚作假的，将按照本采购文件相关条款规定予以处理。 </w:t>
      </w: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2.评委依据采购文件载明的方法</w:t>
      </w:r>
      <w:r>
        <w:rPr>
          <w:rFonts w:hint="eastAsia" w:ascii="宋体" w:hAnsi="宋体" w:eastAsia="宋体" w:cs="宋体"/>
          <w:b/>
          <w:bCs/>
          <w:color w:val="000000"/>
          <w:sz w:val="24"/>
          <w:szCs w:val="24"/>
          <w:highlight w:val="none"/>
          <w:lang w:val="en-US" w:eastAsia="zh-CN"/>
        </w:rPr>
        <w:t xml:space="preserve">进行</w:t>
      </w:r>
      <w:r>
        <w:rPr>
          <w:rFonts w:hint="eastAsia" w:ascii="宋体" w:hAnsi="宋体" w:eastAsia="宋体" w:cs="宋体"/>
          <w:b/>
          <w:bCs/>
          <w:color w:val="000000"/>
          <w:sz w:val="24"/>
          <w:szCs w:val="24"/>
          <w:highlight w:val="none"/>
        </w:rPr>
        <w:t xml:space="preserve">评分，评分四舍五入精确到小数点后两位。</w:t>
      </w:r>
      <w:r>
        <w:rPr>
          <w:rFonts w:hint="eastAsia" w:ascii="宋体" w:hAnsi="宋体" w:eastAsia="宋体" w:cs="宋体"/>
          <w:b/>
          <w:bCs/>
          <w:color w:val="000000"/>
          <w:sz w:val="24"/>
          <w:szCs w:val="24"/>
          <w:highlight w:val="none"/>
        </w:rPr>
      </w:r>
      <w:r/>
    </w:p>
    <w:p>
      <w:pPr>
        <w:pStyle w:val="1173"/>
        <w:ind w:firstLine="482"/>
        <w:spacing w:line="288" w:lineRule="auto"/>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cs="宋体"/>
          <w:color w:val="000000"/>
          <w:sz w:val="24"/>
          <w:szCs w:val="24"/>
          <w:highlight w:val="none"/>
        </w:rPr>
        <w:t xml:space="preserve">根据《关于推动解决政府采购异常低价问题的通知》财库〔2026〕2号精神，政府采购评审中出现下列情形之一的，评审委员会应当启动异常低价投标（响应）审查程序：</w:t>
      </w:r>
      <w:r>
        <w:rPr>
          <w:rFonts w:hint="eastAsia" w:ascii="宋体" w:hAnsi="宋体" w:cs="宋体"/>
          <w:color w:val="000000"/>
          <w:sz w:val="24"/>
          <w:szCs w:val="24"/>
          <w:highlight w:val="none"/>
        </w:rPr>
      </w:r>
      <w:r/>
    </w:p>
    <w:p>
      <w:pPr>
        <w:pStyle w:val="1173"/>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p>
    <w:p>
      <w:pPr>
        <w:pStyle w:val="1173"/>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rPr>
      </w:r>
      <w:r/>
    </w:p>
    <w:p>
      <w:pPr>
        <w:pStyle w:val="1173"/>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rPr>
      </w:r>
      <w:r/>
    </w:p>
    <w:p>
      <w:pPr>
        <w:pStyle w:val="1173"/>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p>
      <w:pPr>
        <w:pStyle w:val="1173"/>
        <w:ind w:firstLine="420"/>
        <w:jc w:val="left"/>
        <w:spacing w:line="360" w:lineRule="auto"/>
        <w:rPr>
          <w:rFonts w:hint="eastAsia" w:hAnsi="宋体" w:cs="宋体"/>
          <w:b w:val="0"/>
          <w:bCs/>
          <w:highlight w:val="none"/>
        </w:rPr>
      </w:pPr>
      <w:r>
        <w:rPr>
          <w:rFonts w:hint="eastAsia" w:hAnsi="宋体" w:cs="宋体"/>
          <w:b w:val="0"/>
          <w:bCs/>
          <w:highlight w:val="none"/>
        </w:rPr>
        <w:t xml:space="preserve">1、促进中小企业发展政策</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szCs w:val="22"/>
          <w:highlight w:val="none"/>
        </w:rPr>
        <w:t xml:space="preserve">①本项目</w:t>
      </w:r>
      <w:r>
        <w:rPr>
          <w:rFonts w:hint="eastAsia" w:hAnsi="宋体" w:cs="宋体"/>
          <w:b w:val="0"/>
          <w:bCs/>
          <w:highlight w:val="none"/>
        </w:rPr>
        <w:t xml:space="preserve">为非专门面向中小微企业的项目，对</w:t>
      </w:r>
      <w:r>
        <w:rPr>
          <w:rFonts w:hint="eastAsia" w:hAnsi="宋体" w:cs="宋体"/>
          <w:highlight w:val="none"/>
        </w:rPr>
        <w:t xml:space="preserve">小型和微型企业</w:t>
      </w:r>
      <w:r>
        <w:rPr>
          <w:rFonts w:hint="eastAsia" w:hAnsi="宋体" w:cs="宋体"/>
          <w:b w:val="0"/>
          <w:bCs/>
          <w:highlight w:val="none"/>
        </w:rPr>
        <w:t xml:space="preserve">产品价格给予10%的扣除，用扣除后的价格参与评审(提供中小企业声明函，格式</w:t>
      </w:r>
      <w:r>
        <w:rPr>
          <w:rFonts w:hint="eastAsia" w:hAnsi="宋体" w:cs="宋体"/>
          <w:b w:val="0"/>
          <w:bCs/>
          <w:highlight w:val="none"/>
          <w:lang w:val="en-US" w:eastAsia="zh-CN"/>
        </w:rPr>
        <w:t xml:space="preserve">详见</w:t>
      </w:r>
      <w:r>
        <w:rPr>
          <w:rFonts w:hint="eastAsia" w:hAnsi="宋体" w:cs="宋体"/>
          <w:b w:val="0"/>
          <w:bCs/>
          <w:highlight w:val="none"/>
        </w:rPr>
        <w:t xml:space="preserve">《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szCs w:val="22"/>
          <w:highlight w:val="none"/>
        </w:rPr>
      </w:pPr>
      <w:r>
        <w:rPr>
          <w:rFonts w:hint="eastAsia" w:hAnsi="宋体" w:cs="宋体"/>
          <w:b w:val="0"/>
          <w:bCs/>
          <w:szCs w:val="22"/>
          <w:highlight w:val="none"/>
        </w:rPr>
        <w:t xml:space="preserve">在政府采购活动中，投标人提供的货物、工程或者服务符合下列情形的，享受价格扣除：</w:t>
      </w:r>
      <w:r>
        <w:rPr>
          <w:rFonts w:hint="eastAsia" w:hAnsi="宋体" w:cs="宋体"/>
          <w:b w:val="0"/>
          <w:bCs/>
          <w:szCs w:val="22"/>
          <w:highlight w:val="none"/>
        </w:rPr>
      </w:r>
      <w:r/>
    </w:p>
    <w:p>
      <w:pPr>
        <w:pStyle w:val="1173"/>
        <w:numPr>
          <w:ilvl w:val="0"/>
          <w:numId w:val="9"/>
        </w:numPr>
        <w:ind w:firstLine="480"/>
        <w:spacing w:line="360" w:lineRule="auto"/>
        <w:tabs>
          <w:tab w:val="left" w:pos="8200" w:leader="none"/>
        </w:tabs>
        <w:rPr>
          <w:rFonts w:hint="eastAsia" w:hAnsi="宋体" w:cs="宋体"/>
          <w:b w:val="0"/>
          <w:bCs/>
          <w:szCs w:val="22"/>
          <w:highlight w:val="none"/>
        </w:rPr>
      </w:pPr>
      <w:r>
        <w:rPr>
          <w:rFonts w:hint="eastAsia" w:hAnsi="宋体" w:cs="宋体"/>
          <w:b w:val="0"/>
          <w:bCs/>
          <w:szCs w:val="22"/>
          <w:highlight w:val="none"/>
        </w:rPr>
        <w:t xml:space="preserve">在货物采购项目中，货物由小微企业制造，即货物由小微企业生产且使用该小微企业商号或者注册商标；</w:t>
      </w:r>
      <w:r>
        <w:rPr>
          <w:rFonts w:hint="eastAsia" w:hAnsi="宋体" w:cs="宋体"/>
          <w:b w:val="0"/>
          <w:bCs/>
          <w:szCs w:val="22"/>
          <w:highlight w:val="none"/>
        </w:rPr>
      </w:r>
      <w:r/>
    </w:p>
    <w:p>
      <w:pPr>
        <w:pStyle w:val="1173"/>
        <w:numPr>
          <w:ilvl w:val="0"/>
          <w:numId w:val="9"/>
        </w:numPr>
        <w:ind w:firstLine="480"/>
        <w:spacing w:line="360" w:lineRule="auto"/>
        <w:tabs>
          <w:tab w:val="left" w:pos="8200" w:leader="none"/>
        </w:tabs>
        <w:rPr>
          <w:rFonts w:hint="eastAsia" w:hAnsi="宋体" w:cs="宋体"/>
          <w:b w:val="0"/>
          <w:bCs/>
          <w:szCs w:val="22"/>
          <w:highlight w:val="none"/>
        </w:rPr>
      </w:pPr>
      <w:r>
        <w:rPr>
          <w:rFonts w:hint="eastAsia" w:hAnsi="宋体" w:cs="宋体"/>
          <w:b w:val="0"/>
          <w:bCs/>
          <w:szCs w:val="22"/>
          <w:highlight w:val="none"/>
        </w:rPr>
        <w:t xml:space="preserve">在服务采购项目中，服务由小微企业承接，即提供服务的人员为小微企业依照《中华人民共和国劳动合同法》订立劳动合同的从业人员。</w:t>
      </w:r>
      <w:r>
        <w:rPr>
          <w:rFonts w:hint="eastAsia" w:hAnsi="宋体" w:cs="宋体"/>
          <w:b w:val="0"/>
          <w:bCs/>
          <w:szCs w:val="22"/>
          <w:highlight w:val="none"/>
        </w:rPr>
      </w:r>
      <w:r/>
    </w:p>
    <w:p>
      <w:pPr>
        <w:pStyle w:val="1173"/>
        <w:ind w:firstLine="480"/>
        <w:spacing w:line="360" w:lineRule="auto"/>
        <w:tabs>
          <w:tab w:val="left" w:pos="8200" w:leader="none"/>
        </w:tabs>
        <w:rPr>
          <w:rFonts w:hint="eastAsia" w:hAnsi="宋体" w:cs="宋体"/>
          <w:b w:val="0"/>
          <w:bCs/>
          <w:szCs w:val="22"/>
          <w:highlight w:val="none"/>
        </w:rPr>
      </w:pPr>
      <w:r>
        <w:rPr>
          <w:rFonts w:hint="eastAsia" w:hAnsi="宋体" w:cs="宋体"/>
          <w:b w:val="0"/>
          <w:bCs/>
          <w:szCs w:val="22"/>
          <w:highlight w:val="none"/>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highlight w:val="none"/>
        </w:rPr>
        <w:t xml:space="preserve">4</w:t>
      </w:r>
      <w:r>
        <w:rPr>
          <w:rFonts w:hint="eastAsia" w:hAnsi="宋体" w:cs="宋体"/>
          <w:b w:val="0"/>
          <w:bCs/>
          <w:szCs w:val="22"/>
          <w:highlight w:val="none"/>
        </w:rPr>
        <w:t xml:space="preserve">%的扣除，用扣除后的价格参加评审。组成联合体或者接受分包的小微企业与联合体内其他企业、分包企业之间存在直接控股、管理关系的，不享受价格扣除优惠政策。</w:t>
      </w:r>
      <w:r>
        <w:rPr>
          <w:rFonts w:hint="eastAsia" w:hAnsi="宋体" w:cs="宋体"/>
          <w:b w:val="0"/>
          <w:bCs/>
          <w:szCs w:val="22"/>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w:t>
      </w:r>
      <w:r>
        <w:rPr>
          <w:highlight w:val="none"/>
        </w:rPr>
        <w:t xml:space="preserve">予</w:t>
      </w:r>
      <w:r>
        <w:rPr>
          <w:rFonts w:hint="eastAsia" w:hAnsi="宋体" w:cs="宋体"/>
          <w:b w:val="0"/>
          <w:bCs/>
          <w:highlight w:val="none"/>
        </w:rPr>
        <w:t xml:space="preserve">价格扣除。</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w:t>
      </w:r>
      <w:r>
        <w:rPr>
          <w:highlight w:val="none"/>
        </w:rPr>
        <w:t xml:space="preserve">予</w:t>
      </w:r>
      <w:r>
        <w:rPr>
          <w:rFonts w:hint="eastAsia" w:hAnsi="宋体" w:cs="宋体"/>
          <w:b w:val="0"/>
          <w:bCs/>
          <w:highlight w:val="none"/>
        </w:rPr>
        <w:t xml:space="preserve">价格扣除。</w:t>
      </w:r>
      <w:r>
        <w:rPr>
          <w:rFonts w:hint="eastAsia" w:hAnsi="宋体" w:cs="宋体"/>
          <w:b w:val="0"/>
          <w:bCs/>
          <w:highlight w:val="none"/>
        </w:rPr>
      </w:r>
      <w:r/>
    </w:p>
    <w:p>
      <w:pPr>
        <w:pStyle w:val="1173"/>
        <w:ind w:firstLine="480"/>
        <w:spacing w:line="360" w:lineRule="auto"/>
        <w:tabs>
          <w:tab w:val="left" w:pos="8200" w:leader="none"/>
        </w:tabs>
        <w:rPr>
          <w:b w:val="0"/>
          <w:bCs/>
          <w:highlight w:val="none"/>
        </w:rPr>
      </w:pPr>
      <w:r>
        <w:rPr>
          <w:rFonts w:hint="eastAsia" w:hAnsi="宋体" w:cs="宋体"/>
          <w:b w:val="0"/>
          <w:bCs/>
          <w:highlight w:val="none"/>
        </w:rPr>
        <w:t xml:space="preserve">④</w:t>
      </w:r>
      <w:r>
        <w:rPr>
          <w:rFonts w:hint="eastAsia" w:hAnsi="宋体"/>
          <w:b w:val="0"/>
          <w:bCs/>
          <w:highlight w:val="none"/>
        </w:rPr>
        <w:t xml:space="preserve">残疾人福利单位、监狱企业属于小型、微型企业的，不重复享受政策。</w:t>
      </w:r>
      <w:r>
        <w:rPr>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2、采购本国产品的支持政策</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2.3本项目政府采购活动中既有本国产品又有非本国产品参与竞争的，依法对本国产品给予价格评审优惠，对本国产品的报价给予20%的价格扣除，用扣除后的价格参与评审。</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2.5投标人需按照</w:t>
      </w:r>
      <w:r>
        <w:rPr>
          <w:rFonts w:hint="eastAsia" w:hAnsi="宋体" w:cs="宋体"/>
          <w:b w:val="0"/>
          <w:bCs/>
          <w:highlight w:val="none"/>
          <w:lang w:eastAsia="zh-CN"/>
        </w:rPr>
        <w:t xml:space="preserve">采购文件</w:t>
      </w:r>
      <w:r>
        <w:rPr>
          <w:rFonts w:hint="eastAsia" w:hAnsi="宋体" w:cs="宋体"/>
          <w:b w:val="0"/>
          <w:bCs/>
          <w:highlight w:val="none"/>
        </w:rPr>
        <w:t xml:space="preserve">的要求提供《关于符合本国产品标准的声明函》（以下简称《声明函》），如不提供将不享受本国产品价格评审优惠。</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w:t>
      </w:r>
      <w:r>
        <w:rPr>
          <w:rFonts w:hint="eastAsia" w:hAnsi="宋体" w:cs="宋体"/>
          <w:b w:val="0"/>
          <w:bCs/>
          <w:highlight w:val="none"/>
          <w:lang w:eastAsia="zh-CN"/>
        </w:rPr>
        <w:t xml:space="preserve">采购文件</w:t>
      </w:r>
      <w:r>
        <w:rPr>
          <w:rFonts w:hint="eastAsia" w:hAnsi="宋体" w:cs="宋体"/>
          <w:b w:val="0"/>
          <w:bCs/>
          <w:highlight w:val="none"/>
        </w:rPr>
        <w:t xml:space="preserve">规定的，投标人提供的相关产品视为不符合本国产品标准。</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3、根据财政部、</w:t>
      </w:r>
      <w:r>
        <w:rPr>
          <w:rFonts w:hint="eastAsia" w:hAnsi="宋体" w:cs="宋体"/>
          <w:b w:val="0"/>
          <w:bCs/>
          <w:highlight w:val="none"/>
          <w:lang w:eastAsia="zh-CN"/>
        </w:rPr>
        <w:t xml:space="preserve">国家发展改革委</w:t>
      </w:r>
      <w:r>
        <w:rPr>
          <w:rFonts w:hint="eastAsia" w:hAnsi="宋体" w:cs="宋体"/>
          <w:b w:val="0"/>
          <w:bCs/>
          <w:highlight w:val="none"/>
        </w:rPr>
        <w:t xml:space="preserve">《节能产品政府采购实施意见》，投标产品属于《节能产品政府采购清单》（最新一期）内的政府采购的节能产品，对相应产品的价格给予1%的扣除，用扣除后的价格参与评审。</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投标产品如为节能产品的，投标人需提供产品及型号所在清单页的复印件并用标识标明，如未提供，评委会</w:t>
      </w:r>
      <w:r>
        <w:rPr>
          <w:rFonts w:hint="eastAsia" w:hAnsi="宋体" w:cs="宋体"/>
          <w:b w:val="0"/>
          <w:highlight w:val="none"/>
        </w:rPr>
        <w:t xml:space="preserve">将仅按</w:t>
      </w:r>
      <w:r>
        <w:rPr>
          <w:rFonts w:hint="eastAsia" w:hAnsi="宋体" w:cs="宋体"/>
          <w:b w:val="0"/>
          <w:bCs/>
          <w:highlight w:val="none"/>
        </w:rPr>
        <w:t xml:space="preserve">可明确进行价格扣除的内容进行扣除。</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highlight w:val="none"/>
        </w:rPr>
        <w:t xml:space="preserve">4、根据财政部、国家环保总局《关于环境标志产品政府采购实施的意见》，投标产品属于《环境标志产品政府采购清单》（最新一期）内的产品），对相应产品的价格给予1%的扣除，用扣除后的价格参与评审。</w:t>
      </w:r>
      <w:r>
        <w:rPr>
          <w:rFonts w:hint="eastAsia" w:hAnsi="宋体" w:cs="宋体"/>
          <w:b w:val="0"/>
          <w:bCs/>
          <w:highlight w:val="none"/>
        </w:rPr>
      </w:r>
      <w:r/>
    </w:p>
    <w:p>
      <w:pPr>
        <w:pStyle w:val="1173"/>
        <w:ind w:firstLine="480"/>
        <w:spacing w:line="360" w:lineRule="auto"/>
        <w:tabs>
          <w:tab w:val="left" w:pos="8200" w:leader="none"/>
        </w:tabs>
        <w:rPr>
          <w:rFonts w:hint="eastAsia" w:hAnsi="宋体" w:cs="宋体"/>
          <w:b w:val="0"/>
          <w:bCs/>
          <w:szCs w:val="22"/>
          <w:highlight w:val="none"/>
        </w:rPr>
      </w:pPr>
      <w:r>
        <w:rPr>
          <w:rFonts w:hint="eastAsia" w:hAnsi="宋体" w:cs="宋体"/>
          <w:b w:val="0"/>
          <w:bCs/>
          <w:highlight w:val="none"/>
        </w:rPr>
        <w:t xml:space="preserve">评标委员会根据投标人填制的《环境标志产品报价表》（格式自拟），计算其所投</w:t>
      </w:r>
      <w:r>
        <w:rPr>
          <w:rFonts w:hint="eastAsia" w:hAnsi="宋体" w:cs="宋体"/>
          <w:b w:val="0"/>
          <w:bCs/>
          <w:szCs w:val="22"/>
          <w:highlight w:val="none"/>
        </w:rPr>
        <w:t xml:space="preserve">环境标志产品享受价格折扣部分的多少</w:t>
      </w:r>
      <w:r>
        <w:rPr>
          <w:rFonts w:hint="eastAsia" w:hAnsi="宋体" w:cs="宋体"/>
          <w:b w:val="0"/>
          <w:bCs/>
          <w:highlight w:val="none"/>
        </w:rPr>
        <w:t xml:space="preserve">，如未提供或价格数据不全（必须包括产品名称、单价数量明细和汇总报价），评委会</w:t>
      </w:r>
      <w:r>
        <w:rPr>
          <w:rFonts w:hint="eastAsia" w:hAnsi="宋体" w:cs="宋体"/>
          <w:b w:val="0"/>
          <w:highlight w:val="none"/>
        </w:rPr>
        <w:t xml:space="preserve">将仅</w:t>
      </w:r>
      <w:r>
        <w:rPr>
          <w:rFonts w:hint="eastAsia" w:hAnsi="宋体" w:cs="宋体"/>
          <w:b w:val="0"/>
          <w:bCs/>
          <w:highlight w:val="none"/>
        </w:rPr>
        <w:t xml:space="preserve">按可明确进行价格扣除的内容进行扣除</w:t>
      </w:r>
      <w:r>
        <w:rPr>
          <w:rFonts w:hint="eastAsia" w:hAnsi="宋体" w:cs="宋体"/>
          <w:b w:val="0"/>
          <w:bCs/>
          <w:szCs w:val="22"/>
          <w:highlight w:val="none"/>
        </w:rPr>
        <w:t xml:space="preserve">。</w:t>
      </w:r>
      <w:r>
        <w:rPr>
          <w:rFonts w:hint="eastAsia" w:hAnsi="宋体" w:cs="宋体"/>
          <w:b w:val="0"/>
          <w:bCs/>
          <w:szCs w:val="22"/>
          <w:highlight w:val="none"/>
        </w:rPr>
      </w:r>
      <w:r/>
    </w:p>
    <w:p>
      <w:pPr>
        <w:pStyle w:val="1173"/>
        <w:ind w:firstLine="480"/>
        <w:spacing w:line="360" w:lineRule="auto"/>
        <w:tabs>
          <w:tab w:val="left" w:pos="8200" w:leader="none"/>
        </w:tabs>
        <w:rPr>
          <w:rFonts w:hint="eastAsia" w:hAnsi="宋体" w:cs="宋体"/>
          <w:b w:val="0"/>
          <w:bCs/>
          <w:highlight w:val="none"/>
        </w:rPr>
      </w:pPr>
      <w:r>
        <w:rPr>
          <w:rFonts w:hint="eastAsia" w:hAnsi="宋体" w:cs="宋体"/>
          <w:b w:val="0"/>
          <w:bCs/>
          <w:szCs w:val="22"/>
          <w:highlight w:val="none"/>
        </w:rPr>
        <w:t xml:space="preserve">投标产品如为环境标志产品的，投标人需提供产品及型号所在清单页的复印件并用标识标明，如未提供，</w:t>
      </w:r>
      <w:r>
        <w:rPr>
          <w:rFonts w:hint="eastAsia" w:hAnsi="宋体" w:cs="宋体"/>
          <w:b w:val="0"/>
          <w:bCs/>
          <w:highlight w:val="none"/>
        </w:rPr>
        <w:t xml:space="preserve">评委会</w:t>
      </w:r>
      <w:r>
        <w:rPr>
          <w:rFonts w:hint="eastAsia" w:hAnsi="宋体" w:cs="宋体"/>
          <w:b w:val="0"/>
          <w:highlight w:val="none"/>
        </w:rPr>
        <w:t xml:space="preserve">将仅</w:t>
      </w:r>
      <w:r>
        <w:rPr>
          <w:rFonts w:hint="eastAsia" w:hAnsi="宋体" w:cs="宋体"/>
          <w:b w:val="0"/>
          <w:bCs/>
          <w:highlight w:val="none"/>
        </w:rPr>
        <w:t xml:space="preserve">按可明确进行价格扣除的内容进行扣除</w:t>
      </w:r>
      <w:r>
        <w:rPr>
          <w:rFonts w:hint="eastAsia" w:hAnsi="宋体" w:cs="宋体"/>
          <w:b w:val="0"/>
          <w:bCs/>
          <w:szCs w:val="22"/>
          <w:highlight w:val="none"/>
        </w:rPr>
        <w:t xml:space="preserve">。</w:t>
      </w:r>
      <w:r>
        <w:rPr>
          <w:rFonts w:hAnsi="宋体" w:cs="宋体"/>
          <w:b w:val="0"/>
          <w:bCs/>
          <w:highlight w:val="none"/>
        </w:rPr>
        <w:br w:type="page" w:clear="all"/>
      </w:r>
      <w:r>
        <w:rPr>
          <w:rFonts w:hint="eastAsia" w:hAnsi="宋体" w:cs="宋体"/>
          <w:b w:val="0"/>
          <w:bCs/>
          <w:highlight w:val="none"/>
        </w:rPr>
      </w:r>
      <w:r/>
    </w:p>
    <w:p>
      <w:pPr>
        <w:pStyle w:val="1185"/>
        <w:rPr>
          <w:rFonts w:hint="eastAsia"/>
          <w:highlight w:val="none"/>
        </w:rPr>
      </w:pPr>
      <w:r>
        <w:rPr>
          <w:rFonts w:hint="eastAsia"/>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六、成交供应商的确定</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磋商小组汇总各评委评分后，按照得分从高到低的顺序推荐3名成交候选人，并编写评审报告。</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采购人委托磋商小组直接确定排名第一的成交候选人为成交供应商。</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rPr>
          <w:rFonts w:hint="eastAsia" w:ascii="宋体" w:hAnsi="宋体" w:eastAsia="宋体" w:cs="宋体"/>
          <w:b/>
          <w:color w:val="000000"/>
          <w:sz w:val="24"/>
          <w:szCs w:val="24"/>
          <w:highlight w:val="none"/>
        </w:rPr>
      </w:r>
      <w:r/>
    </w:p>
    <w:p>
      <w:pPr>
        <w:pStyle w:val="1173"/>
        <w:ind w:firstLine="482"/>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七、公告成交结果及发放成交通知书</w:t>
      </w:r>
      <w:r>
        <w:rPr>
          <w:rFonts w:hint="eastAsia" w:ascii="宋体" w:hAnsi="宋体" w:eastAsia="宋体" w:cs="宋体"/>
          <w:b/>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1.自确定成交供应商之日起2个工作日内，在江苏政府采购网公告成交结果，公告期限为1个工作日。</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2.公告成交结果的同时，采购代理机构向成交供应商发放成交通知书。成交通知书发出后，采购人不得违法改变成交结果，成交供应商无正当理由不得放弃成交。</w:t>
      </w:r>
      <w:r>
        <w:rPr>
          <w:rFonts w:hint="eastAsia" w:ascii="宋体" w:hAnsi="宋体" w:eastAsia="宋体" w:cs="宋体"/>
          <w:color w:val="000000"/>
          <w:sz w:val="24"/>
          <w:szCs w:val="24"/>
          <w:highlight w:val="none"/>
        </w:rPr>
      </w:r>
      <w:r/>
    </w:p>
    <w:p>
      <w:pPr>
        <w:pStyle w:val="1173"/>
        <w:jc w:val="cente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73"/>
        <w:ind w:firstLine="482"/>
        <w:pageBreakBefore w:val="0"/>
        <w:spacing w:line="360" w:lineRule="auto"/>
        <w:tabs>
          <w:tab w:val="left" w:pos="360" w:leader="none"/>
          <w:tab w:val="left" w:pos="1080" w:leader="none"/>
        </w:tabs>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bCs/>
          <w:color w:val="000000"/>
          <w:sz w:val="24"/>
          <w:szCs w:val="24"/>
          <w:highlight w:val="none"/>
        </w:rPr>
      </w:r>
      <w:r/>
    </w:p>
    <w:p>
      <w:pPr>
        <w:pStyle w:val="1194"/>
        <w:pageBreakBefore w:val="0"/>
        <w:spacing w:line="360" w:lineRule="auto"/>
        <w:rPr>
          <w:rFonts w:hint="eastAsia" w:ascii="宋体" w:hAnsi="宋体" w:eastAsia="宋体" w:cs="宋体"/>
          <w:bCs w:val="0"/>
          <w:color w:val="000000"/>
          <w:sz w:val="24"/>
          <w:szCs w:val="24"/>
          <w:highlight w:val="none"/>
        </w:rPr>
      </w:pPr>
      <w:r/>
      <w:bookmarkStart w:id="106" w:name="_Toc107246273"/>
      <w:r>
        <w:rPr>
          <w:rFonts w:hint="eastAsia" w:ascii="宋体" w:hAnsi="宋体" w:eastAsia="宋体" w:cs="宋体"/>
          <w:bCs w:val="0"/>
          <w:color w:val="000000"/>
          <w:sz w:val="24"/>
          <w:szCs w:val="24"/>
          <w:highlight w:val="none"/>
        </w:rPr>
        <w:t xml:space="preserve">第六章 响应文件格式</w:t>
      </w:r>
      <w:bookmarkEnd w:id="106"/>
      <w:r>
        <w:rPr>
          <w:rFonts w:hint="eastAsia" w:ascii="宋体" w:hAnsi="宋体" w:eastAsia="宋体" w:cs="宋体"/>
          <w:bCs w:val="0"/>
          <w:color w:val="000000"/>
          <w:sz w:val="24"/>
          <w:szCs w:val="24"/>
          <w:highlight w:val="none"/>
        </w:rPr>
      </w:r>
      <w:r/>
    </w:p>
    <w:p>
      <w:pPr>
        <w:pStyle w:val="1173"/>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一、资格审查文件</w:t>
      </w:r>
      <w:r>
        <w:rPr>
          <w:rFonts w:hint="eastAsia" w:ascii="宋体" w:hAnsi="宋体" w:eastAsia="宋体" w:cs="宋体"/>
          <w:b/>
          <w:b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1.法定代表人身份证明书及法定代表人身份证复印件；</w:t>
      </w:r>
      <w:r>
        <w:rPr>
          <w:rFonts w:hint="eastAsia" w:ascii="宋体" w:hAnsi="宋体" w:eastAsia="宋体" w:cs="宋体"/>
          <w:color w:val="000000"/>
          <w:sz w:val="24"/>
          <w:szCs w:val="24"/>
          <w:highlight w:val="none"/>
          <w:u w:val="single"/>
        </w:rPr>
      </w:r>
      <w:r/>
    </w:p>
    <w:p>
      <w:pPr>
        <w:pStyle w:val="1173"/>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2.法定代表人授权委托书及授权委托人身份证复印件（如有）；</w:t>
      </w:r>
      <w:r>
        <w:rPr>
          <w:rFonts w:hint="eastAsia" w:ascii="宋体" w:hAnsi="宋体" w:eastAsia="宋体" w:cs="宋体"/>
          <w:color w:val="000000"/>
          <w:sz w:val="24"/>
          <w:szCs w:val="24"/>
          <w:highlight w:val="none"/>
          <w:u w:val="single"/>
        </w:rPr>
      </w:r>
      <w:r/>
    </w:p>
    <w:p>
      <w:pPr>
        <w:pStyle w:val="1173"/>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3.响应人营业执照复印件；</w:t>
      </w:r>
      <w:r>
        <w:rPr>
          <w:rFonts w:hint="eastAsia" w:ascii="宋体" w:hAnsi="宋体" w:eastAsia="宋体" w:cs="宋体"/>
          <w:color w:val="000000"/>
          <w:sz w:val="24"/>
          <w:szCs w:val="24"/>
          <w:highlight w:val="none"/>
          <w:u w:val="single"/>
        </w:rPr>
      </w:r>
      <w:r/>
    </w:p>
    <w:p>
      <w:pPr>
        <w:pStyle w:val="1173"/>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4.供应商近六个月中任意一个月（不含投标当月）的财务状况报告（资产负债表和利润表）或由会计师事务所出具的近两年中任意一个年度的审计报告和所附已审财务报告扫描件； </w:t>
      </w:r>
      <w:r>
        <w:rPr>
          <w:rFonts w:hint="eastAsia" w:ascii="宋体" w:hAnsi="宋体" w:eastAsia="宋体" w:cs="宋体"/>
          <w:color w:val="000000"/>
          <w:sz w:val="24"/>
          <w:szCs w:val="24"/>
          <w:highlight w:val="none"/>
          <w:u w:val="single"/>
        </w:rPr>
      </w:r>
      <w:r/>
    </w:p>
    <w:p>
      <w:pPr>
        <w:pStyle w:val="1173"/>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5.供应商近六个月中任意一个月（不含投标当月）的依法缴纳税收的相关材料（提供相关主管部门证明或银行代扣证明）扫描件； </w:t>
      </w:r>
      <w:r>
        <w:rPr>
          <w:rFonts w:hint="eastAsia" w:ascii="宋体" w:hAnsi="宋体" w:eastAsia="宋体" w:cs="宋体"/>
          <w:color w:val="000000"/>
          <w:sz w:val="24"/>
          <w:szCs w:val="24"/>
          <w:highlight w:val="none"/>
          <w:u w:val="single"/>
        </w:rPr>
      </w:r>
      <w:r/>
    </w:p>
    <w:p>
      <w:pPr>
        <w:pStyle w:val="1173"/>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6.提供供应商近六个月中任意一个月（不含投标当月）的所在地社保机构出具的</w:t>
      </w:r>
      <w:r>
        <w:rPr>
          <w:rFonts w:hint="eastAsia" w:ascii="宋体" w:hAnsi="宋体" w:eastAsia="宋体" w:cs="宋体"/>
          <w:bCs/>
          <w:color w:val="000000"/>
          <w:sz w:val="24"/>
          <w:szCs w:val="24"/>
          <w:highlight w:val="none"/>
          <w:u w:val="single"/>
        </w:rPr>
        <w:t xml:space="preserve">社保缴费证明材料</w:t>
      </w:r>
      <w:r>
        <w:rPr>
          <w:rFonts w:hint="eastAsia" w:ascii="宋体" w:hAnsi="宋体" w:eastAsia="宋体" w:cs="宋体"/>
          <w:color w:val="000000"/>
          <w:sz w:val="24"/>
          <w:szCs w:val="24"/>
          <w:highlight w:val="none"/>
          <w:u w:val="single"/>
        </w:rPr>
        <w:t xml:space="preserve">，</w:t>
      </w:r>
      <w:r>
        <w:rPr>
          <w:rFonts w:hint="eastAsia" w:ascii="宋体" w:hAnsi="宋体" w:eastAsia="宋体" w:cs="宋体"/>
          <w:bCs/>
          <w:color w:val="000000"/>
          <w:sz w:val="24"/>
          <w:szCs w:val="24"/>
          <w:highlight w:val="none"/>
          <w:u w:val="single"/>
        </w:rPr>
        <w:t xml:space="preserve">成立不满一年的投标人无需提供社保缴费证明材料，但需提供书面情况说明及相关凭证</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173"/>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7.投标人符合《中华人民共和国政府采购法》第二十二条规定条件的承诺函；</w:t>
      </w:r>
      <w:r>
        <w:rPr>
          <w:rFonts w:hint="eastAsia" w:ascii="宋体" w:hAnsi="宋体" w:eastAsia="宋体" w:cs="宋体"/>
          <w:color w:val="000000"/>
          <w:sz w:val="24"/>
          <w:szCs w:val="24"/>
          <w:highlight w:val="none"/>
          <w:u w:val="single"/>
        </w:rPr>
      </w:r>
      <w:r/>
    </w:p>
    <w:p>
      <w:pPr>
        <w:pStyle w:val="1173"/>
        <w:ind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8.诚信承诺书；</w:t>
      </w:r>
      <w:r>
        <w:rPr>
          <w:rFonts w:hint="eastAsia" w:ascii="宋体" w:hAnsi="宋体" w:eastAsia="宋体" w:cs="宋体"/>
          <w:color w:val="000000"/>
          <w:sz w:val="24"/>
          <w:szCs w:val="24"/>
          <w:highlight w:val="none"/>
          <w:u w:val="single"/>
        </w:rPr>
      </w:r>
      <w:r/>
    </w:p>
    <w:p>
      <w:pPr>
        <w:pStyle w:val="1173"/>
        <w:ind w:firstLine="480"/>
        <w:pageBreakBefore w:val="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u w:val="single"/>
        </w:rPr>
        <w:t xml:space="preserve">9</w:t>
      </w:r>
      <w:r>
        <w:rPr>
          <w:rFonts w:hint="eastAsia" w:ascii="宋体" w:hAnsi="宋体" w:eastAsia="宋体" w:cs="宋体"/>
          <w:bCs/>
          <w:color w:val="000000"/>
          <w:sz w:val="24"/>
          <w:szCs w:val="24"/>
          <w:highlight w:val="none"/>
          <w:u w:val="single"/>
        </w:rPr>
        <w:t xml:space="preserve">.供应商未被列入失信被执行人名单、政府采购严重违法失信行为记录名单网站查询证明材料；</w:t>
      </w:r>
      <w:r>
        <w:rPr>
          <w:rFonts w:hint="eastAsia" w:ascii="宋体" w:hAnsi="宋体" w:eastAsia="宋体" w:cs="宋体"/>
          <w:bCs/>
          <w:color w:val="000000"/>
          <w:sz w:val="24"/>
          <w:szCs w:val="24"/>
          <w:highlight w:val="none"/>
          <w:u w:val="single"/>
        </w:rPr>
      </w:r>
      <w:r/>
    </w:p>
    <w:p>
      <w:pPr>
        <w:pStyle w:val="1173"/>
        <w:ind w:left="547" w:firstLine="0"/>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bCs/>
          <w:color w:val="000000"/>
          <w:sz w:val="24"/>
          <w:szCs w:val="24"/>
          <w:highlight w:val="none"/>
          <w:u w:val="single"/>
        </w:rPr>
        <w:t xml:space="preserve">10.《中小企业声明函》或《残疾人福利性单位声明函》或监狱和戒毒企业证明材料。</w:t>
      </w:r>
      <w:r>
        <w:rPr>
          <w:rFonts w:hint="eastAsia" w:ascii="宋体" w:hAnsi="宋体" w:eastAsia="宋体" w:cs="宋体"/>
          <w:bCs/>
          <w:color w:val="000000"/>
          <w:sz w:val="24"/>
          <w:szCs w:val="24"/>
          <w:highlight w:val="none"/>
          <w:u w:val="single"/>
          <w:lang w:val="en-US" w:eastAsia="zh-CN"/>
        </w:rPr>
        <w:t xml:space="preserve">11.关于符合本国产品标准的声明函；</w:t>
      </w:r>
      <w:r>
        <w:rPr>
          <w:rFonts w:ascii="宋体" w:hAnsi="宋体" w:eastAsia="宋体" w:cs="宋体"/>
          <w:color w:val="000000"/>
          <w:sz w:val="24"/>
          <w:szCs w:val="24"/>
          <w:highlight w:val="none"/>
          <w:u w:val="single"/>
          <w:lang w:val="en-US" w:eastAsia="zh-CN"/>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中任何一条不符合要求，则资格性审查不通过，按无效响应文件处理。</w:t>
      </w:r>
      <w:r>
        <w:rPr>
          <w:rFonts w:hint="eastAsia" w:ascii="宋体" w:hAnsi="宋体" w:eastAsia="宋体" w:cs="宋体"/>
          <w:color w:val="000000"/>
          <w:sz w:val="24"/>
          <w:szCs w:val="24"/>
          <w:highlight w:val="none"/>
        </w:rPr>
      </w:r>
      <w:r/>
    </w:p>
    <w:p>
      <w:pPr>
        <w:pStyle w:val="1209"/>
        <w:ind w:firstLine="48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lang w:val="zh-CN" w:eastAsia="zh-CN"/>
        </w:rPr>
        <w:t xml:space="preserve">文件要求提供的</w:t>
      </w:r>
      <w:r>
        <w:rPr>
          <w:rFonts w:hint="eastAsia" w:ascii="宋体" w:hAnsi="宋体" w:eastAsia="宋体" w:cs="宋体"/>
          <w:b/>
          <w:bCs/>
          <w:color w:val="000000"/>
          <w:sz w:val="24"/>
          <w:szCs w:val="24"/>
          <w:highlight w:val="none"/>
          <w:lang w:val="zh-CN" w:eastAsia="zh-CN"/>
        </w:rPr>
        <w:t xml:space="preserve">资格审查证明材料</w:t>
      </w:r>
      <w:r>
        <w:rPr>
          <w:rFonts w:hint="eastAsia" w:ascii="宋体" w:hAnsi="宋体" w:eastAsia="宋体" w:cs="宋体"/>
          <w:color w:val="000000"/>
          <w:sz w:val="24"/>
          <w:szCs w:val="24"/>
          <w:highlight w:val="none"/>
          <w:lang w:val="zh-CN" w:eastAsia="zh-CN"/>
        </w:rPr>
        <w:t xml:space="preserve">中没有对应的接口上传的资料，可以在本部分的其他材料的接口中上传）</w:t>
      </w:r>
      <w:r>
        <w:rPr>
          <w:rFonts w:hint="eastAsia" w:ascii="宋体" w:hAnsi="宋体" w:eastAsia="宋体" w:cs="宋体"/>
          <w:color w:val="000000"/>
          <w:sz w:val="24"/>
          <w:szCs w:val="24"/>
          <w:highlight w:val="none"/>
          <w:lang w:val="zh-CN" w:eastAsia="zh-CN"/>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二、符合性审查文件</w:t>
      </w:r>
      <w:r>
        <w:rPr>
          <w:rFonts w:hint="eastAsia" w:ascii="宋体" w:hAnsi="宋体" w:eastAsia="宋体" w:cs="宋体"/>
          <w:b/>
          <w:b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1.竞争性磋商响应函（格式参见第六章）；</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2.报价明细表；</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3.供应商情况表；</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4.技术商务条款响应正负偏离表（格式参见第六章）；</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5.第四章项目需求中要求提供的材料；</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6.项目组成人员表；</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7.供应商认为需要提交的其他资料。</w:t>
      </w:r>
      <w:r>
        <w:rPr>
          <w:rFonts w:hint="eastAsia" w:ascii="宋体" w:hAnsi="宋体" w:eastAsia="宋体" w:cs="宋体"/>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三、商务技术文件</w:t>
      </w:r>
      <w:r>
        <w:rPr>
          <w:rFonts w:hint="eastAsia" w:ascii="宋体" w:hAnsi="宋体" w:eastAsia="宋体" w:cs="宋体"/>
          <w:b/>
          <w:b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1.评审办法中所涉及的事项需提供的所有资料；</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2.评审办法中未涉及的事项，供应商认为需要提交的其他资料。</w:t>
      </w:r>
      <w:r>
        <w:rPr>
          <w:rFonts w:hint="eastAsia" w:ascii="宋体" w:hAnsi="宋体" w:eastAsia="宋体" w:cs="宋体"/>
          <w:color w:val="000000"/>
          <w:sz w:val="24"/>
          <w:szCs w:val="24"/>
          <w:highlight w:val="none"/>
        </w:rPr>
      </w:r>
      <w:r/>
    </w:p>
    <w:p>
      <w:pPr>
        <w:pStyle w:val="1173"/>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注：为方便评委评审，请供应商按评审办法中所涉及的事项顺序进行编制，可以补充相关材料；</w:t>
      </w:r>
      <w:r>
        <w:rPr>
          <w:rFonts w:hint="eastAsia" w:ascii="宋体" w:hAnsi="宋体" w:eastAsia="宋体" w:cs="宋体"/>
          <w:bCs/>
          <w:color w:val="000000"/>
          <w:sz w:val="24"/>
          <w:szCs w:val="24"/>
          <w:highlight w:val="none"/>
        </w:rPr>
      </w:r>
      <w:r/>
    </w:p>
    <w:p>
      <w:pPr>
        <w:pStyle w:val="1173"/>
        <w:ind w:firstLine="482"/>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四、报价响应文件</w:t>
      </w:r>
      <w:r>
        <w:rPr>
          <w:rFonts w:hint="eastAsia" w:ascii="宋体" w:hAnsi="宋体" w:eastAsia="宋体" w:cs="宋体"/>
          <w:b/>
          <w:bCs/>
          <w:color w:val="000000"/>
          <w:sz w:val="24"/>
          <w:szCs w:val="24"/>
          <w:highlight w:val="none"/>
        </w:rPr>
      </w:r>
      <w:r/>
    </w:p>
    <w:p>
      <w:pPr>
        <w:pStyle w:val="1173"/>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1.磋商响应报价表（开标一览表）；</w:t>
      </w:r>
      <w:r>
        <w:rPr>
          <w:rFonts w:hint="eastAsia" w:ascii="宋体" w:hAnsi="宋体" w:eastAsia="宋体" w:cs="宋体"/>
          <w:color w:val="000000"/>
          <w:sz w:val="24"/>
          <w:szCs w:val="24"/>
          <w:highlight w:val="none"/>
        </w:rPr>
      </w:r>
      <w:r/>
    </w:p>
    <w:p>
      <w:pPr>
        <w:pStyle w:val="1173"/>
        <w:ind w:firstLine="482"/>
        <w:pageBreakBefore w:val="0"/>
        <w:spacing w:before="100" w:after="100"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rPr>
          <w:rFonts w:hint="eastAsia" w:ascii="宋体" w:hAnsi="宋体" w:eastAsia="宋体" w:cs="宋体"/>
          <w:b/>
          <w:color w:val="000000"/>
          <w:sz w:val="24"/>
          <w:szCs w:val="24"/>
          <w:highlight w:val="none"/>
          <w:u w:val="single"/>
        </w:rPr>
      </w:r>
      <w:r/>
    </w:p>
    <w:p>
      <w:pPr>
        <w:pStyle w:val="1173"/>
        <w:pageBreakBefore w:val="0"/>
        <w:spacing w:before="100" w:after="100" w:line="360" w:lineRule="auto"/>
        <w:rPr>
          <w:rFonts w:hint="eastAsia" w:ascii="宋体" w:hAnsi="宋体" w:eastAsia="宋体" w:cs="宋体"/>
          <w:b/>
          <w:color w:val="000000"/>
          <w:sz w:val="24"/>
          <w:szCs w:val="24"/>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b/>
          <w:color w:val="000000"/>
          <w:sz w:val="24"/>
          <w:szCs w:val="24"/>
          <w:highlight w:val="none"/>
        </w:rPr>
      </w:r>
      <w:r/>
    </w:p>
    <w:p>
      <w:pPr>
        <w:pStyle w:val="1173"/>
        <w:pageBreakBefore w:val="0"/>
        <w:spacing w:before="100" w:after="100"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封面</w:t>
      </w:r>
      <w:r>
        <w:rPr>
          <w:rFonts w:hint="eastAsia" w:ascii="宋体" w:hAnsi="宋体" w:cs="宋体"/>
          <w:b/>
          <w:color w:val="000000"/>
          <w:szCs w:val="21"/>
          <w:highlight w:val="none"/>
        </w:rPr>
      </w:r>
      <w:r/>
    </w:p>
    <w:p>
      <w:pPr>
        <w:pStyle w:val="1173"/>
        <w:jc w:val="center"/>
        <w:pageBreakBefore w:val="0"/>
        <w:spacing w:line="360" w:lineRule="auto"/>
        <w:rPr>
          <w:rFonts w:ascii="Microsoft New Tai Lue" w:hAnsi="Microsoft New Tai Lue" w:cs="Microsoft New Tai Lue"/>
          <w:b/>
          <w:color w:val="000000"/>
          <w:sz w:val="72"/>
          <w:szCs w:val="84"/>
          <w:highlight w:val="none"/>
        </w:rPr>
      </w:pPr>
      <w:r>
        <w:rPr>
          <w:rFonts w:ascii="Microsoft New Tai Lue" w:hAnsi="Microsoft New Tai Lue" w:cs="Microsoft New Tai Lue"/>
          <w:b/>
          <w:color w:val="000000"/>
          <w:sz w:val="72"/>
          <w:szCs w:val="84"/>
          <w:highlight w:val="none"/>
        </w:rPr>
      </w:r>
      <w:r/>
    </w:p>
    <w:p>
      <w:pPr>
        <w:pStyle w:val="1173"/>
        <w:ind w:right="640" w:firstLine="2209"/>
        <w:pageBreakBefore w:val="0"/>
        <w:spacing w:line="360" w:lineRule="auto"/>
        <w:rPr>
          <w:rFonts w:hint="eastAsia" w:ascii="Microsoft New Tai Lue" w:hAnsi="Microsoft New Tai Lue" w:cs="Microsoft New Tai Lue"/>
          <w:b/>
          <w:color w:val="000000"/>
          <w:sz w:val="44"/>
          <w:szCs w:val="44"/>
          <w:highlight w:val="none"/>
          <w:lang w:eastAsia="zh-CN"/>
        </w:rPr>
      </w:pPr>
      <w:r>
        <w:rPr>
          <w:rFonts w:hint="eastAsia" w:ascii="Microsoft New Tai Lue" w:hAnsi="Microsoft New Tai Lue" w:cs="Microsoft New Tai Lue"/>
          <w:b/>
          <w:color w:val="000000"/>
          <w:sz w:val="44"/>
          <w:szCs w:val="44"/>
          <w:highlight w:val="none"/>
          <w:lang w:eastAsia="zh-CN"/>
        </w:rPr>
        <w:t xml:space="preserve">药品检验实训室建设项目</w:t>
      </w:r>
      <w:r>
        <w:rPr>
          <w:rFonts w:hint="eastAsia" w:ascii="Microsoft New Tai Lue" w:hAnsi="Microsoft New Tai Lue" w:cs="Microsoft New Tai Lue"/>
          <w:b/>
          <w:color w:val="000000"/>
          <w:sz w:val="44"/>
          <w:szCs w:val="44"/>
          <w:highlight w:val="none"/>
          <w:lang w:eastAsia="zh-CN"/>
        </w:rPr>
      </w:r>
      <w:r/>
    </w:p>
    <w:p>
      <w:pPr>
        <w:pStyle w:val="1195"/>
        <w:ind w:firstLine="321"/>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r>
      <w:r/>
    </w:p>
    <w:p>
      <w:pPr>
        <w:pStyle w:val="1195"/>
        <w:ind w:firstLine="321"/>
        <w:pageBreakBefore w:val="0"/>
        <w:spacing w:line="360" w:lineRule="auto"/>
        <w:rPr>
          <w:rFonts w:hint="eastAsia" w:ascii="新宋体" w:hAnsi="新宋体" w:eastAsia="新宋体"/>
          <w:b/>
          <w:bCs/>
          <w:color w:val="000000"/>
          <w:sz w:val="32"/>
          <w:szCs w:val="32"/>
          <w:highlight w:val="none"/>
        </w:rPr>
      </w:pPr>
      <w:r>
        <w:rPr>
          <w:rFonts w:hint="eastAsia" w:ascii="新宋体" w:hAnsi="新宋体" w:eastAsia="新宋体"/>
          <w:b/>
          <w:bCs/>
          <w:color w:val="000000"/>
          <w:sz w:val="32"/>
          <w:szCs w:val="32"/>
          <w:highlight w:val="none"/>
        </w:rPr>
      </w:r>
      <w:r/>
    </w:p>
    <w:p>
      <w:pPr>
        <w:pStyle w:val="1210"/>
        <w:pageBreakBefore w:val="0"/>
        <w:spacing w:line="360" w:lineRule="auto"/>
        <w:rPr>
          <w:color w:val="000000"/>
          <w:highlight w:val="none"/>
        </w:rPr>
      </w:pPr>
      <w:r>
        <w:rPr>
          <w:color w:val="000000"/>
          <w:highlight w:val="none"/>
        </w:rPr>
      </w:r>
      <w:r/>
    </w:p>
    <w:p>
      <w:pPr>
        <w:pStyle w:val="1185"/>
        <w:jc w:val="center"/>
        <w:pageBreakBefore w:val="0"/>
        <w:spacing w:line="360" w:lineRule="auto"/>
        <w:rPr>
          <w:rFonts w:ascii="Microsoft New Tai Lue" w:hAnsi="Microsoft New Tai Lue" w:cs="Microsoft New Tai Lue"/>
          <w:b/>
          <w:color w:val="000000"/>
          <w:sz w:val="84"/>
          <w:szCs w:val="84"/>
          <w:highlight w:val="none"/>
        </w:rPr>
      </w:pPr>
      <w:r/>
      <w:bookmarkStart w:id="107" w:name="_Toc100905255"/>
      <w:r>
        <w:rPr>
          <w:rFonts w:hint="eastAsia" w:ascii="Microsoft New Tai Lue" w:hAnsi="Microsoft New Tai Lue" w:cs="Microsoft New Tai Lue"/>
          <w:b/>
          <w:color w:val="000000"/>
          <w:sz w:val="84"/>
          <w:szCs w:val="84"/>
          <w:highlight w:val="none"/>
        </w:rPr>
        <w:t xml:space="preserve">响</w:t>
      </w:r>
      <w:r>
        <w:rPr>
          <w:rFonts w:ascii="Microsoft New Tai Lue" w:hAnsi="Microsoft New Tai Lue" w:cs="Microsoft New Tai Lue"/>
          <w:b/>
          <w:color w:val="000000"/>
          <w:sz w:val="84"/>
          <w:szCs w:val="84"/>
          <w:highlight w:val="none"/>
        </w:rPr>
        <w:t xml:space="preserve"> </w:t>
      </w:r>
      <w:r>
        <w:rPr>
          <w:rFonts w:hint="eastAsia" w:ascii="Microsoft New Tai Lue" w:hAnsi="Microsoft New Tai Lue" w:cs="Microsoft New Tai Lue"/>
          <w:b/>
          <w:color w:val="000000"/>
          <w:sz w:val="84"/>
          <w:szCs w:val="84"/>
          <w:highlight w:val="none"/>
        </w:rPr>
        <w:t xml:space="preserve"> 应</w:t>
      </w:r>
      <w:r>
        <w:rPr>
          <w:rFonts w:ascii="Microsoft New Tai Lue" w:hAnsi="Microsoft New Tai Lue" w:cs="Microsoft New Tai Lue"/>
          <w:b/>
          <w:color w:val="000000"/>
          <w:sz w:val="84"/>
          <w:szCs w:val="84"/>
          <w:highlight w:val="none"/>
        </w:rPr>
        <w:t xml:space="preserve"> 文 件</w:t>
      </w:r>
      <w:bookmarkEnd w:id="107"/>
      <w:r>
        <w:rPr>
          <w:rFonts w:ascii="Microsoft New Tai Lue" w:hAnsi="Microsoft New Tai Lue" w:cs="Microsoft New Tai Lue"/>
          <w:b/>
          <w:color w:val="000000"/>
          <w:sz w:val="84"/>
          <w:szCs w:val="84"/>
          <w:highlight w:val="none"/>
        </w:rPr>
      </w:r>
      <w:r/>
    </w:p>
    <w:p>
      <w:pPr>
        <w:pStyle w:val="1173"/>
        <w:ind w:right="640"/>
        <w:jc w:val="center"/>
        <w:pageBreakBefore w:val="0"/>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r>
      <w:r/>
    </w:p>
    <w:p>
      <w:pPr>
        <w:pStyle w:val="1173"/>
        <w:ind w:right="640" w:firstLine="2209"/>
        <w:pageBreakBefore w:val="0"/>
        <w:spacing w:line="360" w:lineRule="auto"/>
        <w:rPr>
          <w:rFonts w:ascii="Microsoft New Tai Lue" w:hAnsi="Microsoft New Tai Lue" w:cs="Microsoft New Tai Lue"/>
          <w:b/>
          <w:color w:val="000000"/>
          <w:sz w:val="44"/>
          <w:szCs w:val="44"/>
          <w:highlight w:val="none"/>
        </w:rPr>
      </w:pPr>
      <w:r>
        <w:rPr>
          <w:rFonts w:ascii="Microsoft New Tai Lue" w:hAnsi="Microsoft New Tai Lue" w:cs="Microsoft New Tai Lue"/>
          <w:b/>
          <w:color w:val="000000"/>
          <w:sz w:val="44"/>
          <w:szCs w:val="44"/>
          <w:highlight w:val="none"/>
        </w:rPr>
        <w:t xml:space="preserve">项目编号：</w:t>
      </w:r>
      <w:r>
        <w:rPr>
          <w:rFonts w:ascii="Microsoft New Tai Lue" w:hAnsi="Microsoft New Tai Lue" w:cs="Microsoft New Tai Lue"/>
          <w:b/>
          <w:color w:val="000000"/>
          <w:sz w:val="44"/>
          <w:szCs w:val="44"/>
          <w:highlight w:val="none"/>
        </w:rPr>
      </w:r>
      <w:r/>
    </w:p>
    <w:p>
      <w:pPr>
        <w:pStyle w:val="1185"/>
        <w:ind w:firstLine="2209"/>
        <w:rPr>
          <w:rFonts w:eastAsia="宋体"/>
          <w:highlight w:val="none"/>
          <w:lang w:val="en-US" w:eastAsia="zh-CN"/>
        </w:rPr>
      </w:pPr>
      <w:r>
        <w:rPr>
          <w:rFonts w:hint="eastAsia" w:ascii="Microsoft New Tai Lue" w:hAnsi="Microsoft New Tai Lue" w:cs="Microsoft New Tai Lue"/>
          <w:b/>
          <w:color w:val="000000"/>
          <w:sz w:val="44"/>
          <w:szCs w:val="44"/>
          <w:highlight w:val="none"/>
          <w:lang w:val="en-US" w:eastAsia="zh-CN"/>
        </w:rPr>
        <w:t xml:space="preserve">采购包:</w:t>
      </w:r>
      <w:r>
        <w:rPr>
          <w:rFonts w:eastAsia="宋体"/>
          <w:highlight w:val="none"/>
          <w:lang w:val="en-US" w:eastAsia="zh-CN"/>
        </w:rPr>
      </w:r>
      <w:r/>
    </w:p>
    <w:p>
      <w:pPr>
        <w:pStyle w:val="1185"/>
        <w:pageBreakBefore w:val="0"/>
        <w:spacing w:line="360" w:lineRule="auto"/>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1185"/>
        <w:pageBreakBefore w:val="0"/>
        <w:spacing w:line="360" w:lineRule="auto"/>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1185"/>
        <w:pageBreakBefore w:val="0"/>
        <w:spacing w:line="360" w:lineRule="auto"/>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1185"/>
        <w:pageBreakBefore w:val="0"/>
        <w:spacing w:line="360" w:lineRule="auto"/>
        <w:rPr>
          <w:rFonts w:ascii="Microsoft New Tai Lue" w:hAnsi="Microsoft New Tai Lue" w:cs="Microsoft New Tai Lue"/>
          <w:color w:val="000000"/>
          <w:sz w:val="28"/>
          <w:szCs w:val="28"/>
          <w:highlight w:val="none"/>
        </w:rPr>
      </w:pPr>
      <w:r>
        <w:rPr>
          <w:rFonts w:ascii="Microsoft New Tai Lue" w:hAnsi="Microsoft New Tai Lue" w:cs="Microsoft New Tai Lue"/>
          <w:color w:val="000000"/>
          <w:sz w:val="28"/>
          <w:szCs w:val="28"/>
          <w:highlight w:val="none"/>
        </w:rPr>
      </w:r>
      <w:r/>
    </w:p>
    <w:p>
      <w:pPr>
        <w:pStyle w:val="1185"/>
        <w:jc w:val="center"/>
        <w:pageBreakBefore w:val="0"/>
        <w:spacing w:line="360" w:lineRule="auto"/>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24"/>
          <w:highlight w:val="none"/>
        </w:rPr>
        <w:t xml:space="preserve">投标人名称：</w:t>
      </w:r>
      <w:r>
        <w:rPr>
          <w:rFonts w:ascii="Microsoft New Tai Lue" w:hAnsi="Microsoft New Tai Lue" w:cs="Microsoft New Tai Lue"/>
          <w:b/>
          <w:color w:val="000000"/>
          <w:sz w:val="32"/>
          <w:szCs w:val="32"/>
          <w:highlight w:val="none"/>
        </w:rPr>
        <w:t xml:space="preserve">_____________________</w:t>
      </w:r>
      <w:r>
        <w:rPr>
          <w:rFonts w:ascii="Microsoft New Tai Lue" w:hAnsi="Microsoft New Tai Lue" w:cs="Microsoft New Tai Lue"/>
          <w:b/>
          <w:color w:val="000000"/>
          <w:sz w:val="32"/>
          <w:szCs w:val="32"/>
          <w:highlight w:val="none"/>
        </w:rPr>
      </w:r>
      <w:r/>
    </w:p>
    <w:p>
      <w:pPr>
        <w:pStyle w:val="1185"/>
        <w:jc w:val="center"/>
        <w:pageBreakBefore w:val="0"/>
        <w:spacing w:line="360" w:lineRule="auto"/>
        <w:rPr>
          <w:rFonts w:ascii="Microsoft New Tai Lue" w:hAnsi="Microsoft New Tai Lue" w:cs="Microsoft New Tai Lue"/>
          <w:b/>
          <w:color w:val="000000"/>
          <w:sz w:val="32"/>
          <w:szCs w:val="32"/>
          <w:highlight w:val="none"/>
        </w:rPr>
      </w:pPr>
      <w:r>
        <w:rPr>
          <w:rFonts w:ascii="Microsoft New Tai Lue" w:hAnsi="Microsoft New Tai Lue" w:cs="Microsoft New Tai Lue"/>
          <w:b/>
          <w:color w:val="000000"/>
          <w:sz w:val="32"/>
          <w:szCs w:val="32"/>
          <w:highlight w:val="none"/>
        </w:rPr>
        <w:t xml:space="preserve">地址：_____________________</w:t>
      </w:r>
      <w:r>
        <w:rPr>
          <w:rFonts w:ascii="Microsoft New Tai Lue" w:hAnsi="Microsoft New Tai Lue" w:cs="Microsoft New Tai Lue"/>
          <w:b/>
          <w:color w:val="000000"/>
          <w:sz w:val="32"/>
          <w:szCs w:val="32"/>
          <w:highlight w:val="none"/>
        </w:rPr>
      </w:r>
      <w:r/>
    </w:p>
    <w:p>
      <w:pPr>
        <w:pStyle w:val="1173"/>
        <w:jc w:val="center"/>
        <w:pageBreakBefore w:val="0"/>
        <w:spacing w:line="360" w:lineRule="auto"/>
        <w:rPr>
          <w:rFonts w:ascii="Microsoft New Tai Lue" w:hAnsi="Microsoft New Tai Lue" w:cs="Microsoft New Tai Lue"/>
          <w:b/>
          <w:color w:val="000000"/>
          <w:sz w:val="32"/>
          <w:highlight w:val="none"/>
        </w:rPr>
      </w:pPr>
      <w:r>
        <w:rPr>
          <w:rFonts w:hint="eastAsia" w:ascii="Microsoft New Tai Lue" w:hAnsi="Microsoft New Tai Lue" w:cs="Microsoft New Tai Lue"/>
          <w:b/>
          <w:color w:val="000000"/>
          <w:sz w:val="32"/>
          <w:highlight w:val="none"/>
        </w:rPr>
        <w:t xml:space="preserve">二〇二五</w:t>
      </w:r>
      <w:r>
        <w:rPr>
          <w:rFonts w:ascii="Microsoft New Tai Lue" w:hAnsi="Microsoft New Tai Lue" w:cs="Microsoft New Tai Lue"/>
          <w:b/>
          <w:color w:val="000000"/>
          <w:sz w:val="32"/>
          <w:highlight w:val="none"/>
        </w:rPr>
        <w:t xml:space="preserve">年  月  日</w:t>
      </w:r>
      <w:r>
        <w:rPr>
          <w:rFonts w:ascii="Microsoft New Tai Lue" w:hAnsi="Microsoft New Tai Lue" w:cs="Microsoft New Tai Lue"/>
          <w:b/>
          <w:color w:val="000000"/>
          <w:sz w:val="32"/>
          <w:highlight w:val="none"/>
        </w:rPr>
      </w:r>
      <w:r/>
    </w:p>
    <w:p>
      <w:pPr>
        <w:pStyle w:val="1173"/>
        <w:pageBreakBefore w:val="0"/>
        <w:spacing w:line="360" w:lineRule="auto"/>
        <w:rPr>
          <w:rFonts w:ascii="Microsoft New Tai Lue" w:hAnsi="Microsoft New Tai Lue" w:cs="Microsoft New Tai Lue"/>
          <w:b/>
          <w:color w:val="000000"/>
          <w:highlight w:val="none"/>
        </w:rPr>
      </w:pPr>
      <w:r>
        <w:rPr>
          <w:rFonts w:ascii="Microsoft New Tai Lue" w:hAnsi="Microsoft New Tai Lue" w:cs="Microsoft New Tai Lue"/>
          <w:b/>
          <w:color w:val="000000"/>
          <w:highlight w:val="none"/>
        </w:rPr>
        <w:br w:type="page" w:clear="all"/>
      </w:r>
      <w:bookmarkEnd w:id="102"/>
      <w:r/>
      <w:bookmarkEnd w:id="103"/>
      <w:r/>
      <w:bookmarkEnd w:id="104"/>
      <w:r/>
      <w:bookmarkStart w:id="108" w:name="_Toc456102122"/>
      <w:r/>
      <w:bookmarkStart w:id="109" w:name="_Toc456102676"/>
      <w:r/>
      <w:bookmarkStart w:id="110" w:name="_Toc337816640"/>
      <w:r/>
      <w:bookmarkStart w:id="111" w:name="_Toc456102499"/>
      <w:r>
        <w:rPr>
          <w:rFonts w:ascii="Microsoft New Tai Lue" w:hAnsi="Microsoft New Tai Lue" w:cs="Microsoft New Tai Lue"/>
          <w:b/>
          <w:color w:val="000000"/>
          <w:highlight w:val="none"/>
        </w:rPr>
      </w:r>
      <w:r/>
    </w:p>
    <w:p>
      <w:pPr>
        <w:pStyle w:val="1173"/>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附件：</w:t>
      </w:r>
      <w:r>
        <w:rPr>
          <w:rFonts w:hint="eastAsia" w:ascii="宋体" w:hAnsi="宋体"/>
          <w:b/>
          <w:bCs/>
          <w:color w:val="000000"/>
          <w:szCs w:val="21"/>
          <w:highlight w:val="none"/>
        </w:rPr>
      </w:r>
      <w:r/>
    </w:p>
    <w:p>
      <w:pPr>
        <w:pStyle w:val="1173"/>
        <w:jc w:val="center"/>
        <w:pageBreakBefore w:val="0"/>
        <w:spacing w:line="360" w:lineRule="auto"/>
        <w:rPr>
          <w:rFonts w:hint="eastAsia" w:ascii="宋体" w:hAnsi="宋体" w:cs="宋体"/>
          <w:b/>
          <w:bCs/>
          <w:color w:val="000000"/>
          <w:szCs w:val="21"/>
          <w:highlight w:val="none"/>
        </w:rPr>
        <w:outlineLvl w:val="4"/>
      </w:pPr>
      <w:r>
        <w:rPr>
          <w:rFonts w:hint="eastAsia" w:ascii="宋体" w:hAnsi="宋体" w:cs="宋体"/>
          <w:b/>
          <w:bCs/>
          <w:color w:val="000000"/>
          <w:szCs w:val="21"/>
          <w:highlight w:val="none"/>
        </w:rPr>
        <w:t xml:space="preserve">1.法定代表人身份证明</w:t>
      </w:r>
      <w:r>
        <w:rPr>
          <w:rFonts w:hint="eastAsia" w:ascii="宋体" w:hAnsi="宋体" w:cs="宋体"/>
          <w:b/>
          <w:bCs/>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单位性质：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成立时间：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经营期限：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性别：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手机（必填）：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系：</w:t>
      </w:r>
      <w:r>
        <w:rPr>
          <w:rFonts w:hint="eastAsia" w:ascii="宋体" w:hAnsi="宋体" w:cs="宋体"/>
          <w:color w:val="000000"/>
          <w:szCs w:val="21"/>
          <w:highlight w:val="none"/>
          <w:u w:val="single"/>
        </w:rPr>
        <w:t xml:space="preserve">     （响应供应商名称）            </w:t>
      </w:r>
      <w:r>
        <w:rPr>
          <w:rFonts w:hint="eastAsia" w:ascii="宋体" w:hAnsi="宋体" w:cs="宋体"/>
          <w:color w:val="000000"/>
          <w:szCs w:val="21"/>
          <w:highlight w:val="none"/>
        </w:rPr>
        <w:t xml:space="preserve">的法定代表人。</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特此证明</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磋商响应人（盖法人章）：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   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73"/>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法定代表人（单位负责人）有效期内的身份证复印件（正反面）</w:t>
      </w:r>
      <w:r>
        <w:rPr>
          <w:rFonts w:hint="eastAsia" w:ascii="宋体" w:hAnsi="宋体" w:cs="宋体"/>
          <w:color w:val="000000"/>
          <w:szCs w:val="21"/>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82"/>
              <w:jc w:val="center"/>
              <w:pageBreakBefore w:val="0"/>
              <w:spacing w:line="360" w:lineRule="auto"/>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1173"/>
              <w:jc w:val="left"/>
              <w:pageBreakBefore w:val="0"/>
              <w:spacing w:line="360" w:lineRule="auto"/>
              <w:widowControl/>
              <w:rPr>
                <w:color w:val="000000"/>
                <w:sz w:val="20"/>
                <w:highlight w:val="none"/>
              </w:rPr>
            </w:pPr>
            <w:r>
              <w:rPr>
                <w:color w:val="000000"/>
                <w:sz w:val="20"/>
                <w:highlight w:val="none"/>
              </w:rPr>
            </w:r>
            <w:r/>
          </w:p>
        </w:tc>
        <w:tc>
          <w:tcPr>
            <w:tcW w:w="4677" w:type="dxa"/>
            <w:vAlign w:val="center"/>
            <w:textDirection w:val="lrTb"/>
            <w:noWrap w:val="false"/>
          </w:tcPr>
          <w:p>
            <w:pPr>
              <w:pStyle w:val="1173"/>
              <w:jc w:val="center"/>
              <w:pageBreakBefore w:val="0"/>
              <w:spacing w:line="360" w:lineRule="auto"/>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1179"/>
        <w:pageBreakBefore w:val="0"/>
        <w:spacing w:line="360" w:lineRule="auto"/>
        <w:rPr>
          <w:color w:val="000000"/>
          <w:highlight w:val="none"/>
        </w:rPr>
      </w:pPr>
      <w:r>
        <w:rPr>
          <w:color w:val="000000"/>
          <w:highlight w:val="none"/>
        </w:rPr>
      </w:r>
      <w:r/>
    </w:p>
    <w:p>
      <w:pPr>
        <w:pStyle w:val="1175"/>
        <w:ind w:firstLine="422"/>
        <w:pageBreakBefore w:val="0"/>
        <w:spacing w:before="0" w:after="0" w:line="360" w:lineRule="auto"/>
        <w:rPr>
          <w:rFonts w:hint="eastAsia" w:ascii="宋体" w:hAnsi="宋体" w:eastAsia="宋体"/>
          <w:color w:val="000000"/>
          <w:sz w:val="21"/>
          <w:szCs w:val="21"/>
          <w:highlight w:val="none"/>
        </w:rPr>
        <w:sectPr>
          <w:footerReference w:type="default" r:id="rId18"/>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olor w:val="000000"/>
          <w:sz w:val="21"/>
          <w:szCs w:val="21"/>
          <w:highlight w:val="none"/>
        </w:rPr>
      </w:r>
      <w:r/>
    </w:p>
    <w:p>
      <w:pPr>
        <w:pStyle w:val="1175"/>
        <w:ind w:firstLine="422"/>
        <w:pageBreakBefore w:val="0"/>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2.法定代表人授权书</w:t>
      </w:r>
      <w:r>
        <w:rPr>
          <w:rFonts w:hint="eastAsia" w:ascii="宋体" w:hAnsi="宋体" w:eastAsia="宋体"/>
          <w:color w:val="000000"/>
          <w:sz w:val="21"/>
          <w:szCs w:val="21"/>
          <w:highlight w:val="none"/>
        </w:rPr>
      </w:r>
      <w:r/>
    </w:p>
    <w:p>
      <w:pPr>
        <w:pStyle w:val="1211"/>
        <w:ind w:firstLine="422"/>
        <w:jc w:val="center"/>
        <w:pageBreakBefore w:val="0"/>
        <w:spacing w:line="360" w:lineRule="auto"/>
        <w:tabs>
          <w:tab w:val="left" w:pos="360" w:leader="none"/>
        </w:tabs>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1211"/>
        <w:ind w:left="48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hint="eastAsia" w:ascii="宋体" w:hAnsi="宋体"/>
          <w:color w:val="000000"/>
          <w:sz w:val="21"/>
          <w:szCs w:val="21"/>
          <w:highlight w:val="none"/>
          <w:u w:val="single"/>
        </w:rPr>
        <w:t xml:space="preserve">      （供应商名称）</w:t>
      </w:r>
      <w:r>
        <w:rPr>
          <w:rFonts w:hint="eastAsia" w:ascii="宋体" w:hAnsi="宋体"/>
          <w:color w:val="000000"/>
          <w:sz w:val="21"/>
          <w:szCs w:val="21"/>
          <w:highlight w:val="none"/>
        </w:rPr>
        <w:t xml:space="preserve">授权</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（被授权人的姓名）为我方就</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项目采购活动的合法代理人，以本公司名义全权处理一切与该项目采购有关的事务</w:t>
      </w:r>
      <w:r>
        <w:rPr>
          <w:rFonts w:hint="eastAsia"/>
          <w:color w:val="000000"/>
          <w:sz w:val="21"/>
          <w:szCs w:val="21"/>
          <w:highlight w:val="none"/>
        </w:rPr>
        <w:t xml:space="preserve">，其后果由我单位承担。</w:t>
      </w:r>
      <w:r>
        <w:rPr>
          <w:rFonts w:hint="eastAsia" w:ascii="宋体" w:hAnsi="宋体"/>
          <w:color w:val="000000"/>
          <w:sz w:val="21"/>
          <w:szCs w:val="21"/>
          <w:highlight w:val="none"/>
        </w:rPr>
      </w:r>
      <w:r/>
    </w:p>
    <w:p>
      <w:pPr>
        <w:pStyle w:val="1173"/>
        <w:ind w:firstLine="420"/>
        <w:pageBreakBefore w:val="0"/>
        <w:spacing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代理人无转委托权，特此委托。</w:t>
      </w:r>
      <w:r>
        <w:rPr>
          <w:rFonts w:ascii="Microsoft New Tai Lue" w:hAnsi="Microsoft New Tai Lue" w:cs="Microsoft New Tai Lue"/>
          <w:color w:val="000000"/>
          <w:szCs w:val="21"/>
          <w:highlight w:val="none"/>
        </w:rPr>
      </w:r>
      <w:r/>
    </w:p>
    <w:p>
      <w:pPr>
        <w:pStyle w:val="1211"/>
        <w:ind w:firstLine="420"/>
        <w:pageBreakBefore w:val="0"/>
        <w:spacing w:line="360" w:lineRule="auto"/>
        <w:tabs>
          <w:tab w:val="left" w:pos="360" w:leader="none"/>
        </w:tabs>
        <w:rPr>
          <w:color w:val="000000"/>
          <w:sz w:val="21"/>
          <w:szCs w:val="21"/>
          <w:highlight w:val="none"/>
        </w:rPr>
      </w:pPr>
      <w:r>
        <w:rPr>
          <w:rFonts w:hint="eastAsia"/>
          <w:color w:val="000000"/>
          <w:sz w:val="21"/>
          <w:szCs w:val="21"/>
          <w:highlight w:val="none"/>
        </w:rPr>
        <w:t xml:space="preserve">委托期限：自本授权委托书签署之日起至投标有效期届满之日止。</w:t>
      </w:r>
      <w:r>
        <w:rPr>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法定代表人：（签字或盖章）_______________________</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授权单位名称（盖章）：_________________________________</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地址：_____________________________________</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color w:val="000000"/>
          <w:highlight w:val="none"/>
        </w:rPr>
      </w:pPr>
      <w:r>
        <w:rPr>
          <w:rFonts w:hint="eastAsia" w:ascii="宋体" w:hAnsi="宋体"/>
          <w:color w:val="000000"/>
          <w:sz w:val="21"/>
          <w:szCs w:val="21"/>
          <w:highlight w:val="none"/>
        </w:rPr>
        <w:t xml:space="preserve">日期：</w:t>
      </w:r>
      <w:bookmarkStart w:id="112" w:name="_格式3__银行出具的资信证明"/>
      <w:r/>
      <w:bookmarkEnd w:id="112"/>
      <w:r/>
      <w:bookmarkStart w:id="113" w:name="_Hlt26955070"/>
      <w:r/>
      <w:bookmarkEnd w:id="113"/>
      <w:r/>
      <w:bookmarkStart w:id="114" w:name="_Hlt26671380"/>
      <w:r/>
      <w:bookmarkEnd w:id="114"/>
      <w:r>
        <w:rPr>
          <w:rFonts w:hint="eastAsia" w:ascii="宋体" w:hAnsi="宋体"/>
          <w:color w:val="000000"/>
          <w:sz w:val="21"/>
          <w:szCs w:val="21"/>
          <w:highlight w:val="none"/>
        </w:rPr>
        <w:t xml:space="preserve">     年  月  日</w:t>
      </w:r>
      <w:r>
        <w:rPr>
          <w:color w:val="000000"/>
          <w:highlight w:val="none"/>
        </w:rPr>
      </w:r>
      <w:r/>
    </w:p>
    <w:p>
      <w:pPr>
        <w:pStyle w:val="1173"/>
        <w:pageBreakBefore w:val="0"/>
        <w:spacing w:line="360" w:lineRule="auto"/>
        <w:rPr>
          <w:color w:val="000000"/>
          <w:szCs w:val="21"/>
          <w:highlight w:val="none"/>
        </w:rPr>
      </w:pPr>
      <w:r>
        <w:rPr>
          <w:color w:val="000000"/>
          <w:szCs w:val="21"/>
          <w:highlight w:val="none"/>
        </w:rPr>
      </w:r>
      <w:r/>
    </w:p>
    <w:p>
      <w:pPr>
        <w:pStyle w:val="1173"/>
        <w:pageBreakBefore w:val="0"/>
        <w:spacing w:line="360" w:lineRule="auto"/>
        <w:rPr>
          <w:rFonts w:ascii="Microsoft New Tai Lue" w:hAnsi="Microsoft New Tai Lue" w:cs="Microsoft New Tai Lue"/>
          <w:color w:val="000000"/>
          <w:highlight w:val="none"/>
        </w:rPr>
      </w:pPr>
      <w:r>
        <w:rPr>
          <w:rFonts w:hint="eastAsia"/>
          <w:color w:val="000000"/>
          <w:szCs w:val="21"/>
          <w:highlight w:val="none"/>
        </w:rPr>
        <w:t xml:space="preserve">附：</w:t>
      </w: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82"/>
              <w:jc w:val="center"/>
              <w:pageBreakBefore w:val="0"/>
              <w:spacing w:line="360" w:lineRule="auto"/>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1173"/>
              <w:jc w:val="left"/>
              <w:pageBreakBefore w:val="0"/>
              <w:spacing w:line="360" w:lineRule="auto"/>
              <w:widowControl/>
              <w:rPr>
                <w:color w:val="000000"/>
                <w:sz w:val="20"/>
                <w:highlight w:val="none"/>
              </w:rPr>
            </w:pPr>
            <w:r>
              <w:rPr>
                <w:color w:val="000000"/>
                <w:sz w:val="20"/>
                <w:highlight w:val="none"/>
              </w:rPr>
            </w:r>
            <w:r/>
          </w:p>
        </w:tc>
        <w:tc>
          <w:tcPr>
            <w:tcW w:w="4695" w:type="dxa"/>
            <w:vAlign w:val="center"/>
            <w:textDirection w:val="lrTb"/>
            <w:noWrap w:val="false"/>
          </w:tcPr>
          <w:p>
            <w:pPr>
              <w:pStyle w:val="1173"/>
              <w:jc w:val="center"/>
              <w:pageBreakBefore w:val="0"/>
              <w:spacing w:line="360" w:lineRule="auto"/>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1191"/>
        <w:pageBreakBefore w:val="0"/>
        <w:spacing w:line="360" w:lineRule="auto"/>
        <w:rPr>
          <w:rFonts w:ascii="Times New Roman" w:hAnsi="Times New Roman"/>
          <w:b/>
          <w:bCs/>
          <w:color w:val="000000"/>
          <w:szCs w:val="21"/>
          <w:highlight w:val="none"/>
        </w:rPr>
      </w:pPr>
      <w:r>
        <w:rPr>
          <w:rFonts w:ascii="Times New Roman" w:hAnsi="Times New Roman"/>
          <w:b/>
          <w:bCs/>
          <w:color w:val="000000"/>
          <w:szCs w:val="21"/>
          <w:highlight w:val="none"/>
        </w:rPr>
        <w:t xml:space="preserve">注：</w:t>
      </w:r>
      <w:r>
        <w:rPr>
          <w:rFonts w:ascii="Times New Roman" w:hAnsi="Times New Roman"/>
          <w:b/>
          <w:bCs/>
          <w:color w:val="000000"/>
          <w:szCs w:val="21"/>
          <w:highlight w:val="none"/>
        </w:rPr>
      </w:r>
      <w:r/>
    </w:p>
    <w:p>
      <w:pPr>
        <w:pStyle w:val="1191"/>
        <w:ind w:firstLine="420"/>
        <w:pageBreakBefore w:val="0"/>
        <w:spacing w:line="360" w:lineRule="auto"/>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1.若供应商为分公司、分支机构等依法无须设置法定代表人职务的单位（仅当</w:t>
      </w:r>
      <w:r>
        <w:rPr>
          <w:rFonts w:hint="eastAsia" w:ascii="Times New Roman" w:hAnsi="Times New Roman"/>
          <w:b/>
          <w:bCs/>
          <w:color w:val="000000"/>
          <w:szCs w:val="21"/>
          <w:highlight w:val="none"/>
          <w:lang w:eastAsia="zh-CN"/>
        </w:rPr>
        <w:t xml:space="preserve">采购文件</w:t>
      </w:r>
      <w:r>
        <w:rPr>
          <w:rFonts w:hint="eastAsia" w:ascii="Times New Roman" w:hAnsi="Times New Roman"/>
          <w:b/>
          <w:bCs/>
          <w:color w:val="000000"/>
          <w:szCs w:val="21"/>
          <w:highlight w:val="none"/>
        </w:rPr>
        <w:t xml:space="preserve">注明允许上述单位投标时），法定代表人签字处可由单位负责人签署。</w:t>
      </w:r>
      <w:r>
        <w:rPr>
          <w:rFonts w:ascii="Times New Roman" w:hAnsi="Times New Roman"/>
          <w:b/>
          <w:bCs/>
          <w:color w:val="000000"/>
          <w:szCs w:val="21"/>
          <w:highlight w:val="none"/>
        </w:rPr>
      </w:r>
      <w:r/>
    </w:p>
    <w:p>
      <w:pPr>
        <w:pStyle w:val="1191"/>
        <w:ind w:firstLine="420"/>
        <w:pageBreakBefore w:val="0"/>
        <w:spacing w:line="360" w:lineRule="auto"/>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2.若响应文件中签字之处均为法定代表人（单位负责人）本人签署，则可不提供本《授权委托书》，但须提供《法定代表人（单位负责人）身份证明》。</w:t>
      </w:r>
      <w:r>
        <w:rPr>
          <w:rFonts w:ascii="Times New Roman" w:hAnsi="Times New Roman"/>
          <w:b/>
          <w:bCs/>
          <w:color w:val="000000"/>
          <w:szCs w:val="21"/>
          <w:highlight w:val="none"/>
        </w:rPr>
      </w:r>
      <w:r/>
    </w:p>
    <w:p>
      <w:pPr>
        <w:pStyle w:val="1179"/>
        <w:pageBreakBefore w:val="0"/>
        <w:spacing w:line="360" w:lineRule="auto"/>
        <w:rPr>
          <w:color w:val="000000"/>
          <w:highlight w:val="none"/>
        </w:rPr>
      </w:pPr>
      <w:r>
        <w:rPr>
          <w:color w:val="000000"/>
          <w:highlight w:val="none"/>
        </w:rPr>
      </w:r>
      <w:r/>
    </w:p>
    <w:p>
      <w:pPr>
        <w:pStyle w:val="1175"/>
        <w:jc w:val="both"/>
        <w:pageBreakBefore w:val="0"/>
        <w:spacing w:line="360" w:lineRule="auto"/>
        <w:rPr>
          <w:rFonts w:hint="eastAsia" w:ascii="宋体" w:hAnsi="宋体" w:eastAsia="宋体"/>
          <w:color w:val="000000"/>
          <w:sz w:val="21"/>
          <w:szCs w:val="21"/>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olor w:val="000000"/>
          <w:sz w:val="21"/>
          <w:szCs w:val="21"/>
          <w:highlight w:val="none"/>
        </w:rPr>
      </w:r>
      <w:r/>
    </w:p>
    <w:p>
      <w:pPr>
        <w:pStyle w:val="1175"/>
        <w:pageBreakBefore w:val="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3.供应商资格声明书 </w:t>
      </w:r>
      <w:r>
        <w:rPr>
          <w:rFonts w:hint="eastAsia" w:ascii="宋体" w:hAnsi="宋体" w:eastAsia="宋体"/>
          <w:color w:val="000000"/>
          <w:sz w:val="21"/>
          <w:szCs w:val="21"/>
          <w:highlight w:val="none"/>
        </w:rPr>
      </w:r>
      <w:r/>
    </w:p>
    <w:p>
      <w:pPr>
        <w:pStyle w:val="1173"/>
        <w:pageBreakBefore w:val="0"/>
        <w:spacing w:line="360" w:lineRule="auto"/>
        <w:tabs>
          <w:tab w:val="left" w:pos="5580" w:leader="none"/>
        </w:tabs>
        <w:rPr>
          <w:color w:val="000000"/>
          <w:szCs w:val="21"/>
          <w:highlight w:val="none"/>
        </w:rPr>
      </w:pPr>
      <w:r>
        <w:rPr>
          <w:rFonts w:hint="eastAsia"/>
          <w:color w:val="000000"/>
          <w:szCs w:val="21"/>
          <w:highlight w:val="none"/>
        </w:rPr>
        <w:t xml:space="preserve">致：</w:t>
      </w:r>
      <w:r>
        <w:rPr>
          <w:rFonts w:hint="eastAsia"/>
          <w:color w:val="000000"/>
          <w:szCs w:val="21"/>
          <w:highlight w:val="none"/>
          <w:u w:val="single"/>
        </w:rPr>
        <w:t xml:space="preserve">采购人</w:t>
      </w:r>
      <w:r>
        <w:rPr>
          <w:color w:val="000000"/>
          <w:szCs w:val="21"/>
          <w:highlight w:val="none"/>
        </w:rPr>
      </w:r>
      <w:r/>
    </w:p>
    <w:p>
      <w:pPr>
        <w:pStyle w:val="1173"/>
        <w:ind w:firstLine="420"/>
        <w:pageBreakBefore w:val="0"/>
        <w:spacing w:line="360" w:lineRule="auto"/>
        <w:rPr>
          <w:color w:val="000000"/>
          <w:szCs w:val="21"/>
          <w:highlight w:val="none"/>
        </w:rPr>
      </w:pPr>
      <w:r>
        <w:rPr>
          <w:rFonts w:hint="eastAsia"/>
          <w:color w:val="000000"/>
          <w:szCs w:val="21"/>
          <w:highlight w:val="none"/>
        </w:rPr>
        <w:t xml:space="preserve">在参与本次项目响应中，我单位承诺：</w:t>
      </w:r>
      <w:r>
        <w:rPr>
          <w:color w:val="000000"/>
          <w:szCs w:val="21"/>
          <w:highlight w:val="none"/>
        </w:rPr>
      </w:r>
      <w:r/>
    </w:p>
    <w:p>
      <w:pPr>
        <w:pStyle w:val="1173"/>
        <w:numPr>
          <w:ilvl w:val="0"/>
          <w:numId w:val="10"/>
        </w:numPr>
        <w:ind w:left="1134"/>
        <w:jc w:val="left"/>
        <w:pageBreakBefore w:val="0"/>
        <w:spacing w:line="360" w:lineRule="auto"/>
        <w:rPr>
          <w:color w:val="000000"/>
          <w:szCs w:val="21"/>
          <w:highlight w:val="none"/>
        </w:rPr>
      </w:pPr>
      <w:r>
        <w:rPr>
          <w:rFonts w:hint="eastAsia"/>
          <w:color w:val="000000"/>
          <w:szCs w:val="21"/>
          <w:highlight w:val="none"/>
        </w:rPr>
        <w:t xml:space="preserve">具有良好的商业信誉和健全的财务会计制度；</w:t>
      </w:r>
      <w:r>
        <w:rPr>
          <w:color w:val="000000"/>
          <w:szCs w:val="21"/>
          <w:highlight w:val="none"/>
        </w:rPr>
      </w:r>
      <w:r/>
    </w:p>
    <w:p>
      <w:pPr>
        <w:pStyle w:val="1173"/>
        <w:numPr>
          <w:ilvl w:val="0"/>
          <w:numId w:val="10"/>
        </w:numPr>
        <w:ind w:left="1134"/>
        <w:jc w:val="left"/>
        <w:pageBreakBefore w:val="0"/>
        <w:spacing w:line="360" w:lineRule="auto"/>
        <w:rPr>
          <w:color w:val="000000"/>
          <w:szCs w:val="21"/>
          <w:highlight w:val="none"/>
        </w:rPr>
      </w:pPr>
      <w:r>
        <w:rPr>
          <w:rFonts w:hint="eastAsia"/>
          <w:color w:val="000000"/>
          <w:szCs w:val="21"/>
          <w:highlight w:val="none"/>
        </w:rPr>
        <w:t xml:space="preserve">具有履行合同所必需的设备和专业技术能力；</w:t>
      </w:r>
      <w:r>
        <w:rPr>
          <w:color w:val="000000"/>
          <w:szCs w:val="21"/>
          <w:highlight w:val="none"/>
        </w:rPr>
      </w:r>
      <w:r/>
    </w:p>
    <w:p>
      <w:pPr>
        <w:pStyle w:val="1173"/>
        <w:numPr>
          <w:ilvl w:val="0"/>
          <w:numId w:val="10"/>
        </w:numPr>
        <w:ind w:left="1134"/>
        <w:jc w:val="left"/>
        <w:pageBreakBefore w:val="0"/>
        <w:spacing w:line="360" w:lineRule="auto"/>
        <w:rPr>
          <w:color w:val="000000"/>
          <w:szCs w:val="21"/>
          <w:highlight w:val="none"/>
        </w:rPr>
      </w:pPr>
      <w:r>
        <w:rPr>
          <w:rFonts w:hint="eastAsia"/>
          <w:color w:val="000000"/>
          <w:szCs w:val="21"/>
          <w:highlight w:val="none"/>
        </w:rPr>
        <w:t xml:space="preserve">具有依法缴纳税收和社会保障资金的良好记录；</w:t>
      </w:r>
      <w:r>
        <w:rPr>
          <w:color w:val="000000"/>
          <w:szCs w:val="21"/>
          <w:highlight w:val="none"/>
        </w:rPr>
      </w:r>
      <w:r/>
    </w:p>
    <w:p>
      <w:pPr>
        <w:pStyle w:val="1173"/>
        <w:numPr>
          <w:ilvl w:val="0"/>
          <w:numId w:val="10"/>
        </w:numPr>
        <w:ind w:left="1134"/>
        <w:jc w:val="left"/>
        <w:pageBreakBefore w:val="0"/>
        <w:spacing w:line="360" w:lineRule="auto"/>
        <w:rPr>
          <w:color w:val="000000"/>
          <w:szCs w:val="21"/>
          <w:highlight w:val="none"/>
        </w:rPr>
      </w:pPr>
      <w:r>
        <w:rPr>
          <w:rFonts w:hint="eastAsia"/>
          <w:color w:val="000000"/>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color w:val="000000"/>
          <w:szCs w:val="21"/>
          <w:highlight w:val="none"/>
        </w:rPr>
      </w:r>
      <w:r/>
    </w:p>
    <w:p>
      <w:pPr>
        <w:pStyle w:val="1173"/>
        <w:numPr>
          <w:ilvl w:val="0"/>
          <w:numId w:val="10"/>
        </w:numPr>
        <w:ind w:left="1134"/>
        <w:jc w:val="left"/>
        <w:pageBreakBefore w:val="0"/>
        <w:spacing w:line="360" w:lineRule="auto"/>
        <w:rPr>
          <w:color w:val="000000"/>
          <w:szCs w:val="21"/>
          <w:highlight w:val="none"/>
        </w:rPr>
      </w:pPr>
      <w:r>
        <w:rPr>
          <w:rFonts w:hint="eastAsia"/>
          <w:color w:val="000000"/>
          <w:szCs w:val="21"/>
          <w:highlight w:val="none"/>
        </w:rPr>
        <w:t xml:space="preserve">我单位不存在为采购项目提供整体设计、规范编制或者项目管理、监理、检测等服务后，再参加该采购项目的其他采购活动的情形（单一来源采购项目除外）；</w:t>
      </w:r>
      <w:r>
        <w:rPr>
          <w:color w:val="000000"/>
          <w:szCs w:val="21"/>
          <w:highlight w:val="none"/>
        </w:rPr>
      </w:r>
      <w:r/>
    </w:p>
    <w:p>
      <w:pPr>
        <w:pStyle w:val="1173"/>
        <w:numPr>
          <w:ilvl w:val="0"/>
          <w:numId w:val="10"/>
        </w:numPr>
        <w:ind w:left="1134"/>
        <w:jc w:val="left"/>
        <w:pageBreakBefore w:val="0"/>
        <w:spacing w:line="360" w:lineRule="auto"/>
        <w:rPr>
          <w:color w:val="000000"/>
          <w:szCs w:val="21"/>
          <w:highlight w:val="none"/>
        </w:rPr>
      </w:pPr>
      <w:r>
        <w:rPr>
          <w:rFonts w:hint="eastAsia"/>
          <w:color w:val="000000"/>
          <w:szCs w:val="21"/>
          <w:highlight w:val="none"/>
        </w:rPr>
        <w:t xml:space="preserve">与我单位存在“单位负责人为同一人或者存在直接控股、管理关系”的其他法人单位信息如下（如有，不论其是否参加同一合同项下的政府采购活动均须填写）：</w:t>
      </w:r>
      <w:r>
        <w:rPr>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1173"/>
              <w:jc w:val="center"/>
              <w:pageBreakBefore w:val="0"/>
              <w:spacing w:line="360" w:lineRule="auto"/>
              <w:rPr>
                <w:color w:val="000000"/>
                <w:szCs w:val="21"/>
                <w:highlight w:val="none"/>
              </w:rPr>
            </w:pPr>
            <w:r>
              <w:rPr>
                <w:rFonts w:hint="eastAsia"/>
                <w:color w:val="000000"/>
                <w:szCs w:val="21"/>
                <w:highlight w:val="none"/>
              </w:rPr>
              <w:t xml:space="preserve">序号</w:t>
            </w:r>
            <w:r>
              <w:rPr>
                <w:color w:val="000000"/>
                <w:szCs w:val="21"/>
                <w:highlight w:val="none"/>
              </w:rPr>
            </w:r>
            <w:r/>
          </w:p>
        </w:tc>
        <w:tc>
          <w:tcPr>
            <w:tcW w:w="4574" w:type="dxa"/>
            <w:vAlign w:val="center"/>
            <w:textDirection w:val="lrTb"/>
            <w:noWrap w:val="false"/>
          </w:tcPr>
          <w:p>
            <w:pPr>
              <w:pStyle w:val="1173"/>
              <w:jc w:val="center"/>
              <w:pageBreakBefore w:val="0"/>
              <w:spacing w:line="360" w:lineRule="auto"/>
              <w:rPr>
                <w:color w:val="000000"/>
                <w:szCs w:val="21"/>
                <w:highlight w:val="none"/>
              </w:rPr>
            </w:pPr>
            <w:r>
              <w:rPr>
                <w:rFonts w:hint="eastAsia"/>
                <w:color w:val="000000"/>
                <w:szCs w:val="21"/>
                <w:highlight w:val="none"/>
              </w:rPr>
              <w:t xml:space="preserve">单位名称</w:t>
            </w:r>
            <w:r>
              <w:rPr>
                <w:color w:val="000000"/>
                <w:szCs w:val="21"/>
                <w:highlight w:val="none"/>
              </w:rPr>
            </w:r>
            <w:r/>
          </w:p>
        </w:tc>
        <w:tc>
          <w:tcPr>
            <w:tcW w:w="2976" w:type="dxa"/>
            <w:vAlign w:val="center"/>
            <w:textDirection w:val="lrTb"/>
            <w:noWrap w:val="false"/>
          </w:tcPr>
          <w:p>
            <w:pPr>
              <w:pStyle w:val="1173"/>
              <w:jc w:val="center"/>
              <w:pageBreakBefore w:val="0"/>
              <w:spacing w:line="360" w:lineRule="auto"/>
              <w:rPr>
                <w:color w:val="000000"/>
                <w:szCs w:val="21"/>
                <w:highlight w:val="none"/>
              </w:rPr>
            </w:pPr>
            <w:r>
              <w:rPr>
                <w:rFonts w:hint="eastAsia"/>
                <w:color w:val="000000"/>
                <w:szCs w:val="21"/>
                <w:highlight w:val="none"/>
              </w:rPr>
              <w:t xml:space="preserve">相互关系</w:t>
            </w:r>
            <w:r>
              <w:rPr>
                <w:color w:val="000000"/>
                <w:szCs w:val="21"/>
                <w:highlight w:val="none"/>
              </w:rPr>
            </w:r>
            <w:r/>
          </w:p>
        </w:tc>
      </w:tr>
      <w:tr>
        <w:trPr>
          <w:trHeight w:val="430"/>
        </w:trPr>
        <w:tc>
          <w:tcPr>
            <w:tcW w:w="950" w:type="dxa"/>
            <w:vAlign w:val="center"/>
            <w:textDirection w:val="lrTb"/>
            <w:noWrap w:val="false"/>
          </w:tcPr>
          <w:p>
            <w:pPr>
              <w:pStyle w:val="1173"/>
              <w:jc w:val="center"/>
              <w:pageBreakBefore w:val="0"/>
              <w:spacing w:line="360" w:lineRule="auto"/>
              <w:rPr>
                <w:color w:val="000000"/>
                <w:szCs w:val="21"/>
                <w:highlight w:val="none"/>
              </w:rPr>
            </w:pPr>
            <w:r>
              <w:rPr>
                <w:rFonts w:hint="eastAsia"/>
                <w:color w:val="000000"/>
                <w:szCs w:val="21"/>
                <w:highlight w:val="none"/>
              </w:rPr>
              <w:t xml:space="preserve">1</w:t>
            </w:r>
            <w:r>
              <w:rPr>
                <w:color w:val="000000"/>
                <w:szCs w:val="21"/>
                <w:highlight w:val="none"/>
              </w:rPr>
            </w:r>
            <w:r/>
          </w:p>
        </w:tc>
        <w:tc>
          <w:tcPr>
            <w:tcW w:w="4574" w:type="dxa"/>
            <w:vAlign w:val="center"/>
            <w:textDirection w:val="lrTb"/>
            <w:noWrap w:val="false"/>
          </w:tcPr>
          <w:p>
            <w:pPr>
              <w:pStyle w:val="1173"/>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c>
          <w:tcPr>
            <w:tcW w:w="2976" w:type="dxa"/>
            <w:vAlign w:val="center"/>
            <w:textDirection w:val="lrTb"/>
            <w:noWrap w:val="false"/>
          </w:tcPr>
          <w:p>
            <w:pPr>
              <w:pStyle w:val="1173"/>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r>
      <w:tr>
        <w:trPr>
          <w:trHeight w:val="430"/>
        </w:trPr>
        <w:tc>
          <w:tcPr>
            <w:tcW w:w="950" w:type="dxa"/>
            <w:vAlign w:val="center"/>
            <w:textDirection w:val="lrTb"/>
            <w:noWrap w:val="false"/>
          </w:tcPr>
          <w:p>
            <w:pPr>
              <w:pStyle w:val="1173"/>
              <w:jc w:val="center"/>
              <w:pageBreakBefore w:val="0"/>
              <w:spacing w:line="360" w:lineRule="auto"/>
              <w:rPr>
                <w:color w:val="000000"/>
                <w:szCs w:val="21"/>
                <w:highlight w:val="none"/>
              </w:rPr>
            </w:pPr>
            <w:r>
              <w:rPr>
                <w:rFonts w:hint="eastAsia"/>
                <w:color w:val="000000"/>
                <w:szCs w:val="21"/>
                <w:highlight w:val="none"/>
              </w:rPr>
              <w:t xml:space="preserve">2</w:t>
            </w:r>
            <w:r>
              <w:rPr>
                <w:color w:val="000000"/>
                <w:szCs w:val="21"/>
                <w:highlight w:val="none"/>
              </w:rPr>
            </w:r>
            <w:r/>
          </w:p>
        </w:tc>
        <w:tc>
          <w:tcPr>
            <w:tcW w:w="4574" w:type="dxa"/>
            <w:vAlign w:val="center"/>
            <w:textDirection w:val="lrTb"/>
            <w:noWrap w:val="false"/>
          </w:tcPr>
          <w:p>
            <w:pPr>
              <w:pStyle w:val="1173"/>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c>
          <w:tcPr>
            <w:tcW w:w="2976" w:type="dxa"/>
            <w:vAlign w:val="center"/>
            <w:textDirection w:val="lrTb"/>
            <w:noWrap w:val="false"/>
          </w:tcPr>
          <w:p>
            <w:pPr>
              <w:pStyle w:val="1173"/>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r>
      <w:tr>
        <w:trPr>
          <w:trHeight w:val="430"/>
        </w:trPr>
        <w:tc>
          <w:tcPr>
            <w:tcW w:w="950" w:type="dxa"/>
            <w:vAlign w:val="center"/>
            <w:textDirection w:val="lrTb"/>
            <w:noWrap w:val="false"/>
          </w:tcPr>
          <w:p>
            <w:pPr>
              <w:pStyle w:val="1173"/>
              <w:jc w:val="center"/>
              <w:pageBreakBefore w:val="0"/>
              <w:spacing w:line="360" w:lineRule="auto"/>
              <w:rPr>
                <w:color w:val="000000"/>
                <w:szCs w:val="21"/>
                <w:highlight w:val="none"/>
              </w:rPr>
            </w:pPr>
            <w:r>
              <w:rPr>
                <w:rFonts w:hint="eastAsia"/>
                <w:color w:val="000000"/>
                <w:szCs w:val="21"/>
                <w:highlight w:val="none"/>
              </w:rPr>
              <w:t xml:space="preserve">…</w:t>
            </w:r>
            <w:r>
              <w:rPr>
                <w:color w:val="000000"/>
                <w:szCs w:val="21"/>
                <w:highlight w:val="none"/>
              </w:rPr>
            </w:r>
            <w:r/>
          </w:p>
        </w:tc>
        <w:tc>
          <w:tcPr>
            <w:tcW w:w="4574" w:type="dxa"/>
            <w:vAlign w:val="center"/>
            <w:textDirection w:val="lrTb"/>
            <w:noWrap w:val="false"/>
          </w:tcPr>
          <w:p>
            <w:pPr>
              <w:pStyle w:val="1173"/>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c>
          <w:tcPr>
            <w:tcW w:w="2976" w:type="dxa"/>
            <w:vAlign w:val="center"/>
            <w:textDirection w:val="lrTb"/>
            <w:noWrap w:val="false"/>
          </w:tcPr>
          <w:p>
            <w:pPr>
              <w:pStyle w:val="1173"/>
              <w:jc w:val="center"/>
              <w:pageBreakBefore w:val="0"/>
              <w:spacing w:line="360" w:lineRule="auto"/>
              <w:rPr>
                <w:b/>
                <w:bCs/>
                <w:color w:val="000000"/>
                <w:szCs w:val="21"/>
                <w:highlight w:val="none"/>
              </w:rPr>
            </w:pPr>
            <w:r>
              <w:rPr>
                <w:rFonts w:hint="eastAsia"/>
                <w:b/>
                <w:bCs/>
                <w:color w:val="000000"/>
                <w:szCs w:val="21"/>
                <w:highlight w:val="none"/>
              </w:rPr>
              <w:t xml:space="preserve">/</w:t>
            </w:r>
            <w:r>
              <w:rPr>
                <w:b/>
                <w:bCs/>
                <w:color w:val="000000"/>
                <w:szCs w:val="21"/>
                <w:highlight w:val="none"/>
              </w:rPr>
            </w:r>
            <w:r/>
          </w:p>
        </w:tc>
      </w:tr>
    </w:tbl>
    <w:p>
      <w:pPr>
        <w:pStyle w:val="1173"/>
        <w:pageBreakBefore w:val="0"/>
        <w:spacing w:line="360" w:lineRule="auto"/>
        <w:rPr>
          <w:color w:val="000000"/>
          <w:szCs w:val="21"/>
          <w:highlight w:val="none"/>
        </w:rPr>
      </w:pPr>
      <w:r>
        <w:rPr>
          <w:color w:val="000000"/>
          <w:szCs w:val="21"/>
          <w:highlight w:val="none"/>
        </w:rPr>
      </w:r>
      <w:r/>
    </w:p>
    <w:p>
      <w:pPr>
        <w:pStyle w:val="1173"/>
        <w:ind w:firstLine="420"/>
        <w:pageBreakBefore w:val="0"/>
        <w:spacing w:line="360" w:lineRule="auto"/>
        <w:rPr>
          <w:color w:val="000000"/>
          <w:szCs w:val="21"/>
          <w:highlight w:val="none"/>
        </w:rPr>
      </w:pPr>
      <w:r>
        <w:rPr>
          <w:rFonts w:hint="eastAsia"/>
          <w:color w:val="000000"/>
          <w:szCs w:val="21"/>
          <w:highlight w:val="none"/>
        </w:rPr>
        <w:t xml:space="preserve">上述声明真实有效，否则我方负全部责任。</w:t>
      </w:r>
      <w:r>
        <w:rPr>
          <w:color w:val="000000"/>
          <w:szCs w:val="21"/>
          <w:highlight w:val="none"/>
        </w:rPr>
      </w:r>
      <w:r/>
    </w:p>
    <w:p>
      <w:pPr>
        <w:pStyle w:val="1173"/>
        <w:pageBreakBefore w:val="0"/>
        <w:spacing w:line="360" w:lineRule="auto"/>
        <w:rPr>
          <w:color w:val="000000"/>
          <w:szCs w:val="21"/>
          <w:highlight w:val="none"/>
        </w:rPr>
      </w:pPr>
      <w:r>
        <w:rPr>
          <w:color w:val="000000"/>
          <w:szCs w:val="21"/>
          <w:highlight w:val="none"/>
        </w:rPr>
      </w:r>
      <w:r/>
    </w:p>
    <w:p>
      <w:pPr>
        <w:pStyle w:val="1173"/>
        <w:jc w:val="right"/>
        <w:pageBreakBefore w:val="0"/>
        <w:spacing w:before="25" w:after="25" w:line="360" w:lineRule="auto"/>
        <w:rPr>
          <w:color w:val="000000"/>
          <w:szCs w:val="21"/>
          <w:highlight w:val="none"/>
        </w:rPr>
      </w:pPr>
      <w:r>
        <w:rPr>
          <w:rFonts w:hint="eastAsia"/>
          <w:color w:val="000000"/>
          <w:szCs w:val="21"/>
          <w:highlight w:val="none"/>
        </w:rPr>
        <w:t xml:space="preserve">供应商名称（加盖公章）：</w:t>
      </w:r>
      <w:r>
        <w:rPr>
          <w:rFonts w:hint="eastAsia"/>
          <w:color w:val="000000"/>
          <w:szCs w:val="21"/>
          <w:highlight w:val="none"/>
          <w:u w:val="single"/>
        </w:rPr>
        <w:t xml:space="preserve">            </w:t>
      </w:r>
      <w:r>
        <w:rPr>
          <w:rFonts w:hint="eastAsia"/>
          <w:color w:val="000000"/>
          <w:szCs w:val="21"/>
          <w:highlight w:val="none"/>
        </w:rPr>
        <w:t xml:space="preserve"> </w:t>
      </w:r>
      <w:r>
        <w:rPr>
          <w:color w:val="000000"/>
          <w:szCs w:val="21"/>
          <w:highlight w:val="none"/>
        </w:rPr>
      </w:r>
      <w:r/>
    </w:p>
    <w:p>
      <w:pPr>
        <w:pStyle w:val="1173"/>
        <w:ind w:right="360" w:firstLine="480"/>
        <w:jc w:val="right"/>
        <w:pageBreakBefore w:val="0"/>
        <w:spacing w:line="360" w:lineRule="auto"/>
        <w:rPr>
          <w:color w:val="000000"/>
          <w:szCs w:val="21"/>
          <w:highlight w:val="none"/>
        </w:rPr>
      </w:pPr>
      <w:r>
        <w:rPr>
          <w:rFonts w:hint="eastAsia"/>
          <w:color w:val="000000"/>
          <w:szCs w:val="21"/>
          <w:highlight w:val="none"/>
        </w:rPr>
        <w:t xml:space="preserve">日期：</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r>
        <w:rPr>
          <w:rFonts w:hint="eastAsia"/>
          <w:color w:val="000000"/>
          <w:szCs w:val="21"/>
          <w:highlight w:val="none"/>
        </w:rPr>
        <w:t xml:space="preserve">年</w:t>
      </w:r>
      <w:r>
        <w:rPr>
          <w:rFonts w:hint="eastAsia"/>
          <w:color w:val="000000"/>
          <w:szCs w:val="21"/>
          <w:highlight w:val="none"/>
          <w:u w:val="single"/>
        </w:rPr>
        <w:t xml:space="preserve">    </w:t>
      </w:r>
      <w:r>
        <w:rPr>
          <w:rFonts w:hint="eastAsia"/>
          <w:color w:val="000000"/>
          <w:szCs w:val="21"/>
          <w:highlight w:val="none"/>
        </w:rPr>
        <w:t xml:space="preserve">月</w:t>
      </w:r>
      <w:r>
        <w:rPr>
          <w:rFonts w:hint="eastAsia"/>
          <w:color w:val="000000"/>
          <w:szCs w:val="21"/>
          <w:highlight w:val="none"/>
          <w:u w:val="single"/>
        </w:rPr>
        <w:t xml:space="preserve">    </w:t>
      </w:r>
      <w:r>
        <w:rPr>
          <w:rFonts w:hint="eastAsia"/>
          <w:color w:val="000000"/>
          <w:szCs w:val="21"/>
          <w:highlight w:val="none"/>
        </w:rPr>
        <w:t xml:space="preserve">日</w:t>
      </w:r>
      <w:r>
        <w:rPr>
          <w:color w:val="000000"/>
          <w:szCs w:val="21"/>
          <w:highlight w:val="none"/>
        </w:rPr>
      </w:r>
      <w:r/>
    </w:p>
    <w:p>
      <w:pPr>
        <w:pStyle w:val="1173"/>
        <w:jc w:val="right"/>
        <w:pageBreakBefore w:val="0"/>
        <w:spacing w:before="25" w:after="25" w:line="360" w:lineRule="auto"/>
        <w:rPr>
          <w:color w:val="000000"/>
          <w:szCs w:val="21"/>
          <w:highlight w:val="none"/>
        </w:rPr>
      </w:pPr>
      <w:r>
        <w:rPr>
          <w:color w:val="000000"/>
          <w:szCs w:val="21"/>
          <w:highlight w:val="none"/>
        </w:rPr>
      </w:r>
      <w:r/>
    </w:p>
    <w:p>
      <w:pPr>
        <w:pStyle w:val="1173"/>
        <w:pageBreakBefore w:val="0"/>
        <w:spacing w:line="360" w:lineRule="auto"/>
        <w:rPr>
          <w:color w:val="000000"/>
          <w:szCs w:val="21"/>
          <w:highlight w:val="none"/>
        </w:rPr>
      </w:pPr>
      <w:r>
        <w:rPr>
          <w:color w:val="000000"/>
          <w:szCs w:val="21"/>
          <w:highlight w:val="none"/>
        </w:rPr>
      </w:r>
      <w:r/>
    </w:p>
    <w:p>
      <w:pPr>
        <w:pStyle w:val="1173"/>
        <w:pageBreakBefore w:val="0"/>
        <w:spacing w:line="360" w:lineRule="auto"/>
        <w:rPr>
          <w:color w:val="000000"/>
          <w:szCs w:val="21"/>
          <w:highlight w:val="none"/>
        </w:rPr>
      </w:pPr>
      <w:r>
        <w:rPr>
          <w:rFonts w:hint="eastAsia"/>
          <w:color w:val="000000"/>
          <w:szCs w:val="21"/>
          <w:highlight w:val="none"/>
        </w:rPr>
        <w:t xml:space="preserve">说明：供应商承诺不实的，依据《</w:t>
      </w:r>
      <w:r>
        <w:rPr>
          <w:rFonts w:hint="eastAsia" w:ascii="宋体" w:hAnsi="宋体" w:cs="宋体"/>
          <w:color w:val="000000"/>
          <w:szCs w:val="21"/>
          <w:highlight w:val="none"/>
        </w:rPr>
        <w:t xml:space="preserve">中华人民共和国政府采购法</w:t>
      </w:r>
      <w:r>
        <w:rPr>
          <w:rFonts w:hint="eastAsia"/>
          <w:color w:val="000000"/>
          <w:szCs w:val="21"/>
          <w:highlight w:val="none"/>
        </w:rPr>
        <w:t xml:space="preserve">》第七十七条“提供虚假材料谋取中标、成交的”有关规定予以处理。</w:t>
      </w:r>
      <w:r>
        <w:rPr>
          <w:color w:val="000000"/>
          <w:szCs w:val="21"/>
          <w:highlight w:val="none"/>
        </w:rPr>
      </w:r>
      <w:r/>
    </w:p>
    <w:p>
      <w:pPr>
        <w:pStyle w:val="1173"/>
        <w:contextualSpacing/>
        <w:ind w:firstLine="420"/>
        <w:pageBreakBefore w:val="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1173"/>
        <w:jc w:val="center"/>
        <w:pageBreakBefore w:val="0"/>
        <w:spacing w:line="36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1173"/>
        <w:jc w:val="center"/>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1173"/>
        <w:pageBreakBefore w:val="0"/>
        <w:spacing w:line="360" w:lineRule="auto"/>
        <w:rPr>
          <w:color w:val="000000"/>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color w:val="000000"/>
          <w:highlight w:val="none"/>
        </w:rPr>
      </w:r>
      <w:r/>
    </w:p>
    <w:p>
      <w:pPr>
        <w:pStyle w:val="1173"/>
        <w:jc w:val="center"/>
        <w:pageBreakBefore w:val="0"/>
        <w:spacing w:line="360" w:lineRule="auto"/>
        <w:rPr>
          <w:rFonts w:hint="eastAsia" w:ascii="宋体" w:hAnsi="宋体" w:cs="宋体"/>
          <w:b/>
          <w:bCs/>
          <w:color w:val="000000"/>
          <w:szCs w:val="21"/>
          <w:highlight w:val="none"/>
        </w:rPr>
        <w:outlineLvl w:val="4"/>
      </w:pPr>
      <w:r>
        <w:rPr>
          <w:rFonts w:hint="eastAsia" w:ascii="宋体" w:hAnsi="宋体" w:cs="宋体"/>
          <w:b/>
          <w:bCs/>
          <w:color w:val="000000"/>
          <w:szCs w:val="21"/>
          <w:highlight w:val="none"/>
        </w:rPr>
        <w:t xml:space="preserve">4.诚信承诺书</w:t>
      </w:r>
      <w:r>
        <w:rPr>
          <w:rFonts w:hint="eastAsia" w:ascii="宋体" w:hAnsi="宋体" w:cs="宋体"/>
          <w:b/>
          <w:bCs/>
          <w:color w:val="000000"/>
          <w:szCs w:val="21"/>
          <w:highlight w:val="none"/>
        </w:rPr>
      </w:r>
      <w:r/>
    </w:p>
    <w:p>
      <w:pPr>
        <w:pStyle w:val="1173"/>
        <w:pageBreakBefore w:val="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u w:val="single"/>
        </w:rPr>
        <w:t xml:space="preserve">           （采购人名称）</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我单位在参加贵单位组织的</w:t>
      </w:r>
      <w:r>
        <w:rPr>
          <w:rFonts w:hint="eastAsia" w:ascii="宋体" w:hAnsi="宋体" w:cs="宋体"/>
          <w:color w:val="000000"/>
          <w:szCs w:val="21"/>
          <w:highlight w:val="none"/>
          <w:u w:val="single"/>
        </w:rPr>
        <w:t xml:space="preserve">                         项目</w:t>
      </w:r>
      <w:r>
        <w:rPr>
          <w:rFonts w:hint="eastAsia" w:ascii="宋体" w:hAnsi="宋体" w:cs="宋体"/>
          <w:color w:val="000000"/>
          <w:szCs w:val="21"/>
          <w:highlight w:val="none"/>
        </w:rPr>
        <w:t xml:space="preserve">的磋商活动中，郑重承诺如下：</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1.我单位参与本项目投标，提交的磋商响应文件包括资格审查材料均真实可信。证件及有关附件是真实的，绝无提供虚假材料行为。</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2.我单位参与本项目投标绝无借资质、挂靠行为。</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3.本项目授权代表为本单位正式员工。</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4.我单位遵守国家廉政相关规定，无失信、行贿等不良行为。</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lang w:val="en-GB"/>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GB"/>
        </w:rPr>
        <w:t xml:space="preserve">我单位</w:t>
      </w:r>
      <w:r>
        <w:rPr>
          <w:rFonts w:hint="eastAsia" w:ascii="宋体" w:hAnsi="宋体" w:cs="宋体"/>
          <w:color w:val="000000"/>
          <w:szCs w:val="21"/>
          <w:highlight w:val="none"/>
        </w:rPr>
        <w:t xml:space="preserve">参与本项目</w:t>
      </w:r>
      <w:r>
        <w:rPr>
          <w:rFonts w:hint="eastAsia" w:ascii="宋体" w:hAnsi="宋体" w:cs="宋体"/>
          <w:color w:val="000000"/>
          <w:szCs w:val="21"/>
          <w:highlight w:val="none"/>
          <w:lang w:val="en-GB"/>
        </w:rPr>
        <w:t xml:space="preserve">投标</w:t>
      </w:r>
      <w:r>
        <w:rPr>
          <w:rFonts w:hint="eastAsia" w:ascii="宋体" w:hAnsi="宋体" w:cs="宋体"/>
          <w:color w:val="000000"/>
          <w:szCs w:val="21"/>
          <w:highlight w:val="none"/>
        </w:rPr>
        <w:t xml:space="preserve">绝无</w:t>
      </w:r>
      <w:r>
        <w:rPr>
          <w:rFonts w:hint="eastAsia" w:ascii="宋体" w:hAnsi="宋体" w:cs="宋体"/>
          <w:color w:val="000000"/>
          <w:szCs w:val="21"/>
          <w:highlight w:val="none"/>
          <w:lang w:val="en-GB"/>
        </w:rPr>
        <w:t xml:space="preserve">串标、围标等行为。</w:t>
      </w:r>
      <w:r>
        <w:rPr>
          <w:rFonts w:hint="eastAsia" w:ascii="宋体" w:hAnsi="宋体" w:cs="宋体"/>
          <w:color w:val="000000"/>
          <w:szCs w:val="21"/>
          <w:highlight w:val="none"/>
          <w:lang w:val="en-GB"/>
        </w:rPr>
      </w:r>
      <w:r/>
    </w:p>
    <w:p>
      <w:pPr>
        <w:pStyle w:val="1173"/>
        <w:ind w:firstLine="480"/>
        <w:pageBreakBefore w:val="0"/>
        <w:spacing w:line="360" w:lineRule="auto"/>
        <w:rPr>
          <w:rFonts w:hint="eastAsia" w:ascii="宋体" w:hAnsi="宋体" w:cs="宋体"/>
          <w:color w:val="000000"/>
          <w:szCs w:val="21"/>
          <w:highlight w:val="none"/>
          <w:lang w:val="en-GB"/>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en-GB"/>
        </w:rPr>
        <w:t xml:space="preserve">我单位在参加政府采购活动前三年内，在经营活动中没有重大违法记录。</w:t>
      </w:r>
      <w:r>
        <w:rPr>
          <w:rFonts w:hint="eastAsia" w:ascii="宋体" w:hAnsi="宋体" w:cs="宋体"/>
          <w:color w:val="000000"/>
          <w:szCs w:val="21"/>
          <w:highlight w:val="none"/>
          <w:lang w:val="en-GB"/>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7.如中标，我单位</w:t>
      </w:r>
      <w:r>
        <w:rPr>
          <w:rFonts w:hint="eastAsia" w:ascii="宋体" w:hAnsi="宋体" w:cs="宋体"/>
          <w:color w:val="000000"/>
          <w:szCs w:val="21"/>
          <w:highlight w:val="none"/>
          <w:lang w:val="en-GB"/>
        </w:rPr>
        <w:t xml:space="preserve">在</w:t>
      </w:r>
      <w:r>
        <w:rPr>
          <w:rFonts w:hint="eastAsia" w:ascii="宋体" w:hAnsi="宋体" w:cs="宋体"/>
          <w:color w:val="000000"/>
          <w:szCs w:val="21"/>
          <w:highlight w:val="none"/>
        </w:rPr>
        <w:t xml:space="preserve">成交结果</w:t>
      </w:r>
      <w:r>
        <w:rPr>
          <w:rFonts w:hint="eastAsia" w:ascii="宋体" w:hAnsi="宋体" w:cs="宋体"/>
          <w:color w:val="000000"/>
          <w:szCs w:val="21"/>
          <w:highlight w:val="none"/>
          <w:lang w:val="en-GB"/>
        </w:rPr>
        <w:t xml:space="preserve">公示结束后</w:t>
      </w:r>
      <w:r>
        <w:rPr>
          <w:rFonts w:hint="eastAsia" w:ascii="宋体" w:hAnsi="宋体" w:cs="宋体"/>
          <w:color w:val="000000"/>
          <w:szCs w:val="21"/>
          <w:highlight w:val="none"/>
        </w:rPr>
        <w:t xml:space="preserve">3天内领取中标通知书。</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8.中标后，我单位将按照</w:t>
      </w:r>
      <w:r>
        <w:rPr>
          <w:rFonts w:hint="eastAsia" w:ascii="宋体" w:hAnsi="宋体" w:cs="宋体"/>
          <w:color w:val="000000"/>
          <w:szCs w:val="21"/>
          <w:highlight w:val="none"/>
          <w:lang w:val="en-US" w:eastAsia="zh-CN"/>
        </w:rPr>
        <w:t xml:space="preserve">磋商</w:t>
      </w:r>
      <w:r>
        <w:rPr>
          <w:rFonts w:hint="eastAsia" w:ascii="宋体" w:hAnsi="宋体" w:cs="宋体"/>
          <w:color w:val="000000"/>
          <w:szCs w:val="21"/>
          <w:highlight w:val="none"/>
        </w:rPr>
        <w:t xml:space="preserve">文件规定并在成交通知书规定的时限内与采购单位签订合同。</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9.如中标，我单位将按照磋商文件规定以及响应文件中承诺的相关事项向采购人提供完整相关证明材料或配合采购人做好相关工作。</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rPr>
          <w:rFonts w:hint="eastAsia" w:ascii="宋体" w:hAnsi="宋体" w:cs="宋体"/>
          <w:color w:val="000000"/>
          <w:szCs w:val="21"/>
          <w:highlight w:val="none"/>
        </w:rPr>
      </w:r>
      <w:r/>
    </w:p>
    <w:p>
      <w:pPr>
        <w:pStyle w:val="1173"/>
        <w:ind w:firstLine="56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ind w:firstLine="3624"/>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供应商（盖公章）：</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r>
      <w:r/>
    </w:p>
    <w:p>
      <w:pPr>
        <w:pStyle w:val="1173"/>
        <w:ind w:firstLine="48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ind w:firstLine="3624"/>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法定代表人（签字或盖章）：</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r>
      <w:r/>
    </w:p>
    <w:p>
      <w:pPr>
        <w:pStyle w:val="1173"/>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73"/>
        <w:ind w:left="2833" w:right="560" w:firstLine="2777"/>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年     月     日</w:t>
      </w:r>
      <w:r>
        <w:rPr>
          <w:rFonts w:hint="eastAsia" w:ascii="宋体" w:hAnsi="宋体" w:cs="宋体"/>
          <w:color w:val="000000"/>
          <w:szCs w:val="21"/>
          <w:highlight w:val="none"/>
        </w:rPr>
      </w:r>
      <w:r/>
    </w:p>
    <w:p>
      <w:pPr>
        <w:pStyle w:val="1173"/>
        <w:ind w:firstLine="422"/>
        <w:jc w:val="center"/>
        <w:pageBreakBefore w:val="0"/>
        <w:spacing w:line="360" w:lineRule="auto"/>
        <w:rPr>
          <w:rFonts w:ascii="宋体" w:hAnsi="宋体" w:eastAsia="宋体" w:cs="宋体"/>
          <w:b/>
          <w:bCs/>
          <w:color w:val="000000"/>
          <w:szCs w:val="21"/>
          <w:highlight w:val="none"/>
          <w:lang w:val="en-US" w:eastAsia="zh-CN"/>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lang w:val="en-US" w:eastAsia="zh-CN"/>
        </w:rPr>
        <w:t xml:space="preserve">5.售后</w:t>
      </w:r>
      <w:r>
        <w:rPr>
          <w:rFonts w:hint="eastAsia" w:ascii="宋体" w:hAnsi="宋体" w:cs="宋体"/>
          <w:b/>
          <w:bCs/>
          <w:color w:val="000000"/>
          <w:szCs w:val="21"/>
          <w:highlight w:val="none"/>
        </w:rPr>
        <w:t xml:space="preserve">承诺</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格式自拟）</w:t>
      </w:r>
      <w:r>
        <w:rPr>
          <w:rFonts w:ascii="宋体" w:hAnsi="宋体" w:eastAsia="宋体" w:cs="宋体"/>
          <w:b/>
          <w:bCs/>
          <w:color w:val="000000"/>
          <w:szCs w:val="21"/>
          <w:highlight w:val="none"/>
          <w:lang w:val="en-US" w:eastAsia="zh-CN"/>
        </w:rPr>
      </w:r>
      <w:r/>
    </w:p>
    <w:p>
      <w:pPr>
        <w:pStyle w:val="1173"/>
        <w:ind w:firstLine="422"/>
        <w:jc w:val="center"/>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173"/>
        <w:pageBreakBefore w:val="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泰州职业技术学院 </w:t>
      </w:r>
      <w:r>
        <w:rPr>
          <w:rFonts w:hint="eastAsia" w:ascii="宋体" w:hAnsi="宋体" w:eastAsia="宋体" w:cs="宋体"/>
          <w:color w:val="000000"/>
          <w:szCs w:val="21"/>
          <w:highlight w:val="none"/>
          <w:lang w:eastAsia="zh-CN"/>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我公司承诺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173"/>
        <w:ind w:firstLine="480"/>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投标人名称（单位公章）：</w:t>
      </w:r>
      <w:r>
        <w:rPr>
          <w:rFonts w:hint="eastAsia" w:ascii="宋体" w:hAnsi="宋体" w:cs="宋体"/>
          <w:color w:val="000000"/>
          <w:szCs w:val="21"/>
          <w:highlight w:val="none"/>
        </w:rPr>
      </w:r>
      <w:r/>
    </w:p>
    <w:p>
      <w:pPr>
        <w:pStyle w:val="1173"/>
        <w:ind w:firstLine="480"/>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期：</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73"/>
        <w:jc w:val="center"/>
        <w:pageBreakBefore w:val="0"/>
        <w:spacing w:line="360" w:lineRule="auto"/>
        <w:rPr>
          <w:rFonts w:hint="eastAsia" w:ascii="宋体" w:hAnsi="宋体" w:cs="宋体"/>
          <w:b/>
          <w:color w:val="000000"/>
          <w:szCs w:val="21"/>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cs="宋体"/>
          <w:b/>
          <w:color w:val="000000"/>
          <w:szCs w:val="21"/>
          <w:highlight w:val="none"/>
        </w:rPr>
      </w:r>
      <w:r/>
    </w:p>
    <w:p>
      <w:pPr>
        <w:pStyle w:val="1206"/>
        <w:jc w:val="center"/>
        <w:pageBreakBefore w:val="0"/>
        <w:spacing w:before="143" w:after="0"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6.中小企业声明函（货物）</w:t>
      </w:r>
      <w:r>
        <w:rPr>
          <w:rFonts w:hint="eastAsia" w:ascii="宋体" w:hAnsi="宋体" w:eastAsia="宋体" w:cs="宋体"/>
          <w:b/>
          <w:bCs/>
          <w:color w:val="000000"/>
          <w:sz w:val="21"/>
          <w:szCs w:val="21"/>
          <w:highlight w:val="none"/>
          <w:lang w:val="en-US" w:eastAsia="zh-CN" w:bidi="ar-SA"/>
        </w:rPr>
      </w:r>
      <w:r/>
    </w:p>
    <w:p>
      <w:pPr>
        <w:pStyle w:val="1225"/>
        <w:ind w:firstLine="480"/>
        <w:pageBreakBefore w:val="0"/>
        <w:spacing w:line="360" w:lineRule="auto"/>
        <w:rPr>
          <w:rFonts w:ascii="宋体" w:hAnsi="宋体" w:eastAsia="宋体"/>
          <w:sz w:val="24"/>
          <w:szCs w:val="24"/>
          <w:highlight w:val="none"/>
        </w:rPr>
      </w:pPr>
      <w:r>
        <w:rPr>
          <w:rFonts w:ascii="宋体" w:hAnsi="宋体" w:eastAsia="宋体"/>
          <w:sz w:val="24"/>
          <w:szCs w:val="24"/>
          <w:highlight w:val="none"/>
        </w:rPr>
      </w:r>
      <w:r/>
    </w:p>
    <w:p>
      <w:pPr>
        <w:pStyle w:val="1225"/>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本公司（联合体）郑重声明，根据《政府采购促进中小企业发展管理办法》（财库﹝2020﹞46 号）的规定，本公司（联合体）参加</w:t>
      </w:r>
      <w:r>
        <w:rPr>
          <w:rFonts w:hint="eastAsia" w:ascii="宋体" w:hAnsi="宋体" w:eastAsia="宋体" w:cs="Times New Roman"/>
          <w:sz w:val="21"/>
          <w:szCs w:val="21"/>
          <w:highlight w:val="none"/>
          <w:u w:val="single"/>
          <w:lang w:val="en-US" w:eastAsia="zh-CN" w:bidi="ar-SA"/>
        </w:rPr>
        <w:t xml:space="preserve">  [单位名称]  </w:t>
      </w:r>
      <w:r>
        <w:rPr>
          <w:rFonts w:hint="eastAsia" w:ascii="宋体" w:hAnsi="宋体" w:eastAsia="宋体" w:cs="Times New Roman"/>
          <w:sz w:val="21"/>
          <w:szCs w:val="21"/>
          <w:highlight w:val="none"/>
          <w:lang w:val="en-US" w:eastAsia="zh-CN" w:bidi="ar-SA"/>
        </w:rPr>
        <w:t xml:space="preserve">的</w:t>
      </w:r>
      <w:r>
        <w:rPr>
          <w:rFonts w:hint="eastAsia" w:ascii="宋体" w:hAnsi="宋体" w:eastAsia="宋体" w:cs="Times New Roman"/>
          <w:sz w:val="21"/>
          <w:szCs w:val="21"/>
          <w:highlight w:val="none"/>
          <w:u w:val="single"/>
          <w:lang w:val="en-US" w:eastAsia="zh-CN" w:bidi="ar-SA"/>
        </w:rPr>
        <w:t xml:space="preserve">  [项目名称]  </w:t>
      </w:r>
      <w:r>
        <w:rPr>
          <w:rFonts w:hint="eastAsia" w:ascii="宋体" w:hAnsi="宋体" w:eastAsia="宋体" w:cs="Times New Roman"/>
          <w:sz w:val="21"/>
          <w:szCs w:val="21"/>
          <w:highlight w:val="none"/>
          <w:lang w:val="en-US" w:eastAsia="zh-CN" w:bidi="ar-SA"/>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Times New Roman"/>
          <w:sz w:val="21"/>
          <w:szCs w:val="21"/>
          <w:highlight w:val="none"/>
          <w:lang w:val="en-US" w:eastAsia="zh-CN" w:bidi="ar-SA"/>
        </w:rPr>
      </w:r>
      <w:r/>
    </w:p>
    <w:p>
      <w:pPr>
        <w:pStyle w:val="1226"/>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 [标的名称]  </w:t>
      </w:r>
      <w:r>
        <w:rPr>
          <w:rFonts w:hint="eastAsia" w:ascii="宋体" w:hAnsi="宋体" w:eastAsia="宋体" w:cs="Times New Roman"/>
          <w:sz w:val="21"/>
          <w:szCs w:val="21"/>
          <w:highlight w:val="none"/>
          <w:lang w:val="en-US" w:eastAsia="zh-CN" w:bidi="ar-SA"/>
        </w:rPr>
        <w:t xml:space="preserve">，属于</w:t>
      </w:r>
      <w:r>
        <w:rPr>
          <w:rFonts w:hint="eastAsia" w:ascii="宋体" w:hAnsi="宋体" w:cs="Times New Roman"/>
          <w:sz w:val="21"/>
          <w:szCs w:val="21"/>
          <w:highlight w:val="none"/>
          <w:u w:val="single"/>
          <w:lang w:val="en-US" w:eastAsia="zh-CN" w:bidi="ar-SA"/>
        </w:rPr>
        <w:t xml:space="preserve">制造业</w:t>
      </w:r>
      <w:r>
        <w:rPr>
          <w:rFonts w:hint="eastAsia" w:ascii="宋体" w:hAnsi="宋体" w:eastAsia="宋体" w:cs="Times New Roman"/>
          <w:sz w:val="21"/>
          <w:szCs w:val="21"/>
          <w:highlight w:val="none"/>
          <w:lang w:val="en-US" w:eastAsia="zh-CN" w:bidi="ar-SA"/>
        </w:rPr>
        <w:t xml:space="preserve">；制造商为</w:t>
      </w:r>
      <w:r>
        <w:rPr>
          <w:rFonts w:hint="eastAsia" w:ascii="宋体" w:hAnsi="宋体" w:eastAsia="宋体" w:cs="Times New Roman"/>
          <w:sz w:val="21"/>
          <w:szCs w:val="21"/>
          <w:highlight w:val="none"/>
          <w:u w:val="single"/>
          <w:lang w:val="en-US" w:eastAsia="zh-CN" w:bidi="ar-SA"/>
        </w:rPr>
        <w:t xml:space="preserve"> [企业名称] </w:t>
      </w:r>
      <w:r>
        <w:rPr>
          <w:rFonts w:hint="eastAsia" w:ascii="宋体" w:hAnsi="宋体" w:eastAsia="宋体" w:cs="Times New Roman"/>
          <w:sz w:val="21"/>
          <w:szCs w:val="21"/>
          <w:highlight w:val="none"/>
          <w:lang w:val="en-US" w:eastAsia="zh-CN" w:bidi="ar-SA"/>
        </w:rPr>
        <w:t xml:space="preserve">，从业人员</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人，营业收入为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万元，资产总额为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万元，属于</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中型企业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小型企业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微型企业 </w:t>
      </w:r>
      <w:r>
        <w:rPr>
          <w:rFonts w:hint="eastAsia" w:ascii="宋体" w:hAnsi="宋体" w:eastAsia="宋体" w:cs="Times New Roman"/>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r>
      <w:r/>
    </w:p>
    <w:p>
      <w:pPr>
        <w:pStyle w:val="1226"/>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 [标的名称]  </w:t>
      </w:r>
      <w:r>
        <w:rPr>
          <w:rFonts w:hint="eastAsia" w:ascii="宋体" w:hAnsi="宋体" w:eastAsia="宋体" w:cs="Times New Roman"/>
          <w:sz w:val="21"/>
          <w:szCs w:val="21"/>
          <w:highlight w:val="none"/>
          <w:lang w:val="en-US" w:eastAsia="zh-CN" w:bidi="ar-SA"/>
        </w:rPr>
        <w:t xml:space="preserve">，属于</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；制造商为</w:t>
      </w:r>
      <w:r>
        <w:rPr>
          <w:rFonts w:hint="eastAsia" w:ascii="宋体" w:hAnsi="宋体" w:eastAsia="宋体" w:cs="Times New Roman"/>
          <w:sz w:val="21"/>
          <w:szCs w:val="21"/>
          <w:highlight w:val="none"/>
          <w:u w:val="single"/>
          <w:lang w:val="en-US" w:eastAsia="zh-CN" w:bidi="ar-SA"/>
        </w:rPr>
        <w:t xml:space="preserve"> [企业名称] </w:t>
      </w:r>
      <w:r>
        <w:rPr>
          <w:rFonts w:hint="eastAsia" w:ascii="宋体" w:hAnsi="宋体" w:eastAsia="宋体" w:cs="Times New Roman"/>
          <w:sz w:val="21"/>
          <w:szCs w:val="21"/>
          <w:highlight w:val="none"/>
          <w:lang w:val="en-US" w:eastAsia="zh-CN" w:bidi="ar-SA"/>
        </w:rPr>
        <w:t xml:space="preserve">，从业人员</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人，营业收入为</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万元，资产总额为 </w:t>
      </w:r>
      <w:r>
        <w:rPr>
          <w:rFonts w:hint="eastAsia"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lang w:val="en-US" w:eastAsia="zh-CN" w:bidi="ar-SA"/>
        </w:rPr>
        <w:t xml:space="preserve">万元，属于</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中型企业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小型企业</w:t>
      </w:r>
      <w:r>
        <w:rPr>
          <w:rFonts w:ascii="Wingdings" w:hAnsi="Wingdings" w:eastAsia="Wingdings" w:cs="Wingdings"/>
          <w:sz w:val="21"/>
          <w:szCs w:val="21"/>
          <w:highlight w:val="none"/>
          <w:u w:val="single"/>
          <w:lang w:val="en-US" w:eastAsia="zh-CN" w:bidi="ar-SA"/>
        </w:rPr>
        <w:t xml:space="preserve">¨</w:t>
      </w:r>
      <w:r>
        <w:rPr>
          <w:rFonts w:hint="eastAsia" w:ascii="宋体" w:hAnsi="宋体" w:eastAsia="宋体" w:cs="Times New Roman"/>
          <w:sz w:val="21"/>
          <w:szCs w:val="21"/>
          <w:highlight w:val="none"/>
          <w:u w:val="single"/>
          <w:lang w:val="en-US" w:eastAsia="zh-CN" w:bidi="ar-SA"/>
        </w:rPr>
        <w:t xml:space="preserve">微型企业 </w:t>
      </w:r>
      <w:r>
        <w:rPr>
          <w:rFonts w:hint="eastAsia" w:ascii="宋体" w:hAnsi="宋体" w:eastAsia="宋体" w:cs="Times New Roman"/>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r>
      <w:r/>
    </w:p>
    <w:p>
      <w:pPr>
        <w:pStyle w:val="1226"/>
        <w:ind w:firstLine="480"/>
        <w:pageBreakBefore w:val="0"/>
        <w:spacing w:line="360" w:lineRule="auto"/>
        <w:tabs>
          <w:tab w:val="left" w:pos="1184" w:leader="none"/>
          <w:tab w:val="left" w:pos="1384" w:leader="none"/>
          <w:tab w:val="left" w:pos="4562" w:leader="none"/>
          <w:tab w:val="left" w:pos="6803" w:leader="none"/>
        </w:tabs>
        <w:rPr>
          <w:rFonts w:hint="eastAsia" w:ascii="宋体" w:hAnsi="宋体"/>
          <w:sz w:val="24"/>
          <w:szCs w:val="24"/>
          <w:highlight w:val="none"/>
        </w:rPr>
      </w:pPr>
      <w:r>
        <w:rPr>
          <w:rFonts w:hint="eastAsia" w:ascii="宋体" w:hAnsi="宋体"/>
          <w:sz w:val="24"/>
          <w:szCs w:val="24"/>
          <w:highlight w:val="none"/>
        </w:rPr>
      </w:r>
      <w:r/>
    </w:p>
    <w:p>
      <w:pPr>
        <w:pStyle w:val="1225"/>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r>
      <w:r/>
    </w:p>
    <w:p>
      <w:pPr>
        <w:pStyle w:val="1225"/>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以上企业，不属于大企业的分支机构，不存在控股股东为大企业的情形，也不存在与大企业的负责人为同一人的情形。</w:t>
      </w:r>
      <w:r>
        <w:rPr>
          <w:rFonts w:hint="eastAsia" w:ascii="宋体" w:hAnsi="宋体" w:eastAsia="宋体" w:cs="Times New Roman"/>
          <w:sz w:val="21"/>
          <w:szCs w:val="21"/>
          <w:highlight w:val="none"/>
          <w:lang w:val="en-US" w:eastAsia="zh-CN" w:bidi="ar-SA"/>
        </w:rPr>
      </w:r>
      <w:r/>
    </w:p>
    <w:p>
      <w:pPr>
        <w:pStyle w:val="1225"/>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如组成联合体或者接受分包合同的中小企业与联合体内的其他企业，分包企业之间不存在直接控制、管理关系；</w:t>
      </w:r>
      <w:r>
        <w:rPr>
          <w:rFonts w:hint="eastAsia" w:ascii="宋体" w:hAnsi="宋体" w:eastAsia="宋体" w:cs="Times New Roman"/>
          <w:sz w:val="21"/>
          <w:szCs w:val="21"/>
          <w:highlight w:val="none"/>
          <w:lang w:val="en-US" w:eastAsia="zh-CN" w:bidi="ar-SA"/>
        </w:rPr>
      </w:r>
      <w:r/>
    </w:p>
    <w:p>
      <w:pPr>
        <w:pStyle w:val="1225"/>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本企业对上述声明内容的真实性负责。如有虚假，将依法承担相应责任。</w:t>
      </w:r>
      <w:r>
        <w:rPr>
          <w:rFonts w:hint="eastAsia" w:ascii="宋体" w:hAnsi="宋体" w:eastAsia="宋体" w:cs="Times New Roman"/>
          <w:sz w:val="21"/>
          <w:szCs w:val="21"/>
          <w:highlight w:val="none"/>
          <w:lang w:val="en-US" w:eastAsia="zh-CN" w:bidi="ar-SA"/>
        </w:rPr>
      </w:r>
      <w:r/>
    </w:p>
    <w:p>
      <w:pPr>
        <w:pStyle w:val="1225"/>
        <w:ind w:firstLine="480"/>
        <w:pageBreakBefore w:val="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1173"/>
        <w:pageBreakBefore w:val="0"/>
        <w:spacing w:line="360" w:lineRule="auto"/>
        <w:rPr>
          <w:rFonts w:ascii="宋体" w:hAnsi="宋体"/>
          <w:b/>
          <w:bCs/>
          <w:sz w:val="22"/>
          <w:szCs w:val="22"/>
          <w:highlight w:val="none"/>
        </w:rPr>
      </w:pPr>
      <w:r>
        <w:rPr>
          <w:rFonts w:hint="eastAsia" w:ascii="宋体" w:hAnsi="宋体"/>
          <w:b/>
          <w:bCs/>
          <w:sz w:val="22"/>
          <w:szCs w:val="22"/>
          <w:highlight w:val="none"/>
        </w:rPr>
        <w:t xml:space="preserve">备注：</w:t>
      </w:r>
      <w:r>
        <w:rPr>
          <w:rFonts w:ascii="宋体" w:hAnsi="宋体"/>
          <w:b/>
          <w:bCs/>
          <w:sz w:val="22"/>
          <w:szCs w:val="22"/>
          <w:highlight w:val="none"/>
        </w:rPr>
      </w:r>
      <w:r/>
    </w:p>
    <w:p>
      <w:pPr>
        <w:pStyle w:val="1225"/>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(1)从业人员、营业收入、资产总额填报上一年度数据，无上一年度数据的新成立企业可不填报。</w:t>
      </w:r>
      <w:r>
        <w:rPr>
          <w:rFonts w:hint="eastAsia" w:ascii="宋体" w:hAnsi="宋体" w:eastAsia="宋体" w:cs="Times New Roman"/>
          <w:sz w:val="21"/>
          <w:szCs w:val="21"/>
          <w:highlight w:val="none"/>
          <w:lang w:val="en-US" w:eastAsia="zh-CN" w:bidi="ar-SA"/>
        </w:rPr>
      </w:r>
      <w:r/>
    </w:p>
    <w:p>
      <w:pPr>
        <w:pStyle w:val="1225"/>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(2)上述“相关企业”含联合体中的中小企业、签订分包意向协议的中小企业；</w:t>
      </w:r>
      <w:r>
        <w:rPr>
          <w:rFonts w:hint="eastAsia" w:ascii="宋体" w:hAnsi="宋体" w:eastAsia="宋体" w:cs="Times New Roman"/>
          <w:sz w:val="21"/>
          <w:szCs w:val="21"/>
          <w:highlight w:val="none"/>
          <w:lang w:val="en-US" w:eastAsia="zh-CN" w:bidi="ar-SA"/>
        </w:rPr>
      </w:r>
      <w:r/>
    </w:p>
    <w:p>
      <w:pPr>
        <w:pStyle w:val="1225"/>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(3)供应商如未按要求提供此声明函，报价将不做相应扣除；中标供应商如享受本项目小微企业扶持政策的，其《中小企业声明函》将随本项目的中标结果同时公告，接受社会监督。 </w:t>
      </w:r>
      <w:r>
        <w:rPr>
          <w:rFonts w:hint="eastAsia" w:ascii="宋体" w:hAnsi="宋体" w:eastAsia="宋体" w:cs="Times New Roman"/>
          <w:sz w:val="21"/>
          <w:szCs w:val="21"/>
          <w:highlight w:val="none"/>
          <w:lang w:val="en-US" w:eastAsia="zh-CN" w:bidi="ar-SA"/>
        </w:rPr>
      </w:r>
      <w:r/>
    </w:p>
    <w:p>
      <w:pPr>
        <w:pStyle w:val="1225"/>
        <w:ind w:firstLine="48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p>
      <w:pPr>
        <w:pStyle w:val="1225"/>
        <w:ind w:firstLine="480"/>
        <w:jc w:val="center"/>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供应商名称（盖章）：</w:t>
      </w:r>
      <w:r>
        <w:rPr>
          <w:rFonts w:hint="eastAsia" w:ascii="宋体" w:hAnsi="宋体" w:eastAsia="宋体" w:cs="Times New Roman"/>
          <w:sz w:val="21"/>
          <w:szCs w:val="21"/>
          <w:highlight w:val="none"/>
          <w:lang w:val="en-US" w:eastAsia="zh-CN" w:bidi="ar-SA"/>
        </w:rPr>
      </w:r>
      <w:r/>
    </w:p>
    <w:p>
      <w:pPr>
        <w:pStyle w:val="1225"/>
        <w:ind w:firstLine="480"/>
        <w:jc w:val="center"/>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日  期：</w:t>
      </w:r>
      <w:r>
        <w:rPr>
          <w:rFonts w:hint="eastAsia" w:ascii="宋体" w:hAnsi="宋体" w:eastAsia="宋体" w:cs="Times New Roman"/>
          <w:sz w:val="21"/>
          <w:szCs w:val="21"/>
          <w:highlight w:val="none"/>
          <w:lang w:val="en-US" w:eastAsia="zh-CN" w:bidi="ar-SA"/>
        </w:rPr>
      </w:r>
      <w:r/>
    </w:p>
    <w:p>
      <w:pPr>
        <w:pStyle w:val="1173"/>
        <w:jc w:val="center"/>
        <w:pageBreakBefore w:val="0"/>
        <w:spacing w:line="360" w:lineRule="auto"/>
        <w:rPr>
          <w:rFonts w:hint="eastAsia" w:ascii="宋体" w:hAnsi="宋体" w:cs="宋体"/>
          <w:b/>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.残疾人福利性单位声明函</w:t>
      </w:r>
      <w:r>
        <w:rPr>
          <w:rFonts w:hint="eastAsia" w:ascii="宋体" w:hAnsi="宋体" w:cs="宋体"/>
          <w:b/>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圆整（￥：     ）。</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pacing w:val="6"/>
          <w:szCs w:val="21"/>
          <w:highlight w:val="none"/>
        </w:rPr>
      </w:pPr>
      <w:r>
        <w:rPr>
          <w:rFonts w:hint="eastAsia" w:ascii="宋体" w:hAnsi="宋体" w:cs="宋体"/>
          <w:color w:val="000000"/>
          <w:szCs w:val="21"/>
          <w:highlight w:val="none"/>
        </w:rPr>
        <w:t xml:space="preserve">（备注：成交供应商为残疾人福利单位的，此声明函将随成交结果同时公告，接受社会监督）</w:t>
      </w:r>
      <w:r>
        <w:rPr>
          <w:rFonts w:hint="eastAsia" w:ascii="宋体" w:hAnsi="宋体" w:cs="宋体"/>
          <w:color w:val="000000"/>
          <w:spacing w:val="6"/>
          <w:szCs w:val="21"/>
          <w:highlight w:val="none"/>
        </w:rPr>
      </w:r>
      <w:r/>
    </w:p>
    <w:p>
      <w:pPr>
        <w:pStyle w:val="1173"/>
        <w:ind w:firstLine="624"/>
        <w:jc w:val="center"/>
        <w:pageBreakBefore w:val="0"/>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供应商全称（盖章）：</w:t>
      </w:r>
      <w:r>
        <w:rPr>
          <w:rFonts w:hint="eastAsia" w:ascii="宋体" w:hAnsi="宋体" w:cs="宋体"/>
          <w:color w:val="000000"/>
          <w:szCs w:val="21"/>
          <w:highlight w:val="none"/>
        </w:rPr>
      </w:r>
      <w:r/>
    </w:p>
    <w:p>
      <w:pPr>
        <w:pStyle w:val="1173"/>
        <w:ind w:firstLine="480"/>
        <w:jc w:val="center"/>
        <w:pageBreakBefore w:val="0"/>
        <w:spacing w:line="360" w:lineRule="auto"/>
        <w:tabs>
          <w:tab w:val="left" w:pos="48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1173"/>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享受政府采购支持政策的残疾人福利性单位应当同时满足以下条件：</w:t>
      </w:r>
      <w:r>
        <w:rPr>
          <w:rFonts w:hint="eastAsia" w:ascii="宋体" w:hAnsi="宋体" w:cs="宋体"/>
          <w:color w:val="000000"/>
          <w:szCs w:val="21"/>
          <w:highlight w:val="none"/>
        </w:rPr>
      </w:r>
      <w:r/>
    </w:p>
    <w:p>
      <w:pPr>
        <w:pStyle w:val="1173"/>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（一）安置的残疾人占本单位在职职工人数的比例不低于25%（含25%），并且安置的残疾人人数不少于10人（含10人）；</w:t>
      </w:r>
      <w:r>
        <w:rPr>
          <w:rFonts w:hint="eastAsia" w:ascii="宋体" w:hAnsi="宋体" w:cs="宋体"/>
          <w:color w:val="000000"/>
          <w:szCs w:val="21"/>
          <w:highlight w:val="none"/>
        </w:rPr>
      </w:r>
      <w:r/>
    </w:p>
    <w:p>
      <w:pPr>
        <w:pStyle w:val="1173"/>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（二）依法与安置的每位残疾人签订了一年以上（含一年）的劳动合同或服务协议；</w:t>
      </w:r>
      <w:r>
        <w:rPr>
          <w:rFonts w:hint="eastAsia" w:ascii="宋体" w:hAnsi="宋体" w:cs="宋体"/>
          <w:color w:val="000000"/>
          <w:szCs w:val="21"/>
          <w:highlight w:val="none"/>
        </w:rPr>
      </w:r>
      <w:r/>
    </w:p>
    <w:p>
      <w:pPr>
        <w:pStyle w:val="1173"/>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（三）为安置的每位残疾人按月足额缴纳了基本养老保险、基本医疗保险、失业保险、工伤保险和生育保险等社会保险费；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173"/>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（四）通过银行等金融机构向安置的每位残疾人，按月支付了不低于单位所在区县适用的经省级人民政府批准的月最低工资标准的工资；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173"/>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173"/>
        <w:ind w:firstLine="480"/>
        <w:jc w:val="left"/>
        <w:pageBreakBefore w:val="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Cs w:val="21"/>
          <w:highlight w:val="none"/>
        </w:rPr>
      </w:r>
      <w:r/>
    </w:p>
    <w:p>
      <w:pPr>
        <w:pStyle w:val="1173"/>
        <w:ind w:firstLine="211"/>
        <w:jc w:val="center"/>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.监狱企业证明函</w:t>
      </w:r>
      <w:r>
        <w:rPr>
          <w:rFonts w:hint="eastAsia" w:ascii="宋体" w:hAnsi="宋体" w:cs="宋体"/>
          <w:b/>
          <w:bCs/>
          <w:color w:val="000000"/>
          <w:szCs w:val="21"/>
          <w:highlight w:val="none"/>
        </w:rPr>
      </w:r>
      <w:r/>
    </w:p>
    <w:p>
      <w:pPr>
        <w:pStyle w:val="1173"/>
        <w:ind w:firstLine="646"/>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根据《财政部 司法部关于政府采购支持监狱企业发展有关问题的通知》（财库〔2014〕68号）的规定，          （填写供应商法定全称）为监狱企业。</w:t>
      </w:r>
      <w:r>
        <w:rPr>
          <w:rFonts w:hint="eastAsia" w:ascii="宋体" w:hAnsi="宋体" w:cs="宋体"/>
          <w:color w:val="000000"/>
          <w:szCs w:val="21"/>
          <w:highlight w:val="none"/>
        </w:rPr>
      </w:r>
      <w:r/>
    </w:p>
    <w:p>
      <w:pPr>
        <w:pStyle w:val="1173"/>
        <w:ind w:firstLine="646"/>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特此声明。</w:t>
      </w:r>
      <w:r>
        <w:rPr>
          <w:rFonts w:hint="eastAsia" w:ascii="宋体" w:hAnsi="宋体" w:cs="宋体"/>
          <w:color w:val="000000"/>
          <w:szCs w:val="21"/>
          <w:highlight w:val="none"/>
        </w:rPr>
      </w:r>
      <w:r/>
    </w:p>
    <w:p>
      <w:pPr>
        <w:pStyle w:val="1173"/>
        <w:ind w:firstLine="1440"/>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73"/>
        <w:ind w:firstLine="1440"/>
        <w:jc w:val="lef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省级以上监狱管理局、戒毒管理局（含新疆生产建设兵团）（盖章）：</w:t>
      </w:r>
      <w:r>
        <w:rPr>
          <w:rFonts w:hint="eastAsia" w:ascii="宋体" w:hAnsi="宋体" w:cs="宋体"/>
          <w:color w:val="000000"/>
          <w:szCs w:val="21"/>
          <w:highlight w:val="none"/>
        </w:rPr>
      </w:r>
      <w:r/>
    </w:p>
    <w:p>
      <w:pPr>
        <w:pStyle w:val="1173"/>
        <w:jc w:val="left"/>
        <w:pageBreakBefore w:val="0"/>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                                    日  期：</w:t>
      </w:r>
      <w:r>
        <w:rPr>
          <w:rFonts w:hint="eastAsia" w:ascii="宋体" w:hAnsi="宋体" w:cs="宋体"/>
          <w:b/>
          <w:bCs/>
          <w:color w:val="000000"/>
          <w:szCs w:val="21"/>
          <w:highlight w:val="none"/>
        </w:rPr>
      </w:r>
      <w:r/>
    </w:p>
    <w:p>
      <w:pPr>
        <w:pStyle w:val="1173"/>
        <w:pageBreakBefore w:val="0"/>
        <w:spacing w:line="360" w:lineRule="auto"/>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r>
      <w:r/>
    </w:p>
    <w:p>
      <w:pPr>
        <w:pStyle w:val="1173"/>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9.</w:t>
      </w:r>
      <w:r>
        <w:rPr>
          <w:rFonts w:hint="eastAsia" w:ascii="宋体" w:hAnsi="宋体" w:cs="宋体"/>
          <w:b/>
          <w:bCs/>
          <w:szCs w:val="21"/>
          <w:highlight w:val="none"/>
        </w:rPr>
        <w:t xml:space="preserve">节能产品认证证书</w:t>
      </w:r>
      <w:r>
        <w:rPr>
          <w:rFonts w:ascii="宋体" w:hAnsi="宋体" w:cs="宋体"/>
          <w:b/>
          <w:bCs/>
          <w:szCs w:val="21"/>
          <w:highlight w:val="none"/>
        </w:rPr>
      </w:r>
      <w:r/>
    </w:p>
    <w:p>
      <w:pPr>
        <w:pStyle w:val="1185"/>
        <w:pageBreakBefore w:val="0"/>
        <w:spacing w:line="360" w:lineRule="auto"/>
        <w:rPr>
          <w:szCs w:val="21"/>
          <w:highlight w:val="none"/>
        </w:rPr>
      </w:pPr>
      <w:r>
        <w:rPr>
          <w:szCs w:val="21"/>
          <w:highlight w:val="none"/>
        </w:rPr>
      </w:r>
      <w:r/>
    </w:p>
    <w:p>
      <w:pPr>
        <w:pStyle w:val="1173"/>
        <w:ind w:firstLine="144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提供其投标产品在《节能产品政府采购清单》中相应的页面截图及相关证明材料</w:t>
      </w:r>
      <w:r>
        <w:rPr>
          <w:rFonts w:hint="eastAsia" w:ascii="宋体" w:hAnsi="宋体" w:eastAsia="宋体" w:cs="宋体"/>
          <w:color w:val="000000"/>
          <w:szCs w:val="21"/>
          <w:highlight w:val="none"/>
          <w:lang w:bidi="ar"/>
        </w:rPr>
      </w:r>
      <w:r/>
    </w:p>
    <w:p>
      <w:pPr>
        <w:pStyle w:val="1173"/>
        <w:jc w:val="center"/>
        <w:pageBreakBefore w:val="0"/>
        <w:spacing w:line="360" w:lineRule="auto"/>
        <w:rPr>
          <w:rFonts w:ascii="宋体" w:hAnsi="宋体" w:cs="宋体"/>
          <w:b/>
          <w:bCs/>
          <w:szCs w:val="21"/>
          <w:highlight w:val="none"/>
        </w:rPr>
      </w:pPr>
      <w:r>
        <w:rPr>
          <w:rFonts w:ascii="宋体" w:hAnsi="宋体" w:cs="宋体"/>
          <w:b/>
          <w:bCs/>
          <w:szCs w:val="21"/>
          <w:highlight w:val="none"/>
        </w:rPr>
      </w:r>
      <w:r/>
    </w:p>
    <w:p>
      <w:pPr>
        <w:pStyle w:val="1185"/>
        <w:pageBreakBefore w:val="0"/>
        <w:spacing w:line="360" w:lineRule="auto"/>
        <w:rPr>
          <w:szCs w:val="21"/>
          <w:highlight w:val="none"/>
        </w:rPr>
      </w:pPr>
      <w:r>
        <w:rPr>
          <w:szCs w:val="21"/>
          <w:highlight w:val="none"/>
        </w:rPr>
      </w:r>
      <w:r/>
    </w:p>
    <w:p>
      <w:pPr>
        <w:pStyle w:val="1179"/>
        <w:pageBreakBefore w:val="0"/>
        <w:spacing w:line="360" w:lineRule="auto"/>
        <w:rPr>
          <w:szCs w:val="21"/>
          <w:highlight w:val="none"/>
        </w:rPr>
      </w:pPr>
      <w:r>
        <w:rPr>
          <w:szCs w:val="21"/>
          <w:highlight w:val="none"/>
        </w:rPr>
      </w:r>
      <w:r/>
    </w:p>
    <w:p>
      <w:pPr>
        <w:pStyle w:val="1173"/>
        <w:jc w:val="center"/>
        <w:pageBreakBefore w:val="0"/>
        <w:spacing w:line="360" w:lineRule="auto"/>
        <w:rPr>
          <w:rFonts w:ascii="宋体" w:hAnsi="宋体" w:cs="宋体"/>
          <w:b/>
          <w:bCs/>
          <w:szCs w:val="21"/>
          <w:highlight w:val="none"/>
        </w:rPr>
      </w:pP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环境标志产品认证证书</w:t>
      </w:r>
      <w:r>
        <w:rPr>
          <w:rFonts w:ascii="宋体" w:hAnsi="宋体" w:cs="宋体"/>
          <w:b/>
          <w:bCs/>
          <w:szCs w:val="21"/>
          <w:highlight w:val="none"/>
        </w:rPr>
      </w:r>
      <w:r/>
    </w:p>
    <w:p>
      <w:pPr>
        <w:pStyle w:val="1173"/>
        <w:ind w:firstLine="144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提供其投标产品在《环境标志产品政府采购清单》中相应的页面截图及相关证明材料</w:t>
      </w:r>
      <w:r>
        <w:rPr>
          <w:rFonts w:hint="eastAsia" w:ascii="宋体" w:hAnsi="宋体" w:eastAsia="宋体" w:cs="宋体"/>
          <w:color w:val="000000"/>
          <w:szCs w:val="21"/>
          <w:highlight w:val="none"/>
          <w:lang w:bidi="ar"/>
        </w:rPr>
      </w:r>
      <w:r/>
    </w:p>
    <w:p>
      <w:pPr>
        <w:pStyle w:val="1173"/>
        <w:ind w:firstLine="144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pStyle w:val="1173"/>
        <w:ind w:firstLine="144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pStyle w:val="1173"/>
        <w:ind w:firstLine="1440"/>
        <w:jc w:val="left"/>
        <w:pageBreakBefore w:val="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pStyle w:val="1173"/>
        <w:jc w:val="center"/>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lang w:val="en-US" w:eastAsia="zh-CN"/>
        </w:rPr>
        <w:br w:type="page" w:clear="all"/>
      </w:r>
      <w:r>
        <w:rPr>
          <w:rFonts w:hint="eastAsia" w:ascii="宋体" w:hAnsi="宋体"/>
          <w:b/>
          <w:color w:val="000000"/>
          <w:szCs w:val="21"/>
          <w:highlight w:val="none"/>
          <w:lang w:val="en-US" w:eastAsia="zh-CN"/>
        </w:rPr>
        <w:t xml:space="preserve">11.</w:t>
      </w:r>
      <w:r>
        <w:rPr>
          <w:rFonts w:hint="eastAsia" w:ascii="宋体" w:hAnsi="宋体"/>
          <w:b/>
          <w:color w:val="000000"/>
          <w:szCs w:val="21"/>
          <w:highlight w:val="none"/>
          <w:lang w:val="zh-CN"/>
        </w:rPr>
        <w:t xml:space="preserve">《关于符合本国产品标准的声明函》</w:t>
      </w:r>
      <w:r>
        <w:rPr>
          <w:rFonts w:hint="eastAsia" w:ascii="宋体" w:hAnsi="宋体"/>
          <w:b/>
          <w:color w:val="000000"/>
          <w:szCs w:val="21"/>
          <w:highlight w:val="none"/>
        </w:rPr>
        <w:t xml:space="preserve">（格式）：</w:t>
      </w:r>
      <w:r>
        <w:rPr>
          <w:rFonts w:hint="eastAsia" w:ascii="宋体" w:hAnsi="宋体"/>
          <w:b/>
          <w:color w:val="000000"/>
          <w:szCs w:val="21"/>
          <w:highlight w:val="none"/>
        </w:rPr>
      </w:r>
      <w:r/>
    </w:p>
    <w:p>
      <w:pPr>
        <w:pStyle w:val="1193"/>
        <w:ind w:right="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rPr>
      </w:r>
      <w:r/>
    </w:p>
    <w:p>
      <w:pPr>
        <w:pStyle w:val="119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highlight w:val="none"/>
        </w:rPr>
        <w:pBdr>
          <w:top w:val="none" w:color="000000" w:sz="0" w:space="0"/>
          <w:left w:val="none" w:color="000000" w:sz="0" w:space="0"/>
          <w:bottom w:val="none" w:color="000000" w:sz="0" w:space="0"/>
          <w:right w:val="none" w:color="000000" w:sz="0" w:space="0"/>
        </w:pBdr>
        <w:suppressLineNumbers w:val="0"/>
      </w:pPr>
      <w:r>
        <w:rPr>
          <w:rStyle w:val="1198"/>
          <w:rFonts w:hint="eastAsia" w:ascii="宋体" w:hAnsi="宋体" w:eastAsia="宋体" w:cs="宋体"/>
          <w:i w:val="0"/>
          <w:iCs w:val="0"/>
          <w:caps w:val="0"/>
          <w:color w:val="333333"/>
          <w:spacing w:val="0"/>
          <w:sz w:val="36"/>
          <w:szCs w:val="36"/>
          <w:highlight w:val="none"/>
          <w:shd w:val="clear" w:color="auto" w:fill="ffffff"/>
        </w:rPr>
        <w:t xml:space="preserve">关于符合本国产品标准的声明函</w:t>
      </w:r>
      <w:r>
        <w:rPr>
          <w:rFonts w:hint="eastAsia" w:ascii="宋体" w:hAnsi="宋体" w:eastAsia="宋体" w:cs="宋体"/>
          <w:i w:val="0"/>
          <w:iCs w:val="0"/>
          <w:caps w:val="0"/>
          <w:color w:val="333333"/>
          <w:spacing w:val="0"/>
          <w:sz w:val="36"/>
          <w:szCs w:val="36"/>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Style w:val="1200"/>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Style w:val="1200"/>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Style w:val="1200"/>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Style w:val="1200"/>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Style w:val="1200"/>
          <w:rFonts w:hint="eastAsia" w:ascii="宋体" w:hAnsi="宋体" w:eastAsia="宋体" w:cs="宋体"/>
          <w:i w:val="0"/>
          <w:iCs w:val="0"/>
          <w:caps w:val="0"/>
          <w:color w:val="333333"/>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1200"/>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highlight w:val="none"/>
        </w:rPr>
      </w:r>
      <w:r/>
    </w:p>
    <w:p>
      <w:pPr>
        <w:pStyle w:val="1193"/>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1193"/>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rPr>
          <w:rFonts w:hint="eastAsia" w:ascii="宋体" w:hAnsi="宋体" w:eastAsia="宋体" w:cs="宋体"/>
          <w:i w:val="0"/>
          <w:iCs w:val="0"/>
          <w:caps w:val="0"/>
          <w:color w:val="333333"/>
          <w:spacing w:val="0"/>
          <w:sz w:val="24"/>
          <w:szCs w:val="24"/>
          <w:highlight w:val="none"/>
        </w:rPr>
      </w:r>
      <w:r/>
    </w:p>
    <w:p>
      <w:pPr>
        <w:pStyle w:val="1193"/>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rPr>
      </w:r>
      <w:r/>
    </w:p>
    <w:p>
      <w:pPr>
        <w:pStyle w:val="1193"/>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楷体" w:hAnsi="楷体" w:eastAsia="楷体" w:cs="楷体"/>
          <w:i w:val="0"/>
          <w:iCs w:val="0"/>
          <w:caps w:val="0"/>
          <w:color w:val="333333"/>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333333"/>
          <w:spacing w:val="0"/>
          <w:sz w:val="24"/>
          <w:szCs w:val="24"/>
          <w:highlight w:val="none"/>
        </w:rPr>
      </w:r>
      <w:r/>
    </w:p>
    <w:p>
      <w:pPr>
        <w:pStyle w:val="119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333333"/>
          <w:spacing w:val="0"/>
          <w:sz w:val="24"/>
          <w:szCs w:val="24"/>
          <w:highlight w:val="none"/>
        </w:rPr>
      </w:r>
      <w:r/>
    </w:p>
    <w:p>
      <w:pPr>
        <w:pStyle w:val="1173"/>
        <w:rPr>
          <w:rFonts w:hint="eastAsia" w:ascii="黑体" w:hAnsi="宋体" w:eastAsia="黑体" w:cs="Times New Roman"/>
          <w:sz w:val="24"/>
          <w:szCs w:val="24"/>
          <w:highlight w:val="none"/>
        </w:rPr>
      </w:pPr>
      <w:r>
        <w:rPr>
          <w:rFonts w:hint="eastAsia" w:ascii="黑体" w:hAnsi="宋体" w:eastAsia="黑体" w:cs="Times New Roman"/>
          <w:sz w:val="24"/>
          <w:szCs w:val="24"/>
          <w:highlight w:val="none"/>
        </w:rPr>
      </w:r>
      <w:r/>
    </w:p>
    <w:p>
      <w:pPr>
        <w:pStyle w:val="1173"/>
        <w:rPr>
          <w:rFonts w:hint="eastAsia" w:ascii="黑体" w:hAnsi="宋体" w:eastAsia="黑体" w:cs="Times New Roman"/>
          <w:sz w:val="24"/>
          <w:szCs w:val="24"/>
          <w:highlight w:val="none"/>
        </w:rPr>
      </w:pPr>
      <w:r>
        <w:rPr>
          <w:rFonts w:hint="eastAsia" w:ascii="黑体" w:hAnsi="宋体" w:eastAsia="黑体" w:cs="Times New Roman"/>
          <w:sz w:val="24"/>
          <w:szCs w:val="24"/>
          <w:highlight w:val="none"/>
        </w:rPr>
      </w:r>
      <w:r/>
    </w:p>
    <w:p>
      <w:pPr>
        <w:pStyle w:val="1173"/>
        <w:rPr>
          <w:rFonts w:hint="eastAsia" w:ascii="黑体" w:hAnsi="宋体" w:eastAsia="黑体" w:cs="Times New Roman"/>
          <w:sz w:val="24"/>
          <w:szCs w:val="24"/>
          <w:highlight w:val="none"/>
        </w:rPr>
      </w:pPr>
      <w:r>
        <w:rPr>
          <w:rFonts w:hint="eastAsia" w:ascii="黑体" w:hAnsi="宋体" w:eastAsia="黑体" w:cs="Times New Roman"/>
          <w:sz w:val="24"/>
          <w:szCs w:val="24"/>
          <w:highlight w:val="none"/>
        </w:rPr>
      </w:r>
      <w:r/>
    </w:p>
    <w:p>
      <w:pPr>
        <w:pStyle w:val="1173"/>
        <w:rPr>
          <w:rFonts w:hint="eastAsia" w:ascii="黑体" w:hAnsi="宋体" w:eastAsia="黑体" w:cs="Times New Roman"/>
          <w:sz w:val="24"/>
          <w:szCs w:val="24"/>
          <w:highlight w:val="none"/>
        </w:rPr>
      </w:pPr>
      <w:r>
        <w:rPr>
          <w:rFonts w:hint="eastAsia" w:ascii="黑体" w:hAnsi="宋体" w:eastAsia="黑体" w:cs="Times New Roman"/>
          <w:sz w:val="24"/>
          <w:szCs w:val="24"/>
          <w:highlight w:val="none"/>
        </w:rPr>
      </w:r>
      <w:r/>
    </w:p>
    <w:p>
      <w:pPr>
        <w:pStyle w:val="1173"/>
        <w:jc w:val="center"/>
        <w:pageBreakBefore w:val="0"/>
        <w:spacing w:line="360" w:lineRule="auto"/>
        <w:rPr>
          <w:rFonts w:hint="eastAsia" w:ascii="宋体" w:hAnsi="宋体" w:eastAsia="宋体"/>
          <w:color w:val="000000"/>
          <w:sz w:val="21"/>
          <w:szCs w:val="21"/>
          <w:highlight w:val="none"/>
        </w:rPr>
      </w:pPr>
      <w:r>
        <w:rPr>
          <w:rFonts w:hint="eastAsia" w:ascii="宋体" w:hAnsi="宋体" w:cs="宋体"/>
          <w:b/>
          <w:color w:val="000000"/>
          <w:sz w:val="21"/>
          <w:szCs w:val="21"/>
          <w:highlight w:val="none"/>
          <w:lang w:val="en-US" w:eastAsia="zh-CN"/>
        </w:rPr>
        <w:br w:type="page" w:clear="all"/>
      </w:r>
      <w:r>
        <w:rPr>
          <w:rFonts w:hint="eastAsia" w:ascii="宋体" w:hAnsi="宋体"/>
          <w:b/>
          <w:color w:val="000000"/>
          <w:szCs w:val="21"/>
          <w:highlight w:val="none"/>
          <w:lang w:val="en-US" w:eastAsia="zh-CN"/>
        </w:rPr>
        <w:t xml:space="preserve">12.</w:t>
      </w:r>
      <w:r>
        <w:rPr>
          <w:rFonts w:hint="eastAsia" w:ascii="宋体" w:hAnsi="宋体"/>
          <w:b/>
          <w:color w:val="000000"/>
          <w:szCs w:val="21"/>
          <w:highlight w:val="none"/>
          <w:lang w:val="zh-CN"/>
        </w:rPr>
        <w:t xml:space="preserve">磋商响应函</w:t>
      </w:r>
      <w:r>
        <w:rPr>
          <w:rFonts w:hint="eastAsia" w:ascii="宋体" w:hAnsi="宋体" w:eastAsia="宋体"/>
          <w:color w:val="000000"/>
          <w:sz w:val="21"/>
          <w:szCs w:val="21"/>
          <w:highlight w:val="none"/>
        </w:rPr>
      </w:r>
      <w:r/>
    </w:p>
    <w:p>
      <w:pPr>
        <w:pStyle w:val="1203"/>
        <w:ind w:firstLine="420"/>
        <w:pageBreakBefore w:val="0"/>
        <w:spacing w:line="360" w:lineRule="auto"/>
        <w:rPr>
          <w:rFonts w:hint="eastAsia" w:ascii="宋体" w:hAnsi="宋体"/>
          <w:b/>
          <w:bCs/>
          <w:color w:val="000000"/>
          <w:sz w:val="21"/>
          <w:szCs w:val="21"/>
          <w:highlight w:val="none"/>
        </w:rPr>
      </w:pPr>
      <w:r>
        <w:rPr>
          <w:rFonts w:hint="eastAsia" w:ascii="宋体" w:hAnsi="宋体"/>
          <w:color w:val="000000"/>
          <w:sz w:val="21"/>
          <w:szCs w:val="21"/>
          <w:highlight w:val="none"/>
        </w:rPr>
        <w:t xml:space="preserve">致：</w:t>
      </w:r>
      <w:r>
        <w:rPr>
          <w:rFonts w:hint="eastAsia" w:ascii="宋体" w:hAnsi="宋体"/>
          <w:b/>
          <w:bCs/>
          <w:color w:val="000000"/>
          <w:sz w:val="21"/>
          <w:szCs w:val="21"/>
          <w:highlight w:val="none"/>
          <w:u w:val="single"/>
        </w:rPr>
        <w:t xml:space="preserve">      （采购人名称）</w:t>
      </w:r>
      <w:r>
        <w:rPr>
          <w:rFonts w:hint="eastAsia" w:ascii="宋体" w:hAnsi="宋体"/>
          <w:b/>
          <w:bCs/>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号磋商文件，正式授权下述签字人______（姓名和职务）代表我方（供应商的名称），全权处理</w:t>
      </w:r>
      <w:r>
        <w:rPr>
          <w:rFonts w:hint="eastAsia" w:ascii="宋体" w:hAnsi="宋体"/>
          <w:color w:val="000000"/>
          <w:sz w:val="21"/>
          <w:szCs w:val="21"/>
          <w:highlight w:val="none"/>
          <w:u w:val="single"/>
          <w:lang w:eastAsia="zh-CN"/>
        </w:rPr>
        <w:t xml:space="preserve">药品检验实训室建设项目</w:t>
      </w:r>
      <w:r>
        <w:rPr>
          <w:rFonts w:hint="eastAsia" w:ascii="宋体" w:hAnsi="宋体"/>
          <w:color w:val="000000"/>
          <w:sz w:val="21"/>
          <w:szCs w:val="21"/>
          <w:highlight w:val="none"/>
        </w:rPr>
        <w:t xml:space="preserve">磋商采购的有关事宜。</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1.按磋商文件规定的各项要求，向采购人提供所需服务。</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4.如果在响应文件接收截止时间后规定的磋商有效期内撤回响应文件或成交后拒绝签订合同，我们自愿接受政府采购监管机构的处理。</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5.同意向贵方提供贵方可能另外要求的与磋商采购有关的任何证据或资料，并保证我方已提供和将要提供的文件是真实的、准确的。</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6.一旦我方成交，我方将根据磋商文件的规定，严格履行合同的责任和义务，并保证在磋商文件规定的时间完成项目，交付采购人验收、使用。</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7.遵守磋商文件中要求的收费项目和标准。</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8.与本磋商采购有关的正式通讯地址为：</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法定代表人或授权代表姓名（签字）：     联系电话：</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rPr>
          <w:rFonts w:hint="eastAsia" w:ascii="宋体" w:hAnsi="宋体"/>
          <w:color w:val="000000"/>
          <w:sz w:val="21"/>
          <w:szCs w:val="21"/>
          <w:highlight w:val="none"/>
        </w:rPr>
      </w:r>
      <w:r/>
    </w:p>
    <w:p>
      <w:pPr>
        <w:pStyle w:val="1211"/>
        <w:ind w:firstLine="420"/>
        <w:pageBreakBefore w:val="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hint="eastAsia" w:ascii="宋体" w:hAnsi="宋体"/>
          <w:color w:val="000000"/>
          <w:sz w:val="21"/>
          <w:szCs w:val="21"/>
          <w:highlight w:val="none"/>
        </w:rPr>
      </w:r>
      <w:r/>
    </w:p>
    <w:p>
      <w:pPr>
        <w:pStyle w:val="1173"/>
        <w:ind w:firstLine="420"/>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173"/>
        <w:ind w:firstLine="420"/>
        <w:jc w:val="left"/>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173"/>
        <w:ind w:firstLine="420"/>
        <w:jc w:val="left"/>
        <w:pageBreakBefore w:val="0"/>
        <w:spacing w:line="360" w:lineRule="auto"/>
        <w:rPr>
          <w:rFonts w:hint="eastAsia" w:ascii="宋体" w:hAnsi="宋体"/>
          <w:color w:val="000000"/>
          <w:szCs w:val="21"/>
          <w:highlight w:val="none"/>
        </w:rPr>
      </w:pPr>
      <w:r>
        <w:rPr>
          <w:rFonts w:ascii="宋体" w:hAnsi="宋体"/>
          <w:color w:val="000000"/>
          <w:szCs w:val="21"/>
          <w:highlight w:val="none"/>
        </w:rPr>
        <w:br w:type="page" w:clear="all"/>
      </w:r>
      <w:r>
        <w:rPr>
          <w:rFonts w:hint="eastAsia" w:ascii="宋体" w:hAnsi="宋体"/>
          <w:color w:val="000000"/>
          <w:szCs w:val="21"/>
          <w:highlight w:val="none"/>
        </w:rPr>
      </w:r>
      <w:r/>
    </w:p>
    <w:p>
      <w:pPr>
        <w:pStyle w:val="1173"/>
        <w:jc w:val="center"/>
        <w:pageBreakBefore w:val="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13</w:t>
      </w:r>
      <w:r>
        <w:rPr>
          <w:rFonts w:hint="eastAsia" w:ascii="宋体" w:hAnsi="宋体" w:cs="宋体"/>
          <w:b/>
          <w:color w:val="000000"/>
          <w:szCs w:val="21"/>
          <w:highlight w:val="none"/>
        </w:rPr>
        <w:t xml:space="preserve">.技术条款响应及偏离表</w:t>
      </w:r>
      <w:r>
        <w:rPr>
          <w:rFonts w:hint="eastAsia" w:ascii="宋体" w:hAnsi="宋体" w:cs="宋体"/>
          <w:b/>
          <w:color w:val="000000"/>
          <w:szCs w:val="21"/>
          <w:highlight w:val="none"/>
        </w:rPr>
      </w:r>
      <w:r/>
    </w:p>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（由响应人据实提交，表格不够自行添加）</w:t>
      </w:r>
      <w:r>
        <w:rPr>
          <w:rFonts w:hint="eastAsia" w:ascii="宋体" w:hAnsi="宋体" w:cs="宋体"/>
          <w:color w:val="000000"/>
          <w:szCs w:val="21"/>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trHeight w:val="994"/>
        </w:trPr>
        <w:tc>
          <w:tcPr>
            <w:tcW w:w="959"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267"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rPr>
            </w:r>
            <w:r/>
          </w:p>
        </w:tc>
        <w:tc>
          <w:tcPr>
            <w:tcW w:w="2392" w:type="dxa"/>
            <w:vAlign w:val="center"/>
            <w:textDirection w:val="lrTb"/>
            <w:noWrap w:val="false"/>
          </w:tcPr>
          <w:p>
            <w:pPr>
              <w:pStyle w:val="1173"/>
              <w:ind w:firstLine="480"/>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磋商文件要求</w:t>
            </w:r>
            <w:r>
              <w:rPr>
                <w:rFonts w:hint="eastAsia" w:ascii="宋体" w:hAnsi="宋体" w:cs="宋体"/>
                <w:color w:val="000000"/>
                <w:szCs w:val="21"/>
                <w:highlight w:val="none"/>
              </w:rPr>
            </w:r>
            <w:r/>
          </w:p>
        </w:tc>
        <w:tc>
          <w:tcPr>
            <w:tcW w:w="272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响应文件响应情况</w:t>
            </w:r>
            <w:r>
              <w:rPr>
                <w:rFonts w:hint="eastAsia" w:ascii="宋体" w:hAnsi="宋体" w:cs="宋体"/>
                <w:color w:val="000000"/>
                <w:szCs w:val="21"/>
                <w:highlight w:val="none"/>
              </w:rPr>
            </w:r>
            <w:r/>
          </w:p>
        </w:tc>
        <w:tc>
          <w:tcPr>
            <w:tcW w:w="1417"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偏离说明</w:t>
            </w:r>
            <w:r>
              <w:rPr>
                <w:rFonts w:hint="eastAsia" w:ascii="宋体" w:hAnsi="宋体" w:cs="宋体"/>
                <w:color w:val="000000"/>
                <w:szCs w:val="21"/>
                <w:highlight w:val="none"/>
              </w:rPr>
            </w:r>
            <w:r/>
          </w:p>
        </w:tc>
      </w:tr>
      <w:tr>
        <w:trPr>
          <w:trHeight w:val="414"/>
        </w:trPr>
        <w:tc>
          <w:tcPr>
            <w:tcW w:w="959" w:type="dxa"/>
            <w:vAlign w:val="top"/>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267"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48"/>
        </w:trPr>
        <w:tc>
          <w:tcPr>
            <w:tcW w:w="959" w:type="dxa"/>
            <w:vAlign w:val="top"/>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267"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00"/>
        </w:trPr>
        <w:tc>
          <w:tcPr>
            <w:tcW w:w="959" w:type="dxa"/>
            <w:vAlign w:val="top"/>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267"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19"/>
        </w:trPr>
        <w:tc>
          <w:tcPr>
            <w:tcW w:w="959" w:type="dxa"/>
            <w:vAlign w:val="top"/>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67"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392"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0" w:type="dxa"/>
            <w:vAlign w:val="center"/>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7" w:type="dxa"/>
            <w:vAlign w:val="top"/>
            <w:textDirection w:val="lrTb"/>
            <w:noWrap w:val="false"/>
          </w:tcPr>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173"/>
        <w:numPr>
          <w:ilvl w:val="0"/>
          <w:numId w:val="0"/>
        </w:num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响应人提交的响应文件应</w:t>
      </w:r>
      <w:r>
        <w:rPr>
          <w:rFonts w:hint="eastAsia" w:ascii="宋体" w:hAnsi="宋体" w:cs="宋体"/>
          <w:color w:val="000000"/>
          <w:szCs w:val="21"/>
          <w:highlight w:val="none"/>
          <w:lang w:val="en-US" w:eastAsia="zh-CN"/>
        </w:rPr>
        <w:t xml:space="preserve">对技术条款</w:t>
      </w:r>
      <w:r>
        <w:rPr>
          <w:rFonts w:hint="eastAsia" w:ascii="宋体" w:hAnsi="宋体" w:cs="宋体"/>
          <w:color w:val="000000"/>
          <w:szCs w:val="21"/>
          <w:highlight w:val="none"/>
        </w:rPr>
        <w:t xml:space="preserve">逐条填列在偏离表中。</w:t>
      </w:r>
      <w:r>
        <w:rPr>
          <w:rFonts w:hint="eastAsia" w:ascii="宋体" w:hAnsi="宋体" w:cs="宋体"/>
          <w:color w:val="000000"/>
          <w:szCs w:val="21"/>
          <w:highlight w:val="none"/>
        </w:rPr>
      </w:r>
      <w:r/>
    </w:p>
    <w:p>
      <w:pPr>
        <w:pStyle w:val="1173"/>
        <w:numPr>
          <w:ilvl w:val="0"/>
          <w:numId w:val="0"/>
        </w:num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“偏离说明”一栏选择“正偏离”、“负偏离”进行填写。正偏离的确认和负偏离的是否响应磋商文件，经三分之二评委认定。</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3.响应人如果虚假响应，将承担被暂停参加采购人组织政府采购活动的风险。</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4.供应商若提供其他增值服务，可以在表中自行据实填写。</w:t>
      </w: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73"/>
        <w:ind w:firstLine="48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73"/>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供应商名称（盖章）：</w:t>
      </w:r>
      <w:r>
        <w:rPr>
          <w:rFonts w:hint="eastAsia" w:ascii="宋体" w:hAnsi="宋体" w:cs="宋体"/>
          <w:color w:val="000000"/>
          <w:szCs w:val="21"/>
          <w:highlight w:val="none"/>
        </w:rPr>
      </w:r>
      <w:r/>
    </w:p>
    <w:p>
      <w:pPr>
        <w:pStyle w:val="1173"/>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法人或授权委托人（签字或盖章）：</w:t>
      </w:r>
      <w:r>
        <w:rPr>
          <w:rFonts w:hint="eastAsia" w:ascii="宋体" w:hAnsi="宋体" w:cs="宋体"/>
          <w:color w:val="000000"/>
          <w:szCs w:val="21"/>
          <w:highlight w:val="none"/>
        </w:rPr>
      </w:r>
      <w:r/>
    </w:p>
    <w:p>
      <w:pPr>
        <w:pStyle w:val="1173"/>
        <w:ind w:firstLine="483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173"/>
        <w:contextualSpacing/>
        <w:ind w:firstLine="420"/>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ind w:firstLine="420"/>
        <w:pageBreakBefore w:val="0"/>
        <w:spacing w:line="360" w:lineRule="auto"/>
        <w:rPr>
          <w:rFonts w:hint="eastAsia" w:ascii="宋体" w:hAnsi="宋体" w:cs="宋体"/>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szCs w:val="21"/>
          <w:highlight w:val="none"/>
        </w:rPr>
      </w:r>
      <w:r/>
    </w:p>
    <w:p>
      <w:pPr>
        <w:pStyle w:val="1212"/>
        <w:ind w:left="0" w:firstLine="0"/>
        <w:jc w:val="center"/>
        <w:pageBreakBefore w:val="0"/>
        <w:spacing w:line="360" w:lineRule="auto"/>
        <w:tabs>
          <w:tab w:val="left" w:pos="720" w:leader="none"/>
        </w:tabs>
        <w:rPr>
          <w:rFonts w:hint="eastAsia" w:ascii="宋体" w:hAnsi="宋体" w:cs="宋体"/>
          <w:color w:val="000000"/>
          <w:sz w:val="21"/>
          <w:szCs w:val="21"/>
          <w:highlight w:val="none"/>
        </w:rPr>
      </w:pPr>
      <w:r/>
      <w:bookmarkStart w:id="115" w:name="_Toc15683"/>
      <w:r/>
      <w:bookmarkStart w:id="116" w:name="_Toc20755"/>
      <w:r>
        <w:rPr>
          <w:rFonts w:hint="eastAsia" w:ascii="宋体" w:hAnsi="宋体" w:cs="宋体"/>
          <w:color w:val="000000"/>
          <w:sz w:val="21"/>
          <w:szCs w:val="21"/>
          <w:highlight w:val="none"/>
          <w:lang w:val="en-US" w:eastAsia="zh-CN"/>
        </w:rPr>
        <w:t xml:space="preserve">14</w:t>
      </w:r>
      <w:r>
        <w:rPr>
          <w:rFonts w:hint="eastAsia" w:ascii="宋体" w:hAnsi="宋体" w:cs="宋体"/>
          <w:color w:val="000000"/>
          <w:sz w:val="21"/>
          <w:szCs w:val="21"/>
          <w:highlight w:val="none"/>
        </w:rPr>
        <w:t xml:space="preserve">.商务条款响应及偏离表</w:t>
      </w:r>
      <w:bookmarkEnd w:id="115"/>
      <w:r/>
      <w:bookmarkEnd w:id="116"/>
      <w:r>
        <w:rPr>
          <w:rFonts w:hint="eastAsia" w:ascii="宋体" w:hAns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trHeight w:val="643"/>
        </w:trPr>
        <w:tc>
          <w:tcPr>
            <w:tcW w:w="794" w:type="dxa"/>
            <w:vAlign w:val="center"/>
            <w:textDirection w:val="lrTb"/>
            <w:noWrap w:val="false"/>
          </w:tcPr>
          <w:p>
            <w:pPr>
              <w:pStyle w:val="1173"/>
              <w:jc w:val="center"/>
              <w:pageBreakBefore w:val="0"/>
              <w:spacing w:before="156" w:line="360" w:lineRule="auto"/>
              <w:rPr>
                <w:color w:val="000000"/>
                <w:szCs w:val="21"/>
                <w:highlight w:val="none"/>
              </w:rPr>
            </w:pPr>
            <w:r>
              <w:rPr>
                <w:color w:val="000000"/>
                <w:szCs w:val="21"/>
                <w:highlight w:val="none"/>
              </w:rPr>
              <w:t xml:space="preserve">序号</w:t>
            </w:r>
            <w:r>
              <w:rPr>
                <w:color w:val="000000"/>
                <w:szCs w:val="21"/>
                <w:highlight w:val="none"/>
              </w:rPr>
            </w:r>
            <w:r/>
          </w:p>
        </w:tc>
        <w:tc>
          <w:tcPr>
            <w:tcW w:w="2008" w:type="dxa"/>
            <w:vAlign w:val="center"/>
            <w:textDirection w:val="lrTb"/>
            <w:noWrap w:val="false"/>
          </w:tcPr>
          <w:p>
            <w:pPr>
              <w:pStyle w:val="1173"/>
              <w:jc w:val="center"/>
              <w:pageBreakBefore w:val="0"/>
              <w:spacing w:before="156" w:line="360" w:lineRule="auto"/>
              <w:rPr>
                <w:color w:val="000000"/>
                <w:szCs w:val="21"/>
                <w:highlight w:val="none"/>
              </w:rPr>
            </w:pPr>
            <w:r>
              <w:rPr>
                <w:color w:val="000000"/>
                <w:szCs w:val="21"/>
                <w:highlight w:val="none"/>
              </w:rPr>
              <w:t xml:space="preserve">项目</w:t>
            </w:r>
            <w:r>
              <w:rPr>
                <w:color w:val="000000"/>
                <w:szCs w:val="21"/>
                <w:highlight w:val="none"/>
              </w:rPr>
            </w:r>
            <w:r/>
          </w:p>
        </w:tc>
        <w:tc>
          <w:tcPr>
            <w:tcW w:w="2127" w:type="dxa"/>
            <w:vAlign w:val="center"/>
            <w:textDirection w:val="lrTb"/>
            <w:noWrap w:val="false"/>
          </w:tcPr>
          <w:p>
            <w:pPr>
              <w:pStyle w:val="1173"/>
              <w:jc w:val="center"/>
              <w:pageBreakBefore w:val="0"/>
              <w:spacing w:before="156" w:line="360" w:lineRule="auto"/>
              <w:rPr>
                <w:color w:val="000000"/>
                <w:szCs w:val="21"/>
                <w:highlight w:val="none"/>
              </w:rPr>
            </w:pPr>
            <w:r>
              <w:rPr>
                <w:rFonts w:hint="eastAsia"/>
                <w:color w:val="000000"/>
                <w:szCs w:val="21"/>
                <w:highlight w:val="none"/>
              </w:rPr>
              <w:t xml:space="preserve">磋商文件</w:t>
            </w:r>
            <w:r>
              <w:rPr>
                <w:color w:val="000000"/>
                <w:szCs w:val="21"/>
                <w:highlight w:val="none"/>
              </w:rPr>
              <w:t xml:space="preserve">要求</w:t>
            </w:r>
            <w:r>
              <w:rPr>
                <w:color w:val="000000"/>
                <w:szCs w:val="21"/>
                <w:highlight w:val="none"/>
              </w:rPr>
            </w:r>
            <w:r/>
          </w:p>
        </w:tc>
        <w:tc>
          <w:tcPr>
            <w:tcW w:w="1659" w:type="dxa"/>
            <w:vAlign w:val="center"/>
            <w:textDirection w:val="lrTb"/>
            <w:noWrap w:val="false"/>
          </w:tcPr>
          <w:p>
            <w:pPr>
              <w:pStyle w:val="1173"/>
              <w:jc w:val="center"/>
              <w:pageBreakBefore w:val="0"/>
              <w:spacing w:line="360" w:lineRule="auto"/>
              <w:rPr>
                <w:color w:val="000000"/>
                <w:szCs w:val="21"/>
                <w:highlight w:val="none"/>
              </w:rPr>
            </w:pPr>
            <w:r>
              <w:rPr>
                <w:rFonts w:hint="eastAsia" w:ascii="宋体" w:hAnsi="宋体" w:cs="宋体"/>
                <w:color w:val="000000"/>
                <w:szCs w:val="21"/>
                <w:highlight w:val="none"/>
              </w:rPr>
              <w:t xml:space="preserve">响应文件响应情况</w:t>
            </w:r>
            <w:r>
              <w:rPr>
                <w:color w:val="000000"/>
                <w:szCs w:val="21"/>
                <w:highlight w:val="none"/>
              </w:rPr>
            </w:r>
            <w:r/>
          </w:p>
        </w:tc>
        <w:tc>
          <w:tcPr>
            <w:tcW w:w="1884" w:type="dxa"/>
            <w:vAlign w:val="center"/>
            <w:textDirection w:val="lrTb"/>
            <w:noWrap w:val="false"/>
          </w:tcPr>
          <w:p>
            <w:pPr>
              <w:pStyle w:val="1173"/>
              <w:jc w:val="center"/>
              <w:pageBreakBefore w:val="0"/>
              <w:spacing w:line="360" w:lineRule="auto"/>
              <w:rPr>
                <w:color w:val="000000"/>
                <w:szCs w:val="21"/>
                <w:highlight w:val="none"/>
              </w:rPr>
            </w:pPr>
            <w:r>
              <w:rPr>
                <w:rFonts w:hint="eastAsia" w:ascii="宋体" w:hAnsi="宋体" w:cs="宋体"/>
                <w:color w:val="000000"/>
                <w:szCs w:val="21"/>
                <w:highlight w:val="none"/>
              </w:rPr>
              <w:t xml:space="preserve">偏离说明</w:t>
            </w:r>
            <w:r>
              <w:rPr>
                <w:color w:val="000000"/>
                <w:szCs w:val="21"/>
                <w:highlight w:val="none"/>
              </w:rPr>
            </w:r>
            <w:r/>
          </w:p>
        </w:tc>
      </w:tr>
      <w:tr>
        <w:trPr>
          <w:trHeight w:val="447"/>
        </w:trPr>
        <w:tc>
          <w:tcPr>
            <w:tcW w:w="794" w:type="dxa"/>
            <w:vAlign w:val="center"/>
            <w:textDirection w:val="lrTb"/>
            <w:noWrap w:val="false"/>
          </w:tcPr>
          <w:p>
            <w:pPr>
              <w:pStyle w:val="1173"/>
              <w:jc w:val="center"/>
              <w:pageBreakBefore w:val="0"/>
              <w:spacing w:before="156" w:line="360" w:lineRule="auto"/>
              <w:rPr>
                <w:rFonts w:ascii="Times New Roman" w:hAnsi="Times New Roman"/>
                <w:color w:val="000000"/>
                <w:szCs w:val="21"/>
                <w:highlight w:val="none"/>
              </w:rPr>
            </w:pPr>
            <w:r>
              <w:rPr>
                <w:rFonts w:ascii="Times New Roman" w:hAnsi="Times New Roman"/>
                <w:color w:val="000000"/>
                <w:szCs w:val="21"/>
                <w:highlight w:val="none"/>
              </w:rPr>
              <w:t xml:space="preserve">1</w:t>
            </w:r>
            <w:r>
              <w:rPr>
                <w:rFonts w:ascii="Times New Roman" w:hAnsi="Times New Roman"/>
                <w:color w:val="000000"/>
                <w:szCs w:val="21"/>
                <w:highlight w:val="none"/>
              </w:rPr>
            </w:r>
            <w:r/>
          </w:p>
        </w:tc>
        <w:tc>
          <w:tcPr>
            <w:tcW w:w="2008" w:type="dxa"/>
            <w:vAlign w:val="center"/>
            <w:textDirection w:val="lrTb"/>
            <w:noWrap w:val="false"/>
          </w:tcPr>
          <w:p>
            <w:pPr>
              <w:pStyle w:val="1173"/>
              <w:jc w:val="center"/>
              <w:pageBreakBefore w:val="0"/>
              <w:spacing w:before="156"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合同履行期限</w:t>
            </w:r>
            <w:r>
              <w:rPr>
                <w:rFonts w:ascii="Times New Roman" w:hAnsi="Times New Roman"/>
                <w:color w:val="000000"/>
                <w:szCs w:val="21"/>
                <w:highlight w:val="none"/>
              </w:rPr>
            </w:r>
            <w:r/>
          </w:p>
        </w:tc>
        <w:tc>
          <w:tcPr>
            <w:tcW w:w="2127"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r>
      <w:tr>
        <w:trPr>
          <w:trHeight w:val="512"/>
        </w:trPr>
        <w:tc>
          <w:tcPr>
            <w:tcW w:w="794" w:type="dxa"/>
            <w:vAlign w:val="center"/>
            <w:textDirection w:val="lrTb"/>
            <w:noWrap w:val="false"/>
          </w:tcPr>
          <w:p>
            <w:pPr>
              <w:pStyle w:val="1173"/>
              <w:jc w:val="center"/>
              <w:pageBreakBefore w:val="0"/>
              <w:spacing w:before="156" w:line="360" w:lineRule="auto"/>
              <w:rPr>
                <w:rFonts w:ascii="Times New Roman" w:hAnsi="Times New Roman"/>
                <w:color w:val="000000"/>
                <w:szCs w:val="21"/>
                <w:highlight w:val="none"/>
              </w:rPr>
            </w:pPr>
            <w:r>
              <w:rPr>
                <w:rFonts w:ascii="Times New Roman" w:hAnsi="Times New Roman"/>
                <w:color w:val="000000"/>
                <w:szCs w:val="21"/>
                <w:highlight w:val="none"/>
              </w:rPr>
              <w:t xml:space="preserve">2</w:t>
            </w:r>
            <w:r>
              <w:rPr>
                <w:rFonts w:ascii="Times New Roman" w:hAnsi="Times New Roman"/>
                <w:color w:val="000000"/>
                <w:szCs w:val="21"/>
                <w:highlight w:val="none"/>
              </w:rPr>
            </w:r>
            <w:r/>
          </w:p>
        </w:tc>
        <w:tc>
          <w:tcPr>
            <w:tcW w:w="2008" w:type="dxa"/>
            <w:vAlign w:val="center"/>
            <w:textDirection w:val="lrTb"/>
            <w:noWrap w:val="false"/>
          </w:tcPr>
          <w:p>
            <w:pPr>
              <w:pStyle w:val="1173"/>
              <w:jc w:val="center"/>
              <w:pageBreakBefore w:val="0"/>
              <w:spacing w:before="156"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服务地点</w:t>
            </w:r>
            <w:r>
              <w:rPr>
                <w:rFonts w:ascii="Times New Roman" w:hAnsi="Times New Roman"/>
                <w:color w:val="000000"/>
                <w:szCs w:val="21"/>
                <w:highlight w:val="none"/>
              </w:rPr>
            </w:r>
            <w:r/>
          </w:p>
        </w:tc>
        <w:tc>
          <w:tcPr>
            <w:tcW w:w="2127"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r>
      <w:tr>
        <w:trPr>
          <w:trHeight w:val="541"/>
        </w:trPr>
        <w:tc>
          <w:tcPr>
            <w:tcW w:w="794" w:type="dxa"/>
            <w:vAlign w:val="center"/>
            <w:textDirection w:val="lrTb"/>
            <w:noWrap w:val="false"/>
          </w:tcPr>
          <w:p>
            <w:pPr>
              <w:pStyle w:val="1173"/>
              <w:jc w:val="center"/>
              <w:pageBreakBefore w:val="0"/>
              <w:spacing w:before="156" w:line="360" w:lineRule="auto"/>
              <w:rPr>
                <w:rFonts w:ascii="Times New Roman" w:hAnsi="Times New Roman"/>
                <w:color w:val="000000"/>
                <w:szCs w:val="21"/>
                <w:highlight w:val="none"/>
              </w:rPr>
            </w:pPr>
            <w:r>
              <w:rPr>
                <w:rFonts w:ascii="Times New Roman" w:hAnsi="Times New Roman"/>
                <w:color w:val="000000"/>
                <w:szCs w:val="21"/>
                <w:highlight w:val="none"/>
              </w:rPr>
              <w:t xml:space="preserve">3</w:t>
            </w:r>
            <w:r>
              <w:rPr>
                <w:rFonts w:ascii="Times New Roman" w:hAnsi="Times New Roman"/>
                <w:color w:val="000000"/>
                <w:szCs w:val="21"/>
                <w:highlight w:val="none"/>
              </w:rPr>
            </w:r>
            <w:r/>
          </w:p>
        </w:tc>
        <w:tc>
          <w:tcPr>
            <w:tcW w:w="2008" w:type="dxa"/>
            <w:vAlign w:val="center"/>
            <w:textDirection w:val="lrTb"/>
            <w:noWrap w:val="false"/>
          </w:tcPr>
          <w:p>
            <w:pPr>
              <w:pStyle w:val="1173"/>
              <w:jc w:val="center"/>
              <w:pageBreakBefore w:val="0"/>
              <w:spacing w:before="156" w:line="360" w:lineRule="auto"/>
              <w:rPr>
                <w:rFonts w:ascii="Times New Roman" w:hAnsi="Times New Roman"/>
                <w:color w:val="000000"/>
                <w:szCs w:val="21"/>
                <w:highlight w:val="none"/>
              </w:rPr>
            </w:pPr>
            <w:r>
              <w:rPr>
                <w:rFonts w:hint="eastAsia" w:ascii="Times New Roman" w:hAnsi="Times New Roman"/>
                <w:color w:val="000000"/>
                <w:szCs w:val="21"/>
                <w:highlight w:val="none"/>
              </w:rPr>
              <w:t xml:space="preserve">付款方式</w:t>
            </w:r>
            <w:r>
              <w:rPr>
                <w:rFonts w:ascii="Times New Roman" w:hAnsi="Times New Roman"/>
                <w:color w:val="000000"/>
                <w:szCs w:val="21"/>
                <w:highlight w:val="none"/>
              </w:rPr>
            </w:r>
            <w:r/>
          </w:p>
        </w:tc>
        <w:tc>
          <w:tcPr>
            <w:tcW w:w="2127"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r>
      <w:tr>
        <w:trPr>
          <w:trHeight w:val="441"/>
        </w:trPr>
        <w:tc>
          <w:tcPr>
            <w:tcW w:w="794" w:type="dxa"/>
            <w:vAlign w:val="center"/>
            <w:textDirection w:val="lrTb"/>
            <w:noWrap w:val="false"/>
          </w:tcPr>
          <w:p>
            <w:pPr>
              <w:pStyle w:val="1173"/>
              <w:jc w:val="center"/>
              <w:pageBreakBefore w:val="0"/>
              <w:spacing w:before="156" w:line="360" w:lineRule="auto"/>
              <w:rPr>
                <w:rFonts w:ascii="Times New Roman" w:hAnsi="Times New Roman"/>
                <w:color w:val="000000"/>
                <w:szCs w:val="21"/>
                <w:highlight w:val="none"/>
              </w:rPr>
            </w:pPr>
            <w:r>
              <w:rPr>
                <w:rFonts w:ascii="Times New Roman" w:hAnsi="Times New Roman"/>
                <w:color w:val="000000"/>
                <w:szCs w:val="21"/>
                <w:highlight w:val="none"/>
              </w:rPr>
              <w:t xml:space="preserve">4</w:t>
            </w:r>
            <w:r>
              <w:rPr>
                <w:rFonts w:ascii="Times New Roman" w:hAnsi="Times New Roman"/>
                <w:color w:val="000000"/>
                <w:szCs w:val="21"/>
                <w:highlight w:val="none"/>
              </w:rPr>
            </w:r>
            <w:r/>
          </w:p>
        </w:tc>
        <w:tc>
          <w:tcPr>
            <w:tcW w:w="2008" w:type="dxa"/>
            <w:vAlign w:val="center"/>
            <w:textDirection w:val="lrTb"/>
            <w:noWrap w:val="false"/>
          </w:tcPr>
          <w:p>
            <w:pPr>
              <w:pStyle w:val="1173"/>
              <w:jc w:val="center"/>
              <w:pageBreakBefore w:val="0"/>
              <w:spacing w:before="156" w:line="360" w:lineRule="auto"/>
              <w:rPr>
                <w:rFonts w:ascii="Times New Roman" w:hAnsi="Times New Roman"/>
                <w:color w:val="000000"/>
                <w:szCs w:val="21"/>
                <w:highlight w:val="none"/>
              </w:rPr>
            </w:pPr>
            <w:r>
              <w:rPr>
                <w:rFonts w:ascii="Times New Roman" w:hAnsi="Times New Roman"/>
                <w:color w:val="000000"/>
                <w:szCs w:val="21"/>
                <w:highlight w:val="none"/>
              </w:rPr>
              <w:t xml:space="preserve">投标货币</w:t>
            </w:r>
            <w:r>
              <w:rPr>
                <w:rFonts w:ascii="Times New Roman" w:hAnsi="Times New Roman"/>
                <w:color w:val="000000"/>
                <w:szCs w:val="21"/>
                <w:highlight w:val="none"/>
              </w:rPr>
            </w:r>
            <w:r/>
          </w:p>
        </w:tc>
        <w:tc>
          <w:tcPr>
            <w:tcW w:w="2127"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r>
      <w:tr>
        <w:trPr>
          <w:trHeight w:val="461"/>
        </w:trPr>
        <w:tc>
          <w:tcPr>
            <w:tcW w:w="794" w:type="dxa"/>
            <w:vAlign w:val="center"/>
            <w:textDirection w:val="lrTb"/>
            <w:noWrap w:val="false"/>
          </w:tcPr>
          <w:p>
            <w:pPr>
              <w:pStyle w:val="1173"/>
              <w:jc w:val="center"/>
              <w:pageBreakBefore w:val="0"/>
              <w:spacing w:before="156" w:line="360" w:lineRule="auto"/>
              <w:rPr>
                <w:color w:val="000000"/>
                <w:szCs w:val="21"/>
                <w:highlight w:val="none"/>
              </w:rPr>
            </w:pPr>
            <w:r>
              <w:rPr>
                <w:color w:val="000000"/>
                <w:szCs w:val="21"/>
                <w:highlight w:val="none"/>
              </w:rPr>
            </w:r>
            <w:r/>
          </w:p>
        </w:tc>
        <w:tc>
          <w:tcPr>
            <w:tcW w:w="2008"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2127"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r>
      <w:tr>
        <w:trPr>
          <w:trHeight w:val="576"/>
        </w:trPr>
        <w:tc>
          <w:tcPr>
            <w:tcW w:w="794" w:type="dxa"/>
            <w:vAlign w:val="center"/>
            <w:textDirection w:val="lrTb"/>
            <w:noWrap w:val="false"/>
          </w:tcPr>
          <w:p>
            <w:pPr>
              <w:pStyle w:val="1173"/>
              <w:jc w:val="center"/>
              <w:pageBreakBefore w:val="0"/>
              <w:spacing w:before="156" w:line="360" w:lineRule="auto"/>
              <w:rPr>
                <w:color w:val="000000"/>
                <w:szCs w:val="21"/>
                <w:highlight w:val="none"/>
              </w:rPr>
            </w:pPr>
            <w:r>
              <w:rPr>
                <w:color w:val="000000"/>
                <w:szCs w:val="21"/>
                <w:highlight w:val="none"/>
              </w:rPr>
            </w:r>
            <w:r/>
          </w:p>
        </w:tc>
        <w:tc>
          <w:tcPr>
            <w:tcW w:w="2008"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2127"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r>
      <w:tr>
        <w:trPr>
          <w:trHeight w:val="401"/>
        </w:trPr>
        <w:tc>
          <w:tcPr>
            <w:tcW w:w="794" w:type="dxa"/>
            <w:vAlign w:val="center"/>
            <w:textDirection w:val="lrTb"/>
            <w:noWrap w:val="false"/>
          </w:tcPr>
          <w:p>
            <w:pPr>
              <w:pStyle w:val="1173"/>
              <w:jc w:val="center"/>
              <w:pageBreakBefore w:val="0"/>
              <w:spacing w:before="156" w:line="360" w:lineRule="auto"/>
              <w:rPr>
                <w:color w:val="000000"/>
                <w:szCs w:val="21"/>
                <w:highlight w:val="none"/>
              </w:rPr>
            </w:pPr>
            <w:r>
              <w:rPr>
                <w:color w:val="000000"/>
                <w:szCs w:val="21"/>
                <w:highlight w:val="none"/>
              </w:rPr>
            </w:r>
            <w:r/>
          </w:p>
        </w:tc>
        <w:tc>
          <w:tcPr>
            <w:tcW w:w="2008"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2127"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r>
      <w:tr>
        <w:trPr>
          <w:trHeight w:val="461"/>
        </w:trPr>
        <w:tc>
          <w:tcPr>
            <w:tcW w:w="794" w:type="dxa"/>
            <w:vAlign w:val="center"/>
            <w:textDirection w:val="lrTb"/>
            <w:noWrap w:val="false"/>
          </w:tcPr>
          <w:p>
            <w:pPr>
              <w:pStyle w:val="1173"/>
              <w:jc w:val="center"/>
              <w:pageBreakBefore w:val="0"/>
              <w:spacing w:before="156" w:line="360" w:lineRule="auto"/>
              <w:rPr>
                <w:color w:val="000000"/>
                <w:szCs w:val="21"/>
                <w:highlight w:val="none"/>
              </w:rPr>
            </w:pPr>
            <w:r>
              <w:rPr>
                <w:color w:val="000000"/>
                <w:szCs w:val="21"/>
                <w:highlight w:val="none"/>
              </w:rPr>
            </w:r>
            <w:r/>
          </w:p>
        </w:tc>
        <w:tc>
          <w:tcPr>
            <w:tcW w:w="2008"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2127"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r>
      <w:tr>
        <w:trPr>
          <w:trHeight w:val="461"/>
        </w:trPr>
        <w:tc>
          <w:tcPr>
            <w:tcW w:w="794" w:type="dxa"/>
            <w:vAlign w:val="center"/>
            <w:textDirection w:val="lrTb"/>
            <w:noWrap w:val="false"/>
          </w:tcPr>
          <w:p>
            <w:pPr>
              <w:pStyle w:val="1173"/>
              <w:jc w:val="center"/>
              <w:pageBreakBefore w:val="0"/>
              <w:spacing w:before="156" w:line="360" w:lineRule="auto"/>
              <w:rPr>
                <w:color w:val="000000"/>
                <w:szCs w:val="21"/>
                <w:highlight w:val="none"/>
              </w:rPr>
            </w:pPr>
            <w:r>
              <w:rPr>
                <w:color w:val="000000"/>
                <w:szCs w:val="21"/>
                <w:highlight w:val="none"/>
              </w:rPr>
            </w:r>
            <w:r/>
          </w:p>
        </w:tc>
        <w:tc>
          <w:tcPr>
            <w:tcW w:w="2008"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2127"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659"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c>
          <w:tcPr>
            <w:tcW w:w="1884" w:type="dxa"/>
            <w:vAlign w:val="center"/>
            <w:textDirection w:val="lrTb"/>
            <w:noWrap w:val="false"/>
          </w:tcPr>
          <w:p>
            <w:pPr>
              <w:pStyle w:val="1173"/>
              <w:pageBreakBefore w:val="0"/>
              <w:spacing w:before="156" w:line="360" w:lineRule="auto"/>
              <w:rPr>
                <w:color w:val="000000"/>
                <w:szCs w:val="21"/>
                <w:highlight w:val="none"/>
              </w:rPr>
            </w:pPr>
            <w:r>
              <w:rPr>
                <w:color w:val="000000"/>
                <w:szCs w:val="21"/>
                <w:highlight w:val="none"/>
              </w:rPr>
            </w:r>
            <w:r/>
          </w:p>
        </w:tc>
      </w:tr>
    </w:tbl>
    <w:p>
      <w:pPr>
        <w:pStyle w:val="1179"/>
        <w:pageBreakBefore w:val="0"/>
        <w:spacing w:line="360" w:lineRule="auto"/>
        <w:rPr>
          <w:color w:val="000000"/>
          <w:szCs w:val="21"/>
          <w:highlight w:val="none"/>
        </w:rPr>
      </w:pPr>
      <w:r>
        <w:rPr>
          <w:color w:val="000000"/>
          <w:szCs w:val="21"/>
          <w:highlight w:val="none"/>
        </w:rPr>
      </w:r>
      <w:r/>
    </w:p>
    <w:p>
      <w:pPr>
        <w:pStyle w:val="1173"/>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供应商名称（盖章）：</w:t>
      </w:r>
      <w:r>
        <w:rPr>
          <w:rFonts w:hint="eastAsia" w:ascii="宋体" w:hAnsi="宋体" w:cs="宋体"/>
          <w:color w:val="000000"/>
          <w:szCs w:val="21"/>
          <w:highlight w:val="none"/>
        </w:rPr>
      </w:r>
      <w:r/>
    </w:p>
    <w:p>
      <w:pPr>
        <w:pStyle w:val="1173"/>
        <w:ind w:firstLine="4674"/>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法人或授权委托人（签字或盖章）：</w:t>
      </w:r>
      <w:r>
        <w:rPr>
          <w:rFonts w:hint="eastAsia" w:ascii="宋体" w:hAnsi="宋体" w:cs="宋体"/>
          <w:color w:val="000000"/>
          <w:szCs w:val="21"/>
          <w:highlight w:val="none"/>
        </w:rPr>
      </w:r>
      <w:r/>
    </w:p>
    <w:p>
      <w:pPr>
        <w:pStyle w:val="1173"/>
        <w:ind w:firstLine="483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173"/>
        <w:pageBreakBefore w:val="0"/>
        <w:spacing w:line="360" w:lineRule="auto"/>
        <w:rPr>
          <w:rFonts w:hint="eastAsia" w:ascii="宋体" w:hAnsi="宋体" w:cs="宋体"/>
          <w:b/>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24"/>
          <w:highlight w:val="none"/>
        </w:rPr>
      </w:r>
      <w:r/>
    </w:p>
    <w:p>
      <w:pPr>
        <w:pStyle w:val="1173"/>
        <w:jc w:val="center"/>
        <w:pageBreakBefore w:val="0"/>
        <w:spacing w:line="360" w:lineRule="auto"/>
        <w:rPr>
          <w:rFonts w:hint="eastAsia" w:ascii="宋体" w:hAnsi="宋体"/>
          <w:b/>
          <w:color w:val="000000"/>
          <w:szCs w:val="21"/>
          <w:highlight w:val="none"/>
        </w:rPr>
      </w:pPr>
      <w:r/>
      <w:bookmarkEnd w:id="108"/>
      <w:r/>
      <w:bookmarkEnd w:id="109"/>
      <w:r/>
      <w:bookmarkEnd w:id="110"/>
      <w:r/>
      <w:bookmarkEnd w:id="111"/>
      <w:r>
        <w:rPr>
          <w:rFonts w:hint="eastAsia" w:ascii="宋体" w:hAnsi="宋体"/>
          <w:b/>
          <w:color w:val="000000"/>
          <w:szCs w:val="21"/>
          <w:highlight w:val="none"/>
        </w:rPr>
        <w:t xml:space="preserve">1</w:t>
      </w:r>
      <w:r>
        <w:rPr>
          <w:rFonts w:hint="eastAsia" w:ascii="宋体" w:hAnsi="宋体"/>
          <w:b/>
          <w:color w:val="000000"/>
          <w:szCs w:val="21"/>
          <w:highlight w:val="none"/>
          <w:lang w:val="en-US" w:eastAsia="zh-CN"/>
        </w:rPr>
        <w:t xml:space="preserve">5</w:t>
      </w:r>
      <w:r>
        <w:rPr>
          <w:rFonts w:hint="eastAsia" w:ascii="宋体" w:hAnsi="宋体"/>
          <w:b/>
          <w:color w:val="000000"/>
          <w:szCs w:val="21"/>
          <w:highlight w:val="none"/>
        </w:rPr>
        <w:t xml:space="preserve">.项目组成人员表</w:t>
      </w:r>
      <w:r>
        <w:rPr>
          <w:rFonts w:hint="eastAsia" w:ascii="宋体" w:hAnsi="宋体"/>
          <w:b/>
          <w:color w:val="000000"/>
          <w:szCs w:val="21"/>
          <w:highlight w:val="none"/>
        </w:rPr>
      </w:r>
      <w:r/>
    </w:p>
    <w:p>
      <w:pPr>
        <w:pStyle w:val="1173"/>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tbl>
      <w:tblPr>
        <w:tblW w:w="9360" w:type="dxa"/>
        <w:tblInd w:w="-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000000" w:sz="8" w:space="0"/>
              <w:left w:val="single" w:color="000000" w:sz="8" w:space="0"/>
              <w:bottom w:val="single" w:color="000000" w:sz="8" w:space="0"/>
              <w:right w:val="single" w:color="000000" w:sz="8" w:space="0"/>
            </w:tcBorders>
            <w:tcW w:w="1486" w:type="dxa"/>
            <w:vAlign w:val="center"/>
            <w:vMerge w:val="restart"/>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34" w:type="dxa"/>
            <w:vAlign w:val="center"/>
            <w:vMerge w:val="restart"/>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933" w:type="dxa"/>
            <w:vAlign w:val="center"/>
            <w:vMerge w:val="restart"/>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6" w:type="dxa"/>
            <w:vAlign w:val="center"/>
            <w:vMerge w:val="restart"/>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276" w:type="dxa"/>
            <w:vAlign w:val="center"/>
            <w:vMerge w:val="restart"/>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专业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701" w:type="dxa"/>
            <w:vAlign w:val="center"/>
            <w:vMerge w:val="restart"/>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554" w:type="dxa"/>
            <w:vAlign w:val="center"/>
            <w:vMerge w:val="restart"/>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资格证书</w:t>
            </w:r>
            <w:r>
              <w:rPr>
                <w:rFonts w:hint="eastAsia" w:ascii="宋体" w:hAnsi="宋体" w:cs="宋体"/>
                <w:color w:val="000000"/>
                <w:szCs w:val="21"/>
                <w:highlight w:val="none"/>
              </w:rPr>
            </w:r>
            <w:r/>
          </w:p>
        </w:tc>
      </w:tr>
      <w:tr>
        <w:trPr>
          <w:trHeight w:val="508"/>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w:t>
            </w: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73"/>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73"/>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73"/>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90"/>
        </w:trPr>
        <w:tc>
          <w:tcPr>
            <w:tcBorders>
              <w:top w:val="none" w:color="000000" w:sz="4" w:space="0"/>
              <w:left w:val="single" w:color="000000" w:sz="8" w:space="0"/>
              <w:bottom w:val="single" w:color="000000" w:sz="8" w:space="0"/>
              <w:right w:val="single" w:color="000000" w:sz="8" w:space="0"/>
            </w:tcBorders>
            <w:tcW w:w="148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276"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701"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val="false"/>
          </w:tcPr>
          <w:p>
            <w:pPr>
              <w:pStyle w:val="1173"/>
              <w:jc w:val="center"/>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173"/>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173"/>
        <w:pageBreakBefore w:val="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213"/>
        <w:ind w:firstLine="420"/>
        <w:pageBreakBefore w:val="0"/>
        <w:spacing w:line="360" w:lineRule="auto"/>
        <w:rPr>
          <w:rFonts w:hint="eastAsia" w:ascii="宋体" w:hAnsi="宋体"/>
          <w:color w:val="000000"/>
          <w:highlight w:val="none"/>
        </w:rPr>
      </w:pPr>
      <w:r>
        <w:rPr>
          <w:rFonts w:hint="eastAsia" w:ascii="宋体" w:hAnsi="宋体"/>
          <w:color w:val="000000"/>
          <w:highlight w:val="none"/>
        </w:rPr>
      </w:r>
      <w:r/>
    </w:p>
    <w:p>
      <w:pPr>
        <w:pStyle w:val="1173"/>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73"/>
        <w:ind w:firstLine="480"/>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供应商（公章）：</w:t>
      </w:r>
      <w:r>
        <w:rPr>
          <w:rFonts w:hint="eastAsia" w:ascii="宋体" w:hAnsi="宋体" w:cs="宋体"/>
          <w:color w:val="000000"/>
          <w:szCs w:val="21"/>
          <w:highlight w:val="none"/>
        </w:rPr>
      </w:r>
      <w:r/>
    </w:p>
    <w:p>
      <w:pPr>
        <w:pStyle w:val="1173"/>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法定代表人或授权代表（签字或盖章）：</w:t>
      </w:r>
      <w:r>
        <w:rPr>
          <w:rFonts w:hint="eastAsia" w:ascii="宋体" w:hAnsi="宋体" w:cs="宋体"/>
          <w:color w:val="000000"/>
          <w:szCs w:val="21"/>
          <w:highlight w:val="none"/>
        </w:rPr>
      </w:r>
      <w:r/>
    </w:p>
    <w:p>
      <w:pPr>
        <w:pStyle w:val="1173"/>
        <w:ind w:firstLine="480"/>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  　年　月　日</w:t>
      </w:r>
      <w:r>
        <w:rPr>
          <w:rFonts w:hint="eastAsia" w:ascii="宋体" w:hAnsi="宋体" w:cs="宋体"/>
          <w:color w:val="000000"/>
          <w:szCs w:val="21"/>
          <w:highlight w:val="none"/>
        </w:rPr>
      </w:r>
      <w:r/>
    </w:p>
    <w:p>
      <w:pPr>
        <w:pStyle w:val="1213"/>
        <w:ind w:firstLine="420"/>
        <w:pageBreakBefore w:val="0"/>
        <w:spacing w:line="360" w:lineRule="auto"/>
        <w:rPr>
          <w:rFonts w:hint="eastAsia" w:ascii="宋体" w:hAnsi="宋体"/>
          <w:color w:val="000000"/>
          <w:highlight w:val="none"/>
        </w:rPr>
      </w:pPr>
      <w:r>
        <w:rPr>
          <w:rFonts w:hint="eastAsia" w:ascii="宋体" w:hAnsi="宋体"/>
          <w:color w:val="000000"/>
          <w:highlight w:val="none"/>
        </w:rPr>
      </w:r>
      <w:r/>
    </w:p>
    <w:p>
      <w:pPr>
        <w:pStyle w:val="1173"/>
        <w:jc w:val="center"/>
        <w:pageBreakBefore w:val="0"/>
        <w:spacing w:line="360" w:lineRule="auto"/>
        <w:widowControl/>
        <w:rPr>
          <w:rFonts w:hint="eastAsia" w:ascii="宋体" w:hAnsi="宋体" w:cs="宋体"/>
          <w:b/>
          <w:color w:val="000000"/>
          <w:szCs w:val="21"/>
          <w:highlight w:val="none"/>
        </w:rPr>
      </w:pPr>
      <w:r>
        <w:rPr>
          <w:rFonts w:ascii="宋体" w:hAnsi="宋体"/>
          <w:b/>
          <w:color w:val="000000"/>
          <w:szCs w:val="21"/>
          <w:highlight w:val="none"/>
        </w:rPr>
        <w:br w:type="page" w:clear="all"/>
      </w: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供应商一般情况表</w:t>
      </w:r>
      <w:r>
        <w:rPr>
          <w:rFonts w:hint="eastAsia"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w:t>
            </w:r>
            <w:r>
              <w:rPr>
                <w:rFonts w:hint="eastAsia" w:ascii="宋体" w:hAnsi="宋体" w:cs="宋体"/>
                <w:color w:val="000000"/>
                <w:szCs w:val="21"/>
                <w:highlight w:val="none"/>
              </w:rPr>
            </w:r>
            <w:r/>
          </w:p>
        </w:tc>
        <w:tc>
          <w:tcPr>
            <w:gridSpan w:val="8"/>
            <w:tcW w:w="7341"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注册地址</w:t>
            </w:r>
            <w:r>
              <w:rPr>
                <w:rFonts w:hint="eastAsia" w:ascii="宋体" w:hAnsi="宋体" w:cs="宋体"/>
                <w:color w:val="000000"/>
                <w:szCs w:val="21"/>
                <w:highlight w:val="none"/>
              </w:rPr>
            </w:r>
            <w:r/>
          </w:p>
        </w:tc>
        <w:tc>
          <w:tcPr>
            <w:gridSpan w:val="4"/>
            <w:tcW w:w="3389"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rPr>
            </w:r>
            <w:r/>
          </w:p>
        </w:tc>
        <w:tc>
          <w:tcPr>
            <w:gridSpan w:val="3"/>
            <w:tcW w:w="270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vMerge w:val="restart"/>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W w:w="897"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2492"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gridSpan w:val="3"/>
            <w:tcW w:w="270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vMerge w:val="continue"/>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97"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3"/>
            <w:tcW w:w="2492"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4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网址</w:t>
            </w:r>
            <w:r>
              <w:rPr>
                <w:rFonts w:hint="eastAsia" w:ascii="宋体" w:hAnsi="宋体" w:cs="宋体"/>
                <w:color w:val="000000"/>
                <w:szCs w:val="21"/>
                <w:highlight w:val="none"/>
              </w:rPr>
            </w:r>
            <w:r/>
          </w:p>
        </w:tc>
        <w:tc>
          <w:tcPr>
            <w:gridSpan w:val="3"/>
            <w:tcW w:w="270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企业统一社会信用代码</w:t>
            </w:r>
            <w:r>
              <w:rPr>
                <w:rFonts w:hint="eastAsia" w:ascii="宋体" w:hAnsi="宋体" w:cs="宋体"/>
                <w:color w:val="000000"/>
                <w:szCs w:val="21"/>
                <w:highlight w:val="none"/>
              </w:rPr>
            </w:r>
            <w:r/>
          </w:p>
        </w:tc>
        <w:tc>
          <w:tcPr>
            <w:gridSpan w:val="8"/>
            <w:tcW w:w="7341"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tcW w:w="897"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1021"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gridSpan w:val="3"/>
            <w:tcW w:w="162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W w:w="1923"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技术负责人</w:t>
            </w:r>
            <w:r>
              <w:rPr>
                <w:rFonts w:hint="eastAsia" w:ascii="宋体" w:hAnsi="宋体" w:cs="宋体"/>
                <w:color w:val="000000"/>
                <w:szCs w:val="21"/>
                <w:highlight w:val="none"/>
              </w:rPr>
            </w:r>
            <w:r/>
          </w:p>
        </w:tc>
        <w:tc>
          <w:tcPr>
            <w:tcW w:w="897"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1021"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技术职称</w:t>
            </w:r>
            <w:r>
              <w:rPr>
                <w:rFonts w:hint="eastAsia" w:ascii="宋体" w:hAnsi="宋体" w:cs="宋体"/>
                <w:color w:val="000000"/>
                <w:szCs w:val="21"/>
                <w:highlight w:val="none"/>
              </w:rPr>
            </w:r>
            <w:r/>
          </w:p>
        </w:tc>
        <w:tc>
          <w:tcPr>
            <w:gridSpan w:val="3"/>
            <w:tcW w:w="162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W w:w="1923"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成立时间</w:t>
            </w:r>
            <w:r>
              <w:rPr>
                <w:rFonts w:hint="eastAsia" w:ascii="宋体" w:hAnsi="宋体" w:cs="宋体"/>
                <w:color w:val="000000"/>
                <w:szCs w:val="21"/>
                <w:highlight w:val="none"/>
              </w:rPr>
            </w:r>
            <w:r/>
          </w:p>
        </w:tc>
        <w:tc>
          <w:tcPr>
            <w:gridSpan w:val="2"/>
            <w:tcW w:w="1918"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6"/>
            <w:tcW w:w="5423"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员工总人数：</w:t>
            </w:r>
            <w:r>
              <w:rPr>
                <w:rFonts w:hint="eastAsia" w:ascii="宋体" w:hAnsi="宋体" w:cs="宋体"/>
                <w:color w:val="000000"/>
                <w:szCs w:val="21"/>
                <w:highlight w:val="none"/>
              </w:rPr>
            </w:r>
            <w:r/>
          </w:p>
        </w:tc>
      </w:tr>
      <w:tr>
        <w:trPr>
          <w:cantSplit/>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企业资质等级</w:t>
            </w:r>
            <w:r>
              <w:rPr>
                <w:rFonts w:hint="eastAsia" w:ascii="宋体" w:hAnsi="宋体" w:cs="宋体"/>
                <w:color w:val="000000"/>
                <w:szCs w:val="21"/>
                <w:highlight w:val="none"/>
              </w:rPr>
            </w:r>
            <w:r/>
          </w:p>
        </w:tc>
        <w:tc>
          <w:tcPr>
            <w:gridSpan w:val="2"/>
            <w:tcW w:w="1918"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vMerge w:val="restart"/>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tc>
        <w:tc>
          <w:tcPr>
            <w:gridSpan w:val="3"/>
            <w:tcW w:w="162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注册建造师</w:t>
            </w:r>
            <w:r>
              <w:rPr>
                <w:rFonts w:hint="eastAsia" w:ascii="宋体" w:hAnsi="宋体" w:cs="宋体"/>
                <w:color w:val="000000"/>
                <w:szCs w:val="21"/>
                <w:highlight w:val="none"/>
              </w:rPr>
            </w:r>
            <w:r/>
          </w:p>
        </w:tc>
        <w:tc>
          <w:tcPr>
            <w:gridSpan w:val="2"/>
            <w:tcW w:w="2643"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营业执照号</w:t>
            </w:r>
            <w:r>
              <w:rPr>
                <w:rFonts w:hint="eastAsia" w:ascii="宋体" w:hAnsi="宋体" w:cs="宋体"/>
                <w:color w:val="000000"/>
                <w:szCs w:val="21"/>
                <w:highlight w:val="none"/>
              </w:rPr>
            </w:r>
            <w:r/>
          </w:p>
        </w:tc>
        <w:tc>
          <w:tcPr>
            <w:gridSpan w:val="2"/>
            <w:tcW w:w="1918"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vMerge w:val="continue"/>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162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高级职称人员</w:t>
            </w:r>
            <w:r>
              <w:rPr>
                <w:rFonts w:hint="eastAsia" w:ascii="宋体" w:hAnsi="宋体" w:cs="宋体"/>
                <w:color w:val="000000"/>
                <w:szCs w:val="21"/>
                <w:highlight w:val="none"/>
              </w:rPr>
            </w:r>
            <w:r/>
          </w:p>
        </w:tc>
        <w:tc>
          <w:tcPr>
            <w:gridSpan w:val="2"/>
            <w:tcW w:w="2643"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注册资金</w:t>
            </w:r>
            <w:r>
              <w:rPr>
                <w:rFonts w:hint="eastAsia" w:ascii="宋体" w:hAnsi="宋体" w:cs="宋体"/>
                <w:color w:val="000000"/>
                <w:szCs w:val="21"/>
                <w:highlight w:val="none"/>
              </w:rPr>
            </w:r>
            <w:r/>
          </w:p>
        </w:tc>
        <w:tc>
          <w:tcPr>
            <w:gridSpan w:val="2"/>
            <w:tcW w:w="1918"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vMerge w:val="continue"/>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162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中级职称人员</w:t>
            </w:r>
            <w:r>
              <w:rPr>
                <w:rFonts w:hint="eastAsia" w:ascii="宋体" w:hAnsi="宋体" w:cs="宋体"/>
                <w:color w:val="000000"/>
                <w:szCs w:val="21"/>
                <w:highlight w:val="none"/>
              </w:rPr>
            </w:r>
            <w:r/>
          </w:p>
        </w:tc>
        <w:tc>
          <w:tcPr>
            <w:gridSpan w:val="2"/>
            <w:tcW w:w="2643"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c>
          <w:tcPr>
            <w:gridSpan w:val="2"/>
            <w:tcW w:w="1918"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vMerge w:val="continue"/>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162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初级职称人员</w:t>
            </w:r>
            <w:r>
              <w:rPr>
                <w:rFonts w:hint="eastAsia" w:ascii="宋体" w:hAnsi="宋体" w:cs="宋体"/>
                <w:color w:val="000000"/>
                <w:szCs w:val="21"/>
                <w:highlight w:val="none"/>
              </w:rPr>
            </w:r>
            <w:r/>
          </w:p>
        </w:tc>
        <w:tc>
          <w:tcPr>
            <w:gridSpan w:val="2"/>
            <w:tcW w:w="2643"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账号</w:t>
            </w:r>
            <w:r>
              <w:rPr>
                <w:rFonts w:hint="eastAsia" w:ascii="宋体" w:hAnsi="宋体" w:cs="宋体"/>
                <w:color w:val="000000"/>
                <w:szCs w:val="21"/>
                <w:highlight w:val="none"/>
              </w:rPr>
            </w:r>
            <w:r/>
          </w:p>
        </w:tc>
        <w:tc>
          <w:tcPr>
            <w:gridSpan w:val="2"/>
            <w:tcW w:w="1918"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vMerge w:val="continue"/>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3"/>
            <w:tcW w:w="1620"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技工</w:t>
            </w:r>
            <w:r>
              <w:rPr>
                <w:rFonts w:hint="eastAsia" w:ascii="宋体" w:hAnsi="宋体" w:cs="宋体"/>
                <w:color w:val="000000"/>
                <w:szCs w:val="21"/>
                <w:highlight w:val="none"/>
              </w:rPr>
            </w:r>
            <w:r/>
          </w:p>
        </w:tc>
        <w:tc>
          <w:tcPr>
            <w:gridSpan w:val="2"/>
            <w:tcW w:w="2643"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83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经营范围</w:t>
            </w:r>
            <w:r>
              <w:rPr>
                <w:rFonts w:hint="eastAsia" w:ascii="宋体" w:hAnsi="宋体" w:cs="宋体"/>
                <w:color w:val="000000"/>
                <w:szCs w:val="21"/>
                <w:highlight w:val="none"/>
              </w:rPr>
            </w:r>
            <w:r/>
          </w:p>
        </w:tc>
        <w:tc>
          <w:tcPr>
            <w:gridSpan w:val="8"/>
            <w:tcW w:w="7341"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W w:w="1626"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c>
          <w:tcPr>
            <w:gridSpan w:val="8"/>
            <w:tcW w:w="7341" w:type="dxa"/>
            <w:vAlign w:val="center"/>
            <w:textDirection w:val="lrTb"/>
            <w:noWrap w:val="false"/>
          </w:tcPr>
          <w:p>
            <w:pPr>
              <w:pStyle w:val="1173"/>
              <w:jc w:val="center"/>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173"/>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73"/>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供应商：（加盖公章）</w:t>
      </w:r>
      <w:r>
        <w:rPr>
          <w:rFonts w:hint="eastAsia" w:ascii="宋体" w:hAnsi="宋体" w:cs="宋体"/>
          <w:color w:val="000000"/>
          <w:szCs w:val="21"/>
          <w:highlight w:val="none"/>
        </w:rPr>
      </w:r>
      <w:r/>
    </w:p>
    <w:p>
      <w:pPr>
        <w:pStyle w:val="1173"/>
        <w:ind w:firstLine="48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法定代表人或被授权人：（签字或盖章）</w:t>
      </w:r>
      <w:r>
        <w:rPr>
          <w:rFonts w:hint="eastAsia" w:ascii="宋体" w:hAnsi="宋体" w:cs="宋体"/>
          <w:color w:val="000000"/>
          <w:szCs w:val="21"/>
          <w:highlight w:val="none"/>
        </w:rPr>
      </w:r>
      <w:r/>
    </w:p>
    <w:p>
      <w:pPr>
        <w:pStyle w:val="1173"/>
        <w:ind w:firstLine="1320"/>
        <w:jc w:val="right"/>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年      月     日</w:t>
      </w:r>
      <w:r>
        <w:rPr>
          <w:rFonts w:hint="eastAsia" w:ascii="宋体" w:hAnsi="宋体" w:cs="宋体"/>
          <w:color w:val="000000"/>
          <w:szCs w:val="21"/>
          <w:highlight w:val="none"/>
        </w:rPr>
      </w:r>
      <w:r/>
    </w:p>
    <w:p>
      <w:pPr>
        <w:pStyle w:val="1173"/>
        <w:ind w:firstLine="422"/>
        <w:pageBreakBefore w:val="0"/>
        <w:spacing w:line="360" w:lineRule="auto"/>
        <w:rPr>
          <w:rFonts w:hint="eastAsia" w:ascii="宋体" w:hAnsi="宋体"/>
          <w:b/>
          <w:color w:val="000000"/>
          <w:szCs w:val="21"/>
          <w:highlight w:val="none"/>
          <w:u w:val="single"/>
        </w:rPr>
      </w:pPr>
      <w:r>
        <w:rPr>
          <w:rFonts w:hint="eastAsia" w:ascii="宋体" w:hAnsi="宋体" w:cs="宋体"/>
          <w:b/>
          <w:color w:val="000000"/>
          <w:szCs w:val="21"/>
          <w:highlight w:val="none"/>
        </w:rPr>
        <w:br w:type="page" w:clear="all"/>
      </w:r>
      <w:bookmarkStart w:id="117" w:name="_Toc56409114"/>
      <w:r/>
      <w:bookmarkStart w:id="118" w:name="_Toc55705168"/>
      <w:r/>
      <w:bookmarkStart w:id="119" w:name="_Toc439777159"/>
      <w:r/>
      <w:bookmarkStart w:id="120" w:name="_Toc56153862"/>
      <w:r/>
      <w:bookmarkStart w:id="121" w:name="_Toc59900983"/>
      <w:r/>
      <w:bookmarkStart w:id="122" w:name="_Toc54372655"/>
      <w:r/>
      <w:bookmarkStart w:id="123" w:name="_Toc55639393"/>
      <w:r/>
      <w:bookmarkStart w:id="124" w:name="_Toc55707673"/>
      <w:r/>
      <w:bookmarkStart w:id="125" w:name="_Toc54372237"/>
      <w:r/>
      <w:bookmarkStart w:id="126" w:name="_Toc56139088"/>
      <w:r/>
      <w:bookmarkStart w:id="127" w:name="_Toc440442375"/>
      <w:r/>
      <w:bookmarkStart w:id="128" w:name="_Toc54372071"/>
      <w:r/>
      <w:bookmarkStart w:id="129" w:name="_Toc434481560"/>
      <w:r/>
      <w:bookmarkStart w:id="130" w:name="_Toc56141898"/>
      <w:r/>
      <w:bookmarkStart w:id="131" w:name="_Toc439777351"/>
      <w:r/>
      <w:bookmarkStart w:id="132" w:name="_Toc55654540"/>
      <w:r/>
      <w:bookmarkStart w:id="133" w:name="_Toc59896715"/>
      <w:r>
        <w:rPr>
          <w:rFonts w:hint="eastAsia" w:ascii="宋体" w:hAnsi="宋体"/>
          <w:b/>
          <w:color w:val="000000"/>
          <w:szCs w:val="21"/>
          <w:highlight w:val="none"/>
          <w:u w:val="single"/>
        </w:rPr>
      </w:r>
      <w:r/>
    </w:p>
    <w:p>
      <w:pPr>
        <w:pStyle w:val="1173"/>
        <w:jc w:val="left"/>
        <w:pageBreakBefore w:val="0"/>
        <w:spacing w:line="360" w:lineRule="auto"/>
        <w:rPr>
          <w:rFonts w:hint="eastAsia" w:ascii="宋体" w:hAnsi="宋体"/>
          <w:color w:val="000000"/>
          <w:szCs w:val="21"/>
          <w:highlight w:val="none"/>
        </w:rPr>
      </w:pPr>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color w:val="000000"/>
          <w:szCs w:val="21"/>
          <w:highlight w:val="none"/>
        </w:rPr>
      </w:r>
      <w:r/>
    </w:p>
    <w:p>
      <w:pPr>
        <w:pStyle w:val="1173"/>
        <w:numPr>
          <w:ilvl w:val="0"/>
          <w:numId w:val="0"/>
        </w:numPr>
        <w:jc w:val="center"/>
        <w:pageBreakBefore w:val="0"/>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cs="宋体"/>
          <w:b/>
          <w:color w:val="000000"/>
          <w:sz w:val="21"/>
          <w:szCs w:val="21"/>
          <w:highlight w:val="none"/>
          <w:lang w:val="en-US" w:eastAsia="zh-CN" w:bidi="ar-SA"/>
        </w:rPr>
        <w:t xml:space="preserve">17.</w:t>
      </w:r>
      <w:r>
        <w:rPr>
          <w:rFonts w:hint="eastAsia" w:ascii="宋体" w:hAnsi="宋体" w:eastAsia="宋体" w:cs="宋体"/>
          <w:b/>
          <w:color w:val="000000"/>
          <w:sz w:val="21"/>
          <w:szCs w:val="21"/>
          <w:highlight w:val="none"/>
          <w:lang w:val="en-US" w:eastAsia="zh-CN" w:bidi="ar-SA"/>
        </w:rPr>
        <w:t xml:space="preserve">磋商报价表</w:t>
      </w:r>
      <w:r>
        <w:rPr>
          <w:rFonts w:hint="eastAsia" w:ascii="宋体" w:hAnsi="宋体" w:eastAsia="宋体" w:cs="宋体"/>
          <w:b/>
          <w:color w:val="000000"/>
          <w:sz w:val="21"/>
          <w:szCs w:val="21"/>
          <w:highlight w:val="none"/>
          <w:lang w:val="en-US" w:eastAsia="zh-CN" w:bidi="ar-SA"/>
        </w:rPr>
      </w:r>
      <w:r/>
    </w:p>
    <w:p>
      <w:pPr>
        <w:pStyle w:val="1193"/>
        <w:keepLines w:val="0"/>
        <w:keepNext w:val="0"/>
        <w:widowControl/>
        <w:suppressLineNumbers w:val="0"/>
      </w:pPr>
      <w:r>
        <w:t xml:space="preserve">本次为首次报价                                  货币单位：人民币元</w:t>
      </w:r>
      <w:r/>
    </w:p>
    <w:p>
      <w:pPr>
        <w:pStyle w:val="1193"/>
        <w:keepLines w:val="0"/>
        <w:keepNext w:val="0"/>
        <w:widowControl/>
        <w:suppressLineNumbers w:val="0"/>
      </w:pPr>
      <w:r>
        <w:t xml:space="preserve">项目编号：</w:t>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67"/>
        <w:gridCol w:w="2657"/>
        <w:gridCol w:w="3955"/>
      </w:tblGrid>
      <w:tr>
        <w:trPr>
          <w:tblCellSpacing w:w="15" w:type="dxa"/>
          <w:trHeight w:val="493"/>
        </w:trPr>
        <w:tc>
          <w:tcPr>
            <w:tcW w:w="2622" w:type="dxa"/>
            <w:vAlign w:val="center"/>
            <w:textDirection w:val="lrTb"/>
            <w:noWrap w:val="false"/>
          </w:tcPr>
          <w:p>
            <w:pPr>
              <w:pStyle w:val="1193"/>
              <w:keepLines w:val="0"/>
              <w:keepNext w:val="0"/>
              <w:widowControl/>
              <w:suppressLineNumbers w:val="0"/>
            </w:pPr>
            <w:r>
              <w:t xml:space="preserve">项目名称</w:t>
            </w:r>
            <w:r/>
          </w:p>
        </w:tc>
        <w:tc>
          <w:tcPr>
            <w:tcW w:w="2627" w:type="dxa"/>
            <w:vAlign w:val="center"/>
            <w:textDirection w:val="lrTb"/>
            <w:noWrap w:val="false"/>
          </w:tcPr>
          <w:p>
            <w:pPr>
              <w:pStyle w:val="1193"/>
              <w:keepLines w:val="0"/>
              <w:keepNext w:val="0"/>
              <w:widowControl/>
              <w:suppressLineNumbers w:val="0"/>
            </w:pPr>
            <w:r>
              <w:t xml:space="preserve">项目内容</w:t>
            </w:r>
            <w:r/>
          </w:p>
        </w:tc>
        <w:tc>
          <w:tcPr>
            <w:tcW w:w="3910" w:type="dxa"/>
            <w:vAlign w:val="center"/>
            <w:textDirection w:val="lrTb"/>
            <w:noWrap w:val="false"/>
          </w:tcPr>
          <w:p>
            <w:pPr>
              <w:pStyle w:val="1193"/>
              <w:keepLines w:val="0"/>
              <w:keepNext w:val="0"/>
              <w:widowControl/>
              <w:suppressLineNumbers w:val="0"/>
            </w:pPr>
            <w:r>
              <w:t xml:space="preserve">总价（小写）</w:t>
            </w:r>
            <w:r/>
          </w:p>
        </w:tc>
      </w:tr>
      <w:tr>
        <w:trPr>
          <w:tblCellSpacing w:w="15" w:type="dxa"/>
          <w:trHeight w:val="459"/>
        </w:trPr>
        <w:tc>
          <w:tcPr>
            <w:tcW w:w="2622" w:type="dxa"/>
            <w:vAlign w:val="center"/>
            <w:textDirection w:val="lrTb"/>
            <w:noWrap w:val="false"/>
          </w:tcPr>
          <w:p>
            <w:pPr>
              <w:pStyle w:val="1193"/>
              <w:keepLines w:val="0"/>
              <w:keepNext w:val="0"/>
              <w:widowControl/>
              <w:suppressLineNumbers w:val="0"/>
            </w:pPr>
            <w:r>
              <w:t xml:space="preserve">项目名称 </w:t>
            </w:r>
            <w:r/>
          </w:p>
        </w:tc>
        <w:tc>
          <w:tcPr>
            <w:tcW w:w="2627" w:type="dxa"/>
            <w:vAlign w:val="center"/>
            <w:textDirection w:val="lrTb"/>
            <w:noWrap w:val="false"/>
          </w:tcPr>
          <w:p>
            <w:pPr>
              <w:pStyle w:val="1193"/>
              <w:keepLines w:val="0"/>
              <w:keepNext w:val="0"/>
              <w:widowControl/>
              <w:suppressLineNumbers w:val="0"/>
            </w:pPr>
            <w:r>
              <w:t xml:space="preserve">详见响应文件</w:t>
            </w:r>
            <w:r/>
          </w:p>
        </w:tc>
        <w:tc>
          <w:tcPr>
            <w:tcW w:w="3910" w:type="dxa"/>
            <w:vAlign w:val="center"/>
            <w:textDirection w:val="lrTb"/>
            <w:noWrap w:val="false"/>
          </w:tcPr>
          <w:p>
            <w:pPr>
              <w:pStyle w:val="1193"/>
              <w:keepLines w:val="0"/>
              <w:keepNext w:val="0"/>
              <w:widowControl/>
              <w:suppressLineNumbers w:val="0"/>
            </w:pPr>
            <w: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0</wp:posOffset>
                      </wp:positionH>
                      <wp:positionV relativeFrom="paragraph">
                        <wp:posOffset>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524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t xml:space="preserve">  元</w:t>
            </w:r>
            <w:r/>
          </w:p>
        </w:tc>
      </w:tr>
      <w:tr>
        <w:trPr>
          <w:tblCellSpacing w:w="15" w:type="dxa"/>
          <w:trHeight w:val="493"/>
        </w:trPr>
        <w:tc>
          <w:tcPr>
            <w:tcW w:w="2622" w:type="dxa"/>
            <w:vAlign w:val="center"/>
            <w:textDirection w:val="lrTb"/>
            <w:noWrap w:val="false"/>
          </w:tcPr>
          <w:p>
            <w:pPr>
              <w:pStyle w:val="1193"/>
              <w:keepLines w:val="0"/>
              <w:keepNext w:val="0"/>
              <w:widowControl/>
              <w:suppressLineNumbers w:val="0"/>
            </w:pPr>
            <w:r>
              <w:t xml:space="preserve">总价（大写）：</w:t>
            </w:r>
            <w:r/>
          </w:p>
        </w:tc>
        <w:tc>
          <w:tcPr>
            <w:gridSpan w:val="2"/>
            <w:tcW w:w="6612" w:type="dxa"/>
            <w:vAlign w:val="center"/>
            <w:textDirection w:val="lrTb"/>
            <w:noWrap w:val="false"/>
          </w:tcPr>
          <w:p>
            <w:pPr>
              <w:pStyle w:val="1193"/>
              <w:keepLines w:val="0"/>
              <w:keepNext w:val="0"/>
              <w:widowControl/>
              <w:suppressLineNumbers w:val="0"/>
            </w:pPr>
            <w:r>
              <w:t xml:space="preserve">金额大写 </w:t>
            </w:r>
            <w:r/>
          </w:p>
        </w:tc>
      </w:tr>
    </w:tbl>
    <w:p>
      <w:pPr>
        <w:pStyle w:val="1193"/>
        <w:keepLines w:val="0"/>
        <w:keepNext w:val="0"/>
        <w:widowControl/>
        <w:suppressLineNumbers w:val="0"/>
      </w:pPr>
      <w:r>
        <w:t xml:space="preserve">报价说明：</w:t>
      </w:r>
      <w:r/>
    </w:p>
    <w:p>
      <w:pPr>
        <w:pStyle w:val="1193"/>
        <w:keepLines w:val="0"/>
        <w:keepNext w:val="0"/>
        <w:widowControl/>
        <w:suppressLineNumbers w:val="0"/>
      </w:pPr>
      <w:r>
        <w:t xml:space="preserve">1、报价包括完成项目的所有费用。采购人不再支付报价以外的任何费用。</w:t>
      </w:r>
      <w:r/>
    </w:p>
    <w:p>
      <w:pPr>
        <w:pStyle w:val="1193"/>
        <w:keepLines w:val="0"/>
        <w:keepNext w:val="0"/>
        <w:widowControl/>
        <w:suppressLineNumbers w:val="0"/>
      </w:pPr>
      <w:r>
        <w:t xml:space="preserve">2、报价以总价为准，大小写不一致以大写为准；</w:t>
      </w:r>
      <w:r/>
    </w:p>
    <w:p>
      <w:pPr>
        <w:pStyle w:val="1193"/>
        <w:keepLines w:val="0"/>
        <w:keepNext w:val="0"/>
        <w:widowControl/>
        <w:suppressLineNumbers w:val="0"/>
      </w:pPr>
      <w:r>
        <w:t xml:space="preserve">3、偏离说明：详见《偏离表》；</w:t>
      </w:r>
      <w:r/>
    </w:p>
    <w:p>
      <w:pPr>
        <w:pStyle w:val="1193"/>
        <w:keepLines w:val="0"/>
        <w:keepNext w:val="0"/>
        <w:widowControl/>
        <w:suppressLineNumbers w:val="0"/>
      </w:pPr>
      <w:r>
        <w:t xml:space="preserve">4、如最后报价未列明单价，则最后所报各项单价计算方法为：（最后报价/ 最初报价）* 各项最初报价的单价。</w:t>
      </w:r>
      <w:r/>
    </w:p>
    <w:p>
      <w:pPr>
        <w:pStyle w:val="1193"/>
        <w:keepLines w:val="0"/>
        <w:keepNext w:val="0"/>
        <w:widowControl/>
        <w:suppressLineNumbers w:val="0"/>
      </w:pPr>
      <w:r>
        <w:t xml:space="preserve">供应商（电子签章）：</w:t>
      </w:r>
      <w:r/>
    </w:p>
    <w:p>
      <w:pPr>
        <w:pStyle w:val="1193"/>
        <w:keepLines w:val="0"/>
        <w:keepNext w:val="0"/>
        <w:widowControl/>
        <w:suppressLineNumbers w:val="0"/>
      </w:pPr>
      <w:r>
        <w:t xml:space="preserve"> </w:t>
      </w:r>
      <w:r/>
    </w:p>
    <w:p>
      <w:pPr>
        <w:pStyle w:val="1193"/>
        <w:keepLines w:val="0"/>
        <w:keepNext w:val="0"/>
        <w:widowControl/>
        <w:suppressLineNumbers w:val="0"/>
      </w:pPr>
      <w:r>
        <w:t xml:space="preserve"> </w:t>
      </w:r>
      <w:r/>
    </w:p>
    <w:p>
      <w:pPr>
        <w:pStyle w:val="1193"/>
        <w:keepLines w:val="0"/>
        <w:keepNext w:val="0"/>
        <w:widowControl/>
        <w:suppressLineNumbers w:val="0"/>
      </w:pPr>
      <w:r>
        <w:t xml:space="preserve">日期：</w: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t xml:space="preserve">  年</w: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7" o:spid="_x0000_s7"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t xml:space="preserve">  月 </w: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8" o:spid="_x0000_s8"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t xml:space="preserve">  日</w:t>
      </w:r>
      <w:r/>
    </w:p>
    <w:p>
      <w:pPr>
        <w:pStyle w:val="1173"/>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pStyle w:val="1173"/>
        <w:jc w:val="center"/>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pStyle w:val="1173"/>
        <w:numPr>
          <w:ilvl w:val="0"/>
          <w:numId w:val="0"/>
        </w:numPr>
        <w:jc w:val="center"/>
        <w:pageBreakBefore w:val="0"/>
        <w:spacing w:line="360" w:lineRule="auto"/>
        <w:rPr>
          <w:rFonts w:ascii="Times New Roman"/>
          <w:b w:val="0"/>
          <w:position w:val="0"/>
          <w:szCs w:val="24"/>
          <w:highlight w:val="none"/>
        </w:rPr>
      </w:pPr>
      <w:r>
        <w:rPr>
          <w:rFonts w:hint="eastAsia" w:ascii="宋体" w:hAnsi="宋体" w:eastAsia="宋体" w:cs="宋体"/>
          <w:b/>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分项报价表</w:t>
      </w:r>
      <w:r>
        <w:rPr>
          <w:rFonts w:ascii="Times New Roman"/>
          <w:b w:val="0"/>
          <w:position w:val="0"/>
          <w:szCs w:val="24"/>
          <w:highlight w:val="none"/>
        </w:rPr>
      </w:r>
      <w:r/>
    </w:p>
    <w:p>
      <w:pPr>
        <w:pStyle w:val="1173"/>
        <w:spacing w:line="400" w:lineRule="exact"/>
        <w:rPr>
          <w:rFonts w:ascii="Times New Roman"/>
          <w:position w:val="0"/>
          <w:szCs w:val="24"/>
          <w:highlight w:val="none"/>
        </w:rPr>
      </w:pPr>
      <w:r>
        <w:rPr>
          <w:rFonts w:hint="eastAsia" w:ascii="Times New Roman"/>
          <w:b w:val="0"/>
          <w:position w:val="0"/>
          <w:szCs w:val="24"/>
          <w:highlight w:val="none"/>
        </w:rPr>
        <w:t xml:space="preserve">项目名称：</w:t>
      </w:r>
      <w:r>
        <w:rPr>
          <w:rFonts w:ascii="Times New Roman"/>
          <w:position w:val="0"/>
          <w:szCs w:val="24"/>
          <w:highlight w:val="none"/>
        </w:rPr>
      </w:r>
      <w:r/>
    </w:p>
    <w:p>
      <w:pPr>
        <w:pStyle w:val="1173"/>
        <w:spacing w:line="400" w:lineRule="exact"/>
        <w:rPr>
          <w:rFonts w:ascii="Times New Roman"/>
          <w:b w:val="0"/>
          <w:bCs/>
          <w:position w:val="0"/>
          <w:szCs w:val="24"/>
          <w:highlight w:val="none"/>
        </w:rPr>
      </w:pPr>
      <w:r>
        <w:rPr>
          <w:rFonts w:hint="eastAsia" w:ascii="Times New Roman"/>
          <w:b w:val="0"/>
          <w:bCs/>
          <w:position w:val="0"/>
          <w:szCs w:val="24"/>
          <w:highlight w:val="none"/>
        </w:rPr>
        <w:t xml:space="preserve">项目编号：</w:t>
      </w:r>
      <w:r>
        <w:rPr>
          <w:rFonts w:ascii="Times New Roman"/>
          <w:b w:val="0"/>
          <w:bCs/>
          <w:position w:val="0"/>
          <w:szCs w:val="24"/>
          <w:highlight w:val="none"/>
        </w:rPr>
      </w:r>
      <w:r/>
    </w:p>
    <w:p>
      <w:pPr>
        <w:pStyle w:val="1173"/>
        <w:spacing w:line="400" w:lineRule="exact"/>
        <w:rPr>
          <w:rFonts w:hint="eastAsia" w:hAnsi="宋体"/>
          <w:b w:val="0"/>
          <w:position w:val="0"/>
          <w:szCs w:val="24"/>
          <w:highlight w:val="none"/>
        </w:rPr>
      </w:pPr>
      <w:r>
        <w:rPr>
          <w:rFonts w:hAnsi="宋体"/>
          <w:b w:val="0"/>
          <w:position w:val="0"/>
          <w:szCs w:val="24"/>
          <w:highlight w:val="none"/>
        </w:rPr>
        <w:t xml:space="preserve">包号：          </w:t>
      </w:r>
      <w:r>
        <w:rPr>
          <w:rFonts w:hint="eastAsia" w:hAnsi="宋体"/>
          <w:b w:val="0"/>
          <w:bCs/>
          <w:position w:val="0"/>
          <w:szCs w:val="24"/>
          <w:highlight w:val="none"/>
        </w:rPr>
        <w:t xml:space="preserve">金额单位：人民币万元</w:t>
      </w:r>
      <w:r>
        <w:rPr>
          <w:rFonts w:hint="eastAsia" w:hAnsi="宋体"/>
          <w:b w:val="0"/>
          <w:position w:val="0"/>
          <w:szCs w:val="24"/>
          <w:highlight w:val="none"/>
        </w:rPr>
      </w:r>
      <w:r/>
    </w:p>
    <w:tbl>
      <w:tblPr>
        <w:tblW w:w="9867" w:type="dxa"/>
        <w:tblInd w:w="-653"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173"/>
              <w:ind w:right="-5"/>
              <w:jc w:val="center"/>
              <w:spacing w:line="500" w:lineRule="exact"/>
              <w:rPr>
                <w:b w:val="0"/>
                <w:position w:val="0"/>
                <w:szCs w:val="24"/>
                <w:highlight w:val="none"/>
              </w:rPr>
            </w:pPr>
            <w:r>
              <w:rPr>
                <w:rFonts w:hint="eastAsia"/>
                <w:b w:val="0"/>
                <w:position w:val="0"/>
                <w:szCs w:val="24"/>
                <w:highlight w:val="none"/>
              </w:rPr>
              <w:t xml:space="preserve">序号</w:t>
            </w:r>
            <w:r>
              <w:rPr>
                <w:b w:val="0"/>
                <w:position w:val="0"/>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173"/>
              <w:ind w:right="-5"/>
              <w:jc w:val="center"/>
              <w:spacing w:line="500" w:lineRule="exact"/>
              <w:rPr>
                <w:b w:val="0"/>
                <w:position w:val="0"/>
                <w:szCs w:val="24"/>
                <w:highlight w:val="none"/>
              </w:rPr>
            </w:pPr>
            <w:r>
              <w:rPr>
                <w:rFonts w:hint="eastAsia" w:ascii="Times New Roman"/>
                <w:b w:val="0"/>
                <w:position w:val="0"/>
                <w:szCs w:val="24"/>
                <w:highlight w:val="none"/>
              </w:rPr>
              <w:t xml:space="preserve">货物名称</w:t>
            </w:r>
            <w:r>
              <w:rPr>
                <w:b w:val="0"/>
                <w:position w:val="0"/>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173"/>
              <w:ind w:right="-5"/>
              <w:jc w:val="center"/>
              <w:spacing w:line="500" w:lineRule="exact"/>
              <w:rPr>
                <w:b w:val="0"/>
                <w:position w:val="0"/>
                <w:szCs w:val="24"/>
                <w:highlight w:val="none"/>
              </w:rPr>
            </w:pPr>
            <w:r>
              <w:rPr>
                <w:rFonts w:hint="eastAsia"/>
                <w:b w:val="0"/>
                <w:position w:val="0"/>
                <w:szCs w:val="24"/>
                <w:highlight w:val="none"/>
              </w:rPr>
              <w:t xml:space="preserve">品牌及型号</w:t>
            </w:r>
            <w:r>
              <w:rPr>
                <w:b w:val="0"/>
                <w:position w:val="0"/>
                <w:szCs w:val="24"/>
                <w:highlight w:val="none"/>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173"/>
              <w:ind w:right="-5"/>
              <w:jc w:val="center"/>
              <w:spacing w:line="500" w:lineRule="exact"/>
              <w:rPr>
                <w:b w:val="0"/>
                <w:position w:val="0"/>
                <w:szCs w:val="24"/>
                <w:highlight w:val="none"/>
              </w:rPr>
            </w:pPr>
            <w:r>
              <w:rPr>
                <w:rFonts w:hint="eastAsia"/>
                <w:b w:val="0"/>
                <w:position w:val="0"/>
                <w:szCs w:val="24"/>
                <w:highlight w:val="none"/>
              </w:rPr>
              <w:t xml:space="preserve">单位</w:t>
            </w:r>
            <w:r>
              <w:rPr>
                <w:b w:val="0"/>
                <w:position w:val="0"/>
                <w:szCs w:val="24"/>
                <w:highlight w:val="none"/>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173"/>
              <w:ind w:right="-5"/>
              <w:jc w:val="center"/>
              <w:spacing w:line="500" w:lineRule="exact"/>
              <w:rPr>
                <w:b w:val="0"/>
                <w:position w:val="0"/>
                <w:szCs w:val="24"/>
                <w:highlight w:val="none"/>
              </w:rPr>
            </w:pPr>
            <w:r>
              <w:rPr>
                <w:rFonts w:hint="eastAsia"/>
                <w:b w:val="0"/>
                <w:position w:val="0"/>
                <w:szCs w:val="24"/>
                <w:highlight w:val="none"/>
              </w:rPr>
              <w:t xml:space="preserve">数量</w:t>
            </w:r>
            <w:r>
              <w:rPr>
                <w:b w:val="0"/>
                <w:position w:val="0"/>
                <w:szCs w:val="24"/>
                <w:highlight w:val="none"/>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173"/>
              <w:ind w:right="-5"/>
              <w:jc w:val="center"/>
              <w:spacing w:line="500" w:lineRule="exact"/>
              <w:rPr>
                <w:b w:val="0"/>
                <w:position w:val="0"/>
                <w:szCs w:val="24"/>
                <w:highlight w:val="none"/>
              </w:rPr>
            </w:pPr>
            <w:r>
              <w:rPr>
                <w:rFonts w:hint="eastAsia"/>
                <w:b w:val="0"/>
                <w:position w:val="0"/>
                <w:szCs w:val="24"/>
                <w:highlight w:val="none"/>
              </w:rPr>
              <w:t xml:space="preserve">单价</w:t>
            </w:r>
            <w:r>
              <w:rPr>
                <w:b w:val="0"/>
                <w:position w:val="0"/>
                <w:szCs w:val="24"/>
                <w:highlight w:val="none"/>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173"/>
              <w:ind w:right="-5"/>
              <w:jc w:val="center"/>
              <w:spacing w:line="500" w:lineRule="exact"/>
              <w:rPr>
                <w:b w:val="0"/>
                <w:position w:val="0"/>
                <w:szCs w:val="24"/>
                <w:highlight w:val="none"/>
              </w:rPr>
            </w:pPr>
            <w:r>
              <w:rPr>
                <w:rFonts w:hint="eastAsia"/>
                <w:b w:val="0"/>
                <w:position w:val="0"/>
                <w:szCs w:val="24"/>
                <w:highlight w:val="none"/>
              </w:rPr>
              <w:t xml:space="preserve">总价</w:t>
            </w:r>
            <w:r>
              <w:rPr>
                <w:b w:val="0"/>
                <w:position w:val="0"/>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173"/>
              <w:ind w:right="-5"/>
              <w:jc w:val="center"/>
              <w:spacing w:line="500" w:lineRule="exact"/>
              <w:rPr>
                <w:b w:val="0"/>
                <w:position w:val="0"/>
                <w:szCs w:val="24"/>
                <w:highlight w:val="none"/>
              </w:rPr>
            </w:pPr>
            <w:r>
              <w:rPr>
                <w:rFonts w:hint="eastAsia"/>
                <w:b w:val="0"/>
                <w:position w:val="0"/>
                <w:szCs w:val="24"/>
                <w:highlight w:val="none"/>
              </w:rPr>
              <w:t xml:space="preserve">制造商/产地</w:t>
            </w:r>
            <w:r>
              <w:rPr>
                <w:b w:val="0"/>
                <w:position w:val="0"/>
                <w:szCs w:val="24"/>
                <w:highlight w:val="none"/>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1173"/>
              <w:ind w:right="-5"/>
              <w:jc w:val="center"/>
              <w:spacing w:line="500" w:lineRule="exact"/>
              <w:rPr>
                <w:b w:val="0"/>
                <w:position w:val="0"/>
                <w:szCs w:val="24"/>
                <w:highlight w:val="none"/>
              </w:rPr>
            </w:pPr>
            <w:r>
              <w:rPr>
                <w:rFonts w:hint="eastAsia"/>
                <w:b w:val="0"/>
                <w:position w:val="0"/>
                <w:szCs w:val="24"/>
                <w:highlight w:val="none"/>
              </w:rPr>
              <w:t xml:space="preserve">备注</w:t>
            </w:r>
            <w:r>
              <w:rPr>
                <w:b w:val="0"/>
                <w:position w:val="0"/>
                <w:szCs w:val="24"/>
                <w:highlight w:val="none"/>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173"/>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173"/>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173"/>
              <w:ind w:right="-5"/>
              <w:jc w:val="center"/>
              <w:spacing w:line="500" w:lineRule="exact"/>
              <w:rPr>
                <w:rFonts w:ascii="Times New Roman"/>
                <w:b w:val="0"/>
                <w:position w:val="0"/>
                <w:sz w:val="21"/>
                <w:szCs w:val="24"/>
                <w:highlight w:val="none"/>
              </w:rPr>
            </w:pPr>
            <w:r>
              <w:rPr>
                <w:rFonts w:ascii="Times New Roman"/>
                <w:b w:val="0"/>
                <w:position w:val="0"/>
                <w:sz w:val="21"/>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173"/>
              <w:ind w:right="-5"/>
              <w:jc w:val="center"/>
              <w:spacing w:line="500" w:lineRule="exact"/>
              <w:rPr>
                <w:rFonts w:ascii="Times New Roman"/>
                <w:b w:val="0"/>
                <w:position w:val="0"/>
                <w:szCs w:val="24"/>
                <w:highlight w:val="none"/>
              </w:rPr>
            </w:pPr>
            <w:r>
              <w:rPr>
                <w:rFonts w:hint="eastAsia" w:ascii="Times New Roman"/>
                <w:b w:val="0"/>
                <w:position w:val="0"/>
                <w:szCs w:val="24"/>
                <w:highlight w:val="none"/>
              </w:rPr>
              <w:t xml:space="preserve">合计</w:t>
            </w:r>
            <w:r>
              <w:rPr>
                <w:rFonts w:ascii="Times New Roman"/>
                <w:b w:val="0"/>
                <w:position w:val="0"/>
                <w:szCs w:val="24"/>
                <w:highlight w:val="none"/>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c>
          <w:tcPr>
            <w:tcBorders>
              <w:top w:val="single" w:color="000000" w:sz="4" w:space="0"/>
              <w:left w:val="single" w:color="000000" w:sz="6" w:space="0"/>
              <w:bottom w:val="single" w:color="000000" w:sz="4" w:space="0"/>
              <w:right w:val="single" w:color="000000" w:sz="4" w:space="0"/>
            </w:tcBorders>
            <w:tcW w:w="1257" w:type="dxa"/>
            <w:vAlign w:val="top"/>
            <w:textDirection w:val="lrTb"/>
            <w:noWrap w:val="false"/>
          </w:tcPr>
          <w:p>
            <w:pPr>
              <w:pStyle w:val="1173"/>
              <w:ind w:right="-5"/>
              <w:jc w:val="center"/>
              <w:spacing w:line="500" w:lineRule="exact"/>
              <w:rPr>
                <w:b w:val="0"/>
                <w:position w:val="0"/>
                <w:sz w:val="21"/>
                <w:szCs w:val="24"/>
                <w:highlight w:val="none"/>
              </w:rPr>
            </w:pPr>
            <w:r>
              <w:rPr>
                <w:b w:val="0"/>
                <w:position w:val="0"/>
                <w:sz w:val="21"/>
                <w:szCs w:val="24"/>
                <w:highlight w:val="none"/>
              </w:rPr>
            </w:r>
            <w:r/>
          </w:p>
        </w:tc>
      </w:tr>
      <w:tr>
        <w:trPr>
          <w:cantSplit/>
          <w:trHeight w:val="655"/>
        </w:trPr>
        <w:tc>
          <w:tcPr>
            <w:gridSpan w:val="9"/>
            <w:tcBorders>
              <w:top w:val="single" w:color="000000" w:sz="4" w:space="0"/>
              <w:left w:val="single" w:color="000000" w:sz="4" w:space="0"/>
              <w:bottom w:val="single" w:color="000000" w:sz="4" w:space="0"/>
              <w:right w:val="single" w:color="000000" w:sz="4" w:space="0"/>
            </w:tcBorders>
            <w:tcW w:w="9867" w:type="dxa"/>
            <w:vAlign w:val="top"/>
            <w:textDirection w:val="lrTb"/>
            <w:noWrap w:val="false"/>
          </w:tcPr>
          <w:p>
            <w:pPr>
              <w:pStyle w:val="1173"/>
              <w:ind w:right="-5"/>
              <w:jc w:val="left"/>
              <w:spacing w:line="500" w:lineRule="exact"/>
              <w:rPr>
                <w:b w:val="0"/>
                <w:position w:val="0"/>
                <w:sz w:val="21"/>
                <w:szCs w:val="24"/>
                <w:highlight w:val="none"/>
              </w:rPr>
            </w:pPr>
            <w:r>
              <w:rPr>
                <w:rFonts w:hint="eastAsia" w:hAnsi="宋体"/>
                <w:b w:val="0"/>
                <w:position w:val="0"/>
                <w:sz w:val="21"/>
                <w:szCs w:val="21"/>
                <w:highlight w:val="none"/>
              </w:rPr>
              <w:t xml:space="preserve">本采购包中提供的符合本国产品标准的产品成本之和占该采购包提供的全部产品成本之和的比例为</w:t>
            </w:r>
            <w:r>
              <w:rPr>
                <w:rFonts w:hint="eastAsia" w:hAnsi="宋体"/>
                <w:b w:val="0"/>
                <w:position w:val="0"/>
                <w:sz w:val="21"/>
                <w:szCs w:val="21"/>
                <w:highlight w:val="none"/>
                <w:u w:val="single"/>
              </w:rPr>
              <w:t xml:space="preserve">      </w:t>
            </w:r>
            <w:r>
              <w:rPr>
                <w:rFonts w:hint="eastAsia" w:hAnsi="宋体"/>
                <w:b w:val="0"/>
                <w:position w:val="0"/>
                <w:sz w:val="21"/>
                <w:szCs w:val="21"/>
                <w:highlight w:val="none"/>
              </w:rPr>
              <w:t xml:space="preserve">%。</w:t>
            </w:r>
            <w:r>
              <w:rPr>
                <w:b w:val="0"/>
                <w:position w:val="0"/>
                <w:sz w:val="21"/>
                <w:szCs w:val="24"/>
                <w:highlight w:val="none"/>
              </w:rPr>
            </w:r>
            <w:r/>
          </w:p>
        </w:tc>
      </w:tr>
    </w:tbl>
    <w:p>
      <w:pPr>
        <w:pStyle w:val="1173"/>
        <w:jc w:val="center"/>
        <w:pageBreakBefore w:val="0"/>
        <w:spacing w:line="360" w:lineRule="auto"/>
        <w:rPr>
          <w:rFonts w:ascii="宋体" w:hAnsi="宋体" w:cs="Times New Roman"/>
          <w:b/>
          <w:color w:val="000000"/>
          <w:sz w:val="21"/>
          <w:szCs w:val="21"/>
          <w:highlight w:val="none"/>
          <w:lang w:val="en-US" w:eastAsia="zh-CN" w:bidi="ar-SA"/>
        </w:rPr>
      </w:pPr>
      <w:r>
        <w:rPr>
          <w:rFonts w:ascii="宋体" w:hAnsi="宋体" w:cs="Times New Roman"/>
          <w:b/>
          <w:color w:val="000000"/>
          <w:sz w:val="21"/>
          <w:szCs w:val="21"/>
          <w:highlight w:val="none"/>
          <w:lang w:val="en-US" w:eastAsia="zh-CN" w:bidi="ar-SA"/>
        </w:rPr>
      </w:r>
      <w:r/>
    </w:p>
    <w:p>
      <w:pPr>
        <w:pStyle w:val="1173"/>
        <w:ind w:firstLine="46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竞争性磋商响应单位：（加盖公章）</w:t>
      </w:r>
      <w:r>
        <w:rPr>
          <w:rFonts w:hint="eastAsia" w:ascii="宋体" w:hAnsi="宋体" w:cs="宋体"/>
          <w:color w:val="000000"/>
          <w:szCs w:val="21"/>
          <w:highlight w:val="none"/>
        </w:rPr>
      </w:r>
      <w:r/>
    </w:p>
    <w:p>
      <w:pPr>
        <w:pStyle w:val="1180"/>
        <w:pageBreakBefore w:val="0"/>
        <w:spacing w:line="360" w:lineRule="auto"/>
        <w:rPr>
          <w:highlight w:val="none"/>
          <w:lang w:val="en-US" w:eastAsia="zh-CN"/>
        </w:rPr>
      </w:pP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法定代表人或其授权委托人：</w:t>
      </w:r>
      <w:r>
        <w:rPr>
          <w:rFonts w:hint="eastAsia" w:ascii="宋体" w:hAnsi="宋体" w:cs="宋体"/>
          <w:bCs/>
          <w:color w:val="000000"/>
          <w:spacing w:val="10"/>
          <w:szCs w:val="21"/>
          <w:highlight w:val="none"/>
        </w:rPr>
        <w:t xml:space="preserve">（签字或盖章）</w:t>
      </w:r>
      <w:r>
        <w:rPr>
          <w:highlight w:val="none"/>
          <w:lang w:val="en-US" w:eastAsia="zh-CN"/>
        </w:rPr>
      </w:r>
      <w:r/>
    </w:p>
    <w:p>
      <w:pPr>
        <w:pStyle w:val="1173"/>
        <w:ind w:firstLine="422"/>
        <w:pageBreakBefore w:val="0"/>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1173"/>
        <w:ind w:firstLine="482"/>
        <w:pageBreakBefore w:val="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bCs/>
          <w:color w:val="000000"/>
          <w:szCs w:val="21"/>
          <w:highlight w:val="none"/>
        </w:rPr>
        <w:t xml:space="preserve">1.磋</w:t>
      </w:r>
      <w:r>
        <w:rPr>
          <w:rFonts w:hint="eastAsia" w:ascii="宋体" w:hAnsi="宋体" w:cs="宋体"/>
          <w:color w:val="000000"/>
          <w:szCs w:val="21"/>
          <w:highlight w:val="none"/>
        </w:rPr>
        <w:t xml:space="preserve">商报价（以人民币计价）</w:t>
      </w:r>
      <w:r>
        <w:rPr>
          <w:rFonts w:hint="eastAsia" w:ascii="宋体" w:hAnsi="宋体" w:cs="宋体"/>
          <w:bCs/>
          <w:color w:val="000000"/>
          <w:szCs w:val="21"/>
          <w:highlight w:val="none"/>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b/>
          <w:color w:val="000000"/>
          <w:szCs w:val="21"/>
          <w:highlight w:val="none"/>
        </w:rPr>
      </w:r>
      <w:r/>
    </w:p>
    <w:p>
      <w:pPr>
        <w:pStyle w:val="1173"/>
        <w:numPr>
          <w:ilvl w:val="0"/>
          <w:numId w:val="11"/>
        </w:numPr>
        <w:ind w:firstLine="482"/>
        <w:pageBreakBefore w:val="0"/>
        <w:spacing w:line="360" w:lineRule="auto"/>
        <w:tabs>
          <w:tab w:val="left" w:pos="312"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响应文件提交时只需填写磋商报价表（首次）。在二次报价环节，代理机构在苏采云系统发送二次报价通知后，所有的响应供应商须在</w:t>
      </w:r>
      <w:r>
        <w:rPr>
          <w:rFonts w:hint="eastAsia" w:ascii="宋体" w:hAnsi="宋体" w:cs="宋体"/>
          <w:b/>
          <w:bCs/>
          <w:color w:val="000000"/>
          <w:szCs w:val="21"/>
          <w:highlight w:val="none"/>
          <w:lang w:eastAsia="zh-CN"/>
        </w:rPr>
        <w:t xml:space="preserve">15分钟</w:t>
      </w:r>
      <w:r>
        <w:rPr>
          <w:rFonts w:hint="eastAsia" w:ascii="宋体" w:hAnsi="宋体" w:cs="宋体"/>
          <w:b/>
          <w:bCs/>
          <w:color w:val="000000"/>
          <w:szCs w:val="21"/>
          <w:highlight w:val="none"/>
        </w:rPr>
        <w:t xml:space="preserve">内填写完成二次报价，并按苏采云系统要求提交二次报价表。</w:t>
      </w:r>
      <w:r>
        <w:rPr>
          <w:rFonts w:hint="eastAsia" w:ascii="宋体" w:hAnsi="宋体" w:cs="宋体"/>
          <w:b/>
          <w:bCs/>
          <w:color w:val="000000"/>
          <w:szCs w:val="21"/>
          <w:highlight w:val="none"/>
        </w:rPr>
      </w:r>
      <w:r/>
    </w:p>
    <w:p>
      <w:pPr>
        <w:pStyle w:val="1173"/>
        <w:ind w:firstLine="482"/>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Cs/>
          <w:color w:val="000000"/>
          <w:szCs w:val="21"/>
          <w:highlight w:val="none"/>
        </w:rPr>
      </w:r>
      <w:r/>
    </w:p>
    <w:p>
      <w:pPr>
        <w:pStyle w:val="1173"/>
        <w:ind w:firstLine="420"/>
        <w:pageBreakBefore w:val="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.涉及小型、微型、节能产品、环境标志等享受政府采购扶持政策的项目，需在备注中分别明确注明</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1173"/>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pageBreakBefore w:val="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73"/>
        <w:pageBreakBefore w:val="0"/>
        <w:spacing w:line="360" w:lineRule="auto"/>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r>
      <w:r/>
    </w:p>
    <w:p>
      <w:pPr>
        <w:pStyle w:val="1173"/>
        <w:jc w:val="left"/>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lang w:val="en-US" w:eastAsia="zh-CN"/>
        </w:rPr>
        <w:t xml:space="preserve">18</w:t>
      </w:r>
      <w:r>
        <w:rPr>
          <w:rFonts w:hint="eastAsia" w:ascii="宋体" w:hAnsi="宋体"/>
          <w:b/>
          <w:bCs/>
          <w:color w:val="000000"/>
          <w:szCs w:val="21"/>
          <w:highlight w:val="none"/>
        </w:rPr>
        <w:t xml:space="preserve">.技术说明与服务方案</w:t>
      </w:r>
      <w:r>
        <w:rPr>
          <w:rFonts w:hint="eastAsia" w:ascii="宋体" w:hAnsi="宋体"/>
          <w:b/>
          <w:bCs/>
          <w:color w:val="000000"/>
          <w:szCs w:val="21"/>
          <w:highlight w:val="none"/>
        </w:rPr>
      </w:r>
      <w:r/>
    </w:p>
    <w:p>
      <w:pPr>
        <w:pStyle w:val="1173"/>
        <w:jc w:val="left"/>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w:t>
      </w:r>
      <w:r>
        <w:rPr>
          <w:rFonts w:hint="eastAsia" w:ascii="宋体" w:hAnsi="宋体"/>
          <w:b/>
          <w:bCs/>
          <w:color w:val="000000"/>
          <w:szCs w:val="21"/>
          <w:highlight w:val="none"/>
          <w:lang w:val="en-US" w:eastAsia="zh-CN"/>
        </w:rPr>
        <w:t xml:space="preserve">9</w:t>
      </w:r>
      <w:r>
        <w:rPr>
          <w:rFonts w:hint="eastAsia" w:ascii="宋体" w:hAnsi="宋体"/>
          <w:b/>
          <w:bCs/>
          <w:color w:val="000000"/>
          <w:szCs w:val="21"/>
          <w:highlight w:val="none"/>
        </w:rPr>
        <w:t xml:space="preserve">.要求采购人提供的配合（如有自拟并自行添加）</w:t>
      </w:r>
      <w:r>
        <w:rPr>
          <w:rFonts w:hint="eastAsia" w:ascii="宋体" w:hAnsi="宋体"/>
          <w:b/>
          <w:bCs/>
          <w:color w:val="000000"/>
          <w:szCs w:val="21"/>
          <w:highlight w:val="none"/>
        </w:rPr>
      </w:r>
      <w:r/>
    </w:p>
    <w:p>
      <w:pPr>
        <w:pStyle w:val="1173"/>
        <w:jc w:val="left"/>
        <w:pageBreakBefore w:val="0"/>
        <w:spacing w:line="360" w:lineRule="auto"/>
        <w:rPr>
          <w:rFonts w:hint="eastAsia" w:ascii="宋体" w:hAnsi="宋体"/>
          <w:b/>
          <w:bCs/>
          <w:color w:val="000000"/>
          <w:szCs w:val="21"/>
          <w:highlight w:val="none"/>
        </w:rPr>
      </w:pPr>
      <w:r>
        <w:rPr>
          <w:rFonts w:hint="eastAsia" w:ascii="宋体" w:hAnsi="宋体"/>
          <w:b/>
          <w:bCs/>
          <w:color w:val="000000"/>
          <w:szCs w:val="21"/>
          <w:highlight w:val="none"/>
          <w:lang w:val="en-US" w:eastAsia="zh-CN"/>
        </w:rPr>
        <w:t xml:space="preserve">20</w:t>
      </w:r>
      <w:r>
        <w:rPr>
          <w:rFonts w:hint="eastAsia" w:ascii="宋体" w:hAnsi="宋体"/>
          <w:b/>
          <w:bCs/>
          <w:color w:val="000000"/>
          <w:szCs w:val="21"/>
          <w:highlight w:val="none"/>
        </w:rPr>
        <w:t xml:space="preserve">.其他（供应商认为有必要提供的声明和文件，如有自拟并自行添加）</w:t>
      </w:r>
      <w:r>
        <w:rPr>
          <w:rFonts w:hint="eastAsia" w:ascii="宋体" w:hAnsi="宋体"/>
          <w:b/>
          <w:bCs/>
          <w:color w:val="000000"/>
          <w:szCs w:val="21"/>
          <w:highlight w:val="none"/>
        </w:rPr>
      </w:r>
      <w:r/>
    </w:p>
    <w:p>
      <w:pPr>
        <w:pStyle w:val="1215"/>
        <w:ind w:firstLine="482"/>
        <w:jc w:val="center"/>
        <w:pageBreakBefore w:val="0"/>
        <w:spacing w:before="0" w:beforeAutospacing="0" w:after="0" w:afterAutospacing="0" w:line="360" w:lineRule="auto"/>
        <w:shd w:val="clear" w:color="auto" w:fill="ffffff"/>
        <w:rPr>
          <w:rFonts w:hint="eastAsia" w:ascii="宋体" w:hAnsi="宋体" w:cs="宋体"/>
          <w:b/>
          <w:color w:val="000000"/>
          <w:sz w:val="21"/>
          <w:szCs w:val="21"/>
          <w:highlight w:val="none"/>
          <w:lang w:eastAsia="zh-CN"/>
        </w:rPr>
      </w:pPr>
      <w:r>
        <w:rPr>
          <w:rFonts w:hint="eastAsia" w:ascii="宋体" w:hAnsi="宋体" w:cs="宋体"/>
          <w:b/>
          <w:color w:val="000000"/>
          <w:sz w:val="21"/>
          <w:szCs w:val="21"/>
          <w:highlight w:val="none"/>
          <w:lang w:eastAsia="zh-CN"/>
        </w:rPr>
      </w:r>
      <w:r/>
    </w:p>
    <w:sectPr>
      <w:headerReference w:type="default" r:id="rId10"/>
      <w:footerReference w:type="default" r:id="rId19"/>
      <w:footnotePr/>
      <w:endnotePr/>
      <w:type w:val="nextPage"/>
      <w:pgSz w:w="11907" w:h="16840" w:orient="portrait"/>
      <w:pgMar w:top="1134" w:right="1134" w:bottom="1134"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ymbol">
    <w:panose1 w:val="05050102010706020507"/>
  </w:font>
  <w:font w:name="新宋体">
    <w:panose1 w:val="02010609030101010101"/>
  </w:font>
  <w:font w:name="Wingdings">
    <w:panose1 w:val="05000000000000000000"/>
  </w:font>
  <w:font w:name="仿宋">
    <w:panose1 w:val="02010609060101010101"/>
  </w:font>
  <w:font w:name="等线 Light">
    <w:panose1 w:val="02010600030101010101"/>
  </w:font>
  <w:font w:name="等线">
    <w:panose1 w:val="02010600030101010101"/>
  </w:font>
  <w:font w:name="Courier New">
    <w:panose1 w:val="02070309020205020404"/>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tabs>
        <w:tab w:val="center" w:pos="4153" w:leader="none"/>
        <w:tab w:val="right" w:pos="8306" w:leader="none"/>
      </w:tabs>
      <w:rPr>
        <w:rStyle w:val="119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17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173"/>
                    </w:pPr>
                    <w:r/>
                    <w:r/>
                  </w:p>
                </w:txbxContent>
              </v:textbox>
            </v:shape>
          </w:pict>
        </mc:Fallback>
      </mc:AlternateContent>
    </w:r>
    <w:r>
      <w:rPr>
        <w:rStyle w:val="1199"/>
      </w:rPr>
    </w:r>
    <w:r/>
  </w:p>
  <w:p>
    <w:pPr>
      <w:pStyle w:val="118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ind w:firstLine="4140"/>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right" w:pos="8306"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rPr>
                              <w:rFonts w:hint="eastAsia" w:ascii="宋体" w:hAnsi="宋体" w:cs="宋体"/>
                              <w:sz w:val="18"/>
                              <w:szCs w:val="18"/>
                            </w:rPr>
                          </w:r>
                          <w:r/>
                        </w:p>
                        <w:p>
                          <w:pPr>
                            <w:pStyle w:val="117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xml:space="preserve">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 xml:space="preserve">52</w:t>
                    </w:r>
                    <w:r>
                      <w:rPr>
                        <w:rFonts w:hint="eastAsia" w:ascii="宋体" w:hAnsi="宋体" w:cs="宋体"/>
                        <w:sz w:val="18"/>
                        <w:szCs w:val="18"/>
                      </w:rPr>
                      <w:fldChar w:fldCharType="end"/>
                    </w:r>
                    <w:r>
                      <w:rPr>
                        <w:rFonts w:hint="eastAsia" w:ascii="宋体" w:hAnsi="宋体" w:cs="宋体"/>
                        <w:sz w:val="18"/>
                        <w:szCs w:val="18"/>
                      </w:rPr>
                      <w:t xml:space="preserve"> 页</w:t>
                    </w:r>
                    <w:r>
                      <w:rPr>
                        <w:rFonts w:hint="eastAsia" w:ascii="宋体" w:hAnsi="宋体" w:cs="宋体"/>
                        <w:sz w:val="18"/>
                        <w:szCs w:val="18"/>
                      </w:rPr>
                    </w:r>
                    <w:r/>
                  </w:p>
                  <w:p>
                    <w:pPr>
                      <w:pStyle w:val="117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tabs>
        <w:tab w:val="center" w:pos="4153" w:leader="none"/>
        <w:tab w:val="right" w:pos="8306" w:leader="none"/>
      </w:tabs>
    </w:pPr>
    <w:r>
      <w:rPr>
        <w:rFonts w:hint="eastAsia"/>
      </w:rPr>
      <w:t xml:space="preserve">第 </w:t>
    </w:r>
    <w:r>
      <w:fldChar w:fldCharType="begin"/>
    </w:r>
    <w:r>
      <w:rPr>
        <w:rStyle w:val="1199"/>
      </w:rPr>
      <w:instrText xml:space="preserve"> PAGE </w:instrText>
    </w:r>
    <w:r>
      <w:fldChar w:fldCharType="separate"/>
    </w:r>
    <w:r>
      <w:rPr>
        <w:rStyle w:val="1199"/>
      </w:rPr>
      <w:t xml:space="preserve">24</w:t>
    </w:r>
    <w:r>
      <w:fldChar w:fldCharType="end"/>
    </w:r>
    <w:r>
      <w:rPr>
        <w:rFonts w:hint="eastAsia"/>
      </w:rPr>
      <w:t xml:space="preserve"> 页 共 </w:t>
    </w:r>
    <w:r>
      <w:fldChar w:fldCharType="begin"/>
    </w:r>
    <w:r>
      <w:rPr>
        <w:rStyle w:val="1199"/>
      </w:rPr>
      <w:instrText xml:space="preserve"> NUMPAGES </w:instrText>
    </w:r>
    <w:r>
      <w:fldChar w:fldCharType="separate"/>
    </w:r>
    <w:r>
      <w:rPr>
        <w:rStyle w:val="1199"/>
      </w:rPr>
      <w:t xml:space="preserve">41</w:t>
    </w:r>
    <w:r>
      <w:fldChar w:fldCharType="end"/>
    </w:r>
    <w:r>
      <w:rPr>
        <w:rFonts w:hint="eastAsia"/>
      </w:rPr>
      <w:t xml:space="preserve"> 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tabs>
        <w:tab w:val="center" w:pos="4153" w:leader="none"/>
        <w:tab w:val="right" w:pos="8306" w:leader="none"/>
      </w:tabs>
      <w:rPr>
        <w:rStyle w:val="1199"/>
      </w:rPr>
      <w:framePr w:wrap="around" w:vAnchor="text" w:hAnchor="margin" w:xAlign="center" w:y="1"/>
    </w:pPr>
    <w:r>
      <w:fldChar w:fldCharType="begin"/>
    </w:r>
    <w:r>
      <w:rPr>
        <w:rStyle w:val="1199"/>
      </w:rPr>
      <w:instrText xml:space="preserve">PAGE  </w:instrText>
    </w:r>
    <w:r>
      <w:fldChar w:fldCharType="end"/>
    </w:r>
    <w:r>
      <w:rPr>
        <w:rStyle w:val="1199"/>
      </w:rPr>
    </w:r>
    <w:r/>
  </w:p>
  <w:p>
    <w:pPr>
      <w:pStyle w:val="1186"/>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tabs>
        <w:tab w:val="center" w:pos="4153" w:leader="none"/>
        <w:tab w:val="right" w:pos="8306" w:leader="none"/>
      </w:tabs>
    </w:pPr>
    <w:r>
      <w:rPr>
        <w:rFonts w:hint="eastAsia"/>
      </w:rPr>
      <w:t xml:space="preserve">第 </w:t>
    </w:r>
    <w:r>
      <w:fldChar w:fldCharType="begin"/>
    </w:r>
    <w:r>
      <w:rPr>
        <w:rStyle w:val="1199"/>
      </w:rPr>
      <w:instrText xml:space="preserve"> PAGE </w:instrText>
    </w:r>
    <w:r>
      <w:fldChar w:fldCharType="separate"/>
    </w:r>
    <w:r>
      <w:rPr>
        <w:rStyle w:val="1199"/>
      </w:rPr>
      <w:t xml:space="preserve">56</w:t>
    </w:r>
    <w:r>
      <w:fldChar w:fldCharType="end"/>
    </w:r>
    <w:r>
      <w:rPr>
        <w:rFonts w:hint="eastAsia"/>
      </w:rPr>
      <w:t xml:space="preserve"> 页 共 </w:t>
    </w:r>
    <w:r>
      <w:fldChar w:fldCharType="begin"/>
    </w:r>
    <w:r>
      <w:rPr>
        <w:rStyle w:val="1199"/>
      </w:rPr>
      <w:instrText xml:space="preserve"> NUMPAGES </w:instrText>
    </w:r>
    <w:r>
      <w:fldChar w:fldCharType="separate"/>
    </w:r>
    <w:r>
      <w:rPr>
        <w:rStyle w:val="1199"/>
      </w:rPr>
      <w:t xml:space="preserve">66</w:t>
    </w:r>
    <w:r>
      <w:fldChar w:fldCharType="end"/>
    </w:r>
    <w:r>
      <w:rPr>
        <w:rFonts w:hint="eastAsia"/>
      </w:rPr>
      <w:t xml:space="preserve"> 页</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6"/>
                            <w:tabs>
                              <w:tab w:val="clear" w:pos="4153" w:leader="none"/>
                              <w:tab w:val="clear" w:pos="8306" w:leader="none"/>
                            </w:tabs>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173"/>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6"/>
                      <w:tabs>
                        <w:tab w:val="clear" w:pos="4153" w:leader="none"/>
                        <w:tab w:val="clear" w:pos="8306" w:leader="none"/>
                      </w:tabs>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17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txbx>
                      <w:txbxContent>
                        <w:p>
                          <w:pPr>
                            <w:pStyle w:val="119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rPr>
                              <w:rFonts w:hint="eastAsia" w:ascii="宋体" w:hAnsi="宋体" w:eastAsia="宋体" w:cs="宋体"/>
                              <w:sz w:val="18"/>
                              <w:szCs w:val="18"/>
                            </w:rPr>
                          </w:r>
                          <w:r/>
                        </w:p>
                        <w:p>
                          <w:pPr>
                            <w:pStyle w:val="1173"/>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isibility:visible;" filled="f" stroked="f" strokeweight="0.50pt">
              <v:textbox inset="0,0,0,0">
                <w:txbxContent>
                  <w:p>
                    <w:pPr>
                      <w:pStyle w:val="1195"/>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rPr>
                        <w:rFonts w:hint="eastAsia" w:ascii="宋体" w:hAnsi="宋体" w:eastAsia="宋体" w:cs="宋体"/>
                        <w:sz w:val="18"/>
                        <w:szCs w:val="18"/>
                      </w:rPr>
                    </w:r>
                    <w:r/>
                  </w:p>
                  <w:p>
                    <w:pPr>
                      <w:pStyle w:val="1173"/>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6"/>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17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6"/>
                      <w:tabs>
                        <w:tab w:val="clear" w:pos="4153" w:leader="none"/>
                        <w:tab w:val="clear" w:pos="8306" w:leader="none"/>
                      </w:tabs>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pPr>
                      <w:pStyle w:val="11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1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pStyle w:val="11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11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pStyle w:val="11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1173"/>
      </w:pPr>
      <w:rPr>
        <w:rFonts w:hint="eastAsia"/>
      </w:rPr>
    </w:lvl>
    <w:lvl w:ilvl="1">
      <w:start w:val="1"/>
      <w:numFmt w:val="bullet"/>
      <w:isLgl w:val="false"/>
      <w:suff w:val="tab"/>
      <w:lvlText w:val="o"/>
      <w:lvlJc w:val="left"/>
      <w:pPr>
        <w:pStyle w:val="1173"/>
        <w:ind w:left="1440" w:hanging="360"/>
      </w:pPr>
      <w:rPr>
        <w:rFonts w:ascii="Courier New" w:hAnsi="Courier New" w:eastAsia="Courier New" w:cs="Courier New"/>
      </w:rPr>
    </w:lvl>
    <w:lvl w:ilvl="2">
      <w:start w:val="1"/>
      <w:numFmt w:val="bullet"/>
      <w:isLgl w:val="false"/>
      <w:suff w:val="tab"/>
      <w:lvlText w:val="§"/>
      <w:lvlJc w:val="left"/>
      <w:pPr>
        <w:pStyle w:val="1173"/>
        <w:ind w:left="2160" w:hanging="360"/>
      </w:pPr>
      <w:rPr>
        <w:rFonts w:ascii="Wingdings" w:hAnsi="Wingdings" w:eastAsia="Wingdings" w:cs="Wingdings"/>
      </w:rPr>
    </w:lvl>
    <w:lvl w:ilvl="3">
      <w:start w:val="1"/>
      <w:numFmt w:val="bullet"/>
      <w:isLgl w:val="false"/>
      <w:suff w:val="tab"/>
      <w:lvlText w:val="·"/>
      <w:lvlJc w:val="left"/>
      <w:pPr>
        <w:pStyle w:val="1173"/>
        <w:ind w:left="2880" w:hanging="360"/>
      </w:pPr>
      <w:rPr>
        <w:rFonts w:ascii="Symbol" w:hAnsi="Symbol" w:eastAsia="Symbol" w:cs="Symbol"/>
      </w:rPr>
    </w:lvl>
    <w:lvl w:ilvl="4">
      <w:start w:val="1"/>
      <w:numFmt w:val="bullet"/>
      <w:isLgl w:val="false"/>
      <w:suff w:val="tab"/>
      <w:lvlText w:val="o"/>
      <w:lvlJc w:val="left"/>
      <w:pPr>
        <w:pStyle w:val="1173"/>
        <w:ind w:left="3600" w:hanging="360"/>
      </w:pPr>
      <w:rPr>
        <w:rFonts w:ascii="Courier New" w:hAnsi="Courier New" w:eastAsia="Courier New" w:cs="Courier New"/>
      </w:rPr>
    </w:lvl>
    <w:lvl w:ilvl="5">
      <w:start w:val="1"/>
      <w:numFmt w:val="bullet"/>
      <w:isLgl w:val="false"/>
      <w:suff w:val="tab"/>
      <w:lvlText w:val="§"/>
      <w:lvlJc w:val="left"/>
      <w:pPr>
        <w:pStyle w:val="1173"/>
        <w:ind w:left="4320" w:hanging="360"/>
      </w:pPr>
      <w:rPr>
        <w:rFonts w:ascii="Wingdings" w:hAnsi="Wingdings" w:eastAsia="Wingdings" w:cs="Wingdings"/>
      </w:rPr>
    </w:lvl>
    <w:lvl w:ilvl="6">
      <w:start w:val="1"/>
      <w:numFmt w:val="bullet"/>
      <w:isLgl w:val="false"/>
      <w:suff w:val="tab"/>
      <w:lvlText w:val="·"/>
      <w:lvlJc w:val="left"/>
      <w:pPr>
        <w:pStyle w:val="1173"/>
        <w:ind w:left="5040" w:hanging="360"/>
      </w:pPr>
      <w:rPr>
        <w:rFonts w:ascii="Symbol" w:hAnsi="Symbol" w:eastAsia="Symbol" w:cs="Symbol"/>
      </w:rPr>
    </w:lvl>
    <w:lvl w:ilvl="7">
      <w:start w:val="1"/>
      <w:numFmt w:val="bullet"/>
      <w:isLgl w:val="false"/>
      <w:suff w:val="tab"/>
      <w:lvlText w:val="o"/>
      <w:lvlJc w:val="left"/>
      <w:pPr>
        <w:pStyle w:val="1173"/>
        <w:ind w:left="5760" w:hanging="360"/>
      </w:pPr>
      <w:rPr>
        <w:rFonts w:ascii="Courier New" w:hAnsi="Courier New" w:eastAsia="Courier New" w:cs="Courier New"/>
      </w:rPr>
    </w:lvl>
    <w:lvl w:ilvl="8">
      <w:start w:val="1"/>
      <w:numFmt w:val="bullet"/>
      <w:isLgl w:val="false"/>
      <w:suff w:val="tab"/>
      <w:lvlText w:val="§"/>
      <w:lvlJc w:val="left"/>
      <w:pPr>
        <w:pStyle w:val="1173"/>
        <w:ind w:left="6480" w:hanging="360"/>
      </w:pPr>
      <w:rPr>
        <w:rFonts w:ascii="Wingdings" w:hAnsi="Wingdings" w:eastAsia="Wingdings" w:cs="Wingdings"/>
      </w:rPr>
    </w:lvl>
  </w:abstractNum>
  <w:abstractNum w:abstractNumId="5">
    <w:multiLevelType w:val="hybridMultilevel"/>
    <w:lvl w:ilvl="0">
      <w:start w:val="7"/>
      <w:numFmt w:val="chineseCounting"/>
      <w:isLgl w:val="false"/>
      <w:suff w:val="nothing"/>
      <w:lvlText w:val="%1、"/>
      <w:lvlJc w:val="left"/>
      <w:pPr>
        <w:pStyle w:val="11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1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1173"/>
        <w:ind w:left="1560" w:hanging="720"/>
      </w:pPr>
    </w:lvl>
    <w:lvl w:ilvl="1">
      <w:start w:val="1"/>
      <w:numFmt w:val="lowerLetter"/>
      <w:isLgl w:val="false"/>
      <w:suff w:val="tab"/>
      <w:lvlText w:val="%2)"/>
      <w:lvlJc w:val="left"/>
      <w:pPr>
        <w:pStyle w:val="1173"/>
        <w:ind w:left="1680" w:hanging="420"/>
      </w:pPr>
    </w:lvl>
    <w:lvl w:ilvl="2">
      <w:start w:val="1"/>
      <w:numFmt w:val="lowerRoman"/>
      <w:isLgl w:val="false"/>
      <w:suff w:val="tab"/>
      <w:lvlText w:val="%3."/>
      <w:lvlJc w:val="right"/>
      <w:pPr>
        <w:pStyle w:val="1173"/>
        <w:ind w:left="2100" w:hanging="420"/>
      </w:pPr>
    </w:lvl>
    <w:lvl w:ilvl="3">
      <w:start w:val="1"/>
      <w:numFmt w:val="decimal"/>
      <w:isLgl w:val="false"/>
      <w:suff w:val="tab"/>
      <w:lvlText w:val="%4."/>
      <w:lvlJc w:val="left"/>
      <w:pPr>
        <w:pStyle w:val="1173"/>
        <w:ind w:left="2520" w:hanging="420"/>
      </w:pPr>
    </w:lvl>
    <w:lvl w:ilvl="4">
      <w:start w:val="1"/>
      <w:numFmt w:val="lowerLetter"/>
      <w:isLgl w:val="false"/>
      <w:suff w:val="tab"/>
      <w:lvlText w:val="%5)"/>
      <w:lvlJc w:val="left"/>
      <w:pPr>
        <w:pStyle w:val="1173"/>
        <w:ind w:left="2940" w:hanging="420"/>
      </w:pPr>
    </w:lvl>
    <w:lvl w:ilvl="5">
      <w:start w:val="1"/>
      <w:numFmt w:val="lowerRoman"/>
      <w:isLgl w:val="false"/>
      <w:suff w:val="tab"/>
      <w:lvlText w:val="%6."/>
      <w:lvlJc w:val="right"/>
      <w:pPr>
        <w:pStyle w:val="1173"/>
        <w:ind w:left="3360" w:hanging="420"/>
      </w:pPr>
    </w:lvl>
    <w:lvl w:ilvl="6">
      <w:start w:val="1"/>
      <w:numFmt w:val="decimal"/>
      <w:isLgl w:val="false"/>
      <w:suff w:val="tab"/>
      <w:lvlText w:val="%7."/>
      <w:lvlJc w:val="left"/>
      <w:pPr>
        <w:pStyle w:val="1173"/>
        <w:ind w:left="3780" w:hanging="420"/>
      </w:pPr>
    </w:lvl>
    <w:lvl w:ilvl="7">
      <w:start w:val="1"/>
      <w:numFmt w:val="lowerLetter"/>
      <w:isLgl w:val="false"/>
      <w:suff w:val="tab"/>
      <w:lvlText w:val="%8)"/>
      <w:lvlJc w:val="left"/>
      <w:pPr>
        <w:pStyle w:val="1173"/>
        <w:ind w:left="4200" w:hanging="420"/>
      </w:pPr>
    </w:lvl>
    <w:lvl w:ilvl="8">
      <w:start w:val="1"/>
      <w:numFmt w:val="lowerRoman"/>
      <w:isLgl w:val="false"/>
      <w:suff w:val="tab"/>
      <w:lvlText w:val="%9."/>
      <w:lvlJc w:val="right"/>
      <w:pPr>
        <w:pStyle w:val="1173"/>
        <w:ind w:left="4620" w:hanging="420"/>
      </w:pPr>
    </w:lvl>
  </w:abstractNum>
  <w:abstractNum w:abstractNumId="8">
    <w:multiLevelType w:val="hybridMultilevel"/>
    <w:lvl w:ilvl="0">
      <w:start w:val="3"/>
      <w:numFmt w:val="chineseCounting"/>
      <w:isLgl w:val="false"/>
      <w:suff w:val="space"/>
      <w:lvlText w:val="第%1章"/>
      <w:lvlJc w:val="left"/>
      <w:pPr>
        <w:pStyle w:val="11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1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11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8"/>
  </w:num>
  <w:num w:numId="4">
    <w:abstractNumId w:val="9"/>
  </w:num>
  <w:num w:numId="5">
    <w:abstractNumId w:val="10"/>
  </w:num>
  <w:num w:numId="6">
    <w:abstractNumId w:val="1"/>
  </w:num>
  <w:num w:numId="7">
    <w:abstractNumId w:val="6"/>
  </w:num>
  <w:num w:numId="8">
    <w:abstractNumId w:val="3"/>
  </w:num>
  <w:num w:numId="9">
    <w:abstractNumId w:val="4"/>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6">
    <w:name w:val="Heading 1"/>
    <w:basedOn w:val="1173"/>
    <w:next w:val="1173"/>
    <w:link w:val="997"/>
    <w:uiPriority w:val="9"/>
    <w:qFormat/>
    <w:pPr>
      <w:keepLines/>
      <w:keepNext/>
      <w:spacing w:before="480" w:after="200"/>
      <w:outlineLvl w:val="0"/>
    </w:pPr>
    <w:rPr>
      <w:rFonts w:ascii="Arial" w:hAnsi="Arial" w:eastAsia="Arial" w:cs="Arial"/>
      <w:sz w:val="40"/>
      <w:szCs w:val="40"/>
    </w:rPr>
  </w:style>
  <w:style w:type="character" w:styleId="997">
    <w:name w:val="Heading 1 Char"/>
    <w:link w:val="996"/>
    <w:uiPriority w:val="9"/>
    <w:rPr>
      <w:rFonts w:ascii="Arial" w:hAnsi="Arial" w:eastAsia="Arial" w:cs="Arial"/>
      <w:sz w:val="40"/>
      <w:szCs w:val="40"/>
    </w:rPr>
  </w:style>
  <w:style w:type="paragraph" w:styleId="998">
    <w:name w:val="Heading 2"/>
    <w:basedOn w:val="1173"/>
    <w:next w:val="1173"/>
    <w:link w:val="999"/>
    <w:uiPriority w:val="9"/>
    <w:unhideWhenUsed/>
    <w:qFormat/>
    <w:pPr>
      <w:keepLines/>
      <w:keepNext/>
      <w:spacing w:before="360" w:after="200"/>
      <w:outlineLvl w:val="1"/>
    </w:pPr>
    <w:rPr>
      <w:rFonts w:ascii="Arial" w:hAnsi="Arial" w:eastAsia="Arial" w:cs="Arial"/>
      <w:sz w:val="34"/>
    </w:rPr>
  </w:style>
  <w:style w:type="character" w:styleId="999">
    <w:name w:val="Heading 2 Char"/>
    <w:link w:val="998"/>
    <w:uiPriority w:val="9"/>
    <w:rPr>
      <w:rFonts w:ascii="Arial" w:hAnsi="Arial" w:eastAsia="Arial" w:cs="Arial"/>
      <w:sz w:val="34"/>
    </w:rPr>
  </w:style>
  <w:style w:type="paragraph" w:styleId="1000">
    <w:name w:val="Heading 3"/>
    <w:basedOn w:val="1173"/>
    <w:next w:val="1173"/>
    <w:link w:val="1001"/>
    <w:uiPriority w:val="9"/>
    <w:unhideWhenUsed/>
    <w:qFormat/>
    <w:pPr>
      <w:keepLines/>
      <w:keepNext/>
      <w:spacing w:before="320" w:after="200"/>
      <w:outlineLvl w:val="2"/>
    </w:pPr>
    <w:rPr>
      <w:rFonts w:ascii="Arial" w:hAnsi="Arial" w:eastAsia="Arial" w:cs="Arial"/>
      <w:sz w:val="30"/>
      <w:szCs w:val="30"/>
    </w:rPr>
  </w:style>
  <w:style w:type="character" w:styleId="1001">
    <w:name w:val="Heading 3 Char"/>
    <w:link w:val="1000"/>
    <w:uiPriority w:val="9"/>
    <w:rPr>
      <w:rFonts w:ascii="Arial" w:hAnsi="Arial" w:eastAsia="Arial" w:cs="Arial"/>
      <w:sz w:val="30"/>
      <w:szCs w:val="30"/>
    </w:rPr>
  </w:style>
  <w:style w:type="paragraph" w:styleId="1002">
    <w:name w:val="Heading 4"/>
    <w:basedOn w:val="1173"/>
    <w:next w:val="1173"/>
    <w:link w:val="1003"/>
    <w:uiPriority w:val="9"/>
    <w:unhideWhenUsed/>
    <w:qFormat/>
    <w:pPr>
      <w:keepLines/>
      <w:keepNext/>
      <w:spacing w:before="320" w:after="200"/>
      <w:outlineLvl w:val="3"/>
    </w:pPr>
    <w:rPr>
      <w:rFonts w:ascii="Arial" w:hAnsi="Arial" w:eastAsia="Arial" w:cs="Arial"/>
      <w:b/>
      <w:bCs/>
      <w:sz w:val="26"/>
      <w:szCs w:val="26"/>
    </w:rPr>
  </w:style>
  <w:style w:type="character" w:styleId="1003">
    <w:name w:val="Heading 4 Char"/>
    <w:link w:val="1002"/>
    <w:uiPriority w:val="9"/>
    <w:rPr>
      <w:rFonts w:ascii="Arial" w:hAnsi="Arial" w:eastAsia="Arial" w:cs="Arial"/>
      <w:b/>
      <w:bCs/>
      <w:sz w:val="26"/>
      <w:szCs w:val="26"/>
    </w:rPr>
  </w:style>
  <w:style w:type="paragraph" w:styleId="1004">
    <w:name w:val="Heading 5"/>
    <w:basedOn w:val="1173"/>
    <w:next w:val="1173"/>
    <w:link w:val="1005"/>
    <w:uiPriority w:val="9"/>
    <w:unhideWhenUsed/>
    <w:qFormat/>
    <w:pPr>
      <w:keepLines/>
      <w:keepNext/>
      <w:spacing w:before="320" w:after="200"/>
      <w:outlineLvl w:val="4"/>
    </w:pPr>
    <w:rPr>
      <w:rFonts w:ascii="Arial" w:hAnsi="Arial" w:eastAsia="Arial" w:cs="Arial"/>
      <w:b/>
      <w:bCs/>
      <w:sz w:val="24"/>
      <w:szCs w:val="24"/>
    </w:rPr>
  </w:style>
  <w:style w:type="character" w:styleId="1005">
    <w:name w:val="Heading 5 Char"/>
    <w:link w:val="1004"/>
    <w:uiPriority w:val="9"/>
    <w:rPr>
      <w:rFonts w:ascii="Arial" w:hAnsi="Arial" w:eastAsia="Arial" w:cs="Arial"/>
      <w:b/>
      <w:bCs/>
      <w:sz w:val="24"/>
      <w:szCs w:val="24"/>
    </w:rPr>
  </w:style>
  <w:style w:type="paragraph" w:styleId="1006">
    <w:name w:val="Heading 6"/>
    <w:basedOn w:val="1173"/>
    <w:next w:val="1173"/>
    <w:link w:val="1007"/>
    <w:uiPriority w:val="9"/>
    <w:unhideWhenUsed/>
    <w:qFormat/>
    <w:pPr>
      <w:keepLines/>
      <w:keepNext/>
      <w:spacing w:before="320" w:after="200"/>
      <w:outlineLvl w:val="5"/>
    </w:pPr>
    <w:rPr>
      <w:rFonts w:ascii="Arial" w:hAnsi="Arial" w:eastAsia="Arial" w:cs="Arial"/>
      <w:b/>
      <w:bCs/>
      <w:sz w:val="22"/>
      <w:szCs w:val="22"/>
    </w:rPr>
  </w:style>
  <w:style w:type="character" w:styleId="1007">
    <w:name w:val="Heading 6 Char"/>
    <w:link w:val="1006"/>
    <w:uiPriority w:val="9"/>
    <w:rPr>
      <w:rFonts w:ascii="Arial" w:hAnsi="Arial" w:eastAsia="Arial" w:cs="Arial"/>
      <w:b/>
      <w:bCs/>
      <w:sz w:val="22"/>
      <w:szCs w:val="22"/>
    </w:rPr>
  </w:style>
  <w:style w:type="paragraph" w:styleId="1008">
    <w:name w:val="Heading 7"/>
    <w:basedOn w:val="1173"/>
    <w:next w:val="1173"/>
    <w:link w:val="1009"/>
    <w:uiPriority w:val="9"/>
    <w:unhideWhenUsed/>
    <w:qFormat/>
    <w:pPr>
      <w:keepLines/>
      <w:keepNext/>
      <w:spacing w:before="320" w:after="200"/>
      <w:outlineLvl w:val="6"/>
    </w:pPr>
    <w:rPr>
      <w:rFonts w:ascii="Arial" w:hAnsi="Arial" w:eastAsia="Arial" w:cs="Arial"/>
      <w:b/>
      <w:bCs/>
      <w:i/>
      <w:iCs/>
      <w:sz w:val="22"/>
      <w:szCs w:val="22"/>
    </w:rPr>
  </w:style>
  <w:style w:type="character" w:styleId="1009">
    <w:name w:val="Heading 7 Char"/>
    <w:link w:val="1008"/>
    <w:uiPriority w:val="9"/>
    <w:rPr>
      <w:rFonts w:ascii="Arial" w:hAnsi="Arial" w:eastAsia="Arial" w:cs="Arial"/>
      <w:b/>
      <w:bCs/>
      <w:i/>
      <w:iCs/>
      <w:sz w:val="22"/>
      <w:szCs w:val="22"/>
    </w:rPr>
  </w:style>
  <w:style w:type="paragraph" w:styleId="1010">
    <w:name w:val="Heading 8"/>
    <w:basedOn w:val="1173"/>
    <w:next w:val="1173"/>
    <w:link w:val="1011"/>
    <w:uiPriority w:val="9"/>
    <w:unhideWhenUsed/>
    <w:qFormat/>
    <w:pPr>
      <w:keepLines/>
      <w:keepNext/>
      <w:spacing w:before="320" w:after="200"/>
      <w:outlineLvl w:val="7"/>
    </w:pPr>
    <w:rPr>
      <w:rFonts w:ascii="Arial" w:hAnsi="Arial" w:eastAsia="Arial" w:cs="Arial"/>
      <w:i/>
      <w:iCs/>
      <w:sz w:val="22"/>
      <w:szCs w:val="22"/>
    </w:rPr>
  </w:style>
  <w:style w:type="character" w:styleId="1011">
    <w:name w:val="Heading 8 Char"/>
    <w:link w:val="1010"/>
    <w:uiPriority w:val="9"/>
    <w:rPr>
      <w:rFonts w:ascii="Arial" w:hAnsi="Arial" w:eastAsia="Arial" w:cs="Arial"/>
      <w:i/>
      <w:iCs/>
      <w:sz w:val="22"/>
      <w:szCs w:val="22"/>
    </w:rPr>
  </w:style>
  <w:style w:type="paragraph" w:styleId="1012">
    <w:name w:val="Heading 9"/>
    <w:basedOn w:val="1173"/>
    <w:next w:val="1173"/>
    <w:link w:val="1013"/>
    <w:uiPriority w:val="9"/>
    <w:unhideWhenUsed/>
    <w:qFormat/>
    <w:pPr>
      <w:keepLines/>
      <w:keepNext/>
      <w:spacing w:before="320" w:after="200"/>
      <w:outlineLvl w:val="8"/>
    </w:pPr>
    <w:rPr>
      <w:rFonts w:ascii="Arial" w:hAnsi="Arial" w:eastAsia="Arial" w:cs="Arial"/>
      <w:i/>
      <w:iCs/>
      <w:sz w:val="21"/>
      <w:szCs w:val="21"/>
    </w:rPr>
  </w:style>
  <w:style w:type="character" w:styleId="1013">
    <w:name w:val="Heading 9 Char"/>
    <w:link w:val="1012"/>
    <w:uiPriority w:val="9"/>
    <w:rPr>
      <w:rFonts w:ascii="Arial" w:hAnsi="Arial" w:eastAsia="Arial" w:cs="Arial"/>
      <w:i/>
      <w:iCs/>
      <w:sz w:val="21"/>
      <w:szCs w:val="21"/>
    </w:rPr>
  </w:style>
  <w:style w:type="paragraph" w:styleId="1014">
    <w:name w:val="No Spacing"/>
    <w:uiPriority w:val="1"/>
    <w:qFormat/>
    <w:pPr>
      <w:spacing w:before="0" w:after="0" w:line="240" w:lineRule="auto"/>
    </w:pPr>
  </w:style>
  <w:style w:type="paragraph" w:styleId="1015">
    <w:name w:val="Title"/>
    <w:basedOn w:val="1173"/>
    <w:next w:val="1173"/>
    <w:link w:val="1016"/>
    <w:uiPriority w:val="10"/>
    <w:qFormat/>
    <w:pPr>
      <w:contextualSpacing/>
      <w:spacing w:before="300" w:after="200"/>
    </w:pPr>
    <w:rPr>
      <w:sz w:val="48"/>
      <w:szCs w:val="48"/>
    </w:rPr>
  </w:style>
  <w:style w:type="character" w:styleId="1016">
    <w:name w:val="Title Char"/>
    <w:link w:val="1015"/>
    <w:uiPriority w:val="10"/>
    <w:rPr>
      <w:sz w:val="48"/>
      <w:szCs w:val="48"/>
    </w:rPr>
  </w:style>
  <w:style w:type="paragraph" w:styleId="1017">
    <w:name w:val="Subtitle"/>
    <w:basedOn w:val="1173"/>
    <w:next w:val="1173"/>
    <w:link w:val="1018"/>
    <w:uiPriority w:val="11"/>
    <w:qFormat/>
    <w:pPr>
      <w:spacing w:before="200" w:after="200"/>
    </w:pPr>
    <w:rPr>
      <w:sz w:val="24"/>
      <w:szCs w:val="24"/>
    </w:rPr>
  </w:style>
  <w:style w:type="character" w:styleId="1018">
    <w:name w:val="Subtitle Char"/>
    <w:link w:val="1017"/>
    <w:uiPriority w:val="11"/>
    <w:rPr>
      <w:sz w:val="24"/>
      <w:szCs w:val="24"/>
    </w:rPr>
  </w:style>
  <w:style w:type="paragraph" w:styleId="1019">
    <w:name w:val="Quote"/>
    <w:basedOn w:val="1173"/>
    <w:next w:val="1173"/>
    <w:link w:val="1020"/>
    <w:uiPriority w:val="29"/>
    <w:qFormat/>
    <w:pPr>
      <w:ind w:left="720" w:right="720"/>
    </w:pPr>
    <w:rPr>
      <w:i/>
    </w:rPr>
  </w:style>
  <w:style w:type="character" w:styleId="1020">
    <w:name w:val="Quote Char"/>
    <w:link w:val="1019"/>
    <w:uiPriority w:val="29"/>
    <w:rPr>
      <w:i/>
    </w:rPr>
  </w:style>
  <w:style w:type="paragraph" w:styleId="1021">
    <w:name w:val="Intense Quote"/>
    <w:basedOn w:val="1173"/>
    <w:next w:val="1173"/>
    <w:link w:val="10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name w:val="Intense Quote Char"/>
    <w:link w:val="1021"/>
    <w:uiPriority w:val="30"/>
    <w:rPr>
      <w:i/>
    </w:rPr>
  </w:style>
  <w:style w:type="paragraph" w:styleId="1023">
    <w:name w:val="Header"/>
    <w:basedOn w:val="1173"/>
    <w:link w:val="1024"/>
    <w:uiPriority w:val="99"/>
    <w:unhideWhenUsed/>
    <w:pPr>
      <w:spacing w:after="0" w:line="240" w:lineRule="auto"/>
      <w:tabs>
        <w:tab w:val="center" w:pos="7143" w:leader="none"/>
        <w:tab w:val="right" w:pos="14287" w:leader="none"/>
      </w:tabs>
    </w:pPr>
  </w:style>
  <w:style w:type="character" w:styleId="1024">
    <w:name w:val="Header Char"/>
    <w:link w:val="1023"/>
    <w:uiPriority w:val="99"/>
  </w:style>
  <w:style w:type="paragraph" w:styleId="1025">
    <w:name w:val="Footer"/>
    <w:basedOn w:val="1173"/>
    <w:link w:val="1028"/>
    <w:uiPriority w:val="99"/>
    <w:unhideWhenUsed/>
    <w:pPr>
      <w:spacing w:after="0" w:line="240" w:lineRule="auto"/>
      <w:tabs>
        <w:tab w:val="center" w:pos="7143" w:leader="none"/>
        <w:tab w:val="right" w:pos="14287" w:leader="none"/>
      </w:tabs>
    </w:pPr>
  </w:style>
  <w:style w:type="character" w:styleId="1026">
    <w:name w:val="Footer Char"/>
    <w:link w:val="1025"/>
    <w:uiPriority w:val="99"/>
  </w:style>
  <w:style w:type="paragraph" w:styleId="1027">
    <w:name w:val="Caption"/>
    <w:basedOn w:val="1173"/>
    <w:next w:val="1173"/>
    <w:uiPriority w:val="35"/>
    <w:semiHidden/>
    <w:unhideWhenUsed/>
    <w:qFormat/>
    <w:pPr>
      <w:spacing w:line="276" w:lineRule="auto"/>
    </w:pPr>
    <w:rPr>
      <w:b/>
      <w:bCs/>
      <w:color w:val="4f81bd" w:themeColor="accent1"/>
      <w:sz w:val="18"/>
      <w:szCs w:val="18"/>
    </w:rPr>
  </w:style>
  <w:style w:type="character" w:styleId="1028">
    <w:name w:val="Caption Char"/>
    <w:basedOn w:val="1027"/>
    <w:link w:val="1025"/>
    <w:uiPriority w:val="99"/>
  </w:style>
  <w:style w:type="table" w:styleId="10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55">
    <w:name w:val="Hyperlink"/>
    <w:uiPriority w:val="99"/>
    <w:unhideWhenUsed/>
    <w:rPr>
      <w:color w:val="0000ff" w:themeColor="hyperlink"/>
      <w:u w:val="single"/>
    </w:rPr>
  </w:style>
  <w:style w:type="paragraph" w:styleId="1156">
    <w:name w:val="footnote text"/>
    <w:basedOn w:val="1173"/>
    <w:link w:val="1157"/>
    <w:uiPriority w:val="99"/>
    <w:semiHidden/>
    <w:unhideWhenUsed/>
    <w:pPr>
      <w:spacing w:after="40" w:line="240" w:lineRule="auto"/>
    </w:pPr>
    <w:rPr>
      <w:sz w:val="18"/>
    </w:rPr>
  </w:style>
  <w:style w:type="character" w:styleId="1157">
    <w:name w:val="Footnote Text Char"/>
    <w:link w:val="1156"/>
    <w:uiPriority w:val="99"/>
    <w:rPr>
      <w:sz w:val="18"/>
    </w:rPr>
  </w:style>
  <w:style w:type="character" w:styleId="1158">
    <w:name w:val="footnote reference"/>
    <w:uiPriority w:val="99"/>
    <w:unhideWhenUsed/>
    <w:rPr>
      <w:vertAlign w:val="superscript"/>
    </w:rPr>
  </w:style>
  <w:style w:type="paragraph" w:styleId="1159">
    <w:name w:val="endnote text"/>
    <w:basedOn w:val="1173"/>
    <w:link w:val="1160"/>
    <w:uiPriority w:val="99"/>
    <w:semiHidden/>
    <w:unhideWhenUsed/>
    <w:pPr>
      <w:spacing w:after="0" w:line="240" w:lineRule="auto"/>
    </w:pPr>
    <w:rPr>
      <w:sz w:val="20"/>
    </w:rPr>
  </w:style>
  <w:style w:type="character" w:styleId="1160">
    <w:name w:val="Endnote Text Char"/>
    <w:link w:val="1159"/>
    <w:uiPriority w:val="99"/>
    <w:rPr>
      <w:sz w:val="20"/>
    </w:rPr>
  </w:style>
  <w:style w:type="character" w:styleId="1161">
    <w:name w:val="endnote reference"/>
    <w:uiPriority w:val="99"/>
    <w:semiHidden/>
    <w:unhideWhenUsed/>
    <w:rPr>
      <w:vertAlign w:val="superscript"/>
    </w:rPr>
  </w:style>
  <w:style w:type="paragraph" w:styleId="1162">
    <w:name w:val="toc 1"/>
    <w:basedOn w:val="1173"/>
    <w:next w:val="1173"/>
    <w:uiPriority w:val="39"/>
    <w:unhideWhenUsed/>
    <w:pPr>
      <w:ind w:left="0" w:right="0" w:firstLine="0"/>
      <w:spacing w:after="57"/>
    </w:pPr>
  </w:style>
  <w:style w:type="paragraph" w:styleId="1163">
    <w:name w:val="toc 2"/>
    <w:basedOn w:val="1173"/>
    <w:next w:val="1173"/>
    <w:uiPriority w:val="39"/>
    <w:unhideWhenUsed/>
    <w:pPr>
      <w:ind w:left="283" w:right="0" w:firstLine="0"/>
      <w:spacing w:after="57"/>
    </w:pPr>
  </w:style>
  <w:style w:type="paragraph" w:styleId="1164">
    <w:name w:val="toc 3"/>
    <w:basedOn w:val="1173"/>
    <w:next w:val="1173"/>
    <w:uiPriority w:val="39"/>
    <w:unhideWhenUsed/>
    <w:pPr>
      <w:ind w:left="567" w:right="0" w:firstLine="0"/>
      <w:spacing w:after="57"/>
    </w:pPr>
  </w:style>
  <w:style w:type="paragraph" w:styleId="1165">
    <w:name w:val="toc 4"/>
    <w:basedOn w:val="1173"/>
    <w:next w:val="1173"/>
    <w:uiPriority w:val="39"/>
    <w:unhideWhenUsed/>
    <w:pPr>
      <w:ind w:left="850" w:right="0" w:firstLine="0"/>
      <w:spacing w:after="57"/>
    </w:pPr>
  </w:style>
  <w:style w:type="paragraph" w:styleId="1166">
    <w:name w:val="toc 5"/>
    <w:basedOn w:val="1173"/>
    <w:next w:val="1173"/>
    <w:uiPriority w:val="39"/>
    <w:unhideWhenUsed/>
    <w:pPr>
      <w:ind w:left="1134" w:right="0" w:firstLine="0"/>
      <w:spacing w:after="57"/>
    </w:pPr>
  </w:style>
  <w:style w:type="paragraph" w:styleId="1167">
    <w:name w:val="toc 6"/>
    <w:basedOn w:val="1173"/>
    <w:next w:val="1173"/>
    <w:uiPriority w:val="39"/>
    <w:unhideWhenUsed/>
    <w:pPr>
      <w:ind w:left="1417" w:right="0" w:firstLine="0"/>
      <w:spacing w:after="57"/>
    </w:pPr>
  </w:style>
  <w:style w:type="paragraph" w:styleId="1168">
    <w:name w:val="toc 7"/>
    <w:basedOn w:val="1173"/>
    <w:next w:val="1173"/>
    <w:uiPriority w:val="39"/>
    <w:unhideWhenUsed/>
    <w:pPr>
      <w:ind w:left="1701" w:right="0" w:firstLine="0"/>
      <w:spacing w:after="57"/>
    </w:pPr>
  </w:style>
  <w:style w:type="paragraph" w:styleId="1169">
    <w:name w:val="toc 8"/>
    <w:basedOn w:val="1173"/>
    <w:next w:val="1173"/>
    <w:uiPriority w:val="39"/>
    <w:unhideWhenUsed/>
    <w:pPr>
      <w:ind w:left="1984" w:right="0" w:firstLine="0"/>
      <w:spacing w:after="57"/>
    </w:pPr>
  </w:style>
  <w:style w:type="paragraph" w:styleId="1170">
    <w:name w:val="toc 9"/>
    <w:basedOn w:val="1173"/>
    <w:next w:val="1173"/>
    <w:uiPriority w:val="39"/>
    <w:unhideWhenUsed/>
    <w:pPr>
      <w:ind w:left="2268" w:right="0" w:firstLine="0"/>
      <w:spacing w:after="57"/>
    </w:pPr>
  </w:style>
  <w:style w:type="paragraph" w:styleId="1171">
    <w:name w:val="TOC Heading"/>
    <w:uiPriority w:val="39"/>
    <w:unhideWhenUsed/>
  </w:style>
  <w:style w:type="paragraph" w:styleId="1172">
    <w:name w:val="table of figures"/>
    <w:basedOn w:val="1173"/>
    <w:next w:val="1173"/>
    <w:uiPriority w:val="99"/>
    <w:unhideWhenUsed/>
    <w:pPr>
      <w:spacing w:after="0" w:afterAutospacing="0"/>
    </w:pPr>
  </w:style>
  <w:style w:type="paragraph" w:styleId="1173" w:default="1">
    <w:name w:val="Normal"/>
    <w:next w:val="1173"/>
    <w:link w:val="1173"/>
    <w:qFormat/>
    <w:pPr>
      <w:jc w:val="both"/>
      <w:widowControl w:val="off"/>
    </w:pPr>
    <w:rPr>
      <w:rFonts w:ascii="Calibri" w:hAnsi="Calibri" w:eastAsia="宋体" w:cs="Times New Roman"/>
      <w:sz w:val="21"/>
      <w:szCs w:val="24"/>
      <w:lang w:val="en-US" w:eastAsia="zh-CN" w:bidi="ar-SA"/>
    </w:rPr>
  </w:style>
  <w:style w:type="paragraph" w:styleId="1174">
    <w:name w:val="标题 1"/>
    <w:basedOn w:val="1173"/>
    <w:next w:val="1173"/>
    <w:link w:val="1173"/>
    <w:qFormat/>
    <w:pPr>
      <w:keepNext/>
      <w:outlineLvl w:val="0"/>
    </w:pPr>
    <w:rPr>
      <w:rFonts w:ascii="楷体_GB2312" w:hAnsi="Times New Roman" w:eastAsia="楷体_GB2312"/>
      <w:sz w:val="28"/>
      <w:szCs w:val="20"/>
    </w:rPr>
  </w:style>
  <w:style w:type="paragraph" w:styleId="1175">
    <w:name w:val="标题 2"/>
    <w:basedOn w:val="1173"/>
    <w:next w:val="1173"/>
    <w:link w:val="1173"/>
    <w:qFormat/>
    <w:pPr>
      <w:jc w:val="center"/>
      <w:keepLines/>
      <w:keepNext/>
      <w:spacing w:before="260" w:after="260" w:line="416" w:lineRule="auto"/>
      <w:outlineLvl w:val="1"/>
    </w:pPr>
    <w:rPr>
      <w:rFonts w:ascii="Arial" w:hAnsi="Arial" w:eastAsia="幼圆"/>
      <w:b/>
      <w:sz w:val="44"/>
      <w:szCs w:val="20"/>
    </w:rPr>
  </w:style>
  <w:style w:type="paragraph" w:styleId="1176">
    <w:name w:val="标题 3"/>
    <w:basedOn w:val="1173"/>
    <w:next w:val="1179"/>
    <w:link w:val="1173"/>
    <w:uiPriority w:val="9"/>
    <w:qFormat/>
    <w:pPr>
      <w:keepLines/>
      <w:keepNext/>
      <w:spacing w:before="260" w:after="260" w:line="416" w:lineRule="auto"/>
      <w:outlineLvl w:val="2"/>
    </w:pPr>
    <w:rPr>
      <w:rFonts w:ascii="Times New Roman" w:hAnsi="Times New Roman"/>
      <w:b/>
      <w:sz w:val="32"/>
      <w:szCs w:val="20"/>
    </w:rPr>
  </w:style>
  <w:style w:type="character" w:styleId="1177">
    <w:name w:val="默认段落字体"/>
    <w:next w:val="1177"/>
    <w:link w:val="1173"/>
    <w:uiPriority w:val="1"/>
    <w:unhideWhenUsed/>
    <w:qFormat/>
  </w:style>
  <w:style w:type="table" w:styleId="1178">
    <w:name w:val="普通表格"/>
    <w:next w:val="1178"/>
    <w:link w:val="1173"/>
    <w:uiPriority w:val="99"/>
    <w:unhideWhenUsed/>
    <w:qFormat/>
    <w:tblPr/>
  </w:style>
  <w:style w:type="paragraph" w:styleId="1179">
    <w:name w:val="正文缩进"/>
    <w:basedOn w:val="1173"/>
    <w:next w:val="1179"/>
    <w:link w:val="1173"/>
    <w:qFormat/>
    <w:pPr>
      <w:ind w:firstLine="420"/>
    </w:pPr>
    <w:rPr>
      <w:rFonts w:ascii="Times New Roman" w:hAnsi="Times New Roman"/>
      <w:szCs w:val="20"/>
    </w:rPr>
  </w:style>
  <w:style w:type="paragraph" w:styleId="1180">
    <w:name w:val="注释标题"/>
    <w:basedOn w:val="1173"/>
    <w:next w:val="1173"/>
    <w:link w:val="1173"/>
    <w:unhideWhenUsed/>
    <w:qFormat/>
    <w:pPr>
      <w:jc w:val="center"/>
    </w:pPr>
    <w:rPr>
      <w:szCs w:val="24"/>
    </w:rPr>
  </w:style>
  <w:style w:type="paragraph" w:styleId="1181">
    <w:name w:val="批注文字"/>
    <w:basedOn w:val="1173"/>
    <w:next w:val="1181"/>
    <w:link w:val="1173"/>
    <w:pPr>
      <w:jc w:val="left"/>
    </w:pPr>
  </w:style>
  <w:style w:type="paragraph" w:styleId="1182">
    <w:name w:val="正文文本"/>
    <w:basedOn w:val="1173"/>
    <w:next w:val="1182"/>
    <w:link w:val="1173"/>
    <w:qFormat/>
    <w:pPr>
      <w:spacing w:after="120"/>
    </w:pPr>
  </w:style>
  <w:style w:type="paragraph" w:styleId="1183">
    <w:name w:val="正文文本缩进"/>
    <w:basedOn w:val="1173"/>
    <w:next w:val="1183"/>
    <w:link w:val="1173"/>
    <w:qFormat/>
    <w:pPr>
      <w:ind w:firstLine="645"/>
    </w:pPr>
    <w:rPr>
      <w:rFonts w:ascii="楷体_GB2312" w:hAnsi="Times New Roman" w:eastAsia="楷体_GB2312"/>
      <w:sz w:val="32"/>
      <w:szCs w:val="20"/>
    </w:rPr>
  </w:style>
  <w:style w:type="paragraph" w:styleId="1184">
    <w:name w:val="文本块"/>
    <w:basedOn w:val="1173"/>
    <w:next w:val="1184"/>
    <w:link w:val="1173"/>
    <w:unhideWhenUsed/>
    <w:qFormat/>
    <w:rPr>
      <w:rFonts w:eastAsia="微软雅黑"/>
    </w:rPr>
  </w:style>
  <w:style w:type="paragraph" w:styleId="1185">
    <w:name w:val="纯文本"/>
    <w:basedOn w:val="1173"/>
    <w:next w:val="1185"/>
    <w:link w:val="1173"/>
    <w:uiPriority w:val="99"/>
    <w:qFormat/>
    <w:rPr>
      <w:rFonts w:ascii="宋体" w:hAnsi="Courier New"/>
      <w:szCs w:val="20"/>
    </w:rPr>
  </w:style>
  <w:style w:type="paragraph" w:styleId="1186">
    <w:name w:val="页脚"/>
    <w:basedOn w:val="1173"/>
    <w:next w:val="1186"/>
    <w:link w:val="1173"/>
    <w:qFormat/>
    <w:pPr>
      <w:jc w:val="left"/>
      <w:tabs>
        <w:tab w:val="center" w:pos="4153" w:leader="none"/>
        <w:tab w:val="right" w:pos="8306" w:leader="none"/>
      </w:tabs>
    </w:pPr>
    <w:rPr>
      <w:rFonts w:ascii="Times New Roman" w:hAnsi="Times New Roman"/>
      <w:sz w:val="18"/>
      <w:szCs w:val="20"/>
    </w:rPr>
  </w:style>
  <w:style w:type="paragraph" w:styleId="1187">
    <w:name w:val="寄信人地址"/>
    <w:basedOn w:val="1173"/>
    <w:next w:val="1187"/>
    <w:link w:val="1173"/>
    <w:uiPriority w:val="99"/>
    <w:qFormat/>
    <w:rPr>
      <w:rFonts w:ascii="Arial" w:hAnsi="Arial" w:cs="Arial"/>
    </w:rPr>
  </w:style>
  <w:style w:type="paragraph" w:styleId="1188">
    <w:name w:val="页眉"/>
    <w:basedOn w:val="1173"/>
    <w:next w:val="1188"/>
    <w:link w:val="1173"/>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189">
    <w:name w:val="目录 1"/>
    <w:basedOn w:val="1173"/>
    <w:next w:val="1173"/>
    <w:link w:val="1173"/>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90">
    <w:name w:val="脚注文本"/>
    <w:basedOn w:val="1173"/>
    <w:next w:val="1190"/>
    <w:link w:val="1173"/>
    <w:uiPriority w:val="99"/>
    <w:unhideWhenUsed/>
    <w:qFormat/>
    <w:pPr>
      <w:spacing w:after="40"/>
    </w:pPr>
    <w:rPr>
      <w:sz w:val="18"/>
    </w:rPr>
  </w:style>
  <w:style w:type="paragraph" w:styleId="1191">
    <w:name w:val="正文文本 2"/>
    <w:basedOn w:val="1173"/>
    <w:next w:val="1191"/>
    <w:link w:val="1173"/>
    <w:qFormat/>
    <w:pPr>
      <w:spacing w:after="120" w:line="480" w:lineRule="auto"/>
    </w:pPr>
  </w:style>
  <w:style w:type="paragraph" w:styleId="1192">
    <w:name w:val="HTML 预设格式"/>
    <w:basedOn w:val="1173"/>
    <w:next w:val="1192"/>
    <w:link w:val="117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193">
    <w:name w:val="普通(网站)"/>
    <w:basedOn w:val="1173"/>
    <w:next w:val="1193"/>
    <w:link w:val="1173"/>
    <w:qFormat/>
    <w:pPr>
      <w:jc w:val="left"/>
      <w:spacing w:beforeAutospacing="1" w:afterAutospacing="1"/>
    </w:pPr>
    <w:rPr>
      <w:rFonts w:cs="Times New Roman"/>
      <w:sz w:val="24"/>
    </w:rPr>
  </w:style>
  <w:style w:type="paragraph" w:styleId="1194">
    <w:name w:val="标题"/>
    <w:basedOn w:val="1173"/>
    <w:next w:val="1173"/>
    <w:link w:val="1173"/>
    <w:qFormat/>
    <w:pPr>
      <w:jc w:val="center"/>
      <w:spacing w:before="240" w:after="60"/>
      <w:outlineLvl w:val="0"/>
    </w:pPr>
    <w:rPr>
      <w:rFonts w:ascii="等线 Light" w:hAnsi="等线 Light"/>
      <w:b/>
      <w:bCs/>
      <w:sz w:val="32"/>
      <w:szCs w:val="32"/>
    </w:rPr>
  </w:style>
  <w:style w:type="paragraph" w:styleId="1195">
    <w:name w:val="正文首行缩进"/>
    <w:basedOn w:val="1182"/>
    <w:next w:val="1195"/>
    <w:link w:val="1173"/>
    <w:unhideWhenUsed/>
    <w:qFormat/>
    <w:pPr>
      <w:ind w:firstLine="420"/>
    </w:pPr>
    <w:rPr>
      <w:rFonts w:ascii="楷体_GB2312" w:hAnsi="Arial" w:eastAsia="楷体_GB2312"/>
      <w:sz w:val="28"/>
      <w:szCs w:val="20"/>
    </w:rPr>
  </w:style>
  <w:style w:type="paragraph" w:styleId="1196">
    <w:name w:val="正文首行缩进 2"/>
    <w:basedOn w:val="1183"/>
    <w:next w:val="1196"/>
    <w:link w:val="1173"/>
    <w:qFormat/>
    <w:pPr>
      <w:ind w:firstLine="420"/>
    </w:pPr>
    <w:rPr>
      <w:rFonts w:cs="宋体"/>
      <w:szCs w:val="21"/>
    </w:rPr>
  </w:style>
  <w:style w:type="table" w:styleId="1197">
    <w:name w:val="网格型"/>
    <w:basedOn w:val="1178"/>
    <w:next w:val="1197"/>
    <w:link w:val="1173"/>
    <w:qFormat/>
    <w:pPr>
      <w:jc w:val="both"/>
      <w:widowControl w:val="off"/>
    </w:pPr>
    <w:tblPr/>
  </w:style>
  <w:style w:type="character" w:styleId="1198">
    <w:name w:val="要点"/>
    <w:basedOn w:val="1177"/>
    <w:next w:val="1198"/>
    <w:link w:val="1173"/>
    <w:uiPriority w:val="22"/>
    <w:qFormat/>
    <w:rPr>
      <w:b/>
    </w:rPr>
  </w:style>
  <w:style w:type="character" w:styleId="1199">
    <w:name w:val="页码"/>
    <w:next w:val="1199"/>
    <w:link w:val="1173"/>
    <w:qFormat/>
    <w:rPr>
      <w:rFonts w:ascii="Times New Roman" w:hAnsi="Times New Roman" w:eastAsia="宋体" w:cs="Times New Roman"/>
    </w:rPr>
  </w:style>
  <w:style w:type="character" w:styleId="1200">
    <w:name w:val="强调"/>
    <w:basedOn w:val="1177"/>
    <w:next w:val="1200"/>
    <w:link w:val="1173"/>
    <w:uiPriority w:val="20"/>
    <w:qFormat/>
    <w:rPr>
      <w:i/>
    </w:rPr>
  </w:style>
  <w:style w:type="character" w:styleId="1201">
    <w:name w:val="超链接"/>
    <w:next w:val="1201"/>
    <w:link w:val="1173"/>
    <w:uiPriority w:val="99"/>
    <w:qFormat/>
    <w:rPr>
      <w:rFonts w:ascii="Times New Roman" w:hAnsi="Times New Roman" w:eastAsia="宋体" w:cs="Times New Roman"/>
      <w:color w:val="0000ff"/>
      <w:u w:val="single"/>
    </w:rPr>
  </w:style>
  <w:style w:type="paragraph" w:styleId="1202">
    <w:name w:val="注释标题1"/>
    <w:basedOn w:val="1173"/>
    <w:next w:val="1173"/>
    <w:link w:val="1173"/>
    <w:qFormat/>
    <w:rPr>
      <w:rFonts w:ascii="Verdana" w:hAnsi="Verdana"/>
      <w:szCs w:val="20"/>
    </w:rPr>
  </w:style>
  <w:style w:type="paragraph" w:styleId="1203">
    <w:name w:val="普通正文"/>
    <w:basedOn w:val="1173"/>
    <w:next w:val="1203"/>
    <w:link w:val="1173"/>
    <w:qFormat/>
    <w:pPr>
      <w:ind w:firstLine="482"/>
      <w:jc w:val="left"/>
      <w:spacing w:line="360" w:lineRule="auto"/>
    </w:pPr>
    <w:rPr>
      <w:rFonts w:ascii="Arial" w:hAnsi="Arial"/>
      <w:sz w:val="24"/>
    </w:rPr>
  </w:style>
  <w:style w:type="paragraph" w:styleId="1204">
    <w:name w:val="TOC 标题1"/>
    <w:basedOn w:val="1174"/>
    <w:next w:val="1173"/>
    <w:link w:val="1173"/>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05">
    <w:name w:val="目录 31"/>
    <w:basedOn w:val="1173"/>
    <w:next w:val="1173"/>
    <w:link w:val="1173"/>
    <w:qFormat/>
    <w:pPr>
      <w:ind w:left="840"/>
    </w:pPr>
    <w:rPr>
      <w:lang w:eastAsia="en-US"/>
    </w:rPr>
  </w:style>
  <w:style w:type="paragraph" w:styleId="1206">
    <w:name w:val="标题 31"/>
    <w:basedOn w:val="1173"/>
    <w:next w:val="1207"/>
    <w:link w:val="1173"/>
    <w:qFormat/>
    <w:pPr>
      <w:keepLines/>
      <w:keepNext/>
      <w:spacing w:before="260" w:after="260" w:line="413" w:lineRule="auto"/>
      <w:outlineLvl w:val="2"/>
    </w:pPr>
    <w:rPr>
      <w:b/>
      <w:sz w:val="32"/>
      <w:szCs w:val="20"/>
    </w:rPr>
  </w:style>
  <w:style w:type="paragraph" w:styleId="1207">
    <w:name w:val="正文缩进1"/>
    <w:basedOn w:val="1173"/>
    <w:next w:val="1207"/>
    <w:link w:val="1173"/>
    <w:qFormat/>
    <w:pPr>
      <w:ind w:firstLine="420"/>
    </w:pPr>
    <w:rPr>
      <w:szCs w:val="20"/>
    </w:rPr>
  </w:style>
  <w:style w:type="paragraph" w:styleId="1208">
    <w:name w:val="DAS正文"/>
    <w:basedOn w:val="1173"/>
    <w:next w:val="1208"/>
    <w:link w:val="1173"/>
    <w:uiPriority w:val="5"/>
    <w:qFormat/>
    <w:pPr>
      <w:ind w:right="181" w:firstLine="480"/>
      <w:spacing w:line="360" w:lineRule="auto"/>
    </w:pPr>
    <w:rPr>
      <w:rFonts w:ascii="Verdana" w:hAnsi="Verdana"/>
    </w:rPr>
  </w:style>
  <w:style w:type="paragraph" w:styleId="1209">
    <w:name w:val="sh4"/>
    <w:basedOn w:val="1173"/>
    <w:next w:val="1209"/>
    <w:link w:val="1173"/>
    <w:qFormat/>
    <w:pPr>
      <w:ind w:firstLine="420"/>
      <w:spacing w:line="460" w:lineRule="exact"/>
    </w:pPr>
    <w:rPr>
      <w:rFonts w:ascii="宋体" w:hAnsi="宋体"/>
      <w:szCs w:val="21"/>
      <w:lang w:eastAsia="en-US"/>
    </w:rPr>
  </w:style>
  <w:style w:type="paragraph" w:styleId="1210">
    <w:name w:val="段"/>
    <w:next w:val="1173"/>
    <w:link w:val="1173"/>
    <w:qFormat/>
    <w:pPr>
      <w:ind w:firstLine="200"/>
      <w:jc w:val="both"/>
    </w:pPr>
    <w:rPr>
      <w:rFonts w:ascii="宋体" w:hAnsi="Times New Roman" w:eastAsia="宋体" w:cs="Times New Roman"/>
      <w:sz w:val="21"/>
      <w:szCs w:val="22"/>
      <w:lang w:val="en-US" w:eastAsia="zh-CN" w:bidi="ar-SA"/>
    </w:rPr>
  </w:style>
  <w:style w:type="paragraph" w:styleId="1211">
    <w:name w:val="Char"/>
    <w:basedOn w:val="1173"/>
    <w:next w:val="1211"/>
    <w:link w:val="1173"/>
    <w:qFormat/>
    <w:pPr>
      <w:tabs>
        <w:tab w:val="left" w:pos="360" w:leader="none"/>
      </w:tabs>
    </w:pPr>
    <w:rPr>
      <w:rFonts w:ascii="Times New Roman" w:hAnsi="Times New Roman"/>
      <w:sz w:val="24"/>
    </w:rPr>
  </w:style>
  <w:style w:type="paragraph" w:styleId="1212">
    <w:name w:val="二级目录"/>
    <w:next w:val="1173"/>
    <w:link w:val="1173"/>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213">
    <w:name w:val="简单回函地址"/>
    <w:basedOn w:val="1173"/>
    <w:next w:val="1213"/>
    <w:link w:val="1173"/>
    <w:qFormat/>
    <w:rPr>
      <w:rFonts w:ascii="Times New Roman" w:hAnsi="Times New Roman" w:cs="宋体"/>
      <w:szCs w:val="21"/>
    </w:rPr>
  </w:style>
  <w:style w:type="paragraph" w:styleId="1214">
    <w:name w:val="索引 41"/>
    <w:basedOn w:val="1173"/>
    <w:next w:val="1173"/>
    <w:link w:val="1173"/>
    <w:qFormat/>
    <w:pPr>
      <w:ind w:left="1260"/>
    </w:pPr>
  </w:style>
  <w:style w:type="paragraph" w:styleId="1215">
    <w:name w:val="普通(网站)1"/>
    <w:basedOn w:val="1173"/>
    <w:next w:val="1215"/>
    <w:link w:val="1173"/>
    <w:unhideWhenUsed/>
    <w:qFormat/>
    <w:pPr>
      <w:jc w:val="left"/>
      <w:spacing w:before="100" w:beforeAutospacing="1" w:after="100" w:afterAutospacing="1"/>
    </w:pPr>
    <w:rPr>
      <w:sz w:val="24"/>
      <w:lang w:eastAsia="en-US"/>
    </w:rPr>
  </w:style>
  <w:style w:type="paragraph" w:styleId="1216">
    <w:name w:val="页脚11"/>
    <w:basedOn w:val="1173"/>
    <w:next w:val="1216"/>
    <w:link w:val="1173"/>
    <w:qFormat/>
    <w:pPr>
      <w:jc w:val="left"/>
      <w:tabs>
        <w:tab w:val="center" w:pos="4153" w:leader="none"/>
        <w:tab w:val="right" w:pos="8306" w:leader="none"/>
      </w:tabs>
    </w:pPr>
    <w:rPr>
      <w:sz w:val="18"/>
      <w:szCs w:val="18"/>
      <w:lang w:eastAsia="en-US"/>
    </w:rPr>
  </w:style>
  <w:style w:type="paragraph" w:styleId="1217">
    <w:name w:val="List Paragraph"/>
    <w:basedOn w:val="1173"/>
    <w:next w:val="1217"/>
    <w:link w:val="1173"/>
    <w:uiPriority w:val="34"/>
    <w:qFormat/>
    <w:pPr>
      <w:ind w:firstLine="420"/>
    </w:pPr>
  </w:style>
  <w:style w:type="paragraph" w:styleId="1218">
    <w:name w:val="列出段落2"/>
    <w:basedOn w:val="1173"/>
    <w:next w:val="1218"/>
    <w:link w:val="1173"/>
    <w:uiPriority w:val="34"/>
    <w:qFormat/>
    <w:pPr>
      <w:contextualSpacing/>
      <w:ind w:left="720"/>
      <w:jc w:val="left"/>
      <w:widowControl/>
    </w:pPr>
    <w:rPr>
      <w:sz w:val="24"/>
      <w:lang w:eastAsia="en-US" w:bidi="en-US"/>
    </w:rPr>
  </w:style>
  <w:style w:type="paragraph" w:styleId="1219">
    <w:name w:val="列表段落1"/>
    <w:basedOn w:val="1173"/>
    <w:next w:val="1219"/>
    <w:link w:val="1173"/>
    <w:uiPriority w:val="34"/>
    <w:qFormat/>
    <w:pPr>
      <w:ind w:firstLine="420"/>
    </w:pPr>
  </w:style>
  <w:style w:type="paragraph" w:styleId="1220">
    <w:name w:val="style4"/>
    <w:basedOn w:val="1173"/>
    <w:next w:val="1221"/>
    <w:link w:val="1173"/>
    <w:uiPriority w:val="99"/>
    <w:qFormat/>
    <w:pPr>
      <w:spacing w:before="280" w:after="280"/>
      <w:widowControl/>
    </w:pPr>
    <w:rPr>
      <w:rFonts w:ascii="宋体"/>
      <w:sz w:val="18"/>
    </w:rPr>
  </w:style>
  <w:style w:type="paragraph" w:styleId="1221">
    <w:name w:val="2"/>
    <w:next w:val="1173"/>
    <w:link w:val="1173"/>
    <w:uiPriority w:val="99"/>
    <w:qFormat/>
    <w:pPr>
      <w:jc w:val="both"/>
      <w:widowControl w:val="off"/>
    </w:pPr>
    <w:rPr>
      <w:rFonts w:ascii="Times New Roman" w:hAnsi="Times New Roman" w:eastAsia="宋体" w:cs="Times New Roman"/>
      <w:sz w:val="21"/>
      <w:szCs w:val="22"/>
      <w:lang w:val="en-US" w:eastAsia="zh-CN" w:bidi="ar-SA"/>
    </w:rPr>
  </w:style>
  <w:style w:type="character" w:styleId="1222">
    <w:name w:val="font51"/>
    <w:basedOn w:val="1177"/>
    <w:next w:val="1222"/>
    <w:link w:val="1173"/>
    <w:qFormat/>
    <w:rPr>
      <w:rFonts w:ascii="宋体" w:hAnsi="宋体" w:eastAsia="宋体" w:cs="宋体"/>
      <w:color w:val="000000"/>
      <w:sz w:val="18"/>
      <w:szCs w:val="18"/>
      <w:u w:val="none"/>
    </w:rPr>
  </w:style>
  <w:style w:type="paragraph" w:styleId="1223">
    <w:name w:val="*正文"/>
    <w:basedOn w:val="1173"/>
    <w:next w:val="1223"/>
    <w:link w:val="1173"/>
    <w:qFormat/>
    <w:pPr>
      <w:ind w:firstLine="480"/>
      <w:spacing w:line="360" w:lineRule="auto"/>
    </w:pPr>
    <w:rPr>
      <w:rFonts w:ascii="宋体" w:hAnsi="宋体"/>
      <w:sz w:val="24"/>
    </w:rPr>
  </w:style>
  <w:style w:type="character" w:styleId="1224">
    <w:name w:val="font11"/>
    <w:next w:val="1224"/>
    <w:link w:val="1173"/>
    <w:qFormat/>
    <w:rPr>
      <w:rFonts w:hint="eastAsia" w:ascii="宋体" w:hAnsi="宋体" w:eastAsia="宋体" w:cs="宋体"/>
      <w:color w:val="000000"/>
      <w:sz w:val="24"/>
      <w:szCs w:val="24"/>
      <w:u w:val="none"/>
    </w:rPr>
  </w:style>
  <w:style w:type="paragraph" w:styleId="1225">
    <w:name w:val="正文文本1"/>
    <w:basedOn w:val="1173"/>
    <w:next w:val="1225"/>
    <w:link w:val="1173"/>
    <w:qFormat/>
    <w:rPr>
      <w:rFonts w:ascii="楷体_GB2312" w:hAnsi="Arial" w:eastAsia="楷体_GB2312"/>
      <w:sz w:val="28"/>
      <w:szCs w:val="20"/>
    </w:rPr>
  </w:style>
  <w:style w:type="paragraph" w:styleId="1226">
    <w:name w:val="列表段落"/>
    <w:basedOn w:val="1173"/>
    <w:next w:val="1226"/>
    <w:link w:val="1173"/>
    <w:uiPriority w:val="1"/>
    <w:qFormat/>
    <w:pPr>
      <w:ind w:firstLine="420"/>
    </w:pPr>
    <w:rPr>
      <w:szCs w:val="22"/>
    </w:rPr>
  </w:style>
  <w:style w:type="paragraph" w:styleId="1227">
    <w:name w:val="Plain Text1"/>
    <w:basedOn w:val="1173"/>
    <w:next w:val="1227"/>
    <w:link w:val="1173"/>
    <w:qFormat/>
    <w:pPr>
      <w:spacing w:line="312" w:lineRule="atLeast"/>
    </w:pPr>
    <w:rPr>
      <w:rFonts w:ascii="Arial Black" w:hAnsi="Courier New"/>
      <w:szCs w:val="20"/>
    </w:rPr>
  </w:style>
  <w:style w:type="paragraph" w:styleId="1228">
    <w:name w:val="Plain Text11"/>
    <w:basedOn w:val="1173"/>
    <w:next w:val="1228"/>
    <w:link w:val="1173"/>
    <w:qFormat/>
    <w:rPr>
      <w:rFonts w:ascii="宋体" w:hAnsi="Courier New" w:eastAsia="楷体_GB2312"/>
      <w:sz w:val="28"/>
      <w:szCs w:val="20"/>
    </w:rPr>
  </w:style>
  <w:style w:type="paragraph" w:styleId="1229">
    <w:name w:val="列出段落1"/>
    <w:basedOn w:val="1173"/>
    <w:next w:val="1229"/>
    <w:link w:val="1173"/>
    <w:uiPriority w:val="34"/>
    <w:qFormat/>
    <w:pPr>
      <w:ind w:firstLine="420"/>
    </w:pPr>
  </w:style>
  <w:style w:type="paragraph" w:styleId="1230">
    <w:name w:val="Table Text"/>
    <w:basedOn w:val="1173"/>
    <w:next w:val="1230"/>
    <w:link w:val="1173"/>
    <w:semiHidden/>
    <w:qFormat/>
    <w:rPr>
      <w:rFonts w:ascii="宋体" w:hAnsi="宋体" w:eastAsia="宋体" w:cs="宋体"/>
      <w:sz w:val="24"/>
      <w:szCs w:val="24"/>
      <w:lang w:val="en-US" w:eastAsia="en-US" w:bidi="ar-SA"/>
    </w:rPr>
  </w:style>
  <w:style w:type="table" w:styleId="1231">
    <w:name w:val="Table Normal"/>
    <w:next w:val="1231"/>
    <w:link w:val="1173"/>
    <w:unhideWhenUsed/>
    <w:qFormat/>
    <w:tblPr/>
  </w:style>
  <w:style w:type="paragraph" w:styleId="1232">
    <w:name w:val="正文文本首行缩进1"/>
    <w:next w:val="1233"/>
    <w:link w:val="1173"/>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233">
    <w:name w:val="正文缩进11"/>
    <w:next w:val="1173"/>
    <w:link w:val="1173"/>
    <w:qFormat/>
    <w:pPr>
      <w:ind w:firstLine="200"/>
      <w:jc w:val="both"/>
      <w:widowControl w:val="off"/>
    </w:pPr>
    <w:rPr>
      <w:rFonts w:ascii="Times New Roman" w:hAnsi="Times New Roman" w:eastAsia="宋体" w:cs="Times New Roman"/>
      <w:sz w:val="21"/>
      <w:szCs w:val="24"/>
      <w:lang w:val="en-US" w:eastAsia="zh-CN" w:bidi="ar-SA"/>
    </w:rPr>
  </w:style>
  <w:style w:type="paragraph" w:styleId="1234">
    <w:name w:val="正文2"/>
    <w:next w:val="1234"/>
    <w:link w:val="1173"/>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235">
    <w:name w:val="Table Paragraph"/>
    <w:basedOn w:val="1173"/>
    <w:next w:val="1235"/>
    <w:link w:val="1173"/>
    <w:uiPriority w:val="1"/>
    <w:qFormat/>
    <w:pPr>
      <w:jc w:val="left"/>
    </w:pPr>
    <w:rPr>
      <w:rFonts w:ascii="宋体" w:hAnsi="Times New Roman" w:cs="宋体"/>
      <w:sz w:val="24"/>
      <w:szCs w:val="24"/>
    </w:rPr>
  </w:style>
  <w:style w:type="paragraph" w:styleId="1236">
    <w:name w:val="_Style 3"/>
    <w:basedOn w:val="1173"/>
    <w:next w:val="1236"/>
    <w:link w:val="1173"/>
    <w:qFormat/>
    <w:rPr>
      <w:szCs w:val="21"/>
    </w:rPr>
  </w:style>
  <w:style w:type="character" w:styleId="1237" w:default="1">
    <w:name w:val="Default Paragraph Font"/>
    <w:uiPriority w:val="1"/>
    <w:semiHidden/>
    <w:unhideWhenUsed/>
  </w:style>
  <w:style w:type="numbering" w:styleId="1238" w:default="1">
    <w:name w:val="No List"/>
    <w:uiPriority w:val="99"/>
    <w:semiHidden/>
    <w:unhideWhenUsed/>
  </w:style>
  <w:style w:type="table" w:styleId="12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闵小平</cp:lastModifiedBy>
  <cp:revision>3</cp:revision>
  <dcterms:created xsi:type="dcterms:W3CDTF">2025-01-09T19:25:00Z</dcterms:created>
  <dcterms:modified xsi:type="dcterms:W3CDTF">2026-01-30T01:33:22Z</dcterms:modified>
</cp:coreProperties>
</file>