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3F16A1F2">
      <w:pPr>
        <w:ind w:firstLine="600"/>
        <w:jc w:val="both"/>
        <w:rPr>
          <w:rFonts w:hint="eastAsia" w:ascii="华文中宋" w:hAnsi="华文中宋" w:eastAsia="华文中宋"/>
          <w:bCs/>
          <w:color w:val="auto"/>
          <w:sz w:val="30"/>
          <w:highlight w:val="none"/>
        </w:rPr>
      </w:pPr>
    </w:p>
    <w:p w14:paraId="7FAA69BA">
      <w:pPr>
        <w:ind w:firstLine="600"/>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7F455218">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6F39E4FF">
      <w:pPr>
        <w:ind w:firstLine="600"/>
        <w:jc w:val="left"/>
        <w:rPr>
          <w:rFonts w:hint="eastAsia" w:ascii="华文中宋" w:hAnsi="华文中宋" w:eastAsia="华文中宋"/>
          <w:bCs/>
          <w:color w:val="auto"/>
          <w:sz w:val="30"/>
          <w:highlight w:val="none"/>
        </w:rPr>
      </w:pPr>
    </w:p>
    <w:p w14:paraId="709335D9">
      <w:pPr>
        <w:ind w:firstLine="600"/>
        <w:jc w:val="left"/>
        <w:rPr>
          <w:rFonts w:hint="eastAsia" w:ascii="华文中宋" w:hAnsi="华文中宋" w:eastAsia="华文中宋"/>
          <w:bCs/>
          <w:color w:val="auto"/>
          <w:sz w:val="30"/>
          <w:highlight w:val="none"/>
        </w:rPr>
      </w:pPr>
    </w:p>
    <w:p w14:paraId="7813D345">
      <w:pPr>
        <w:ind w:firstLine="600"/>
        <w:jc w:val="left"/>
        <w:rPr>
          <w:rFonts w:hint="eastAsia" w:ascii="华文中宋" w:hAnsi="华文中宋" w:eastAsia="华文中宋"/>
          <w:bCs/>
          <w:color w:val="auto"/>
          <w:sz w:val="30"/>
          <w:highlight w:val="none"/>
        </w:rPr>
      </w:pPr>
    </w:p>
    <w:p w14:paraId="2615648B">
      <w:pPr>
        <w:ind w:firstLine="600"/>
        <w:jc w:val="left"/>
        <w:rPr>
          <w:rFonts w:hint="eastAsia" w:ascii="华文中宋" w:hAnsi="华文中宋" w:eastAsia="华文中宋"/>
          <w:bCs/>
          <w:color w:val="auto"/>
          <w:sz w:val="30"/>
          <w:highlight w:val="none"/>
        </w:rPr>
      </w:pP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JSZC-320206-JZCG-G2025-0045</w:t>
      </w:r>
    </w:p>
    <w:p w14:paraId="7F779A4A">
      <w:pPr>
        <w:spacing w:line="360" w:lineRule="auto"/>
        <w:ind w:left="1534" w:leftChars="426" w:hanging="639" w:hangingChars="213"/>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eastAsia="zh-CN"/>
        </w:rPr>
        <w:t>阳山镇桃盛苑二期物业管理服务采购项目</w:t>
      </w:r>
      <w:r>
        <w:rPr>
          <w:rFonts w:hint="eastAsia" w:ascii="黑体" w:hAnsi="华文中宋" w:eastAsia="黑体"/>
          <w:bCs/>
          <w:color w:val="auto"/>
          <w:sz w:val="30"/>
          <w:szCs w:val="30"/>
          <w:highlight w:val="none"/>
        </w:rPr>
        <w:t xml:space="preserve"> </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五</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八月</w:t>
      </w:r>
    </w:p>
    <w:p w14:paraId="00FADB71">
      <w:pPr>
        <w:ind w:firstLine="960"/>
        <w:rPr>
          <w:rStyle w:val="241"/>
          <w:rFonts w:eastAsia="黑体"/>
          <w:bCs/>
          <w:color w:val="auto"/>
          <w:sz w:val="48"/>
          <w:highlight w:val="none"/>
        </w:rPr>
        <w:sectPr>
          <w:headerReference r:id="rId3" w:type="default"/>
          <w:footerReference r:id="rId4" w:type="default"/>
          <w:footerReference r:id="rId5" w:type="even"/>
          <w:pgSz w:w="11906" w:h="16838"/>
          <w:pgMar w:top="567" w:right="851" w:bottom="567" w:left="1134" w:header="624" w:footer="907" w:gutter="0"/>
          <w:cols w:space="720" w:num="1"/>
          <w:titlePg/>
          <w:docGrid w:linePitch="360" w:charSpace="0"/>
        </w:sectPr>
      </w:pPr>
    </w:p>
    <w:p w14:paraId="28236539">
      <w:pPr>
        <w:pageBreakBefore/>
        <w:ind w:firstLine="960"/>
        <w:jc w:val="center"/>
        <w:rPr>
          <w:rStyle w:val="241"/>
          <w:rFonts w:eastAsia="黑体"/>
          <w:bCs/>
          <w:color w:val="auto"/>
          <w:sz w:val="48"/>
          <w:highlight w:val="none"/>
        </w:rPr>
      </w:pPr>
      <w:r>
        <w:rPr>
          <w:rStyle w:val="241"/>
          <w:rFonts w:hint="eastAsia" w:eastAsia="黑体"/>
          <w:bCs/>
          <w:color w:val="auto"/>
          <w:sz w:val="48"/>
          <w:highlight w:val="none"/>
        </w:rPr>
        <w:t>目</w:t>
      </w:r>
      <w:r>
        <w:rPr>
          <w:rStyle w:val="241"/>
          <w:rFonts w:eastAsia="黑体"/>
          <w:bCs/>
          <w:color w:val="auto"/>
          <w:sz w:val="48"/>
          <w:highlight w:val="none"/>
        </w:rPr>
        <w:t xml:space="preserve">     </w:t>
      </w:r>
      <w:r>
        <w:rPr>
          <w:rStyle w:val="241"/>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2"/>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3"/>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rPr>
        <w:t>3</w:t>
      </w:r>
      <w:r>
        <w:rPr>
          <w:rFonts w:hint="eastAsia" w:ascii="宋体" w:hAnsi="宋体"/>
          <w:color w:val="auto"/>
          <w:sz w:val="32"/>
          <w:szCs w:val="32"/>
          <w:highlight w:val="none"/>
        </w:rPr>
        <w:fldChar w:fldCharType="end"/>
      </w:r>
    </w:p>
    <w:p w14:paraId="6D407FED">
      <w:pPr>
        <w:pStyle w:val="222"/>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3"/>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rPr>
        <w:t>6</w:t>
      </w:r>
      <w:r>
        <w:rPr>
          <w:rFonts w:hint="eastAsia" w:ascii="宋体" w:hAnsi="宋体"/>
          <w:color w:val="auto"/>
          <w:sz w:val="32"/>
          <w:szCs w:val="32"/>
          <w:highlight w:val="none"/>
        </w:rPr>
        <w:fldChar w:fldCharType="end"/>
      </w:r>
    </w:p>
    <w:p w14:paraId="70F15297">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3"/>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rPr>
        <w:t>1</w:t>
      </w:r>
      <w:r>
        <w:rPr>
          <w:rStyle w:val="243"/>
          <w:rFonts w:hint="eastAsia" w:ascii="宋体" w:hAnsi="宋体"/>
          <w:color w:val="auto"/>
          <w:sz w:val="32"/>
          <w:szCs w:val="32"/>
          <w:highlight w:val="none"/>
          <w:lang w:val="en-US" w:eastAsia="zh-CN"/>
        </w:rPr>
        <w:t>8</w:t>
      </w:r>
    </w:p>
    <w:p w14:paraId="52F50D06">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3"/>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lang w:val="en-US" w:eastAsia="zh-CN"/>
        </w:rPr>
        <w:t>39</w:t>
      </w:r>
    </w:p>
    <w:p w14:paraId="023EAF18">
      <w:pPr>
        <w:pStyle w:val="222"/>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3"/>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3"/>
          <w:rFonts w:hint="eastAsia" w:ascii="宋体" w:hAnsi="宋体"/>
          <w:color w:val="auto"/>
          <w:sz w:val="32"/>
          <w:szCs w:val="32"/>
          <w:highlight w:val="none"/>
          <w:lang w:val="en-US" w:eastAsia="zh-CN"/>
        </w:rPr>
        <w:t>44</w:t>
      </w:r>
    </w:p>
    <w:p w14:paraId="04ED4D09">
      <w:pPr>
        <w:pStyle w:val="222"/>
        <w:tabs>
          <w:tab w:val="right" w:leader="dot" w:pos="9911"/>
        </w:tabs>
        <w:spacing w:line="720" w:lineRule="auto"/>
        <w:ind w:firstLine="480"/>
        <w:rPr>
          <w:rFonts w:hint="eastAsia" w:ascii="宋体" w:eastAsia="黑体"/>
          <w:bCs/>
          <w:color w:val="auto"/>
          <w:sz w:val="32"/>
          <w:highlight w:val="none"/>
          <w:lang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3"/>
          <w:rFonts w:hint="eastAsia" w:ascii="宋体" w:hAnsi="宋体"/>
          <w:color w:val="auto"/>
          <w:sz w:val="32"/>
          <w:szCs w:val="32"/>
          <w:highlight w:val="none"/>
        </w:rPr>
        <w:t>六</w:t>
      </w:r>
      <w:r>
        <w:rPr>
          <w:rStyle w:val="243"/>
          <w:rFonts w:ascii="宋体" w:hAnsi="宋体"/>
          <w:color w:val="auto"/>
          <w:sz w:val="32"/>
          <w:szCs w:val="32"/>
          <w:highlight w:val="none"/>
        </w:rPr>
        <w:t>.</w:t>
      </w:r>
      <w:r>
        <w:rPr>
          <w:rStyle w:val="243"/>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3"/>
          <w:rFonts w:hint="eastAsia" w:ascii="宋体" w:hAnsi="宋体" w:eastAsia="黑体"/>
          <w:color w:val="auto"/>
          <w:sz w:val="32"/>
          <w:szCs w:val="32"/>
          <w:highlight w:val="none"/>
          <w:lang w:val="en-US" w:eastAsia="zh-CN"/>
        </w:rPr>
        <w:t>50</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0"/>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无锡市惠山区阳山镇人民政府</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阳山镇桃盛苑二期物业管理服务采购项目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阳山镇桃盛苑二期物业管理</w:t>
      </w:r>
      <w:bookmarkStart w:id="143" w:name="_GoBack"/>
      <w:bookmarkEnd w:id="143"/>
      <w:r>
        <w:rPr>
          <w:rFonts w:hint="eastAsia" w:ascii="宋体" w:hAnsi="宋体"/>
          <w:bCs/>
          <w:color w:val="auto"/>
          <w:sz w:val="24"/>
          <w:szCs w:val="24"/>
          <w:highlight w:val="none"/>
          <w:lang w:eastAsia="zh-CN"/>
        </w:rPr>
        <w:t>服务采购项目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JSZC-320206-JZCG-G2025-0045</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bCs/>
          <w:color w:val="auto"/>
          <w:sz w:val="24"/>
          <w:szCs w:val="24"/>
          <w:highlight w:val="none"/>
          <w:lang w:val="en-US" w:eastAsia="zh-CN"/>
        </w:rPr>
        <w:t>78.1943</w:t>
      </w:r>
      <w:r>
        <w:rPr>
          <w:rFonts w:hint="eastAsia" w:ascii="宋体" w:hAnsi="宋体"/>
          <w:bCs/>
          <w:color w:val="auto"/>
          <w:sz w:val="24"/>
          <w:szCs w:val="24"/>
          <w:highlight w:val="none"/>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最高限价：65.1619万元</w:t>
      </w:r>
    </w:p>
    <w:p w14:paraId="4DD1D21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10个月</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无锡市惠山区阳山镇人民政府</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7"/>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28</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30</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无锡市惠山区阳山镇人民政府</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址：无锡市惠山区人民西路10号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人：倪承扬</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09"/>
      <w:bookmarkStart w:id="3" w:name="_Toc28359086"/>
      <w:r>
        <w:rPr>
          <w:rFonts w:hint="eastAsia" w:ascii="宋体" w:hAnsi="宋体" w:cs="宋体"/>
          <w:color w:val="auto"/>
          <w:sz w:val="24"/>
          <w:szCs w:val="24"/>
          <w:highlight w:val="none"/>
        </w:rPr>
        <w:t>13961766198</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r>
        <w:rPr>
          <w:rFonts w:hint="eastAsia" w:ascii="宋体" w:hAnsi="宋体" w:cs="宋体"/>
          <w:color w:val="auto"/>
          <w:sz w:val="24"/>
          <w:szCs w:val="24"/>
          <w:highlight w:val="none"/>
          <w:lang w:eastAsia="zh-CN"/>
        </w:rPr>
        <w:t>、薛云涌</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rPr>
      </w:pPr>
      <w:r>
        <w:rPr>
          <w:rFonts w:hint="eastAsia" w:ascii="宋体" w:hAnsi="宋体"/>
          <w:color w:val="auto"/>
          <w:sz w:val="24"/>
          <w:szCs w:val="24"/>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0"/>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6"/>
        <w:keepNext w:val="0"/>
        <w:keepLines w:val="0"/>
        <w:spacing w:before="0" w:after="0"/>
        <w:ind w:left="0" w:leftChars="0" w:firstLine="643" w:firstLineChars="0"/>
        <w:rPr>
          <w:color w:val="auto"/>
          <w:szCs w:val="32"/>
          <w:highlight w:val="none"/>
        </w:rPr>
      </w:pPr>
      <w:bookmarkStart w:id="5" w:name="_Toc513029203"/>
      <w:bookmarkStart w:id="6" w:name="_Toc16938519"/>
      <w:bookmarkStart w:id="7" w:name="_Toc120614214"/>
      <w:bookmarkStart w:id="8" w:name="_Toc20823275"/>
      <w:r>
        <w:rPr>
          <w:rFonts w:hint="eastAsia"/>
          <w:color w:val="auto"/>
          <w:szCs w:val="32"/>
          <w:highlight w:val="none"/>
        </w:rPr>
        <w:t>一、总则</w:t>
      </w:r>
      <w:bookmarkEnd w:id="5"/>
      <w:bookmarkEnd w:id="6"/>
      <w:bookmarkEnd w:id="7"/>
      <w:bookmarkEnd w:id="8"/>
    </w:p>
    <w:p w14:paraId="0AC8AD17">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16938520"/>
      <w:bookmarkStart w:id="11" w:name="_Toc513029204"/>
      <w:bookmarkStart w:id="12" w:name="_Toc20823276"/>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20823277"/>
      <w:bookmarkStart w:id="14" w:name="_Toc16938521"/>
      <w:bookmarkStart w:id="15" w:name="_Toc513029205"/>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16938522"/>
      <w:bookmarkStart w:id="17" w:name="_Toc20823278"/>
      <w:bookmarkStart w:id="18" w:name="_Toc513029206"/>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16938523"/>
      <w:bookmarkStart w:id="20" w:name="_Toc462564067"/>
      <w:bookmarkStart w:id="21" w:name="_Toc20823279"/>
      <w:bookmarkStart w:id="22" w:name="_Toc513029207"/>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6"/>
        <w:keepNext w:val="0"/>
        <w:keepLines w:val="0"/>
        <w:spacing w:before="0" w:after="0" w:line="500" w:lineRule="exact"/>
        <w:jc w:val="center"/>
        <w:rPr>
          <w:rFonts w:hint="eastAsia"/>
          <w:i w:val="0"/>
          <w:iCs w:val="0"/>
          <w:color w:val="auto"/>
          <w:sz w:val="32"/>
          <w:szCs w:val="32"/>
          <w:highlight w:val="none"/>
        </w:rPr>
      </w:pPr>
      <w:bookmarkStart w:id="23" w:name="_Toc120614215"/>
      <w:bookmarkStart w:id="24" w:name="_Toc16938525"/>
      <w:bookmarkStart w:id="25" w:name="_Toc513029209"/>
      <w:bookmarkStart w:id="26" w:name="_Toc20823281"/>
      <w:r>
        <w:rPr>
          <w:rFonts w:hint="eastAsia"/>
          <w:i w:val="0"/>
          <w:iCs w:val="0"/>
          <w:color w:val="auto"/>
          <w:sz w:val="32"/>
          <w:szCs w:val="32"/>
          <w:highlight w:val="none"/>
        </w:rPr>
        <w:t>二、招标文件</w:t>
      </w:r>
      <w:bookmarkEnd w:id="23"/>
      <w:bookmarkEnd w:id="24"/>
      <w:bookmarkEnd w:id="25"/>
      <w:bookmarkEnd w:id="26"/>
    </w:p>
    <w:p w14:paraId="7C98BEF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16938526"/>
      <w:bookmarkStart w:id="28" w:name="_Toc20823282"/>
      <w:bookmarkStart w:id="29" w:name="_Toc513029210"/>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16938527"/>
      <w:bookmarkStart w:id="32" w:name="_Toc20823283"/>
      <w:bookmarkStart w:id="33" w:name="_Toc462564070"/>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462564071"/>
      <w:bookmarkStart w:id="35" w:name="_Toc20823284"/>
      <w:bookmarkStart w:id="36" w:name="_Toc513029212"/>
      <w:bookmarkStart w:id="37" w:name="_Toc16938528"/>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6"/>
        <w:keepNext w:val="0"/>
        <w:keepLines w:val="0"/>
        <w:spacing w:before="0" w:after="0" w:line="500" w:lineRule="exact"/>
        <w:jc w:val="center"/>
        <w:rPr>
          <w:rFonts w:hint="eastAsia"/>
          <w:i w:val="0"/>
          <w:iCs w:val="0"/>
          <w:color w:val="auto"/>
          <w:sz w:val="32"/>
          <w:szCs w:val="32"/>
          <w:highlight w:val="none"/>
        </w:rPr>
      </w:pPr>
      <w:bookmarkStart w:id="38" w:name="_Toc120614216"/>
      <w:bookmarkStart w:id="39" w:name="_Toc513029213"/>
      <w:bookmarkStart w:id="40" w:name="_Toc462564072"/>
      <w:bookmarkStart w:id="41" w:name="_Toc16938529"/>
      <w:bookmarkStart w:id="42" w:name="_Toc20823285"/>
      <w:r>
        <w:rPr>
          <w:rFonts w:hint="eastAsia"/>
          <w:i w:val="0"/>
          <w:iCs w:val="0"/>
          <w:color w:val="auto"/>
          <w:sz w:val="32"/>
          <w:szCs w:val="32"/>
          <w:highlight w:val="none"/>
        </w:rPr>
        <w:t>三、投标文件的编制</w:t>
      </w:r>
      <w:bookmarkEnd w:id="38"/>
      <w:bookmarkEnd w:id="39"/>
      <w:bookmarkEnd w:id="40"/>
      <w:bookmarkEnd w:id="41"/>
      <w:bookmarkEnd w:id="42"/>
    </w:p>
    <w:p w14:paraId="6CA59F8B">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3" w:name="_Toc513029214"/>
      <w:bookmarkStart w:id="44" w:name="_Toc462564073"/>
      <w:bookmarkStart w:id="45" w:name="_Toc16938530"/>
      <w:bookmarkStart w:id="46" w:name="_Toc20823286"/>
      <w:r>
        <w:rPr>
          <w:rFonts w:hint="eastAsia" w:ascii="宋体" w:hAnsi="宋体" w:eastAsia="宋体"/>
          <w:bCs w:val="0"/>
          <w:i w:val="0"/>
          <w:iCs w:val="0"/>
          <w:color w:val="auto"/>
          <w:sz w:val="24"/>
          <w:szCs w:val="24"/>
          <w:highlight w:val="none"/>
        </w:rPr>
        <w:t>9.投标文件的语言及度量衡单位</w:t>
      </w:r>
      <w:bookmarkEnd w:id="43"/>
      <w:bookmarkEnd w:id="44"/>
      <w:bookmarkEnd w:id="45"/>
      <w:bookmarkEnd w:id="46"/>
    </w:p>
    <w:p w14:paraId="2D5E73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9.1</w:t>
      </w:r>
      <w:r>
        <w:rPr>
          <w:rFonts w:hint="eastAsia" w:ascii="宋体" w:hAnsi="宋体"/>
          <w:i w:val="0"/>
          <w:iCs w:val="0"/>
          <w:color w:val="auto"/>
          <w:sz w:val="24"/>
          <w:szCs w:val="24"/>
          <w:highlight w:val="none"/>
        </w:rPr>
        <w:t>投标人提交的投标文件以及投标人与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就有关投标的所有来往通知、函件和文件均应使用</w:t>
      </w:r>
      <w:r>
        <w:rPr>
          <w:rFonts w:hint="eastAsia" w:ascii="宋体" w:hAnsi="宋体"/>
          <w:bCs/>
          <w:i w:val="0"/>
          <w:iCs w:val="0"/>
          <w:color w:val="auto"/>
          <w:sz w:val="24"/>
          <w:szCs w:val="24"/>
          <w:highlight w:val="none"/>
        </w:rPr>
        <w:t>简体中文（规格、型号辅助符号例外）</w:t>
      </w:r>
      <w:r>
        <w:rPr>
          <w:rFonts w:hint="eastAsia" w:ascii="宋体" w:hAnsi="宋体"/>
          <w:i w:val="0"/>
          <w:iCs w:val="0"/>
          <w:color w:val="auto"/>
          <w:sz w:val="24"/>
          <w:szCs w:val="24"/>
          <w:highlight w:val="none"/>
        </w:rPr>
        <w:t>。</w:t>
      </w:r>
    </w:p>
    <w:p w14:paraId="1C4F21FB">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9.2</w:t>
      </w:r>
      <w:r>
        <w:rPr>
          <w:rFonts w:hint="eastAsia" w:ascii="宋体" w:hAnsi="宋体"/>
          <w:i w:val="0"/>
          <w:iCs w:val="0"/>
          <w:color w:val="auto"/>
          <w:sz w:val="24"/>
          <w:szCs w:val="24"/>
          <w:highlight w:val="none"/>
        </w:rPr>
        <w:t>除技术性能另有规定外，投标文件所使用的度量衡单位，均须采用国家法定计量单位。</w:t>
      </w:r>
    </w:p>
    <w:p w14:paraId="0AD17D3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2B66418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7ADF886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9.7投标费用自理。</w:t>
      </w:r>
    </w:p>
    <w:p w14:paraId="7B1EB53B">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w:t>
      </w:r>
      <w:r>
        <w:rPr>
          <w:rFonts w:hint="eastAsia" w:ascii="宋体" w:hAnsi="宋体"/>
          <w:i w:val="0"/>
          <w:iCs w:val="0"/>
          <w:color w:val="auto"/>
          <w:sz w:val="24"/>
          <w:szCs w:val="24"/>
          <w:highlight w:val="none"/>
          <w:lang w:eastAsia="zh-CN"/>
        </w:rPr>
        <w:t>需</w:t>
      </w:r>
      <w:r>
        <w:rPr>
          <w:rFonts w:hint="eastAsia" w:ascii="宋体" w:hAnsi="宋体"/>
          <w:i w:val="0"/>
          <w:iCs w:val="0"/>
          <w:color w:val="auto"/>
          <w:sz w:val="24"/>
          <w:szCs w:val="24"/>
          <w:highlight w:val="none"/>
        </w:rPr>
        <w:t>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7" w:name="_Hlt26670360"/>
      <w:bookmarkEnd w:id="47"/>
      <w:bookmarkStart w:id="48" w:name="_Hlt26954838"/>
      <w:bookmarkEnd w:id="48"/>
      <w:bookmarkStart w:id="49" w:name="_Hlt26668975"/>
      <w:bookmarkEnd w:id="49"/>
      <w:bookmarkStart w:id="50" w:name="_Toc49090509"/>
      <w:bookmarkStart w:id="51" w:name="_Toc14577357"/>
      <w:bookmarkStart w:id="52" w:name="_Toc513029219"/>
      <w:bookmarkStart w:id="53" w:name="_Toc14577354"/>
      <w:bookmarkStart w:id="54" w:name="_Toc49090507"/>
      <w:bookmarkStart w:id="55" w:name="_Toc513029216"/>
      <w:r>
        <w:rPr>
          <w:rFonts w:hint="eastAsia" w:ascii="宋体" w:hAnsi="宋体" w:eastAsia="宋体"/>
          <w:bCs w:val="0"/>
          <w:i w:val="0"/>
          <w:iCs w:val="0"/>
          <w:color w:val="auto"/>
          <w:sz w:val="24"/>
          <w:szCs w:val="24"/>
          <w:highlight w:val="none"/>
        </w:rPr>
        <w:t>11.证明投标人及投标标的符合招标文件规定的文件</w:t>
      </w:r>
      <w:bookmarkEnd w:id="50"/>
      <w:bookmarkEnd w:id="51"/>
      <w:bookmarkEnd w:id="52"/>
    </w:p>
    <w:bookmarkEnd w:id="53"/>
    <w:bookmarkEnd w:id="54"/>
    <w:bookmarkEnd w:id="55"/>
    <w:p w14:paraId="09C9178E">
      <w:pPr>
        <w:spacing w:line="500" w:lineRule="exact"/>
        <w:ind w:firstLine="480"/>
        <w:rPr>
          <w:rFonts w:hint="eastAsia" w:ascii="宋体" w:hAnsi="宋体"/>
          <w:bCs/>
          <w:i w:val="0"/>
          <w:iCs w:val="0"/>
          <w:color w:val="auto"/>
          <w:sz w:val="24"/>
          <w:szCs w:val="24"/>
          <w:highlight w:val="none"/>
        </w:rPr>
      </w:pPr>
      <w:bookmarkStart w:id="56" w:name="_Toc14577355"/>
      <w:bookmarkStart w:id="57" w:name="_Toc49090508"/>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8" w:name="_Toc14577359"/>
      <w:bookmarkStart w:id="59"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58"/>
    <w:bookmarkEnd w:id="59"/>
    <w:p w14:paraId="5AD02F31">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56"/>
      <w:bookmarkEnd w:id="57"/>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0" w:name="_Hlt26954840"/>
      <w:bookmarkEnd w:id="60"/>
      <w:r>
        <w:rPr>
          <w:rFonts w:hint="eastAsia" w:ascii="宋体" w:hAnsi="宋体"/>
          <w:i w:val="0"/>
          <w:iCs w:val="0"/>
          <w:color w:val="auto"/>
          <w:sz w:val="24"/>
          <w:szCs w:val="24"/>
          <w:highlight w:val="none"/>
        </w:rPr>
        <w:t>标人应按照招标文件规定格式填报</w:t>
      </w:r>
      <w:bookmarkStart w:id="61" w:name="_Hlt26670399"/>
      <w:bookmarkEnd w:id="61"/>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Hlt26668983"/>
      <w:bookmarkEnd w:id="62"/>
      <w:bookmarkStart w:id="63" w:name="_Hlt26670403"/>
      <w:bookmarkEnd w:id="63"/>
      <w:bookmarkStart w:id="64" w:name="_Hlt26954846"/>
      <w:bookmarkEnd w:id="64"/>
      <w:bookmarkStart w:id="65" w:name="_Hlt26954844"/>
      <w:bookmarkEnd w:id="65"/>
      <w:bookmarkStart w:id="66" w:name="_Hlt26954848"/>
      <w:bookmarkEnd w:id="66"/>
      <w:bookmarkStart w:id="67" w:name="_Hlt26670425"/>
      <w:bookmarkEnd w:id="67"/>
      <w:bookmarkStart w:id="68" w:name="_Hlt26954731"/>
      <w:bookmarkEnd w:id="68"/>
      <w:bookmarkStart w:id="69" w:name="_Hlt26670482"/>
      <w:bookmarkEnd w:id="69"/>
      <w:bookmarkStart w:id="70" w:name="_Hlt26670486"/>
      <w:bookmarkEnd w:id="70"/>
      <w:bookmarkStart w:id="71" w:name="_Hlt26954842"/>
      <w:bookmarkEnd w:id="71"/>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2" w:name="_Hlt26670489"/>
      <w:bookmarkEnd w:id="72"/>
      <w:bookmarkStart w:id="73" w:name="_Hlt26954734"/>
      <w:bookmarkEnd w:id="73"/>
      <w:bookmarkStart w:id="74" w:name="_Hlt26954850"/>
      <w:bookmarkEnd w:id="74"/>
      <w:bookmarkStart w:id="75" w:name="_Toc14577360"/>
      <w:bookmarkStart w:id="76" w:name="_Toc49090511"/>
      <w:r>
        <w:rPr>
          <w:rFonts w:hint="eastAsia" w:ascii="宋体" w:hAnsi="宋体" w:eastAsia="宋体"/>
          <w:bCs w:val="0"/>
          <w:i w:val="0"/>
          <w:iCs w:val="0"/>
          <w:color w:val="auto"/>
          <w:sz w:val="24"/>
          <w:szCs w:val="24"/>
          <w:highlight w:val="none"/>
        </w:rPr>
        <w:t>15.投标有效期</w:t>
      </w:r>
      <w:bookmarkEnd w:id="75"/>
      <w:bookmarkEnd w:id="76"/>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6"/>
        <w:keepNext w:val="0"/>
        <w:keepLines w:val="0"/>
        <w:spacing w:before="0" w:after="0" w:line="500" w:lineRule="exact"/>
        <w:jc w:val="center"/>
        <w:rPr>
          <w:rFonts w:hint="eastAsia"/>
          <w:i w:val="0"/>
          <w:iCs w:val="0"/>
          <w:color w:val="auto"/>
          <w:sz w:val="32"/>
          <w:szCs w:val="32"/>
          <w:highlight w:val="none"/>
        </w:rPr>
      </w:pPr>
      <w:bookmarkStart w:id="77" w:name="_Hlt26954739"/>
      <w:bookmarkEnd w:id="77"/>
      <w:bookmarkStart w:id="78" w:name="_Hlt26954852"/>
      <w:bookmarkEnd w:id="78"/>
      <w:bookmarkStart w:id="79" w:name="_Toc120614217"/>
      <w:bookmarkStart w:id="80" w:name="_Toc20823296"/>
      <w:bookmarkStart w:id="81" w:name="_Toc16938540"/>
      <w:bookmarkStart w:id="82" w:name="_Toc513029224"/>
      <w:r>
        <w:rPr>
          <w:rFonts w:hint="eastAsia"/>
          <w:i w:val="0"/>
          <w:iCs w:val="0"/>
          <w:color w:val="auto"/>
          <w:sz w:val="32"/>
          <w:szCs w:val="32"/>
          <w:highlight w:val="none"/>
        </w:rPr>
        <w:t>四、投标文件的递交</w:t>
      </w:r>
      <w:bookmarkEnd w:id="79"/>
      <w:bookmarkEnd w:id="80"/>
      <w:bookmarkEnd w:id="81"/>
      <w:bookmarkEnd w:id="82"/>
    </w:p>
    <w:p w14:paraId="0087F770">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3" w:name="_Toc513029225"/>
      <w:bookmarkStart w:id="84" w:name="_Toc20823297"/>
      <w:bookmarkStart w:id="85" w:name="_Toc16938541"/>
      <w:bookmarkStart w:id="86" w:name="_Toc462564084"/>
      <w:r>
        <w:rPr>
          <w:rFonts w:hint="eastAsia" w:ascii="宋体" w:hAnsi="宋体" w:eastAsia="宋体"/>
          <w:bCs w:val="0"/>
          <w:i w:val="0"/>
          <w:iCs w:val="0"/>
          <w:color w:val="auto"/>
          <w:sz w:val="24"/>
          <w:szCs w:val="24"/>
          <w:highlight w:val="none"/>
        </w:rPr>
        <w:t>17.投标文件</w:t>
      </w:r>
      <w:bookmarkEnd w:id="83"/>
      <w:bookmarkEnd w:id="84"/>
      <w:bookmarkEnd w:id="85"/>
      <w:bookmarkEnd w:id="86"/>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79"/>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87" w:name="_Toc16938542"/>
      <w:bookmarkStart w:id="88" w:name="_Toc513029226"/>
      <w:bookmarkStart w:id="89" w:name="_Toc20823298"/>
    </w:p>
    <w:p w14:paraId="2ECB804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87"/>
      <w:bookmarkEnd w:id="88"/>
      <w:bookmarkEnd w:id="89"/>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0" w:name="_Toc16938543"/>
      <w:bookmarkStart w:id="91" w:name="_Toc513029227"/>
      <w:bookmarkStart w:id="92" w:name="_Toc20823299"/>
      <w:r>
        <w:rPr>
          <w:rFonts w:hint="eastAsia" w:ascii="宋体" w:hAnsi="宋体" w:eastAsia="宋体"/>
          <w:bCs w:val="0"/>
          <w:i w:val="0"/>
          <w:iCs w:val="0"/>
          <w:color w:val="auto"/>
          <w:sz w:val="24"/>
          <w:szCs w:val="24"/>
          <w:highlight w:val="none"/>
        </w:rPr>
        <w:t>19.投标文件</w:t>
      </w:r>
      <w:bookmarkEnd w:id="90"/>
      <w:bookmarkEnd w:id="91"/>
      <w:bookmarkEnd w:id="92"/>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3" w:name="_Toc16938544"/>
      <w:bookmarkStart w:id="94" w:name="_Toc20823300"/>
      <w:bookmarkStart w:id="95" w:name="_Toc513029228"/>
      <w:r>
        <w:rPr>
          <w:rFonts w:hint="eastAsia" w:ascii="宋体" w:hAnsi="宋体" w:eastAsia="宋体"/>
          <w:bCs w:val="0"/>
          <w:i w:val="0"/>
          <w:iCs w:val="0"/>
          <w:color w:val="auto"/>
          <w:sz w:val="24"/>
          <w:szCs w:val="24"/>
          <w:highlight w:val="none"/>
        </w:rPr>
        <w:t>20.投标文件的撤回和修改</w:t>
      </w:r>
      <w:bookmarkEnd w:id="93"/>
      <w:bookmarkEnd w:id="94"/>
      <w:bookmarkEnd w:id="95"/>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6"/>
        <w:keepNext w:val="0"/>
        <w:keepLines w:val="0"/>
        <w:spacing w:before="0" w:after="0" w:line="500" w:lineRule="exact"/>
        <w:jc w:val="center"/>
        <w:rPr>
          <w:rFonts w:hint="eastAsia"/>
          <w:i w:val="0"/>
          <w:iCs w:val="0"/>
          <w:color w:val="auto"/>
          <w:sz w:val="32"/>
          <w:szCs w:val="32"/>
          <w:highlight w:val="none"/>
        </w:rPr>
      </w:pPr>
      <w:bookmarkStart w:id="96" w:name="_Toc513029229"/>
      <w:bookmarkStart w:id="97" w:name="_Toc120614218"/>
      <w:bookmarkStart w:id="98" w:name="_Toc20823301"/>
      <w:bookmarkStart w:id="99" w:name="_Toc16938545"/>
      <w:r>
        <w:rPr>
          <w:rFonts w:hint="eastAsia"/>
          <w:i w:val="0"/>
          <w:iCs w:val="0"/>
          <w:color w:val="auto"/>
          <w:sz w:val="32"/>
          <w:szCs w:val="32"/>
          <w:highlight w:val="none"/>
        </w:rPr>
        <w:t>五、开标与评标</w:t>
      </w:r>
      <w:bookmarkEnd w:id="96"/>
      <w:bookmarkEnd w:id="97"/>
      <w:bookmarkEnd w:id="98"/>
      <w:bookmarkEnd w:id="99"/>
    </w:p>
    <w:p w14:paraId="5B13937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0" w:name="_Toc16938546"/>
      <w:bookmarkStart w:id="101" w:name="_Toc513029230"/>
      <w:bookmarkStart w:id="102" w:name="_Toc20823302"/>
      <w:r>
        <w:rPr>
          <w:rFonts w:hint="eastAsia" w:ascii="宋体" w:hAnsi="宋体" w:eastAsia="宋体"/>
          <w:bCs w:val="0"/>
          <w:i w:val="0"/>
          <w:iCs w:val="0"/>
          <w:color w:val="auto"/>
          <w:sz w:val="24"/>
          <w:szCs w:val="24"/>
          <w:highlight w:val="none"/>
        </w:rPr>
        <w:t>21.开标</w:t>
      </w:r>
      <w:bookmarkEnd w:id="100"/>
      <w:bookmarkEnd w:id="101"/>
      <w:bookmarkEnd w:id="102"/>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3" w:name="_Toc20823303"/>
      <w:bookmarkStart w:id="104" w:name="_Toc513029231"/>
      <w:bookmarkStart w:id="105"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3"/>
    <w:bookmarkEnd w:id="104"/>
    <w:bookmarkEnd w:id="105"/>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6" w:name="_Toc513029232"/>
      <w:bookmarkStart w:id="107" w:name="_Toc16938548"/>
      <w:bookmarkStart w:id="108" w:name="_Toc20823304"/>
      <w:r>
        <w:rPr>
          <w:rFonts w:hint="eastAsia" w:ascii="宋体" w:hAnsi="宋体" w:eastAsia="宋体"/>
          <w:bCs w:val="0"/>
          <w:i w:val="0"/>
          <w:iCs w:val="0"/>
          <w:color w:val="auto"/>
          <w:sz w:val="24"/>
          <w:szCs w:val="24"/>
          <w:highlight w:val="none"/>
        </w:rPr>
        <w:t>24.投标文件的澄清</w:t>
      </w:r>
      <w:bookmarkEnd w:id="106"/>
      <w:bookmarkEnd w:id="107"/>
      <w:bookmarkEnd w:id="108"/>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9" w:name="_Toc513029233"/>
      <w:bookmarkStart w:id="110" w:name="_Toc16938549"/>
      <w:bookmarkStart w:id="111" w:name="_Toc20823305"/>
      <w:r>
        <w:rPr>
          <w:rFonts w:hint="eastAsia" w:ascii="宋体" w:hAnsi="宋体" w:eastAsia="宋体"/>
          <w:bCs w:val="0"/>
          <w:i w:val="0"/>
          <w:iCs w:val="0"/>
          <w:color w:val="auto"/>
          <w:sz w:val="24"/>
          <w:szCs w:val="24"/>
          <w:highlight w:val="none"/>
        </w:rPr>
        <w:t>25.对投标文件的初审</w:t>
      </w:r>
      <w:bookmarkEnd w:id="109"/>
      <w:bookmarkEnd w:id="110"/>
      <w:bookmarkEnd w:id="111"/>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2" w:name="_Toc513029234"/>
      <w:bookmarkStart w:id="113" w:name="_Toc20823306"/>
      <w:bookmarkStart w:id="114" w:name="_Toc16938550"/>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2"/>
      <w:bookmarkEnd w:id="113"/>
      <w:bookmarkEnd w:id="114"/>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5" w:name="_Toc20823307"/>
      <w:bookmarkStart w:id="116" w:name="_Toc16938551"/>
      <w:bookmarkStart w:id="117"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7C69DF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26.1.22评审过程中出现下列情形之一的，评审委员会</w:t>
      </w:r>
      <w:r>
        <w:rPr>
          <w:rFonts w:hint="eastAsia" w:ascii="宋体" w:hAnsi="宋体"/>
          <w:bCs/>
          <w:i w:val="0"/>
          <w:iCs w:val="0"/>
          <w:color w:val="auto"/>
          <w:sz w:val="24"/>
          <w:szCs w:val="24"/>
          <w:highlight w:val="none"/>
          <w:lang w:eastAsia="zh-CN"/>
        </w:rPr>
        <w:t>将</w:t>
      </w:r>
      <w:r>
        <w:rPr>
          <w:rFonts w:hint="eastAsia" w:ascii="宋体" w:hAnsi="宋体"/>
          <w:bCs/>
          <w:i w:val="0"/>
          <w:iCs w:val="0"/>
          <w:color w:val="auto"/>
          <w:sz w:val="24"/>
          <w:szCs w:val="24"/>
          <w:highlight w:val="none"/>
        </w:rPr>
        <w:t>启动异常低价投标（响应）审查程序：</w:t>
      </w:r>
    </w:p>
    <w:p w14:paraId="614A8313">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a</w:t>
      </w:r>
      <w:r>
        <w:rPr>
          <w:rFonts w:hint="eastAsia" w:ascii="宋体" w:hAnsi="宋体"/>
          <w:bCs/>
          <w:i w:val="0"/>
          <w:iCs w:val="0"/>
          <w:color w:val="auto"/>
          <w:sz w:val="24"/>
          <w:szCs w:val="24"/>
          <w:highlight w:val="none"/>
        </w:rPr>
        <w:t>．投标（响应）报价低于采购项目预算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的，即投标（响应）报价</w:t>
      </w:r>
      <w:r>
        <w:rPr>
          <w:rFonts w:hint="default" w:ascii="宋体" w:hAnsi="宋体"/>
          <w:bCs/>
          <w:i w:val="0"/>
          <w:iCs w:val="0"/>
          <w:color w:val="auto"/>
          <w:sz w:val="24"/>
          <w:szCs w:val="24"/>
          <w:highlight w:val="none"/>
        </w:rPr>
        <w:t>&lt;</w:t>
      </w:r>
      <w:r>
        <w:rPr>
          <w:rFonts w:hint="eastAsia" w:ascii="宋体" w:hAnsi="宋体"/>
          <w:bCs/>
          <w:i w:val="0"/>
          <w:iCs w:val="0"/>
          <w:color w:val="auto"/>
          <w:sz w:val="24"/>
          <w:szCs w:val="24"/>
          <w:highlight w:val="none"/>
        </w:rPr>
        <w:t>采购项目预算×</w:t>
      </w:r>
      <w:r>
        <w:rPr>
          <w:rFonts w:hint="default" w:ascii="宋体" w:hAnsi="宋体"/>
          <w:bCs/>
          <w:i w:val="0"/>
          <w:iCs w:val="0"/>
          <w:color w:val="auto"/>
          <w:sz w:val="24"/>
          <w:szCs w:val="24"/>
          <w:highlight w:val="none"/>
        </w:rPr>
        <w:t>50%</w:t>
      </w:r>
      <w:r>
        <w:rPr>
          <w:rFonts w:hint="eastAsia" w:ascii="宋体" w:hAnsi="宋体"/>
          <w:bCs/>
          <w:i w:val="0"/>
          <w:iCs w:val="0"/>
          <w:color w:val="auto"/>
          <w:sz w:val="24"/>
          <w:szCs w:val="24"/>
          <w:highlight w:val="none"/>
        </w:rPr>
        <w:t>；</w:t>
      </w:r>
    </w:p>
    <w:p w14:paraId="48C60DD5">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b</w:t>
      </w:r>
      <w:r>
        <w:rPr>
          <w:rFonts w:hint="eastAsia" w:ascii="宋体" w:hAnsi="宋体"/>
          <w:bCs/>
          <w:i w:val="0"/>
          <w:iCs w:val="0"/>
          <w:color w:val="auto"/>
          <w:sz w:val="24"/>
          <w:szCs w:val="24"/>
          <w:highlight w:val="none"/>
        </w:rPr>
        <w:t>．投标（响应）报价低于采购项目最高限价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的，即投标（响应）报价&lt;采购项目最高限价×</w:t>
      </w:r>
      <w:r>
        <w:rPr>
          <w:rFonts w:hint="default" w:ascii="宋体" w:hAnsi="宋体"/>
          <w:bCs/>
          <w:i w:val="0"/>
          <w:iCs w:val="0"/>
          <w:color w:val="auto"/>
          <w:sz w:val="24"/>
          <w:szCs w:val="24"/>
          <w:highlight w:val="none"/>
        </w:rPr>
        <w:t>45%</w:t>
      </w:r>
      <w:r>
        <w:rPr>
          <w:rFonts w:hint="eastAsia" w:ascii="宋体" w:hAnsi="宋体"/>
          <w:bCs/>
          <w:i w:val="0"/>
          <w:iCs w:val="0"/>
          <w:color w:val="auto"/>
          <w:sz w:val="24"/>
          <w:szCs w:val="24"/>
          <w:highlight w:val="none"/>
        </w:rPr>
        <w:t>；</w:t>
      </w:r>
    </w:p>
    <w:p w14:paraId="1D676FEF">
      <w:pPr>
        <w:spacing w:line="500" w:lineRule="exact"/>
        <w:ind w:firstLine="480"/>
        <w:rPr>
          <w:rFonts w:hint="default"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c</w:t>
      </w:r>
      <w:r>
        <w:rPr>
          <w:rFonts w:hint="default" w:ascii="宋体" w:hAnsi="宋体"/>
          <w:bCs/>
          <w:i w:val="0"/>
          <w:iCs w:val="0"/>
          <w:color w:val="auto"/>
          <w:sz w:val="24"/>
          <w:szCs w:val="24"/>
          <w:highlight w:val="none"/>
        </w:rPr>
        <w:t>.</w:t>
      </w:r>
      <w:r>
        <w:rPr>
          <w:rFonts w:hint="eastAsia" w:ascii="宋体" w:hAnsi="宋体"/>
          <w:bCs/>
          <w:i w:val="0"/>
          <w:iCs w:val="0"/>
          <w:color w:val="auto"/>
          <w:sz w:val="24"/>
          <w:szCs w:val="24"/>
          <w:highlight w:val="none"/>
        </w:rPr>
        <w:t>评审委员会认定的供应商报价过低、有可能影响产品质量或者不能诚信履约的其他情形。</w:t>
      </w:r>
    </w:p>
    <w:p w14:paraId="3C83362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6"/>
        <w:keepNext w:val="0"/>
        <w:keepLines w:val="0"/>
        <w:spacing w:before="0" w:after="0" w:line="500" w:lineRule="exact"/>
        <w:jc w:val="center"/>
        <w:rPr>
          <w:rFonts w:hint="eastAsia"/>
          <w:i w:val="0"/>
          <w:iCs w:val="0"/>
          <w:color w:val="auto"/>
          <w:sz w:val="32"/>
          <w:szCs w:val="32"/>
          <w:highlight w:val="none"/>
        </w:rPr>
      </w:pPr>
      <w:bookmarkStart w:id="118" w:name="_Toc120614219"/>
      <w:r>
        <w:rPr>
          <w:rFonts w:hint="eastAsia"/>
          <w:i w:val="0"/>
          <w:iCs w:val="0"/>
          <w:color w:val="auto"/>
          <w:sz w:val="32"/>
          <w:szCs w:val="32"/>
          <w:highlight w:val="none"/>
        </w:rPr>
        <w:t>六、</w:t>
      </w:r>
      <w:bookmarkEnd w:id="115"/>
      <w:bookmarkEnd w:id="116"/>
      <w:bookmarkEnd w:id="117"/>
      <w:r>
        <w:rPr>
          <w:rFonts w:hint="eastAsia"/>
          <w:i w:val="0"/>
          <w:iCs w:val="0"/>
          <w:color w:val="auto"/>
          <w:sz w:val="32"/>
          <w:szCs w:val="32"/>
          <w:highlight w:val="none"/>
        </w:rPr>
        <w:t>定标</w:t>
      </w:r>
      <w:bookmarkEnd w:id="118"/>
    </w:p>
    <w:p w14:paraId="1095B432">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9" w:name="_Toc513029238"/>
      <w:bookmarkStart w:id="120" w:name="_Toc20823310"/>
      <w:bookmarkStart w:id="121" w:name="_Toc16938554"/>
      <w:r>
        <w:rPr>
          <w:rFonts w:hint="eastAsia" w:ascii="宋体" w:hAnsi="宋体" w:eastAsia="宋体"/>
          <w:bCs w:val="0"/>
          <w:i w:val="0"/>
          <w:iCs w:val="0"/>
          <w:color w:val="auto"/>
          <w:sz w:val="24"/>
          <w:szCs w:val="24"/>
          <w:highlight w:val="none"/>
        </w:rPr>
        <w:t>27、</w:t>
      </w:r>
      <w:bookmarkEnd w:id="119"/>
      <w:r>
        <w:rPr>
          <w:rFonts w:hint="eastAsia" w:ascii="宋体" w:hAnsi="宋体" w:eastAsia="宋体"/>
          <w:bCs w:val="0"/>
          <w:i w:val="0"/>
          <w:iCs w:val="0"/>
          <w:color w:val="auto"/>
          <w:sz w:val="24"/>
          <w:szCs w:val="24"/>
          <w:highlight w:val="none"/>
        </w:rPr>
        <w:t>确定</w:t>
      </w:r>
      <w:bookmarkEnd w:id="120"/>
      <w:bookmarkEnd w:id="121"/>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2"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2"/>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6"/>
        <w:keepNext w:val="0"/>
        <w:keepLines w:val="0"/>
        <w:spacing w:before="0" w:after="0" w:line="500" w:lineRule="exact"/>
        <w:jc w:val="center"/>
        <w:rPr>
          <w:rFonts w:hint="eastAsia"/>
          <w:i w:val="0"/>
          <w:iCs w:val="0"/>
          <w:color w:val="auto"/>
          <w:sz w:val="32"/>
          <w:szCs w:val="32"/>
          <w:highlight w:val="none"/>
        </w:rPr>
      </w:pPr>
      <w:bookmarkStart w:id="123" w:name="_Toc120614220"/>
      <w:bookmarkStart w:id="124" w:name="_Toc16938552"/>
      <w:bookmarkStart w:id="125" w:name="_Toc20823308"/>
      <w:bookmarkStart w:id="126" w:name="_Toc513029236"/>
      <w:r>
        <w:rPr>
          <w:rFonts w:hint="eastAsia"/>
          <w:i w:val="0"/>
          <w:iCs w:val="0"/>
          <w:color w:val="auto"/>
          <w:sz w:val="32"/>
          <w:szCs w:val="32"/>
          <w:highlight w:val="none"/>
        </w:rPr>
        <w:t>七、授予合同</w:t>
      </w:r>
      <w:bookmarkEnd w:id="123"/>
    </w:p>
    <w:bookmarkEnd w:id="124"/>
    <w:bookmarkEnd w:id="125"/>
    <w:bookmarkEnd w:id="126"/>
    <w:p w14:paraId="78ED8046">
      <w:pPr>
        <w:pStyle w:val="369"/>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0"/>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404A974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Times New Roman"/>
          <w:b w:val="0"/>
          <w:bCs/>
          <w:color w:val="auto"/>
          <w:sz w:val="24"/>
          <w:szCs w:val="20"/>
          <w:lang w:eastAsia="zh-CN"/>
        </w:rPr>
      </w:pPr>
      <w:r>
        <w:rPr>
          <w:rFonts w:hint="eastAsia" w:ascii="宋体" w:hAnsi="宋体" w:eastAsia="宋体" w:cs="Times New Roman"/>
          <w:b w:val="0"/>
          <w:bCs/>
          <w:color w:val="auto"/>
          <w:sz w:val="24"/>
          <w:szCs w:val="20"/>
          <w:lang w:eastAsia="zh-CN"/>
        </w:rPr>
        <w:t>投标供应商所投内容必须满足以下要求，不得有负偏离：</w:t>
      </w:r>
    </w:p>
    <w:p w14:paraId="15EBC5A3">
      <w:pPr>
        <w:keepNext w:val="0"/>
        <w:keepLines w:val="0"/>
        <w:pageBreakBefore w:val="0"/>
        <w:widowControl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hint="eastAsia" w:ascii="宋体" w:hAnsi="宋体" w:eastAsia="宋体" w:cs="Times New Roman"/>
          <w:b/>
          <w:color w:val="auto"/>
          <w:sz w:val="24"/>
          <w:szCs w:val="24"/>
          <w:highlight w:val="none"/>
        </w:rPr>
      </w:pPr>
      <w:bookmarkStart w:id="127" w:name="_Toc36414913"/>
      <w:bookmarkStart w:id="128" w:name="_Toc39873222"/>
      <w:bookmarkStart w:id="129" w:name="_Toc49115870"/>
      <w:r>
        <w:rPr>
          <w:rFonts w:hint="eastAsia" w:ascii="宋体" w:hAnsi="宋体" w:eastAsia="宋体" w:cs="Times New Roman"/>
          <w:b/>
          <w:color w:val="auto"/>
          <w:sz w:val="24"/>
          <w:szCs w:val="24"/>
          <w:highlight w:val="none"/>
        </w:rPr>
        <w:t>一、本项目采购标的概况、服务期、质量标准及其他要求：</w:t>
      </w:r>
      <w:bookmarkEnd w:id="127"/>
      <w:bookmarkEnd w:id="128"/>
      <w:bookmarkEnd w:id="129"/>
    </w:p>
    <w:p w14:paraId="739D5D2C">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b/>
          <w:bCs/>
          <w:color w:val="auto"/>
          <w:sz w:val="24"/>
          <w:szCs w:val="20"/>
          <w:highlight w:val="none"/>
        </w:rPr>
        <w:t>1.项目编号：</w:t>
      </w:r>
      <w:r>
        <w:rPr>
          <w:rFonts w:hint="eastAsia" w:ascii="宋体" w:hAnsi="宋体" w:eastAsia="宋体" w:cs="Times New Roman"/>
          <w:color w:val="auto"/>
          <w:sz w:val="24"/>
          <w:szCs w:val="20"/>
          <w:highlight w:val="none"/>
          <w:lang w:eastAsia="zh-CN"/>
        </w:rPr>
        <w:t>JSZC-320206-JZCG-G2025-00</w:t>
      </w:r>
    </w:p>
    <w:p w14:paraId="6913BB8D">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jc w:val="left"/>
        <w:textAlignment w:val="auto"/>
        <w:rPr>
          <w:rFonts w:hint="eastAsia" w:ascii="宋体" w:hAnsi="宋体" w:eastAsia="宋体" w:cs="Times New Roman"/>
          <w:color w:val="auto"/>
          <w:sz w:val="24"/>
          <w:szCs w:val="20"/>
          <w:highlight w:val="none"/>
          <w:lang w:eastAsia="zh-CN"/>
        </w:rPr>
      </w:pPr>
      <w:bookmarkStart w:id="130" w:name="_Hlk37847209"/>
      <w:r>
        <w:rPr>
          <w:rFonts w:ascii="宋体" w:hAnsi="宋体" w:eastAsia="宋体" w:cs="Times New Roman"/>
          <w:b/>
          <w:bCs/>
          <w:color w:val="auto"/>
          <w:sz w:val="24"/>
          <w:szCs w:val="20"/>
          <w:highlight w:val="none"/>
        </w:rPr>
        <w:t>2</w:t>
      </w:r>
      <w:r>
        <w:rPr>
          <w:rFonts w:hint="eastAsia" w:ascii="宋体" w:hAnsi="宋体" w:eastAsia="宋体" w:cs="Times New Roman"/>
          <w:b/>
          <w:bCs/>
          <w:color w:val="auto"/>
          <w:sz w:val="24"/>
          <w:szCs w:val="20"/>
          <w:highlight w:val="none"/>
        </w:rPr>
        <w:t>.项目名称</w:t>
      </w:r>
      <w:bookmarkEnd w:id="130"/>
      <w:r>
        <w:rPr>
          <w:rFonts w:hint="eastAsia" w:ascii="宋体" w:hAnsi="宋体" w:eastAsia="宋体" w:cs="Times New Roman"/>
          <w:b/>
          <w:bCs/>
          <w:color w:val="auto"/>
          <w:sz w:val="24"/>
          <w:szCs w:val="20"/>
          <w:highlight w:val="none"/>
        </w:rPr>
        <w:t>：</w:t>
      </w:r>
      <w:r>
        <w:rPr>
          <w:rFonts w:hint="eastAsia" w:ascii="宋体" w:hAnsi="宋体" w:eastAsia="宋体" w:cs="Times New Roman"/>
          <w:color w:val="auto"/>
          <w:sz w:val="24"/>
          <w:szCs w:val="20"/>
          <w:highlight w:val="none"/>
          <w:lang w:eastAsia="zh-CN"/>
        </w:rPr>
        <w:t>阳山镇桃盛苑二期物业管理服务采购项目</w:t>
      </w:r>
    </w:p>
    <w:p w14:paraId="69B5EA3B">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jc w:val="left"/>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b/>
          <w:bCs/>
          <w:color w:val="auto"/>
          <w:sz w:val="24"/>
          <w:szCs w:val="20"/>
          <w:highlight w:val="none"/>
        </w:rPr>
        <w:t>3.项目概况：</w:t>
      </w:r>
      <w:r>
        <w:rPr>
          <w:rFonts w:hint="eastAsia" w:ascii="宋体" w:hAnsi="宋体" w:eastAsia="宋体" w:cs="Times New Roman"/>
          <w:color w:val="auto"/>
          <w:sz w:val="24"/>
          <w:szCs w:val="20"/>
          <w:highlight w:val="none"/>
          <w:lang w:eastAsia="zh-CN"/>
        </w:rPr>
        <w:t>本项目为阳山镇桃盛苑二期物业管理服务采购，项目位于无锡市惠山区阳山镇，总管理面积约67177.24平方米。为进一步加强和规范安置房小区管理服务工作，提升业主的居住质量和幸福感，中标供应商负责公共卫生清洁、公共区域安全值守及秩序管理安全、消防监控、房屋、共用设施、设备维护与管理、园林绿化养护与管理等工作。</w:t>
      </w:r>
    </w:p>
    <w:p w14:paraId="4926D8E5">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jc w:val="left"/>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b/>
          <w:bCs/>
          <w:color w:val="auto"/>
          <w:sz w:val="24"/>
          <w:szCs w:val="20"/>
          <w:highlight w:val="none"/>
          <w:lang w:val="en-US" w:eastAsia="zh-CN"/>
        </w:rPr>
        <w:t>4.服务期：</w:t>
      </w:r>
      <w:r>
        <w:rPr>
          <w:rFonts w:hint="eastAsia" w:ascii="宋体" w:hAnsi="宋体" w:eastAsia="宋体" w:cs="Times New Roman"/>
          <w:color w:val="auto"/>
          <w:sz w:val="24"/>
          <w:szCs w:val="20"/>
          <w:highlight w:val="none"/>
          <w:lang w:eastAsia="zh-CN"/>
        </w:rPr>
        <w:t>十个月（具体起始日期以合同签订日期为准）。</w:t>
      </w:r>
    </w:p>
    <w:p w14:paraId="7765C89C">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jc w:val="left"/>
        <w:textAlignment w:val="auto"/>
        <w:rPr>
          <w:rFonts w:hint="eastAsia" w:ascii="宋体" w:hAnsi="宋体" w:eastAsia="宋体" w:cs="Times New Roman"/>
          <w:bCs/>
          <w:color w:val="auto"/>
          <w:sz w:val="24"/>
          <w:szCs w:val="24"/>
          <w:highlight w:val="none"/>
        </w:rPr>
      </w:pPr>
      <w:r>
        <w:rPr>
          <w:rFonts w:hint="eastAsia" w:ascii="宋体" w:hAnsi="宋体" w:eastAsia="宋体" w:cs="Times New Roman"/>
          <w:b/>
          <w:bCs/>
          <w:color w:val="auto"/>
          <w:sz w:val="24"/>
          <w:szCs w:val="20"/>
          <w:highlight w:val="none"/>
          <w:lang w:val="en-US" w:eastAsia="zh-CN"/>
        </w:rPr>
        <w:t>5.质量要求：</w:t>
      </w:r>
      <w:r>
        <w:rPr>
          <w:rFonts w:hint="eastAsia" w:ascii="宋体" w:hAnsi="宋体" w:eastAsia="宋体" w:cs="Times New Roman"/>
          <w:color w:val="auto"/>
          <w:sz w:val="24"/>
          <w:szCs w:val="20"/>
          <w:highlight w:val="none"/>
          <w:lang w:eastAsia="zh-CN"/>
        </w:rPr>
        <w:t>符合国家标准、行业标准和企业标准（标准不一致的，以严格的标准为准），并满足采购人的项目需求及考核要求。</w:t>
      </w:r>
      <w:bookmarkStart w:id="131" w:name="_Hlk91494316"/>
    </w:p>
    <w:p w14:paraId="5CEE2CFD">
      <w:pPr>
        <w:keepNext w:val="0"/>
        <w:keepLines w:val="0"/>
        <w:pageBreakBefore w:val="0"/>
        <w:widowControl w:val="0"/>
        <w:shd w:val="clear" w:color="auto" w:fill="FFFFFF"/>
        <w:kinsoku/>
        <w:wordWrap/>
        <w:overflowPunct/>
        <w:topLinePunct w:val="0"/>
        <w:autoSpaceDE/>
        <w:autoSpaceDN/>
        <w:bidi w:val="0"/>
        <w:adjustRightInd w:val="0"/>
        <w:snapToGrid w:val="0"/>
        <w:spacing w:line="440" w:lineRule="exact"/>
        <w:ind w:firstLine="482" w:firstLineChars="200"/>
        <w:textAlignment w:val="auto"/>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val="0"/>
          <w:color w:val="auto"/>
          <w:sz w:val="24"/>
          <w:szCs w:val="24"/>
          <w:highlight w:val="none"/>
        </w:rPr>
        <w:t>6.</w:t>
      </w:r>
      <w:r>
        <w:rPr>
          <w:rFonts w:hint="eastAsia" w:ascii="宋体" w:hAnsi="宋体" w:eastAsia="宋体" w:cs="Times New Roman"/>
          <w:b/>
          <w:bCs/>
          <w:color w:val="auto"/>
          <w:sz w:val="24"/>
          <w:szCs w:val="24"/>
          <w:highlight w:val="none"/>
        </w:rPr>
        <w:t>付款方式：</w:t>
      </w:r>
      <w:r>
        <w:rPr>
          <w:rFonts w:hint="eastAsia" w:ascii="宋体" w:hAnsi="宋体" w:eastAsia="宋体" w:cs="Times New Roman"/>
          <w:b/>
          <w:bCs/>
          <w:color w:val="auto"/>
          <w:sz w:val="24"/>
          <w:szCs w:val="24"/>
          <w:highlight w:val="none"/>
          <w:lang w:val="en-US" w:eastAsia="zh-CN"/>
        </w:rPr>
        <w:t xml:space="preserve"> </w:t>
      </w:r>
    </w:p>
    <w:p w14:paraId="3C22C3C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Times New Roman"/>
          <w:color w:val="auto"/>
          <w:sz w:val="24"/>
          <w:szCs w:val="20"/>
          <w:highlight w:val="none"/>
          <w:lang w:eastAsia="zh-CN"/>
        </w:rPr>
      </w:pPr>
      <w:bookmarkStart w:id="132" w:name="_Hlk117440022"/>
      <w:r>
        <w:rPr>
          <w:rFonts w:hint="eastAsia" w:ascii="宋体" w:hAnsi="宋体" w:eastAsia="宋体" w:cs="Times New Roman"/>
          <w:color w:val="auto"/>
          <w:sz w:val="24"/>
          <w:szCs w:val="20"/>
          <w:highlight w:val="none"/>
          <w:lang w:eastAsia="zh-CN"/>
        </w:rPr>
        <w:t>（1）合同价款的支付：服务费分为</w:t>
      </w:r>
      <w:r>
        <w:rPr>
          <w:rFonts w:hint="eastAsia" w:ascii="宋体" w:hAnsi="宋体" w:eastAsia="宋体" w:cs="Times New Roman"/>
          <w:color w:val="auto"/>
          <w:sz w:val="24"/>
          <w:szCs w:val="20"/>
          <w:highlight w:val="none"/>
          <w:lang w:val="en-US" w:eastAsia="zh-CN"/>
        </w:rPr>
        <w:t>三</w:t>
      </w:r>
      <w:r>
        <w:rPr>
          <w:rFonts w:hint="eastAsia" w:ascii="宋体" w:hAnsi="宋体" w:eastAsia="宋体" w:cs="Times New Roman"/>
          <w:color w:val="auto"/>
          <w:sz w:val="24"/>
          <w:szCs w:val="20"/>
          <w:highlight w:val="none"/>
          <w:lang w:eastAsia="zh-CN"/>
        </w:rPr>
        <w:t>期支付，</w:t>
      </w:r>
      <w:r>
        <w:rPr>
          <w:rFonts w:hint="eastAsia" w:ascii="宋体" w:hAnsi="宋体" w:eastAsia="宋体" w:cs="Times New Roman"/>
          <w:color w:val="auto"/>
          <w:sz w:val="24"/>
          <w:szCs w:val="20"/>
          <w:highlight w:val="none"/>
          <w:lang w:val="en-US" w:eastAsia="zh-CN"/>
        </w:rPr>
        <w:t>前两</w:t>
      </w:r>
      <w:r>
        <w:rPr>
          <w:rFonts w:hint="eastAsia" w:ascii="宋体" w:hAnsi="宋体" w:eastAsia="宋体" w:cs="Times New Roman"/>
          <w:color w:val="auto"/>
          <w:sz w:val="24"/>
          <w:szCs w:val="20"/>
          <w:highlight w:val="none"/>
          <w:lang w:eastAsia="zh-CN"/>
        </w:rPr>
        <w:t>期于服务期</w:t>
      </w:r>
      <w:r>
        <w:rPr>
          <w:rFonts w:hint="eastAsia" w:ascii="宋体" w:hAnsi="宋体" w:eastAsia="宋体" w:cs="Times New Roman"/>
          <w:color w:val="auto"/>
          <w:sz w:val="24"/>
          <w:szCs w:val="20"/>
          <w:highlight w:val="none"/>
          <w:lang w:val="en-US" w:eastAsia="zh-CN"/>
        </w:rPr>
        <w:t>每</w:t>
      </w:r>
      <w:r>
        <w:rPr>
          <w:rFonts w:hint="eastAsia" w:ascii="宋体" w:hAnsi="宋体" w:eastAsia="宋体" w:cs="Times New Roman"/>
          <w:color w:val="auto"/>
          <w:sz w:val="24"/>
          <w:szCs w:val="20"/>
          <w:highlight w:val="none"/>
          <w:lang w:eastAsia="zh-CN"/>
        </w:rPr>
        <w:t>满三个月后支付，</w:t>
      </w:r>
      <w:r>
        <w:rPr>
          <w:rFonts w:hint="eastAsia" w:ascii="宋体" w:hAnsi="宋体" w:cs="Times New Roman"/>
          <w:color w:val="auto"/>
          <w:sz w:val="24"/>
          <w:szCs w:val="20"/>
          <w:highlight w:val="none"/>
          <w:lang w:eastAsia="zh-CN"/>
        </w:rPr>
        <w:t>第三期</w:t>
      </w:r>
      <w:r>
        <w:rPr>
          <w:rFonts w:hint="eastAsia" w:ascii="宋体" w:hAnsi="宋体" w:eastAsia="宋体" w:cs="Times New Roman"/>
          <w:color w:val="auto"/>
          <w:sz w:val="24"/>
          <w:szCs w:val="20"/>
          <w:highlight w:val="none"/>
          <w:lang w:eastAsia="zh-CN"/>
        </w:rPr>
        <w:t>于项目服务期结束后支付。中标人提供当期月数的《物业管理服务记录单》，经招标人审核无误，并结合实际的考核情况，确认实际应支付的服务费金额。每次支付服务费，扣除当期月数的实际扣款后一次性支付。每次付款时中标人向招标人递交当期月数服务费支付的书面申请单。</w:t>
      </w:r>
    </w:p>
    <w:p w14:paraId="764D747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（2）支付办法：</w:t>
      </w:r>
    </w:p>
    <w:p w14:paraId="602317B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val="en-US" w:eastAsia="zh-CN"/>
        </w:rPr>
        <w:t>前两</w:t>
      </w:r>
      <w:r>
        <w:rPr>
          <w:rFonts w:hint="eastAsia" w:ascii="宋体" w:hAnsi="宋体" w:eastAsia="宋体" w:cs="Times New Roman"/>
          <w:color w:val="auto"/>
          <w:sz w:val="24"/>
          <w:szCs w:val="20"/>
          <w:highlight w:val="none"/>
          <w:lang w:eastAsia="zh-CN"/>
        </w:rPr>
        <w:t>期采购人向中标</w:t>
      </w:r>
      <w:r>
        <w:rPr>
          <w:rFonts w:hint="eastAsia" w:ascii="宋体" w:hAnsi="宋体" w:eastAsia="宋体" w:cs="Times New Roman"/>
          <w:color w:val="auto"/>
          <w:sz w:val="24"/>
          <w:szCs w:val="20"/>
          <w:highlight w:val="none"/>
          <w:lang w:val="en-US" w:eastAsia="zh-CN"/>
        </w:rPr>
        <w:t>供应商</w:t>
      </w:r>
      <w:r>
        <w:rPr>
          <w:rFonts w:hint="eastAsia" w:ascii="宋体" w:hAnsi="宋体" w:eastAsia="宋体" w:cs="Times New Roman"/>
          <w:color w:val="auto"/>
          <w:sz w:val="24"/>
          <w:szCs w:val="20"/>
          <w:highlight w:val="none"/>
          <w:lang w:eastAsia="zh-CN"/>
        </w:rPr>
        <w:t>支付的服务费＝（合同价款</w:t>
      </w:r>
      <w:r>
        <w:rPr>
          <w:rFonts w:hint="eastAsia" w:ascii="宋体" w:hAnsi="宋体" w:eastAsia="宋体" w:cs="Times New Roman"/>
          <w:color w:val="auto"/>
          <w:sz w:val="24"/>
          <w:szCs w:val="20"/>
          <w:highlight w:val="none"/>
          <w:lang w:val="en-US" w:eastAsia="zh-CN"/>
        </w:rPr>
        <w:t>÷10×3</w:t>
      </w:r>
      <w:r>
        <w:rPr>
          <w:rFonts w:hint="eastAsia" w:ascii="宋体" w:hAnsi="宋体" w:eastAsia="宋体" w:cs="Times New Roman"/>
          <w:color w:val="auto"/>
          <w:sz w:val="24"/>
          <w:szCs w:val="20"/>
          <w:highlight w:val="none"/>
          <w:lang w:eastAsia="zh-CN"/>
        </w:rPr>
        <w:t>）-考核当期三个月累计扣款；</w:t>
      </w:r>
    </w:p>
    <w:p w14:paraId="25AC1FA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Times New Roman"/>
          <w:color w:val="auto"/>
          <w:sz w:val="24"/>
          <w:szCs w:val="20"/>
          <w:highlight w:val="none"/>
          <w:lang w:eastAsia="zh-CN"/>
        </w:rPr>
      </w:pPr>
      <w:r>
        <w:rPr>
          <w:rFonts w:hint="eastAsia" w:ascii="宋体" w:hAnsi="宋体" w:cs="Times New Roman"/>
          <w:color w:val="auto"/>
          <w:sz w:val="24"/>
          <w:szCs w:val="20"/>
          <w:highlight w:val="none"/>
          <w:lang w:eastAsia="zh-CN"/>
        </w:rPr>
        <w:t>第三期</w:t>
      </w:r>
      <w:r>
        <w:rPr>
          <w:rFonts w:hint="eastAsia" w:ascii="宋体" w:hAnsi="宋体" w:eastAsia="宋体" w:cs="Times New Roman"/>
          <w:color w:val="auto"/>
          <w:sz w:val="24"/>
          <w:szCs w:val="20"/>
          <w:highlight w:val="none"/>
          <w:lang w:eastAsia="zh-CN"/>
        </w:rPr>
        <w:t>采购人向中标供应商支付的服务费＝（合同价款÷10×</w:t>
      </w:r>
      <w:r>
        <w:rPr>
          <w:rFonts w:hint="eastAsia" w:ascii="宋体" w:hAnsi="宋体" w:eastAsia="宋体" w:cs="Times New Roman"/>
          <w:color w:val="auto"/>
          <w:sz w:val="24"/>
          <w:szCs w:val="20"/>
          <w:highlight w:val="none"/>
          <w:lang w:val="en-US" w:eastAsia="zh-CN"/>
        </w:rPr>
        <w:t>4</w:t>
      </w:r>
      <w:r>
        <w:rPr>
          <w:rFonts w:hint="eastAsia" w:ascii="宋体" w:hAnsi="宋体" w:eastAsia="宋体" w:cs="Times New Roman"/>
          <w:color w:val="auto"/>
          <w:sz w:val="24"/>
          <w:szCs w:val="20"/>
          <w:highlight w:val="none"/>
          <w:lang w:eastAsia="zh-CN"/>
        </w:rPr>
        <w:t>）-考核当期三个月累计扣款。</w:t>
      </w:r>
    </w:p>
    <w:p w14:paraId="6889334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注：新增服务内容的情况下（新增物业服务费不超过合同</w:t>
      </w:r>
      <w:r>
        <w:rPr>
          <w:rFonts w:hint="eastAsia" w:ascii="宋体" w:hAnsi="宋体" w:eastAsia="宋体" w:cs="Times New Roman"/>
          <w:color w:val="auto"/>
          <w:sz w:val="24"/>
          <w:szCs w:val="20"/>
          <w:highlight w:val="none"/>
          <w:lang w:val="en-US" w:eastAsia="zh-CN"/>
        </w:rPr>
        <w:t>价款</w:t>
      </w:r>
      <w:r>
        <w:rPr>
          <w:rFonts w:hint="eastAsia" w:ascii="宋体" w:hAnsi="宋体" w:eastAsia="宋体" w:cs="Times New Roman"/>
          <w:color w:val="auto"/>
          <w:sz w:val="24"/>
          <w:szCs w:val="20"/>
          <w:highlight w:val="none"/>
          <w:lang w:eastAsia="zh-CN"/>
        </w:rPr>
        <w:t>的10%）：采购人向中标供应商支付的增加部分的物业服务费=新增服务内容的工作量</w:t>
      </w:r>
      <w:r>
        <w:rPr>
          <w:rFonts w:hint="eastAsia" w:ascii="宋体" w:hAnsi="宋体" w:eastAsia="宋体" w:cs="Times New Roman"/>
          <w:color w:val="auto"/>
          <w:sz w:val="24"/>
          <w:szCs w:val="20"/>
          <w:highlight w:val="none"/>
          <w:lang w:val="en-US" w:eastAsia="zh-CN"/>
        </w:rPr>
        <w:t>×</w:t>
      </w:r>
      <w:r>
        <w:rPr>
          <w:rFonts w:hint="eastAsia" w:ascii="宋体" w:hAnsi="宋体" w:eastAsia="宋体" w:cs="Times New Roman"/>
          <w:color w:val="auto"/>
          <w:sz w:val="24"/>
          <w:szCs w:val="20"/>
          <w:highlight w:val="none"/>
          <w:lang w:eastAsia="zh-CN"/>
        </w:rPr>
        <w:t>相应中标单价，结合实际发生的时间以及考核情况予以支付。</w:t>
      </w:r>
    </w:p>
    <w:p w14:paraId="3F5B8BA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服务内容减少的情况下：减少部分的物业服务费=减少的服务内容工作量</w:t>
      </w:r>
      <w:r>
        <w:rPr>
          <w:rFonts w:hint="eastAsia" w:ascii="宋体" w:hAnsi="宋体" w:eastAsia="宋体" w:cs="Times New Roman"/>
          <w:color w:val="auto"/>
          <w:sz w:val="24"/>
          <w:szCs w:val="20"/>
          <w:highlight w:val="none"/>
          <w:lang w:val="en-US" w:eastAsia="zh-CN"/>
        </w:rPr>
        <w:t>×</w:t>
      </w:r>
      <w:r>
        <w:rPr>
          <w:rFonts w:hint="eastAsia" w:ascii="宋体" w:hAnsi="宋体" w:eastAsia="宋体" w:cs="Times New Roman"/>
          <w:color w:val="auto"/>
          <w:sz w:val="24"/>
          <w:szCs w:val="20"/>
          <w:highlight w:val="none"/>
          <w:lang w:eastAsia="zh-CN"/>
        </w:rPr>
        <w:t>相应中标单价。根据实际发生的时间，在结算实际应付的物业服务费时进行扣减。</w:t>
      </w:r>
    </w:p>
    <w:p w14:paraId="234AC03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w:t>
      </w:r>
      <w:r>
        <w:rPr>
          <w:rFonts w:hint="eastAsia" w:ascii="宋体" w:hAnsi="宋体" w:eastAsia="宋体" w:cs="Times New Roman"/>
          <w:color w:val="auto"/>
          <w:sz w:val="24"/>
          <w:szCs w:val="20"/>
          <w:highlight w:val="none"/>
          <w:lang w:val="en-US" w:eastAsia="zh-CN"/>
        </w:rPr>
        <w:t>3</w:t>
      </w:r>
      <w:r>
        <w:rPr>
          <w:rFonts w:hint="eastAsia" w:ascii="宋体" w:hAnsi="宋体" w:eastAsia="宋体" w:cs="Times New Roman"/>
          <w:color w:val="auto"/>
          <w:sz w:val="24"/>
          <w:szCs w:val="20"/>
          <w:highlight w:val="none"/>
          <w:lang w:eastAsia="zh-CN"/>
        </w:rPr>
        <w:t>）以上价款均不计息。每次付款前，中标供应商递交当期物业服务费用支付的书面申请单，同时需提供符合</w:t>
      </w:r>
      <w:r>
        <w:rPr>
          <w:rFonts w:hint="eastAsia" w:ascii="宋体" w:hAnsi="宋体" w:eastAsia="宋体" w:cs="Times New Roman"/>
          <w:color w:val="auto"/>
          <w:sz w:val="24"/>
          <w:szCs w:val="20"/>
          <w:highlight w:val="none"/>
          <w:lang w:val="en-US" w:eastAsia="zh-CN"/>
        </w:rPr>
        <w:t>采购人</w:t>
      </w:r>
      <w:r>
        <w:rPr>
          <w:rFonts w:hint="eastAsia" w:ascii="宋体" w:hAnsi="宋体" w:eastAsia="宋体" w:cs="Times New Roman"/>
          <w:color w:val="auto"/>
          <w:sz w:val="24"/>
          <w:szCs w:val="20"/>
          <w:highlight w:val="none"/>
          <w:lang w:eastAsia="zh-CN"/>
        </w:rPr>
        <w:t>财务要求的相应金额的税金发票（如遇法定节假日顺延）。</w:t>
      </w:r>
    </w:p>
    <w:p w14:paraId="658AF8A5">
      <w:pPr>
        <w:keepNext w:val="0"/>
        <w:keepLines w:val="0"/>
        <w:pageBreakBefore w:val="0"/>
        <w:widowControl w:val="0"/>
        <w:kinsoku/>
        <w:wordWrap/>
        <w:overflowPunct/>
        <w:topLinePunct w:val="0"/>
        <w:autoSpaceDE/>
        <w:autoSpaceDN/>
        <w:bidi w:val="0"/>
        <w:spacing w:after="5" w:line="440" w:lineRule="exact"/>
        <w:ind w:firstLine="482" w:firstLineChars="200"/>
        <w:textAlignment w:val="auto"/>
        <w:rPr>
          <w:rFonts w:hint="eastAsia" w:ascii="宋体" w:hAnsi="宋体" w:eastAsia="宋体" w:cs="Times New Roman"/>
          <w:color w:val="auto"/>
          <w:sz w:val="24"/>
          <w:szCs w:val="20"/>
          <w:highlight w:val="none"/>
        </w:rPr>
      </w:pPr>
      <w:r>
        <w:rPr>
          <w:rFonts w:hint="eastAsia" w:ascii="宋体" w:hAnsi="宋体" w:eastAsia="宋体" w:cs="Times New Roman"/>
          <w:b/>
          <w:bCs/>
          <w:color w:val="auto"/>
          <w:sz w:val="24"/>
          <w:szCs w:val="20"/>
          <w:highlight w:val="none"/>
          <w:lang w:val="en-US" w:eastAsia="zh-CN"/>
        </w:rPr>
        <w:t>7</w:t>
      </w:r>
      <w:r>
        <w:rPr>
          <w:rFonts w:hint="eastAsia" w:ascii="宋体" w:hAnsi="宋体" w:eastAsia="宋体" w:cs="Times New Roman"/>
          <w:b/>
          <w:bCs/>
          <w:color w:val="auto"/>
          <w:sz w:val="24"/>
          <w:szCs w:val="20"/>
          <w:highlight w:val="none"/>
        </w:rPr>
        <w:t>.项目实施地点：</w:t>
      </w:r>
      <w:r>
        <w:rPr>
          <w:rFonts w:hint="eastAsia" w:ascii="宋体" w:hAnsi="宋体" w:eastAsia="宋体" w:cs="Times New Roman"/>
          <w:color w:val="auto"/>
          <w:sz w:val="24"/>
          <w:szCs w:val="20"/>
          <w:highlight w:val="none"/>
          <w:lang w:val="en-US" w:eastAsia="zh-CN"/>
        </w:rPr>
        <w:t>无锡市惠山区阳山镇桃盛苑二期</w:t>
      </w:r>
      <w:r>
        <w:rPr>
          <w:rFonts w:hint="eastAsia" w:ascii="宋体" w:hAnsi="宋体" w:eastAsia="宋体" w:cs="Times New Roman"/>
          <w:color w:val="auto"/>
          <w:sz w:val="24"/>
          <w:szCs w:val="20"/>
          <w:highlight w:val="none"/>
        </w:rPr>
        <w:t>。</w:t>
      </w:r>
    </w:p>
    <w:bookmarkEnd w:id="131"/>
    <w:bookmarkEnd w:id="132"/>
    <w:p w14:paraId="32B160A4">
      <w:pPr>
        <w:widowControl w:val="0"/>
        <w:spacing w:line="440" w:lineRule="exact"/>
        <w:ind w:firstLine="482" w:firstLineChars="200"/>
        <w:jc w:val="both"/>
        <w:rPr>
          <w:rFonts w:hint="eastAsia" w:ascii="宋体" w:hAnsi="宋体" w:eastAsia="宋体" w:cs="Arial"/>
          <w:b/>
          <w:color w:val="auto"/>
          <w:kern w:val="0"/>
          <w:sz w:val="24"/>
          <w:szCs w:val="24"/>
          <w:highlight w:val="none"/>
          <w:lang w:val="en-US" w:eastAsia="zh-CN" w:bidi="ar-SA"/>
        </w:rPr>
      </w:pPr>
      <w:bookmarkStart w:id="133" w:name="_Toc36414916"/>
      <w:bookmarkStart w:id="134" w:name="_Toc127804504"/>
      <w:bookmarkStart w:id="135" w:name="_Toc83622628"/>
      <w:bookmarkStart w:id="136" w:name="_Toc100610643"/>
      <w:r>
        <w:rPr>
          <w:rFonts w:hint="eastAsia" w:ascii="宋体" w:hAnsi="宋体" w:eastAsia="宋体" w:cs="Arial"/>
          <w:b/>
          <w:color w:val="auto"/>
          <w:kern w:val="0"/>
          <w:sz w:val="24"/>
          <w:szCs w:val="24"/>
          <w:highlight w:val="none"/>
          <w:lang w:val="en-US" w:eastAsia="zh-CN" w:bidi="ar-SA"/>
        </w:rPr>
        <w:t>二、物业管理服务范围</w:t>
      </w:r>
    </w:p>
    <w:tbl>
      <w:tblPr>
        <w:tblStyle w:val="34"/>
        <w:tblW w:w="9785" w:type="dxa"/>
        <w:jc w:val="center"/>
        <w:tblLayout w:type="fixed"/>
        <w:tblCellMar>
          <w:top w:w="15" w:type="dxa"/>
          <w:left w:w="15" w:type="dxa"/>
          <w:bottom w:w="15" w:type="dxa"/>
          <w:right w:w="15" w:type="dxa"/>
        </w:tblCellMar>
      </w:tblPr>
      <w:tblGrid>
        <w:gridCol w:w="1721"/>
        <w:gridCol w:w="1843"/>
        <w:gridCol w:w="240"/>
        <w:gridCol w:w="1494"/>
        <w:gridCol w:w="2310"/>
        <w:gridCol w:w="2177"/>
      </w:tblGrid>
      <w:tr w14:paraId="2E8EB5F5">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40D573ED">
            <w:pPr>
              <w:jc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安置小区名称</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3BE911F8">
            <w:pPr>
              <w:widowControl/>
              <w:jc w:val="center"/>
              <w:textAlignment w:val="center"/>
              <w:rPr>
                <w:rFonts w:hint="eastAsia" w:ascii="宋体" w:hAnsi="宋体" w:eastAsia="宋体" w:cs="宋体"/>
                <w:b/>
                <w:bCs/>
                <w:color w:val="auto"/>
                <w:sz w:val="22"/>
                <w:szCs w:val="22"/>
              </w:rPr>
            </w:pPr>
            <w:r>
              <w:rPr>
                <w:rFonts w:hint="eastAsia" w:ascii="宋体" w:hAnsi="宋体" w:eastAsia="宋体" w:cs="宋体"/>
                <w:b/>
                <w:bCs/>
                <w:color w:val="auto"/>
                <w:sz w:val="22"/>
                <w:szCs w:val="22"/>
              </w:rPr>
              <w:t>桃盛苑</w:t>
            </w:r>
          </w:p>
        </w:tc>
      </w:tr>
      <w:tr w14:paraId="68B838E9">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45291EBB">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用地面积（㎡）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16ECEF75">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24986.9</w:t>
            </w:r>
          </w:p>
        </w:tc>
      </w:tr>
      <w:tr w14:paraId="060ABE2E">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1C6FCF28">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总建筑面积（㎡）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0B2DCE54">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67177.24</w:t>
            </w:r>
          </w:p>
        </w:tc>
      </w:tr>
      <w:tr w14:paraId="5C6FF632">
        <w:tblPrEx>
          <w:tblCellMar>
            <w:top w:w="15" w:type="dxa"/>
            <w:left w:w="15" w:type="dxa"/>
            <w:bottom w:w="15" w:type="dxa"/>
            <w:right w:w="15" w:type="dxa"/>
          </w:tblCellMar>
        </w:tblPrEx>
        <w:trPr>
          <w:trHeight w:val="23" w:hRule="atLeast"/>
          <w:jc w:val="center"/>
        </w:trPr>
        <w:tc>
          <w:tcPr>
            <w:tcW w:w="1721" w:type="dxa"/>
            <w:vMerge w:val="restart"/>
            <w:tcBorders>
              <w:top w:val="single" w:color="000000" w:sz="4" w:space="0"/>
              <w:left w:val="single" w:color="000000" w:sz="4" w:space="0"/>
              <w:bottom w:val="single" w:color="000000" w:sz="4" w:space="0"/>
              <w:right w:val="single" w:color="000000" w:sz="4" w:space="0"/>
            </w:tcBorders>
            <w:noWrap w:val="0"/>
            <w:vAlign w:val="center"/>
          </w:tcPr>
          <w:p w14:paraId="3EBC2191">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其中</w:t>
            </w:r>
          </w:p>
        </w:tc>
        <w:tc>
          <w:tcPr>
            <w:tcW w:w="5887" w:type="dxa"/>
            <w:gridSpan w:val="4"/>
            <w:tcBorders>
              <w:top w:val="single" w:color="000000" w:sz="4" w:space="0"/>
              <w:left w:val="single" w:color="000000" w:sz="4" w:space="0"/>
              <w:bottom w:val="single" w:color="000000" w:sz="4" w:space="0"/>
              <w:right w:val="single" w:color="000000" w:sz="4" w:space="0"/>
            </w:tcBorders>
            <w:noWrap w:val="0"/>
            <w:vAlign w:val="center"/>
          </w:tcPr>
          <w:p w14:paraId="0066BC30">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计入容积率部分面积（㎡）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6007DB0C">
            <w:pPr>
              <w:widowControl/>
              <w:jc w:val="center"/>
              <w:textAlignment w:val="center"/>
              <w:rPr>
                <w:rFonts w:hint="eastAsia" w:ascii="宋体" w:hAnsi="宋体" w:eastAsia="宋体" w:cs="宋体"/>
                <w:color w:val="auto"/>
                <w:sz w:val="22"/>
                <w:szCs w:val="22"/>
              </w:rPr>
            </w:pPr>
          </w:p>
        </w:tc>
      </w:tr>
      <w:tr w14:paraId="3300B453">
        <w:tblPrEx>
          <w:tblCellMar>
            <w:top w:w="15" w:type="dxa"/>
            <w:left w:w="15" w:type="dxa"/>
            <w:bottom w:w="15" w:type="dxa"/>
            <w:right w:w="15" w:type="dxa"/>
          </w:tblCellMar>
        </w:tblPrEx>
        <w:trPr>
          <w:trHeight w:val="23" w:hRule="atLeast"/>
          <w:jc w:val="center"/>
        </w:trPr>
        <w:tc>
          <w:tcPr>
            <w:tcW w:w="17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E588DF">
            <w:pPr>
              <w:jc w:val="center"/>
              <w:rPr>
                <w:rFonts w:hint="eastAsia" w:ascii="宋体" w:hAnsi="宋体" w:eastAsia="宋体" w:cs="宋体"/>
                <w:color w:val="auto"/>
                <w:sz w:val="22"/>
                <w:szCs w:val="22"/>
              </w:rPr>
            </w:pPr>
          </w:p>
        </w:tc>
        <w:tc>
          <w:tcPr>
            <w:tcW w:w="1843" w:type="dxa"/>
            <w:vMerge w:val="restart"/>
            <w:tcBorders>
              <w:top w:val="single" w:color="000000" w:sz="4" w:space="0"/>
              <w:left w:val="single" w:color="000000" w:sz="4" w:space="0"/>
              <w:bottom w:val="single" w:color="000000" w:sz="4" w:space="0"/>
              <w:right w:val="single" w:color="000000" w:sz="4" w:space="0"/>
            </w:tcBorders>
            <w:noWrap w:val="0"/>
            <w:vAlign w:val="center"/>
          </w:tcPr>
          <w:p w14:paraId="287D4D35">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其中</w:t>
            </w:r>
          </w:p>
        </w:tc>
        <w:tc>
          <w:tcPr>
            <w:tcW w:w="4044" w:type="dxa"/>
            <w:gridSpan w:val="3"/>
            <w:tcBorders>
              <w:top w:val="single" w:color="000000" w:sz="4" w:space="0"/>
              <w:left w:val="single" w:color="000000" w:sz="4" w:space="0"/>
              <w:bottom w:val="single" w:color="000000" w:sz="4" w:space="0"/>
              <w:right w:val="single" w:color="000000" w:sz="4" w:space="0"/>
            </w:tcBorders>
            <w:noWrap w:val="0"/>
            <w:vAlign w:val="center"/>
          </w:tcPr>
          <w:p w14:paraId="6F5B2E01">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住宅建筑面积（㎡）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21936D4D">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48699.14</w:t>
            </w:r>
          </w:p>
        </w:tc>
      </w:tr>
      <w:tr w14:paraId="6A350715">
        <w:tblPrEx>
          <w:tblCellMar>
            <w:top w:w="15" w:type="dxa"/>
            <w:left w:w="15" w:type="dxa"/>
            <w:bottom w:w="15" w:type="dxa"/>
            <w:right w:w="15" w:type="dxa"/>
          </w:tblCellMar>
        </w:tblPrEx>
        <w:trPr>
          <w:trHeight w:val="23" w:hRule="atLeast"/>
          <w:jc w:val="center"/>
        </w:trPr>
        <w:tc>
          <w:tcPr>
            <w:tcW w:w="17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75325E">
            <w:pPr>
              <w:jc w:val="center"/>
              <w:rPr>
                <w:rFonts w:hint="eastAsia" w:ascii="宋体" w:hAnsi="宋体" w:eastAsia="宋体" w:cs="宋体"/>
                <w:color w:val="auto"/>
                <w:sz w:val="22"/>
                <w:szCs w:val="22"/>
              </w:rPr>
            </w:pP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3F7307">
            <w:pPr>
              <w:jc w:val="center"/>
              <w:rPr>
                <w:rFonts w:hint="eastAsia" w:ascii="宋体" w:hAnsi="宋体" w:eastAsia="宋体" w:cs="宋体"/>
                <w:color w:val="auto"/>
                <w:sz w:val="22"/>
                <w:szCs w:val="22"/>
              </w:rPr>
            </w:pPr>
          </w:p>
        </w:tc>
        <w:tc>
          <w:tcPr>
            <w:tcW w:w="4044" w:type="dxa"/>
            <w:gridSpan w:val="3"/>
            <w:tcBorders>
              <w:top w:val="single" w:color="000000" w:sz="4" w:space="0"/>
              <w:left w:val="single" w:color="000000" w:sz="4" w:space="0"/>
              <w:bottom w:val="single" w:color="000000" w:sz="4" w:space="0"/>
              <w:right w:val="single" w:color="000000" w:sz="4" w:space="0"/>
            </w:tcBorders>
            <w:noWrap w:val="0"/>
            <w:vAlign w:val="center"/>
          </w:tcPr>
          <w:p w14:paraId="16975EEB">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物业用房面积（㎡）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328146CC">
            <w:pPr>
              <w:widowControl/>
              <w:jc w:val="center"/>
              <w:textAlignment w:val="center"/>
              <w:rPr>
                <w:rFonts w:hint="eastAsia" w:ascii="宋体" w:hAnsi="宋体" w:eastAsia="宋体" w:cs="宋体"/>
                <w:color w:val="auto"/>
                <w:sz w:val="22"/>
                <w:szCs w:val="22"/>
              </w:rPr>
            </w:pPr>
          </w:p>
        </w:tc>
      </w:tr>
      <w:tr w14:paraId="63F65FD1">
        <w:tblPrEx>
          <w:tblCellMar>
            <w:top w:w="15" w:type="dxa"/>
            <w:left w:w="15" w:type="dxa"/>
            <w:bottom w:w="15" w:type="dxa"/>
            <w:right w:w="15" w:type="dxa"/>
          </w:tblCellMar>
        </w:tblPrEx>
        <w:trPr>
          <w:trHeight w:val="23" w:hRule="atLeast"/>
          <w:jc w:val="center"/>
        </w:trPr>
        <w:tc>
          <w:tcPr>
            <w:tcW w:w="1721" w:type="dxa"/>
            <w:vMerge w:val="restart"/>
            <w:tcBorders>
              <w:top w:val="single" w:color="000000" w:sz="4" w:space="0"/>
              <w:left w:val="single" w:color="000000" w:sz="4" w:space="0"/>
              <w:bottom w:val="single" w:color="000000" w:sz="4" w:space="0"/>
              <w:right w:val="single" w:color="000000" w:sz="4" w:space="0"/>
            </w:tcBorders>
            <w:noWrap w:val="0"/>
            <w:vAlign w:val="center"/>
          </w:tcPr>
          <w:p w14:paraId="03F0194D">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其中</w:t>
            </w:r>
          </w:p>
        </w:tc>
        <w:tc>
          <w:tcPr>
            <w:tcW w:w="5887" w:type="dxa"/>
            <w:gridSpan w:val="4"/>
            <w:tcBorders>
              <w:top w:val="single" w:color="000000" w:sz="4" w:space="0"/>
              <w:left w:val="single" w:color="000000" w:sz="4" w:space="0"/>
              <w:bottom w:val="single" w:color="000000" w:sz="4" w:space="0"/>
              <w:right w:val="single" w:color="000000" w:sz="4" w:space="0"/>
            </w:tcBorders>
            <w:noWrap w:val="0"/>
            <w:vAlign w:val="center"/>
          </w:tcPr>
          <w:p w14:paraId="3A47E46A">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不计入容积率部分面积（㎡）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35A560B4">
            <w:pPr>
              <w:widowControl/>
              <w:jc w:val="center"/>
              <w:textAlignment w:val="center"/>
              <w:rPr>
                <w:rFonts w:hint="eastAsia" w:ascii="宋体" w:hAnsi="宋体" w:eastAsia="宋体" w:cs="宋体"/>
                <w:color w:val="auto"/>
                <w:sz w:val="22"/>
                <w:szCs w:val="22"/>
              </w:rPr>
            </w:pPr>
          </w:p>
        </w:tc>
      </w:tr>
      <w:tr w14:paraId="438EB48F">
        <w:tblPrEx>
          <w:tblCellMar>
            <w:top w:w="15" w:type="dxa"/>
            <w:left w:w="15" w:type="dxa"/>
            <w:bottom w:w="15" w:type="dxa"/>
            <w:right w:w="15" w:type="dxa"/>
          </w:tblCellMar>
        </w:tblPrEx>
        <w:trPr>
          <w:trHeight w:val="23" w:hRule="atLeast"/>
          <w:jc w:val="center"/>
        </w:trPr>
        <w:tc>
          <w:tcPr>
            <w:tcW w:w="17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AE1A63">
            <w:pPr>
              <w:jc w:val="center"/>
              <w:rPr>
                <w:rFonts w:hint="eastAsia" w:ascii="宋体" w:hAnsi="宋体" w:eastAsia="宋体" w:cs="宋体"/>
                <w:color w:val="auto"/>
                <w:sz w:val="22"/>
                <w:szCs w:val="22"/>
              </w:rPr>
            </w:pPr>
          </w:p>
        </w:tc>
        <w:tc>
          <w:tcPr>
            <w:tcW w:w="1843" w:type="dxa"/>
            <w:vMerge w:val="restart"/>
            <w:tcBorders>
              <w:top w:val="single" w:color="000000" w:sz="4" w:space="0"/>
              <w:left w:val="single" w:color="000000" w:sz="4" w:space="0"/>
              <w:bottom w:val="single" w:color="000000" w:sz="4" w:space="0"/>
              <w:right w:val="single" w:color="000000" w:sz="4" w:space="0"/>
            </w:tcBorders>
            <w:noWrap w:val="0"/>
            <w:vAlign w:val="center"/>
          </w:tcPr>
          <w:p w14:paraId="7D11A400">
            <w:pPr>
              <w:jc w:val="center"/>
              <w:rPr>
                <w:rFonts w:hint="eastAsia" w:ascii="宋体" w:hAnsi="宋体" w:eastAsia="宋体" w:cs="宋体"/>
                <w:color w:val="auto"/>
                <w:sz w:val="22"/>
                <w:szCs w:val="22"/>
              </w:rPr>
            </w:pPr>
          </w:p>
        </w:tc>
        <w:tc>
          <w:tcPr>
            <w:tcW w:w="4044" w:type="dxa"/>
            <w:gridSpan w:val="3"/>
            <w:tcBorders>
              <w:top w:val="single" w:color="000000" w:sz="4" w:space="0"/>
              <w:left w:val="single" w:color="000000" w:sz="4" w:space="0"/>
              <w:bottom w:val="single" w:color="000000" w:sz="4" w:space="0"/>
              <w:right w:val="single" w:color="000000" w:sz="4" w:space="0"/>
            </w:tcBorders>
            <w:noWrap w:val="0"/>
            <w:vAlign w:val="center"/>
          </w:tcPr>
          <w:p w14:paraId="6AD3E3DC">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地下汽车库（㎡）</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39BF1405">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18478.10</w:t>
            </w:r>
          </w:p>
        </w:tc>
      </w:tr>
      <w:tr w14:paraId="5BBD43C5">
        <w:tblPrEx>
          <w:tblCellMar>
            <w:top w:w="15" w:type="dxa"/>
            <w:left w:w="15" w:type="dxa"/>
            <w:bottom w:w="15" w:type="dxa"/>
            <w:right w:w="15" w:type="dxa"/>
          </w:tblCellMar>
        </w:tblPrEx>
        <w:trPr>
          <w:trHeight w:val="23" w:hRule="atLeast"/>
          <w:jc w:val="center"/>
        </w:trPr>
        <w:tc>
          <w:tcPr>
            <w:tcW w:w="17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E204FF">
            <w:pPr>
              <w:jc w:val="center"/>
              <w:rPr>
                <w:rFonts w:hint="eastAsia" w:ascii="宋体" w:hAnsi="宋体" w:eastAsia="宋体" w:cs="宋体"/>
                <w:color w:val="auto"/>
                <w:sz w:val="22"/>
                <w:szCs w:val="22"/>
              </w:rPr>
            </w:pP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5116A0">
            <w:pPr>
              <w:jc w:val="center"/>
              <w:rPr>
                <w:rFonts w:hint="eastAsia" w:ascii="宋体" w:hAnsi="宋体" w:eastAsia="宋体" w:cs="宋体"/>
                <w:color w:val="auto"/>
                <w:sz w:val="22"/>
                <w:szCs w:val="22"/>
              </w:rPr>
            </w:pPr>
          </w:p>
        </w:tc>
        <w:tc>
          <w:tcPr>
            <w:tcW w:w="4044" w:type="dxa"/>
            <w:gridSpan w:val="3"/>
            <w:tcBorders>
              <w:top w:val="single" w:color="000000" w:sz="4" w:space="0"/>
              <w:left w:val="single" w:color="000000" w:sz="4" w:space="0"/>
              <w:bottom w:val="single" w:color="000000" w:sz="4" w:space="0"/>
              <w:right w:val="single" w:color="000000" w:sz="4" w:space="0"/>
            </w:tcBorders>
            <w:noWrap w:val="0"/>
            <w:vAlign w:val="center"/>
          </w:tcPr>
          <w:p w14:paraId="02181A8C">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住宅底层架空（㎡）</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233B0B1A">
            <w:pPr>
              <w:widowControl/>
              <w:jc w:val="center"/>
              <w:textAlignment w:val="center"/>
              <w:rPr>
                <w:rFonts w:hint="eastAsia" w:ascii="宋体" w:hAnsi="宋体" w:eastAsia="宋体" w:cs="宋体"/>
                <w:color w:val="auto"/>
                <w:sz w:val="22"/>
                <w:szCs w:val="22"/>
              </w:rPr>
            </w:pPr>
          </w:p>
        </w:tc>
      </w:tr>
      <w:tr w14:paraId="1F0210DE">
        <w:tblPrEx>
          <w:tblCellMar>
            <w:top w:w="15" w:type="dxa"/>
            <w:left w:w="15" w:type="dxa"/>
            <w:bottom w:w="15" w:type="dxa"/>
            <w:right w:w="15" w:type="dxa"/>
          </w:tblCellMar>
        </w:tblPrEx>
        <w:trPr>
          <w:trHeight w:val="23" w:hRule="atLeast"/>
          <w:jc w:val="center"/>
        </w:trPr>
        <w:tc>
          <w:tcPr>
            <w:tcW w:w="17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2AC0C">
            <w:pPr>
              <w:jc w:val="center"/>
              <w:rPr>
                <w:rFonts w:hint="eastAsia" w:ascii="宋体" w:hAnsi="宋体" w:eastAsia="宋体" w:cs="宋体"/>
                <w:color w:val="auto"/>
                <w:sz w:val="22"/>
                <w:szCs w:val="22"/>
              </w:rPr>
            </w:pP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A5C9B5">
            <w:pPr>
              <w:jc w:val="center"/>
              <w:rPr>
                <w:rFonts w:hint="eastAsia" w:ascii="宋体" w:hAnsi="宋体" w:eastAsia="宋体" w:cs="宋体"/>
                <w:color w:val="auto"/>
                <w:sz w:val="22"/>
                <w:szCs w:val="22"/>
              </w:rPr>
            </w:pPr>
          </w:p>
        </w:tc>
        <w:tc>
          <w:tcPr>
            <w:tcW w:w="4044" w:type="dxa"/>
            <w:gridSpan w:val="3"/>
            <w:tcBorders>
              <w:top w:val="single" w:color="000000" w:sz="4" w:space="0"/>
              <w:left w:val="single" w:color="000000" w:sz="4" w:space="0"/>
              <w:bottom w:val="single" w:color="000000" w:sz="4" w:space="0"/>
              <w:right w:val="single" w:color="000000" w:sz="4" w:space="0"/>
            </w:tcBorders>
            <w:noWrap w:val="0"/>
            <w:vAlign w:val="center"/>
          </w:tcPr>
          <w:p w14:paraId="15B445F7">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门卫及垃圾房面积（㎡）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43DBB995">
            <w:pPr>
              <w:widowControl/>
              <w:jc w:val="center"/>
              <w:textAlignment w:val="center"/>
              <w:rPr>
                <w:rFonts w:hint="eastAsia" w:ascii="宋体" w:hAnsi="宋体" w:eastAsia="宋体" w:cs="宋体"/>
                <w:color w:val="auto"/>
                <w:sz w:val="22"/>
                <w:szCs w:val="22"/>
              </w:rPr>
            </w:pPr>
          </w:p>
        </w:tc>
      </w:tr>
      <w:tr w14:paraId="0C68A5FD">
        <w:tblPrEx>
          <w:tblCellMar>
            <w:top w:w="15" w:type="dxa"/>
            <w:left w:w="15" w:type="dxa"/>
            <w:bottom w:w="15" w:type="dxa"/>
            <w:right w:w="15" w:type="dxa"/>
          </w:tblCellMar>
        </w:tblPrEx>
        <w:trPr>
          <w:trHeight w:val="23" w:hRule="atLeast"/>
          <w:jc w:val="center"/>
        </w:trPr>
        <w:tc>
          <w:tcPr>
            <w:tcW w:w="172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CC8BB9">
            <w:pPr>
              <w:jc w:val="center"/>
              <w:rPr>
                <w:rFonts w:hint="eastAsia" w:ascii="宋体" w:hAnsi="宋体" w:eastAsia="宋体" w:cs="宋体"/>
                <w:color w:val="auto"/>
                <w:sz w:val="22"/>
                <w:szCs w:val="22"/>
              </w:rPr>
            </w:pPr>
          </w:p>
        </w:tc>
        <w:tc>
          <w:tcPr>
            <w:tcW w:w="18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75EA64">
            <w:pPr>
              <w:jc w:val="center"/>
              <w:rPr>
                <w:rFonts w:hint="eastAsia" w:ascii="宋体" w:hAnsi="宋体" w:eastAsia="宋体" w:cs="宋体"/>
                <w:color w:val="auto"/>
                <w:sz w:val="22"/>
                <w:szCs w:val="22"/>
              </w:rPr>
            </w:pPr>
          </w:p>
        </w:tc>
        <w:tc>
          <w:tcPr>
            <w:tcW w:w="4044" w:type="dxa"/>
            <w:gridSpan w:val="3"/>
            <w:tcBorders>
              <w:top w:val="single" w:color="000000" w:sz="4" w:space="0"/>
              <w:left w:val="single" w:color="000000" w:sz="4" w:space="0"/>
              <w:bottom w:val="single" w:color="000000" w:sz="4" w:space="0"/>
              <w:right w:val="single" w:color="000000" w:sz="4" w:space="0"/>
            </w:tcBorders>
            <w:noWrap w:val="0"/>
            <w:vAlign w:val="center"/>
          </w:tcPr>
          <w:p w14:paraId="1A8B7929">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配电房面积（㎡）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183D3707">
            <w:pPr>
              <w:widowControl/>
              <w:jc w:val="center"/>
              <w:textAlignment w:val="center"/>
              <w:rPr>
                <w:rFonts w:hint="eastAsia" w:ascii="宋体" w:hAnsi="宋体" w:eastAsia="宋体" w:cs="宋体"/>
                <w:color w:val="auto"/>
                <w:sz w:val="22"/>
                <w:szCs w:val="22"/>
              </w:rPr>
            </w:pPr>
          </w:p>
        </w:tc>
      </w:tr>
      <w:tr w14:paraId="63C8EE1C">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037FF3AB">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绿地率</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2C172060">
            <w:pPr>
              <w:widowControl/>
              <w:jc w:val="center"/>
              <w:textAlignment w:val="center"/>
              <w:rPr>
                <w:rFonts w:hint="eastAsia" w:ascii="宋体" w:hAnsi="宋体" w:eastAsia="宋体" w:cs="宋体"/>
                <w:color w:val="auto"/>
                <w:sz w:val="22"/>
                <w:szCs w:val="22"/>
              </w:rPr>
            </w:pPr>
          </w:p>
        </w:tc>
      </w:tr>
      <w:tr w14:paraId="1C761785">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3972BB4E">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绿化面积（㎡）</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351E708E">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18798</w:t>
            </w:r>
          </w:p>
        </w:tc>
      </w:tr>
      <w:tr w14:paraId="13B796CD">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54FA9C0B">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总套数（套）</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564DE302">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466</w:t>
            </w:r>
          </w:p>
        </w:tc>
      </w:tr>
      <w:tr w14:paraId="49C8A1AA">
        <w:tblPrEx>
          <w:tblCellMar>
            <w:top w:w="15" w:type="dxa"/>
            <w:left w:w="15" w:type="dxa"/>
            <w:bottom w:w="15" w:type="dxa"/>
            <w:right w:w="15" w:type="dxa"/>
          </w:tblCellMar>
        </w:tblPrEx>
        <w:trPr>
          <w:trHeight w:val="23" w:hRule="atLeast"/>
          <w:jc w:val="center"/>
        </w:trPr>
        <w:tc>
          <w:tcPr>
            <w:tcW w:w="3804"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410998DE">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电梯数量（部）</w:t>
            </w:r>
          </w:p>
        </w:tc>
        <w:tc>
          <w:tcPr>
            <w:tcW w:w="3804" w:type="dxa"/>
            <w:gridSpan w:val="2"/>
            <w:tcBorders>
              <w:top w:val="single" w:color="000000" w:sz="4" w:space="0"/>
              <w:left w:val="single" w:color="000000" w:sz="4" w:space="0"/>
              <w:bottom w:val="single" w:color="000000" w:sz="4" w:space="0"/>
              <w:right w:val="single" w:color="000000" w:sz="4" w:space="0"/>
            </w:tcBorders>
            <w:noWrap w:val="0"/>
            <w:vAlign w:val="center"/>
          </w:tcPr>
          <w:p w14:paraId="33D11621">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9层（台）</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05152D57">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6</w:t>
            </w:r>
          </w:p>
        </w:tc>
      </w:tr>
      <w:tr w14:paraId="554A30B6">
        <w:tblPrEx>
          <w:tblCellMar>
            <w:top w:w="15" w:type="dxa"/>
            <w:left w:w="15" w:type="dxa"/>
            <w:bottom w:w="15" w:type="dxa"/>
            <w:right w:w="15" w:type="dxa"/>
          </w:tblCellMar>
        </w:tblPrEx>
        <w:trPr>
          <w:trHeight w:val="23" w:hRule="atLeast"/>
          <w:jc w:val="center"/>
        </w:trPr>
        <w:tc>
          <w:tcPr>
            <w:tcW w:w="3804"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723B029">
            <w:pPr>
              <w:widowControl/>
              <w:jc w:val="center"/>
              <w:textAlignment w:val="center"/>
              <w:rPr>
                <w:rFonts w:hint="eastAsia" w:ascii="宋体" w:hAnsi="宋体" w:eastAsia="宋体" w:cs="宋体"/>
                <w:color w:val="auto"/>
                <w:sz w:val="22"/>
                <w:szCs w:val="22"/>
              </w:rPr>
            </w:pPr>
          </w:p>
        </w:tc>
        <w:tc>
          <w:tcPr>
            <w:tcW w:w="3804" w:type="dxa"/>
            <w:gridSpan w:val="2"/>
            <w:tcBorders>
              <w:top w:val="single" w:color="000000" w:sz="4" w:space="0"/>
              <w:left w:val="single" w:color="000000" w:sz="4" w:space="0"/>
              <w:bottom w:val="single" w:color="000000" w:sz="4" w:space="0"/>
              <w:right w:val="single" w:color="000000" w:sz="4" w:space="0"/>
            </w:tcBorders>
            <w:noWrap w:val="0"/>
            <w:vAlign w:val="center"/>
          </w:tcPr>
          <w:p w14:paraId="228741E4">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12层（台）</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60F0C7CF">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7</w:t>
            </w:r>
          </w:p>
        </w:tc>
      </w:tr>
      <w:tr w14:paraId="07D1E439">
        <w:tblPrEx>
          <w:tblCellMar>
            <w:top w:w="15" w:type="dxa"/>
            <w:left w:w="15" w:type="dxa"/>
            <w:bottom w:w="15" w:type="dxa"/>
            <w:right w:w="15" w:type="dxa"/>
          </w:tblCellMar>
        </w:tblPrEx>
        <w:trPr>
          <w:trHeight w:val="23" w:hRule="atLeast"/>
          <w:jc w:val="center"/>
        </w:trPr>
        <w:tc>
          <w:tcPr>
            <w:tcW w:w="3804"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544EE20">
            <w:pPr>
              <w:widowControl/>
              <w:jc w:val="center"/>
              <w:textAlignment w:val="center"/>
              <w:rPr>
                <w:rFonts w:hint="eastAsia" w:ascii="宋体" w:hAnsi="宋体" w:eastAsia="宋体" w:cs="宋体"/>
                <w:color w:val="auto"/>
                <w:sz w:val="22"/>
                <w:szCs w:val="22"/>
              </w:rPr>
            </w:pPr>
          </w:p>
        </w:tc>
        <w:tc>
          <w:tcPr>
            <w:tcW w:w="3804" w:type="dxa"/>
            <w:gridSpan w:val="2"/>
            <w:tcBorders>
              <w:top w:val="single" w:color="000000" w:sz="4" w:space="0"/>
              <w:left w:val="single" w:color="000000" w:sz="4" w:space="0"/>
              <w:bottom w:val="single" w:color="000000" w:sz="4" w:space="0"/>
              <w:right w:val="single" w:color="000000" w:sz="4" w:space="0"/>
            </w:tcBorders>
            <w:noWrap w:val="0"/>
            <w:vAlign w:val="center"/>
          </w:tcPr>
          <w:p w14:paraId="2866E792">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19层（台）</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4BCEAC6C">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12</w:t>
            </w:r>
          </w:p>
        </w:tc>
      </w:tr>
      <w:tr w14:paraId="372C332A">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20D386FA">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门卫室数量（个）</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14B12A91">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1</w:t>
            </w:r>
          </w:p>
        </w:tc>
      </w:tr>
      <w:tr w14:paraId="58F9D038">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6404E010">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消控</w:t>
            </w:r>
            <w:r>
              <w:rPr>
                <w:rFonts w:hint="eastAsia" w:ascii="宋体" w:hAnsi="宋体" w:eastAsia="宋体" w:cs="宋体"/>
                <w:color w:val="auto"/>
                <w:sz w:val="22"/>
                <w:szCs w:val="22"/>
                <w:lang w:val="en-US" w:eastAsia="zh-CN"/>
              </w:rPr>
              <w:t>/</w:t>
            </w:r>
            <w:r>
              <w:rPr>
                <w:rFonts w:hint="eastAsia" w:ascii="宋体" w:hAnsi="宋体" w:eastAsia="宋体" w:cs="宋体"/>
                <w:color w:val="auto"/>
                <w:sz w:val="22"/>
                <w:szCs w:val="22"/>
              </w:rPr>
              <w:t>监控室（个）</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7E9D65C6">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1</w:t>
            </w:r>
          </w:p>
        </w:tc>
      </w:tr>
      <w:tr w14:paraId="52C1BEBF">
        <w:tblPrEx>
          <w:tblCellMar>
            <w:top w:w="15" w:type="dxa"/>
            <w:left w:w="15" w:type="dxa"/>
            <w:bottom w:w="15" w:type="dxa"/>
            <w:right w:w="15" w:type="dxa"/>
          </w:tblCellMar>
        </w:tblPrEx>
        <w:trPr>
          <w:trHeight w:val="23" w:hRule="atLeast"/>
          <w:jc w:val="center"/>
        </w:trPr>
        <w:tc>
          <w:tcPr>
            <w:tcW w:w="7608" w:type="dxa"/>
            <w:gridSpan w:val="5"/>
            <w:tcBorders>
              <w:top w:val="single" w:color="000000" w:sz="4" w:space="0"/>
              <w:left w:val="single" w:color="000000" w:sz="4" w:space="0"/>
              <w:bottom w:val="single" w:color="000000" w:sz="4" w:space="0"/>
              <w:right w:val="single" w:color="000000" w:sz="4" w:space="0"/>
            </w:tcBorders>
            <w:noWrap w:val="0"/>
            <w:vAlign w:val="center"/>
          </w:tcPr>
          <w:p w14:paraId="4C366AF9">
            <w:pPr>
              <w:widowControl/>
              <w:jc w:val="center"/>
              <w:textAlignment w:val="center"/>
              <w:rPr>
                <w:rFonts w:hint="eastAsia" w:ascii="宋体" w:hAnsi="宋体" w:eastAsia="宋体" w:cs="宋体"/>
                <w:color w:val="auto"/>
                <w:sz w:val="22"/>
                <w:szCs w:val="22"/>
              </w:rPr>
            </w:pP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5F2EA493">
            <w:pPr>
              <w:widowControl/>
              <w:jc w:val="center"/>
              <w:textAlignment w:val="center"/>
              <w:rPr>
                <w:rFonts w:hint="eastAsia" w:ascii="宋体" w:hAnsi="宋体" w:eastAsia="宋体" w:cs="宋体"/>
                <w:color w:val="auto"/>
                <w:sz w:val="22"/>
                <w:szCs w:val="22"/>
              </w:rPr>
            </w:pPr>
          </w:p>
        </w:tc>
      </w:tr>
      <w:tr w14:paraId="6D0240D5">
        <w:tblPrEx>
          <w:tblCellMar>
            <w:top w:w="15" w:type="dxa"/>
            <w:left w:w="15" w:type="dxa"/>
            <w:bottom w:w="15" w:type="dxa"/>
            <w:right w:w="15" w:type="dxa"/>
          </w:tblCellMar>
        </w:tblPrEx>
        <w:trPr>
          <w:trHeight w:val="23" w:hRule="atLeast"/>
          <w:jc w:val="center"/>
        </w:trPr>
        <w:tc>
          <w:tcPr>
            <w:tcW w:w="5298" w:type="dxa"/>
            <w:gridSpan w:val="4"/>
            <w:vMerge w:val="restart"/>
            <w:tcBorders>
              <w:top w:val="single" w:color="000000" w:sz="4" w:space="0"/>
              <w:left w:val="single" w:color="000000" w:sz="4" w:space="0"/>
              <w:right w:val="single" w:color="000000" w:sz="4" w:space="0"/>
            </w:tcBorders>
            <w:noWrap w:val="0"/>
            <w:vAlign w:val="center"/>
          </w:tcPr>
          <w:p w14:paraId="60F47484">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机动车停车位</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41FC138">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停车位总数（个）</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78311180">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446</w:t>
            </w:r>
          </w:p>
        </w:tc>
      </w:tr>
      <w:tr w14:paraId="6736E0E9">
        <w:tblPrEx>
          <w:tblCellMar>
            <w:top w:w="15" w:type="dxa"/>
            <w:left w:w="15" w:type="dxa"/>
            <w:bottom w:w="15" w:type="dxa"/>
            <w:right w:w="15" w:type="dxa"/>
          </w:tblCellMar>
        </w:tblPrEx>
        <w:trPr>
          <w:trHeight w:val="23" w:hRule="atLeast"/>
          <w:jc w:val="center"/>
        </w:trPr>
        <w:tc>
          <w:tcPr>
            <w:tcW w:w="5298" w:type="dxa"/>
            <w:gridSpan w:val="4"/>
            <w:vMerge w:val="continue"/>
            <w:tcBorders>
              <w:left w:val="single" w:color="000000" w:sz="4" w:space="0"/>
              <w:right w:val="single" w:color="000000" w:sz="4" w:space="0"/>
            </w:tcBorders>
            <w:noWrap w:val="0"/>
            <w:vAlign w:val="center"/>
          </w:tcPr>
          <w:p w14:paraId="3D84584D">
            <w:pPr>
              <w:widowControl/>
              <w:jc w:val="center"/>
              <w:textAlignment w:val="center"/>
              <w:rPr>
                <w:rFonts w:hint="eastAsia" w:ascii="宋体" w:hAnsi="宋体" w:eastAsia="宋体" w:cs="宋体"/>
                <w:color w:val="auto"/>
                <w:sz w:val="22"/>
                <w:szCs w:val="22"/>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8C3DBF4">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地面停车位数（个）</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6998051B">
            <w:pPr>
              <w:widowControl/>
              <w:jc w:val="center"/>
              <w:textAlignment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27</w:t>
            </w:r>
          </w:p>
        </w:tc>
      </w:tr>
      <w:tr w14:paraId="5EF7D9D3">
        <w:tblPrEx>
          <w:tblCellMar>
            <w:top w:w="15" w:type="dxa"/>
            <w:left w:w="15" w:type="dxa"/>
            <w:bottom w:w="15" w:type="dxa"/>
            <w:right w:w="15" w:type="dxa"/>
          </w:tblCellMar>
        </w:tblPrEx>
        <w:trPr>
          <w:trHeight w:val="23" w:hRule="atLeast"/>
          <w:jc w:val="center"/>
        </w:trPr>
        <w:tc>
          <w:tcPr>
            <w:tcW w:w="5298" w:type="dxa"/>
            <w:gridSpan w:val="4"/>
            <w:vMerge w:val="continue"/>
            <w:tcBorders>
              <w:left w:val="single" w:color="000000" w:sz="4" w:space="0"/>
              <w:bottom w:val="single" w:color="000000" w:sz="4" w:space="0"/>
              <w:right w:val="single" w:color="000000" w:sz="4" w:space="0"/>
            </w:tcBorders>
            <w:noWrap w:val="0"/>
            <w:vAlign w:val="center"/>
          </w:tcPr>
          <w:p w14:paraId="6EF13F78">
            <w:pPr>
              <w:widowControl/>
              <w:jc w:val="center"/>
              <w:textAlignment w:val="center"/>
              <w:rPr>
                <w:rFonts w:hint="eastAsia" w:ascii="宋体" w:hAnsi="宋体" w:eastAsia="宋体" w:cs="宋体"/>
                <w:color w:val="auto"/>
                <w:sz w:val="22"/>
                <w:szCs w:val="22"/>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F04B1F4">
            <w:pPr>
              <w:widowControl/>
              <w:jc w:val="center"/>
              <w:textAlignment w:val="center"/>
              <w:rPr>
                <w:rFonts w:hint="eastAsia" w:ascii="宋体" w:hAnsi="宋体" w:eastAsia="宋体" w:cs="宋体"/>
                <w:color w:val="auto"/>
                <w:sz w:val="22"/>
                <w:szCs w:val="22"/>
              </w:rPr>
            </w:pPr>
            <w:r>
              <w:rPr>
                <w:rFonts w:hint="eastAsia" w:ascii="宋体" w:hAnsi="宋体" w:eastAsia="宋体" w:cs="宋体"/>
                <w:color w:val="auto"/>
                <w:sz w:val="22"/>
                <w:szCs w:val="22"/>
              </w:rPr>
              <w:t>地下停车位数（个）</w:t>
            </w:r>
          </w:p>
        </w:tc>
        <w:tc>
          <w:tcPr>
            <w:tcW w:w="2177" w:type="dxa"/>
            <w:tcBorders>
              <w:top w:val="single" w:color="000000" w:sz="4" w:space="0"/>
              <w:left w:val="single" w:color="000000" w:sz="4" w:space="0"/>
              <w:bottom w:val="single" w:color="000000" w:sz="4" w:space="0"/>
              <w:right w:val="single" w:color="000000" w:sz="4" w:space="0"/>
            </w:tcBorders>
            <w:noWrap w:val="0"/>
            <w:vAlign w:val="center"/>
          </w:tcPr>
          <w:p w14:paraId="3B648546">
            <w:pPr>
              <w:widowControl/>
              <w:jc w:val="center"/>
              <w:textAlignment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419</w:t>
            </w:r>
          </w:p>
        </w:tc>
      </w:tr>
    </w:tbl>
    <w:p w14:paraId="5E7FE08E">
      <w:pPr>
        <w:keepNext w:val="0"/>
        <w:keepLines w:val="0"/>
        <w:pageBreakBefore w:val="0"/>
        <w:widowControl w:val="0"/>
        <w:kinsoku/>
        <w:wordWrap/>
        <w:overflowPunct/>
        <w:topLinePunct w:val="0"/>
        <w:autoSpaceDE/>
        <w:autoSpaceDN/>
        <w:bidi w:val="0"/>
        <w:spacing w:line="440" w:lineRule="exact"/>
        <w:ind w:firstLine="482"/>
        <w:jc w:val="left"/>
        <w:textAlignment w:val="auto"/>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三、物业管理人员配置及要求</w:t>
      </w:r>
    </w:p>
    <w:p w14:paraId="1101795D">
      <w:pPr>
        <w:keepNext w:val="0"/>
        <w:keepLines w:val="0"/>
        <w:pageBreakBefore w:val="0"/>
        <w:widowControl w:val="0"/>
        <w:kinsoku/>
        <w:wordWrap/>
        <w:overflowPunct/>
        <w:topLinePunct w:val="0"/>
        <w:autoSpaceDE/>
        <w:autoSpaceDN/>
        <w:bidi w:val="0"/>
        <w:spacing w:line="440" w:lineRule="exact"/>
        <w:ind w:firstLine="482"/>
        <w:jc w:val="left"/>
        <w:textAlignment w:val="auto"/>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1.人员最低配置要求</w:t>
      </w:r>
    </w:p>
    <w:tbl>
      <w:tblPr>
        <w:tblStyle w:val="34"/>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755"/>
        <w:gridCol w:w="1278"/>
        <w:gridCol w:w="708"/>
        <w:gridCol w:w="1269"/>
        <w:gridCol w:w="693"/>
        <w:gridCol w:w="1354"/>
        <w:gridCol w:w="1685"/>
        <w:gridCol w:w="1681"/>
      </w:tblGrid>
      <w:tr w14:paraId="5544B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555" w:type="dxa"/>
            <w:gridSpan w:val="3"/>
            <w:noWrap w:val="0"/>
            <w:tcMar>
              <w:top w:w="15" w:type="dxa"/>
              <w:left w:w="15" w:type="dxa"/>
              <w:bottom w:w="15" w:type="dxa"/>
              <w:right w:w="15" w:type="dxa"/>
            </w:tcMar>
            <w:vAlign w:val="center"/>
          </w:tcPr>
          <w:p w14:paraId="09AA291A">
            <w:pPr>
              <w:widowControl/>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w:t>
            </w:r>
          </w:p>
        </w:tc>
        <w:tc>
          <w:tcPr>
            <w:tcW w:w="708" w:type="dxa"/>
            <w:noWrap w:val="0"/>
            <w:tcMar>
              <w:top w:w="15" w:type="dxa"/>
              <w:left w:w="15" w:type="dxa"/>
              <w:bottom w:w="15" w:type="dxa"/>
              <w:right w:w="15" w:type="dxa"/>
            </w:tcMar>
            <w:vAlign w:val="center"/>
          </w:tcPr>
          <w:p w14:paraId="4603B1A5">
            <w:pPr>
              <w:widowControl/>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性别</w:t>
            </w:r>
          </w:p>
        </w:tc>
        <w:tc>
          <w:tcPr>
            <w:tcW w:w="1269" w:type="dxa"/>
            <w:noWrap w:val="0"/>
            <w:tcMar>
              <w:top w:w="15" w:type="dxa"/>
              <w:left w:w="15" w:type="dxa"/>
              <w:bottom w:w="15" w:type="dxa"/>
              <w:right w:w="15" w:type="dxa"/>
            </w:tcMar>
            <w:vAlign w:val="center"/>
          </w:tcPr>
          <w:p w14:paraId="3A67D073">
            <w:pPr>
              <w:widowControl/>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年龄要求</w:t>
            </w:r>
          </w:p>
        </w:tc>
        <w:tc>
          <w:tcPr>
            <w:tcW w:w="693" w:type="dxa"/>
            <w:noWrap w:val="0"/>
            <w:tcMar>
              <w:top w:w="15" w:type="dxa"/>
              <w:left w:w="15" w:type="dxa"/>
              <w:bottom w:w="15" w:type="dxa"/>
              <w:right w:w="15" w:type="dxa"/>
            </w:tcMar>
            <w:vAlign w:val="center"/>
          </w:tcPr>
          <w:p w14:paraId="75AAB067">
            <w:pPr>
              <w:widowControl/>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人数</w:t>
            </w:r>
          </w:p>
        </w:tc>
        <w:tc>
          <w:tcPr>
            <w:tcW w:w="1354" w:type="dxa"/>
            <w:noWrap w:val="0"/>
            <w:tcMar>
              <w:top w:w="15" w:type="dxa"/>
              <w:left w:w="15" w:type="dxa"/>
              <w:bottom w:w="15" w:type="dxa"/>
              <w:right w:w="15" w:type="dxa"/>
            </w:tcMar>
            <w:vAlign w:val="center"/>
          </w:tcPr>
          <w:p w14:paraId="7F191083">
            <w:pPr>
              <w:widowControl/>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上班时制</w:t>
            </w:r>
          </w:p>
        </w:tc>
        <w:tc>
          <w:tcPr>
            <w:tcW w:w="1685" w:type="dxa"/>
            <w:noWrap w:val="0"/>
            <w:tcMar>
              <w:top w:w="15" w:type="dxa"/>
              <w:left w:w="15" w:type="dxa"/>
              <w:bottom w:w="15" w:type="dxa"/>
              <w:right w:w="15" w:type="dxa"/>
            </w:tcMar>
            <w:vAlign w:val="center"/>
          </w:tcPr>
          <w:p w14:paraId="69A19BAB">
            <w:pPr>
              <w:widowControl/>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说明</w:t>
            </w:r>
          </w:p>
        </w:tc>
        <w:tc>
          <w:tcPr>
            <w:tcW w:w="1681" w:type="dxa"/>
            <w:noWrap w:val="0"/>
            <w:tcMar>
              <w:top w:w="15" w:type="dxa"/>
              <w:left w:w="15" w:type="dxa"/>
              <w:bottom w:w="15" w:type="dxa"/>
              <w:right w:w="15" w:type="dxa"/>
            </w:tcMar>
            <w:vAlign w:val="center"/>
          </w:tcPr>
          <w:p w14:paraId="64155743">
            <w:pPr>
              <w:widowControl/>
              <w:jc w:val="center"/>
              <w:textAlignment w:val="cente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要求</w:t>
            </w:r>
          </w:p>
        </w:tc>
      </w:tr>
      <w:tr w14:paraId="11BDC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22" w:type="dxa"/>
            <w:noWrap w:val="0"/>
            <w:tcMar>
              <w:top w:w="15" w:type="dxa"/>
              <w:left w:w="15" w:type="dxa"/>
              <w:bottom w:w="15" w:type="dxa"/>
              <w:right w:w="15" w:type="dxa"/>
            </w:tcMar>
            <w:vAlign w:val="center"/>
          </w:tcPr>
          <w:p w14:paraId="6CC86D0A">
            <w:pPr>
              <w:widowControl/>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p>
        </w:tc>
        <w:tc>
          <w:tcPr>
            <w:tcW w:w="755" w:type="dxa"/>
            <w:noWrap w:val="0"/>
            <w:tcMar>
              <w:top w:w="15" w:type="dxa"/>
              <w:left w:w="15" w:type="dxa"/>
              <w:bottom w:w="15" w:type="dxa"/>
              <w:right w:w="15" w:type="dxa"/>
            </w:tcMar>
            <w:vAlign w:val="center"/>
          </w:tcPr>
          <w:p w14:paraId="16D7AB20">
            <w:pPr>
              <w:widowControl/>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管理部</w:t>
            </w:r>
          </w:p>
        </w:tc>
        <w:tc>
          <w:tcPr>
            <w:tcW w:w="1278" w:type="dxa"/>
            <w:noWrap w:val="0"/>
            <w:tcMar>
              <w:top w:w="15" w:type="dxa"/>
              <w:left w:w="15" w:type="dxa"/>
              <w:bottom w:w="15" w:type="dxa"/>
              <w:right w:w="15" w:type="dxa"/>
            </w:tcMar>
            <w:vAlign w:val="center"/>
          </w:tcPr>
          <w:p w14:paraId="4395CD8B">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物业</w:t>
            </w:r>
            <w:r>
              <w:rPr>
                <w:rFonts w:hint="eastAsia" w:ascii="宋体" w:hAnsi="宋体" w:eastAsia="宋体" w:cs="宋体"/>
                <w:b w:val="0"/>
                <w:bCs w:val="0"/>
                <w:color w:val="auto"/>
                <w:sz w:val="21"/>
                <w:szCs w:val="21"/>
                <w:highlight w:val="none"/>
                <w:lang w:val="en-US" w:eastAsia="zh-CN"/>
              </w:rPr>
              <w:t>主管兼客服（项目负责人）</w:t>
            </w:r>
          </w:p>
        </w:tc>
        <w:tc>
          <w:tcPr>
            <w:tcW w:w="708" w:type="dxa"/>
            <w:noWrap w:val="0"/>
            <w:tcMar>
              <w:top w:w="15" w:type="dxa"/>
              <w:left w:w="15" w:type="dxa"/>
              <w:bottom w:w="15" w:type="dxa"/>
              <w:right w:w="15" w:type="dxa"/>
            </w:tcMar>
            <w:vAlign w:val="center"/>
          </w:tcPr>
          <w:p w14:paraId="3174D4AB">
            <w:pPr>
              <w:widowControl/>
              <w:jc w:val="center"/>
              <w:textAlignment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不限</w:t>
            </w:r>
          </w:p>
        </w:tc>
        <w:tc>
          <w:tcPr>
            <w:tcW w:w="1269" w:type="dxa"/>
            <w:noWrap w:val="0"/>
            <w:tcMar>
              <w:top w:w="15" w:type="dxa"/>
              <w:left w:w="15" w:type="dxa"/>
              <w:bottom w:w="15" w:type="dxa"/>
              <w:right w:w="15" w:type="dxa"/>
            </w:tcMar>
            <w:vAlign w:val="center"/>
          </w:tcPr>
          <w:p w14:paraId="74B66D02">
            <w:pPr>
              <w:widowControl/>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50周岁（含）以下</w:t>
            </w:r>
          </w:p>
        </w:tc>
        <w:tc>
          <w:tcPr>
            <w:tcW w:w="693" w:type="dxa"/>
            <w:noWrap w:val="0"/>
            <w:tcMar>
              <w:top w:w="15" w:type="dxa"/>
              <w:left w:w="15" w:type="dxa"/>
              <w:bottom w:w="15" w:type="dxa"/>
              <w:right w:w="15" w:type="dxa"/>
            </w:tcMar>
            <w:vAlign w:val="center"/>
          </w:tcPr>
          <w:p w14:paraId="72AD2A70">
            <w:pPr>
              <w:widowControl/>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1人</w:t>
            </w:r>
          </w:p>
        </w:tc>
        <w:tc>
          <w:tcPr>
            <w:tcW w:w="1354" w:type="dxa"/>
            <w:noWrap w:val="0"/>
            <w:tcMar>
              <w:top w:w="15" w:type="dxa"/>
              <w:left w:w="15" w:type="dxa"/>
              <w:bottom w:w="15" w:type="dxa"/>
              <w:right w:w="15" w:type="dxa"/>
            </w:tcMar>
            <w:vAlign w:val="center"/>
          </w:tcPr>
          <w:p w14:paraId="1E293E9C">
            <w:pPr>
              <w:widowControl/>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5天8小时制</w:t>
            </w:r>
          </w:p>
        </w:tc>
        <w:tc>
          <w:tcPr>
            <w:tcW w:w="1685" w:type="dxa"/>
            <w:noWrap w:val="0"/>
            <w:tcMar>
              <w:top w:w="15" w:type="dxa"/>
              <w:left w:w="15" w:type="dxa"/>
              <w:bottom w:w="15" w:type="dxa"/>
              <w:right w:w="15" w:type="dxa"/>
            </w:tcMar>
            <w:vAlign w:val="center"/>
          </w:tcPr>
          <w:p w14:paraId="2D574773">
            <w:pPr>
              <w:widowControl/>
              <w:jc w:val="center"/>
              <w:textAlignment w:val="center"/>
              <w:rPr>
                <w:rFonts w:hint="eastAsia" w:ascii="宋体" w:hAnsi="宋体" w:eastAsia="宋体" w:cs="宋体"/>
                <w:color w:val="auto"/>
                <w:sz w:val="21"/>
                <w:szCs w:val="21"/>
                <w:highlight w:val="none"/>
              </w:rPr>
            </w:pPr>
          </w:p>
        </w:tc>
        <w:tc>
          <w:tcPr>
            <w:tcW w:w="1681" w:type="dxa"/>
            <w:noWrap w:val="0"/>
            <w:tcMar>
              <w:top w:w="15" w:type="dxa"/>
              <w:left w:w="15" w:type="dxa"/>
              <w:bottom w:w="15" w:type="dxa"/>
              <w:right w:w="15" w:type="dxa"/>
            </w:tcMar>
            <w:vAlign w:val="center"/>
          </w:tcPr>
          <w:p w14:paraId="49037ECF">
            <w:pPr>
              <w:widowControl/>
              <w:jc w:val="center"/>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投标时提供由区级及以上社保部门出具的近三个月中任意一个月份不含投标当月缴纳社保的证明</w:t>
            </w:r>
          </w:p>
        </w:tc>
      </w:tr>
      <w:tr w14:paraId="79E7F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522" w:type="dxa"/>
            <w:vMerge w:val="restart"/>
            <w:noWrap w:val="0"/>
            <w:tcMar>
              <w:top w:w="15" w:type="dxa"/>
              <w:left w:w="15" w:type="dxa"/>
              <w:bottom w:w="15" w:type="dxa"/>
              <w:right w:w="15" w:type="dxa"/>
            </w:tcMar>
            <w:vAlign w:val="center"/>
          </w:tcPr>
          <w:p w14:paraId="4056B24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755" w:type="dxa"/>
            <w:vMerge w:val="restart"/>
            <w:noWrap w:val="0"/>
            <w:tcMar>
              <w:top w:w="15" w:type="dxa"/>
              <w:left w:w="15" w:type="dxa"/>
              <w:bottom w:w="15" w:type="dxa"/>
              <w:right w:w="15" w:type="dxa"/>
            </w:tcMar>
            <w:vAlign w:val="center"/>
          </w:tcPr>
          <w:p w14:paraId="208901E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保安部</w:t>
            </w:r>
          </w:p>
        </w:tc>
        <w:tc>
          <w:tcPr>
            <w:tcW w:w="1278" w:type="dxa"/>
            <w:noWrap w:val="0"/>
            <w:tcMar>
              <w:top w:w="15" w:type="dxa"/>
              <w:left w:w="15" w:type="dxa"/>
              <w:bottom w:w="15" w:type="dxa"/>
              <w:right w:w="15" w:type="dxa"/>
            </w:tcMar>
            <w:vAlign w:val="center"/>
          </w:tcPr>
          <w:p w14:paraId="2990139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保安队长兼巡逻</w:t>
            </w:r>
          </w:p>
        </w:tc>
        <w:tc>
          <w:tcPr>
            <w:tcW w:w="708" w:type="dxa"/>
            <w:noWrap w:val="0"/>
            <w:tcMar>
              <w:top w:w="15" w:type="dxa"/>
              <w:left w:w="15" w:type="dxa"/>
              <w:bottom w:w="15" w:type="dxa"/>
              <w:right w:w="15" w:type="dxa"/>
            </w:tcMar>
            <w:vAlign w:val="center"/>
          </w:tcPr>
          <w:p w14:paraId="34BFA88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男</w:t>
            </w:r>
          </w:p>
        </w:tc>
        <w:tc>
          <w:tcPr>
            <w:tcW w:w="1269" w:type="dxa"/>
            <w:noWrap w:val="0"/>
            <w:tcMar>
              <w:top w:w="15" w:type="dxa"/>
              <w:left w:w="15" w:type="dxa"/>
              <w:bottom w:w="15" w:type="dxa"/>
              <w:right w:w="15" w:type="dxa"/>
            </w:tcMar>
            <w:vAlign w:val="center"/>
          </w:tcPr>
          <w:p w14:paraId="0B6C91D2">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45周岁（含）以下</w:t>
            </w:r>
          </w:p>
        </w:tc>
        <w:tc>
          <w:tcPr>
            <w:tcW w:w="693" w:type="dxa"/>
            <w:noWrap w:val="0"/>
            <w:tcMar>
              <w:top w:w="15" w:type="dxa"/>
              <w:left w:w="15" w:type="dxa"/>
              <w:bottom w:w="15" w:type="dxa"/>
              <w:right w:w="15" w:type="dxa"/>
            </w:tcMar>
            <w:vAlign w:val="center"/>
          </w:tcPr>
          <w:p w14:paraId="2122CC9B">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1人</w:t>
            </w:r>
          </w:p>
        </w:tc>
        <w:tc>
          <w:tcPr>
            <w:tcW w:w="1354" w:type="dxa"/>
            <w:noWrap w:val="0"/>
            <w:tcMar>
              <w:top w:w="15" w:type="dxa"/>
              <w:left w:w="15" w:type="dxa"/>
              <w:bottom w:w="15" w:type="dxa"/>
              <w:right w:w="15" w:type="dxa"/>
            </w:tcMar>
            <w:vAlign w:val="center"/>
          </w:tcPr>
          <w:p w14:paraId="4BCCC64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5天8小时制</w:t>
            </w:r>
          </w:p>
        </w:tc>
        <w:tc>
          <w:tcPr>
            <w:tcW w:w="1685" w:type="dxa"/>
            <w:noWrap w:val="0"/>
            <w:tcMar>
              <w:top w:w="15" w:type="dxa"/>
              <w:left w:w="15" w:type="dxa"/>
              <w:bottom w:w="15" w:type="dxa"/>
              <w:right w:w="15" w:type="dxa"/>
            </w:tcMar>
            <w:vAlign w:val="center"/>
          </w:tcPr>
          <w:p w14:paraId="3646607A">
            <w:pPr>
              <w:widowControl/>
              <w:jc w:val="center"/>
              <w:textAlignment w:val="center"/>
              <w:rPr>
                <w:rFonts w:hint="eastAsia" w:ascii="宋体" w:hAnsi="宋体" w:eastAsia="宋体" w:cs="宋体"/>
                <w:color w:val="auto"/>
                <w:sz w:val="21"/>
                <w:szCs w:val="21"/>
                <w:highlight w:val="none"/>
              </w:rPr>
            </w:pPr>
          </w:p>
        </w:tc>
        <w:tc>
          <w:tcPr>
            <w:tcW w:w="1681" w:type="dxa"/>
            <w:vMerge w:val="restart"/>
            <w:noWrap w:val="0"/>
            <w:tcMar>
              <w:top w:w="15" w:type="dxa"/>
              <w:left w:w="15" w:type="dxa"/>
              <w:bottom w:w="15" w:type="dxa"/>
              <w:right w:w="15" w:type="dxa"/>
            </w:tcMar>
            <w:vAlign w:val="center"/>
          </w:tcPr>
          <w:p w14:paraId="5E350891">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中标后提供由区级及以上社保部门出具的中标供应商依法为其缴纳的社保缴费证明，以及中标供应商为其缴纳的意外伤害保险证明</w:t>
            </w:r>
          </w:p>
        </w:tc>
      </w:tr>
      <w:tr w14:paraId="591E4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522" w:type="dxa"/>
            <w:vMerge w:val="continue"/>
            <w:noWrap w:val="0"/>
            <w:vAlign w:val="center"/>
          </w:tcPr>
          <w:p w14:paraId="1900F2F8">
            <w:pPr>
              <w:widowControl/>
              <w:jc w:val="left"/>
              <w:rPr>
                <w:rFonts w:hint="eastAsia" w:ascii="宋体" w:hAnsi="宋体" w:eastAsia="宋体" w:cs="宋体"/>
                <w:color w:val="auto"/>
                <w:sz w:val="21"/>
                <w:szCs w:val="21"/>
                <w:highlight w:val="none"/>
              </w:rPr>
            </w:pPr>
          </w:p>
        </w:tc>
        <w:tc>
          <w:tcPr>
            <w:tcW w:w="755" w:type="dxa"/>
            <w:vMerge w:val="continue"/>
            <w:noWrap w:val="0"/>
            <w:vAlign w:val="center"/>
          </w:tcPr>
          <w:p w14:paraId="116AD854">
            <w:pPr>
              <w:widowControl/>
              <w:jc w:val="left"/>
              <w:rPr>
                <w:rFonts w:hint="eastAsia" w:ascii="宋体" w:hAnsi="宋体" w:eastAsia="宋体" w:cs="宋体"/>
                <w:color w:val="auto"/>
                <w:sz w:val="21"/>
                <w:szCs w:val="21"/>
                <w:highlight w:val="none"/>
              </w:rPr>
            </w:pPr>
          </w:p>
        </w:tc>
        <w:tc>
          <w:tcPr>
            <w:tcW w:w="1278" w:type="dxa"/>
            <w:noWrap w:val="0"/>
            <w:tcMar>
              <w:top w:w="15" w:type="dxa"/>
              <w:left w:w="15" w:type="dxa"/>
              <w:bottom w:w="15" w:type="dxa"/>
              <w:right w:w="15" w:type="dxa"/>
            </w:tcMar>
            <w:vAlign w:val="center"/>
          </w:tcPr>
          <w:p w14:paraId="777B29F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门岗</w:t>
            </w:r>
          </w:p>
        </w:tc>
        <w:tc>
          <w:tcPr>
            <w:tcW w:w="708" w:type="dxa"/>
            <w:noWrap w:val="0"/>
            <w:tcMar>
              <w:top w:w="15" w:type="dxa"/>
              <w:left w:w="15" w:type="dxa"/>
              <w:bottom w:w="15" w:type="dxa"/>
              <w:right w:w="15" w:type="dxa"/>
            </w:tcMar>
            <w:vAlign w:val="center"/>
          </w:tcPr>
          <w:p w14:paraId="7B4DD5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男</w:t>
            </w:r>
          </w:p>
        </w:tc>
        <w:tc>
          <w:tcPr>
            <w:tcW w:w="1269" w:type="dxa"/>
            <w:noWrap w:val="0"/>
            <w:tcMar>
              <w:top w:w="15" w:type="dxa"/>
              <w:left w:w="15" w:type="dxa"/>
              <w:bottom w:w="15" w:type="dxa"/>
              <w:right w:w="15" w:type="dxa"/>
            </w:tcMar>
            <w:vAlign w:val="center"/>
          </w:tcPr>
          <w:p w14:paraId="4F46FF38">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55周岁（含）以下</w:t>
            </w:r>
          </w:p>
        </w:tc>
        <w:tc>
          <w:tcPr>
            <w:tcW w:w="693" w:type="dxa"/>
            <w:noWrap w:val="0"/>
            <w:tcMar>
              <w:top w:w="15" w:type="dxa"/>
              <w:left w:w="15" w:type="dxa"/>
              <w:bottom w:w="15" w:type="dxa"/>
              <w:right w:w="15" w:type="dxa"/>
            </w:tcMar>
            <w:vAlign w:val="center"/>
          </w:tcPr>
          <w:p w14:paraId="7208C808">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2人</w:t>
            </w:r>
          </w:p>
        </w:tc>
        <w:tc>
          <w:tcPr>
            <w:tcW w:w="1354" w:type="dxa"/>
            <w:noWrap w:val="0"/>
            <w:tcMar>
              <w:top w:w="15" w:type="dxa"/>
              <w:left w:w="15" w:type="dxa"/>
              <w:bottom w:w="15" w:type="dxa"/>
              <w:right w:w="15" w:type="dxa"/>
            </w:tcMar>
            <w:vAlign w:val="center"/>
          </w:tcPr>
          <w:p w14:paraId="2F3150FF">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12小时轮岗</w:t>
            </w:r>
          </w:p>
        </w:tc>
        <w:tc>
          <w:tcPr>
            <w:tcW w:w="1685" w:type="dxa"/>
            <w:noWrap w:val="0"/>
            <w:tcMar>
              <w:top w:w="15" w:type="dxa"/>
              <w:left w:w="15" w:type="dxa"/>
              <w:bottom w:w="15" w:type="dxa"/>
              <w:right w:w="15" w:type="dxa"/>
            </w:tcMar>
            <w:vAlign w:val="center"/>
          </w:tcPr>
          <w:p w14:paraId="51F9BF6A">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1个门岗</w:t>
            </w:r>
          </w:p>
        </w:tc>
        <w:tc>
          <w:tcPr>
            <w:tcW w:w="1681" w:type="dxa"/>
            <w:vMerge w:val="continue"/>
            <w:noWrap w:val="0"/>
            <w:tcMar>
              <w:top w:w="15" w:type="dxa"/>
              <w:left w:w="15" w:type="dxa"/>
              <w:bottom w:w="15" w:type="dxa"/>
              <w:right w:w="15" w:type="dxa"/>
            </w:tcMar>
            <w:vAlign w:val="center"/>
          </w:tcPr>
          <w:p w14:paraId="6FFB3BE6">
            <w:pPr>
              <w:rPr>
                <w:rFonts w:hint="eastAsia" w:ascii="宋体" w:hAnsi="宋体" w:eastAsia="宋体" w:cs="宋体"/>
                <w:color w:val="auto"/>
                <w:sz w:val="21"/>
                <w:szCs w:val="21"/>
                <w:highlight w:val="none"/>
                <w:lang w:val="en-US" w:eastAsia="zh-CN"/>
              </w:rPr>
            </w:pPr>
          </w:p>
        </w:tc>
      </w:tr>
      <w:tr w14:paraId="4EF4C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22" w:type="dxa"/>
            <w:vMerge w:val="continue"/>
            <w:noWrap w:val="0"/>
            <w:vAlign w:val="center"/>
          </w:tcPr>
          <w:p w14:paraId="22E842EA">
            <w:pPr>
              <w:widowControl/>
              <w:jc w:val="left"/>
              <w:rPr>
                <w:rFonts w:hint="eastAsia" w:ascii="宋体" w:hAnsi="宋体" w:eastAsia="宋体" w:cs="宋体"/>
                <w:color w:val="auto"/>
                <w:sz w:val="21"/>
                <w:szCs w:val="21"/>
                <w:highlight w:val="none"/>
              </w:rPr>
            </w:pPr>
          </w:p>
        </w:tc>
        <w:tc>
          <w:tcPr>
            <w:tcW w:w="755" w:type="dxa"/>
            <w:vMerge w:val="continue"/>
            <w:noWrap w:val="0"/>
            <w:vAlign w:val="center"/>
          </w:tcPr>
          <w:p w14:paraId="2A786E30">
            <w:pPr>
              <w:widowControl/>
              <w:jc w:val="left"/>
              <w:rPr>
                <w:rFonts w:hint="eastAsia" w:ascii="宋体" w:hAnsi="宋体" w:eastAsia="宋体" w:cs="宋体"/>
                <w:color w:val="auto"/>
                <w:sz w:val="21"/>
                <w:szCs w:val="21"/>
                <w:highlight w:val="none"/>
              </w:rPr>
            </w:pPr>
          </w:p>
        </w:tc>
        <w:tc>
          <w:tcPr>
            <w:tcW w:w="1278" w:type="dxa"/>
            <w:noWrap w:val="0"/>
            <w:tcMar>
              <w:top w:w="15" w:type="dxa"/>
              <w:left w:w="15" w:type="dxa"/>
              <w:bottom w:w="15" w:type="dxa"/>
              <w:right w:w="15" w:type="dxa"/>
            </w:tcMar>
            <w:vAlign w:val="center"/>
          </w:tcPr>
          <w:p w14:paraId="589FE2F8">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中控</w:t>
            </w:r>
            <w:r>
              <w:rPr>
                <w:rFonts w:hint="eastAsia" w:ascii="宋体" w:hAnsi="宋体" w:eastAsia="宋体" w:cs="宋体"/>
                <w:color w:val="auto"/>
                <w:sz w:val="21"/>
                <w:szCs w:val="21"/>
                <w:highlight w:val="none"/>
                <w:lang w:val="en-US" w:eastAsia="zh-CN"/>
              </w:rPr>
              <w:t>/消控</w:t>
            </w:r>
          </w:p>
        </w:tc>
        <w:tc>
          <w:tcPr>
            <w:tcW w:w="708" w:type="dxa"/>
            <w:noWrap w:val="0"/>
            <w:tcMar>
              <w:top w:w="15" w:type="dxa"/>
              <w:left w:w="15" w:type="dxa"/>
              <w:bottom w:w="15" w:type="dxa"/>
              <w:right w:w="15" w:type="dxa"/>
            </w:tcMar>
            <w:vAlign w:val="center"/>
          </w:tcPr>
          <w:p w14:paraId="01D6E8E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不限</w:t>
            </w:r>
          </w:p>
        </w:tc>
        <w:tc>
          <w:tcPr>
            <w:tcW w:w="1269" w:type="dxa"/>
            <w:noWrap w:val="0"/>
            <w:tcMar>
              <w:top w:w="15" w:type="dxa"/>
              <w:left w:w="15" w:type="dxa"/>
              <w:bottom w:w="15" w:type="dxa"/>
              <w:right w:w="15" w:type="dxa"/>
            </w:tcMar>
            <w:vAlign w:val="center"/>
          </w:tcPr>
          <w:p w14:paraId="3DA51FA6">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55周岁（含）以下</w:t>
            </w:r>
          </w:p>
        </w:tc>
        <w:tc>
          <w:tcPr>
            <w:tcW w:w="693" w:type="dxa"/>
            <w:noWrap w:val="0"/>
            <w:tcMar>
              <w:top w:w="15" w:type="dxa"/>
              <w:left w:w="15" w:type="dxa"/>
              <w:bottom w:w="15" w:type="dxa"/>
              <w:right w:w="15" w:type="dxa"/>
            </w:tcMar>
            <w:vAlign w:val="center"/>
          </w:tcPr>
          <w:p w14:paraId="6360E057">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4人</w:t>
            </w:r>
          </w:p>
        </w:tc>
        <w:tc>
          <w:tcPr>
            <w:tcW w:w="1354" w:type="dxa"/>
            <w:noWrap w:val="0"/>
            <w:tcMar>
              <w:top w:w="15" w:type="dxa"/>
              <w:left w:w="15" w:type="dxa"/>
              <w:bottom w:w="15" w:type="dxa"/>
              <w:right w:w="15" w:type="dxa"/>
            </w:tcMar>
            <w:vAlign w:val="center"/>
          </w:tcPr>
          <w:p w14:paraId="61FDDCC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12小时轮岗</w:t>
            </w:r>
          </w:p>
        </w:tc>
        <w:tc>
          <w:tcPr>
            <w:tcW w:w="1685" w:type="dxa"/>
            <w:noWrap w:val="0"/>
            <w:tcMar>
              <w:top w:w="15" w:type="dxa"/>
              <w:left w:w="15" w:type="dxa"/>
              <w:bottom w:w="15" w:type="dxa"/>
              <w:right w:w="15" w:type="dxa"/>
            </w:tcMar>
            <w:vAlign w:val="center"/>
          </w:tcPr>
          <w:p w14:paraId="04796489">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1个消控室，消控人员须持有全国《建（构）筑消防员》四级及以上或《消防设施操作员》四级及以上职业资格证书，承诺中标后、合同签订之前向采购人提供证书复印件进行备案</w:t>
            </w:r>
          </w:p>
        </w:tc>
        <w:tc>
          <w:tcPr>
            <w:tcW w:w="1681" w:type="dxa"/>
            <w:vMerge w:val="continue"/>
            <w:noWrap w:val="0"/>
            <w:tcMar>
              <w:top w:w="15" w:type="dxa"/>
              <w:left w:w="15" w:type="dxa"/>
              <w:bottom w:w="15" w:type="dxa"/>
              <w:right w:w="15" w:type="dxa"/>
            </w:tcMar>
            <w:vAlign w:val="center"/>
          </w:tcPr>
          <w:p w14:paraId="19A81485">
            <w:pPr>
              <w:widowControl/>
              <w:jc w:val="center"/>
              <w:textAlignment w:val="center"/>
              <w:rPr>
                <w:rFonts w:hint="eastAsia" w:ascii="宋体" w:hAnsi="宋体" w:eastAsia="宋体" w:cs="宋体"/>
                <w:color w:val="auto"/>
                <w:sz w:val="21"/>
                <w:szCs w:val="21"/>
                <w:highlight w:val="none"/>
                <w:lang w:val="en-US" w:eastAsia="zh-CN"/>
              </w:rPr>
            </w:pPr>
          </w:p>
        </w:tc>
      </w:tr>
      <w:tr w14:paraId="7EE2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522" w:type="dxa"/>
            <w:noWrap w:val="0"/>
            <w:tcMar>
              <w:top w:w="15" w:type="dxa"/>
              <w:left w:w="15" w:type="dxa"/>
              <w:bottom w:w="15" w:type="dxa"/>
              <w:right w:w="15" w:type="dxa"/>
            </w:tcMar>
            <w:vAlign w:val="center"/>
          </w:tcPr>
          <w:p w14:paraId="618FD5C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755" w:type="dxa"/>
            <w:noWrap w:val="0"/>
            <w:tcMar>
              <w:top w:w="15" w:type="dxa"/>
              <w:left w:w="15" w:type="dxa"/>
              <w:bottom w:w="15" w:type="dxa"/>
              <w:right w:w="15" w:type="dxa"/>
            </w:tcMar>
            <w:vAlign w:val="center"/>
          </w:tcPr>
          <w:p w14:paraId="5FAD4B4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保洁部</w:t>
            </w:r>
          </w:p>
        </w:tc>
        <w:tc>
          <w:tcPr>
            <w:tcW w:w="1278" w:type="dxa"/>
            <w:noWrap w:val="0"/>
            <w:tcMar>
              <w:top w:w="15" w:type="dxa"/>
              <w:left w:w="15" w:type="dxa"/>
              <w:bottom w:w="15" w:type="dxa"/>
              <w:right w:w="15" w:type="dxa"/>
            </w:tcMar>
            <w:vAlign w:val="center"/>
          </w:tcPr>
          <w:p w14:paraId="4B26DB0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保洁员</w:t>
            </w:r>
          </w:p>
        </w:tc>
        <w:tc>
          <w:tcPr>
            <w:tcW w:w="708" w:type="dxa"/>
            <w:noWrap w:val="0"/>
            <w:tcMar>
              <w:top w:w="15" w:type="dxa"/>
              <w:left w:w="15" w:type="dxa"/>
              <w:bottom w:w="15" w:type="dxa"/>
              <w:right w:w="15" w:type="dxa"/>
            </w:tcMar>
            <w:vAlign w:val="center"/>
          </w:tcPr>
          <w:p w14:paraId="7BE7A86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不限</w:t>
            </w:r>
          </w:p>
        </w:tc>
        <w:tc>
          <w:tcPr>
            <w:tcW w:w="1269" w:type="dxa"/>
            <w:noWrap w:val="0"/>
            <w:tcMar>
              <w:top w:w="15" w:type="dxa"/>
              <w:left w:w="15" w:type="dxa"/>
              <w:bottom w:w="15" w:type="dxa"/>
              <w:right w:w="15" w:type="dxa"/>
            </w:tcMar>
            <w:vAlign w:val="center"/>
          </w:tcPr>
          <w:p w14:paraId="4EA25C5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55周岁（含）以下</w:t>
            </w:r>
          </w:p>
        </w:tc>
        <w:tc>
          <w:tcPr>
            <w:tcW w:w="693" w:type="dxa"/>
            <w:noWrap w:val="0"/>
            <w:tcMar>
              <w:top w:w="15" w:type="dxa"/>
              <w:left w:w="15" w:type="dxa"/>
              <w:bottom w:w="15" w:type="dxa"/>
              <w:right w:w="15" w:type="dxa"/>
            </w:tcMar>
            <w:vAlign w:val="center"/>
          </w:tcPr>
          <w:p w14:paraId="6E8793D3">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2人</w:t>
            </w:r>
          </w:p>
        </w:tc>
        <w:tc>
          <w:tcPr>
            <w:tcW w:w="1354" w:type="dxa"/>
            <w:noWrap w:val="0"/>
            <w:tcMar>
              <w:top w:w="15" w:type="dxa"/>
              <w:left w:w="15" w:type="dxa"/>
              <w:bottom w:w="15" w:type="dxa"/>
              <w:right w:w="15" w:type="dxa"/>
            </w:tcMar>
            <w:vAlign w:val="center"/>
          </w:tcPr>
          <w:p w14:paraId="0421406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5天8小时制</w:t>
            </w:r>
          </w:p>
        </w:tc>
        <w:tc>
          <w:tcPr>
            <w:tcW w:w="1685" w:type="dxa"/>
            <w:noWrap w:val="0"/>
            <w:tcMar>
              <w:top w:w="15" w:type="dxa"/>
              <w:left w:w="15" w:type="dxa"/>
              <w:bottom w:w="15" w:type="dxa"/>
              <w:right w:w="15" w:type="dxa"/>
            </w:tcMar>
            <w:vAlign w:val="center"/>
          </w:tcPr>
          <w:p w14:paraId="15DF2D39">
            <w:pPr>
              <w:widowControl/>
              <w:jc w:val="center"/>
              <w:textAlignment w:val="center"/>
              <w:rPr>
                <w:rFonts w:hint="eastAsia" w:ascii="宋体" w:hAnsi="宋体" w:eastAsia="宋体" w:cs="宋体"/>
                <w:color w:val="auto"/>
                <w:sz w:val="21"/>
                <w:szCs w:val="21"/>
                <w:highlight w:val="none"/>
              </w:rPr>
            </w:pPr>
          </w:p>
        </w:tc>
        <w:tc>
          <w:tcPr>
            <w:tcW w:w="1681" w:type="dxa"/>
            <w:vMerge w:val="continue"/>
            <w:noWrap w:val="0"/>
            <w:tcMar>
              <w:top w:w="15" w:type="dxa"/>
              <w:left w:w="15" w:type="dxa"/>
              <w:bottom w:w="15" w:type="dxa"/>
              <w:right w:w="15" w:type="dxa"/>
            </w:tcMar>
            <w:vAlign w:val="center"/>
          </w:tcPr>
          <w:p w14:paraId="4D4881EF">
            <w:pPr>
              <w:widowControl/>
              <w:jc w:val="center"/>
              <w:textAlignment w:val="center"/>
              <w:rPr>
                <w:rFonts w:hint="eastAsia" w:ascii="宋体" w:hAnsi="宋体" w:eastAsia="宋体" w:cs="宋体"/>
                <w:color w:val="auto"/>
                <w:sz w:val="21"/>
                <w:szCs w:val="21"/>
                <w:highlight w:val="none"/>
              </w:rPr>
            </w:pPr>
          </w:p>
        </w:tc>
      </w:tr>
      <w:tr w14:paraId="6446E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522" w:type="dxa"/>
            <w:noWrap w:val="0"/>
            <w:tcMar>
              <w:top w:w="15" w:type="dxa"/>
              <w:left w:w="15" w:type="dxa"/>
              <w:bottom w:w="15" w:type="dxa"/>
              <w:right w:w="15" w:type="dxa"/>
            </w:tcMar>
            <w:vAlign w:val="center"/>
          </w:tcPr>
          <w:p w14:paraId="03E4006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755" w:type="dxa"/>
            <w:noWrap w:val="0"/>
            <w:tcMar>
              <w:top w:w="15" w:type="dxa"/>
              <w:left w:w="15" w:type="dxa"/>
              <w:bottom w:w="15" w:type="dxa"/>
              <w:right w:w="15" w:type="dxa"/>
            </w:tcMar>
            <w:vAlign w:val="center"/>
          </w:tcPr>
          <w:p w14:paraId="7800F98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工程部</w:t>
            </w:r>
          </w:p>
        </w:tc>
        <w:tc>
          <w:tcPr>
            <w:tcW w:w="1278" w:type="dxa"/>
            <w:noWrap w:val="0"/>
            <w:tcMar>
              <w:top w:w="15" w:type="dxa"/>
              <w:left w:w="15" w:type="dxa"/>
              <w:bottom w:w="15" w:type="dxa"/>
              <w:right w:w="15" w:type="dxa"/>
            </w:tcMar>
            <w:vAlign w:val="center"/>
          </w:tcPr>
          <w:p w14:paraId="50546FE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维修（水电）</w:t>
            </w:r>
          </w:p>
        </w:tc>
        <w:tc>
          <w:tcPr>
            <w:tcW w:w="708" w:type="dxa"/>
            <w:noWrap w:val="0"/>
            <w:tcMar>
              <w:top w:w="15" w:type="dxa"/>
              <w:left w:w="15" w:type="dxa"/>
              <w:bottom w:w="15" w:type="dxa"/>
              <w:right w:w="15" w:type="dxa"/>
            </w:tcMar>
            <w:vAlign w:val="center"/>
          </w:tcPr>
          <w:p w14:paraId="5F02120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男</w:t>
            </w:r>
          </w:p>
        </w:tc>
        <w:tc>
          <w:tcPr>
            <w:tcW w:w="1269" w:type="dxa"/>
            <w:noWrap w:val="0"/>
            <w:tcMar>
              <w:top w:w="15" w:type="dxa"/>
              <w:left w:w="15" w:type="dxa"/>
              <w:bottom w:w="15" w:type="dxa"/>
              <w:right w:w="15" w:type="dxa"/>
            </w:tcMar>
            <w:vAlign w:val="center"/>
          </w:tcPr>
          <w:p w14:paraId="317486D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50周岁（含）以下</w:t>
            </w:r>
          </w:p>
        </w:tc>
        <w:tc>
          <w:tcPr>
            <w:tcW w:w="693" w:type="dxa"/>
            <w:noWrap w:val="0"/>
            <w:tcMar>
              <w:top w:w="15" w:type="dxa"/>
              <w:left w:w="15" w:type="dxa"/>
              <w:bottom w:w="15" w:type="dxa"/>
              <w:right w:w="15" w:type="dxa"/>
            </w:tcMar>
            <w:vAlign w:val="center"/>
          </w:tcPr>
          <w:p w14:paraId="5B5157CD">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1人</w:t>
            </w:r>
          </w:p>
        </w:tc>
        <w:tc>
          <w:tcPr>
            <w:tcW w:w="1354" w:type="dxa"/>
            <w:noWrap w:val="0"/>
            <w:tcMar>
              <w:top w:w="15" w:type="dxa"/>
              <w:left w:w="15" w:type="dxa"/>
              <w:bottom w:w="15" w:type="dxa"/>
              <w:right w:w="15" w:type="dxa"/>
            </w:tcMar>
            <w:vAlign w:val="center"/>
          </w:tcPr>
          <w:p w14:paraId="0C192C39">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5天8小时制</w:t>
            </w:r>
          </w:p>
        </w:tc>
        <w:tc>
          <w:tcPr>
            <w:tcW w:w="1685" w:type="dxa"/>
            <w:noWrap w:val="0"/>
            <w:tcMar>
              <w:top w:w="15" w:type="dxa"/>
              <w:left w:w="15" w:type="dxa"/>
              <w:bottom w:w="15" w:type="dxa"/>
              <w:right w:w="15" w:type="dxa"/>
            </w:tcMar>
            <w:vAlign w:val="center"/>
          </w:tcPr>
          <w:p w14:paraId="096D601F">
            <w:pPr>
              <w:widowControl/>
              <w:jc w:val="center"/>
              <w:textAlignment w:val="center"/>
              <w:rPr>
                <w:rFonts w:hint="eastAsia" w:ascii="宋体" w:hAnsi="宋体" w:eastAsia="宋体" w:cs="宋体"/>
                <w:color w:val="auto"/>
                <w:sz w:val="21"/>
                <w:szCs w:val="21"/>
                <w:highlight w:val="none"/>
              </w:rPr>
            </w:pPr>
          </w:p>
        </w:tc>
        <w:tc>
          <w:tcPr>
            <w:tcW w:w="1681" w:type="dxa"/>
            <w:vMerge w:val="continue"/>
            <w:noWrap w:val="0"/>
            <w:tcMar>
              <w:top w:w="15" w:type="dxa"/>
              <w:left w:w="15" w:type="dxa"/>
              <w:bottom w:w="15" w:type="dxa"/>
              <w:right w:w="15" w:type="dxa"/>
            </w:tcMar>
            <w:vAlign w:val="center"/>
          </w:tcPr>
          <w:p w14:paraId="10198918">
            <w:pPr>
              <w:jc w:val="center"/>
              <w:rPr>
                <w:rFonts w:hint="eastAsia" w:ascii="宋体" w:hAnsi="宋体" w:eastAsia="宋体" w:cs="宋体"/>
                <w:color w:val="auto"/>
                <w:sz w:val="21"/>
                <w:szCs w:val="21"/>
                <w:highlight w:val="none"/>
              </w:rPr>
            </w:pPr>
          </w:p>
        </w:tc>
      </w:tr>
      <w:tr w14:paraId="3392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2555" w:type="dxa"/>
            <w:gridSpan w:val="3"/>
            <w:noWrap w:val="0"/>
            <w:tcMar>
              <w:top w:w="15" w:type="dxa"/>
              <w:left w:w="15" w:type="dxa"/>
              <w:bottom w:w="15" w:type="dxa"/>
              <w:right w:w="15" w:type="dxa"/>
            </w:tcMar>
            <w:vAlign w:val="center"/>
          </w:tcPr>
          <w:p w14:paraId="3C7D1B4B">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  计</w:t>
            </w:r>
          </w:p>
        </w:tc>
        <w:tc>
          <w:tcPr>
            <w:tcW w:w="708" w:type="dxa"/>
            <w:noWrap w:val="0"/>
            <w:tcMar>
              <w:top w:w="15" w:type="dxa"/>
              <w:left w:w="15" w:type="dxa"/>
              <w:bottom w:w="15" w:type="dxa"/>
              <w:right w:w="15" w:type="dxa"/>
            </w:tcMar>
            <w:vAlign w:val="center"/>
          </w:tcPr>
          <w:p w14:paraId="4DD11085">
            <w:pPr>
              <w:jc w:val="center"/>
              <w:rPr>
                <w:rFonts w:hint="eastAsia" w:ascii="宋体" w:hAnsi="宋体" w:eastAsia="宋体" w:cs="宋体"/>
                <w:b/>
                <w:bCs/>
                <w:color w:val="auto"/>
                <w:sz w:val="21"/>
                <w:szCs w:val="21"/>
                <w:highlight w:val="none"/>
              </w:rPr>
            </w:pPr>
          </w:p>
        </w:tc>
        <w:tc>
          <w:tcPr>
            <w:tcW w:w="1269" w:type="dxa"/>
            <w:noWrap w:val="0"/>
            <w:tcMar>
              <w:top w:w="15" w:type="dxa"/>
              <w:left w:w="15" w:type="dxa"/>
              <w:bottom w:w="15" w:type="dxa"/>
              <w:right w:w="15" w:type="dxa"/>
            </w:tcMar>
            <w:vAlign w:val="center"/>
          </w:tcPr>
          <w:p w14:paraId="3C40D5B8">
            <w:pPr>
              <w:jc w:val="center"/>
              <w:rPr>
                <w:rFonts w:hint="eastAsia" w:ascii="宋体" w:hAnsi="宋体" w:eastAsia="宋体" w:cs="宋体"/>
                <w:b/>
                <w:bCs/>
                <w:color w:val="auto"/>
                <w:sz w:val="21"/>
                <w:szCs w:val="21"/>
                <w:highlight w:val="none"/>
              </w:rPr>
            </w:pPr>
          </w:p>
        </w:tc>
        <w:tc>
          <w:tcPr>
            <w:tcW w:w="693" w:type="dxa"/>
            <w:noWrap w:val="0"/>
            <w:tcMar>
              <w:top w:w="15" w:type="dxa"/>
              <w:left w:w="15" w:type="dxa"/>
              <w:bottom w:w="15" w:type="dxa"/>
              <w:right w:w="15" w:type="dxa"/>
            </w:tcMar>
            <w:vAlign w:val="center"/>
          </w:tcPr>
          <w:p w14:paraId="5B17FFAA">
            <w:pPr>
              <w:widowControl/>
              <w:jc w:val="center"/>
              <w:textAlignment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11人</w:t>
            </w:r>
          </w:p>
        </w:tc>
        <w:tc>
          <w:tcPr>
            <w:tcW w:w="1354" w:type="dxa"/>
            <w:noWrap w:val="0"/>
            <w:tcMar>
              <w:top w:w="15" w:type="dxa"/>
              <w:left w:w="15" w:type="dxa"/>
              <w:bottom w:w="15" w:type="dxa"/>
              <w:right w:w="15" w:type="dxa"/>
            </w:tcMar>
            <w:vAlign w:val="center"/>
          </w:tcPr>
          <w:p w14:paraId="69C68D9D">
            <w:pPr>
              <w:jc w:val="center"/>
              <w:rPr>
                <w:rFonts w:hint="eastAsia" w:ascii="宋体" w:hAnsi="宋体" w:eastAsia="宋体" w:cs="宋体"/>
                <w:b/>
                <w:bCs/>
                <w:color w:val="auto"/>
                <w:sz w:val="21"/>
                <w:szCs w:val="21"/>
                <w:highlight w:val="none"/>
              </w:rPr>
            </w:pPr>
          </w:p>
        </w:tc>
        <w:tc>
          <w:tcPr>
            <w:tcW w:w="1685" w:type="dxa"/>
            <w:noWrap w:val="0"/>
            <w:tcMar>
              <w:top w:w="15" w:type="dxa"/>
              <w:left w:w="15" w:type="dxa"/>
              <w:bottom w:w="15" w:type="dxa"/>
              <w:right w:w="15" w:type="dxa"/>
            </w:tcMar>
            <w:vAlign w:val="center"/>
          </w:tcPr>
          <w:p w14:paraId="1CD19610">
            <w:pPr>
              <w:jc w:val="center"/>
              <w:rPr>
                <w:rFonts w:hint="eastAsia" w:ascii="宋体" w:hAnsi="宋体" w:eastAsia="宋体" w:cs="宋体"/>
                <w:color w:val="auto"/>
                <w:sz w:val="21"/>
                <w:szCs w:val="21"/>
                <w:highlight w:val="none"/>
              </w:rPr>
            </w:pPr>
          </w:p>
        </w:tc>
        <w:tc>
          <w:tcPr>
            <w:tcW w:w="1681" w:type="dxa"/>
            <w:noWrap w:val="0"/>
            <w:tcMar>
              <w:top w:w="15" w:type="dxa"/>
              <w:left w:w="15" w:type="dxa"/>
              <w:bottom w:w="15" w:type="dxa"/>
              <w:right w:w="15" w:type="dxa"/>
            </w:tcMar>
            <w:vAlign w:val="center"/>
          </w:tcPr>
          <w:p w14:paraId="36FCF955">
            <w:pPr>
              <w:jc w:val="center"/>
              <w:rPr>
                <w:rFonts w:hint="eastAsia" w:ascii="宋体" w:hAnsi="宋体" w:eastAsia="宋体" w:cs="宋体"/>
                <w:color w:val="auto"/>
                <w:sz w:val="21"/>
                <w:szCs w:val="21"/>
                <w:highlight w:val="none"/>
              </w:rPr>
            </w:pPr>
          </w:p>
        </w:tc>
      </w:tr>
      <w:tr w14:paraId="70510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9945" w:type="dxa"/>
            <w:gridSpan w:val="9"/>
            <w:noWrap w:val="0"/>
            <w:tcMar>
              <w:top w:w="15" w:type="dxa"/>
              <w:left w:w="15" w:type="dxa"/>
              <w:bottom w:w="15" w:type="dxa"/>
              <w:right w:w="15" w:type="dxa"/>
            </w:tcMar>
            <w:vAlign w:val="center"/>
          </w:tcPr>
          <w:p w14:paraId="74EA11EE">
            <w:pPr>
              <w:spacing w:beforeLines="0" w:afterLines="0" w:line="320" w:lineRule="exact"/>
              <w:jc w:val="both"/>
              <w:rPr>
                <w:rFonts w:hint="default" w:ascii="宋体" w:hAnsi="宋体" w:eastAsia="宋体" w:cs="宋体"/>
                <w:b/>
                <w:bCs w:val="0"/>
                <w:color w:val="auto"/>
                <w:sz w:val="21"/>
                <w:szCs w:val="21"/>
                <w:highlight w:val="none"/>
              </w:rPr>
            </w:pPr>
            <w:r>
              <w:rPr>
                <w:rFonts w:hint="default" w:ascii="宋体" w:hAnsi="宋体" w:eastAsia="宋体" w:cs="宋体"/>
                <w:b/>
                <w:bCs w:val="0"/>
                <w:color w:val="auto"/>
                <w:sz w:val="21"/>
                <w:szCs w:val="21"/>
                <w:highlight w:val="none"/>
              </w:rPr>
              <w:t>注：1）除项目负责人外，</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必须在取得中标资格后30日内，按上述最低配置要求，将人员配置齐全并递交人员证书供</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备案；如未能按期配置齐全或人员证书未提供齐全，视为</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 xml:space="preserve">放弃中标资格， </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有权取消其中标资格，并由第二中标候选人顺序替补为</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，并与</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签订合同。</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也可以重新招标。给</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造成的损失，原</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还应当予以赔偿。</w:t>
            </w:r>
          </w:p>
          <w:p w14:paraId="2921C7EF">
            <w:pPr>
              <w:spacing w:beforeLines="0" w:afterLines="0" w:line="320" w:lineRule="exact"/>
              <w:jc w:val="both"/>
              <w:rPr>
                <w:rFonts w:hint="default" w:ascii="宋体" w:hAnsi="宋体" w:eastAsia="宋体" w:cs="宋体"/>
                <w:b/>
                <w:bCs w:val="0"/>
                <w:color w:val="auto"/>
                <w:sz w:val="21"/>
                <w:szCs w:val="21"/>
                <w:highlight w:val="none"/>
              </w:rPr>
            </w:pPr>
            <w:r>
              <w:rPr>
                <w:rFonts w:hint="default" w:ascii="宋体" w:hAnsi="宋体" w:eastAsia="宋体" w:cs="宋体"/>
                <w:b/>
                <w:bCs w:val="0"/>
                <w:color w:val="auto"/>
                <w:sz w:val="21"/>
                <w:szCs w:val="21"/>
                <w:highlight w:val="none"/>
              </w:rPr>
              <w:t>2）项目总配置人数不低于</w:t>
            </w:r>
            <w:r>
              <w:rPr>
                <w:rFonts w:hint="eastAsia" w:ascii="宋体" w:hAnsi="宋体" w:eastAsia="宋体" w:cs="宋体"/>
                <w:b/>
                <w:bCs w:val="0"/>
                <w:color w:val="auto"/>
                <w:sz w:val="21"/>
                <w:szCs w:val="21"/>
                <w:highlight w:val="none"/>
                <w:lang w:eastAsia="zh-CN"/>
              </w:rPr>
              <w:t>11人</w:t>
            </w:r>
            <w:r>
              <w:rPr>
                <w:rFonts w:hint="default" w:ascii="宋体" w:hAnsi="宋体" w:eastAsia="宋体" w:cs="宋体"/>
                <w:b/>
                <w:bCs w:val="0"/>
                <w:color w:val="auto"/>
                <w:sz w:val="21"/>
                <w:szCs w:val="21"/>
                <w:highlight w:val="none"/>
              </w:rPr>
              <w:t>，项目经理和工程部人员必须专岗专职不得变动；其余岗位设置可由</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机动调整，但必须符合项目的管理要求。</w:t>
            </w:r>
          </w:p>
          <w:p w14:paraId="2E23D6A6">
            <w:pPr>
              <w:spacing w:beforeLines="0" w:afterLines="0" w:line="320" w:lineRule="exact"/>
              <w:jc w:val="both"/>
              <w:rPr>
                <w:rFonts w:hint="default" w:ascii="宋体" w:hAnsi="宋体" w:eastAsia="宋体" w:cs="宋体"/>
                <w:b/>
                <w:bCs w:val="0"/>
                <w:color w:val="auto"/>
                <w:sz w:val="21"/>
                <w:szCs w:val="21"/>
                <w:highlight w:val="none"/>
              </w:rPr>
            </w:pPr>
            <w:r>
              <w:rPr>
                <w:rFonts w:hint="default" w:ascii="宋体" w:hAnsi="宋体" w:eastAsia="宋体" w:cs="宋体"/>
                <w:b/>
                <w:bCs w:val="0"/>
                <w:color w:val="auto"/>
                <w:sz w:val="21"/>
                <w:szCs w:val="21"/>
                <w:highlight w:val="none"/>
              </w:rPr>
              <w:t>3）根据《中华人民共和国劳动合同法》《中华人民共和国社会保险法》，</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必须依法规范用工，符合规定条件的人员须依法参加社会保险，人员工资应不低于最新公布的无锡市最低工资标准。</w:t>
            </w:r>
          </w:p>
          <w:p w14:paraId="54CA5635">
            <w:pPr>
              <w:spacing w:beforeLines="0" w:afterLines="0" w:line="320" w:lineRule="exact"/>
              <w:jc w:val="both"/>
              <w:rPr>
                <w:rFonts w:hint="default" w:ascii="宋体" w:hAnsi="宋体" w:eastAsia="宋体" w:cs="宋体"/>
                <w:b/>
                <w:bCs w:val="0"/>
                <w:color w:val="auto"/>
                <w:sz w:val="21"/>
                <w:szCs w:val="21"/>
                <w:highlight w:val="none"/>
              </w:rPr>
            </w:pPr>
            <w:r>
              <w:rPr>
                <w:rFonts w:hint="default" w:ascii="宋体" w:hAnsi="宋体" w:eastAsia="宋体" w:cs="宋体"/>
                <w:b/>
                <w:bCs w:val="0"/>
                <w:color w:val="auto"/>
                <w:sz w:val="21"/>
                <w:szCs w:val="21"/>
                <w:highlight w:val="none"/>
              </w:rPr>
              <w:t>4）在合同履行过程中，如检查发现有人员不到位现象的，视为违约，</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有权对</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收取违约金1000元/人/次。</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所有服务人员相关证件（包括身份证复印件）等需交</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备案，如人员发生变动，人员变动资料需交</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备案。</w:t>
            </w:r>
          </w:p>
          <w:p w14:paraId="6F0494E1">
            <w:pPr>
              <w:spacing w:beforeLines="0" w:afterLines="0" w:line="320" w:lineRule="exact"/>
              <w:jc w:val="both"/>
              <w:rPr>
                <w:rFonts w:hint="default" w:ascii="宋体" w:hAnsi="宋体" w:eastAsia="宋体" w:cs="宋体"/>
                <w:b/>
                <w:bCs w:val="0"/>
                <w:color w:val="auto"/>
                <w:sz w:val="21"/>
                <w:szCs w:val="21"/>
                <w:highlight w:val="none"/>
              </w:rPr>
            </w:pPr>
            <w:r>
              <w:rPr>
                <w:rFonts w:hint="default" w:ascii="宋体" w:hAnsi="宋体" w:eastAsia="宋体" w:cs="宋体"/>
                <w:b/>
                <w:bCs w:val="0"/>
                <w:color w:val="auto"/>
                <w:sz w:val="21"/>
                <w:szCs w:val="21"/>
                <w:highlight w:val="none"/>
              </w:rPr>
              <w:t>5）</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应按要求定期加强对员工的培训、管理，以达到符合</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管理要求。</w:t>
            </w:r>
          </w:p>
          <w:p w14:paraId="5DC06AF1">
            <w:pPr>
              <w:spacing w:beforeLines="0" w:afterLines="0" w:line="320" w:lineRule="exact"/>
              <w:jc w:val="both"/>
              <w:rPr>
                <w:rFonts w:hint="default" w:ascii="宋体" w:hAnsi="宋体" w:eastAsia="宋体" w:cs="宋体"/>
                <w:b/>
                <w:bCs w:val="0"/>
                <w:color w:val="auto"/>
                <w:sz w:val="21"/>
                <w:szCs w:val="21"/>
                <w:highlight w:val="none"/>
              </w:rPr>
            </w:pPr>
            <w:r>
              <w:rPr>
                <w:rFonts w:hint="default" w:ascii="宋体" w:hAnsi="宋体" w:eastAsia="宋体" w:cs="宋体"/>
                <w:b/>
                <w:bCs w:val="0"/>
                <w:color w:val="auto"/>
                <w:sz w:val="21"/>
                <w:szCs w:val="21"/>
                <w:highlight w:val="none"/>
              </w:rPr>
              <w:t>6）</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应严格督导员工的行为规范，并要求员工严格执行</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相关管理规定维护</w:t>
            </w:r>
            <w:r>
              <w:rPr>
                <w:rFonts w:hint="eastAsia" w:ascii="宋体" w:hAnsi="宋体" w:eastAsia="宋体" w:cs="宋体"/>
                <w:b/>
                <w:bCs w:val="0"/>
                <w:color w:val="auto"/>
                <w:sz w:val="21"/>
                <w:szCs w:val="21"/>
                <w:highlight w:val="none"/>
                <w:lang w:eastAsia="zh-CN"/>
              </w:rPr>
              <w:t>采购人</w:t>
            </w:r>
            <w:r>
              <w:rPr>
                <w:rFonts w:hint="default" w:ascii="宋体" w:hAnsi="宋体" w:eastAsia="宋体" w:cs="宋体"/>
                <w:b/>
                <w:bCs w:val="0"/>
                <w:color w:val="auto"/>
                <w:sz w:val="21"/>
                <w:szCs w:val="21"/>
                <w:highlight w:val="none"/>
              </w:rPr>
              <w:t>整体形象。</w:t>
            </w:r>
          </w:p>
          <w:p w14:paraId="06DF83B6">
            <w:pPr>
              <w:jc w:val="both"/>
              <w:rPr>
                <w:rFonts w:hint="eastAsia" w:ascii="宋体" w:hAnsi="宋体" w:eastAsia="宋体" w:cs="宋体"/>
                <w:color w:val="auto"/>
                <w:sz w:val="21"/>
                <w:szCs w:val="21"/>
                <w:highlight w:val="none"/>
              </w:rPr>
            </w:pPr>
            <w:r>
              <w:rPr>
                <w:rFonts w:hint="default" w:ascii="宋体" w:hAnsi="宋体" w:eastAsia="宋体" w:cs="宋体"/>
                <w:b/>
                <w:bCs w:val="0"/>
                <w:color w:val="auto"/>
                <w:sz w:val="21"/>
                <w:szCs w:val="21"/>
                <w:highlight w:val="none"/>
              </w:rPr>
              <w:t>7）</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应加强对服务人员安全生产的宣传，抓好安全管理工作，工作中注意安全防范。在合同履行期间发生的安全事故，由</w:t>
            </w:r>
            <w:r>
              <w:rPr>
                <w:rFonts w:hint="eastAsia" w:ascii="宋体" w:hAnsi="宋体" w:eastAsia="宋体" w:cs="宋体"/>
                <w:b/>
                <w:bCs w:val="0"/>
                <w:color w:val="auto"/>
                <w:sz w:val="21"/>
                <w:szCs w:val="21"/>
                <w:highlight w:val="none"/>
                <w:lang w:eastAsia="zh-CN"/>
              </w:rPr>
              <w:t>中标供应商</w:t>
            </w:r>
            <w:r>
              <w:rPr>
                <w:rFonts w:hint="default" w:ascii="宋体" w:hAnsi="宋体" w:eastAsia="宋体" w:cs="宋体"/>
                <w:b/>
                <w:bCs w:val="0"/>
                <w:color w:val="auto"/>
                <w:sz w:val="21"/>
                <w:szCs w:val="21"/>
                <w:highlight w:val="none"/>
              </w:rPr>
              <w:t>负责。</w:t>
            </w:r>
          </w:p>
        </w:tc>
      </w:tr>
    </w:tbl>
    <w:p w14:paraId="11980579">
      <w:pPr>
        <w:keepNext w:val="0"/>
        <w:keepLines w:val="0"/>
        <w:pageBreakBefore w:val="0"/>
        <w:widowControl w:val="0"/>
        <w:kinsoku/>
        <w:wordWrap/>
        <w:overflowPunct/>
        <w:topLinePunct w:val="0"/>
        <w:autoSpaceDE/>
        <w:autoSpaceDN/>
        <w:bidi w:val="0"/>
        <w:spacing w:line="44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四、服务内容和要求</w:t>
      </w:r>
    </w:p>
    <w:bookmarkEnd w:id="133"/>
    <w:bookmarkEnd w:id="134"/>
    <w:bookmarkEnd w:id="135"/>
    <w:bookmarkEnd w:id="136"/>
    <w:p w14:paraId="4AEE4C9B">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1、清洁管理标准</w:t>
      </w:r>
    </w:p>
    <w:p w14:paraId="4319C0E6">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1.1共用楼道保洁</w:t>
      </w:r>
    </w:p>
    <w:p w14:paraId="28B4B726">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每周打扫1次各楼层通道和楼梯台阶。</w:t>
      </w:r>
    </w:p>
    <w:p w14:paraId="19C3A30F">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1.2电梯及电梯厅保洁</w:t>
      </w:r>
    </w:p>
    <w:p w14:paraId="735A15B4">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每日清扫1次电梯轿厢内垃圾，抹布擦拭1次电梯门壁。</w:t>
      </w:r>
    </w:p>
    <w:p w14:paraId="1654D618">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地面基本洁净。</w:t>
      </w:r>
    </w:p>
    <w:p w14:paraId="3C282949">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1.3 停车场、共用车库或车棚保洁</w:t>
      </w:r>
    </w:p>
    <w:p w14:paraId="6C01EB67">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每周清扫1次车库的纸屑和垃圾；</w:t>
      </w:r>
    </w:p>
    <w:p w14:paraId="71E464AA">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及时清除地下室进出口的垃圾；</w:t>
      </w:r>
    </w:p>
    <w:p w14:paraId="67FE977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每季度打开1次地下室、车库的集水坑和排水沟盖板，彻底疏通冲刷1次；</w:t>
      </w:r>
    </w:p>
    <w:p w14:paraId="31DE555F">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每季度进行1次地下室消杀工作；</w:t>
      </w:r>
    </w:p>
    <w:p w14:paraId="4E90EF91">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地面无明显垃圾、果皮、纸屑、无积水、无明显油迹；</w:t>
      </w:r>
    </w:p>
    <w:p w14:paraId="64547158">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空气基本流通。</w:t>
      </w:r>
    </w:p>
    <w:p w14:paraId="4AF99EBA">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1.4道路保洁</w:t>
      </w:r>
    </w:p>
    <w:p w14:paraId="6BF93FC4">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每日清扫1次，清扫结束地面无垃圾、杂物；</w:t>
      </w:r>
    </w:p>
    <w:p w14:paraId="3C4F6C3C">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服务期内</w:t>
      </w:r>
      <w:r>
        <w:rPr>
          <w:rFonts w:hint="eastAsia" w:ascii="宋体" w:hAnsi="宋体" w:eastAsia="宋体" w:cs="宋体"/>
          <w:bCs/>
          <w:color w:val="auto"/>
          <w:sz w:val="24"/>
          <w:szCs w:val="24"/>
        </w:rPr>
        <w:t>修理清洁路灯1次，目视灯具、灯座、灯盖、灯罩无厚积灰。</w:t>
      </w:r>
    </w:p>
    <w:p w14:paraId="57ABB1E1">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1.5标识、宣传牌、雕塑、信报箱保洁</w:t>
      </w:r>
    </w:p>
    <w:p w14:paraId="016B5ADB">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标识、宣传牌、信报箱每月擦拭1次，雕塑</w:t>
      </w:r>
      <w:r>
        <w:rPr>
          <w:rFonts w:hint="eastAsia" w:ascii="宋体" w:hAnsi="宋体" w:eastAsia="宋体" w:cs="宋体"/>
          <w:bCs/>
          <w:color w:val="auto"/>
          <w:sz w:val="24"/>
          <w:szCs w:val="24"/>
          <w:lang w:eastAsia="zh-CN"/>
        </w:rPr>
        <w:t>服务期内</w:t>
      </w:r>
      <w:r>
        <w:rPr>
          <w:rFonts w:hint="eastAsia" w:ascii="宋体" w:hAnsi="宋体" w:eastAsia="宋体" w:cs="宋体"/>
          <w:bCs/>
          <w:color w:val="auto"/>
          <w:sz w:val="24"/>
          <w:szCs w:val="24"/>
        </w:rPr>
        <w:t>擦拭1次。清洁后检查无污渍、无积灰，不损伤被清洁物；</w:t>
      </w:r>
    </w:p>
    <w:p w14:paraId="5AE3FBC2">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1.6绿化带保洁</w:t>
      </w:r>
    </w:p>
    <w:p w14:paraId="3F07837B">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每日清扫1次绿化带、草地上的果皮、纸屑、石块等垃圾，目视基本无杂物、无污渍、无垃圾。</w:t>
      </w:r>
    </w:p>
    <w:p w14:paraId="14D7B92B">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1.7休闲、娱乐、健身设施保洁</w:t>
      </w:r>
    </w:p>
    <w:p w14:paraId="7694FEC8">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每周清洁1次（擦拭表面灰尘、清扫垃圾、擦拭座椅）；</w:t>
      </w:r>
    </w:p>
    <w:p w14:paraId="04C5FFC0">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设施表面基本干净，无灰尘污渍、锈迹，目视游乐场内及其周围无果皮、纸屑等垃圾，及时发现设施、设备脱焊、脱漆、断裂及其他安全隐患并报告处理。</w:t>
      </w:r>
    </w:p>
    <w:p w14:paraId="2A5914A5">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1.8门卫、岗亭、监控探头保洁</w:t>
      </w:r>
    </w:p>
    <w:p w14:paraId="1172F6E8">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门卫、岗亭每日清扫1次，擦洗干净内外门窗玻璃及窗台，保持墙、地面基本干净、光亮、整洁，工、器具</w:t>
      </w:r>
      <w:r>
        <w:rPr>
          <w:rFonts w:hint="eastAsia" w:ascii="宋体" w:hAnsi="宋体" w:eastAsia="宋体" w:cs="宋体"/>
          <w:bCs/>
          <w:color w:val="auto"/>
          <w:sz w:val="24"/>
          <w:szCs w:val="24"/>
          <w:lang w:eastAsia="zh-CN"/>
        </w:rPr>
        <w:t>摆</w:t>
      </w:r>
      <w:r>
        <w:rPr>
          <w:rFonts w:hint="eastAsia" w:ascii="宋体" w:hAnsi="宋体" w:eastAsia="宋体" w:cs="宋体"/>
          <w:bCs/>
          <w:color w:val="auto"/>
          <w:sz w:val="24"/>
          <w:szCs w:val="24"/>
        </w:rPr>
        <w:t>放整齐、有序；</w:t>
      </w:r>
    </w:p>
    <w:p w14:paraId="743C3EF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监控探头每2个月擦拭1次，擦拭不得刮伤镜片，清洁后镜头光亮洁净，探头外表干净无灰尘。</w:t>
      </w:r>
    </w:p>
    <w:p w14:paraId="232E98AF">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1.9垃圾收集与处理</w:t>
      </w:r>
    </w:p>
    <w:p w14:paraId="1F68835A">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协助做好垃圾分类工作；</w:t>
      </w:r>
    </w:p>
    <w:p w14:paraId="1806E4A4">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垃圾日产日清；</w:t>
      </w:r>
    </w:p>
    <w:p w14:paraId="20B3586C">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建筑垃圾定点堆放；</w:t>
      </w:r>
    </w:p>
    <w:p w14:paraId="0209C8A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垃圾运送过程有防掉落或飞扬洒落措施。</w:t>
      </w:r>
    </w:p>
    <w:p w14:paraId="1569FC3A">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1.10卫生消杀</w:t>
      </w:r>
    </w:p>
    <w:p w14:paraId="50232C58">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根据季节、小区环境以及业主（使用人）要求实施。</w:t>
      </w:r>
    </w:p>
    <w:p w14:paraId="26A1BAA9">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2、保安管理标准</w:t>
      </w:r>
    </w:p>
    <w:p w14:paraId="2942C374">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2.1人员组织</w:t>
      </w:r>
    </w:p>
    <w:p w14:paraId="0E9AB330">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保安人员，身体健康，有较强的责任心，能对常规护卫事项做出较为正确反应；</w:t>
      </w:r>
    </w:p>
    <w:p w14:paraId="65046D3D">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消控室人员，具有一定的专业素养，</w:t>
      </w:r>
      <w:r>
        <w:rPr>
          <w:rFonts w:hint="eastAsia" w:ascii="宋体" w:hAnsi="宋体" w:eastAsia="宋体" w:cs="宋体"/>
          <w:color w:val="auto"/>
          <w:sz w:val="24"/>
          <w:szCs w:val="24"/>
        </w:rPr>
        <w:t>熟悉监控室各项操作，需保证消控室24小时值班。</w:t>
      </w:r>
    </w:p>
    <w:p w14:paraId="083244E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思想品质好，作风正派，热爱安全护卫工作，无犯罪记录；</w:t>
      </w:r>
    </w:p>
    <w:p w14:paraId="0640EC3B">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当班时应佩戴标志，尽忠职守。</w:t>
      </w:r>
    </w:p>
    <w:p w14:paraId="517AE591">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2.2门卫</w:t>
      </w:r>
    </w:p>
    <w:p w14:paraId="791FCA46">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按照采购方要求在部分时段、指定部位、安排人员值班看守，协助维护正常生活秩序。</w:t>
      </w:r>
    </w:p>
    <w:p w14:paraId="10EF3293">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2.3巡逻</w:t>
      </w:r>
    </w:p>
    <w:p w14:paraId="7C845421">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不定人不定期巡视。</w:t>
      </w:r>
    </w:p>
    <w:p w14:paraId="3F906E10">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2.4紧急事故反应</w:t>
      </w:r>
    </w:p>
    <w:p w14:paraId="6637D2DA">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制定紧急事故处理预案，至少包括：火灾、爆炸、地震、炸弹恐吓、安全疏散以及电梯应急等；</w:t>
      </w:r>
    </w:p>
    <w:p w14:paraId="4E92C8AC">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有紧急事件救护组织，并始终处于紧急事故反应状态；</w:t>
      </w:r>
    </w:p>
    <w:p w14:paraId="74E1E5EB">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书面描述紧急事故救护组织职责，并让每位成员了解，周期性地进行反应训练；</w:t>
      </w:r>
    </w:p>
    <w:p w14:paraId="39A21ADE">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高层住宅按消防要求组织进行疏散演习；</w:t>
      </w:r>
    </w:p>
    <w:p w14:paraId="4E69CE20">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对紧急事故做出快速、正确的反应；尽可能减少破坏和损失程度；</w:t>
      </w:r>
    </w:p>
    <w:p w14:paraId="2F813850">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按照采购方的要求组织恢复生活秩序，如：帮助恢复电力供应、抢救财产等。</w:t>
      </w:r>
    </w:p>
    <w:p w14:paraId="4D013D07">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2.5 其他防范措施</w:t>
      </w:r>
    </w:p>
    <w:p w14:paraId="754E6392">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设有业主（使用人）求助与报警电话，24小时有人值守；</w:t>
      </w:r>
    </w:p>
    <w:p w14:paraId="55A1E07B">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接到报警信号，确认后管理处应立即派人赶往现场查看，予以恰当的紧急处理；</w:t>
      </w:r>
    </w:p>
    <w:p w14:paraId="6EECEE3E">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涉及人身安全处，设有明显标志并有防护措施；</w:t>
      </w:r>
    </w:p>
    <w:p w14:paraId="6C5235B7">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协助有关部门维持小区正常生活秩序，防止不安全事件发生；</w:t>
      </w:r>
    </w:p>
    <w:p w14:paraId="02077A2D">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对小区内外围边界、角落、车库、道路的照明设施加强维护，保持必要的照明；</w:t>
      </w:r>
    </w:p>
    <w:p w14:paraId="377A8266">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建立空置房屋、设备室、垃圾房、杂物房巡查、钥匙管理及登记备案制度。</w:t>
      </w:r>
    </w:p>
    <w:p w14:paraId="0B37B115">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2.6交通、车辆管理</w:t>
      </w:r>
    </w:p>
    <w:p w14:paraId="50B8BF71">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有较为完善的车辆管理制度；</w:t>
      </w:r>
    </w:p>
    <w:p w14:paraId="1D55CD7F">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小区设置明显的交通标志；</w:t>
      </w:r>
    </w:p>
    <w:p w14:paraId="41B4C7CE">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维持交通秩序，发现车辆未上锁及乱停乱放进行忠告或纠正，发现偷盗车辆、破坏交通设施等现象及时制止；</w:t>
      </w:r>
    </w:p>
    <w:p w14:paraId="12A1184D">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增设地面停车位经过采购方批准审批，符合规划要求；</w:t>
      </w:r>
    </w:p>
    <w:p w14:paraId="7FBED634">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停车场有人管理，车辆进场、离场有检查、记录；</w:t>
      </w:r>
    </w:p>
    <w:p w14:paraId="5A7F0DEC">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管理人员责任心强，认真负责；</w:t>
      </w:r>
    </w:p>
    <w:p w14:paraId="50F0CD76">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停车场按照物价部门核发的收费标准收费；按照合同特别约定履行车辆保管责任。</w:t>
      </w:r>
    </w:p>
    <w:p w14:paraId="1EAEC10E">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2.7 消防</w:t>
      </w:r>
    </w:p>
    <w:p w14:paraId="618FE51B">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执行《中华人民共和国消防</w:t>
      </w:r>
      <w:r>
        <w:rPr>
          <w:rFonts w:hint="eastAsia" w:ascii="宋体" w:hAnsi="宋体" w:eastAsia="宋体" w:cs="宋体"/>
          <w:bCs/>
          <w:color w:val="auto"/>
          <w:sz w:val="24"/>
          <w:szCs w:val="24"/>
          <w:lang w:val="en-US" w:eastAsia="zh-CN"/>
        </w:rPr>
        <w:t>法</w:t>
      </w:r>
      <w:r>
        <w:rPr>
          <w:rFonts w:hint="eastAsia" w:ascii="宋体" w:hAnsi="宋体" w:eastAsia="宋体" w:cs="宋体"/>
          <w:bCs/>
          <w:color w:val="auto"/>
          <w:sz w:val="24"/>
          <w:szCs w:val="24"/>
        </w:rPr>
        <w:t>》、《中华人民共和国消防条例实施细则》和其他有关消防法规；</w:t>
      </w:r>
    </w:p>
    <w:p w14:paraId="12F8B7F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健全消防组织，建立消防责任制；</w:t>
      </w:r>
    </w:p>
    <w:p w14:paraId="61DC4B2A">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定期进行消防训练，保证有关人员掌握基本消防技能；</w:t>
      </w:r>
    </w:p>
    <w:p w14:paraId="3524427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熟练掌握防火、灭火知识和消防器材的使用方法，提高自防自救的能力。</w:t>
      </w:r>
    </w:p>
    <w:p w14:paraId="7A3533F6">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根据防火、灭火的需要，配置相应种类、数量的消防器材、设备和设施；</w:t>
      </w:r>
    </w:p>
    <w:p w14:paraId="3BD1EEE8">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保持消防通道畅通，禁止在消防通道设置路障；</w:t>
      </w:r>
    </w:p>
    <w:p w14:paraId="446F22A0">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制定防火安全管理办法，指定专人维护、管理消防器材、设备和设施，保持完整好用；</w:t>
      </w:r>
    </w:p>
    <w:p w14:paraId="157CD4B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发现火警有义务迅速向消防队报警，并马上派人前往报警地点，迅速采取措施，组织力量救火，抢救生命和物资，派人接应消防车，服从火场总指挥员的统一指挥；</w:t>
      </w:r>
    </w:p>
    <w:p w14:paraId="241756D6">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每月1次巡查消防栓、箱、烟感头、喷淋头、消防水阀、消防标志等消防设备是否完好、齐全，并及时给予维修；</w:t>
      </w:r>
    </w:p>
    <w:p w14:paraId="47592608">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发现设备故障时，必须及时修理或通知维保方处理，保证设备24小时正常运转；</w:t>
      </w:r>
    </w:p>
    <w:p w14:paraId="631D5ABF">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每日检测1次喷淋管网水压，发现压力不够，马上检修排除故障；</w:t>
      </w:r>
    </w:p>
    <w:p w14:paraId="167DC8E0">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服务期内</w:t>
      </w:r>
      <w:r>
        <w:rPr>
          <w:rFonts w:hint="eastAsia" w:ascii="宋体" w:hAnsi="宋体" w:eastAsia="宋体" w:cs="宋体"/>
          <w:bCs/>
          <w:color w:val="auto"/>
          <w:sz w:val="24"/>
          <w:szCs w:val="24"/>
        </w:rPr>
        <w:t>模拟火灾操作1次，以熟悉操作和检查消防监控设备；</w:t>
      </w:r>
    </w:p>
    <w:p w14:paraId="0A146D93">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消防监控室保持清洁，每周至少保洁1次，要求地面无积灰，监控箱表面无污渍；</w:t>
      </w:r>
    </w:p>
    <w:p w14:paraId="522E2F48">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每日填写工作记录，建档备查。</w:t>
      </w:r>
    </w:p>
    <w:p w14:paraId="78665798">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3.公共服务</w:t>
      </w:r>
    </w:p>
    <w:p w14:paraId="26D5BD9B">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3.1接待</w:t>
      </w:r>
    </w:p>
    <w:p w14:paraId="7670204E">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佩戴统一标志，仪表端庄、大方，衣着整洁，表情自然和蔼、亲切；</w:t>
      </w:r>
    </w:p>
    <w:p w14:paraId="6247A94F">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对业主（使用人）一视同仁；</w:t>
      </w:r>
    </w:p>
    <w:p w14:paraId="4AA27E8F">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接待时主动、热情、规范；</w:t>
      </w:r>
    </w:p>
    <w:p w14:paraId="3088CA6B">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迎送接待业主(使用人)时，用语准确，称呼恰当，问候亲切，语气诚恳，耐心细致；</w:t>
      </w:r>
    </w:p>
    <w:p w14:paraId="197CC6A0">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使用文明用语，不应使用服务忌语。</w:t>
      </w:r>
    </w:p>
    <w:p w14:paraId="10BBB5A6">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对业主（使用人）的报修与求助应耐心细致，对收费项目及时说明服务标准、服务方式、收费标准等事项，征求业主（使用人）的意见。</w:t>
      </w:r>
    </w:p>
    <w:p w14:paraId="4FA40424">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3.2值守</w:t>
      </w:r>
    </w:p>
    <w:p w14:paraId="6CC27BB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有完善的值班制度和交接班制度；</w:t>
      </w:r>
    </w:p>
    <w:p w14:paraId="509405DE">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工作有记录。</w:t>
      </w:r>
    </w:p>
    <w:p w14:paraId="36616FBA">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3.3服务时限</w:t>
      </w:r>
    </w:p>
    <w:p w14:paraId="7460B2BD">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急修（如：自来水设施跑水、下水管道和垃圾道堵塞、供暖设备漏水、电源线路和照明设备故障等项目，具体责任范围、服务内容等通过物业管理委托合同约定，大、中、小修标准见建设部《房屋修缮范围和标准（试行）》等确定（下同）。</w:t>
      </w:r>
    </w:p>
    <w:p w14:paraId="0CC66CF7">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服务2小时内到位，24小时内修复，若不能，要有紧急处理措施，并对业主（使用人）做出合理解释，做出限时承诺；</w:t>
      </w:r>
    </w:p>
    <w:p w14:paraId="4D4E20D4">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小修7日内修复，特殊情况必须做出说明和限时承诺。</w:t>
      </w:r>
    </w:p>
    <w:p w14:paraId="513A9F78">
      <w:pPr>
        <w:keepNext w:val="0"/>
        <w:keepLines w:val="0"/>
        <w:pageBreakBefore w:val="0"/>
        <w:widowControl w:val="0"/>
        <w:kinsoku/>
        <w:wordWrap/>
        <w:overflowPunct/>
        <w:topLinePunct w:val="0"/>
        <w:autoSpaceDE/>
        <w:autoSpaceDN/>
        <w:bidi w:val="0"/>
        <w:spacing w:line="440" w:lineRule="exact"/>
        <w:ind w:firstLine="472" w:firstLineChars="196"/>
        <w:textAlignment w:val="auto"/>
        <w:rPr>
          <w:rFonts w:hint="eastAsia" w:ascii="宋体" w:hAnsi="宋体" w:eastAsia="宋体" w:cs="宋体"/>
          <w:bCs/>
          <w:color w:val="auto"/>
          <w:sz w:val="24"/>
          <w:szCs w:val="24"/>
        </w:rPr>
      </w:pPr>
      <w:r>
        <w:rPr>
          <w:rFonts w:hint="eastAsia" w:ascii="宋体" w:hAnsi="宋体" w:eastAsia="宋体" w:cs="宋体"/>
          <w:b/>
          <w:color w:val="auto"/>
          <w:sz w:val="24"/>
          <w:szCs w:val="24"/>
        </w:rPr>
        <w:t>4.房屋、共用设施、设备维护与管理</w:t>
      </w:r>
    </w:p>
    <w:p w14:paraId="02DCE41D">
      <w:pPr>
        <w:keepNext w:val="0"/>
        <w:keepLines w:val="0"/>
        <w:pageBreakBefore w:val="0"/>
        <w:widowControl w:val="0"/>
        <w:kinsoku/>
        <w:wordWrap/>
        <w:overflowPunct/>
        <w:topLinePunct w:val="0"/>
        <w:autoSpaceDE/>
        <w:autoSpaceDN/>
        <w:bidi w:val="0"/>
        <w:spacing w:line="440" w:lineRule="exact"/>
        <w:ind w:firstLine="472" w:firstLineChars="196"/>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4.1巡检</w:t>
      </w:r>
    </w:p>
    <w:p w14:paraId="6EA53F42">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年底或年初对房屋共用部位、设施设备、道路、绿地等进行全面检查1次，掌握房屋设施设备完损状况，对完损程度做出评价；</w:t>
      </w:r>
    </w:p>
    <w:p w14:paraId="1737CFE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每半年检查巡视1次房屋主体结构，发现质量问题及时向业主报告与建议；根据委托方的委托，组织维修工作；</w:t>
      </w:r>
    </w:p>
    <w:p w14:paraId="76018078">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在冬、雨季和天气异常时安排组织房屋设施巡视，对质量较差，易出问题的部位重点检查；每半年检查清除1次屋面、檐沟内落叶杂物树叶等，疏通雨水口、落水管等； </w:t>
      </w:r>
    </w:p>
    <w:p w14:paraId="2E88663E">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每日巡视1次房屋公共门厅、楼梯间通道部位以及其它共用部位的门窗、玻璃、路灯等；</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秋季对共用部位门窗做专项检修1次；巡检有记录；</w:t>
      </w:r>
    </w:p>
    <w:p w14:paraId="66AF0DE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巡检结束将检查情况、维修计划及需要进行大、中修或更新改造的项目报告委托方。</w:t>
      </w:r>
    </w:p>
    <w:p w14:paraId="0A248822">
      <w:pPr>
        <w:keepNext w:val="0"/>
        <w:keepLines w:val="0"/>
        <w:pageBreakBefore w:val="0"/>
        <w:widowControl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4.2房屋</w:t>
      </w:r>
    </w:p>
    <w:p w14:paraId="565EA4D4">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4.2.1装修管理</w:t>
      </w:r>
    </w:p>
    <w:p w14:paraId="662BB5DA">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4.2.1.1将室内装饰装修工程的禁止行为和注意事项告知装修人；</w:t>
      </w:r>
    </w:p>
    <w:p w14:paraId="7F7E200A">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4.2.1.2对业主（使用人）装修房屋的申请，应在2个工作日内给出同意意见或修改意见，并签</w:t>
      </w:r>
      <w:r>
        <w:rPr>
          <w:rFonts w:hint="eastAsia" w:ascii="宋体" w:hAnsi="宋体" w:eastAsia="宋体" w:cs="宋体"/>
          <w:color w:val="auto"/>
          <w:sz w:val="24"/>
          <w:szCs w:val="24"/>
          <w:lang w:val="en-US" w:eastAsia="zh-CN"/>
        </w:rPr>
        <w:t>订</w:t>
      </w:r>
      <w:r>
        <w:rPr>
          <w:rFonts w:hint="eastAsia" w:ascii="宋体" w:hAnsi="宋体" w:eastAsia="宋体" w:cs="宋体"/>
          <w:color w:val="auto"/>
          <w:sz w:val="24"/>
          <w:szCs w:val="24"/>
        </w:rPr>
        <w:t>装饰装修管理服务协议；</w:t>
      </w:r>
    </w:p>
    <w:p w14:paraId="2474D9E1">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4.2.1.3业主（使用人）装修期间每日巡查装修施工情况；</w:t>
      </w:r>
    </w:p>
    <w:p w14:paraId="608DC371">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4.2.1.4装修结束组织验收；</w:t>
      </w:r>
    </w:p>
    <w:p w14:paraId="61E6DA52">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4.2.1.5验收合格2个月后组织复验；</w:t>
      </w:r>
    </w:p>
    <w:p w14:paraId="3D0FAF38">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4.2.1.6复验合格后3个工作日内退还装修保证金；</w:t>
      </w:r>
    </w:p>
    <w:p w14:paraId="105B5858">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4.2.1.7对装修中的违约行为及时劝阻；已造成事实后果或者拒不改正的，应当及时报告有关部门依法处理。</w:t>
      </w:r>
    </w:p>
    <w:p w14:paraId="6BF34581">
      <w:pPr>
        <w:keepNext w:val="0"/>
        <w:keepLines w:val="0"/>
        <w:pageBreakBefore w:val="0"/>
        <w:widowControl w:val="0"/>
        <w:kinsoku/>
        <w:wordWrap/>
        <w:overflowPunct/>
        <w:topLinePunct w:val="0"/>
        <w:autoSpaceDE/>
        <w:autoSpaceDN/>
        <w:bidi w:val="0"/>
        <w:spacing w:line="440" w:lineRule="exact"/>
        <w:ind w:left="479" w:leftChars="228"/>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4.2.2建筑物外立面</w:t>
      </w:r>
    </w:p>
    <w:p w14:paraId="0AAB338F">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建筑物外立面为玻璃幕墙、瓷砖、仿石、大理石的，</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巡查1次；外立面为水刷石、干粘石和喷涂材料的，原则上</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检查1次；外立面为其他材质的，视材质情况定期清洗。因施工等原因致使建筑物、构筑物外立面有明显污迹的，应当及时进行清洗、粉饰。</w:t>
      </w:r>
    </w:p>
    <w:p w14:paraId="7DF5F047">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委托合同另有约定的按合同约定执行。</w:t>
      </w:r>
    </w:p>
    <w:p w14:paraId="3A3739AB">
      <w:pPr>
        <w:keepNext w:val="0"/>
        <w:keepLines w:val="0"/>
        <w:pageBreakBefore w:val="0"/>
        <w:widowControl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4.3给排水系统及其配套设施</w:t>
      </w:r>
    </w:p>
    <w:p w14:paraId="4F48259F">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4.3.1给水设施</w:t>
      </w:r>
    </w:p>
    <w:p w14:paraId="3C8609E8">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饮用水水池（箱）</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消毒1次，操作人员具有相应操作资格，按照程序操作，清洗时无二次污染，有严密的管理设施；保持水池（箱）结构完好，无渗漏，表面和支架不锈蚀，漆膜脱落处及时修补。经常检查保养水箱人孔、进水管、溢水管、泄水管、水位计、液位传感器、浮球阀和各类</w:t>
      </w:r>
      <w:r>
        <w:rPr>
          <w:rFonts w:hint="eastAsia" w:ascii="宋体" w:hAnsi="宋体" w:eastAsia="宋体" w:cs="宋体"/>
          <w:color w:val="auto"/>
          <w:sz w:val="24"/>
          <w:szCs w:val="24"/>
          <w:lang w:eastAsia="zh-CN"/>
        </w:rPr>
        <w:t>阀</w:t>
      </w:r>
      <w:r>
        <w:rPr>
          <w:rFonts w:hint="eastAsia" w:ascii="宋体" w:hAnsi="宋体" w:eastAsia="宋体" w:cs="宋体"/>
          <w:color w:val="auto"/>
          <w:sz w:val="24"/>
          <w:szCs w:val="24"/>
        </w:rPr>
        <w:t>门；冬季水箱有可靠的保温措施，且不得对水质产生污染；</w:t>
      </w:r>
    </w:p>
    <w:p w14:paraId="25A9979D">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保持泵房清洁卫生，良好的通风、照明和采暖，地面排水畅通；</w:t>
      </w:r>
    </w:p>
    <w:p w14:paraId="34E53FA8">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水泵运行正常，每天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 xml:space="preserve">对水泵机组清洁保养1次；每日填写水泵运行记录，建档备查； </w:t>
      </w:r>
    </w:p>
    <w:p w14:paraId="669CE4FD">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专业人员专人巡视，每日检查泵、管道、水箱、阀门、水表状况，定期保养、维护，出现问题随时处理。</w:t>
      </w:r>
    </w:p>
    <w:p w14:paraId="1A9598AE">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4.3.2排水设施</w:t>
      </w:r>
    </w:p>
    <w:p w14:paraId="74DBDC66">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化粪池每年清理1次，每季巡查1次。出入口畅通，井内无积物浮于面上，池盖无污渍、污物，清理后及时清洁现场；</w:t>
      </w:r>
    </w:p>
    <w:p w14:paraId="6315B872">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出入口畅通，井内无积物浮于面上，池盖无污渍、污物，清理后及时清洁现场；</w:t>
      </w:r>
    </w:p>
    <w:p w14:paraId="0A4BE72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楼面落水管落水口等保持完好，开裂、破损等及时更换，定期检查；</w:t>
      </w:r>
    </w:p>
    <w:p w14:paraId="6FF2523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每月清扫1次以上排水明沟内的泥沙、纸屑等垃圾，拔除沟内生长的杂草；达到目视基本干净无污渍、无杂草，排水畅通，无积水、臭味；</w:t>
      </w:r>
    </w:p>
    <w:p w14:paraId="397B809A">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半年对地下管井清理1次，捞起井内泥沙和悬浮物，清理结束地面冲洗干净。清理时地面竖警示牌，必要时加护栏。清理后达到目视管道内壁无粘附物，井底无沉淀物，水面无漂浮物，水流畅通，井盖上无污渍、污物。</w:t>
      </w:r>
    </w:p>
    <w:p w14:paraId="452C4F46">
      <w:pPr>
        <w:keepNext w:val="0"/>
        <w:keepLines w:val="0"/>
        <w:pageBreakBefore w:val="0"/>
        <w:widowControl w:val="0"/>
        <w:kinsoku/>
        <w:wordWrap/>
        <w:overflowPunct/>
        <w:topLinePunct w:val="0"/>
        <w:autoSpaceDE/>
        <w:autoSpaceDN/>
        <w:bidi w:val="0"/>
        <w:spacing w:line="440" w:lineRule="exact"/>
        <w:ind w:left="479" w:leftChars="228"/>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4.4供配电系统</w:t>
      </w:r>
    </w:p>
    <w:p w14:paraId="4F5C8081">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建立和完善有关规章制度，包括电气设备运行操作规程、安全操作规程、事故处理规程、巡视检查制度、维护制度、安全及交接班制度；</w:t>
      </w:r>
    </w:p>
    <w:p w14:paraId="1537C73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值班人员具备变配电运行知识和技能；</w:t>
      </w:r>
    </w:p>
    <w:p w14:paraId="2F52A726">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保持配电房清洁卫生，每周清扫地面及擦拭配电柜表面，要求地面干燥无积灰，配电柜表面无污渍；</w:t>
      </w:r>
    </w:p>
    <w:p w14:paraId="3CD486C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每日检查变压器电压、电流互感器、断路器、隔离开关、高压熔断器及避雷器、配电箱、导线等供配电系统的运行状况，并定时抄表做好记录，出现异常及时处理； </w:t>
      </w:r>
    </w:p>
    <w:p w14:paraId="453A291D">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对变压器外部、低压配电柜进行2次清洁、保养；保证正常电力供应，限电、停电按规定时间通知业主（使用人）；</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检测1次保安接地电阻；</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检测1次配电房主要电器设备的绝缘强度；</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检查2次配电房内消防器材，保持消防器材完好；妥善保管高压操作工具，并</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送供电部门检测1次；</w:t>
      </w:r>
    </w:p>
    <w:p w14:paraId="2FFB51D2">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潮湿天气时，采用安全有效措施，保持配电房内主要电器设备干燥；</w:t>
      </w:r>
    </w:p>
    <w:p w14:paraId="186E92E5">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每月检测1次配电房内有无蛙、鼠、蚁等虫害，如发现马上采取措施杜绝；</w:t>
      </w:r>
    </w:p>
    <w:p w14:paraId="1D43CA23">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每日填写运行记录，建档备查。</w:t>
      </w:r>
    </w:p>
    <w:p w14:paraId="73B8F15E">
      <w:pPr>
        <w:keepNext w:val="0"/>
        <w:keepLines w:val="0"/>
        <w:pageBreakBefore w:val="0"/>
        <w:widowControl w:val="0"/>
        <w:kinsoku/>
        <w:wordWrap/>
        <w:overflowPunct/>
        <w:topLinePunct w:val="0"/>
        <w:autoSpaceDE/>
        <w:autoSpaceDN/>
        <w:bidi w:val="0"/>
        <w:spacing w:line="440" w:lineRule="exact"/>
        <w:ind w:left="479" w:leftChars="228"/>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4.5弱电系统</w:t>
      </w:r>
    </w:p>
    <w:p w14:paraId="496A0D8A">
      <w:pPr>
        <w:keepNext w:val="0"/>
        <w:keepLines w:val="0"/>
        <w:pageBreakBefore w:val="0"/>
        <w:widowControl w:val="0"/>
        <w:kinsoku/>
        <w:wordWrap/>
        <w:overflowPunct/>
        <w:topLinePunct w:val="0"/>
        <w:autoSpaceDE/>
        <w:autoSpaceDN/>
        <w:bidi w:val="0"/>
        <w:spacing w:line="440" w:lineRule="exact"/>
        <w:ind w:left="479" w:leftChars="228"/>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操作人员受过专业培训；</w:t>
      </w:r>
    </w:p>
    <w:p w14:paraId="0D8341F8">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工作时认真负责，精神集中，对异常情况能及时识别；发现异常，及时处理；</w:t>
      </w:r>
    </w:p>
    <w:p w14:paraId="796E4F83">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有切实可行的维修保养计划；保养、检修及时；</w:t>
      </w:r>
    </w:p>
    <w:p w14:paraId="1E12F1C4">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对相关设备、设施定期进行调试，使系统处于最佳工作状态；</w:t>
      </w:r>
    </w:p>
    <w:p w14:paraId="584BAC33">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工作、维修、养护有记录，特殊系统、设备的进入经过授权，密码有效保护；</w:t>
      </w:r>
    </w:p>
    <w:p w14:paraId="6E586E2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分系统定时检查和记录各部分、各监控点的工作及运行状态，定期对各类信息、数据进行统计分析，形成日、月报表。</w:t>
      </w:r>
    </w:p>
    <w:p w14:paraId="39673767">
      <w:pPr>
        <w:keepNext w:val="0"/>
        <w:keepLines w:val="0"/>
        <w:pageBreakBefore w:val="0"/>
        <w:widowControl w:val="0"/>
        <w:kinsoku/>
        <w:wordWrap/>
        <w:overflowPunct/>
        <w:topLinePunct w:val="0"/>
        <w:autoSpaceDE/>
        <w:autoSpaceDN/>
        <w:bidi w:val="0"/>
        <w:spacing w:line="440" w:lineRule="exact"/>
        <w:ind w:firstLine="482" w:firstLineChars="200"/>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4.6避雷接地系统</w:t>
      </w:r>
    </w:p>
    <w:p w14:paraId="09F4CB28">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雨季来临之前，对整个避雷接地系统进行检查维护；在大雷雨过后也要及时对系统检查，发现严重腐蚀、松脱等立即更换或紧固。</w:t>
      </w:r>
    </w:p>
    <w:p w14:paraId="1FD52E83">
      <w:pPr>
        <w:keepNext w:val="0"/>
        <w:keepLines w:val="0"/>
        <w:pageBreakBefore w:val="0"/>
        <w:widowControl w:val="0"/>
        <w:kinsoku/>
        <w:wordWrap/>
        <w:overflowPunct/>
        <w:topLinePunct w:val="0"/>
        <w:autoSpaceDE/>
        <w:autoSpaceDN/>
        <w:bidi w:val="0"/>
        <w:spacing w:line="440" w:lineRule="exact"/>
        <w:ind w:left="479" w:leftChars="228"/>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4.7 道路、停车场（车棚、车库）及配套设施</w:t>
      </w:r>
    </w:p>
    <w:p w14:paraId="4B76CCCF">
      <w:pPr>
        <w:keepNext w:val="0"/>
        <w:keepLines w:val="0"/>
        <w:pageBreakBefore w:val="0"/>
        <w:widowControl w:val="0"/>
        <w:kinsoku/>
        <w:wordWrap/>
        <w:overflowPunct/>
        <w:topLinePunct w:val="0"/>
        <w:autoSpaceDE/>
        <w:autoSpaceDN/>
        <w:bidi w:val="0"/>
        <w:spacing w:line="440" w:lineRule="exact"/>
        <w:ind w:left="479" w:leftChars="228"/>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加强道路维修与养护，制定详细的道路维修养护计划，按照合同约定实施；</w:t>
      </w:r>
    </w:p>
    <w:p w14:paraId="16831885">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保持道路畅通，路面平坦整齐，排水畅通；</w:t>
      </w:r>
    </w:p>
    <w:p w14:paraId="1A491154">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设立报修渠道，并有巡查制度，专人负责，发现损坏及时修补；</w:t>
      </w:r>
    </w:p>
    <w:p w14:paraId="2D46352D">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按照社区公约的约定，劝阻人为损坏路面，制止在路面焚烧垃圾、落叶或其他杂物；</w:t>
      </w:r>
    </w:p>
    <w:p w14:paraId="0679FC3E">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停车场、棚、房完好无损，有大、中、小修计划；</w:t>
      </w:r>
    </w:p>
    <w:p w14:paraId="31D4B5EC">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停车场内照明设施完好，通道畅通无阻，配备必要的消防设备，符合停车场规范要求，便于管理和车主停放车辆。</w:t>
      </w:r>
    </w:p>
    <w:p w14:paraId="245A872A">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5、园林绿化养护与管理</w:t>
      </w:r>
    </w:p>
    <w:p w14:paraId="538ABE05">
      <w:pPr>
        <w:keepNext w:val="0"/>
        <w:keepLines w:val="0"/>
        <w:pageBreakBefore w:val="0"/>
        <w:widowControl w:val="0"/>
        <w:kinsoku/>
        <w:wordWrap/>
        <w:overflowPunct/>
        <w:topLinePunct w:val="0"/>
        <w:autoSpaceDE/>
        <w:autoSpaceDN/>
        <w:bidi w:val="0"/>
        <w:spacing w:line="440" w:lineRule="exact"/>
        <w:ind w:firstLine="472" w:firstLineChars="196"/>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5.1草坪</w:t>
      </w:r>
    </w:p>
    <w:p w14:paraId="0EEAF18A">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成活率在75％以上；</w:t>
      </w:r>
    </w:p>
    <w:p w14:paraId="420AB8D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整块草地基本无明显的草荒；</w:t>
      </w:r>
    </w:p>
    <w:p w14:paraId="62AAFB91">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无大面积病虫害；</w:t>
      </w:r>
    </w:p>
    <w:p w14:paraId="08D33425">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绿期200日以上；</w:t>
      </w:r>
    </w:p>
    <w:p w14:paraId="291E7FEE">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无明显的堆物堆料、搭棚、践踏、侵占等现象；</w:t>
      </w:r>
    </w:p>
    <w:p w14:paraId="557B2DFA">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根据草坪种类、季节、生长周期、天气、土质等情况实施</w:t>
      </w:r>
      <w:r>
        <w:rPr>
          <w:rFonts w:hint="eastAsia" w:ascii="宋体" w:hAnsi="宋体" w:eastAsia="宋体" w:cs="宋体"/>
          <w:color w:val="auto"/>
          <w:sz w:val="24"/>
          <w:szCs w:val="24"/>
          <w:lang w:eastAsia="zh-CN"/>
        </w:rPr>
        <w:t>浇</w:t>
      </w:r>
      <w:r>
        <w:rPr>
          <w:rFonts w:hint="eastAsia" w:ascii="宋体" w:hAnsi="宋体" w:eastAsia="宋体" w:cs="宋体"/>
          <w:color w:val="auto"/>
          <w:sz w:val="24"/>
          <w:szCs w:val="24"/>
        </w:rPr>
        <w:t>水、施肥、修剪和灭虫，</w:t>
      </w:r>
      <w:r>
        <w:rPr>
          <w:rFonts w:hint="eastAsia" w:ascii="宋体" w:hAnsi="宋体" w:eastAsia="宋体" w:cs="宋体"/>
          <w:color w:val="auto"/>
          <w:sz w:val="24"/>
          <w:szCs w:val="24"/>
          <w:lang w:eastAsia="zh-CN"/>
        </w:rPr>
        <w:t>服务期内</w:t>
      </w:r>
      <w:r>
        <w:rPr>
          <w:rFonts w:hint="eastAsia" w:ascii="宋体" w:hAnsi="宋体" w:eastAsia="宋体" w:cs="宋体"/>
          <w:color w:val="auto"/>
          <w:sz w:val="24"/>
          <w:szCs w:val="24"/>
        </w:rPr>
        <w:t>至少进行1次施肥、补苗；</w:t>
      </w:r>
    </w:p>
    <w:p w14:paraId="57D41422">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至少进行2次修剪；发生病虫害及时喷药。</w:t>
      </w:r>
    </w:p>
    <w:p w14:paraId="3D18C1BC">
      <w:pPr>
        <w:keepNext w:val="0"/>
        <w:keepLines w:val="0"/>
        <w:pageBreakBefore w:val="0"/>
        <w:widowControl w:val="0"/>
        <w:kinsoku/>
        <w:wordWrap/>
        <w:overflowPunct/>
        <w:topLinePunct w:val="0"/>
        <w:autoSpaceDE/>
        <w:autoSpaceDN/>
        <w:bidi w:val="0"/>
        <w:spacing w:line="440" w:lineRule="exact"/>
        <w:ind w:firstLine="354" w:firstLineChars="147"/>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5.2园林树木</w:t>
      </w:r>
    </w:p>
    <w:p w14:paraId="675253DC">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生长长势一般；</w:t>
      </w:r>
    </w:p>
    <w:p w14:paraId="750CD7B6">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树木生长基本正常，没有明显死树和明显枯枝死杈；</w:t>
      </w:r>
    </w:p>
    <w:p w14:paraId="37726D7B">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枝干有较为明显的机械损伤，经处理后基本完整，叶色基本正常，严重黄叶、焦叶、卷叶以及有虫屎、虫网、积尘叶的柱树在15％以下；</w:t>
      </w:r>
    </w:p>
    <w:p w14:paraId="350FC161">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乔木根部无30cm高以上荫蘖枝，无过长杂草、杂物；</w:t>
      </w:r>
    </w:p>
    <w:p w14:paraId="3B79F7EF">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缺株在7％以下；</w:t>
      </w:r>
    </w:p>
    <w:p w14:paraId="5BE75FC2">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树林无明显的钉栓、捆绑现象；</w:t>
      </w:r>
    </w:p>
    <w:p w14:paraId="7119B2D9">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绿篱生长造型基本正常，叶色基本正常，无明显死株和枯死枝，有虫株率在20%以下；</w:t>
      </w:r>
    </w:p>
    <w:p w14:paraId="2F468A05">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被啃咬的叶片最严重的每株在25%以下；</w:t>
      </w:r>
    </w:p>
    <w:p w14:paraId="59C36A9C">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有蛀干害虫的株数在10%以下；</w:t>
      </w:r>
    </w:p>
    <w:p w14:paraId="6899B980">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介壳虫危害一般。</w:t>
      </w:r>
    </w:p>
    <w:p w14:paraId="7296791A">
      <w:pPr>
        <w:keepNext w:val="0"/>
        <w:keepLines w:val="0"/>
        <w:pageBreakBefore w:val="0"/>
        <w:widowControl w:val="0"/>
        <w:kinsoku/>
        <w:wordWrap/>
        <w:overflowPunct/>
        <w:topLinePunct w:val="0"/>
        <w:autoSpaceDE/>
        <w:autoSpaceDN/>
        <w:bidi w:val="0"/>
        <w:spacing w:line="440" w:lineRule="exact"/>
        <w:ind w:firstLine="354" w:firstLineChars="147"/>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5.3花坛</w:t>
      </w:r>
    </w:p>
    <w:p w14:paraId="6A9A43EB">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花卉长势一般；</w:t>
      </w:r>
    </w:p>
    <w:p w14:paraId="21A4070D">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草本宿根花卉生长基本正常；</w:t>
      </w:r>
    </w:p>
    <w:p w14:paraId="2AD0D18F">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发生病虫害及人为损害后能及时防治，泥面不开裂，花木不缺水枯萎现象；</w:t>
      </w:r>
    </w:p>
    <w:p w14:paraId="1837AD40">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有黄叶、落叶的株数在20％以下。</w:t>
      </w:r>
    </w:p>
    <w:p w14:paraId="120B237F">
      <w:pPr>
        <w:keepNext w:val="0"/>
        <w:keepLines w:val="0"/>
        <w:pageBreakBefore w:val="0"/>
        <w:widowControl w:val="0"/>
        <w:kinsoku/>
        <w:wordWrap/>
        <w:overflowPunct/>
        <w:topLinePunct w:val="0"/>
        <w:autoSpaceDE/>
        <w:autoSpaceDN/>
        <w:bidi w:val="0"/>
        <w:spacing w:line="440" w:lineRule="exact"/>
        <w:ind w:firstLine="354" w:firstLineChars="147"/>
        <w:jc w:val="lef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5.4湖</w:t>
      </w:r>
    </w:p>
    <w:p w14:paraId="60EDCD6D">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每月在人工湖岸边持作业工具打捞1次湖面上的漂浮垃圾；</w:t>
      </w:r>
    </w:p>
    <w:p w14:paraId="645AAF8E">
      <w:pPr>
        <w:keepNext w:val="0"/>
        <w:keepLines w:val="0"/>
        <w:pageBreakBefore w:val="0"/>
        <w:widowControl w:val="0"/>
        <w:kinsoku/>
        <w:wordWrap/>
        <w:overflowPunct/>
        <w:topLinePunct w:val="0"/>
        <w:autoSpaceDE/>
        <w:autoSpaceDN/>
        <w:bidi w:val="0"/>
        <w:spacing w:line="440" w:lineRule="exact"/>
        <w:ind w:firstLine="354" w:firstLineChars="147"/>
        <w:jc w:val="left"/>
        <w:textAlignment w:val="auto"/>
        <w:rPr>
          <w:rFonts w:hint="eastAsia" w:ascii="宋体" w:hAnsi="宋体" w:eastAsia="宋体" w:cs="宋体"/>
          <w:bCs/>
          <w:color w:val="auto"/>
          <w:sz w:val="24"/>
          <w:szCs w:val="24"/>
        </w:rPr>
      </w:pPr>
      <w:r>
        <w:rPr>
          <w:rFonts w:hint="eastAsia" w:ascii="宋体" w:hAnsi="宋体" w:eastAsia="宋体" w:cs="宋体"/>
          <w:b/>
          <w:color w:val="auto"/>
          <w:sz w:val="24"/>
          <w:szCs w:val="24"/>
        </w:rPr>
        <w:t>5.5亭、廊、雕塑等建筑小品</w:t>
      </w:r>
    </w:p>
    <w:p w14:paraId="65D8E4D4">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服务期内</w:t>
      </w:r>
      <w:r>
        <w:rPr>
          <w:rFonts w:hint="eastAsia" w:ascii="宋体" w:hAnsi="宋体" w:eastAsia="宋体" w:cs="宋体"/>
          <w:bCs/>
          <w:color w:val="auto"/>
          <w:sz w:val="24"/>
          <w:szCs w:val="24"/>
        </w:rPr>
        <w:t>细致、认真、全面的检查1次；</w:t>
      </w:r>
    </w:p>
    <w:p w14:paraId="660B14A3">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需要刷白或刷油漆时由物业管理单位向采购方建议，由采购方决定。</w:t>
      </w:r>
    </w:p>
    <w:p w14:paraId="3381E75D">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6、电梯运行与管理</w:t>
      </w:r>
    </w:p>
    <w:p w14:paraId="0B2BC8A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协助并监督第三方电梯维保单位做好电梯维保工作，一旦发生电梯停电关人、夹人等危险情况时，应迅速组织救助，物业承担电梯管理责任和事故连带责任。</w:t>
      </w:r>
    </w:p>
    <w:p w14:paraId="4A4150DF">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7、档案资料</w:t>
      </w:r>
    </w:p>
    <w:p w14:paraId="008A135A">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档案资料齐全完整；</w:t>
      </w:r>
    </w:p>
    <w:p w14:paraId="170786D9">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分类成册，管理完善，合理分类，查阅方便；</w:t>
      </w:r>
    </w:p>
    <w:p w14:paraId="6B0D6EEF">
      <w:pPr>
        <w:keepNext w:val="0"/>
        <w:keepLines w:val="0"/>
        <w:pageBreakBefore w:val="0"/>
        <w:widowControl w:val="0"/>
        <w:kinsoku/>
        <w:wordWrap/>
        <w:overflowPunct/>
        <w:topLinePunct w:val="0"/>
        <w:autoSpaceDE/>
        <w:autoSpaceDN/>
        <w:bidi w:val="0"/>
        <w:spacing w:line="440" w:lineRule="exact"/>
        <w:ind w:firstLine="410" w:firstLineChars="171"/>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及时变更登记，账物相符。</w:t>
      </w:r>
    </w:p>
    <w:p w14:paraId="7DCD408E">
      <w:pPr>
        <w:keepNext w:val="0"/>
        <w:keepLines w:val="0"/>
        <w:pageBreakBefore w:val="0"/>
        <w:widowControl w:val="0"/>
        <w:kinsoku/>
        <w:wordWrap/>
        <w:overflowPunct/>
        <w:topLinePunct w:val="0"/>
        <w:autoSpaceDE/>
        <w:autoSpaceDN/>
        <w:bidi w:val="0"/>
        <w:spacing w:line="440" w:lineRule="exact"/>
        <w:ind w:firstLine="412" w:firstLineChars="171"/>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8、培训制度</w:t>
      </w:r>
    </w:p>
    <w:p w14:paraId="10774B6C">
      <w:pPr>
        <w:keepNext w:val="0"/>
        <w:keepLines w:val="0"/>
        <w:pageBreakBefore w:val="0"/>
        <w:widowControl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物业管理单位具备完备的培训制度，对物业管理从业人员进行岗前培训及阶段性培训管理，使其熟悉工作流程与要求，定期对保安和保洁人员进行安全教育与业务培训。并定期与业主共同进行消防安全培训和组织消防演练。</w:t>
      </w:r>
    </w:p>
    <w:p w14:paraId="26942B58">
      <w:pPr>
        <w:keepNext w:val="0"/>
        <w:keepLines w:val="0"/>
        <w:pageBreakBefore w:val="0"/>
        <w:widowControl w:val="0"/>
        <w:kinsoku/>
        <w:wordWrap/>
        <w:overflowPunct/>
        <w:topLinePunct w:val="0"/>
        <w:autoSpaceDE/>
        <w:autoSpaceDN/>
        <w:bidi w:val="0"/>
        <w:spacing w:line="440" w:lineRule="exact"/>
        <w:ind w:firstLine="480"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color w:val="auto"/>
          <w:sz w:val="24"/>
          <w:szCs w:val="24"/>
        </w:rPr>
        <w:t>采购方有权根据实际情况对考评要求进行更改、增减。</w:t>
      </w:r>
    </w:p>
    <w:p w14:paraId="49EAFEB4">
      <w:pPr>
        <w:keepNext w:val="0"/>
        <w:keepLines w:val="0"/>
        <w:pageBreakBefore w:val="0"/>
        <w:widowControl w:val="0"/>
        <w:kinsoku/>
        <w:wordWrap/>
        <w:overflowPunct/>
        <w:topLinePunct w:val="0"/>
        <w:autoSpaceDE/>
        <w:autoSpaceDN/>
        <w:bidi w:val="0"/>
        <w:spacing w:line="44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五、考核标准及要求：详见附件《阳山镇住宅小区物业管理工作考核办法》</w:t>
      </w:r>
    </w:p>
    <w:p w14:paraId="01EFE6CD">
      <w:pPr>
        <w:keepNext w:val="0"/>
        <w:keepLines w:val="0"/>
        <w:pageBreakBefore w:val="0"/>
        <w:widowControl w:val="0"/>
        <w:kinsoku/>
        <w:wordWrap/>
        <w:overflowPunct/>
        <w:topLinePunct w:val="0"/>
        <w:autoSpaceDE/>
        <w:autoSpaceDN/>
        <w:bidi w:val="0"/>
        <w:spacing w:line="44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六、其他要求</w:t>
      </w:r>
    </w:p>
    <w:p w14:paraId="2E0F9F24">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1.物业费包含公共水电费。</w:t>
      </w:r>
    </w:p>
    <w:p w14:paraId="6BC4A80B">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p>
    <w:p w14:paraId="1387B8A8">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供应商报价前应到实地查看现场情况，并在报价时应充分考虑服务期内所有可能影响到报价的因素（包括最低工资标准和社保基数的政策性调整），一旦投标结束最终中标，总价将包定，不予调整。如发生漏、缺、少项，都将被认为是中标供应商的报价让利行为，损失自负。</w:t>
      </w:r>
    </w:p>
    <w:p w14:paraId="4145CE18">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4.中标供应商不得将项目整体转包或非法分包给第三方。</w:t>
      </w:r>
    </w:p>
    <w:p w14:paraId="7B2BA90D">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5.报价中相关成本费用的测算及标准符合国家、省、市相关最新政策规定。</w:t>
      </w:r>
    </w:p>
    <w:p w14:paraId="391B763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6.员工工资、社保费用、税金、保险法定费用为不可让利部分（不可竞争费用），须按规定计算并报出，投标总报价不可低于上述相关费用合计。</w:t>
      </w:r>
    </w:p>
    <w:p w14:paraId="587AAEE0">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7.派驻人员工资待遇需符合国家、省、市相关政策，符合无锡市最低工资标准且必须缴纳个人社保费，且必须签订正式的劳务合同。</w:t>
      </w:r>
    </w:p>
    <w:p w14:paraId="63ED71FF">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8.对于与报价相关的采购人的各种免费维保条件，请各投标供应商自行与采购人联系、了解，并考虑在本次报价中，若签订合同后由于该种因素考虑调整合同价格的采购人将不予考虑。</w:t>
      </w:r>
    </w:p>
    <w:p w14:paraId="458A8DC5">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本次项目物业管理执行《中华人民共和国政府采购法》、国务院《物业管理条例》《江苏省物业管理条例》等法律法规，中标供应商要严格履行投标书的承诺和物业管理合同的约定，接受业主管理部门对物业管理日常工作的监督和考核管理，如发现管理达不到约定要求，中标供应商管理服务水平下降、投诉多等现象，或物业管理单位管理中发生重大管理失误的，将依照法律程序按规定处理。</w:t>
      </w:r>
    </w:p>
    <w:p w14:paraId="09C482B0">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投标供应商要根据安置小区特点，针对性地提出管理理念、方法、措施，要有针对性、可操作性，如违章搭建、房屋渗漏处理、保洁、车库开店、红白喜事搭木圆堂、养宠物、接待和值守、安全防范、便民人性化服务等。</w:t>
      </w:r>
    </w:p>
    <w:p w14:paraId="1597F0E5">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对于电梯、消防、技防监控、泵房、风机、潜水泵、电力设施、智能化道闸系统等特种设施设备，必须由具备国家认可的相应资质证书、营业执照、技术等级的维保单位进行维保，且符合镇相关要求及规定，以上维保单位均由中标供应商或采购人按规范流程选聘，签订的维保合同必须到所属社区和镇物管办备案登记。设备的维保、年检、维修、更换等费用均包含在投标报价中，中标供应商需负责以上系统日常的清洁保养和使用管理，并对专业维保单位的维保服务进行监督考核及协调，并支付相应的维保服务费。已完成专业维保单位选聘的，在中标供应商确定后，由社区将原维保单位及维保管理事项交接给中标供应商，由中标供应商与原维保单位签订维保合同（或补充协议），且不得改变原定维保费用；由中标单位对专业维保单位的维保服务进行监督考核及协调，并支付相应的维保服务费。</w:t>
      </w:r>
    </w:p>
    <w:p w14:paraId="25B64C4A">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大、中修（即单件或单处维修费用≥300元）所产生的费用，原则上由阳山镇政府承担；小修（即单件或单处维修费用＜300元）所产生的费用，由中标供应商承担。质保期内的非维保单位承担的费用由中标供应商承担，质保期外的均由中标供应商承担。对于电梯、消防、技防监控、泵房、风机、潜水泵、电力设施、智能化道闸系统等特种设施设备因保养维护不当造成的维修费用由中标供应商承担，并承担安全责任及相应损失（如有）。如因中标供应商管理不当造成的大金额的维修，视情节状况，由中标供应商承担责任并支付相应维修费用。此外，中标供应商要加强日常的物业服务管理，涉及房屋修理、房屋漏水等（指保修期以外的）大金额的维修，需积极配合采购人做好联系和协调工作，及时进行登记并向镇相关部门反映。维修过程中，中标供应商需积极跟进；维修结束后，中标供应商需及时进行回访。</w:t>
      </w:r>
    </w:p>
    <w:p w14:paraId="65A0733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13.中标供应商必须积极参与并配合社区做好社区管理的日常事务，包括但不限于各类文体活动、创建工作和各类矛盾纠纷调解等。 </w:t>
      </w:r>
    </w:p>
    <w:p w14:paraId="2B7DDAA2">
      <w:pPr>
        <w:keepNext w:val="0"/>
        <w:keepLines w:val="0"/>
        <w:pageBreakBefore w:val="0"/>
        <w:widowControl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其他说明</w:t>
      </w:r>
    </w:p>
    <w:p w14:paraId="16EF3F71">
      <w:pPr>
        <w:keepNext w:val="0"/>
        <w:keepLines w:val="0"/>
        <w:pageBreakBefore w:val="0"/>
        <w:widowControl w:val="0"/>
        <w:shd w:val="clear" w:color="auto" w:fill="FFFFFF"/>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中标后有下列情形之一的，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有权取消其</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资格，并由第二中标候选人顺序替补为</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，并与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签订合同。</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也可以重新招标。给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造成的损失，原</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还应当予以赔偿。</w:t>
      </w:r>
    </w:p>
    <w:p w14:paraId="5DF2D386">
      <w:pPr>
        <w:keepNext w:val="0"/>
        <w:keepLines w:val="0"/>
        <w:pageBreakBefore w:val="0"/>
        <w:widowControl w:val="0"/>
        <w:shd w:val="clear" w:color="auto" w:fill="FFFFFF"/>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（1）放弃</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项目；</w:t>
      </w:r>
    </w:p>
    <w:p w14:paraId="5381CA02">
      <w:pPr>
        <w:keepNext w:val="0"/>
        <w:keepLines w:val="0"/>
        <w:pageBreakBefore w:val="0"/>
        <w:widowControl w:val="0"/>
        <w:shd w:val="clear" w:color="auto" w:fill="FFFFFF"/>
        <w:kinsoku/>
        <w:wordWrap/>
        <w:overflowPunct/>
        <w:topLinePunct w:val="0"/>
        <w:autoSpaceDE/>
        <w:autoSpaceDN/>
        <w:bidi w:val="0"/>
        <w:adjustRightInd w:val="0"/>
        <w:snapToGrid w:val="0"/>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（2）无正当理由不与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签订合同或者未按招标文件要求缴纳履约保证金；</w:t>
      </w:r>
    </w:p>
    <w:p w14:paraId="5DB4ACA3">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（3）在签订合同时向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提出附加条件或者更改合同实质性内容的；</w:t>
      </w:r>
    </w:p>
    <w:p w14:paraId="7F68E3E8">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（4）未在承诺的期限内将人员配置齐全；</w:t>
      </w:r>
    </w:p>
    <w:p w14:paraId="135910BE">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（5）考核不合格，或发生违约行为而导致合同终止的。</w:t>
      </w:r>
    </w:p>
    <w:p w14:paraId="2AE25294">
      <w:pPr>
        <w:keepNext w:val="0"/>
        <w:keepLines w:val="0"/>
        <w:pageBreakBefore w:val="0"/>
        <w:widowControl w:val="0"/>
        <w:tabs>
          <w:tab w:val="left" w:pos="945"/>
        </w:tabs>
        <w:kinsoku/>
        <w:wordWrap/>
        <w:overflowPunct/>
        <w:topLinePunct w:val="0"/>
        <w:autoSpaceDE/>
        <w:autoSpaceDN/>
        <w:bidi w:val="0"/>
        <w:adjustRightInd w:val="0"/>
        <w:snapToGrid w:val="0"/>
        <w:spacing w:line="440" w:lineRule="exact"/>
        <w:ind w:firstLine="482" w:firstLineChars="20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、报价要求</w:t>
      </w:r>
    </w:p>
    <w:p w14:paraId="198CFC03">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1.投标供应商的投标报价应是投标供应商在响应文件中提出的各项支付金额的总和，也应是完成招标文件所列项目需求的全部费用。</w:t>
      </w:r>
    </w:p>
    <w:p w14:paraId="7A52DA90">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投标报价包含完成本项目的全部服务内容所需的一切费用，包括但不限于人员费用（工资、福利、培训、社会保险、人身意外伤害险、服装费、高温费、劳保用品费、餐费等）、服务所用设备工具购置及维修费用、保洁消耗材料费（不限于垃圾袋、清洁剂、擦拭布、纸巾等）、物业开办费、四季消杀费、突击费用（临时加班加点产生的费用）、管理费用、利润、税金、涉及物业项目管理及运营的所有费用、政策性文件规定及合同包含的所有风险（包括但不限于最低工资调整、物价上涨、重大活动、检查、突发情况、税费调整、统计误差等）、责任等完成本项目的一切费用。</w:t>
      </w:r>
    </w:p>
    <w:p w14:paraId="40D2EB7E">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3.如遇国家和省、市级迎检、重大活动保障及自然灾害时，中标供应商必须服从投标供应商统一安排，增加服务人员，所需费用中标供应商综合考虑，中标不作增加。</w:t>
      </w:r>
    </w:p>
    <w:p w14:paraId="37FF04BA">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4.中标供应商应在整个服务期间对其为本项目工作的依法可以不缴纳社保的服务人员投保意外伤害险，办理保险的一切费用均由中标供应商承担，并已包括在报价中。</w:t>
      </w:r>
    </w:p>
    <w:p w14:paraId="165753D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损失的权利。</w:t>
      </w:r>
    </w:p>
    <w:p w14:paraId="4192F58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第二部分  有关说明</w:t>
      </w:r>
    </w:p>
    <w:p w14:paraId="46B2296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sz w:val="24"/>
          <w:szCs w:val="24"/>
        </w:rPr>
        <w:t>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0F373B6E">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sz w:val="24"/>
          <w:szCs w:val="24"/>
        </w:rPr>
        <w:t>中标供应商为残疾人福利性单位的，其《残疾人福利性单位声明函》将随中标公告同时发布，接受社会监督。</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提供的《残疾人福利性单位声明函》与事实不符的，依照《</w:t>
      </w:r>
      <w:r>
        <w:rPr>
          <w:rFonts w:hint="eastAsia" w:ascii="宋体" w:hAnsi="宋体" w:eastAsia="宋体" w:cs="宋体"/>
          <w:color w:val="auto"/>
          <w:sz w:val="24"/>
          <w:szCs w:val="24"/>
          <w:lang w:eastAsia="zh-CN"/>
        </w:rPr>
        <w:t>中华人民共和国政府采购法</w:t>
      </w:r>
      <w:r>
        <w:rPr>
          <w:rFonts w:hint="eastAsia" w:ascii="宋体" w:hAnsi="宋体" w:eastAsia="宋体" w:cs="宋体"/>
          <w:color w:val="auto"/>
          <w:sz w:val="24"/>
          <w:szCs w:val="24"/>
        </w:rPr>
        <w:t>》第七十七条第一款的规定追究法律责任。</w:t>
      </w:r>
    </w:p>
    <w:p w14:paraId="14750A31">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sz w:val="24"/>
          <w:szCs w:val="24"/>
        </w:rPr>
        <w:t>依据《政府采购促进中小企业发展管理办法》规定享受扶持政策获得政府采购合同的，小微企业不得将合同分包给大中型企业，中型企业不得将合同分包给大型企业。</w:t>
      </w:r>
    </w:p>
    <w:p w14:paraId="50B92637">
      <w:pPr>
        <w:keepNext w:val="0"/>
        <w:keepLines w:val="0"/>
        <w:pageBreakBefore w:val="0"/>
        <w:widowControl w:val="0"/>
        <w:kinsoku/>
        <w:wordWrap/>
        <w:overflowPunct/>
        <w:topLinePunct w:val="0"/>
        <w:autoSpaceDE/>
        <w:autoSpaceDN/>
        <w:bidi w:val="0"/>
        <w:spacing w:line="440" w:lineRule="exact"/>
        <w:ind w:firstLine="482"/>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rPr>
        <w:t>开标后，</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须自行准备设备（包括但不限于笔记本电脑、无线网络）登录“苏采云”系统，按招标文件规定时间解密后，在评标过程中保持在线，等待评标委员会的询标和评标结果，中途不得离开。如未按要求应答，由此所产生的损失及风险由</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自行承担。</w:t>
      </w:r>
    </w:p>
    <w:p w14:paraId="0B45067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第三部分  政府采购政策</w:t>
      </w:r>
    </w:p>
    <w:p w14:paraId="1AF9ACCB">
      <w:pPr>
        <w:keepNext w:val="0"/>
        <w:keepLines w:val="0"/>
        <w:pageBreakBefore w:val="0"/>
        <w:widowControl w:val="0"/>
        <w:kinsoku/>
        <w:wordWrap/>
        <w:overflowPunct/>
        <w:topLinePunct w:val="0"/>
        <w:autoSpaceDE/>
        <w:autoSpaceDN/>
        <w:bidi w:val="0"/>
        <w:spacing w:line="440" w:lineRule="exact"/>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（包括但不限于下列具体政策要求）</w:t>
      </w:r>
    </w:p>
    <w:p w14:paraId="5BB0F678">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66B467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31D0BE2">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3.根据国家扶持中小企业的有关政策，在我中心组织的采购项目中标的供应商，如需要政府采购合同融资，请按锡财购【2022】7号文件执行。</w:t>
      </w:r>
    </w:p>
    <w:p w14:paraId="5516B1D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合同融资</w:t>
      </w:r>
      <w:r>
        <w:rPr>
          <w:rFonts w:hint="eastAsia" w:ascii="宋体" w:hAnsi="宋体" w:eastAsia="宋体" w:cs="宋体"/>
          <w:bCs/>
          <w:color w:val="auto"/>
          <w:sz w:val="24"/>
          <w:szCs w:val="24"/>
          <w:lang w:val="en"/>
        </w:rPr>
        <w:t>,</w:t>
      </w:r>
      <w:r>
        <w:rPr>
          <w:rFonts w:hint="eastAsia" w:ascii="宋体" w:hAnsi="宋体" w:eastAsia="宋体" w:cs="宋体"/>
          <w:bCs/>
          <w:color w:val="auto"/>
          <w:sz w:val="24"/>
          <w:szCs w:val="24"/>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105DE8D2">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中标、成交供应商可根据自身情况，自行决定是否选择采用合同融资形式， 在无锡政府采购网——政采贷专栏提供的银行名录内自主选择合作银行。</w:t>
      </w:r>
    </w:p>
    <w:p w14:paraId="366E2E03">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3EDBAAC">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
        </w:rPr>
        <w:t>中标、成交供应商可以根据自身情况，自行决定是否采用电子履约保函形式，具体操作可登陆江苏政府采购网的保险保函模块进行办理。</w:t>
      </w:r>
    </w:p>
    <w:p w14:paraId="05DD20AA">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5.本项目中如有涉及到数据库、操作系统、通用服务器、工作站、一体式计算机、便携式计算机、台式计算机等七种软硬件的，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color w:val="auto"/>
          <w:sz w:val="24"/>
          <w:szCs w:val="24"/>
          <w:lang w:eastAsia="zh-CN"/>
        </w:rPr>
        <w:t>投标供应商</w:t>
      </w:r>
      <w:r>
        <w:rPr>
          <w:rFonts w:hint="eastAsia" w:ascii="宋体" w:hAnsi="宋体" w:eastAsia="宋体" w:cs="宋体"/>
          <w:color w:val="auto"/>
          <w:sz w:val="24"/>
          <w:szCs w:val="24"/>
        </w:rPr>
        <w:t>应满足招标文件要求。</w:t>
      </w:r>
      <w:r>
        <w:rPr>
          <w:rFonts w:hint="eastAsia" w:ascii="宋体" w:hAnsi="宋体" w:eastAsia="宋体" w:cs="宋体"/>
          <w:bCs/>
          <w:color w:val="auto"/>
          <w:sz w:val="24"/>
          <w:szCs w:val="24"/>
        </w:rPr>
        <w:t>采购人可在合同中约定，</w:t>
      </w:r>
      <w:r>
        <w:rPr>
          <w:rFonts w:hint="eastAsia" w:ascii="宋体" w:hAnsi="宋体" w:eastAsia="宋体" w:cs="宋体"/>
          <w:color w:val="auto"/>
          <w:sz w:val="24"/>
          <w:szCs w:val="24"/>
        </w:rPr>
        <w:t>在</w:t>
      </w:r>
      <w:r>
        <w:rPr>
          <w:rFonts w:hint="eastAsia" w:ascii="宋体" w:hAnsi="宋体" w:eastAsia="宋体" w:cs="宋体"/>
          <w:bCs/>
          <w:color w:val="auto"/>
          <w:sz w:val="24"/>
          <w:szCs w:val="24"/>
        </w:rPr>
        <w:t>履约验收管理时，可对所提供的七种软硬件进行验收，必要时可以委托依法取得检测、认证资质的机构进行检测、认证。</w:t>
      </w:r>
    </w:p>
    <w:p w14:paraId="288F7671">
      <w:pPr>
        <w:keepNext w:val="0"/>
        <w:keepLines w:val="0"/>
        <w:pageBreakBefore w:val="0"/>
        <w:widowControl w:val="0"/>
        <w:tabs>
          <w:tab w:val="left" w:pos="525"/>
          <w:tab w:val="left" w:pos="945"/>
        </w:tabs>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6CF1056F">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政府采购合同的双方当事人不得擅自变更合同，依照政府采购法确需变更政府采购合同内容的，采购人应当自合同变更之日起</w:t>
      </w:r>
    </w:p>
    <w:p w14:paraId="13D02CEB">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2个工作日内在省级以上财政部门指定的媒体上发布政府采购合同变更公告，但涉及国家秘密、商业秘密的信息和其他依法不得公开的信息除外。</w:t>
      </w:r>
    </w:p>
    <w:p w14:paraId="47984643">
      <w:pPr>
        <w:keepNext w:val="0"/>
        <w:keepLines w:val="0"/>
        <w:pageBreakBefore w:val="0"/>
        <w:widowControl w:val="0"/>
        <w:tabs>
          <w:tab w:val="left" w:pos="525"/>
          <w:tab w:val="left" w:pos="630"/>
          <w:tab w:val="left" w:pos="735"/>
          <w:tab w:val="left" w:pos="945"/>
          <w:tab w:val="left" w:pos="1080"/>
        </w:tabs>
        <w:kinsoku/>
        <w:wordWrap/>
        <w:overflowPunct/>
        <w:topLinePunct w:val="0"/>
        <w:autoSpaceDE/>
        <w:autoSpaceDN/>
        <w:bidi w:val="0"/>
        <w:spacing w:line="440" w:lineRule="exact"/>
        <w:ind w:firstLine="480"/>
        <w:textAlignment w:val="auto"/>
        <w:rPr>
          <w:rFonts w:hint="eastAsia" w:ascii="宋体" w:hAnsi="宋体" w:eastAsia="宋体" w:cs="宋体"/>
          <w:bCs/>
          <w:color w:val="auto"/>
          <w:sz w:val="24"/>
          <w:szCs w:val="24"/>
          <w:lang w:val="en"/>
        </w:rPr>
      </w:pPr>
      <w:r>
        <w:rPr>
          <w:rFonts w:hint="eastAsia" w:ascii="宋体" w:hAnsi="宋体" w:eastAsia="宋体" w:cs="宋体"/>
          <w:bCs/>
          <w:color w:val="auto"/>
          <w:sz w:val="24"/>
          <w:szCs w:val="24"/>
          <w:lang w:val="en"/>
        </w:rPr>
        <w:t>采购人原则上应当自收到发票后10个工作日内将资金支付到合同约定的供应商账户。</w:t>
      </w:r>
    </w:p>
    <w:p w14:paraId="40FC9C6D">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02322B97">
      <w:pPr>
        <w:widowControl/>
        <w:jc w:val="left"/>
        <w:rPr>
          <w:rFonts w:hint="eastAsia" w:ascii="宋体" w:hAnsi="宋体" w:cs="宋体"/>
          <w:bCs/>
          <w:color w:val="auto"/>
          <w:sz w:val="32"/>
          <w:szCs w:val="32"/>
          <w:highlight w:val="none"/>
        </w:rPr>
      </w:pPr>
    </w:p>
    <w:p w14:paraId="5325F1A0">
      <w:pPr>
        <w:widowControl/>
        <w:jc w:val="left"/>
        <w:rPr>
          <w:rFonts w:hint="eastAsia" w:ascii="宋体" w:hAnsi="宋体" w:cs="宋体"/>
          <w:bCs/>
          <w:color w:val="auto"/>
          <w:sz w:val="32"/>
          <w:szCs w:val="32"/>
          <w:highlight w:val="none"/>
        </w:rPr>
      </w:pPr>
    </w:p>
    <w:p w14:paraId="26AC1590">
      <w:pPr>
        <w:widowControl/>
        <w:jc w:val="left"/>
        <w:rPr>
          <w:rFonts w:hint="eastAsia" w:ascii="宋体" w:hAnsi="宋体" w:cs="宋体"/>
          <w:bCs/>
          <w:color w:val="auto"/>
          <w:sz w:val="32"/>
          <w:szCs w:val="32"/>
          <w:highlight w:val="none"/>
        </w:rPr>
      </w:pPr>
    </w:p>
    <w:p w14:paraId="7C22A45D">
      <w:pPr>
        <w:widowControl/>
        <w:jc w:val="left"/>
        <w:rPr>
          <w:rFonts w:hint="eastAsia" w:ascii="宋体" w:hAnsi="宋体" w:cs="宋体"/>
          <w:bCs/>
          <w:color w:val="auto"/>
          <w:sz w:val="32"/>
          <w:szCs w:val="32"/>
          <w:highlight w:val="none"/>
        </w:rPr>
      </w:pPr>
    </w:p>
    <w:p w14:paraId="1DA7C065">
      <w:pPr>
        <w:widowControl/>
        <w:jc w:val="left"/>
        <w:rPr>
          <w:rFonts w:hint="eastAsia" w:ascii="宋体" w:hAnsi="宋体" w:cs="宋体"/>
          <w:bCs/>
          <w:color w:val="auto"/>
          <w:sz w:val="32"/>
          <w:szCs w:val="32"/>
          <w:highlight w:val="none"/>
        </w:rPr>
      </w:pPr>
    </w:p>
    <w:p w14:paraId="2FD9CA7C">
      <w:pPr>
        <w:widowControl/>
        <w:jc w:val="left"/>
        <w:rPr>
          <w:rFonts w:hint="eastAsia" w:ascii="宋体" w:hAnsi="宋体" w:cs="宋体"/>
          <w:bCs/>
          <w:color w:val="auto"/>
          <w:sz w:val="32"/>
          <w:szCs w:val="32"/>
          <w:highlight w:val="none"/>
        </w:rPr>
      </w:pPr>
    </w:p>
    <w:p w14:paraId="0DE5D3ED">
      <w:pPr>
        <w:widowControl/>
        <w:jc w:val="left"/>
        <w:rPr>
          <w:rFonts w:hint="eastAsia" w:ascii="宋体" w:hAnsi="宋体" w:cs="宋体"/>
          <w:bCs/>
          <w:color w:val="auto"/>
          <w:sz w:val="32"/>
          <w:szCs w:val="32"/>
          <w:highlight w:val="none"/>
        </w:rPr>
      </w:pPr>
    </w:p>
    <w:p w14:paraId="4902FDF6">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附件：</w:t>
      </w:r>
    </w:p>
    <w:p w14:paraId="144D1E4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阳山镇住宅小区物业管理工作考核办法</w:t>
      </w:r>
    </w:p>
    <w:p w14:paraId="143142EE">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szCs w:val="24"/>
          <w:highlight w:val="none"/>
          <w:lang w:val="en-US" w:eastAsia="zh-CN"/>
        </w:rPr>
        <w:t>为进一步加强阳山镇住宅小区物业管理工作，提升物业管理水平，促进物业管理标准化和规范化，进一步改善居民生活环境，营造整洁、有序、安全、和谐的小区环境，根据《无锡市住宅小区城市精细化管理“红黑榜”考核办法》《惠山区住宅小区物业管理工作考核办法》《阳山镇关于加强安置房小区物业管理工作的实施意见》及有关物业管理规定，结合本镇实际情况，就加强住宅小区物业管理制订考核办法。</w:t>
      </w:r>
    </w:p>
    <w:p w14:paraId="492429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一、考核对象</w:t>
      </w:r>
    </w:p>
    <w:p w14:paraId="5A2F64A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本镇范围内的安置房小区、商品房小区和17个老旧小区的物业管理工作。</w:t>
      </w:r>
    </w:p>
    <w:p w14:paraId="6E64E0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二、考核成员单位</w:t>
      </w:r>
    </w:p>
    <w:p w14:paraId="54944A3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物业管理科、宣传网络科、行政执法局一中队、行政执法局综合科、安全生产监督管理科、消委办、综治办、卫计教育科、建设科，各社区。</w:t>
      </w:r>
    </w:p>
    <w:p w14:paraId="0BD5A14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三、考核内容</w:t>
      </w:r>
    </w:p>
    <w:p w14:paraId="3B2EE5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物业管理工作考核内容包括：《阳山镇住宅小区物业管理考核评分标准》和《阳山镇住宅小区物业落实各项重点工作检查标准》，考核内容适时动态调整并公布。</w:t>
      </w:r>
    </w:p>
    <w:p w14:paraId="057E2C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四、考核办法</w:t>
      </w:r>
    </w:p>
    <w:p w14:paraId="6CBE81AA">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阳山镇物业管理考核采用百分制。《阳山镇住宅小区物业管理考核评分标准》得分权重占60%，《阳山镇住宅小区物业落实各项重点工作检查标准》得分权重占40%。1、由镇物业管理科牵头，组织各社区、居民代表、人大代表以及物业服务企业负责人按《阳山镇住宅小区物业管理考核评分标准》每季度对各住宅小区进行季度考核；2、由镇物业管理科会同各社区牵头，组织各职能科室按照《阳山镇住宅小区物业落实各项重点工作检查标准》每季度对各住宅小区进行季度考核，最终由物业管理科进行考核汇总，最终考核得分为季度考核平均得分。</w:t>
      </w:r>
    </w:p>
    <w:p w14:paraId="1427F09B">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五、考核结果运用</w:t>
      </w:r>
    </w:p>
    <w:p w14:paraId="4C62C8BD">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（一）安置房小区及17个老旧小区季度考核</w:t>
      </w:r>
    </w:p>
    <w:p w14:paraId="10E8F1BD">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1、以考核管理要求为标准，考核总分值为100分，季度综合得分90分以上（含90分），全额支付季度物业管理费用。</w:t>
      </w:r>
    </w:p>
    <w:p w14:paraId="74B8B1E5">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2、85分—90分（含85分），扣除季度物业管理费用0.02元/月·㎡；</w:t>
      </w:r>
    </w:p>
    <w:p w14:paraId="73996587">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3、80分—85分（含80分），扣除季度物业管理费用0.04元/月·㎡；</w:t>
      </w:r>
    </w:p>
    <w:p w14:paraId="13315EF3">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4、70分—80分（含70分），扣除季度物业管理费用0.07元/月·㎡；</w:t>
      </w:r>
    </w:p>
    <w:p w14:paraId="64E4DF94">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5、60分—70分（含60分），扣除季度物业管理费用0.1元/月·㎡；</w:t>
      </w:r>
    </w:p>
    <w:p w14:paraId="63A310C7">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6、低于60分，季度物业管理费用全部扣除；</w:t>
      </w:r>
    </w:p>
    <w:p w14:paraId="633DADA5">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7、综合得分连续两个季度低于80分或有一次低于60分的，本次物业服务合同到期后不再续签。综合得分连续三个季度低于80分或有两次低于60分的，即时终止物业服务合同。</w:t>
      </w:r>
    </w:p>
    <w:p w14:paraId="02F3BEC3">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（二）住宅小区年终考核（安置房小区、商品房小区及17个老旧小区）</w:t>
      </w:r>
    </w:p>
    <w:p w14:paraId="11FBF0AD">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年度排名前五名的住宅小区分别奖励物业服务企业10万元、8万元、6万元、4万元、2万元。凡获得“无锡市物业管理示范项目”“无锡市宜居示范居住区”荣誉称号的，对属地社区及物业服务企业分别奖励5万元；凡获得“江苏省物业管理示范项目”“江苏省宜居示范居住区”荣誉称号的，对属地社区和物业服务企业分别奖励10万元；凡获得“党建引领示范小区”的，分别奖励物业服务企业和属地社区4万元。</w:t>
      </w:r>
    </w:p>
    <w:p w14:paraId="71F9C3B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（三）安置房小区（含17个老旧小区）“红黑榜”奖惩：</w:t>
      </w:r>
    </w:p>
    <w:p w14:paraId="01612713">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安置房小区物业管理列入区级月度红榜的，季度考核加10分；列入区级月度黑榜的安置房小区，对物业服务企业罚扣2万元，从当季度物业管理费用中扣除；获评年度区级红榜的安置房小区和17个老旧小区，奖励物业服务企业5万元；列入年度区级黑榜的安置房小区和17个老旧小区，对物业服务企业罚扣8万元。获评季度市级红榜的安置房小区和17个老旧小区，奖励物业服务企业5万元，获评年度市级红榜的安置房小区和17个老旧小区，奖励物业服务企业8万元（奖励次数不受限制），列入市级年度黑榜或市级季度黑榜且半年内（从黑榜发布之日起算）未能获评市级红榜的安置房小区和17个老旧小区，需方（采购人）即时与供方（中标方）终止物业公司采购合同，终止合同之日起需方（采购人）不再支付供方（中标方）物业管理费用。</w:t>
      </w:r>
    </w:p>
    <w:p w14:paraId="7174613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（四）商品房小区“红黑榜”奖惩：</w:t>
      </w:r>
    </w:p>
    <w:p w14:paraId="2FC37A0E">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列入月度区级红榜的商品房小区，季度考核加10分；获评年度区级红榜的商品房小区，奖励物业企业5万元。获评季度市级红榜的商品房小区，奖励物业企业5万元；获评年度市级红榜的商业小区，奖励物业企业8万元。列入月度区级黑榜的商品房小区，季度考核扣10分；列入季度区级黑榜的商品房小区，季度考核扣20分；列入年度区级、市级黑榜的商品房小区，给予信誉扣分，作为不良信息记入物业服务企业和项目经理诚信档案，取消当年所有评优评先资格，由属地社区指导组织召开业主委员会或物业管理委员会，重新选聘物业服务企业，并在三个月内完成新选聘的物业企业进驻管理。</w:t>
      </w:r>
    </w:p>
    <w:p w14:paraId="53933248">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五、工作要求</w:t>
      </w:r>
    </w:p>
    <w:p w14:paraId="2FBCBA91">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1、各物业服务企业必须高度重视物业管理考核工作。对照《阳山镇安置房物业管理考核基本标准》《阳山镇住宅小区物业落实各项重点工作检查标准》的内容和标准，不断完善管理措施，提升服务水平。</w:t>
      </w:r>
    </w:p>
    <w:p w14:paraId="02523A46">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2、各物业服务企业在接受考核时要及时提供考核所需的合同、台账等相关材料，以备检查。</w:t>
      </w:r>
    </w:p>
    <w:p w14:paraId="5D686C1E">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各社区要按照属地管理的原则，结合辖区实际和物业管理的政策、法规等文件要求，协同镇物业管理科做好社区物业管理工作，认真贯彻落实本办法，在落实中抓规范，在规范中促提升；各相关职能部门要主动深入各物业小区，指导督促各物业企业落实落细疫情防控、安全生产、文明城市创建、住区环境、城市管理等各项重点工作。</w:t>
      </w:r>
    </w:p>
    <w:p w14:paraId="19720D34">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本办法自发布之日起执行，具体由镇建设局物业管理科负责解释。</w:t>
      </w:r>
    </w:p>
    <w:p w14:paraId="483FC432">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p>
    <w:p w14:paraId="58CE3BBB">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附件：</w:t>
      </w:r>
    </w:p>
    <w:p w14:paraId="4F704150">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1、阳山镇住宅小区物业管理考核评分标准</w:t>
      </w:r>
    </w:p>
    <w:p w14:paraId="5E6BF8C0">
      <w:pPr>
        <w:keepNext w:val="0"/>
        <w:keepLines w:val="0"/>
        <w:pageBreakBefore w:val="0"/>
        <w:widowControl w:val="0"/>
        <w:kinsoku/>
        <w:wordWrap/>
        <w:overflowPunct/>
        <w:topLinePunct w:val="0"/>
        <w:autoSpaceDE/>
        <w:autoSpaceDN/>
        <w:bidi w:val="0"/>
        <w:spacing w:line="440" w:lineRule="exact"/>
        <w:ind w:firstLine="480" w:firstLineChars="20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2、阳山镇住宅小区物业落实各项重点工作检查标准</w:t>
      </w:r>
    </w:p>
    <w:p w14:paraId="7B2160DA">
      <w:pPr>
        <w:keepNext w:val="0"/>
        <w:keepLines w:val="0"/>
        <w:pageBreakBefore w:val="0"/>
        <w:widowControl w:val="0"/>
        <w:kinsoku/>
        <w:wordWrap/>
        <w:overflowPunct/>
        <w:topLinePunct w:val="0"/>
        <w:autoSpaceDE/>
        <w:autoSpaceDN/>
        <w:bidi w:val="0"/>
        <w:spacing w:line="440" w:lineRule="exact"/>
        <w:ind w:firstLine="562" w:firstLineChars="200"/>
        <w:jc w:val="center"/>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（一）阳山镇住宅小区物业管理考核评分标准（占考核总分值60%）</w:t>
      </w:r>
    </w:p>
    <w:tbl>
      <w:tblPr>
        <w:tblStyle w:val="34"/>
        <w:tblW w:w="5078" w:type="pct"/>
        <w:tblInd w:w="0" w:type="dxa"/>
        <w:tblLayout w:type="autofit"/>
        <w:tblCellMar>
          <w:top w:w="0" w:type="dxa"/>
          <w:left w:w="0" w:type="dxa"/>
          <w:bottom w:w="0" w:type="dxa"/>
          <w:right w:w="0" w:type="dxa"/>
        </w:tblCellMar>
      </w:tblPr>
      <w:tblGrid>
        <w:gridCol w:w="592"/>
        <w:gridCol w:w="885"/>
        <w:gridCol w:w="954"/>
        <w:gridCol w:w="3818"/>
        <w:gridCol w:w="475"/>
        <w:gridCol w:w="2272"/>
        <w:gridCol w:w="507"/>
        <w:gridCol w:w="603"/>
      </w:tblGrid>
      <w:tr w14:paraId="12EB5883">
        <w:tblPrEx>
          <w:tblCellMar>
            <w:top w:w="0" w:type="dxa"/>
            <w:left w:w="0" w:type="dxa"/>
            <w:bottom w:w="0" w:type="dxa"/>
            <w:right w:w="0" w:type="dxa"/>
          </w:tblCellMar>
        </w:tblPrEx>
        <w:trPr>
          <w:trHeight w:val="57" w:hRule="atLeast"/>
        </w:trPr>
        <w:tc>
          <w:tcPr>
            <w:tcW w:w="29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3BAB0EE">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序号</w:t>
            </w:r>
          </w:p>
        </w:tc>
        <w:tc>
          <w:tcPr>
            <w:tcW w:w="43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DBB9F5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项目 </w:t>
            </w:r>
          </w:p>
          <w:p w14:paraId="4613A10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（分值）</w:t>
            </w: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06B5DC">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内容</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FC902A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管理要求</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980F2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分值</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85387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评分标准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37DFB7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扣分</w:t>
            </w: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0A98DC">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扣分 原因</w:t>
            </w:r>
          </w:p>
        </w:tc>
      </w:tr>
      <w:tr w14:paraId="44C15C91">
        <w:tblPrEx>
          <w:tblCellMar>
            <w:top w:w="0" w:type="dxa"/>
            <w:left w:w="0" w:type="dxa"/>
            <w:bottom w:w="0" w:type="dxa"/>
            <w:right w:w="0" w:type="dxa"/>
          </w:tblCellMar>
        </w:tblPrEx>
        <w:trPr>
          <w:trHeight w:val="57" w:hRule="atLeast"/>
        </w:trPr>
        <w:tc>
          <w:tcPr>
            <w:tcW w:w="293"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7A746C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438"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E2E9D7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基础管理（15分）</w:t>
            </w: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D1CEE9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人员管理</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1AD59D0">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1、小区项目经理要有项目经理上岗证，有二年以上的物业管理经验。</w:t>
            </w:r>
          </w:p>
          <w:p w14:paraId="28DDC91B">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2、物业人员按招投标书和实际岗位配备到位，服装统一，挂牌上岗，仪表整洁规范，服务热情主动</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12D581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4B8F99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无项目经理上岗证扣0.5分，人员配备不到位扣1分，发现一次不符合扣0.5分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1DCBDBC">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1DEAD9">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3706D298">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0F2379">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5084EA">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36D54D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日常服务</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D957253">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小区设置物业管理站，周一至周五8小时业务接待，设立24小时值班服务电话。有完整的报修、维修和回访记录</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C2C0D2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CC6B07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无报修、维修回访记录的，发现一次扣0.5分，其他发现一次扣0.5分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31E0014">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CA250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74160F00">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71719C">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192884">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DE4C8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服务公示</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3488445">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在小区醒目位置公示物业服务内容、收费标准、服务承诺和服务电话。每月在物业点或楼道公示楼道清理、设施设备维保计划及执行情况</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013DEE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287DE3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未按要求公示的发现一次扣1分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BED9C5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3784983">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4ED325DA">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C8BC72">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5C70DA">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9779B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规章制度</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66D85C4">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建立对物业人员的工作制度和考核制度，并上墙公布。各类物管方案、台账资料齐全完善。录用人员需向物管办备案，统计的相关数据与资料及时上报物管办</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61C439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3E160B9">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发现缺少一项的扣0.5分，资料数据上报不及时每次扣0.5分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1C26CC">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4A8966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62DFE1B1">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35C6C9">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5F2FE7">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CC4932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投诉处理舆情处置</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D61428D">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及时处置业主举报及反映的问题，记录完整，形成台账；及时处置12345平台的投诉，记录完整，形成台账；对突发状况处置得当，不得引发舆情。</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3F0055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10</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B9740BD">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未及时处置业主举报及反映的问题扣1分1次；12345平台同一问题因物业公司原因被反复投诉的扣1分1次；引发舆情的扣10分；无台账扣3分。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3CFD3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B7DE11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5DDB8D3D">
        <w:tblPrEx>
          <w:tblCellMar>
            <w:top w:w="0" w:type="dxa"/>
            <w:left w:w="0" w:type="dxa"/>
            <w:bottom w:w="0" w:type="dxa"/>
            <w:right w:w="0" w:type="dxa"/>
          </w:tblCellMar>
        </w:tblPrEx>
        <w:trPr>
          <w:trHeight w:val="57" w:hRule="atLeast"/>
        </w:trPr>
        <w:tc>
          <w:tcPr>
            <w:tcW w:w="293"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EDC5B5">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w:t>
            </w:r>
          </w:p>
          <w:p w14:paraId="4131308C">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38"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2BC8C8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清洁管理（24分）</w:t>
            </w: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F665A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共用楼道保洁</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6E9B446">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确保楼层通道、楼梯台阶、扶手干净，无杂物、积灰、蛛网，无小广告、乱张贴、乱涂写、乱停车等</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E8CA9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1D34B0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AD8869">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2A361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5CFB21B4">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14B411">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6A29C4D9">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0659F8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电梯保洁</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0158E2">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确保电梯轿厢内整洁，无乱张贴、无乱涂写、无积灰等；电梯机房整洁，无明显积灰、无乱堆放</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9CCE6D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0D9C5B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969195">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803E05">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1B6F9D26">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A06425">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20DF63D3">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39974B25">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停车场共用车库或车棚保洁</w:t>
            </w:r>
          </w:p>
        </w:tc>
        <w:tc>
          <w:tcPr>
            <w:tcW w:w="1888"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C346BDE">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整洁、无杂物、无明显积灰，门窗、墙面整洁无破损</w:t>
            </w:r>
          </w:p>
        </w:tc>
        <w:tc>
          <w:tcPr>
            <w:tcW w:w="235"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38E2737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w:t>
            </w:r>
          </w:p>
        </w:tc>
        <w:tc>
          <w:tcPr>
            <w:tcW w:w="1124"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2349F0C">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507D4D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E2F6A86">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7F6FEBFE">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ED65B4">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63291189">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726B13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标识、宣传牌、塑料信报箱保洁</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501C314">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完好、干净、无明显浮灰、污迹</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119960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BCA718">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548A359">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BDEEB7C">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79948164">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92DAFD">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231E7F5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07D76F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休闲、娱乐、健身设施保洁</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D94E7E0">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完好、干净、无明显浮灰、污迹</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5967BE">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EFB2DCC">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2E8BC2">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D091179">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1BBFD5CA">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70DE35">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31AFEDF0">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CE7D2F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门卫、岗亭、河道</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B0DD71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门卫、岗亭干净、整洁，没有无关物品；河面无漂浮物，岸脚无垃圾</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25422A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F23EF84">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53B63C">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846C0A">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6A68993E">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407D6B">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7F0D7313">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1B921946">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其他公共场所、设施、公厕</w:t>
            </w:r>
          </w:p>
        </w:tc>
        <w:tc>
          <w:tcPr>
            <w:tcW w:w="1888"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BDAE0E2">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保持干净、整洁、无浮灰、污迹、损坏，无乱堆放、乱涂写、乱牵挂、乱晾晒现象</w:t>
            </w:r>
          </w:p>
        </w:tc>
        <w:tc>
          <w:tcPr>
            <w:tcW w:w="235"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7E543F1A">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p>
        </w:tc>
        <w:tc>
          <w:tcPr>
            <w:tcW w:w="1124"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7C917FF">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732D90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1F27501">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2197CFDB">
        <w:tblPrEx>
          <w:tblCellMar>
            <w:top w:w="0" w:type="dxa"/>
            <w:left w:w="0" w:type="dxa"/>
            <w:bottom w:w="0" w:type="dxa"/>
            <w:right w:w="0" w:type="dxa"/>
          </w:tblCellMar>
        </w:tblPrEx>
        <w:trPr>
          <w:trHeight w:val="57" w:hRule="atLeast"/>
        </w:trPr>
        <w:tc>
          <w:tcPr>
            <w:tcW w:w="293"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0121439">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32CCA8E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68241CF9">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5F73F51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p w14:paraId="1E79C2BA">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38"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34301C7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6757363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0B98B94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1C7DB6B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2A236B7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123D098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4914A6C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4B57D19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4533CD5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房屋共用</w:t>
            </w:r>
          </w:p>
          <w:p w14:paraId="7242E86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设施、设备维护与管理</w:t>
            </w:r>
          </w:p>
          <w:p w14:paraId="0490A7E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（18分）</w:t>
            </w: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97E12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服务时限</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D4E395">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急修1小时到位，12小时内修复；小修2日内修复，有记录</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B09642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D3578FB">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超过时限扣0.5分，无记录扣0.5分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E033E6">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2671244">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27D8DABA">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000000" w:sz="4" w:space="0"/>
            </w:tcBorders>
            <w:noWrap w:val="0"/>
            <w:vAlign w:val="center"/>
          </w:tcPr>
          <w:p w14:paraId="5531D49D">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1890DC50">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37C9A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房屋管理</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70CAC66">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有完善的装修管理制度。业主装修无破坏主体结构等情况。及时处理小区居民的报修工作，按照维修管理规定执行</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92387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9348B36">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发现一处破坏主体结构扣1.5分，一周内整改不到位的扣2分，未按照维修规定执行的每次扣0.5分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212BB1">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BBCB69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0A332863">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000000" w:sz="4" w:space="0"/>
            </w:tcBorders>
            <w:noWrap w:val="0"/>
            <w:vAlign w:val="center"/>
          </w:tcPr>
          <w:p w14:paraId="17D62101">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22DE2BD0">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8FA9E45">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给排水设施</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9D4204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水箱、蓄水池盖板完好无损坏，</w:t>
            </w:r>
            <w:r>
              <w:rPr>
                <w:rFonts w:hint="eastAsia" w:ascii="宋体" w:hAnsi="宋体" w:eastAsia="宋体" w:cs="宋体"/>
                <w:color w:val="auto"/>
                <w:kern w:val="0"/>
                <w:sz w:val="21"/>
                <w:szCs w:val="21"/>
                <w:highlight w:val="none"/>
                <w:lang w:eastAsia="zh-CN"/>
              </w:rPr>
              <w:t>服务期内</w:t>
            </w:r>
            <w:r>
              <w:rPr>
                <w:rFonts w:hint="eastAsia" w:ascii="宋体" w:hAnsi="宋体" w:eastAsia="宋体" w:cs="宋体"/>
                <w:color w:val="auto"/>
                <w:kern w:val="0"/>
                <w:sz w:val="21"/>
                <w:szCs w:val="21"/>
                <w:highlight w:val="none"/>
              </w:rPr>
              <w:t>做好清洗工作，有记录</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1D52E9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6757D5B">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发现一次扣0.5分，扣完为止</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5F66420">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ED0DF14">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57E459DC">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000000" w:sz="4" w:space="0"/>
            </w:tcBorders>
            <w:noWrap w:val="0"/>
            <w:vAlign w:val="center"/>
          </w:tcPr>
          <w:p w14:paraId="42607828">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13B1B32C">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continue"/>
            <w:tcBorders>
              <w:left w:val="single" w:color="000000" w:sz="4" w:space="0"/>
              <w:right w:val="single" w:color="000000" w:sz="4" w:space="0"/>
            </w:tcBorders>
            <w:noWrap w:val="0"/>
            <w:vAlign w:val="center"/>
          </w:tcPr>
          <w:p w14:paraId="203B341A">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F08D183">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泵房整洁无杂物，各类水泵运作正常，管道及阀门配件完好、无损坏、渗漏、锈迹</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372653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0EAC83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发现一次因人为原因运行不正常的扣1分；发现一处损坏渗漏，维保不到位的扣0.2分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22CA60">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10633F2">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4F633C29">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000000" w:sz="4" w:space="0"/>
            </w:tcBorders>
            <w:noWrap w:val="0"/>
            <w:vAlign w:val="center"/>
          </w:tcPr>
          <w:p w14:paraId="29A8F092">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04CF2358">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continue"/>
            <w:tcBorders>
              <w:left w:val="single" w:color="000000" w:sz="4" w:space="0"/>
              <w:right w:val="single" w:color="000000" w:sz="4" w:space="0"/>
            </w:tcBorders>
            <w:noWrap w:val="0"/>
            <w:vAlign w:val="center"/>
          </w:tcPr>
          <w:p w14:paraId="1FB73CCC">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CEC6245">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每月清扫一次明沟，无堵塞。清扫有记录，多层安置房梅雨季节前清扫一次露台天沟；疏通一次</w:t>
            </w:r>
            <w:r>
              <w:rPr>
                <w:rFonts w:hint="eastAsia" w:ascii="宋体" w:hAnsi="宋体" w:eastAsia="宋体" w:cs="宋体"/>
                <w:color w:val="auto"/>
                <w:kern w:val="0"/>
                <w:sz w:val="21"/>
                <w:szCs w:val="21"/>
                <w:highlight w:val="none"/>
                <w:lang w:eastAsia="zh-CN"/>
              </w:rPr>
              <w:t>路面</w:t>
            </w:r>
            <w:r>
              <w:rPr>
                <w:rFonts w:hint="eastAsia" w:ascii="宋体" w:hAnsi="宋体" w:eastAsia="宋体" w:cs="宋体"/>
                <w:color w:val="auto"/>
                <w:kern w:val="0"/>
                <w:sz w:val="21"/>
                <w:szCs w:val="21"/>
                <w:highlight w:val="none"/>
              </w:rPr>
              <w:t>窨井，化粪池</w:t>
            </w:r>
            <w:r>
              <w:rPr>
                <w:rFonts w:hint="eastAsia" w:ascii="宋体" w:hAnsi="宋体" w:eastAsia="宋体" w:cs="宋体"/>
                <w:color w:val="auto"/>
                <w:kern w:val="0"/>
                <w:sz w:val="21"/>
                <w:szCs w:val="21"/>
                <w:highlight w:val="none"/>
                <w:lang w:eastAsia="zh-CN"/>
              </w:rPr>
              <w:t>服务期内</w:t>
            </w:r>
            <w:r>
              <w:rPr>
                <w:rFonts w:hint="eastAsia" w:ascii="宋体" w:hAnsi="宋体" w:eastAsia="宋体" w:cs="宋体"/>
                <w:color w:val="auto"/>
                <w:kern w:val="0"/>
                <w:sz w:val="21"/>
                <w:szCs w:val="21"/>
                <w:highlight w:val="none"/>
              </w:rPr>
              <w:t>清理一次</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91C0D5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9B06CAB">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未按要求做的，发现一次扣1分，限时整改不到位的扣2分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F0EAE1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6F62FA">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7C847B9D">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000000" w:sz="4" w:space="0"/>
            </w:tcBorders>
            <w:noWrap w:val="0"/>
            <w:vAlign w:val="center"/>
          </w:tcPr>
          <w:p w14:paraId="0C9F337E">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77FFFBE3">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continue"/>
            <w:tcBorders>
              <w:left w:val="single" w:color="000000" w:sz="4" w:space="0"/>
              <w:right w:val="single" w:color="000000" w:sz="4" w:space="0"/>
            </w:tcBorders>
            <w:noWrap w:val="0"/>
            <w:vAlign w:val="center"/>
          </w:tcPr>
          <w:p w14:paraId="3B32359D">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1888"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72D515DC">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窨井无损坏、无缺失，安装到位，不影响行人与</w:t>
            </w:r>
            <w:r>
              <w:rPr>
                <w:rFonts w:hint="eastAsia" w:ascii="宋体" w:hAnsi="宋体" w:eastAsia="宋体" w:cs="宋体"/>
                <w:color w:val="auto"/>
                <w:kern w:val="0"/>
                <w:sz w:val="21"/>
                <w:szCs w:val="21"/>
                <w:highlight w:val="none"/>
                <w:lang w:eastAsia="zh-CN"/>
              </w:rPr>
              <w:t>车辆通行</w:t>
            </w:r>
          </w:p>
        </w:tc>
        <w:tc>
          <w:tcPr>
            <w:tcW w:w="235"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7EE0D24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4B3426E4">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56519B0C">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207721B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7B3B43D7">
        <w:tblPrEx>
          <w:tblCellMar>
            <w:top w:w="0" w:type="dxa"/>
            <w:left w:w="0" w:type="dxa"/>
            <w:bottom w:w="0" w:type="dxa"/>
            <w:right w:w="0" w:type="dxa"/>
          </w:tblCellMar>
        </w:tblPrEx>
        <w:trPr>
          <w:trHeight w:val="57" w:hRule="atLeast"/>
        </w:trPr>
        <w:tc>
          <w:tcPr>
            <w:tcW w:w="293" w:type="pct"/>
            <w:tcBorders>
              <w:left w:val="single" w:color="000000" w:sz="4" w:space="0"/>
              <w:right w:val="single" w:color="000000" w:sz="4" w:space="0"/>
            </w:tcBorders>
            <w:noWrap w:val="0"/>
            <w:vAlign w:val="center"/>
          </w:tcPr>
          <w:p w14:paraId="0B624E67">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38" w:type="pct"/>
            <w:vMerge w:val="restart"/>
            <w:tcBorders>
              <w:left w:val="single" w:color="000000" w:sz="4" w:space="0"/>
              <w:right w:val="single" w:color="000000" w:sz="4" w:space="0"/>
            </w:tcBorders>
            <w:noWrap w:val="0"/>
            <w:vAlign w:val="center"/>
          </w:tcPr>
          <w:p w14:paraId="54462F7D">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72" w:type="pct"/>
            <w:tcBorders>
              <w:top w:val="single" w:color="auto" w:sz="4" w:space="0"/>
              <w:left w:val="single" w:color="000000" w:sz="4" w:space="0"/>
              <w:bottom w:val="single" w:color="000000" w:sz="4" w:space="0"/>
              <w:right w:val="single" w:color="000000" w:sz="4" w:space="0"/>
            </w:tcBorders>
            <w:noWrap w:val="0"/>
            <w:vAlign w:val="center"/>
          </w:tcPr>
          <w:p w14:paraId="5868AA7D">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BDC19CE">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雨水管污水、给排水管无堵塞、排水畅通</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CEE28CE">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055B656">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B5A0AC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8DF9DD8">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136B1B5A">
        <w:tblPrEx>
          <w:tblCellMar>
            <w:top w:w="0" w:type="dxa"/>
            <w:left w:w="0" w:type="dxa"/>
            <w:bottom w:w="0" w:type="dxa"/>
            <w:right w:w="0" w:type="dxa"/>
          </w:tblCellMar>
        </w:tblPrEx>
        <w:trPr>
          <w:trHeight w:val="57" w:hRule="atLeast"/>
        </w:trPr>
        <w:tc>
          <w:tcPr>
            <w:tcW w:w="293" w:type="pct"/>
            <w:vMerge w:val="restart"/>
            <w:tcBorders>
              <w:left w:val="single" w:color="000000" w:sz="4" w:space="0"/>
              <w:right w:val="single" w:color="000000" w:sz="4" w:space="0"/>
            </w:tcBorders>
            <w:noWrap w:val="0"/>
            <w:vAlign w:val="center"/>
          </w:tcPr>
          <w:p w14:paraId="67F6926F">
            <w:pPr>
              <w:keepNext w:val="0"/>
              <w:keepLines w:val="0"/>
              <w:pageBreakBefore w:val="0"/>
              <w:widowControl/>
              <w:kinsoku/>
              <w:wordWrap/>
              <w:overflowPunct/>
              <w:topLinePunct w:val="0"/>
              <w:autoSpaceDE/>
              <w:autoSpaceDN/>
              <w:bidi w:val="0"/>
              <w:adjustRightInd/>
              <w:snapToGrid/>
              <w:spacing w:line="320" w:lineRule="exact"/>
              <w:ind w:firstLine="105" w:firstLineChars="50"/>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07398F2B">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42957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公共照明</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13510E">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每月检查公共供配电系统的运行状况，并做好记录，出现异常情况及时处理</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4FB78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B9EE85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不检查一次扣0.5分，不及时处理扣0.5分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C87EB32">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12CA9BE">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304C4C29">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000000" w:sz="4" w:space="0"/>
            </w:tcBorders>
            <w:noWrap w:val="0"/>
            <w:vAlign w:val="center"/>
          </w:tcPr>
          <w:p w14:paraId="05556D1A">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49A2D12A">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continue"/>
            <w:tcBorders>
              <w:top w:val="single" w:color="000000" w:sz="4" w:space="0"/>
              <w:left w:val="single" w:color="000000" w:sz="4" w:space="0"/>
              <w:bottom w:val="single" w:color="auto" w:sz="4" w:space="0"/>
              <w:right w:val="single" w:color="000000" w:sz="4" w:space="0"/>
            </w:tcBorders>
            <w:noWrap w:val="0"/>
            <w:vAlign w:val="center"/>
          </w:tcPr>
          <w:p w14:paraId="456D30D1">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1888"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1A720059">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公共照明灯具开关等无损坏，使用正常</w:t>
            </w:r>
          </w:p>
        </w:tc>
        <w:tc>
          <w:tcPr>
            <w:tcW w:w="235"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0D29E30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w:t>
            </w:r>
          </w:p>
        </w:tc>
        <w:tc>
          <w:tcPr>
            <w:tcW w:w="1124"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38CC6C7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297FB6B3">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39FAC4A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701732B1">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auto" w:sz="4" w:space="0"/>
            </w:tcBorders>
            <w:noWrap w:val="0"/>
            <w:vAlign w:val="center"/>
          </w:tcPr>
          <w:p w14:paraId="4819F2F2">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restart"/>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1D3C91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72" w:type="pct"/>
            <w:tcBorders>
              <w:top w:val="single" w:color="auto"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6674C77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电梯</w:t>
            </w:r>
          </w:p>
        </w:tc>
        <w:tc>
          <w:tcPr>
            <w:tcW w:w="1888"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AFC4605">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选聘有资质的维保单位进行日常维护保养，维保记录资料齐全，主动到镇物管办登记备案。做到一梯一档；有应急救援预案和操作程序。在接到报警信号半小时内设法解救乘客，排除故障，有记录。电梯灯具、风扇、按钮、对讲系统及安全设施保养到位，无异常、无损坏</w:t>
            </w:r>
          </w:p>
        </w:tc>
        <w:tc>
          <w:tcPr>
            <w:tcW w:w="235"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95DD24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985E9FB">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未及时备案的扣2分无正常维护保养扣2分；记录不全，发现一处扣0.2分；其他发现一次扣0.2分</w:t>
            </w:r>
          </w:p>
        </w:tc>
        <w:tc>
          <w:tcPr>
            <w:tcW w:w="251"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7AF07C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67A2F7E">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681BAADB">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auto" w:sz="4" w:space="0"/>
            </w:tcBorders>
            <w:noWrap w:val="0"/>
            <w:vAlign w:val="center"/>
          </w:tcPr>
          <w:p w14:paraId="78F97805">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auto" w:sz="4" w:space="0"/>
              <w:bottom w:val="single" w:color="auto" w:sz="4" w:space="0"/>
              <w:right w:val="single" w:color="auto" w:sz="4" w:space="0"/>
            </w:tcBorders>
            <w:noWrap w:val="0"/>
            <w:vAlign w:val="center"/>
          </w:tcPr>
          <w:p w14:paraId="11812366">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3A2085F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消防</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3BCDB3C">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选聘有资质的维保单位进行日常维护保养，主动到物管办登记备案。每月进行一次巡查，调试消防栓、箱、烟管器、消防水阀。消防标志等消防设备完好、齐全，确保正常使用，并及时维修，有记录，无失窃、私用等情况。灭火器定期检查更换药粉，确保有效使用</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7CAED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3387758">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没有备案的扣2分；无巡查调试扣1分，设备、设施损坏不符合要求，每发现一处扣0.2分，发现私用扣1分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26F5F2">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B911D1F">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55952B34">
        <w:tblPrEx>
          <w:tblCellMar>
            <w:top w:w="0" w:type="dxa"/>
            <w:left w:w="0" w:type="dxa"/>
            <w:bottom w:w="0" w:type="dxa"/>
            <w:right w:w="0" w:type="dxa"/>
          </w:tblCellMar>
        </w:tblPrEx>
        <w:trPr>
          <w:trHeight w:val="745" w:hRule="atLeast"/>
        </w:trPr>
        <w:tc>
          <w:tcPr>
            <w:tcW w:w="293" w:type="pct"/>
            <w:vMerge w:val="continue"/>
            <w:tcBorders>
              <w:left w:val="single" w:color="000000" w:sz="4" w:space="0"/>
              <w:right w:val="single" w:color="auto" w:sz="4" w:space="0"/>
            </w:tcBorders>
            <w:noWrap w:val="0"/>
            <w:vAlign w:val="center"/>
          </w:tcPr>
          <w:p w14:paraId="26B9C705">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auto" w:sz="4" w:space="0"/>
              <w:bottom w:val="single" w:color="auto" w:sz="4" w:space="0"/>
              <w:right w:val="single" w:color="auto" w:sz="4" w:space="0"/>
            </w:tcBorders>
            <w:noWrap w:val="0"/>
            <w:vAlign w:val="center"/>
          </w:tcPr>
          <w:p w14:paraId="3CFA3B52">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restar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2C3E082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监控</w:t>
            </w:r>
          </w:p>
        </w:tc>
        <w:tc>
          <w:tcPr>
            <w:tcW w:w="1888" w:type="pct"/>
            <w:tcBorders>
              <w:top w:val="single" w:color="000000" w:sz="4" w:space="0"/>
              <w:left w:val="single" w:color="000000" w:sz="4" w:space="0"/>
              <w:bottom w:val="nil"/>
              <w:right w:val="single" w:color="000000" w:sz="4" w:space="0"/>
            </w:tcBorders>
            <w:noWrap w:val="0"/>
            <w:tcMar>
              <w:top w:w="15" w:type="dxa"/>
              <w:left w:w="15" w:type="dxa"/>
              <w:bottom w:w="0" w:type="dxa"/>
              <w:right w:w="15" w:type="dxa"/>
            </w:tcMar>
            <w:vAlign w:val="center"/>
          </w:tcPr>
          <w:p w14:paraId="7ECF521D">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每月按规定检查监控设备，有记录，如有损坏及时修复</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C8F7E5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AD3EA1">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不检查扣1分，不及时维修扣0.5分</w:t>
            </w:r>
          </w:p>
        </w:tc>
        <w:tc>
          <w:tcPr>
            <w:tcW w:w="251" w:type="pct"/>
            <w:vMerge w:val="restart"/>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60F58CE7">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745D333">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52DFAF92">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auto" w:sz="4" w:space="0"/>
            </w:tcBorders>
            <w:noWrap w:val="0"/>
            <w:vAlign w:val="center"/>
          </w:tcPr>
          <w:p w14:paraId="30336C62">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auto" w:sz="4" w:space="0"/>
              <w:bottom w:val="single" w:color="auto" w:sz="4" w:space="0"/>
              <w:right w:val="single" w:color="auto" w:sz="4" w:space="0"/>
            </w:tcBorders>
            <w:noWrap w:val="0"/>
            <w:vAlign w:val="center"/>
          </w:tcPr>
          <w:p w14:paraId="3780946F">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continue"/>
            <w:tcBorders>
              <w:top w:val="single" w:color="000000" w:sz="4" w:space="0"/>
              <w:left w:val="single" w:color="auto" w:sz="4" w:space="0"/>
              <w:bottom w:val="single" w:color="000000" w:sz="4" w:space="0"/>
              <w:right w:val="single" w:color="000000" w:sz="4" w:space="0"/>
            </w:tcBorders>
            <w:noWrap w:val="0"/>
            <w:vAlign w:val="center"/>
          </w:tcPr>
          <w:p w14:paraId="0B8471F1">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1888" w:type="pct"/>
            <w:tcBorders>
              <w:top w:val="single" w:color="000000" w:sz="4" w:space="0"/>
              <w:left w:val="single" w:color="000000" w:sz="4" w:space="0"/>
              <w:bottom w:val="nil"/>
              <w:right w:val="single" w:color="000000" w:sz="4" w:space="0"/>
            </w:tcBorders>
            <w:noWrap w:val="0"/>
            <w:tcMar>
              <w:top w:w="15" w:type="dxa"/>
              <w:left w:w="15" w:type="dxa"/>
              <w:bottom w:w="0" w:type="dxa"/>
              <w:right w:w="15" w:type="dxa"/>
            </w:tcMar>
            <w:vAlign w:val="center"/>
          </w:tcPr>
          <w:p w14:paraId="08C0CE06">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监控室实行24小时值班，发现情况及时上报处理，情况处理有记录；禁止无关人员在内；保持室内整洁无杂物堆放</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C5D2BA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6417131">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发现无人值班扣1分，情况不及时处理扣0.5分，发现有无关人员一次扣0.5分；发现有杂物堆放每次扣0.5分</w:t>
            </w:r>
          </w:p>
        </w:tc>
        <w:tc>
          <w:tcPr>
            <w:tcW w:w="251" w:type="pct"/>
            <w:vMerge w:val="continue"/>
            <w:tcBorders>
              <w:top w:val="single" w:color="000000" w:sz="4" w:space="0"/>
              <w:left w:val="nil"/>
              <w:bottom w:val="single" w:color="000000" w:sz="4" w:space="0"/>
              <w:right w:val="single" w:color="000000" w:sz="4" w:space="0"/>
            </w:tcBorders>
            <w:noWrap w:val="0"/>
            <w:vAlign w:val="center"/>
          </w:tcPr>
          <w:p w14:paraId="7AA2E644">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29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EA540E">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r>
      <w:tr w14:paraId="34444137">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auto" w:sz="4" w:space="0"/>
            </w:tcBorders>
            <w:noWrap w:val="0"/>
            <w:vAlign w:val="center"/>
          </w:tcPr>
          <w:p w14:paraId="1582D4C1">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auto" w:sz="4" w:space="0"/>
              <w:bottom w:val="single" w:color="auto" w:sz="4" w:space="0"/>
              <w:right w:val="single" w:color="auto" w:sz="4" w:space="0"/>
            </w:tcBorders>
            <w:noWrap w:val="0"/>
            <w:vAlign w:val="center"/>
          </w:tcPr>
          <w:p w14:paraId="62D6A717">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1D4DF61C">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其他公用设施</w:t>
            </w:r>
          </w:p>
          <w:p w14:paraId="51A13E6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智能道闸</w:t>
            </w:r>
          </w:p>
        </w:tc>
        <w:tc>
          <w:tcPr>
            <w:tcW w:w="1888"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38FCF19">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完好无损、无随意改变用途现象</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1CB43FE">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50E1D4">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损坏1处扣0.2分，随意改变用途扣1分，确保智能道闸正常使用，未按规定使用的每次扣0.2分</w:t>
            </w:r>
          </w:p>
        </w:tc>
        <w:tc>
          <w:tcPr>
            <w:tcW w:w="251" w:type="pct"/>
            <w:vMerge w:val="continue"/>
            <w:tcBorders>
              <w:top w:val="single" w:color="000000" w:sz="4" w:space="0"/>
              <w:left w:val="nil"/>
              <w:bottom w:val="single" w:color="000000" w:sz="4" w:space="0"/>
              <w:right w:val="single" w:color="000000" w:sz="4" w:space="0"/>
            </w:tcBorders>
            <w:noWrap w:val="0"/>
            <w:vAlign w:val="center"/>
          </w:tcPr>
          <w:p w14:paraId="608D5788">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29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64FA41">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r>
      <w:tr w14:paraId="19593853">
        <w:tblPrEx>
          <w:tblCellMar>
            <w:top w:w="0" w:type="dxa"/>
            <w:left w:w="0" w:type="dxa"/>
            <w:bottom w:w="0" w:type="dxa"/>
            <w:right w:w="0" w:type="dxa"/>
          </w:tblCellMar>
        </w:tblPrEx>
        <w:trPr>
          <w:trHeight w:val="57" w:hRule="atLeast"/>
        </w:trPr>
        <w:tc>
          <w:tcPr>
            <w:tcW w:w="293"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D80BFE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6B4CA3C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3392682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433FB905">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39F21EE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p>
        </w:tc>
        <w:tc>
          <w:tcPr>
            <w:tcW w:w="438" w:type="pct"/>
            <w:vMerge w:val="restar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07EFA2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36FF5EF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p w14:paraId="4F828D5A">
            <w:pPr>
              <w:keepNext w:val="0"/>
              <w:keepLines w:val="0"/>
              <w:pageBreakBefore w:val="0"/>
              <w:widowControl/>
              <w:kinsoku/>
              <w:wordWrap/>
              <w:overflowPunct/>
              <w:topLinePunct w:val="0"/>
              <w:autoSpaceDE/>
              <w:autoSpaceDN/>
              <w:bidi w:val="0"/>
              <w:adjustRightInd/>
              <w:snapToGrid/>
              <w:spacing w:line="320" w:lineRule="exact"/>
              <w:textAlignment w:val="center"/>
              <w:rPr>
                <w:rFonts w:hint="eastAsia" w:ascii="宋体" w:hAnsi="宋体" w:eastAsia="宋体" w:cs="宋体"/>
                <w:color w:val="auto"/>
                <w:kern w:val="0"/>
                <w:sz w:val="21"/>
                <w:szCs w:val="21"/>
                <w:highlight w:val="none"/>
              </w:rPr>
            </w:pPr>
          </w:p>
          <w:p w14:paraId="1758202E">
            <w:pPr>
              <w:keepNext w:val="0"/>
              <w:keepLines w:val="0"/>
              <w:pageBreakBefore w:val="0"/>
              <w:widowControl/>
              <w:kinsoku/>
              <w:wordWrap/>
              <w:overflowPunct/>
              <w:topLinePunct w:val="0"/>
              <w:autoSpaceDE/>
              <w:autoSpaceDN/>
              <w:bidi w:val="0"/>
              <w:adjustRightInd/>
              <w:snapToGrid/>
              <w:spacing w:line="320" w:lineRule="exac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绿化养护与</w:t>
            </w:r>
          </w:p>
          <w:p w14:paraId="5D2055BB">
            <w:pPr>
              <w:keepNext w:val="0"/>
              <w:keepLines w:val="0"/>
              <w:pageBreakBefore w:val="0"/>
              <w:widowControl/>
              <w:kinsoku/>
              <w:wordWrap/>
              <w:overflowPunct/>
              <w:topLinePunct w:val="0"/>
              <w:autoSpaceDE/>
              <w:autoSpaceDN/>
              <w:bidi w:val="0"/>
              <w:adjustRightInd/>
              <w:snapToGrid/>
              <w:spacing w:line="320" w:lineRule="exac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管理</w:t>
            </w:r>
          </w:p>
          <w:p w14:paraId="70711786">
            <w:pPr>
              <w:keepNext w:val="0"/>
              <w:keepLines w:val="0"/>
              <w:pageBreakBefore w:val="0"/>
              <w:widowControl/>
              <w:kinsoku/>
              <w:wordWrap/>
              <w:overflowPunct/>
              <w:topLinePunct w:val="0"/>
              <w:autoSpaceDE/>
              <w:autoSpaceDN/>
              <w:bidi w:val="0"/>
              <w:adjustRightInd/>
              <w:snapToGrid/>
              <w:spacing w:line="320" w:lineRule="exac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（14分）</w:t>
            </w:r>
          </w:p>
        </w:tc>
        <w:tc>
          <w:tcPr>
            <w:tcW w:w="472"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9AD67E">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草坪、树木、花坛</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CAA4789">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植物长势良好，草坪、色块、树木、花坛成活率在90%以上。如有死亡，毁绿现象能够及时补绿</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4103F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56F29F">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发现一处毁绿扣0.5分，不及时补绿扣1分，扣完为止</w:t>
            </w:r>
          </w:p>
        </w:tc>
        <w:tc>
          <w:tcPr>
            <w:tcW w:w="251"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D5CAF2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4F2948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r>
      <w:tr w14:paraId="050C9DD7">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357583">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C9776E">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50A363">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1888"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3C246E51">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绿地无杂草，无明显土地裸露，无乱种植现象</w:t>
            </w:r>
          </w:p>
        </w:tc>
        <w:tc>
          <w:tcPr>
            <w:tcW w:w="235"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2F12B457">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w:t>
            </w:r>
          </w:p>
        </w:tc>
        <w:tc>
          <w:tcPr>
            <w:tcW w:w="1124"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64B62FA">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25BAA51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55460576">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r>
      <w:tr w14:paraId="108779BA">
        <w:tblPrEx>
          <w:tblCellMar>
            <w:top w:w="0" w:type="dxa"/>
            <w:left w:w="0" w:type="dxa"/>
            <w:bottom w:w="0" w:type="dxa"/>
            <w:right w:w="0" w:type="dxa"/>
          </w:tblCellMar>
        </w:tblPrEx>
        <w:trPr>
          <w:trHeight w:val="440"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071C78">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4D077B">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FF14F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假山、亭、雕塑等建筑</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CD46B6B">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干净无垃圾、无明显积灰、无污迹、无损坏</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85BB3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B5E99D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发现一处扣0.5分，扣完为止</w:t>
            </w:r>
          </w:p>
        </w:tc>
        <w:tc>
          <w:tcPr>
            <w:tcW w:w="251"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4161AE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CAE170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r>
      <w:tr w14:paraId="67453404">
        <w:tblPrEx>
          <w:tblCellMar>
            <w:top w:w="0" w:type="dxa"/>
            <w:left w:w="0" w:type="dxa"/>
            <w:bottom w:w="0" w:type="dxa"/>
            <w:right w:w="0" w:type="dxa"/>
          </w:tblCellMar>
        </w:tblPrEx>
        <w:trPr>
          <w:trHeight w:val="57" w:hRule="atLeast"/>
        </w:trPr>
        <w:tc>
          <w:tcPr>
            <w:tcW w:w="293"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ED7A999">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w:t>
            </w:r>
          </w:p>
        </w:tc>
        <w:tc>
          <w:tcPr>
            <w:tcW w:w="438"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5981B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安全防范（20分）</w:t>
            </w:r>
          </w:p>
        </w:tc>
        <w:tc>
          <w:tcPr>
            <w:tcW w:w="472"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365F5F5B">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巡逻</w:t>
            </w:r>
          </w:p>
        </w:tc>
        <w:tc>
          <w:tcPr>
            <w:tcW w:w="1888"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3DEA8D33">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按规定白天巡查不少于4次，夜间巡查不少于6次，巡查台账完备。车库门、防盗电控门保持完好，及时关闭</w:t>
            </w:r>
          </w:p>
        </w:tc>
        <w:tc>
          <w:tcPr>
            <w:tcW w:w="235"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654E61C1">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15</w:t>
            </w:r>
          </w:p>
        </w:tc>
        <w:tc>
          <w:tcPr>
            <w:tcW w:w="1124"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1C843CAB">
            <w:pPr>
              <w:keepNext w:val="0"/>
              <w:keepLines w:val="0"/>
              <w:pageBreakBefore w:val="0"/>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缺一次巡逻扣1分，夜间车库门未关闭发现一处扣0.5分，扣完为止</w:t>
            </w:r>
          </w:p>
        </w:tc>
        <w:tc>
          <w:tcPr>
            <w:tcW w:w="251"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47E8E22B">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0EC1853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r>
      <w:tr w14:paraId="1883AE88">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3AECFE">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AA8400">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vAlign w:val="center"/>
          </w:tcPr>
          <w:p w14:paraId="123E51BB">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交通秩序</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2E4FD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保持消防通道畅通，消防通道无路障；对于火灾等突发事件要有应急预案，</w:t>
            </w:r>
            <w:r>
              <w:rPr>
                <w:rFonts w:hint="eastAsia" w:ascii="宋体" w:hAnsi="宋体" w:eastAsia="宋体" w:cs="宋体"/>
                <w:color w:val="auto"/>
                <w:kern w:val="0"/>
                <w:sz w:val="21"/>
                <w:szCs w:val="21"/>
                <w:highlight w:val="none"/>
                <w:lang w:eastAsia="zh-CN"/>
              </w:rPr>
              <w:t>服务期内</w:t>
            </w:r>
            <w:r>
              <w:rPr>
                <w:rFonts w:hint="eastAsia" w:ascii="宋体" w:hAnsi="宋体" w:eastAsia="宋体" w:cs="宋体"/>
                <w:color w:val="auto"/>
                <w:kern w:val="0"/>
                <w:sz w:val="21"/>
                <w:szCs w:val="21"/>
                <w:highlight w:val="none"/>
              </w:rPr>
              <w:t>进行一次消防演练活动</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A4CC0D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EF63AD">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消防通道不畅通，发现一次扣2分，未进行消防演练活动的扣1分</w:t>
            </w:r>
          </w:p>
        </w:tc>
        <w:tc>
          <w:tcPr>
            <w:tcW w:w="251" w:type="pct"/>
            <w:tcBorders>
              <w:top w:val="nil"/>
              <w:left w:val="nil"/>
              <w:bottom w:val="single" w:color="000000" w:sz="4" w:space="0"/>
              <w:right w:val="single" w:color="000000" w:sz="4" w:space="0"/>
            </w:tcBorders>
            <w:noWrap w:val="0"/>
            <w:vAlign w:val="center"/>
          </w:tcPr>
          <w:p w14:paraId="5F38D38C">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296" w:type="pct"/>
            <w:tcBorders>
              <w:top w:val="nil"/>
              <w:left w:val="single" w:color="000000" w:sz="4" w:space="0"/>
              <w:bottom w:val="single" w:color="000000" w:sz="4" w:space="0"/>
              <w:right w:val="single" w:color="000000" w:sz="4" w:space="0"/>
            </w:tcBorders>
            <w:noWrap w:val="0"/>
            <w:vAlign w:val="center"/>
          </w:tcPr>
          <w:p w14:paraId="4FE37A78">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r>
      <w:tr w14:paraId="0375257C">
        <w:tblPrEx>
          <w:tblCellMar>
            <w:top w:w="0" w:type="dxa"/>
            <w:left w:w="0" w:type="dxa"/>
            <w:bottom w:w="0" w:type="dxa"/>
            <w:right w:w="0" w:type="dxa"/>
          </w:tblCellMar>
        </w:tblPrEx>
        <w:trPr>
          <w:trHeight w:val="57" w:hRule="atLeast"/>
        </w:trPr>
        <w:tc>
          <w:tcPr>
            <w:tcW w:w="29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87AA10">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7E8723">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22F7E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其他方面</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7C6A31">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对于治安、公共卫生等突发事件，危及住户人身安全的设施设备有明显标志和防范措施。主出入口设有小区平面示意图，主要路口设有路标、幢、单元（门）和户门标志</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9C8007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4FDEF1C">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发现一处不符合要求的扣0.5分，扣完为止</w:t>
            </w:r>
          </w:p>
        </w:tc>
        <w:tc>
          <w:tcPr>
            <w:tcW w:w="251" w:type="pct"/>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00003690">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755FFA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r>
      <w:tr w14:paraId="027F4643">
        <w:tblPrEx>
          <w:tblCellMar>
            <w:top w:w="0" w:type="dxa"/>
            <w:left w:w="0" w:type="dxa"/>
            <w:bottom w:w="0" w:type="dxa"/>
            <w:right w:w="0" w:type="dxa"/>
          </w:tblCellMar>
        </w:tblPrEx>
        <w:trPr>
          <w:trHeight w:val="57" w:hRule="atLeast"/>
        </w:trPr>
        <w:tc>
          <w:tcPr>
            <w:tcW w:w="293" w:type="pct"/>
            <w:vMerge w:val="restar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4B090E9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w:t>
            </w:r>
          </w:p>
        </w:tc>
        <w:tc>
          <w:tcPr>
            <w:tcW w:w="438"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E719514">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业主权益</w:t>
            </w:r>
          </w:p>
          <w:p w14:paraId="2D95F284">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（9分）</w:t>
            </w: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9673349">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收费</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F52E41E">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按标准合理收取物业管理费、车辆停车费，加强沟通避免投诉，每月月底按时结算上报</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0C4073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5FC922">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未按规定收费的，发现一次扣1分，每月月底未结算上报的，每次扣1分，不合理收费发现一次扣1分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7119BEC">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6DB695D">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1FBD7548">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000000" w:sz="4" w:space="0"/>
            </w:tcBorders>
            <w:noWrap w:val="0"/>
            <w:vAlign w:val="center"/>
          </w:tcPr>
          <w:p w14:paraId="3755DE34">
            <w:pPr>
              <w:keepNext w:val="0"/>
              <w:keepLines w:val="0"/>
              <w:pageBreakBefore w:val="0"/>
              <w:widowControl/>
              <w:kinsoku/>
              <w:wordWrap/>
              <w:overflowPunct/>
              <w:topLinePunct w:val="0"/>
              <w:autoSpaceDE/>
              <w:autoSpaceDN/>
              <w:bidi w:val="0"/>
              <w:adjustRightInd/>
              <w:snapToGrid/>
              <w:spacing w:line="320" w:lineRule="exact"/>
              <w:jc w:val="left"/>
              <w:rPr>
                <w:rFonts w:hint="eastAsia" w:ascii="宋体" w:hAnsi="宋体" w:eastAsia="宋体" w:cs="宋体"/>
                <w:color w:val="auto"/>
                <w:sz w:val="21"/>
                <w:szCs w:val="21"/>
                <w:highlight w:val="none"/>
              </w:rPr>
            </w:pPr>
          </w:p>
        </w:tc>
        <w:tc>
          <w:tcPr>
            <w:tcW w:w="438" w:type="pct"/>
            <w:vMerge w:val="continue"/>
            <w:tcBorders>
              <w:left w:val="single" w:color="000000" w:sz="4" w:space="0"/>
              <w:right w:val="single" w:color="000000" w:sz="4" w:space="0"/>
            </w:tcBorders>
            <w:noWrap w:val="0"/>
            <w:vAlign w:val="center"/>
          </w:tcPr>
          <w:p w14:paraId="6A252275">
            <w:pPr>
              <w:keepNext w:val="0"/>
              <w:keepLines w:val="0"/>
              <w:pageBreakBefore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p>
        </w:tc>
        <w:tc>
          <w:tcPr>
            <w:tcW w:w="472"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CEE60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公示</w:t>
            </w:r>
          </w:p>
        </w:tc>
        <w:tc>
          <w:tcPr>
            <w:tcW w:w="1888"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D0AC8B">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按季度公示经营管理收支情况，专项维修情况</w:t>
            </w:r>
          </w:p>
        </w:tc>
        <w:tc>
          <w:tcPr>
            <w:tcW w:w="235"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40E23E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50CE4E">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未按规定公示的，每项扣1分</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FBE339">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956403">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sz w:val="21"/>
                <w:szCs w:val="21"/>
                <w:highlight w:val="none"/>
              </w:rPr>
            </w:pPr>
          </w:p>
        </w:tc>
      </w:tr>
      <w:tr w14:paraId="6169D10A">
        <w:tblPrEx>
          <w:tblCellMar>
            <w:top w:w="0" w:type="dxa"/>
            <w:left w:w="0" w:type="dxa"/>
            <w:bottom w:w="0" w:type="dxa"/>
            <w:right w:w="0" w:type="dxa"/>
          </w:tblCellMar>
        </w:tblPrEx>
        <w:trPr>
          <w:trHeight w:val="57" w:hRule="atLeast"/>
        </w:trPr>
        <w:tc>
          <w:tcPr>
            <w:tcW w:w="293"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11DAC6F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tc>
        <w:tc>
          <w:tcPr>
            <w:tcW w:w="438"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7EB06E6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tc>
        <w:tc>
          <w:tcPr>
            <w:tcW w:w="472" w:type="pct"/>
            <w:tcBorders>
              <w:top w:val="single" w:color="000000" w:sz="4" w:space="0"/>
              <w:left w:val="single" w:color="000000" w:sz="4" w:space="0"/>
              <w:bottom w:val="single" w:color="auto" w:sz="4" w:space="0"/>
              <w:right w:val="single" w:color="auto" w:sz="4" w:space="0"/>
            </w:tcBorders>
            <w:noWrap w:val="0"/>
            <w:tcMar>
              <w:top w:w="15" w:type="dxa"/>
              <w:left w:w="15" w:type="dxa"/>
              <w:bottom w:w="0" w:type="dxa"/>
              <w:right w:w="15" w:type="dxa"/>
            </w:tcMar>
            <w:vAlign w:val="center"/>
          </w:tcPr>
          <w:p w14:paraId="7E30FBD1">
            <w:pPr>
              <w:keepNext w:val="0"/>
              <w:keepLines w:val="0"/>
              <w:pageBreakBefore w:val="0"/>
              <w:kinsoku/>
              <w:wordWrap/>
              <w:overflowPunct/>
              <w:topLinePunct w:val="0"/>
              <w:autoSpaceDE/>
              <w:autoSpaceDN/>
              <w:bidi w:val="0"/>
              <w:adjustRightInd/>
              <w:snapToGrid/>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召开座谈会</w:t>
            </w:r>
          </w:p>
          <w:p w14:paraId="612B6A2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tc>
        <w:tc>
          <w:tcPr>
            <w:tcW w:w="1888" w:type="pct"/>
            <w:tcBorders>
              <w:top w:val="single" w:color="000000" w:sz="4" w:space="0"/>
              <w:left w:val="single" w:color="auto" w:sz="4" w:space="0"/>
              <w:bottom w:val="single" w:color="auto" w:sz="4" w:space="0"/>
              <w:right w:val="single" w:color="000000" w:sz="4" w:space="0"/>
            </w:tcBorders>
            <w:noWrap w:val="0"/>
            <w:tcMar>
              <w:top w:w="15" w:type="dxa"/>
              <w:left w:w="15" w:type="dxa"/>
              <w:bottom w:w="0" w:type="dxa"/>
              <w:right w:w="15" w:type="dxa"/>
            </w:tcMar>
            <w:vAlign w:val="center"/>
          </w:tcPr>
          <w:p w14:paraId="2BE9E9C7">
            <w:pPr>
              <w:keepNext w:val="0"/>
              <w:keepLines w:val="0"/>
              <w:pageBreakBefore w:val="0"/>
              <w:kinsoku/>
              <w:wordWrap/>
              <w:overflowPunct/>
              <w:topLinePunct w:val="0"/>
              <w:autoSpaceDE/>
              <w:autoSpaceDN/>
              <w:bidi w:val="0"/>
              <w:adjustRightInd/>
              <w:snapToGrid/>
              <w:spacing w:line="320" w:lineRule="exact"/>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每季度召开一次业主代表物业服务工作座谈会，听取意见或建议。对合理的建议及时整改</w:t>
            </w:r>
          </w:p>
        </w:tc>
        <w:tc>
          <w:tcPr>
            <w:tcW w:w="235"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6EF4816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124"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7D2DC1A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座谈会少于3次的不得分，无正当理由不整改不得分</w:t>
            </w:r>
          </w:p>
        </w:tc>
        <w:tc>
          <w:tcPr>
            <w:tcW w:w="251"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539BD758">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29C45D9A">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r>
      <w:tr w14:paraId="32188497">
        <w:tblPrEx>
          <w:tblCellMar>
            <w:top w:w="0" w:type="dxa"/>
            <w:left w:w="0" w:type="dxa"/>
            <w:bottom w:w="0" w:type="dxa"/>
            <w:right w:w="0" w:type="dxa"/>
          </w:tblCellMar>
        </w:tblPrEx>
        <w:trPr>
          <w:trHeight w:val="480" w:hRule="atLeast"/>
        </w:trPr>
        <w:tc>
          <w:tcPr>
            <w:tcW w:w="293" w:type="pct"/>
            <w:vMerge w:val="continue"/>
            <w:tcBorders>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6A93BB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tc>
        <w:tc>
          <w:tcPr>
            <w:tcW w:w="438" w:type="pct"/>
            <w:vMerge w:val="continue"/>
            <w:tcBorders>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D492ECE">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tc>
        <w:tc>
          <w:tcPr>
            <w:tcW w:w="472" w:type="pct"/>
            <w:tcBorders>
              <w:top w:val="single" w:color="000000" w:sz="4" w:space="0"/>
              <w:left w:val="single" w:color="000000" w:sz="4" w:space="0"/>
              <w:bottom w:val="single" w:color="000000" w:sz="4" w:space="0"/>
              <w:right w:val="single" w:color="auto" w:sz="4" w:space="0"/>
            </w:tcBorders>
            <w:noWrap w:val="0"/>
            <w:tcMar>
              <w:top w:w="15" w:type="dxa"/>
              <w:left w:w="15" w:type="dxa"/>
              <w:bottom w:w="0" w:type="dxa"/>
              <w:right w:w="15" w:type="dxa"/>
            </w:tcMar>
            <w:vAlign w:val="center"/>
          </w:tcPr>
          <w:p w14:paraId="3D2A569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满意度</w:t>
            </w:r>
          </w:p>
          <w:p w14:paraId="50AB1F25">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p>
        </w:tc>
        <w:tc>
          <w:tcPr>
            <w:tcW w:w="1888"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204B32B0">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居民满意度90%以上</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B4218DC">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5EC4602">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每下降10%扣1分，低于60%不得分 </w:t>
            </w:r>
          </w:p>
        </w:tc>
        <w:tc>
          <w:tcPr>
            <w:tcW w:w="25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08983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c>
          <w:tcPr>
            <w:tcW w:w="296"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0075A2F">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r>
      <w:tr w14:paraId="449254DA">
        <w:tblPrEx>
          <w:tblCellMar>
            <w:top w:w="0" w:type="dxa"/>
            <w:left w:w="0" w:type="dxa"/>
            <w:bottom w:w="0" w:type="dxa"/>
            <w:right w:w="0" w:type="dxa"/>
          </w:tblCellMar>
        </w:tblPrEx>
        <w:trPr>
          <w:trHeight w:val="57" w:hRule="atLeast"/>
        </w:trPr>
        <w:tc>
          <w:tcPr>
            <w:tcW w:w="3092" w:type="pct"/>
            <w:gridSpan w:val="4"/>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D44935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合计</w:t>
            </w:r>
          </w:p>
        </w:tc>
        <w:tc>
          <w:tcPr>
            <w:tcW w:w="235"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5FD8D4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100</w:t>
            </w:r>
          </w:p>
        </w:tc>
        <w:tc>
          <w:tcPr>
            <w:tcW w:w="1124"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BA7481">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最终得分</w:t>
            </w:r>
          </w:p>
        </w:tc>
        <w:tc>
          <w:tcPr>
            <w:tcW w:w="547"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D3F95D">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p>
        </w:tc>
      </w:tr>
      <w:tr w14:paraId="78EBE205">
        <w:tblPrEx>
          <w:tblCellMar>
            <w:top w:w="0" w:type="dxa"/>
            <w:left w:w="0" w:type="dxa"/>
            <w:bottom w:w="0" w:type="dxa"/>
            <w:right w:w="0" w:type="dxa"/>
          </w:tblCellMar>
        </w:tblPrEx>
        <w:trPr>
          <w:trHeight w:val="57" w:hRule="atLeast"/>
        </w:trPr>
        <w:tc>
          <w:tcPr>
            <w:tcW w:w="5000" w:type="pct"/>
            <w:gridSpan w:val="8"/>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B9FE383">
            <w:pPr>
              <w:keepNext w:val="0"/>
              <w:keepLines w:val="0"/>
              <w:pageBreakBefore w:val="0"/>
              <w:kinsoku/>
              <w:wordWrap/>
              <w:overflowPunct/>
              <w:topLinePunct w:val="0"/>
              <w:autoSpaceDE/>
              <w:autoSpaceDN/>
              <w:bidi w:val="0"/>
              <w:adjustRightInd/>
              <w:snapToGrid/>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考核人员签字：</w:t>
            </w:r>
          </w:p>
        </w:tc>
      </w:tr>
    </w:tbl>
    <w:p w14:paraId="69B1AD0F">
      <w:pPr>
        <w:keepNext w:val="0"/>
        <w:keepLines w:val="0"/>
        <w:pageBreakBefore w:val="0"/>
        <w:widowControl w:val="0"/>
        <w:kinsoku/>
        <w:wordWrap/>
        <w:overflowPunct/>
        <w:topLinePunct w:val="0"/>
        <w:autoSpaceDE/>
        <w:autoSpaceDN/>
        <w:bidi w:val="0"/>
        <w:spacing w:line="440" w:lineRule="exact"/>
        <w:ind w:firstLine="562" w:firstLineChars="200"/>
        <w:jc w:val="center"/>
        <w:textAlignment w:val="auto"/>
        <w:rPr>
          <w:rFonts w:hint="eastAsia" w:ascii="宋体" w:hAnsi="宋体" w:eastAsia="宋体" w:cs="宋体"/>
          <w:b/>
          <w:bCs w:val="0"/>
          <w:color w:val="auto"/>
          <w:sz w:val="28"/>
          <w:szCs w:val="28"/>
          <w:highlight w:val="none"/>
          <w:lang w:val="en-US" w:eastAsia="zh-CN"/>
        </w:rPr>
      </w:pPr>
    </w:p>
    <w:p w14:paraId="52510EAF">
      <w:pPr>
        <w:keepNext w:val="0"/>
        <w:keepLines w:val="0"/>
        <w:pageBreakBefore w:val="0"/>
        <w:widowControl w:val="0"/>
        <w:kinsoku/>
        <w:wordWrap/>
        <w:overflowPunct/>
        <w:topLinePunct w:val="0"/>
        <w:autoSpaceDE/>
        <w:autoSpaceDN/>
        <w:bidi w:val="0"/>
        <w:spacing w:line="440" w:lineRule="exact"/>
        <w:ind w:firstLine="562" w:firstLineChars="200"/>
        <w:jc w:val="center"/>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（二）阳山镇住宅小区物业落实各项重点工作检查标准（占考核总分值40%）</w:t>
      </w:r>
    </w:p>
    <w:tbl>
      <w:tblPr>
        <w:tblStyle w:val="34"/>
        <w:tblW w:w="1121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45"/>
        <w:gridCol w:w="1382"/>
        <w:gridCol w:w="2022"/>
        <w:gridCol w:w="2595"/>
        <w:gridCol w:w="923"/>
        <w:gridCol w:w="956"/>
        <w:gridCol w:w="956"/>
        <w:gridCol w:w="920"/>
        <w:gridCol w:w="918"/>
      </w:tblGrid>
      <w:tr w14:paraId="513623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0" w:hRule="atLeast"/>
          <w:jc w:val="center"/>
        </w:trPr>
        <w:tc>
          <w:tcPr>
            <w:tcW w:w="546" w:type="dxa"/>
            <w:noWrap w:val="0"/>
            <w:vAlign w:val="center"/>
          </w:tcPr>
          <w:p w14:paraId="1B29684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1391" w:type="dxa"/>
            <w:noWrap w:val="0"/>
            <w:vAlign w:val="center"/>
          </w:tcPr>
          <w:p w14:paraId="2DCD89F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配合工作内容</w:t>
            </w:r>
          </w:p>
        </w:tc>
        <w:tc>
          <w:tcPr>
            <w:tcW w:w="2034" w:type="dxa"/>
            <w:noWrap w:val="0"/>
            <w:vAlign w:val="center"/>
          </w:tcPr>
          <w:p w14:paraId="0FD7132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检查程序</w:t>
            </w:r>
          </w:p>
        </w:tc>
        <w:tc>
          <w:tcPr>
            <w:tcW w:w="2616" w:type="dxa"/>
            <w:noWrap w:val="0"/>
            <w:vAlign w:val="center"/>
          </w:tcPr>
          <w:p w14:paraId="0512AC09">
            <w:pPr>
              <w:keepNext w:val="0"/>
              <w:keepLines w:val="0"/>
              <w:pageBreakBefore w:val="0"/>
              <w:widowControl/>
              <w:kinsoku/>
              <w:wordWrap/>
              <w:overflowPunct/>
              <w:topLinePunct w:val="0"/>
              <w:autoSpaceDE/>
              <w:autoSpaceDN/>
              <w:bidi w:val="0"/>
              <w:adjustRightInd/>
              <w:snapToGrid/>
              <w:spacing w:line="320" w:lineRule="exact"/>
              <w:ind w:firstLine="435"/>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扣分标准</w:t>
            </w:r>
          </w:p>
        </w:tc>
        <w:tc>
          <w:tcPr>
            <w:tcW w:w="926" w:type="dxa"/>
            <w:noWrap w:val="0"/>
            <w:vAlign w:val="center"/>
          </w:tcPr>
          <w:p w14:paraId="1932BB1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考核部门</w:t>
            </w:r>
          </w:p>
        </w:tc>
        <w:tc>
          <w:tcPr>
            <w:tcW w:w="926" w:type="dxa"/>
            <w:noWrap w:val="0"/>
            <w:vAlign w:val="center"/>
          </w:tcPr>
          <w:p w14:paraId="50E0354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社区评分（50%）</w:t>
            </w:r>
          </w:p>
        </w:tc>
        <w:tc>
          <w:tcPr>
            <w:tcW w:w="926" w:type="dxa"/>
            <w:noWrap w:val="0"/>
            <w:vAlign w:val="center"/>
          </w:tcPr>
          <w:p w14:paraId="7FA5CDB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考核科室评分（50%）</w:t>
            </w:r>
          </w:p>
        </w:tc>
        <w:tc>
          <w:tcPr>
            <w:tcW w:w="926" w:type="dxa"/>
            <w:noWrap w:val="0"/>
            <w:vAlign w:val="center"/>
          </w:tcPr>
          <w:p w14:paraId="5CF86DF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最终得分</w:t>
            </w:r>
          </w:p>
        </w:tc>
        <w:tc>
          <w:tcPr>
            <w:tcW w:w="926" w:type="dxa"/>
            <w:noWrap w:val="0"/>
            <w:vAlign w:val="center"/>
          </w:tcPr>
          <w:p w14:paraId="7868C5E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b/>
                <w:bCs/>
                <w:color w:val="auto"/>
                <w:kern w:val="0"/>
                <w:sz w:val="21"/>
                <w:szCs w:val="21"/>
                <w:highlight w:val="none"/>
              </w:rPr>
            </w:pPr>
          </w:p>
        </w:tc>
      </w:tr>
      <w:tr w14:paraId="65F88E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6" w:hRule="atLeast"/>
          <w:jc w:val="center"/>
        </w:trPr>
        <w:tc>
          <w:tcPr>
            <w:tcW w:w="546" w:type="dxa"/>
            <w:noWrap w:val="0"/>
            <w:vAlign w:val="center"/>
          </w:tcPr>
          <w:p w14:paraId="20C2897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91" w:type="dxa"/>
            <w:noWrap w:val="0"/>
            <w:vAlign w:val="center"/>
          </w:tcPr>
          <w:p w14:paraId="515454D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文明城市建设提升10分</w:t>
            </w:r>
          </w:p>
        </w:tc>
        <w:tc>
          <w:tcPr>
            <w:tcW w:w="2034" w:type="dxa"/>
            <w:noWrap w:val="0"/>
            <w:vAlign w:val="center"/>
          </w:tcPr>
          <w:p w14:paraId="29184CAC">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宣传、管理是否达到居民小区点位检查的23条标准</w:t>
            </w:r>
          </w:p>
        </w:tc>
        <w:tc>
          <w:tcPr>
            <w:tcW w:w="2616" w:type="dxa"/>
            <w:noWrap w:val="0"/>
            <w:vAlign w:val="center"/>
          </w:tcPr>
          <w:p w14:paraId="1B1FDAD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有一项未落实到位的扣2分；有多项未落实到位的累计扣分最多不超过10分</w:t>
            </w:r>
          </w:p>
        </w:tc>
        <w:tc>
          <w:tcPr>
            <w:tcW w:w="926" w:type="dxa"/>
            <w:noWrap w:val="0"/>
            <w:vAlign w:val="center"/>
          </w:tcPr>
          <w:p w14:paraId="62BD549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各社区、宣传网络科</w:t>
            </w:r>
          </w:p>
        </w:tc>
        <w:tc>
          <w:tcPr>
            <w:tcW w:w="926" w:type="dxa"/>
            <w:noWrap w:val="0"/>
            <w:vAlign w:val="center"/>
          </w:tcPr>
          <w:p w14:paraId="78F180D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4434DC6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62BDB63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7D008D9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63BE8B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6" w:hRule="atLeast"/>
          <w:jc w:val="center"/>
        </w:trPr>
        <w:tc>
          <w:tcPr>
            <w:tcW w:w="546" w:type="dxa"/>
            <w:noWrap w:val="0"/>
            <w:vAlign w:val="center"/>
          </w:tcPr>
          <w:p w14:paraId="4BC8ACA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391" w:type="dxa"/>
            <w:noWrap w:val="0"/>
            <w:vAlign w:val="center"/>
          </w:tcPr>
          <w:p w14:paraId="3BFE00B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城市精细化管理（主要涉及环境卫生）10分</w:t>
            </w:r>
          </w:p>
        </w:tc>
        <w:tc>
          <w:tcPr>
            <w:tcW w:w="2034" w:type="dxa"/>
            <w:noWrap w:val="0"/>
            <w:vAlign w:val="center"/>
          </w:tcPr>
          <w:p w14:paraId="583D8C1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查看是否落实环境卫生管理要求</w:t>
            </w:r>
          </w:p>
        </w:tc>
        <w:tc>
          <w:tcPr>
            <w:tcW w:w="2616" w:type="dxa"/>
            <w:noWrap w:val="0"/>
            <w:vAlign w:val="center"/>
          </w:tcPr>
          <w:p w14:paraId="3E019F20">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环境卫生差，扣2到5分；城管部门是否有通报，一起扣2分，对发现的各类问题逾期不整改的或整改不到位的扣2分。</w:t>
            </w:r>
          </w:p>
        </w:tc>
        <w:tc>
          <w:tcPr>
            <w:tcW w:w="926" w:type="dxa"/>
            <w:noWrap w:val="0"/>
            <w:vAlign w:val="center"/>
          </w:tcPr>
          <w:p w14:paraId="798C27C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各社区、行政执法局综合科</w:t>
            </w:r>
          </w:p>
        </w:tc>
        <w:tc>
          <w:tcPr>
            <w:tcW w:w="926" w:type="dxa"/>
            <w:noWrap w:val="0"/>
            <w:vAlign w:val="center"/>
          </w:tcPr>
          <w:p w14:paraId="356D189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7B6DE35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4284ED3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5E2791C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3C0A00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6" w:hRule="atLeast"/>
          <w:jc w:val="center"/>
        </w:trPr>
        <w:tc>
          <w:tcPr>
            <w:tcW w:w="546" w:type="dxa"/>
            <w:noWrap w:val="0"/>
            <w:vAlign w:val="center"/>
          </w:tcPr>
          <w:p w14:paraId="35F2EE8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391" w:type="dxa"/>
            <w:noWrap w:val="0"/>
            <w:vAlign w:val="center"/>
          </w:tcPr>
          <w:p w14:paraId="6128D01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垃圾分类（主要检查已实施垃圾分类试点的项目）10分</w:t>
            </w:r>
          </w:p>
        </w:tc>
        <w:tc>
          <w:tcPr>
            <w:tcW w:w="2034" w:type="dxa"/>
            <w:noWrap w:val="0"/>
            <w:vAlign w:val="center"/>
          </w:tcPr>
          <w:p w14:paraId="29F96B0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查看垃圾分类设施是否到位，垃圾分类工作是否已实际开展，垃圾分类成效是否落实到位</w:t>
            </w:r>
          </w:p>
        </w:tc>
        <w:tc>
          <w:tcPr>
            <w:tcW w:w="2616" w:type="dxa"/>
            <w:noWrap w:val="0"/>
            <w:vAlign w:val="center"/>
          </w:tcPr>
          <w:p w14:paraId="3DF8F5D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垃圾分类设施未到位的扣10分；垃圾分类工作开展不到位的酌情扣3</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5分；垃圾分类成效不好的扣1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3分</w:t>
            </w:r>
          </w:p>
        </w:tc>
        <w:tc>
          <w:tcPr>
            <w:tcW w:w="926" w:type="dxa"/>
            <w:noWrap w:val="0"/>
            <w:vAlign w:val="center"/>
          </w:tcPr>
          <w:p w14:paraId="6B0A5B3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各社区、行政执法局综合科</w:t>
            </w:r>
          </w:p>
        </w:tc>
        <w:tc>
          <w:tcPr>
            <w:tcW w:w="926" w:type="dxa"/>
            <w:noWrap w:val="0"/>
            <w:vAlign w:val="center"/>
          </w:tcPr>
          <w:p w14:paraId="7F488822">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3A29CE4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73338F5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32B3212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195D10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6" w:hRule="atLeast"/>
          <w:jc w:val="center"/>
        </w:trPr>
        <w:tc>
          <w:tcPr>
            <w:tcW w:w="546" w:type="dxa"/>
            <w:noWrap w:val="0"/>
            <w:vAlign w:val="center"/>
          </w:tcPr>
          <w:p w14:paraId="402FE79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391" w:type="dxa"/>
            <w:noWrap w:val="0"/>
            <w:vAlign w:val="center"/>
          </w:tcPr>
          <w:p w14:paraId="0BE5022D">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安全生产10分</w:t>
            </w:r>
          </w:p>
        </w:tc>
        <w:tc>
          <w:tcPr>
            <w:tcW w:w="2034" w:type="dxa"/>
            <w:noWrap w:val="0"/>
            <w:vAlign w:val="center"/>
          </w:tcPr>
          <w:p w14:paraId="43681366">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查看企业安全管理措施，应急制度、值班记录</w:t>
            </w:r>
          </w:p>
        </w:tc>
        <w:tc>
          <w:tcPr>
            <w:tcW w:w="2616" w:type="dxa"/>
            <w:noWrap w:val="0"/>
            <w:vAlign w:val="center"/>
          </w:tcPr>
          <w:p w14:paraId="58767C9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安全生产落实情况，未落实到位的（检查、提醒、宣传、预案、演练、设施设备保养运行）扣2到10分</w:t>
            </w:r>
          </w:p>
        </w:tc>
        <w:tc>
          <w:tcPr>
            <w:tcW w:w="926" w:type="dxa"/>
            <w:noWrap w:val="0"/>
            <w:vAlign w:val="center"/>
          </w:tcPr>
          <w:p w14:paraId="409A8BC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各社区、安全生产监督管理科</w:t>
            </w:r>
          </w:p>
        </w:tc>
        <w:tc>
          <w:tcPr>
            <w:tcW w:w="926" w:type="dxa"/>
            <w:noWrap w:val="0"/>
            <w:vAlign w:val="center"/>
          </w:tcPr>
          <w:p w14:paraId="63B16F8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3388D67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4CC3667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0E7A73A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166529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66" w:hRule="atLeast"/>
          <w:jc w:val="center"/>
        </w:trPr>
        <w:tc>
          <w:tcPr>
            <w:tcW w:w="546" w:type="dxa"/>
            <w:noWrap w:val="0"/>
            <w:vAlign w:val="center"/>
          </w:tcPr>
          <w:p w14:paraId="6653C25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391" w:type="dxa"/>
            <w:noWrap w:val="0"/>
            <w:vAlign w:val="center"/>
          </w:tcPr>
          <w:p w14:paraId="41105B7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打通“生命通道”专项行动10分</w:t>
            </w:r>
          </w:p>
        </w:tc>
        <w:tc>
          <w:tcPr>
            <w:tcW w:w="2034" w:type="dxa"/>
            <w:noWrap w:val="0"/>
            <w:vAlign w:val="center"/>
          </w:tcPr>
          <w:p w14:paraId="67FEE232">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查看是否落实专项治理行动，划设消防通道标识线和警示标志，消防通道畅通，违停抄报落实</w:t>
            </w:r>
          </w:p>
        </w:tc>
        <w:tc>
          <w:tcPr>
            <w:tcW w:w="2616" w:type="dxa"/>
            <w:noWrap w:val="0"/>
            <w:vAlign w:val="center"/>
          </w:tcPr>
          <w:p w14:paraId="15842A3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无宣传措施的扣1分；未落实到位的扣3到5分；未开展行动的扣10分</w:t>
            </w:r>
          </w:p>
        </w:tc>
        <w:tc>
          <w:tcPr>
            <w:tcW w:w="926" w:type="dxa"/>
            <w:noWrap w:val="0"/>
            <w:vAlign w:val="center"/>
          </w:tcPr>
          <w:p w14:paraId="0B3DA79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各社区、消委办</w:t>
            </w:r>
          </w:p>
        </w:tc>
        <w:tc>
          <w:tcPr>
            <w:tcW w:w="926" w:type="dxa"/>
            <w:noWrap w:val="0"/>
            <w:vAlign w:val="center"/>
          </w:tcPr>
          <w:p w14:paraId="5181DC1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77E3CC83">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7F4654C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6651ECC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19D87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6" w:hRule="atLeast"/>
          <w:jc w:val="center"/>
        </w:trPr>
        <w:tc>
          <w:tcPr>
            <w:tcW w:w="546" w:type="dxa"/>
            <w:noWrap w:val="0"/>
            <w:vAlign w:val="center"/>
          </w:tcPr>
          <w:p w14:paraId="2CEDD92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391" w:type="dxa"/>
            <w:noWrap w:val="0"/>
            <w:vAlign w:val="center"/>
          </w:tcPr>
          <w:p w14:paraId="43A5A4F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违建管控10分</w:t>
            </w:r>
          </w:p>
        </w:tc>
        <w:tc>
          <w:tcPr>
            <w:tcW w:w="2034" w:type="dxa"/>
            <w:noWrap w:val="0"/>
            <w:vAlign w:val="center"/>
          </w:tcPr>
          <w:p w14:paraId="25D9B42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查看报送城管部门记录、对房屋装修拆改监督情况</w:t>
            </w:r>
          </w:p>
        </w:tc>
        <w:tc>
          <w:tcPr>
            <w:tcW w:w="2616" w:type="dxa"/>
            <w:noWrap w:val="0"/>
            <w:vAlign w:val="center"/>
          </w:tcPr>
          <w:p w14:paraId="2953A1A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未落实到位的扣1到5分；违建严重完全失控的扣10分</w:t>
            </w:r>
          </w:p>
        </w:tc>
        <w:tc>
          <w:tcPr>
            <w:tcW w:w="926" w:type="dxa"/>
            <w:noWrap w:val="0"/>
            <w:vAlign w:val="center"/>
          </w:tcPr>
          <w:p w14:paraId="4973BA3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各社区、行政执法局一中队</w:t>
            </w:r>
          </w:p>
        </w:tc>
        <w:tc>
          <w:tcPr>
            <w:tcW w:w="926" w:type="dxa"/>
            <w:noWrap w:val="0"/>
            <w:vAlign w:val="center"/>
          </w:tcPr>
          <w:p w14:paraId="4EB5C1F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6091148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493CA04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54A927E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5CBD11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6" w:hRule="atLeast"/>
          <w:jc w:val="center"/>
        </w:trPr>
        <w:tc>
          <w:tcPr>
            <w:tcW w:w="546" w:type="dxa"/>
            <w:noWrap w:val="0"/>
            <w:vAlign w:val="center"/>
          </w:tcPr>
          <w:p w14:paraId="571D397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391" w:type="dxa"/>
            <w:noWrap w:val="0"/>
            <w:vAlign w:val="center"/>
          </w:tcPr>
          <w:p w14:paraId="568C458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建筑垃圾清运10分</w:t>
            </w:r>
          </w:p>
        </w:tc>
        <w:tc>
          <w:tcPr>
            <w:tcW w:w="2034" w:type="dxa"/>
            <w:noWrap w:val="0"/>
            <w:vAlign w:val="center"/>
          </w:tcPr>
          <w:p w14:paraId="31966D7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查看清运委托合同</w:t>
            </w:r>
          </w:p>
        </w:tc>
        <w:tc>
          <w:tcPr>
            <w:tcW w:w="2616" w:type="dxa"/>
            <w:noWrap w:val="0"/>
            <w:vAlign w:val="center"/>
          </w:tcPr>
          <w:p w14:paraId="5441C7D9">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未委托环卫部门指定的清运单位进行清运扣10分；发现偷倒建筑垃圾的一起扣5分，扣满为止</w:t>
            </w:r>
          </w:p>
        </w:tc>
        <w:tc>
          <w:tcPr>
            <w:tcW w:w="926" w:type="dxa"/>
            <w:noWrap w:val="0"/>
            <w:vAlign w:val="center"/>
          </w:tcPr>
          <w:p w14:paraId="4D67DB0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各社区、行政执法局综合科</w:t>
            </w:r>
          </w:p>
        </w:tc>
        <w:tc>
          <w:tcPr>
            <w:tcW w:w="926" w:type="dxa"/>
            <w:noWrap w:val="0"/>
            <w:vAlign w:val="center"/>
          </w:tcPr>
          <w:p w14:paraId="42B7CE0B">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3A1C227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675E1C64">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1503AF7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356F3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81" w:hRule="atLeast"/>
          <w:jc w:val="center"/>
        </w:trPr>
        <w:tc>
          <w:tcPr>
            <w:tcW w:w="546" w:type="dxa"/>
            <w:noWrap w:val="0"/>
            <w:vAlign w:val="center"/>
          </w:tcPr>
          <w:p w14:paraId="649D73D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1391" w:type="dxa"/>
            <w:noWrap w:val="0"/>
            <w:vAlign w:val="center"/>
          </w:tcPr>
          <w:p w14:paraId="290AF6D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协助群租治理，车库住人专项治理10分</w:t>
            </w:r>
          </w:p>
        </w:tc>
        <w:tc>
          <w:tcPr>
            <w:tcW w:w="2034" w:type="dxa"/>
            <w:noWrap w:val="0"/>
            <w:vAlign w:val="center"/>
          </w:tcPr>
          <w:p w14:paraId="45626ADB">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查看落实情况</w:t>
            </w:r>
          </w:p>
        </w:tc>
        <w:tc>
          <w:tcPr>
            <w:tcW w:w="2616" w:type="dxa"/>
            <w:noWrap w:val="0"/>
            <w:vAlign w:val="center"/>
          </w:tcPr>
          <w:p w14:paraId="1AC62FB1">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出租未落实登记制度的扣2分；出租管控措施不到位的扣2到5分；被通报批评的扣10分；发现群租现象的一起扣5分，扣满为止</w:t>
            </w:r>
          </w:p>
        </w:tc>
        <w:tc>
          <w:tcPr>
            <w:tcW w:w="926" w:type="dxa"/>
            <w:noWrap w:val="0"/>
            <w:vAlign w:val="center"/>
          </w:tcPr>
          <w:p w14:paraId="0DEF6E8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各社区、综治办、派出所、行政执法局一中队</w:t>
            </w:r>
          </w:p>
        </w:tc>
        <w:tc>
          <w:tcPr>
            <w:tcW w:w="926" w:type="dxa"/>
            <w:noWrap w:val="0"/>
            <w:vAlign w:val="center"/>
          </w:tcPr>
          <w:p w14:paraId="2922D4ED">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358AB0A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381EC14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43F37AB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21C5D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6" w:hRule="atLeast"/>
          <w:jc w:val="center"/>
        </w:trPr>
        <w:tc>
          <w:tcPr>
            <w:tcW w:w="546" w:type="dxa"/>
            <w:noWrap w:val="0"/>
            <w:vAlign w:val="center"/>
          </w:tcPr>
          <w:p w14:paraId="470E4F9F">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1391" w:type="dxa"/>
            <w:noWrap w:val="0"/>
            <w:vAlign w:val="center"/>
          </w:tcPr>
          <w:p w14:paraId="2723A41E">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疫情防控10分</w:t>
            </w:r>
          </w:p>
        </w:tc>
        <w:tc>
          <w:tcPr>
            <w:tcW w:w="2034" w:type="dxa"/>
            <w:noWrap w:val="0"/>
            <w:vAlign w:val="center"/>
          </w:tcPr>
          <w:p w14:paraId="7E2024CA">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查看落实情况</w:t>
            </w:r>
          </w:p>
        </w:tc>
        <w:tc>
          <w:tcPr>
            <w:tcW w:w="2616" w:type="dxa"/>
            <w:noWrap w:val="0"/>
            <w:vAlign w:val="center"/>
          </w:tcPr>
          <w:p w14:paraId="0B426BC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被各级职能部门督查到未落实防疫相关规定，酌情扣1到10分</w:t>
            </w:r>
          </w:p>
        </w:tc>
        <w:tc>
          <w:tcPr>
            <w:tcW w:w="926" w:type="dxa"/>
            <w:noWrap w:val="0"/>
            <w:vAlign w:val="center"/>
          </w:tcPr>
          <w:p w14:paraId="0EF66D7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各社区、卫计科</w:t>
            </w:r>
          </w:p>
        </w:tc>
        <w:tc>
          <w:tcPr>
            <w:tcW w:w="926" w:type="dxa"/>
            <w:noWrap w:val="0"/>
            <w:vAlign w:val="center"/>
          </w:tcPr>
          <w:p w14:paraId="2A7FC3C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711ABDB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2EC0718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1ABF19C5">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51126C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9" w:hRule="atLeast"/>
          <w:jc w:val="center"/>
        </w:trPr>
        <w:tc>
          <w:tcPr>
            <w:tcW w:w="546" w:type="dxa"/>
            <w:noWrap w:val="0"/>
            <w:vAlign w:val="center"/>
          </w:tcPr>
          <w:p w14:paraId="6353479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1391" w:type="dxa"/>
            <w:noWrap w:val="0"/>
            <w:vAlign w:val="center"/>
          </w:tcPr>
          <w:p w14:paraId="789E926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装修管理10分</w:t>
            </w:r>
          </w:p>
        </w:tc>
        <w:tc>
          <w:tcPr>
            <w:tcW w:w="2034" w:type="dxa"/>
            <w:noWrap w:val="0"/>
            <w:vAlign w:val="center"/>
          </w:tcPr>
          <w:p w14:paraId="763D1F5F">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小区内房屋装修前至镇建设科报备，根据《住宅室内装饰装修管理办法》</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建设部110号令</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、《无</w:t>
            </w:r>
          </w:p>
          <w:p w14:paraId="7D018223">
            <w:pPr>
              <w:keepNext w:val="0"/>
              <w:keepLines w:val="0"/>
              <w:pageBreakBefore w:val="0"/>
              <w:widowControl/>
              <w:kinsoku/>
              <w:wordWrap/>
              <w:overflowPunct/>
              <w:topLinePunct w:val="0"/>
              <w:autoSpaceDE/>
              <w:autoSpaceDN/>
              <w:bidi w:val="0"/>
              <w:adjustRightInd/>
              <w:snapToGrid/>
              <w:spacing w:line="32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锡市房屋安全管理条例》和《关于明确既有建筑改造和装饰装修工程建设管理有关事项的通知》</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锡既建安办</w:t>
            </w:r>
            <w:r>
              <w:rPr>
                <w:rFonts w:hint="eastAsia" w:ascii="宋体" w:hAnsi="宋体" w:eastAsia="宋体" w:cs="宋体"/>
                <w:color w:val="auto"/>
                <w:kern w:val="0"/>
                <w:sz w:val="21"/>
                <w:szCs w:val="21"/>
                <w:highlight w:val="none"/>
                <w:lang w:eastAsia="zh-CN"/>
              </w:rPr>
              <w:t>〔2021〕3号）</w:t>
            </w:r>
            <w:r>
              <w:rPr>
                <w:rFonts w:hint="eastAsia" w:ascii="宋体" w:hAnsi="宋体" w:eastAsia="宋体" w:cs="宋体"/>
                <w:color w:val="auto"/>
                <w:kern w:val="0"/>
                <w:sz w:val="21"/>
                <w:szCs w:val="21"/>
                <w:highlight w:val="none"/>
              </w:rPr>
              <w:t>等法规和文件规定，查看是否</w:t>
            </w:r>
            <w:r>
              <w:rPr>
                <w:rFonts w:hint="eastAsia" w:ascii="宋体" w:hAnsi="宋体" w:eastAsia="宋体" w:cs="宋体"/>
                <w:color w:val="auto"/>
                <w:kern w:val="0"/>
                <w:sz w:val="21"/>
                <w:szCs w:val="21"/>
                <w:highlight w:val="none"/>
                <w:lang w:eastAsia="zh-CN"/>
              </w:rPr>
              <w:t>存在</w:t>
            </w:r>
            <w:r>
              <w:rPr>
                <w:rFonts w:hint="eastAsia" w:ascii="宋体" w:hAnsi="宋体" w:eastAsia="宋体" w:cs="宋体"/>
                <w:color w:val="auto"/>
                <w:kern w:val="0"/>
                <w:sz w:val="21"/>
                <w:szCs w:val="21"/>
                <w:highlight w:val="none"/>
              </w:rPr>
              <w:t>违反房屋装修登记制度的情况。</w:t>
            </w:r>
          </w:p>
        </w:tc>
        <w:tc>
          <w:tcPr>
            <w:tcW w:w="2616" w:type="dxa"/>
            <w:noWrap w:val="0"/>
            <w:vAlign w:val="center"/>
          </w:tcPr>
          <w:p w14:paraId="22994323">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未落实到位酌情扣1到10分</w:t>
            </w:r>
          </w:p>
        </w:tc>
        <w:tc>
          <w:tcPr>
            <w:tcW w:w="926" w:type="dxa"/>
            <w:noWrap w:val="0"/>
            <w:vAlign w:val="center"/>
          </w:tcPr>
          <w:p w14:paraId="6CB4927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各社区、建设科</w:t>
            </w:r>
          </w:p>
        </w:tc>
        <w:tc>
          <w:tcPr>
            <w:tcW w:w="926" w:type="dxa"/>
            <w:noWrap w:val="0"/>
            <w:vAlign w:val="center"/>
          </w:tcPr>
          <w:p w14:paraId="22A1E48A">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1D050AF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600E227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c>
          <w:tcPr>
            <w:tcW w:w="926" w:type="dxa"/>
            <w:noWrap w:val="0"/>
            <w:vAlign w:val="center"/>
          </w:tcPr>
          <w:p w14:paraId="5CFACB21">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kern w:val="0"/>
                <w:sz w:val="21"/>
                <w:szCs w:val="21"/>
                <w:highlight w:val="none"/>
              </w:rPr>
            </w:pPr>
          </w:p>
        </w:tc>
      </w:tr>
      <w:tr w14:paraId="30B14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0" w:hRule="atLeast"/>
          <w:jc w:val="center"/>
        </w:trPr>
        <w:tc>
          <w:tcPr>
            <w:tcW w:w="3971" w:type="dxa"/>
            <w:gridSpan w:val="3"/>
            <w:noWrap w:val="0"/>
            <w:vAlign w:val="center"/>
          </w:tcPr>
          <w:p w14:paraId="0D10321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合计：</w:t>
            </w:r>
          </w:p>
        </w:tc>
        <w:tc>
          <w:tcPr>
            <w:tcW w:w="3542" w:type="dxa"/>
            <w:gridSpan w:val="2"/>
            <w:noWrap w:val="0"/>
            <w:vAlign w:val="center"/>
          </w:tcPr>
          <w:p w14:paraId="5762EEEF">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100</w:t>
            </w:r>
          </w:p>
        </w:tc>
        <w:tc>
          <w:tcPr>
            <w:tcW w:w="926" w:type="dxa"/>
            <w:noWrap w:val="0"/>
            <w:vAlign w:val="center"/>
          </w:tcPr>
          <w:p w14:paraId="03088D15">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p>
        </w:tc>
        <w:tc>
          <w:tcPr>
            <w:tcW w:w="926" w:type="dxa"/>
            <w:noWrap w:val="0"/>
            <w:vAlign w:val="center"/>
          </w:tcPr>
          <w:p w14:paraId="5F21BF3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p>
        </w:tc>
        <w:tc>
          <w:tcPr>
            <w:tcW w:w="926" w:type="dxa"/>
            <w:noWrap w:val="0"/>
            <w:vAlign w:val="center"/>
          </w:tcPr>
          <w:p w14:paraId="50382077">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p>
        </w:tc>
        <w:tc>
          <w:tcPr>
            <w:tcW w:w="926" w:type="dxa"/>
            <w:noWrap w:val="0"/>
            <w:vAlign w:val="center"/>
          </w:tcPr>
          <w:p w14:paraId="6F3BA02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p>
        </w:tc>
      </w:tr>
      <w:tr w14:paraId="5CF2B5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7" w:hRule="atLeast"/>
          <w:jc w:val="center"/>
        </w:trPr>
        <w:tc>
          <w:tcPr>
            <w:tcW w:w="10291" w:type="dxa"/>
            <w:gridSpan w:val="8"/>
            <w:noWrap w:val="0"/>
            <w:vAlign w:val="center"/>
          </w:tcPr>
          <w:p w14:paraId="035D1B68">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考核人员签字：</w:t>
            </w:r>
          </w:p>
        </w:tc>
        <w:tc>
          <w:tcPr>
            <w:tcW w:w="926" w:type="dxa"/>
            <w:noWrap w:val="0"/>
            <w:vAlign w:val="center"/>
          </w:tcPr>
          <w:p w14:paraId="40BB4A0A">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kern w:val="0"/>
                <w:sz w:val="21"/>
                <w:szCs w:val="21"/>
                <w:highlight w:val="none"/>
              </w:rPr>
            </w:pPr>
          </w:p>
        </w:tc>
      </w:tr>
    </w:tbl>
    <w:p w14:paraId="01DF7F15">
      <w:pPr>
        <w:widowControl/>
        <w:jc w:val="left"/>
        <w:rPr>
          <w:rFonts w:hint="eastAsia" w:ascii="宋体" w:hAnsi="宋体" w:cs="宋体"/>
          <w:bCs/>
          <w:color w:val="auto"/>
          <w:sz w:val="32"/>
          <w:szCs w:val="32"/>
          <w:highlight w:val="none"/>
        </w:rPr>
      </w:pPr>
      <w:r>
        <w:rPr>
          <w:rFonts w:hint="eastAsia" w:ascii="宋体" w:hAnsi="宋体" w:eastAsia="宋体" w:cs="宋体"/>
          <w:color w:val="auto"/>
          <w:kern w:val="0"/>
          <w:sz w:val="24"/>
          <w:szCs w:val="20"/>
          <w:highlight w:val="none"/>
        </w:rPr>
        <w:t>检查项目：</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检查时间：</w:t>
      </w:r>
      <w:r>
        <w:rPr>
          <w:rFonts w:hint="eastAsia" w:ascii="宋体" w:hAnsi="宋体" w:eastAsia="宋体" w:cs="宋体"/>
          <w:color w:val="auto"/>
          <w:kern w:val="0"/>
          <w:sz w:val="24"/>
          <w:szCs w:val="20"/>
          <w:highlight w:val="none"/>
          <w:u w:val="single"/>
        </w:rPr>
        <w:t xml:space="preserve">                     </w:t>
      </w:r>
      <w:r>
        <w:rPr>
          <w:rFonts w:hint="eastAsia" w:ascii="宋体" w:hAnsi="宋体" w:eastAsia="宋体" w:cs="宋体"/>
          <w:color w:val="auto"/>
          <w:kern w:val="0"/>
          <w:sz w:val="24"/>
          <w:szCs w:val="20"/>
          <w:highlight w:val="none"/>
        </w:rPr>
        <w:t>检查人签字：</w:t>
      </w:r>
      <w:r>
        <w:rPr>
          <w:rFonts w:hint="eastAsia" w:ascii="宋体" w:hAnsi="宋体" w:eastAsia="宋体" w:cs="宋体"/>
          <w:color w:val="auto"/>
          <w:kern w:val="0"/>
          <w:sz w:val="24"/>
          <w:szCs w:val="20"/>
          <w:highlight w:val="none"/>
          <w:u w:val="single"/>
        </w:rPr>
        <w:t xml:space="preserve">                        </w:t>
      </w:r>
    </w:p>
    <w:p w14:paraId="76AC5309">
      <w:pPr>
        <w:widowControl/>
        <w:jc w:val="left"/>
        <w:rPr>
          <w:rFonts w:hint="eastAsia" w:ascii="宋体" w:hAnsi="宋体" w:cs="宋体"/>
          <w:bCs/>
          <w:color w:val="auto"/>
          <w:sz w:val="32"/>
          <w:szCs w:val="32"/>
          <w:highlight w:val="none"/>
        </w:rPr>
      </w:pPr>
    </w:p>
    <w:p w14:paraId="00F1813B">
      <w:pPr>
        <w:widowControl/>
        <w:jc w:val="left"/>
        <w:rPr>
          <w:rFonts w:hint="eastAsia" w:ascii="宋体" w:hAnsi="宋体" w:cs="宋体"/>
          <w:bCs/>
          <w:color w:val="auto"/>
          <w:sz w:val="32"/>
          <w:szCs w:val="32"/>
          <w:highlight w:val="none"/>
        </w:rPr>
      </w:pPr>
    </w:p>
    <w:p w14:paraId="12FCF5AE">
      <w:pPr>
        <w:widowControl/>
        <w:jc w:val="left"/>
        <w:rPr>
          <w:rFonts w:hint="eastAsia" w:ascii="宋体" w:hAnsi="宋体" w:cs="宋体"/>
          <w:bCs/>
          <w:color w:val="auto"/>
          <w:sz w:val="32"/>
          <w:szCs w:val="32"/>
          <w:highlight w:val="none"/>
        </w:rPr>
      </w:pPr>
    </w:p>
    <w:p w14:paraId="155D6EE5">
      <w:pPr>
        <w:widowControl/>
        <w:jc w:val="left"/>
        <w:rPr>
          <w:rFonts w:hint="eastAsia" w:ascii="宋体" w:hAnsi="宋体" w:cs="宋体"/>
          <w:bCs/>
          <w:color w:val="auto"/>
          <w:sz w:val="32"/>
          <w:szCs w:val="32"/>
          <w:highlight w:val="none"/>
        </w:rPr>
      </w:pPr>
    </w:p>
    <w:p w14:paraId="4D901C71">
      <w:pPr>
        <w:widowControl/>
        <w:jc w:val="left"/>
        <w:rPr>
          <w:rFonts w:hint="eastAsia" w:ascii="宋体" w:hAnsi="宋体" w:cs="宋体"/>
          <w:bCs/>
          <w:color w:val="auto"/>
          <w:sz w:val="32"/>
          <w:szCs w:val="32"/>
          <w:highlight w:val="none"/>
        </w:rPr>
      </w:pPr>
    </w:p>
    <w:p w14:paraId="727518AD">
      <w:pPr>
        <w:widowControl/>
        <w:jc w:val="left"/>
        <w:rPr>
          <w:rFonts w:hint="eastAsia" w:ascii="宋体" w:hAnsi="宋体" w:cs="宋体"/>
          <w:bCs/>
          <w:color w:val="auto"/>
          <w:sz w:val="32"/>
          <w:szCs w:val="32"/>
          <w:highlight w:val="none"/>
        </w:rPr>
      </w:pPr>
    </w:p>
    <w:p w14:paraId="11DA4E5B">
      <w:pPr>
        <w:widowControl/>
        <w:jc w:val="left"/>
        <w:rPr>
          <w:rFonts w:hint="eastAsia" w:ascii="宋体" w:hAnsi="宋体" w:cs="宋体"/>
          <w:bCs/>
          <w:color w:val="auto"/>
          <w:sz w:val="32"/>
          <w:szCs w:val="32"/>
          <w:highlight w:val="none"/>
        </w:rPr>
      </w:pPr>
    </w:p>
    <w:p w14:paraId="7CC28020">
      <w:pPr>
        <w:pStyle w:val="247"/>
        <w:spacing w:line="360" w:lineRule="auto"/>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54140E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0D82A84F">
      <w:pPr>
        <w:spacing w:line="360" w:lineRule="auto"/>
        <w:ind w:firstLine="602"/>
        <w:jc w:val="center"/>
        <w:outlineLvl w:val="0"/>
        <w:rPr>
          <w:rFonts w:hint="eastAsia" w:ascii="宋体" w:hAnsi="宋体"/>
          <w:b/>
          <w:bCs/>
          <w:color w:val="auto"/>
          <w:sz w:val="30"/>
          <w:highlight w:val="none"/>
        </w:rPr>
      </w:pPr>
      <w:r>
        <w:rPr>
          <w:rFonts w:hint="eastAsia" w:ascii="宋体" w:hAnsi="宋体"/>
          <w:b/>
          <w:color w:val="auto"/>
          <w:sz w:val="30"/>
          <w:highlight w:val="none"/>
        </w:rPr>
        <w:t>江苏省政府采购合同（服务）（合同编号）</w:t>
      </w:r>
    </w:p>
    <w:p w14:paraId="071F27C5">
      <w:pPr>
        <w:pStyle w:val="371"/>
        <w:spacing w:line="360" w:lineRule="auto"/>
        <w:rPr>
          <w:rFonts w:hint="eastAsia"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28130B51">
      <w:pPr>
        <w:pStyle w:val="371"/>
        <w:spacing w:line="360" w:lineRule="auto"/>
        <w:rPr>
          <w:rFonts w:hint="eastAsia" w:hAnsi="宋体"/>
          <w:color w:val="auto"/>
          <w:sz w:val="24"/>
          <w:szCs w:val="24"/>
          <w:highlight w:val="none"/>
        </w:rPr>
      </w:pPr>
      <w:r>
        <w:rPr>
          <w:rFonts w:hAnsi="宋体"/>
          <w:color w:val="auto"/>
          <w:sz w:val="24"/>
          <w:szCs w:val="24"/>
          <w:highlight w:val="none"/>
        </w:rPr>
        <w:t>甲方：（买方、需方、采购人）_________</w:t>
      </w:r>
    </w:p>
    <w:p w14:paraId="41EC9786">
      <w:pPr>
        <w:pStyle w:val="371"/>
        <w:spacing w:line="360" w:lineRule="auto"/>
        <w:rPr>
          <w:rFonts w:hint="eastAsia" w:hAnsi="宋体"/>
          <w:color w:val="auto"/>
          <w:sz w:val="24"/>
          <w:szCs w:val="24"/>
          <w:highlight w:val="none"/>
        </w:rPr>
      </w:pPr>
      <w:r>
        <w:rPr>
          <w:rFonts w:hAnsi="宋体"/>
          <w:color w:val="auto"/>
          <w:sz w:val="24"/>
          <w:szCs w:val="24"/>
          <w:highlight w:val="none"/>
        </w:rPr>
        <w:t>乙方：（卖方、供方、供应商）_________</w:t>
      </w:r>
    </w:p>
    <w:p w14:paraId="5A0CE704">
      <w:pPr>
        <w:pStyle w:val="371"/>
        <w:spacing w:line="360" w:lineRule="auto"/>
        <w:ind w:firstLine="482"/>
        <w:rPr>
          <w:rFonts w:hint="eastAsia"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31BC8E82">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第一条 合同标的</w:t>
      </w:r>
    </w:p>
    <w:p w14:paraId="7853271D">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5533BB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二、项目</w:t>
      </w:r>
      <w:r>
        <w:rPr>
          <w:rFonts w:hint="eastAsia" w:ascii="宋体" w:hAnsi="宋体" w:cs="宋体"/>
          <w:color w:val="auto"/>
          <w:sz w:val="24"/>
          <w:highlight w:val="none"/>
          <w:lang w:eastAsia="zh-CN"/>
        </w:rPr>
        <w:t>坐落位置</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15B1D73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50E5AD38">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第二条 委托管理事项</w:t>
      </w:r>
    </w:p>
    <w:p w14:paraId="2C72AEE4">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1A5D9453">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第三条 合同总价款</w:t>
      </w:r>
    </w:p>
    <w:p w14:paraId="26A75C6B">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66905A1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二、本合同执行期间总价不变。</w:t>
      </w:r>
    </w:p>
    <w:p w14:paraId="209EF8C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三、履约保证金的缴纳和退付</w:t>
      </w:r>
    </w:p>
    <w:p w14:paraId="64989535">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5D11834">
      <w:pPr>
        <w:tabs>
          <w:tab w:val="left" w:pos="945"/>
          <w:tab w:val="left" w:pos="21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7964F28D">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15927E75">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5A48F873">
      <w:pPr>
        <w:tabs>
          <w:tab w:val="left" w:pos="945"/>
          <w:tab w:val="left" w:pos="210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E116F6D">
      <w:pPr>
        <w:tabs>
          <w:tab w:val="left" w:pos="945"/>
          <w:tab w:val="left" w:pos="2100"/>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6DBD6D0">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4FC86E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61EF80B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一、乙方提供的投标文件和报价表；</w:t>
      </w:r>
    </w:p>
    <w:p w14:paraId="26A805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二、中标通知书；</w:t>
      </w:r>
    </w:p>
    <w:p w14:paraId="4BE4CE9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三、甲乙双方商定的其他文件。</w:t>
      </w:r>
    </w:p>
    <w:p w14:paraId="5EA0045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第五条 双方权利义务</w:t>
      </w:r>
    </w:p>
    <w:p w14:paraId="6E7D205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一、甲方权利义务</w:t>
      </w:r>
    </w:p>
    <w:p w14:paraId="4B824E8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3074DCA">
      <w:pPr>
        <w:spacing w:line="360" w:lineRule="auto"/>
        <w:ind w:firstLine="480"/>
        <w:rPr>
          <w:rFonts w:hint="eastAsia"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58E64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071313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w:t>
      </w:r>
      <w:r>
        <w:rPr>
          <w:rFonts w:hint="eastAsia" w:ascii="宋体" w:hAnsi="宋体"/>
          <w:color w:val="auto"/>
          <w:sz w:val="24"/>
          <w:szCs w:val="24"/>
          <w:highlight w:val="none"/>
          <w:lang w:eastAsia="zh-CN"/>
        </w:rPr>
        <w:t>必需的</w:t>
      </w:r>
      <w:r>
        <w:rPr>
          <w:rFonts w:hint="eastAsia" w:ascii="宋体" w:hAnsi="宋体"/>
          <w:color w:val="auto"/>
          <w:sz w:val="24"/>
          <w:szCs w:val="24"/>
          <w:highlight w:val="none"/>
        </w:rPr>
        <w:t>水、电供应</w:t>
      </w:r>
      <w:r>
        <w:rPr>
          <w:rFonts w:hint="eastAsia" w:ascii="宋体" w:hAnsi="宋体" w:cs="宋体"/>
          <w:color w:val="auto"/>
          <w:sz w:val="24"/>
          <w:highlight w:val="none"/>
        </w:rPr>
        <w:t>。</w:t>
      </w:r>
    </w:p>
    <w:p w14:paraId="5B3ADDC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1FFECCAC">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1F2C793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16A1D9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3B2E03F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4E5AC8E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二、乙方权利义务</w:t>
      </w:r>
    </w:p>
    <w:p w14:paraId="08A6306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w:t>
      </w:r>
      <w:r>
        <w:rPr>
          <w:rFonts w:hint="eastAsia" w:ascii="宋体" w:hAnsi="宋体" w:cs="宋体"/>
          <w:color w:val="auto"/>
          <w:sz w:val="24"/>
          <w:highlight w:val="none"/>
          <w:lang w:eastAsia="zh-CN"/>
        </w:rPr>
        <w:t>，</w:t>
      </w:r>
      <w:r>
        <w:rPr>
          <w:rFonts w:hint="eastAsia" w:ascii="宋体" w:hAnsi="宋体" w:cs="宋体"/>
          <w:color w:val="auto"/>
          <w:sz w:val="24"/>
          <w:highlight w:val="none"/>
        </w:rPr>
        <w:t>并做好书面确认工作；对所有图、档、卡、册等资料应做好建档工作。</w:t>
      </w:r>
    </w:p>
    <w:p w14:paraId="149AE19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51F1DF82">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6BE203C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297687F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170A8D8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943EF0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728C640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4C9BFEE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（九）投保物业公众责任险。</w:t>
      </w:r>
    </w:p>
    <w:p w14:paraId="7A69A5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8C2601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76A72DB8">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18020FDF">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115E61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597E04C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06DE78F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60280E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4412E40">
      <w:pPr>
        <w:spacing w:line="360" w:lineRule="auto"/>
        <w:ind w:firstLine="480"/>
        <w:rPr>
          <w:rFonts w:hint="eastAsia" w:ascii="宋体" w:hAnsi="宋体" w:cs="宋体"/>
          <w:color w:val="auto"/>
          <w:sz w:val="24"/>
          <w:highlight w:val="none"/>
        </w:rPr>
      </w:pPr>
      <w:r>
        <w:rPr>
          <w:rFonts w:hint="eastAsia" w:ascii="宋体" w:hAnsi="宋体"/>
          <w:color w:val="auto"/>
          <w:sz w:val="24"/>
          <w:szCs w:val="24"/>
          <w:highlight w:val="none"/>
        </w:rPr>
        <w:t>（六）除上述各款外，</w:t>
      </w:r>
      <w:r>
        <w:rPr>
          <w:rFonts w:hint="eastAsia" w:ascii="宋体" w:hAnsi="宋体"/>
          <w:color w:val="auto"/>
          <w:sz w:val="24"/>
          <w:szCs w:val="24"/>
          <w:highlight w:val="none"/>
          <w:lang w:eastAsia="zh-CN"/>
        </w:rPr>
        <w:t>其他</w:t>
      </w:r>
      <w:r>
        <w:rPr>
          <w:rFonts w:hint="eastAsia" w:ascii="宋体" w:hAnsi="宋体"/>
          <w:color w:val="auto"/>
          <w:sz w:val="24"/>
          <w:szCs w:val="24"/>
          <w:highlight w:val="none"/>
        </w:rPr>
        <w:t>不可归责于乙方之事由的。</w:t>
      </w:r>
    </w:p>
    <w:p w14:paraId="27FF0EEF">
      <w:pPr>
        <w:spacing w:line="360" w:lineRule="auto"/>
        <w:ind w:firstLine="480"/>
        <w:rPr>
          <w:rFonts w:hint="eastAsia"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55168B7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w:t>
      </w:r>
      <w:r>
        <w:rPr>
          <w:rFonts w:hint="eastAsia" w:ascii="宋体" w:hAnsi="宋体" w:cs="宋体"/>
          <w:color w:val="auto"/>
          <w:sz w:val="24"/>
          <w:highlight w:val="none"/>
          <w:lang w:eastAsia="zh-CN"/>
        </w:rPr>
        <w:t>漏</w:t>
      </w:r>
      <w:r>
        <w:rPr>
          <w:rFonts w:hint="eastAsia" w:ascii="宋体" w:hAnsi="宋体" w:cs="宋体"/>
          <w:color w:val="auto"/>
          <w:sz w:val="24"/>
          <w:highlight w:val="none"/>
        </w:rPr>
        <w:t>、漏电、火灾、水管破裂、救助人命、协助公安机关执行任务等情况，乙方因采取紧急避险措施造成财产损失的，按有关法律规定处理。</w:t>
      </w:r>
    </w:p>
    <w:p w14:paraId="6441D73D">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第六条 质量保证</w:t>
      </w:r>
    </w:p>
    <w:p w14:paraId="1FA593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7597BDD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545A02F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255F8409">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67564AB9">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第七条 款项支付</w:t>
      </w:r>
    </w:p>
    <w:p w14:paraId="7D09492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56F6986A">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207922C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485970A5">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第八条 违约责任</w:t>
      </w:r>
    </w:p>
    <w:p w14:paraId="71377DC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auto"/>
          <w:sz w:val="24"/>
          <w:szCs w:val="24"/>
          <w:highlight w:val="none"/>
          <w:lang w:eastAsia="zh-CN"/>
        </w:rPr>
        <w:t>，</w:t>
      </w:r>
      <w:r>
        <w:rPr>
          <w:rFonts w:hint="eastAsia" w:ascii="宋体" w:hAnsi="宋体"/>
          <w:bCs/>
          <w:color w:val="auto"/>
          <w:sz w:val="24"/>
          <w:szCs w:val="24"/>
          <w:highlight w:val="none"/>
        </w:rPr>
        <w:t xml:space="preserve"> 或依照法律程序解除部分或全部合同。</w:t>
      </w:r>
    </w:p>
    <w:p w14:paraId="6EC4B8B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二、甲方未按合同约定向乙方支付款项的，每逾期1天甲方向乙方偿付欠款总额的5‰违约金，但累计违约金总额不超过欠款总额的5%。</w:t>
      </w:r>
    </w:p>
    <w:p w14:paraId="08B7670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074ACA9D">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479F16F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128B862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28EF20B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045FB77F">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4CB5008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一、本合同自签订之日起生效。除《</w:t>
      </w:r>
      <w:r>
        <w:rPr>
          <w:rFonts w:hint="eastAsia" w:ascii="宋体" w:hAnsi="宋体" w:cs="宋体"/>
          <w:color w:val="auto"/>
          <w:sz w:val="24"/>
          <w:highlight w:val="none"/>
          <w:lang w:eastAsia="zh-CN"/>
        </w:rPr>
        <w:t>中华人民共和国政府采购法</w:t>
      </w:r>
      <w:r>
        <w:rPr>
          <w:rFonts w:hint="eastAsia" w:ascii="宋体" w:hAnsi="宋体" w:cs="宋体"/>
          <w:color w:val="auto"/>
          <w:sz w:val="24"/>
          <w:highlight w:val="none"/>
        </w:rPr>
        <w:t>》第五十条第二款规定的情形外，本合同一经签订，甲乙双方不得擅自变更、中止或终止合同。</w:t>
      </w:r>
    </w:p>
    <w:p w14:paraId="7927A5B8">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5211D2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D8CF7BB">
      <w:pPr>
        <w:spacing w:line="360" w:lineRule="auto"/>
        <w:ind w:firstLine="480"/>
        <w:rPr>
          <w:rFonts w:hint="eastAsia"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60B11DA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w:t>
      </w:r>
      <w:r>
        <w:rPr>
          <w:rFonts w:hint="eastAsia" w:ascii="宋体" w:hAnsi="宋体" w:cs="宋体"/>
          <w:color w:val="auto"/>
          <w:sz w:val="24"/>
          <w:highlight w:val="none"/>
          <w:lang w:eastAsia="zh-CN"/>
        </w:rPr>
        <w:t>做好</w:t>
      </w:r>
      <w:r>
        <w:rPr>
          <w:rFonts w:hint="eastAsia" w:ascii="宋体" w:hAnsi="宋体" w:cs="宋体"/>
          <w:color w:val="auto"/>
          <w:sz w:val="24"/>
          <w:highlight w:val="none"/>
        </w:rPr>
        <w:t>服务的交接和善后工作，移交或配合甲方移交管理用房和管理的全部档案资料等。</w:t>
      </w:r>
    </w:p>
    <w:p w14:paraId="75F4CDD4">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693A7791">
      <w:pPr>
        <w:spacing w:line="360" w:lineRule="auto"/>
        <w:ind w:firstLine="482"/>
        <w:rPr>
          <w:rFonts w:hint="eastAsia" w:ascii="宋体" w:hAnsi="宋体" w:cs="宋体"/>
          <w:color w:val="auto"/>
          <w:sz w:val="24"/>
          <w:highlight w:val="none"/>
        </w:rPr>
      </w:pPr>
      <w:r>
        <w:rPr>
          <w:rFonts w:hint="eastAsia" w:ascii="宋体" w:hAnsi="宋体" w:cs="宋体"/>
          <w:b/>
          <w:bCs/>
          <w:color w:val="auto"/>
          <w:sz w:val="24"/>
          <w:highlight w:val="none"/>
        </w:rPr>
        <w:t>第十条 争议的解决</w:t>
      </w:r>
    </w:p>
    <w:p w14:paraId="5755459D">
      <w:pPr>
        <w:tabs>
          <w:tab w:val="left" w:pos="0"/>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521780D6">
      <w:pPr>
        <w:tabs>
          <w:tab w:val="left" w:pos="525"/>
          <w:tab w:val="left" w:pos="945"/>
        </w:tabs>
        <w:spacing w:line="360" w:lineRule="auto"/>
        <w:rPr>
          <w:rFonts w:hint="eastAsia"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1887D0D7">
      <w:pPr>
        <w:tabs>
          <w:tab w:val="left" w:pos="0"/>
          <w:tab w:val="left" w:pos="525"/>
          <w:tab w:val="left" w:pos="945"/>
        </w:tabs>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D809F7A">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46D678EE">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7A82C0B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3BC2AB08">
      <w:pPr>
        <w:spacing w:line="360" w:lineRule="auto"/>
        <w:ind w:firstLine="480"/>
        <w:rPr>
          <w:rFonts w:hint="eastAsia" w:ascii="宋体" w:hAnsi="宋体" w:cs="宋体"/>
          <w:color w:val="auto"/>
          <w:sz w:val="24"/>
          <w:highlight w:val="none"/>
        </w:rPr>
      </w:pPr>
    </w:p>
    <w:p w14:paraId="691C6A5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F9DDB48">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009CB403">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代表人：                             代表人： </w:t>
      </w:r>
    </w:p>
    <w:p w14:paraId="10147A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电话：                               电话： </w:t>
      </w:r>
    </w:p>
    <w:p w14:paraId="37154760">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 xml:space="preserve">开户银行：                           开户银行： </w:t>
      </w:r>
    </w:p>
    <w:p w14:paraId="0A053815">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账号</w:t>
      </w:r>
      <w:r>
        <w:rPr>
          <w:rFonts w:hint="eastAsia" w:ascii="宋体" w:hAnsi="宋体" w:cs="宋体"/>
          <w:color w:val="auto"/>
          <w:sz w:val="24"/>
          <w:highlight w:val="none"/>
        </w:rPr>
        <w:t xml:space="preserve">： </w:t>
      </w:r>
    </w:p>
    <w:p w14:paraId="66B26467">
      <w:pPr>
        <w:spacing w:line="360" w:lineRule="auto"/>
        <w:ind w:firstLine="480"/>
        <w:rPr>
          <w:rFonts w:hint="eastAsia" w:ascii="宋体" w:hAnsi="宋体" w:cs="宋体"/>
          <w:color w:val="auto"/>
          <w:sz w:val="24"/>
          <w:highlight w:val="none"/>
        </w:rPr>
      </w:pPr>
    </w:p>
    <w:p w14:paraId="50D64611">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签订日期：    年    月    日</w:t>
      </w:r>
    </w:p>
    <w:p w14:paraId="3D405DE3">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0"/>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2"/>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2"/>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2"/>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2"/>
        <w:spacing w:before="0" w:after="0" w:line="500" w:lineRule="exact"/>
        <w:rPr>
          <w:rStyle w:val="367"/>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2"/>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2"/>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2"/>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2"/>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38AB2814">
      <w:pPr>
        <w:tabs>
          <w:tab w:val="left" w:pos="945"/>
          <w:tab w:val="left" w:pos="1155"/>
          <w:tab w:val="left" w:pos="2250"/>
          <w:tab w:val="left" w:pos="3823"/>
        </w:tabs>
        <w:spacing w:line="360" w:lineRule="auto"/>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（一）价格</w:t>
      </w:r>
      <w:r>
        <w:rPr>
          <w:rFonts w:hint="eastAsia" w:ascii="宋体" w:hAnsi="宋体" w:eastAsia="宋体" w:cs="宋体"/>
          <w:b/>
          <w:bCs/>
          <w:color w:val="auto"/>
          <w:kern w:val="0"/>
          <w:sz w:val="24"/>
          <w:szCs w:val="24"/>
          <w:highlight w:val="none"/>
        </w:rPr>
        <w:t>（2</w:t>
      </w:r>
      <w:r>
        <w:rPr>
          <w:rFonts w:hint="eastAsia" w:ascii="宋体" w:hAnsi="宋体" w:eastAsia="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rPr>
        <w:t>分）</w:t>
      </w:r>
    </w:p>
    <w:p w14:paraId="3F885C2E">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sz w:val="24"/>
          <w:szCs w:val="24"/>
          <w:highlight w:val="none"/>
          <w:lang w:eastAsia="zh-CN"/>
        </w:rPr>
        <w:t>投标供应商</w:t>
      </w:r>
      <w:r>
        <w:rPr>
          <w:rFonts w:hint="eastAsia" w:ascii="宋体" w:hAnsi="宋体" w:eastAsia="宋体" w:cs="Times New Roman"/>
          <w:bCs/>
          <w:color w:val="auto"/>
          <w:sz w:val="24"/>
          <w:szCs w:val="24"/>
          <w:highlight w:val="none"/>
        </w:rPr>
        <w:t>的价格分统一按照下列公式计算：</w:t>
      </w:r>
    </w:p>
    <w:p w14:paraId="796A8C75">
      <w:pPr>
        <w:tabs>
          <w:tab w:val="left" w:pos="945"/>
          <w:tab w:val="left" w:pos="1155"/>
        </w:tabs>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投标报价得分</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评标基准价／投标报价</w:t>
      </w:r>
      <w:r>
        <w:rPr>
          <w:rFonts w:ascii="宋体" w:hAnsi="宋体" w:eastAsia="宋体" w:cs="Times New Roman"/>
          <w:bCs/>
          <w:color w:val="auto"/>
          <w:sz w:val="24"/>
          <w:szCs w:val="24"/>
          <w:highlight w:val="none"/>
        </w:rPr>
        <w:t>)</w:t>
      </w:r>
      <w:r>
        <w:rPr>
          <w:rFonts w:hint="eastAsia" w:ascii="宋体" w:hAnsi="宋体" w:eastAsia="宋体" w:cs="Times New Roman"/>
          <w:bCs/>
          <w:color w:val="auto"/>
          <w:sz w:val="24"/>
          <w:szCs w:val="24"/>
          <w:highlight w:val="none"/>
        </w:rPr>
        <w:t>×价格权值×</w:t>
      </w:r>
      <w:r>
        <w:rPr>
          <w:rFonts w:ascii="宋体" w:hAnsi="宋体" w:eastAsia="宋体" w:cs="Times New Roman"/>
          <w:bCs/>
          <w:color w:val="auto"/>
          <w:sz w:val="24"/>
          <w:szCs w:val="24"/>
          <w:highlight w:val="none"/>
        </w:rPr>
        <w:t>100</w:t>
      </w:r>
      <w:r>
        <w:rPr>
          <w:rFonts w:hint="eastAsia" w:ascii="宋体" w:hAnsi="宋体" w:eastAsia="宋体" w:cs="Times New Roman"/>
          <w:bCs/>
          <w:color w:val="auto"/>
          <w:sz w:val="24"/>
          <w:szCs w:val="24"/>
          <w:highlight w:val="none"/>
        </w:rPr>
        <w:t>。</w:t>
      </w:r>
    </w:p>
    <w:p w14:paraId="04B7A9F7">
      <w:pPr>
        <w:spacing w:line="360" w:lineRule="auto"/>
        <w:ind w:firstLine="480"/>
        <w:jc w:val="lef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关于价格扣除详见本章第二部分“一、落实政府采购政策的价格调整”。</w:t>
      </w:r>
    </w:p>
    <w:p w14:paraId="5912409D">
      <w:pPr>
        <w:widowControl w:val="0"/>
        <w:tabs>
          <w:tab w:val="left" w:pos="420"/>
        </w:tabs>
        <w:autoSpaceDE w:val="0"/>
        <w:autoSpaceDN w:val="0"/>
        <w:adjustRightInd w:val="0"/>
        <w:spacing w:after="20" w:line="360" w:lineRule="auto"/>
        <w:ind w:left="0" w:firstLine="0"/>
        <w:jc w:val="both"/>
        <w:textAlignment w:val="baseline"/>
        <w:rPr>
          <w:rFonts w:ascii="宋体" w:hAnsi="宋体" w:eastAsia="宋体" w:cs="宋体"/>
          <w:b/>
          <w:bCs/>
          <w:color w:val="auto"/>
          <w:kern w:val="0"/>
          <w:sz w:val="24"/>
          <w:szCs w:val="20"/>
          <w:highlight w:val="none"/>
          <w:lang w:val="en-GB" w:eastAsia="zh-CN" w:bidi="ar-SA"/>
        </w:rPr>
      </w:pPr>
      <w:r>
        <w:rPr>
          <w:rFonts w:hint="eastAsia" w:ascii="宋体" w:hAnsi="宋体" w:eastAsia="宋体" w:cs="宋体"/>
          <w:b/>
          <w:bCs/>
          <w:color w:val="auto"/>
          <w:kern w:val="0"/>
          <w:sz w:val="24"/>
          <w:szCs w:val="20"/>
          <w:highlight w:val="none"/>
          <w:lang w:val="en-GB" w:eastAsia="zh-CN" w:bidi="ar-SA"/>
        </w:rPr>
        <w:t>（二）投标供应商评价（</w:t>
      </w:r>
      <w:r>
        <w:rPr>
          <w:rFonts w:hint="eastAsia" w:ascii="宋体" w:hAnsi="宋体" w:eastAsia="宋体" w:cs="宋体"/>
          <w:b/>
          <w:bCs/>
          <w:color w:val="auto"/>
          <w:kern w:val="0"/>
          <w:sz w:val="24"/>
          <w:szCs w:val="20"/>
          <w:highlight w:val="none"/>
          <w:lang w:val="en-US" w:eastAsia="zh-CN" w:bidi="ar-SA"/>
        </w:rPr>
        <w:t>25</w:t>
      </w:r>
      <w:r>
        <w:rPr>
          <w:rFonts w:hint="eastAsia" w:ascii="宋体" w:hAnsi="宋体" w:eastAsia="宋体" w:cs="宋体"/>
          <w:b/>
          <w:bCs/>
          <w:color w:val="auto"/>
          <w:kern w:val="0"/>
          <w:sz w:val="24"/>
          <w:szCs w:val="20"/>
          <w:highlight w:val="none"/>
          <w:lang w:val="en-GB" w:eastAsia="zh-CN" w:bidi="ar-SA"/>
        </w:rPr>
        <w:t>分）</w:t>
      </w:r>
    </w:p>
    <w:p w14:paraId="1C7C814F">
      <w:pPr>
        <w:tabs>
          <w:tab w:val="left" w:pos="525"/>
        </w:tabs>
        <w:spacing w:line="360" w:lineRule="auto"/>
        <w:ind w:firstLine="482" w:firstLineChars="200"/>
        <w:rPr>
          <w:rFonts w:hint="eastAsia" w:ascii="宋体" w:hAnsi="宋体" w:eastAsia="宋体" w:cs="宋体"/>
          <w:b/>
          <w:color w:val="auto"/>
          <w:sz w:val="24"/>
          <w:szCs w:val="20"/>
        </w:rPr>
      </w:pPr>
      <w:r>
        <w:rPr>
          <w:rFonts w:hint="eastAsia" w:ascii="宋体" w:hAnsi="宋体" w:eastAsia="宋体" w:cs="宋体"/>
          <w:b/>
          <w:color w:val="auto"/>
          <w:sz w:val="24"/>
          <w:szCs w:val="20"/>
        </w:rPr>
        <w:t>1、企业评价</w:t>
      </w:r>
      <w:r>
        <w:rPr>
          <w:rFonts w:hint="eastAsia" w:ascii="宋体" w:hAnsi="宋体" w:eastAsia="宋体" w:cs="宋体"/>
          <w:b/>
          <w:color w:val="auto"/>
          <w:sz w:val="24"/>
          <w:szCs w:val="20"/>
          <w:highlight w:val="none"/>
        </w:rPr>
        <w:t>（</w:t>
      </w:r>
      <w:r>
        <w:rPr>
          <w:rFonts w:hint="eastAsia" w:ascii="宋体" w:hAnsi="宋体" w:eastAsia="宋体" w:cs="宋体"/>
          <w:b/>
          <w:color w:val="auto"/>
          <w:sz w:val="24"/>
          <w:szCs w:val="20"/>
          <w:highlight w:val="none"/>
          <w:lang w:val="en-US" w:eastAsia="zh-CN"/>
        </w:rPr>
        <w:t>11</w:t>
      </w:r>
      <w:r>
        <w:rPr>
          <w:rFonts w:hint="eastAsia" w:ascii="宋体" w:hAnsi="宋体" w:eastAsia="宋体" w:cs="宋体"/>
          <w:b/>
          <w:color w:val="auto"/>
          <w:sz w:val="24"/>
          <w:szCs w:val="20"/>
          <w:highlight w:val="none"/>
        </w:rPr>
        <w:t>分）</w:t>
      </w:r>
    </w:p>
    <w:p w14:paraId="22468E8A">
      <w:pPr>
        <w:tabs>
          <w:tab w:val="left" w:pos="465"/>
        </w:tabs>
        <w:spacing w:line="360" w:lineRule="auto"/>
        <w:ind w:firstLine="480" w:firstLineChars="200"/>
        <w:outlineLvl w:val="0"/>
        <w:rPr>
          <w:rFonts w:hint="eastAsia" w:ascii="宋体" w:hAnsi="宋体" w:eastAsia="宋体" w:cs="宋体"/>
          <w:bCs/>
          <w:color w:val="auto"/>
          <w:sz w:val="24"/>
          <w:szCs w:val="20"/>
          <w:lang w:eastAsia="zh-CN"/>
        </w:rPr>
      </w:pPr>
      <w:r>
        <w:rPr>
          <w:rFonts w:hint="eastAsia" w:ascii="宋体" w:hAnsi="宋体" w:eastAsia="宋体" w:cs="宋体"/>
          <w:bCs/>
          <w:color w:val="auto"/>
          <w:sz w:val="24"/>
          <w:szCs w:val="20"/>
        </w:rPr>
        <w:t>（1）业绩（4分）：</w:t>
      </w:r>
      <w:r>
        <w:rPr>
          <w:rFonts w:hint="eastAsia" w:ascii="宋体" w:hAnsi="宋体" w:eastAsia="宋体" w:cs="Times New Roman"/>
          <w:bCs/>
          <w:color w:val="auto"/>
          <w:sz w:val="24"/>
          <w:szCs w:val="20"/>
          <w:lang w:eastAsia="zh-CN"/>
        </w:rPr>
        <w:t>投标供应商</w:t>
      </w:r>
      <w:r>
        <w:rPr>
          <w:rFonts w:hint="eastAsia" w:ascii="宋体" w:hAnsi="宋体" w:eastAsia="宋体" w:cs="Times New Roman"/>
          <w:bCs/>
          <w:color w:val="auto"/>
          <w:sz w:val="24"/>
          <w:szCs w:val="20"/>
          <w:lang w:val="en-US" w:eastAsia="zh-CN"/>
        </w:rPr>
        <w:t>近三年</w:t>
      </w:r>
      <w:r>
        <w:rPr>
          <w:rFonts w:hint="eastAsia" w:ascii="宋体" w:hAnsi="宋体" w:eastAsia="宋体" w:cs="Times New Roman"/>
          <w:bCs/>
          <w:color w:val="auto"/>
          <w:sz w:val="24"/>
          <w:szCs w:val="20"/>
        </w:rPr>
        <w:t>（自本项目公告发布之日起往前顺推，以合同签订日期为准）承担过同类物业管理项目的，</w:t>
      </w:r>
      <w:r>
        <w:rPr>
          <w:rFonts w:hint="eastAsia" w:ascii="宋体" w:hAnsi="宋体" w:eastAsia="宋体" w:cs="Times New Roman"/>
          <w:bCs/>
          <w:color w:val="auto"/>
          <w:sz w:val="24"/>
          <w:szCs w:val="20"/>
          <w:lang w:val="en-US" w:eastAsia="zh-CN"/>
        </w:rPr>
        <w:t>每个</w:t>
      </w:r>
      <w:r>
        <w:rPr>
          <w:rFonts w:hint="eastAsia" w:ascii="宋体" w:hAnsi="宋体" w:eastAsia="宋体" w:cs="Times New Roman"/>
          <w:bCs/>
          <w:color w:val="auto"/>
          <w:sz w:val="24"/>
          <w:szCs w:val="20"/>
        </w:rPr>
        <w:t>得2分，最高得4分</w:t>
      </w:r>
      <w:r>
        <w:rPr>
          <w:rFonts w:hint="eastAsia" w:ascii="宋体" w:hAnsi="宋体" w:eastAsia="宋体" w:cs="Times New Roman"/>
          <w:b/>
          <w:color w:val="auto"/>
          <w:sz w:val="24"/>
          <w:szCs w:val="20"/>
        </w:rPr>
        <w:t>（投标文件中提供合同原件扫描件并加盖公章或签电子公章，不提供或提供不符合要求的不得分</w:t>
      </w:r>
      <w:r>
        <w:rPr>
          <w:rFonts w:hint="eastAsia" w:ascii="宋体" w:hAnsi="宋体" w:eastAsia="宋体" w:cs="宋体"/>
          <w:b/>
          <w:color w:val="auto"/>
          <w:sz w:val="24"/>
          <w:szCs w:val="20"/>
        </w:rPr>
        <w:t>，续签的合同按一份合同认定</w:t>
      </w:r>
      <w:r>
        <w:rPr>
          <w:rFonts w:hint="eastAsia" w:ascii="宋体" w:hAnsi="宋体" w:eastAsia="宋体" w:cs="Times New Roman"/>
          <w:b/>
          <w:color w:val="auto"/>
          <w:sz w:val="24"/>
          <w:szCs w:val="20"/>
        </w:rPr>
        <w:t>）</w:t>
      </w:r>
      <w:r>
        <w:rPr>
          <w:rFonts w:hint="eastAsia" w:ascii="宋体" w:hAnsi="宋体" w:eastAsia="宋体" w:cs="Times New Roman"/>
          <w:b/>
          <w:color w:val="auto"/>
          <w:sz w:val="24"/>
          <w:szCs w:val="20"/>
          <w:lang w:eastAsia="zh-CN"/>
        </w:rPr>
        <w:t>。</w:t>
      </w:r>
    </w:p>
    <w:p w14:paraId="0EC55684">
      <w:pPr>
        <w:spacing w:line="360" w:lineRule="auto"/>
        <w:ind w:firstLine="420"/>
        <w:outlineLvl w:val="0"/>
        <w:rPr>
          <w:rFonts w:hint="eastAsia" w:ascii="宋体" w:hAnsi="宋体" w:eastAsia="宋体" w:cs="Times New Roman"/>
          <w:b/>
          <w:color w:val="auto"/>
          <w:sz w:val="24"/>
          <w:szCs w:val="20"/>
          <w:lang w:eastAsia="zh-CN"/>
        </w:rPr>
      </w:pPr>
      <w:r>
        <w:rPr>
          <w:rFonts w:hint="eastAsia" w:ascii="宋体" w:hAnsi="宋体" w:eastAsia="宋体" w:cs="宋体"/>
          <w:bCs/>
          <w:color w:val="auto"/>
          <w:sz w:val="24"/>
          <w:szCs w:val="20"/>
        </w:rPr>
        <w:t>（2）体系认证（</w:t>
      </w:r>
      <w:r>
        <w:rPr>
          <w:rFonts w:hint="eastAsia" w:ascii="宋体" w:hAnsi="宋体" w:eastAsia="宋体" w:cs="宋体"/>
          <w:bCs/>
          <w:color w:val="auto"/>
          <w:sz w:val="24"/>
          <w:szCs w:val="20"/>
          <w:lang w:val="en-US" w:eastAsia="zh-CN"/>
        </w:rPr>
        <w:t>3</w:t>
      </w:r>
      <w:r>
        <w:rPr>
          <w:rFonts w:hint="eastAsia" w:ascii="宋体" w:hAnsi="宋体" w:eastAsia="宋体" w:cs="宋体"/>
          <w:bCs/>
          <w:color w:val="auto"/>
          <w:sz w:val="24"/>
          <w:szCs w:val="20"/>
        </w:rPr>
        <w:t>分）：</w:t>
      </w:r>
      <w:r>
        <w:rPr>
          <w:rFonts w:hint="eastAsia" w:ascii="宋体" w:hAnsi="宋体" w:eastAsia="宋体" w:cs="宋体"/>
          <w:color w:val="auto"/>
          <w:sz w:val="24"/>
          <w:szCs w:val="20"/>
          <w:lang w:eastAsia="zh-CN"/>
        </w:rPr>
        <w:t>投标供应商</w:t>
      </w:r>
      <w:r>
        <w:rPr>
          <w:rFonts w:hint="eastAsia" w:ascii="宋体" w:hAnsi="宋体" w:eastAsia="宋体" w:cs="宋体"/>
          <w:color w:val="auto"/>
          <w:sz w:val="24"/>
          <w:szCs w:val="20"/>
        </w:rPr>
        <w:t>具有有效期内的质量管理体系认证证书、环境管理体系认证证书、职业安全健康管理体系认证证书</w:t>
      </w:r>
      <w:r>
        <w:rPr>
          <w:rFonts w:hint="eastAsia" w:ascii="宋体" w:hAnsi="宋体" w:eastAsia="宋体" w:cs="宋体"/>
          <w:color w:val="auto"/>
          <w:sz w:val="24"/>
          <w:szCs w:val="20"/>
          <w:lang w:val="en-US" w:eastAsia="zh-CN"/>
        </w:rPr>
        <w:t>的</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rPr>
        <w:t>每个得1分，最高得</w:t>
      </w:r>
      <w:r>
        <w:rPr>
          <w:rFonts w:hint="eastAsia" w:ascii="宋体" w:hAnsi="宋体" w:eastAsia="宋体" w:cs="宋体"/>
          <w:color w:val="auto"/>
          <w:sz w:val="24"/>
          <w:szCs w:val="20"/>
          <w:lang w:val="en-US" w:eastAsia="zh-CN"/>
        </w:rPr>
        <w:t>3</w:t>
      </w:r>
      <w:r>
        <w:rPr>
          <w:rFonts w:hint="eastAsia" w:ascii="宋体" w:hAnsi="宋体" w:eastAsia="宋体" w:cs="宋体"/>
          <w:color w:val="auto"/>
          <w:sz w:val="24"/>
          <w:szCs w:val="20"/>
        </w:rPr>
        <w:t>分</w:t>
      </w:r>
      <w:r>
        <w:rPr>
          <w:rFonts w:hint="eastAsia" w:ascii="宋体" w:hAnsi="宋体" w:eastAsia="宋体" w:cs="Times New Roman"/>
          <w:b/>
          <w:color w:val="auto"/>
          <w:sz w:val="24"/>
          <w:szCs w:val="20"/>
        </w:rPr>
        <w:t>（投标文件中提供证书原件扫描件加盖公章或签电子公章，不提供或提供不符合要求的不得分）</w:t>
      </w:r>
      <w:r>
        <w:rPr>
          <w:rFonts w:hint="eastAsia" w:ascii="宋体" w:hAnsi="宋体" w:eastAsia="宋体" w:cs="Times New Roman"/>
          <w:b/>
          <w:color w:val="auto"/>
          <w:sz w:val="24"/>
          <w:szCs w:val="20"/>
          <w:lang w:eastAsia="zh-CN"/>
        </w:rPr>
        <w:t>。</w:t>
      </w:r>
    </w:p>
    <w:p w14:paraId="5455DEE1">
      <w:pPr>
        <w:spacing w:line="360" w:lineRule="auto"/>
        <w:ind w:firstLine="420"/>
        <w:outlineLvl w:val="0"/>
        <w:rPr>
          <w:rFonts w:hint="eastAsia" w:ascii="宋体" w:hAnsi="宋体" w:eastAsia="宋体" w:cs="宋体"/>
          <w:b/>
          <w:bCs w:val="0"/>
          <w:color w:val="auto"/>
          <w:sz w:val="24"/>
          <w:szCs w:val="20"/>
        </w:rPr>
      </w:pPr>
      <w:r>
        <w:rPr>
          <w:rFonts w:hint="eastAsia" w:ascii="宋体" w:hAnsi="宋体" w:eastAsia="宋体" w:cs="宋体"/>
          <w:bCs/>
          <w:color w:val="auto"/>
          <w:sz w:val="24"/>
          <w:szCs w:val="20"/>
        </w:rPr>
        <w:t>（3）信息化管理（</w:t>
      </w:r>
      <w:r>
        <w:rPr>
          <w:rFonts w:hint="eastAsia" w:ascii="宋体" w:hAnsi="宋体" w:eastAsia="宋体" w:cs="宋体"/>
          <w:bCs/>
          <w:color w:val="auto"/>
          <w:sz w:val="24"/>
          <w:szCs w:val="20"/>
          <w:lang w:val="en-US" w:eastAsia="zh-CN"/>
        </w:rPr>
        <w:t>2</w:t>
      </w:r>
      <w:r>
        <w:rPr>
          <w:rFonts w:hint="eastAsia" w:ascii="宋体" w:hAnsi="宋体" w:eastAsia="宋体" w:cs="宋体"/>
          <w:bCs/>
          <w:color w:val="auto"/>
          <w:sz w:val="24"/>
          <w:szCs w:val="20"/>
        </w:rPr>
        <w:t>分）：结合本项目的实际情况，为更好地为本项目提供服务，实现智慧化物业管理服务</w:t>
      </w:r>
      <w:r>
        <w:rPr>
          <w:rFonts w:hint="eastAsia" w:ascii="宋体" w:hAnsi="宋体" w:eastAsia="宋体" w:cs="宋体"/>
          <w:bCs/>
          <w:color w:val="auto"/>
          <w:sz w:val="24"/>
          <w:szCs w:val="20"/>
          <w:lang w:eastAsia="zh-CN"/>
        </w:rPr>
        <w:t>，投标供应商</w:t>
      </w:r>
      <w:r>
        <w:rPr>
          <w:rFonts w:hint="eastAsia" w:ascii="宋体" w:hAnsi="宋体" w:eastAsia="宋体" w:cs="宋体"/>
          <w:bCs/>
          <w:color w:val="auto"/>
          <w:sz w:val="24"/>
          <w:szCs w:val="20"/>
        </w:rPr>
        <w:t>使用物业管理信息化系统管理的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w:t>
      </w:r>
      <w:r>
        <w:rPr>
          <w:rFonts w:hint="eastAsia" w:ascii="宋体" w:hAnsi="宋体" w:eastAsia="宋体" w:cs="宋体"/>
          <w:bCs/>
          <w:color w:val="auto"/>
          <w:sz w:val="24"/>
          <w:szCs w:val="20"/>
          <w:lang w:val="en-US" w:eastAsia="zh-CN"/>
        </w:rPr>
        <w:t>2</w:t>
      </w:r>
      <w:r>
        <w:rPr>
          <w:rFonts w:hint="eastAsia" w:ascii="宋体" w:hAnsi="宋体" w:eastAsia="宋体" w:cs="宋体"/>
          <w:bCs/>
          <w:color w:val="auto"/>
          <w:sz w:val="24"/>
          <w:szCs w:val="20"/>
        </w:rPr>
        <w:t>分</w:t>
      </w:r>
      <w:r>
        <w:rPr>
          <w:rFonts w:hint="eastAsia" w:ascii="宋体" w:hAnsi="宋体" w:eastAsia="宋体" w:cs="宋体"/>
          <w:b/>
          <w:bCs w:val="0"/>
          <w:color w:val="auto"/>
          <w:sz w:val="24"/>
          <w:szCs w:val="20"/>
        </w:rPr>
        <w:t>（投标文件中提供所用物业管理信息化系统软件的采购合同或发票原件扫描件，如是自主开发软件的则提供软件著作权登记证书</w:t>
      </w:r>
      <w:r>
        <w:rPr>
          <w:rFonts w:hint="eastAsia" w:ascii="宋体" w:hAnsi="宋体" w:eastAsia="宋体" w:cs="宋体"/>
          <w:b/>
          <w:bCs w:val="0"/>
          <w:color w:val="auto"/>
          <w:sz w:val="24"/>
          <w:szCs w:val="20"/>
          <w:lang w:eastAsia="zh-CN"/>
        </w:rPr>
        <w:t>。</w:t>
      </w:r>
      <w:r>
        <w:rPr>
          <w:rFonts w:hint="eastAsia" w:ascii="宋体" w:hAnsi="宋体" w:eastAsia="宋体" w:cs="宋体"/>
          <w:b/>
          <w:bCs w:val="0"/>
          <w:color w:val="auto"/>
          <w:sz w:val="24"/>
          <w:szCs w:val="20"/>
          <w:lang w:val="en-US" w:eastAsia="zh-CN"/>
        </w:rPr>
        <w:t>以上材料提供原件扫描件加盖公章或签电子公章，不提供或提供不符合要求的不得分</w:t>
      </w:r>
      <w:r>
        <w:rPr>
          <w:rFonts w:hint="eastAsia" w:ascii="宋体" w:hAnsi="宋体" w:eastAsia="宋体" w:cs="宋体"/>
          <w:b/>
          <w:bCs w:val="0"/>
          <w:color w:val="auto"/>
          <w:sz w:val="24"/>
          <w:szCs w:val="20"/>
          <w:lang w:eastAsia="zh-CN"/>
        </w:rPr>
        <w:t>）</w:t>
      </w:r>
      <w:r>
        <w:rPr>
          <w:rFonts w:hint="eastAsia" w:ascii="宋体" w:hAnsi="宋体" w:eastAsia="宋体" w:cs="宋体"/>
          <w:b/>
          <w:bCs w:val="0"/>
          <w:color w:val="auto"/>
          <w:sz w:val="24"/>
          <w:szCs w:val="20"/>
        </w:rPr>
        <w:t>。</w:t>
      </w:r>
    </w:p>
    <w:p w14:paraId="383DE4F5">
      <w:pPr>
        <w:spacing w:line="360" w:lineRule="auto"/>
        <w:ind w:firstLine="420"/>
        <w:outlineLvl w:val="0"/>
        <w:rPr>
          <w:rFonts w:hint="default" w:ascii="宋体" w:hAnsi="宋体" w:eastAsia="宋体" w:cs="宋体"/>
          <w:b/>
          <w:bCs w:val="0"/>
          <w:color w:val="auto"/>
          <w:sz w:val="24"/>
          <w:szCs w:val="20"/>
          <w:lang w:val="en-US" w:eastAsia="zh-CN"/>
        </w:rPr>
      </w:pPr>
      <w:r>
        <w:rPr>
          <w:rFonts w:hint="eastAsia" w:ascii="宋体" w:hAnsi="宋体" w:eastAsia="宋体" w:cs="宋体"/>
          <w:b w:val="0"/>
          <w:bCs/>
          <w:color w:val="auto"/>
          <w:sz w:val="24"/>
          <w:szCs w:val="20"/>
          <w:lang w:eastAsia="zh-CN"/>
        </w:rPr>
        <w:t>（</w:t>
      </w:r>
      <w:r>
        <w:rPr>
          <w:rFonts w:hint="eastAsia" w:ascii="宋体" w:hAnsi="宋体" w:eastAsia="宋体" w:cs="宋体"/>
          <w:b w:val="0"/>
          <w:bCs/>
          <w:color w:val="auto"/>
          <w:sz w:val="24"/>
          <w:szCs w:val="20"/>
          <w:lang w:val="en-US" w:eastAsia="zh-CN"/>
        </w:rPr>
        <w:t>4</w:t>
      </w:r>
      <w:r>
        <w:rPr>
          <w:rFonts w:hint="eastAsia" w:ascii="宋体" w:hAnsi="宋体" w:eastAsia="宋体" w:cs="宋体"/>
          <w:b w:val="0"/>
          <w:bCs/>
          <w:color w:val="auto"/>
          <w:sz w:val="24"/>
          <w:szCs w:val="20"/>
          <w:lang w:eastAsia="zh-CN"/>
        </w:rPr>
        <w:t>）</w:t>
      </w:r>
      <w:r>
        <w:rPr>
          <w:rFonts w:hint="eastAsia" w:ascii="宋体" w:hAnsi="宋体" w:eastAsia="宋体" w:cs="宋体"/>
          <w:b w:val="0"/>
          <w:bCs/>
          <w:color w:val="auto"/>
          <w:sz w:val="24"/>
          <w:szCs w:val="20"/>
          <w:lang w:val="en-US" w:eastAsia="zh-CN"/>
        </w:rPr>
        <w:t>企业荣誉（2分）：投标供应商近三年（自本项目公告发布之日起往前顺推，以获奖日期为准）承担过的物业项目获得市级（含）以上“物业管理优秀或示范项目”的，每个得1分，最高得2分</w:t>
      </w:r>
      <w:r>
        <w:rPr>
          <w:rFonts w:hint="eastAsia" w:ascii="宋体" w:hAnsi="宋体" w:eastAsia="宋体" w:cs="宋体"/>
          <w:b/>
          <w:bCs w:val="0"/>
          <w:color w:val="auto"/>
          <w:sz w:val="24"/>
          <w:szCs w:val="20"/>
          <w:lang w:val="en-US" w:eastAsia="zh-CN"/>
        </w:rPr>
        <w:t>（同一项目不重复计分，按最高得分计。投标文件中提供获奖证书或红头文件证明原件扫描件并加盖公章或签电子公章，不提供或提供不符合要求的不得分）。</w:t>
      </w:r>
    </w:p>
    <w:p w14:paraId="5BED4A7D">
      <w:pPr>
        <w:tabs>
          <w:tab w:val="left" w:pos="465"/>
        </w:tabs>
        <w:spacing w:line="360" w:lineRule="auto"/>
        <w:ind w:firstLine="482" w:firstLineChars="200"/>
        <w:outlineLvl w:val="0"/>
        <w:rPr>
          <w:rFonts w:hint="eastAsia" w:ascii="宋体" w:hAnsi="宋体" w:eastAsia="宋体" w:cs="宋体"/>
          <w:bCs/>
          <w:color w:val="auto"/>
          <w:kern w:val="0"/>
          <w:sz w:val="24"/>
          <w:szCs w:val="24"/>
        </w:rPr>
      </w:pPr>
      <w:r>
        <w:rPr>
          <w:rFonts w:hint="eastAsia" w:ascii="宋体" w:hAnsi="宋体" w:eastAsia="宋体" w:cs="宋体"/>
          <w:b/>
          <w:color w:val="auto"/>
          <w:sz w:val="24"/>
          <w:szCs w:val="20"/>
        </w:rPr>
        <w:t>2、人员配置情况</w:t>
      </w:r>
      <w:r>
        <w:rPr>
          <w:rFonts w:hint="eastAsia" w:ascii="宋体" w:hAnsi="宋体" w:eastAsia="宋体" w:cs="宋体"/>
          <w:b/>
          <w:color w:val="auto"/>
          <w:sz w:val="24"/>
          <w:szCs w:val="20"/>
          <w:highlight w:val="none"/>
        </w:rPr>
        <w:t>（</w:t>
      </w:r>
      <w:r>
        <w:rPr>
          <w:rFonts w:hint="eastAsia" w:ascii="宋体" w:hAnsi="宋体" w:eastAsia="宋体" w:cs="宋体"/>
          <w:b/>
          <w:color w:val="auto"/>
          <w:sz w:val="24"/>
          <w:szCs w:val="20"/>
          <w:highlight w:val="none"/>
          <w:lang w:val="en-US" w:eastAsia="zh-CN"/>
        </w:rPr>
        <w:t>14</w:t>
      </w:r>
      <w:r>
        <w:rPr>
          <w:rFonts w:hint="eastAsia" w:ascii="宋体" w:hAnsi="宋体" w:eastAsia="宋体" w:cs="宋体"/>
          <w:b/>
          <w:color w:val="auto"/>
          <w:sz w:val="24"/>
          <w:szCs w:val="20"/>
          <w:highlight w:val="none"/>
        </w:rPr>
        <w:t>分）</w:t>
      </w:r>
    </w:p>
    <w:p w14:paraId="20FFB42E">
      <w:pPr>
        <w:tabs>
          <w:tab w:val="left" w:pos="945"/>
        </w:tabs>
        <w:adjustRightInd w:val="0"/>
        <w:snapToGrid w:val="0"/>
        <w:spacing w:line="360" w:lineRule="auto"/>
        <w:ind w:firstLine="480" w:firstLineChars="200"/>
        <w:outlineLvl w:val="0"/>
        <w:rPr>
          <w:rFonts w:hint="eastAsia" w:ascii="宋体" w:hAnsi="宋体" w:eastAsia="宋体" w:cs="宋体"/>
          <w:bCs/>
          <w:color w:val="auto"/>
          <w:sz w:val="24"/>
          <w:szCs w:val="20"/>
        </w:rPr>
      </w:pPr>
      <w:r>
        <w:rPr>
          <w:rFonts w:hint="eastAsia" w:ascii="宋体" w:hAnsi="宋体" w:eastAsia="宋体" w:cs="宋体"/>
          <w:bCs/>
          <w:color w:val="auto"/>
          <w:sz w:val="24"/>
          <w:szCs w:val="20"/>
        </w:rPr>
        <w:t>（1）</w:t>
      </w:r>
      <w:r>
        <w:rPr>
          <w:rFonts w:hint="eastAsia" w:ascii="宋体" w:hAnsi="宋体" w:eastAsia="宋体" w:cs="宋体"/>
          <w:bCs/>
          <w:color w:val="auto"/>
          <w:sz w:val="24"/>
          <w:szCs w:val="20"/>
          <w:lang w:val="en-US" w:eastAsia="zh-CN"/>
        </w:rPr>
        <w:t>项目负责人</w:t>
      </w:r>
      <w:r>
        <w:rPr>
          <w:rFonts w:hint="eastAsia" w:ascii="宋体" w:hAnsi="宋体" w:eastAsia="宋体" w:cs="宋体"/>
          <w:bCs/>
          <w:color w:val="auto"/>
          <w:sz w:val="24"/>
          <w:szCs w:val="20"/>
        </w:rPr>
        <w:t>（</w:t>
      </w:r>
      <w:r>
        <w:rPr>
          <w:rFonts w:hint="eastAsia" w:ascii="宋体" w:hAnsi="宋体" w:eastAsia="宋体" w:cs="宋体"/>
          <w:bCs/>
          <w:color w:val="auto"/>
          <w:sz w:val="24"/>
          <w:szCs w:val="20"/>
          <w:lang w:val="en-US" w:eastAsia="zh-CN"/>
        </w:rPr>
        <w:t>4</w:t>
      </w:r>
      <w:r>
        <w:rPr>
          <w:rFonts w:hint="eastAsia" w:ascii="宋体" w:hAnsi="宋体" w:eastAsia="宋体" w:cs="宋体"/>
          <w:bCs/>
          <w:color w:val="auto"/>
          <w:sz w:val="24"/>
          <w:szCs w:val="20"/>
        </w:rPr>
        <w:t>分）：拟为本项目配备的项目负责人</w:t>
      </w:r>
      <w:r>
        <w:rPr>
          <w:rFonts w:hint="eastAsia" w:ascii="宋体" w:hAnsi="宋体" w:eastAsia="宋体" w:cs="宋体"/>
          <w:bCs/>
          <w:color w:val="auto"/>
          <w:sz w:val="24"/>
          <w:szCs w:val="20"/>
          <w:lang w:val="en-US" w:eastAsia="zh-CN"/>
        </w:rPr>
        <w:t>年龄在45周岁（含）以下且</w:t>
      </w:r>
      <w:r>
        <w:rPr>
          <w:rFonts w:hint="eastAsia" w:ascii="宋体" w:hAnsi="宋体" w:eastAsia="宋体" w:cs="宋体"/>
          <w:bCs/>
          <w:color w:val="auto"/>
          <w:sz w:val="24"/>
          <w:szCs w:val="20"/>
        </w:rPr>
        <w:t>具有本科</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lang w:val="en-US" w:eastAsia="zh-CN"/>
        </w:rPr>
        <w:t>含</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以上学历的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得1分；具有行政主管或人社部门颁发的人力资源管理类中级</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lang w:val="en-US" w:eastAsia="zh-CN"/>
        </w:rPr>
        <w:t>含</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以上</w:t>
      </w:r>
      <w:r>
        <w:rPr>
          <w:rFonts w:hint="eastAsia" w:ascii="宋体" w:hAnsi="宋体" w:eastAsia="宋体" w:cs="宋体"/>
          <w:bCs/>
          <w:color w:val="auto"/>
          <w:sz w:val="24"/>
          <w:szCs w:val="20"/>
          <w:lang w:val="en-US" w:eastAsia="zh-CN"/>
        </w:rPr>
        <w:t>技术</w:t>
      </w:r>
      <w:r>
        <w:rPr>
          <w:rFonts w:hint="eastAsia" w:ascii="宋体" w:hAnsi="宋体" w:eastAsia="宋体" w:cs="宋体"/>
          <w:bCs/>
          <w:color w:val="auto"/>
          <w:sz w:val="24"/>
          <w:szCs w:val="20"/>
        </w:rPr>
        <w:t>职称证书的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得1分；</w:t>
      </w:r>
      <w:r>
        <w:rPr>
          <w:rFonts w:hint="eastAsia" w:ascii="宋体" w:hAnsi="宋体" w:eastAsia="宋体" w:cs="宋体"/>
          <w:bCs/>
          <w:color w:val="auto"/>
          <w:sz w:val="24"/>
          <w:szCs w:val="20"/>
          <w:highlight w:val="none"/>
        </w:rPr>
        <w:t>具有全国物业</w:t>
      </w:r>
      <w:r>
        <w:rPr>
          <w:rFonts w:hint="eastAsia" w:ascii="宋体" w:hAnsi="宋体" w:eastAsia="宋体" w:cs="宋体"/>
          <w:bCs/>
          <w:color w:val="auto"/>
          <w:sz w:val="24"/>
          <w:szCs w:val="20"/>
        </w:rPr>
        <w:t>管理企业经理</w:t>
      </w:r>
      <w:r>
        <w:rPr>
          <w:rFonts w:hint="eastAsia" w:ascii="宋体" w:hAnsi="宋体" w:eastAsia="宋体" w:cs="宋体"/>
          <w:bCs/>
          <w:color w:val="auto"/>
          <w:sz w:val="24"/>
          <w:szCs w:val="20"/>
          <w:lang w:val="en-US" w:eastAsia="zh-CN"/>
        </w:rPr>
        <w:t>证书</w:t>
      </w:r>
      <w:r>
        <w:rPr>
          <w:rFonts w:hint="eastAsia" w:ascii="宋体" w:hAnsi="宋体" w:eastAsia="宋体" w:cs="宋体"/>
          <w:bCs/>
          <w:color w:val="auto"/>
          <w:sz w:val="24"/>
          <w:szCs w:val="20"/>
        </w:rPr>
        <w:t>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得1分</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具有行政主管或人社部门颁发</w:t>
      </w:r>
      <w:r>
        <w:rPr>
          <w:rFonts w:hint="eastAsia" w:ascii="宋体" w:hAnsi="宋体" w:eastAsia="宋体" w:cs="宋体"/>
          <w:bCs/>
          <w:color w:val="auto"/>
          <w:sz w:val="24"/>
          <w:szCs w:val="20"/>
          <w:lang w:val="en-US" w:eastAsia="zh-CN"/>
        </w:rPr>
        <w:t>的</w:t>
      </w:r>
      <w:r>
        <w:rPr>
          <w:rFonts w:hint="eastAsia" w:ascii="宋体" w:hAnsi="宋体" w:eastAsia="宋体" w:cs="宋体"/>
          <w:bCs/>
          <w:color w:val="auto"/>
          <w:sz w:val="24"/>
          <w:szCs w:val="20"/>
        </w:rPr>
        <w:t>应急救援员职业资格证书的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得1分。本项最高得</w:t>
      </w:r>
      <w:r>
        <w:rPr>
          <w:rFonts w:hint="eastAsia" w:ascii="宋体" w:hAnsi="宋体" w:eastAsia="宋体" w:cs="宋体"/>
          <w:bCs/>
          <w:color w:val="auto"/>
          <w:sz w:val="24"/>
          <w:szCs w:val="20"/>
          <w:lang w:val="en-US" w:eastAsia="zh-CN"/>
        </w:rPr>
        <w:t>4</w:t>
      </w:r>
      <w:r>
        <w:rPr>
          <w:rFonts w:hint="eastAsia" w:ascii="宋体" w:hAnsi="宋体" w:eastAsia="宋体" w:cs="宋体"/>
          <w:bCs/>
          <w:color w:val="auto"/>
          <w:sz w:val="24"/>
          <w:szCs w:val="20"/>
        </w:rPr>
        <w:t>分</w:t>
      </w:r>
      <w:r>
        <w:rPr>
          <w:rFonts w:hint="eastAsia" w:ascii="宋体" w:hAnsi="宋体" w:eastAsia="宋体" w:cs="宋体"/>
          <w:b/>
          <w:bCs w:val="0"/>
          <w:color w:val="auto"/>
          <w:sz w:val="24"/>
          <w:szCs w:val="20"/>
        </w:rPr>
        <w:t>（投标文件中提供身份证、学历证明、相关证书的原件扫描件并加盖公章或签电子公章，不提供或提供不符合要求的不得分）。</w:t>
      </w:r>
    </w:p>
    <w:p w14:paraId="72763727">
      <w:pPr>
        <w:tabs>
          <w:tab w:val="left" w:pos="945"/>
        </w:tabs>
        <w:adjustRightInd w:val="0"/>
        <w:snapToGrid w:val="0"/>
        <w:spacing w:line="360" w:lineRule="auto"/>
        <w:ind w:firstLine="480" w:firstLineChars="200"/>
        <w:outlineLvl w:val="0"/>
        <w:rPr>
          <w:rFonts w:hint="eastAsia" w:ascii="宋体" w:hAnsi="宋体" w:eastAsia="宋体" w:cs="宋体"/>
          <w:bCs/>
          <w:color w:val="auto"/>
          <w:sz w:val="24"/>
          <w:szCs w:val="20"/>
        </w:rPr>
      </w:pPr>
      <w:r>
        <w:rPr>
          <w:rFonts w:hint="eastAsia" w:ascii="宋体" w:hAnsi="宋体" w:eastAsia="宋体" w:cs="宋体"/>
          <w:bCs/>
          <w:color w:val="auto"/>
          <w:sz w:val="24"/>
          <w:szCs w:val="20"/>
        </w:rPr>
        <w:t>（2）保安</w:t>
      </w:r>
      <w:r>
        <w:rPr>
          <w:rFonts w:hint="eastAsia" w:ascii="宋体" w:hAnsi="宋体" w:eastAsia="宋体" w:cs="宋体"/>
          <w:bCs/>
          <w:color w:val="auto"/>
          <w:sz w:val="24"/>
          <w:szCs w:val="20"/>
          <w:lang w:val="en-US" w:eastAsia="zh-CN"/>
        </w:rPr>
        <w:t>队长</w:t>
      </w:r>
      <w:r>
        <w:rPr>
          <w:rFonts w:hint="eastAsia" w:ascii="宋体" w:hAnsi="宋体" w:eastAsia="宋体" w:cs="宋体"/>
          <w:bCs/>
          <w:color w:val="auto"/>
          <w:sz w:val="24"/>
          <w:szCs w:val="20"/>
        </w:rPr>
        <w:t>（3分）：拟派往本次项目现场的保安队长具有</w:t>
      </w:r>
      <w:r>
        <w:rPr>
          <w:rFonts w:hint="eastAsia" w:ascii="宋体" w:hAnsi="宋体" w:eastAsia="宋体" w:cs="宋体"/>
          <w:bCs/>
          <w:color w:val="auto"/>
          <w:sz w:val="24"/>
          <w:szCs w:val="20"/>
          <w:lang w:val="en-US" w:eastAsia="zh-CN"/>
        </w:rPr>
        <w:t>专科</w:t>
      </w:r>
      <w:r>
        <w:rPr>
          <w:rFonts w:hint="eastAsia" w:ascii="宋体" w:hAnsi="宋体" w:eastAsia="宋体" w:cs="宋体"/>
          <w:bCs/>
          <w:color w:val="auto"/>
          <w:sz w:val="24"/>
          <w:szCs w:val="20"/>
        </w:rPr>
        <w:t>（含）以上学历的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得1分</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具备建（构）筑物消防员或消防设施操作员的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得1分</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具有退伍证的得1分。本项最高得3分</w:t>
      </w:r>
      <w:r>
        <w:rPr>
          <w:rFonts w:hint="eastAsia" w:ascii="宋体" w:hAnsi="宋体" w:eastAsia="宋体" w:cs="宋体"/>
          <w:b/>
          <w:bCs w:val="0"/>
          <w:color w:val="auto"/>
          <w:sz w:val="24"/>
          <w:szCs w:val="20"/>
        </w:rPr>
        <w:t>（投标文件中</w:t>
      </w:r>
      <w:r>
        <w:rPr>
          <w:rFonts w:hint="eastAsia" w:ascii="宋体" w:hAnsi="宋体" w:eastAsia="宋体" w:cs="宋体"/>
          <w:b/>
          <w:bCs w:val="0"/>
          <w:color w:val="auto"/>
          <w:sz w:val="24"/>
          <w:szCs w:val="20"/>
          <w:lang w:val="en-US" w:eastAsia="zh-CN"/>
        </w:rPr>
        <w:t>提供</w:t>
      </w:r>
      <w:r>
        <w:rPr>
          <w:rFonts w:hint="eastAsia" w:ascii="宋体" w:hAnsi="宋体" w:eastAsia="宋体" w:cs="宋体"/>
          <w:b/>
          <w:bCs w:val="0"/>
          <w:color w:val="auto"/>
          <w:sz w:val="24"/>
          <w:szCs w:val="20"/>
        </w:rPr>
        <w:t>学历证明、相关证书的原件扫描件并加盖公章或签电子公章，不提供或提供不符合要求的不得分）。</w:t>
      </w:r>
    </w:p>
    <w:p w14:paraId="4431A098">
      <w:pPr>
        <w:tabs>
          <w:tab w:val="left" w:pos="945"/>
        </w:tabs>
        <w:adjustRightInd w:val="0"/>
        <w:snapToGrid w:val="0"/>
        <w:spacing w:line="360" w:lineRule="auto"/>
        <w:ind w:firstLine="480" w:firstLineChars="200"/>
        <w:outlineLvl w:val="0"/>
        <w:rPr>
          <w:rFonts w:hint="eastAsia" w:ascii="宋体" w:hAnsi="宋体" w:eastAsia="宋体" w:cs="宋体"/>
          <w:bCs/>
          <w:color w:val="auto"/>
          <w:sz w:val="24"/>
          <w:szCs w:val="20"/>
        </w:rPr>
      </w:pPr>
      <w:r>
        <w:rPr>
          <w:rFonts w:hint="eastAsia" w:ascii="宋体" w:hAnsi="宋体" w:eastAsia="宋体" w:cs="宋体"/>
          <w:bCs/>
          <w:color w:val="auto"/>
          <w:sz w:val="24"/>
          <w:szCs w:val="20"/>
        </w:rPr>
        <w:t>（</w:t>
      </w:r>
      <w:r>
        <w:rPr>
          <w:rFonts w:hint="eastAsia" w:ascii="宋体" w:hAnsi="宋体" w:eastAsia="宋体" w:cs="宋体"/>
          <w:bCs/>
          <w:color w:val="auto"/>
          <w:sz w:val="24"/>
          <w:szCs w:val="20"/>
          <w:lang w:val="en-US" w:eastAsia="zh-CN"/>
        </w:rPr>
        <w:t>3</w:t>
      </w:r>
      <w:r>
        <w:rPr>
          <w:rFonts w:hint="eastAsia" w:ascii="宋体" w:hAnsi="宋体" w:eastAsia="宋体" w:cs="宋体"/>
          <w:bCs/>
          <w:color w:val="auto"/>
          <w:sz w:val="24"/>
          <w:szCs w:val="20"/>
        </w:rPr>
        <w:t>）工程部负责人（</w:t>
      </w:r>
      <w:r>
        <w:rPr>
          <w:rFonts w:hint="eastAsia" w:ascii="宋体" w:hAnsi="宋体" w:eastAsia="宋体" w:cs="宋体"/>
          <w:bCs/>
          <w:color w:val="auto"/>
          <w:sz w:val="24"/>
          <w:szCs w:val="20"/>
          <w:lang w:val="en-US" w:eastAsia="zh-CN"/>
        </w:rPr>
        <w:t>2</w:t>
      </w:r>
      <w:r>
        <w:rPr>
          <w:rFonts w:hint="eastAsia" w:ascii="宋体" w:hAnsi="宋体" w:eastAsia="宋体" w:cs="宋体"/>
          <w:bCs/>
          <w:color w:val="auto"/>
          <w:sz w:val="24"/>
          <w:szCs w:val="20"/>
        </w:rPr>
        <w:t>分）：拟派往本次项目现场工程部负责人具有特种设备安全管理或特种设备操作证书的得1分</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具有中级</w:t>
      </w:r>
      <w:r>
        <w:rPr>
          <w:rFonts w:hint="eastAsia" w:ascii="宋体" w:hAnsi="宋体" w:eastAsia="宋体" w:cs="宋体"/>
          <w:bCs/>
          <w:color w:val="auto"/>
          <w:sz w:val="24"/>
          <w:szCs w:val="20"/>
          <w:lang w:val="en-US" w:eastAsia="zh-CN"/>
        </w:rPr>
        <w:t>(含)</w:t>
      </w:r>
      <w:r>
        <w:rPr>
          <w:rFonts w:hint="eastAsia" w:ascii="宋体" w:hAnsi="宋体" w:eastAsia="宋体" w:cs="宋体"/>
          <w:bCs/>
          <w:color w:val="auto"/>
          <w:sz w:val="24"/>
          <w:szCs w:val="20"/>
        </w:rPr>
        <w:t>以上消防设施操作员证书的得1分。本项最高得</w:t>
      </w:r>
      <w:r>
        <w:rPr>
          <w:rFonts w:hint="eastAsia" w:ascii="宋体" w:hAnsi="宋体" w:eastAsia="宋体" w:cs="宋体"/>
          <w:bCs/>
          <w:color w:val="auto"/>
          <w:sz w:val="24"/>
          <w:szCs w:val="20"/>
          <w:lang w:val="en-US" w:eastAsia="zh-CN"/>
        </w:rPr>
        <w:t>2</w:t>
      </w:r>
      <w:r>
        <w:rPr>
          <w:rFonts w:hint="eastAsia" w:ascii="宋体" w:hAnsi="宋体" w:eastAsia="宋体" w:cs="宋体"/>
          <w:bCs/>
          <w:color w:val="auto"/>
          <w:sz w:val="24"/>
          <w:szCs w:val="20"/>
        </w:rPr>
        <w:t>分</w:t>
      </w:r>
      <w:r>
        <w:rPr>
          <w:rFonts w:hint="eastAsia" w:ascii="宋体" w:hAnsi="宋体" w:eastAsia="宋体" w:cs="宋体"/>
          <w:b/>
          <w:bCs w:val="0"/>
          <w:color w:val="auto"/>
          <w:sz w:val="24"/>
          <w:szCs w:val="20"/>
        </w:rPr>
        <w:t>（投标文件中</w:t>
      </w:r>
      <w:r>
        <w:rPr>
          <w:rFonts w:hint="eastAsia" w:ascii="宋体" w:hAnsi="宋体" w:eastAsia="宋体" w:cs="宋体"/>
          <w:b/>
          <w:bCs w:val="0"/>
          <w:color w:val="auto"/>
          <w:sz w:val="24"/>
          <w:szCs w:val="20"/>
          <w:lang w:val="en-US" w:eastAsia="zh-CN"/>
        </w:rPr>
        <w:t>提供</w:t>
      </w:r>
      <w:r>
        <w:rPr>
          <w:rFonts w:hint="eastAsia" w:ascii="宋体" w:hAnsi="宋体" w:eastAsia="宋体" w:cs="宋体"/>
          <w:b/>
          <w:bCs w:val="0"/>
          <w:color w:val="auto"/>
          <w:sz w:val="24"/>
          <w:szCs w:val="20"/>
        </w:rPr>
        <w:t>相关证书的原件扫描件并加盖公章或签电子公章，不提供或提供不符合要求的不得分）。</w:t>
      </w:r>
    </w:p>
    <w:p w14:paraId="4E86D0DC">
      <w:pPr>
        <w:tabs>
          <w:tab w:val="left" w:pos="945"/>
        </w:tabs>
        <w:adjustRightInd w:val="0"/>
        <w:snapToGrid w:val="0"/>
        <w:spacing w:line="360" w:lineRule="auto"/>
        <w:ind w:firstLine="480" w:firstLineChars="200"/>
        <w:outlineLvl w:val="0"/>
        <w:rPr>
          <w:rFonts w:hint="eastAsia" w:ascii="宋体" w:hAnsi="宋体" w:eastAsia="宋体" w:cs="宋体"/>
          <w:bCs/>
          <w:color w:val="auto"/>
          <w:sz w:val="24"/>
          <w:szCs w:val="20"/>
        </w:rPr>
      </w:pPr>
      <w:r>
        <w:rPr>
          <w:rFonts w:hint="eastAsia" w:ascii="宋体" w:hAnsi="宋体" w:eastAsia="宋体" w:cs="宋体"/>
          <w:bCs/>
          <w:color w:val="auto"/>
          <w:sz w:val="24"/>
          <w:szCs w:val="20"/>
        </w:rPr>
        <w:t>（</w:t>
      </w:r>
      <w:r>
        <w:rPr>
          <w:rFonts w:hint="eastAsia" w:ascii="宋体" w:hAnsi="宋体" w:eastAsia="宋体" w:cs="宋体"/>
          <w:bCs/>
          <w:color w:val="auto"/>
          <w:sz w:val="24"/>
          <w:szCs w:val="20"/>
          <w:lang w:val="en-US" w:eastAsia="zh-CN"/>
        </w:rPr>
        <w:t>4</w:t>
      </w:r>
      <w:r>
        <w:rPr>
          <w:rFonts w:hint="eastAsia" w:ascii="宋体" w:hAnsi="宋体" w:eastAsia="宋体" w:cs="宋体"/>
          <w:bCs/>
          <w:color w:val="auto"/>
          <w:sz w:val="24"/>
          <w:szCs w:val="20"/>
        </w:rPr>
        <w:t>）保洁负责人（</w:t>
      </w:r>
      <w:r>
        <w:rPr>
          <w:rFonts w:hint="eastAsia" w:ascii="宋体" w:hAnsi="宋体" w:eastAsia="宋体" w:cs="宋体"/>
          <w:bCs/>
          <w:color w:val="auto"/>
          <w:sz w:val="24"/>
          <w:szCs w:val="20"/>
          <w:lang w:val="en-US" w:eastAsia="zh-CN"/>
        </w:rPr>
        <w:t>2</w:t>
      </w:r>
      <w:r>
        <w:rPr>
          <w:rFonts w:hint="eastAsia" w:ascii="宋体" w:hAnsi="宋体" w:eastAsia="宋体" w:cs="宋体"/>
          <w:bCs/>
          <w:color w:val="auto"/>
          <w:sz w:val="24"/>
          <w:szCs w:val="20"/>
        </w:rPr>
        <w:t>分）：拟派往本次项目现场的保洁负责人具有大专及以上学历的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得1分</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具有行政主管或人社部门颁发应急救援员职业资格证书的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得1分。本项最高得</w:t>
      </w:r>
      <w:r>
        <w:rPr>
          <w:rFonts w:hint="eastAsia" w:ascii="宋体" w:hAnsi="宋体" w:eastAsia="宋体" w:cs="宋体"/>
          <w:bCs/>
          <w:color w:val="auto"/>
          <w:sz w:val="24"/>
          <w:szCs w:val="20"/>
          <w:lang w:val="en-US" w:eastAsia="zh-CN"/>
        </w:rPr>
        <w:t>2</w:t>
      </w:r>
      <w:r>
        <w:rPr>
          <w:rFonts w:hint="eastAsia" w:ascii="宋体" w:hAnsi="宋体" w:eastAsia="宋体" w:cs="宋体"/>
          <w:bCs/>
          <w:color w:val="auto"/>
          <w:sz w:val="24"/>
          <w:szCs w:val="20"/>
        </w:rPr>
        <w:t>分</w:t>
      </w:r>
      <w:r>
        <w:rPr>
          <w:rFonts w:hint="eastAsia" w:ascii="宋体" w:hAnsi="宋体" w:eastAsia="宋体" w:cs="宋体"/>
          <w:b/>
          <w:bCs w:val="0"/>
          <w:color w:val="auto"/>
          <w:sz w:val="24"/>
          <w:szCs w:val="20"/>
        </w:rPr>
        <w:t>（投标文件中</w:t>
      </w:r>
      <w:r>
        <w:rPr>
          <w:rFonts w:hint="eastAsia" w:ascii="宋体" w:hAnsi="宋体" w:eastAsia="宋体" w:cs="宋体"/>
          <w:b/>
          <w:bCs w:val="0"/>
          <w:color w:val="auto"/>
          <w:sz w:val="24"/>
          <w:szCs w:val="20"/>
          <w:lang w:val="en-US" w:eastAsia="zh-CN"/>
        </w:rPr>
        <w:t>提供</w:t>
      </w:r>
      <w:r>
        <w:rPr>
          <w:rFonts w:hint="eastAsia" w:ascii="宋体" w:hAnsi="宋体" w:eastAsia="宋体" w:cs="宋体"/>
          <w:b/>
          <w:bCs w:val="0"/>
          <w:color w:val="auto"/>
          <w:sz w:val="24"/>
          <w:szCs w:val="20"/>
        </w:rPr>
        <w:t>学历证明、相关证书的原件扫描件并加盖公章或签电子公章，不提供或提供不符合要求的不得分）。</w:t>
      </w:r>
    </w:p>
    <w:p w14:paraId="4D90FB2F">
      <w:pPr>
        <w:tabs>
          <w:tab w:val="left" w:pos="945"/>
        </w:tabs>
        <w:adjustRightInd w:val="0"/>
        <w:snapToGrid w:val="0"/>
        <w:spacing w:line="360" w:lineRule="auto"/>
        <w:ind w:firstLine="480" w:firstLineChars="200"/>
        <w:outlineLvl w:val="0"/>
        <w:rPr>
          <w:rFonts w:hint="eastAsia" w:ascii="宋体" w:hAnsi="宋体" w:eastAsia="宋体" w:cs="宋体"/>
          <w:b/>
          <w:bCs w:val="0"/>
          <w:color w:val="auto"/>
          <w:sz w:val="24"/>
          <w:szCs w:val="20"/>
        </w:rPr>
      </w:pPr>
      <w:r>
        <w:rPr>
          <w:rFonts w:hint="eastAsia" w:ascii="宋体" w:hAnsi="宋体" w:eastAsia="宋体" w:cs="宋体"/>
          <w:bCs/>
          <w:color w:val="auto"/>
          <w:sz w:val="24"/>
          <w:szCs w:val="20"/>
        </w:rPr>
        <w:t>（</w:t>
      </w:r>
      <w:r>
        <w:rPr>
          <w:rFonts w:hint="eastAsia" w:ascii="宋体" w:hAnsi="宋体" w:eastAsia="宋体" w:cs="宋体"/>
          <w:bCs/>
          <w:color w:val="auto"/>
          <w:sz w:val="24"/>
          <w:szCs w:val="20"/>
          <w:lang w:val="en-US" w:eastAsia="zh-CN"/>
        </w:rPr>
        <w:t>5</w:t>
      </w:r>
      <w:r>
        <w:rPr>
          <w:rFonts w:hint="eastAsia" w:ascii="宋体" w:hAnsi="宋体" w:eastAsia="宋体" w:cs="宋体"/>
          <w:bCs/>
          <w:color w:val="auto"/>
          <w:sz w:val="24"/>
          <w:szCs w:val="20"/>
        </w:rPr>
        <w:t>）其他人员（</w:t>
      </w:r>
      <w:r>
        <w:rPr>
          <w:rFonts w:hint="eastAsia" w:ascii="宋体" w:hAnsi="宋体" w:eastAsia="宋体" w:cs="宋体"/>
          <w:bCs/>
          <w:color w:val="auto"/>
          <w:sz w:val="24"/>
          <w:szCs w:val="20"/>
          <w:lang w:val="en-US" w:eastAsia="zh-CN"/>
        </w:rPr>
        <w:t>3</w:t>
      </w:r>
      <w:r>
        <w:rPr>
          <w:rFonts w:hint="eastAsia" w:ascii="宋体" w:hAnsi="宋体" w:eastAsia="宋体" w:cs="宋体"/>
          <w:bCs/>
          <w:color w:val="auto"/>
          <w:sz w:val="24"/>
          <w:szCs w:val="20"/>
        </w:rPr>
        <w:t>分）：除上述</w:t>
      </w:r>
      <w:r>
        <w:rPr>
          <w:rFonts w:hint="eastAsia" w:ascii="宋体" w:hAnsi="宋体" w:eastAsia="宋体" w:cs="宋体"/>
          <w:bCs/>
          <w:color w:val="auto"/>
          <w:sz w:val="24"/>
          <w:szCs w:val="20"/>
          <w:lang w:val="en-US" w:eastAsia="zh-CN"/>
        </w:rPr>
        <w:t>人员</w:t>
      </w:r>
      <w:r>
        <w:rPr>
          <w:rFonts w:hint="eastAsia" w:ascii="宋体" w:hAnsi="宋体" w:eastAsia="宋体" w:cs="宋体"/>
          <w:bCs/>
          <w:color w:val="auto"/>
          <w:sz w:val="24"/>
          <w:szCs w:val="20"/>
        </w:rPr>
        <w:t>外，拟派本项目现场的服务人员中具有建（构）筑物消防员</w:t>
      </w:r>
      <w:r>
        <w:rPr>
          <w:rFonts w:hint="eastAsia" w:ascii="宋体" w:hAnsi="宋体" w:eastAsia="宋体" w:cs="宋体"/>
          <w:bCs/>
          <w:color w:val="auto"/>
          <w:sz w:val="24"/>
          <w:szCs w:val="20"/>
          <w:lang w:val="en-US" w:eastAsia="zh-CN"/>
        </w:rPr>
        <w:t>证</w:t>
      </w:r>
      <w:r>
        <w:rPr>
          <w:rFonts w:hint="eastAsia" w:ascii="宋体" w:hAnsi="宋体" w:eastAsia="宋体" w:cs="宋体"/>
          <w:bCs/>
          <w:color w:val="auto"/>
          <w:sz w:val="24"/>
          <w:szCs w:val="20"/>
        </w:rPr>
        <w:t>或消防设施操作员</w:t>
      </w:r>
      <w:r>
        <w:rPr>
          <w:rFonts w:hint="eastAsia" w:ascii="宋体" w:hAnsi="宋体" w:eastAsia="宋体" w:cs="宋体"/>
          <w:bCs/>
          <w:color w:val="auto"/>
          <w:sz w:val="24"/>
          <w:szCs w:val="20"/>
          <w:lang w:val="en-US" w:eastAsia="zh-CN"/>
        </w:rPr>
        <w:t>证的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w:t>
      </w:r>
      <w:r>
        <w:rPr>
          <w:rFonts w:hint="eastAsia" w:ascii="宋体" w:hAnsi="宋体" w:eastAsia="宋体" w:cs="宋体"/>
          <w:bCs/>
          <w:color w:val="auto"/>
          <w:sz w:val="24"/>
          <w:szCs w:val="20"/>
          <w:lang w:val="en-US" w:eastAsia="zh-CN"/>
        </w:rPr>
        <w:t>1</w:t>
      </w:r>
      <w:r>
        <w:rPr>
          <w:rFonts w:hint="eastAsia" w:ascii="宋体" w:hAnsi="宋体" w:eastAsia="宋体" w:cs="宋体"/>
          <w:bCs/>
          <w:color w:val="auto"/>
          <w:sz w:val="24"/>
          <w:szCs w:val="20"/>
        </w:rPr>
        <w:t>分</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lang w:val="en-US" w:eastAsia="zh-CN"/>
        </w:rPr>
        <w:t>具有</w:t>
      </w:r>
      <w:r>
        <w:rPr>
          <w:rFonts w:hint="eastAsia" w:ascii="宋体" w:hAnsi="宋体" w:eastAsia="宋体" w:cs="宋体"/>
          <w:bCs/>
          <w:color w:val="auto"/>
          <w:sz w:val="24"/>
          <w:szCs w:val="20"/>
        </w:rPr>
        <w:t>行政主管或人社部门颁发应急救援员职业资格证书</w:t>
      </w:r>
      <w:r>
        <w:rPr>
          <w:rFonts w:hint="eastAsia" w:ascii="宋体" w:hAnsi="宋体" w:eastAsia="宋体" w:cs="宋体"/>
          <w:bCs/>
          <w:color w:val="auto"/>
          <w:sz w:val="24"/>
          <w:szCs w:val="20"/>
          <w:lang w:val="en-US" w:eastAsia="zh-CN"/>
        </w:rPr>
        <w:t>的</w:t>
      </w:r>
      <w:r>
        <w:rPr>
          <w:rFonts w:hint="eastAsia" w:ascii="宋体" w:hAnsi="宋体" w:eastAsia="宋体" w:cs="宋体"/>
          <w:bCs/>
          <w:color w:val="auto"/>
          <w:sz w:val="24"/>
          <w:szCs w:val="20"/>
        </w:rPr>
        <w:t>，得1分；具有风景园林类中级</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lang w:val="en-US" w:eastAsia="zh-CN"/>
        </w:rPr>
        <w:t>含</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以上</w:t>
      </w:r>
      <w:r>
        <w:rPr>
          <w:rFonts w:hint="eastAsia" w:ascii="宋体" w:hAnsi="宋体" w:eastAsia="宋体" w:cs="宋体"/>
          <w:bCs/>
          <w:color w:val="auto"/>
          <w:sz w:val="24"/>
          <w:szCs w:val="20"/>
          <w:lang w:val="en-US" w:eastAsia="zh-CN"/>
        </w:rPr>
        <w:t>技术</w:t>
      </w:r>
      <w:r>
        <w:rPr>
          <w:rFonts w:hint="eastAsia" w:ascii="宋体" w:hAnsi="宋体" w:eastAsia="宋体" w:cs="宋体"/>
          <w:bCs/>
          <w:color w:val="auto"/>
          <w:sz w:val="24"/>
          <w:szCs w:val="20"/>
        </w:rPr>
        <w:t>职称的</w:t>
      </w:r>
      <w:r>
        <w:rPr>
          <w:rFonts w:hint="eastAsia" w:ascii="宋体" w:hAnsi="宋体" w:eastAsia="宋体" w:cs="宋体"/>
          <w:bCs/>
          <w:color w:val="auto"/>
          <w:sz w:val="24"/>
          <w:szCs w:val="20"/>
          <w:lang w:eastAsia="zh-CN"/>
        </w:rPr>
        <w:t>，</w:t>
      </w:r>
      <w:r>
        <w:rPr>
          <w:rFonts w:hint="eastAsia" w:ascii="宋体" w:hAnsi="宋体" w:eastAsia="宋体" w:cs="宋体"/>
          <w:bCs/>
          <w:color w:val="auto"/>
          <w:sz w:val="24"/>
          <w:szCs w:val="20"/>
        </w:rPr>
        <w:t>得</w:t>
      </w:r>
      <w:r>
        <w:rPr>
          <w:rFonts w:hint="eastAsia" w:ascii="宋体" w:hAnsi="宋体" w:eastAsia="宋体" w:cs="宋体"/>
          <w:bCs/>
          <w:color w:val="auto"/>
          <w:sz w:val="24"/>
          <w:szCs w:val="20"/>
          <w:lang w:val="en-US" w:eastAsia="zh-CN"/>
        </w:rPr>
        <w:t>1</w:t>
      </w:r>
      <w:r>
        <w:rPr>
          <w:rFonts w:hint="eastAsia" w:ascii="宋体" w:hAnsi="宋体" w:eastAsia="宋体" w:cs="宋体"/>
          <w:bCs/>
          <w:color w:val="auto"/>
          <w:sz w:val="24"/>
          <w:szCs w:val="20"/>
        </w:rPr>
        <w:t>分。本项</w:t>
      </w:r>
      <w:r>
        <w:rPr>
          <w:rFonts w:hint="eastAsia" w:ascii="宋体" w:hAnsi="宋体" w:eastAsia="宋体" w:cs="宋体"/>
          <w:bCs/>
          <w:color w:val="auto"/>
          <w:sz w:val="24"/>
          <w:szCs w:val="20"/>
          <w:lang w:val="en-US" w:eastAsia="zh-CN"/>
        </w:rPr>
        <w:t>最高得3</w:t>
      </w:r>
      <w:r>
        <w:rPr>
          <w:rFonts w:hint="eastAsia" w:ascii="宋体" w:hAnsi="宋体" w:eastAsia="宋体" w:cs="宋体"/>
          <w:bCs/>
          <w:color w:val="auto"/>
          <w:sz w:val="24"/>
          <w:szCs w:val="20"/>
        </w:rPr>
        <w:t>分</w:t>
      </w:r>
      <w:r>
        <w:rPr>
          <w:rFonts w:hint="eastAsia" w:ascii="宋体" w:hAnsi="宋体" w:eastAsia="宋体" w:cs="宋体"/>
          <w:b/>
          <w:bCs w:val="0"/>
          <w:color w:val="auto"/>
          <w:sz w:val="24"/>
          <w:szCs w:val="20"/>
        </w:rPr>
        <w:t>（</w:t>
      </w:r>
      <w:r>
        <w:rPr>
          <w:rFonts w:hint="eastAsia" w:ascii="宋体" w:hAnsi="宋体" w:eastAsia="宋体" w:cs="宋体"/>
          <w:b/>
          <w:bCs w:val="0"/>
          <w:color w:val="auto"/>
          <w:sz w:val="24"/>
          <w:szCs w:val="20"/>
          <w:lang w:val="en-US" w:eastAsia="zh-CN"/>
        </w:rPr>
        <w:t>以上人员一人一证，不重复得分。</w:t>
      </w:r>
      <w:r>
        <w:rPr>
          <w:rFonts w:hint="eastAsia" w:ascii="宋体" w:hAnsi="宋体" w:eastAsia="宋体" w:cs="宋体"/>
          <w:b/>
          <w:bCs w:val="0"/>
          <w:color w:val="auto"/>
          <w:sz w:val="24"/>
          <w:szCs w:val="20"/>
        </w:rPr>
        <w:t>投标文件中</w:t>
      </w:r>
      <w:r>
        <w:rPr>
          <w:rFonts w:hint="eastAsia" w:ascii="宋体" w:hAnsi="宋体" w:eastAsia="宋体" w:cs="宋体"/>
          <w:b/>
          <w:bCs w:val="0"/>
          <w:color w:val="auto"/>
          <w:sz w:val="24"/>
          <w:szCs w:val="20"/>
          <w:lang w:val="en-US" w:eastAsia="zh-CN"/>
        </w:rPr>
        <w:t>提供</w:t>
      </w:r>
      <w:r>
        <w:rPr>
          <w:rFonts w:hint="eastAsia" w:ascii="宋体" w:hAnsi="宋体" w:eastAsia="宋体" w:cs="宋体"/>
          <w:b/>
          <w:bCs w:val="0"/>
          <w:color w:val="auto"/>
          <w:sz w:val="24"/>
          <w:szCs w:val="20"/>
        </w:rPr>
        <w:t>相关证书的原件扫描件并加盖公章或签电子公章，不提供或提供不符合要求的不得分）。</w:t>
      </w:r>
    </w:p>
    <w:p w14:paraId="5A96B98E">
      <w:pPr>
        <w:tabs>
          <w:tab w:val="left" w:pos="945"/>
        </w:tabs>
        <w:adjustRightInd w:val="0"/>
        <w:snapToGrid w:val="0"/>
        <w:spacing w:line="360" w:lineRule="auto"/>
        <w:ind w:firstLine="482" w:firstLineChars="200"/>
        <w:outlineLvl w:val="0"/>
        <w:rPr>
          <w:rFonts w:hint="eastAsia" w:ascii="宋体" w:hAnsi="宋体" w:eastAsia="宋体" w:cs="宋体"/>
          <w:color w:val="auto"/>
          <w:sz w:val="24"/>
          <w:szCs w:val="20"/>
        </w:rPr>
      </w:pPr>
      <w:r>
        <w:rPr>
          <w:rFonts w:hint="eastAsia" w:ascii="宋体" w:hAnsi="宋体" w:eastAsia="宋体" w:cs="宋体"/>
          <w:b/>
          <w:bCs/>
          <w:color w:val="auto"/>
          <w:sz w:val="24"/>
          <w:szCs w:val="20"/>
        </w:rPr>
        <w:t>注：</w:t>
      </w:r>
      <w:r>
        <w:rPr>
          <w:rFonts w:hint="eastAsia" w:ascii="宋体" w:hAnsi="宋体" w:eastAsia="宋体" w:cs="宋体"/>
          <w:b/>
          <w:color w:val="auto"/>
          <w:sz w:val="24"/>
          <w:szCs w:val="20"/>
        </w:rPr>
        <w:t>【提供上述证书等相关证明材料原件扫描件上传至投标文件中并加盖</w:t>
      </w:r>
      <w:r>
        <w:rPr>
          <w:rFonts w:hint="eastAsia" w:ascii="宋体" w:hAnsi="宋体" w:eastAsia="宋体" w:cs="宋体"/>
          <w:b/>
          <w:color w:val="auto"/>
          <w:sz w:val="24"/>
          <w:szCs w:val="20"/>
          <w:lang w:eastAsia="zh-CN"/>
        </w:rPr>
        <w:t>投标供应商</w:t>
      </w:r>
      <w:r>
        <w:rPr>
          <w:rFonts w:hint="eastAsia" w:ascii="宋体" w:hAnsi="宋体" w:eastAsia="宋体" w:cs="宋体"/>
          <w:b/>
          <w:color w:val="auto"/>
          <w:sz w:val="24"/>
          <w:szCs w:val="20"/>
        </w:rPr>
        <w:t>电子公章；同时提供</w:t>
      </w:r>
      <w:r>
        <w:rPr>
          <w:rFonts w:hint="eastAsia" w:ascii="宋体" w:hAnsi="宋体" w:eastAsia="宋体" w:cs="宋体"/>
          <w:b/>
          <w:color w:val="auto"/>
          <w:sz w:val="24"/>
          <w:szCs w:val="20"/>
          <w:lang w:eastAsia="zh-CN"/>
        </w:rPr>
        <w:t>投标供应商</w:t>
      </w:r>
      <w:r>
        <w:rPr>
          <w:rFonts w:hint="eastAsia" w:ascii="宋体" w:hAnsi="宋体" w:eastAsia="宋体" w:cs="宋体"/>
          <w:b/>
          <w:color w:val="auto"/>
          <w:sz w:val="24"/>
          <w:szCs w:val="20"/>
        </w:rPr>
        <w:t>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w:t>
      </w:r>
      <w:r>
        <w:rPr>
          <w:rFonts w:hint="eastAsia" w:ascii="宋体" w:hAnsi="宋体" w:eastAsia="宋体" w:cs="宋体"/>
          <w:b/>
          <w:color w:val="auto"/>
          <w:sz w:val="24"/>
          <w:szCs w:val="20"/>
          <w:lang w:eastAsia="zh-CN"/>
        </w:rPr>
        <w:t>投标供应商</w:t>
      </w:r>
      <w:r>
        <w:rPr>
          <w:rFonts w:hint="eastAsia" w:ascii="宋体" w:hAnsi="宋体" w:eastAsia="宋体" w:cs="宋体"/>
          <w:b/>
          <w:color w:val="auto"/>
          <w:sz w:val="24"/>
          <w:szCs w:val="20"/>
        </w:rPr>
        <w:t>电子公章；不提供或提供不全的不得分】</w:t>
      </w:r>
    </w:p>
    <w:p w14:paraId="71C37C35">
      <w:pPr>
        <w:spacing w:line="360" w:lineRule="auto"/>
        <w:rPr>
          <w:rFonts w:hint="eastAsia" w:ascii="宋体" w:hAnsi="宋体" w:eastAsia="宋体" w:cs="宋体"/>
          <w:color w:val="auto"/>
          <w:sz w:val="24"/>
          <w:szCs w:val="20"/>
          <w:highlight w:val="yellow"/>
        </w:rPr>
      </w:pPr>
      <w:r>
        <w:rPr>
          <w:rFonts w:hint="eastAsia" w:ascii="宋体" w:hAnsi="宋体" w:eastAsia="宋体" w:cs="宋体"/>
          <w:b/>
          <w:bCs/>
          <w:color w:val="auto"/>
          <w:sz w:val="24"/>
          <w:szCs w:val="20"/>
        </w:rPr>
        <w:t>（三）服务方案（5</w:t>
      </w:r>
      <w:r>
        <w:rPr>
          <w:rFonts w:hint="eastAsia" w:ascii="宋体" w:hAnsi="宋体" w:eastAsia="宋体" w:cs="宋体"/>
          <w:b/>
          <w:bCs/>
          <w:color w:val="auto"/>
          <w:sz w:val="24"/>
          <w:szCs w:val="20"/>
          <w:lang w:val="en-US" w:eastAsia="zh-CN"/>
        </w:rPr>
        <w:t>0</w:t>
      </w:r>
      <w:r>
        <w:rPr>
          <w:rFonts w:hint="eastAsia" w:ascii="宋体" w:hAnsi="宋体" w:eastAsia="宋体" w:cs="宋体"/>
          <w:b/>
          <w:bCs/>
          <w:color w:val="auto"/>
          <w:sz w:val="24"/>
          <w:szCs w:val="20"/>
        </w:rPr>
        <w:t>分）</w:t>
      </w:r>
    </w:p>
    <w:p w14:paraId="40098ED4">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（1）物业管理服务的目标及整体设想</w:t>
      </w: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8分</w:t>
      </w:r>
      <w:r>
        <w:rPr>
          <w:rFonts w:hint="eastAsia" w:ascii="宋体" w:hAnsi="宋体" w:eastAsia="宋体" w:cs="宋体"/>
          <w:color w:val="auto"/>
          <w:sz w:val="24"/>
          <w:szCs w:val="20"/>
          <w:lang w:eastAsia="zh-CN"/>
        </w:rPr>
        <w:t>）</w:t>
      </w:r>
    </w:p>
    <w:p w14:paraId="1A8269FC">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①供应商对本项目的总体目标</w:t>
      </w:r>
    </w:p>
    <w:p w14:paraId="4E43778E">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②</w:t>
      </w:r>
      <w:r>
        <w:rPr>
          <w:rFonts w:hint="eastAsia" w:ascii="宋体" w:hAnsi="宋体" w:eastAsia="宋体" w:cs="宋体"/>
          <w:color w:val="auto"/>
          <w:sz w:val="24"/>
          <w:szCs w:val="20"/>
        </w:rPr>
        <w:t>物业服务管理定位</w:t>
      </w:r>
    </w:p>
    <w:p w14:paraId="0A3CFEC4">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投标供应商须针对上述①、②条评分内容分别进行阐述，阐述内容须满足采购需求。内容全面、不漏项且有翔实的针对性解释说明的，该项得8分；阐述内容基本全面，有针对性解释说明的，该项得6分；阐述内容较全面、1个内容中有遗漏，但有针对性解释说明的，该项得4分；有阐述内容，1个或2个内容有遗漏，无针对性解释说明或说明不清楚的，该项得2分。无阐述内容，针对评分内容没有解释说明的，该项得0分。</w:t>
      </w:r>
    </w:p>
    <w:p w14:paraId="451CDED5">
      <w:pPr>
        <w:numPr>
          <w:ilvl w:val="0"/>
          <w:numId w:val="4"/>
        </w:num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lang w:eastAsia="zh-CN"/>
        </w:rPr>
      </w:pPr>
      <w:r>
        <w:rPr>
          <w:rFonts w:hint="eastAsia" w:ascii="宋体" w:hAnsi="宋体" w:eastAsia="宋体" w:cs="宋体"/>
          <w:color w:val="auto"/>
          <w:sz w:val="24"/>
          <w:szCs w:val="20"/>
          <w:lang w:val="en-US" w:eastAsia="zh-CN"/>
        </w:rPr>
        <w:t>物业</w:t>
      </w:r>
      <w:r>
        <w:rPr>
          <w:rFonts w:hint="eastAsia" w:ascii="宋体" w:hAnsi="宋体" w:eastAsia="宋体" w:cs="宋体"/>
          <w:color w:val="auto"/>
          <w:sz w:val="24"/>
          <w:szCs w:val="20"/>
          <w:lang w:eastAsia="zh-CN"/>
        </w:rPr>
        <w:t>服务方案（9分）</w:t>
      </w:r>
    </w:p>
    <w:p w14:paraId="5C729274">
      <w:pPr>
        <w:numPr>
          <w:ilvl w:val="0"/>
          <w:numId w:val="0"/>
        </w:numPr>
        <w:tabs>
          <w:tab w:val="left" w:pos="525"/>
          <w:tab w:val="left" w:pos="945"/>
          <w:tab w:val="left" w:pos="1155"/>
          <w:tab w:val="left" w:pos="3300"/>
        </w:tabs>
        <w:spacing w:line="360" w:lineRule="auto"/>
        <w:ind w:firstLine="480" w:firstLineChars="200"/>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eastAsia="zh-CN"/>
        </w:rPr>
        <w:t>①保洁服务</w:t>
      </w:r>
      <w:r>
        <w:rPr>
          <w:rFonts w:hint="eastAsia" w:ascii="宋体" w:hAnsi="宋体" w:eastAsia="宋体" w:cs="宋体"/>
          <w:color w:val="auto"/>
          <w:sz w:val="24"/>
          <w:szCs w:val="20"/>
          <w:lang w:val="en-US" w:eastAsia="zh-CN"/>
        </w:rPr>
        <w:t>方案</w:t>
      </w:r>
    </w:p>
    <w:p w14:paraId="5F09743E">
      <w:pPr>
        <w:numPr>
          <w:ilvl w:val="0"/>
          <w:numId w:val="0"/>
        </w:numPr>
        <w:tabs>
          <w:tab w:val="left" w:pos="525"/>
          <w:tab w:val="left" w:pos="945"/>
          <w:tab w:val="left" w:pos="1155"/>
          <w:tab w:val="left" w:pos="3300"/>
        </w:tabs>
        <w:spacing w:line="360" w:lineRule="auto"/>
        <w:ind w:firstLine="480" w:firstLineChars="200"/>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②安保及秩序维护方案</w:t>
      </w:r>
    </w:p>
    <w:p w14:paraId="416F390C">
      <w:pPr>
        <w:numPr>
          <w:ilvl w:val="0"/>
          <w:numId w:val="0"/>
        </w:numPr>
        <w:tabs>
          <w:tab w:val="left" w:pos="525"/>
          <w:tab w:val="left" w:pos="945"/>
          <w:tab w:val="left" w:pos="1155"/>
          <w:tab w:val="left" w:pos="3300"/>
        </w:tabs>
        <w:spacing w:line="360" w:lineRule="auto"/>
        <w:ind w:firstLine="480" w:firstLineChars="200"/>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③设施设备管理方案</w:t>
      </w:r>
    </w:p>
    <w:p w14:paraId="5C686934">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p>
    <w:p w14:paraId="6C66169E">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3</w:t>
      </w:r>
      <w:r>
        <w:rPr>
          <w:rFonts w:hint="eastAsia" w:ascii="宋体" w:hAnsi="宋体" w:eastAsia="宋体" w:cs="宋体"/>
          <w:color w:val="auto"/>
          <w:sz w:val="24"/>
          <w:szCs w:val="20"/>
          <w:lang w:eastAsia="zh-CN"/>
        </w:rPr>
        <w:t>）岗前培训及阶段性培训管理（9分）</w:t>
      </w:r>
    </w:p>
    <w:p w14:paraId="4EF87C53">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①</w:t>
      </w:r>
      <w:r>
        <w:rPr>
          <w:rFonts w:hint="eastAsia" w:ascii="宋体" w:hAnsi="宋体" w:eastAsia="宋体" w:cs="宋体"/>
          <w:color w:val="auto"/>
          <w:sz w:val="24"/>
          <w:szCs w:val="20"/>
          <w:lang w:val="en-US" w:eastAsia="zh-CN"/>
        </w:rPr>
        <w:t>人员招聘管理</w:t>
      </w:r>
    </w:p>
    <w:p w14:paraId="0AD28B62">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②人员培训管理</w:t>
      </w:r>
    </w:p>
    <w:p w14:paraId="0010FFE0">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③日常考核、激励考核机制、监督机制</w:t>
      </w:r>
    </w:p>
    <w:p w14:paraId="4F6C5D5B">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p>
    <w:p w14:paraId="5A8EB835">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4</w:t>
      </w:r>
      <w:r>
        <w:rPr>
          <w:rFonts w:hint="eastAsia" w:ascii="宋体" w:hAnsi="宋体" w:eastAsia="宋体" w:cs="宋体"/>
          <w:color w:val="auto"/>
          <w:sz w:val="24"/>
          <w:szCs w:val="20"/>
          <w:lang w:eastAsia="zh-CN"/>
        </w:rPr>
        <w:t>）管理服务体系（</w:t>
      </w:r>
      <w:r>
        <w:rPr>
          <w:rFonts w:hint="eastAsia" w:ascii="宋体" w:hAnsi="宋体" w:eastAsia="宋体" w:cs="宋体"/>
          <w:color w:val="auto"/>
          <w:sz w:val="24"/>
          <w:szCs w:val="20"/>
          <w:lang w:val="en-US" w:eastAsia="zh-CN"/>
        </w:rPr>
        <w:t>8</w:t>
      </w:r>
      <w:r>
        <w:rPr>
          <w:rFonts w:hint="eastAsia" w:ascii="宋体" w:hAnsi="宋体" w:eastAsia="宋体" w:cs="宋体"/>
          <w:color w:val="auto"/>
          <w:sz w:val="24"/>
          <w:szCs w:val="20"/>
          <w:lang w:eastAsia="zh-CN"/>
        </w:rPr>
        <w:t>分）</w:t>
      </w:r>
    </w:p>
    <w:p w14:paraId="5F06A4F2">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①管理工作流程、重点、难点和措施</w:t>
      </w:r>
    </w:p>
    <w:p w14:paraId="3E58DC7B">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②日常考核、激励考核机制、监督机制</w:t>
      </w:r>
    </w:p>
    <w:p w14:paraId="3E4F7C85">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投标供应商须针对上述①、②条评分内容分别进行阐述，阐述内容须满足采购需求。内容全面、不漏项且有翔实的针对性解释说明的，该项得</w:t>
      </w:r>
      <w:r>
        <w:rPr>
          <w:rFonts w:hint="eastAsia" w:ascii="宋体" w:hAnsi="宋体" w:eastAsia="宋体" w:cs="宋体"/>
          <w:color w:val="auto"/>
          <w:sz w:val="24"/>
          <w:szCs w:val="20"/>
          <w:lang w:val="en-US" w:eastAsia="zh-CN"/>
        </w:rPr>
        <w:t>8</w:t>
      </w:r>
      <w:r>
        <w:rPr>
          <w:rFonts w:hint="eastAsia" w:ascii="宋体" w:hAnsi="宋体" w:eastAsia="宋体" w:cs="宋体"/>
          <w:color w:val="auto"/>
          <w:sz w:val="24"/>
          <w:szCs w:val="20"/>
        </w:rPr>
        <w:t>分；阐述内容基本全面，有针对性解释说明的，该项得6分；阐述内容较全面、1个内容中有遗漏，但有针对性解释说明的，该项得4分；有阐述内容，</w:t>
      </w:r>
      <w:r>
        <w:rPr>
          <w:rFonts w:hint="eastAsia" w:ascii="宋体" w:hAnsi="宋体" w:eastAsia="宋体" w:cs="宋体"/>
          <w:color w:val="auto"/>
          <w:sz w:val="24"/>
          <w:szCs w:val="20"/>
          <w:lang w:val="en-US" w:eastAsia="zh-CN"/>
        </w:rPr>
        <w:t>1</w:t>
      </w:r>
      <w:r>
        <w:rPr>
          <w:rFonts w:hint="eastAsia" w:ascii="宋体" w:hAnsi="宋体" w:eastAsia="宋体" w:cs="宋体"/>
          <w:color w:val="auto"/>
          <w:sz w:val="24"/>
          <w:szCs w:val="20"/>
        </w:rPr>
        <w:t>个或</w:t>
      </w:r>
      <w:r>
        <w:rPr>
          <w:rFonts w:hint="eastAsia" w:ascii="宋体" w:hAnsi="宋体" w:eastAsia="宋体" w:cs="宋体"/>
          <w:color w:val="auto"/>
          <w:sz w:val="24"/>
          <w:szCs w:val="20"/>
          <w:lang w:val="en-US" w:eastAsia="zh-CN"/>
        </w:rPr>
        <w:t>2</w:t>
      </w:r>
      <w:r>
        <w:rPr>
          <w:rFonts w:hint="eastAsia" w:ascii="宋体" w:hAnsi="宋体" w:eastAsia="宋体" w:cs="宋体"/>
          <w:color w:val="auto"/>
          <w:sz w:val="24"/>
          <w:szCs w:val="20"/>
        </w:rPr>
        <w:t>个内容有遗漏，无针对性解释说明或说明不清楚的，该项得2分。无阐述内容，针对评分内容没有解释说明的，该项得0分。</w:t>
      </w:r>
    </w:p>
    <w:p w14:paraId="6FBE6641">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w:t>
      </w:r>
      <w:r>
        <w:rPr>
          <w:rFonts w:hint="eastAsia" w:ascii="宋体" w:hAnsi="宋体" w:eastAsia="宋体" w:cs="宋体"/>
          <w:color w:val="auto"/>
          <w:sz w:val="24"/>
          <w:szCs w:val="20"/>
          <w:lang w:val="en-US" w:eastAsia="zh-CN"/>
        </w:rPr>
        <w:t>5</w:t>
      </w:r>
      <w:r>
        <w:rPr>
          <w:rFonts w:hint="eastAsia" w:ascii="宋体" w:hAnsi="宋体" w:eastAsia="宋体" w:cs="宋体"/>
          <w:color w:val="auto"/>
          <w:sz w:val="24"/>
          <w:szCs w:val="20"/>
        </w:rPr>
        <w:t>）配备的工具、耗材等方面配置方案（</w:t>
      </w:r>
      <w:r>
        <w:rPr>
          <w:rFonts w:hint="eastAsia" w:ascii="宋体" w:hAnsi="宋体" w:eastAsia="宋体" w:cs="宋体"/>
          <w:color w:val="auto"/>
          <w:sz w:val="24"/>
          <w:szCs w:val="20"/>
          <w:lang w:val="en-US" w:eastAsia="zh-CN"/>
        </w:rPr>
        <w:t>6</w:t>
      </w:r>
      <w:r>
        <w:rPr>
          <w:rFonts w:hint="eastAsia" w:ascii="宋体" w:hAnsi="宋体" w:eastAsia="宋体" w:cs="宋体"/>
          <w:color w:val="auto"/>
          <w:sz w:val="24"/>
          <w:szCs w:val="20"/>
        </w:rPr>
        <w:t>分）</w:t>
      </w:r>
    </w:p>
    <w:p w14:paraId="61401AAE">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①物资装备配备</w:t>
      </w:r>
    </w:p>
    <w:p w14:paraId="03210BDA">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②日常维护保养措施方案</w:t>
      </w:r>
    </w:p>
    <w:p w14:paraId="1181EC14">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投标供应商须针对上述①、②条评分内容分别进行阐述，阐述内容须满足采购需求。内容全面、不漏项且有翔实的针对性解释说明的，该项得</w:t>
      </w:r>
      <w:r>
        <w:rPr>
          <w:rFonts w:hint="eastAsia" w:ascii="宋体" w:hAnsi="宋体" w:eastAsia="宋体" w:cs="宋体"/>
          <w:color w:val="auto"/>
          <w:sz w:val="24"/>
          <w:szCs w:val="20"/>
          <w:lang w:val="en-US" w:eastAsia="zh-CN"/>
        </w:rPr>
        <w:t>6</w:t>
      </w:r>
      <w:r>
        <w:rPr>
          <w:rFonts w:hint="eastAsia" w:ascii="宋体" w:hAnsi="宋体" w:eastAsia="宋体" w:cs="宋体"/>
          <w:color w:val="auto"/>
          <w:sz w:val="24"/>
          <w:szCs w:val="20"/>
        </w:rPr>
        <w:t>分；阐述内容基本全面，有针对性解释说明的，该项得</w:t>
      </w:r>
      <w:r>
        <w:rPr>
          <w:rFonts w:hint="eastAsia" w:ascii="宋体" w:hAnsi="宋体" w:eastAsia="宋体" w:cs="宋体"/>
          <w:color w:val="auto"/>
          <w:sz w:val="24"/>
          <w:szCs w:val="20"/>
          <w:lang w:val="en-US" w:eastAsia="zh-CN"/>
        </w:rPr>
        <w:t>4</w:t>
      </w:r>
      <w:r>
        <w:rPr>
          <w:rFonts w:hint="eastAsia" w:ascii="宋体" w:hAnsi="宋体" w:eastAsia="宋体" w:cs="宋体"/>
          <w:color w:val="auto"/>
          <w:sz w:val="24"/>
          <w:szCs w:val="20"/>
        </w:rPr>
        <w:t>分；阐述内容较全面、1个内容中有遗漏，但有针对性解释说明的，该项得</w:t>
      </w:r>
      <w:r>
        <w:rPr>
          <w:rFonts w:hint="eastAsia" w:ascii="宋体" w:hAnsi="宋体" w:eastAsia="宋体" w:cs="宋体"/>
          <w:color w:val="auto"/>
          <w:sz w:val="24"/>
          <w:szCs w:val="20"/>
          <w:lang w:val="en-US" w:eastAsia="zh-CN"/>
        </w:rPr>
        <w:t>2</w:t>
      </w:r>
      <w:r>
        <w:rPr>
          <w:rFonts w:hint="eastAsia" w:ascii="宋体" w:hAnsi="宋体" w:eastAsia="宋体" w:cs="宋体"/>
          <w:color w:val="auto"/>
          <w:sz w:val="24"/>
          <w:szCs w:val="20"/>
        </w:rPr>
        <w:t>分；有阐述内容，1个或2个内容有遗漏，无针对性解释说明或说明不清楚的，该项得</w:t>
      </w:r>
      <w:r>
        <w:rPr>
          <w:rFonts w:hint="eastAsia" w:ascii="宋体" w:hAnsi="宋体" w:eastAsia="宋体" w:cs="宋体"/>
          <w:color w:val="auto"/>
          <w:sz w:val="24"/>
          <w:szCs w:val="20"/>
          <w:lang w:val="en-US" w:eastAsia="zh-CN"/>
        </w:rPr>
        <w:t>1</w:t>
      </w:r>
      <w:r>
        <w:rPr>
          <w:rFonts w:hint="eastAsia" w:ascii="宋体" w:hAnsi="宋体" w:eastAsia="宋体" w:cs="宋体"/>
          <w:color w:val="auto"/>
          <w:sz w:val="24"/>
          <w:szCs w:val="20"/>
        </w:rPr>
        <w:t>分。无阐述内容，针对评分内容没有解释说明的，该项得0分。</w:t>
      </w:r>
    </w:p>
    <w:p w14:paraId="72D8EC2C">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6</w:t>
      </w:r>
      <w:r>
        <w:rPr>
          <w:rFonts w:hint="eastAsia" w:ascii="宋体" w:hAnsi="宋体" w:eastAsia="宋体" w:cs="宋体"/>
          <w:color w:val="auto"/>
          <w:sz w:val="24"/>
          <w:szCs w:val="20"/>
          <w:lang w:eastAsia="zh-CN"/>
        </w:rPr>
        <w:t>）突发事件的应急处理方案（</w:t>
      </w:r>
      <w:r>
        <w:rPr>
          <w:rFonts w:hint="eastAsia" w:ascii="宋体" w:hAnsi="宋体" w:eastAsia="宋体" w:cs="宋体"/>
          <w:color w:val="auto"/>
          <w:sz w:val="24"/>
          <w:szCs w:val="20"/>
          <w:lang w:val="en-US" w:eastAsia="zh-CN"/>
        </w:rPr>
        <w:t>6</w:t>
      </w:r>
      <w:r>
        <w:rPr>
          <w:rFonts w:hint="eastAsia" w:ascii="宋体" w:hAnsi="宋体" w:eastAsia="宋体" w:cs="宋体"/>
          <w:color w:val="auto"/>
          <w:sz w:val="24"/>
          <w:szCs w:val="20"/>
          <w:lang w:eastAsia="zh-CN"/>
        </w:rPr>
        <w:t>分）</w:t>
      </w:r>
    </w:p>
    <w:p w14:paraId="278EA358">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①应急预案处理整体方案</w:t>
      </w:r>
    </w:p>
    <w:p w14:paraId="468E9877">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②意外事故应急预案</w:t>
      </w:r>
    </w:p>
    <w:p w14:paraId="2DCAF3C7">
      <w:pPr>
        <w:tabs>
          <w:tab w:val="left" w:pos="525"/>
          <w:tab w:val="left" w:pos="945"/>
          <w:tab w:val="left" w:pos="1155"/>
          <w:tab w:val="left" w:pos="3300"/>
        </w:tabs>
        <w:spacing w:line="360" w:lineRule="auto"/>
        <w:ind w:firstLine="480" w:firstLineChars="200"/>
        <w:rPr>
          <w:rFonts w:hint="default"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③自然灾害应急预案</w:t>
      </w:r>
    </w:p>
    <w:p w14:paraId="5EAA2584">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投标供应商须针对上述①、②、③条评分内容分别进行阐述，阐述内容须满足采购需求。内容全面、不漏项且有翔实的针对性解释说明的，该项得</w:t>
      </w:r>
      <w:r>
        <w:rPr>
          <w:rFonts w:hint="eastAsia" w:ascii="宋体" w:hAnsi="宋体" w:eastAsia="宋体" w:cs="宋体"/>
          <w:color w:val="auto"/>
          <w:sz w:val="24"/>
          <w:szCs w:val="20"/>
          <w:lang w:val="en-US" w:eastAsia="zh-CN"/>
        </w:rPr>
        <w:t>6</w:t>
      </w:r>
      <w:r>
        <w:rPr>
          <w:rFonts w:hint="eastAsia" w:ascii="宋体" w:hAnsi="宋体" w:eastAsia="宋体" w:cs="宋体"/>
          <w:color w:val="auto"/>
          <w:sz w:val="24"/>
          <w:szCs w:val="20"/>
          <w:lang w:eastAsia="zh-CN"/>
        </w:rPr>
        <w:t>分；阐述内容基本全面，有针对性解释说明的，该项得</w:t>
      </w:r>
      <w:r>
        <w:rPr>
          <w:rFonts w:hint="eastAsia" w:ascii="宋体" w:hAnsi="宋体" w:eastAsia="宋体" w:cs="宋体"/>
          <w:color w:val="auto"/>
          <w:sz w:val="24"/>
          <w:szCs w:val="20"/>
          <w:lang w:val="en-US" w:eastAsia="zh-CN"/>
        </w:rPr>
        <w:t>4</w:t>
      </w:r>
      <w:r>
        <w:rPr>
          <w:rFonts w:hint="eastAsia" w:ascii="宋体" w:hAnsi="宋体" w:eastAsia="宋体" w:cs="宋体"/>
          <w:color w:val="auto"/>
          <w:sz w:val="24"/>
          <w:szCs w:val="20"/>
          <w:lang w:eastAsia="zh-CN"/>
        </w:rPr>
        <w:t>分；阐述内容较全面、1个内容中有遗漏，但有针对性解释说明的，该项得</w:t>
      </w:r>
      <w:r>
        <w:rPr>
          <w:rFonts w:hint="eastAsia" w:ascii="宋体" w:hAnsi="宋体" w:eastAsia="宋体" w:cs="宋体"/>
          <w:color w:val="auto"/>
          <w:sz w:val="24"/>
          <w:szCs w:val="20"/>
          <w:lang w:val="en-US" w:eastAsia="zh-CN"/>
        </w:rPr>
        <w:t>2</w:t>
      </w:r>
      <w:r>
        <w:rPr>
          <w:rFonts w:hint="eastAsia" w:ascii="宋体" w:hAnsi="宋体" w:eastAsia="宋体" w:cs="宋体"/>
          <w:color w:val="auto"/>
          <w:sz w:val="24"/>
          <w:szCs w:val="20"/>
          <w:lang w:eastAsia="zh-CN"/>
        </w:rPr>
        <w:t>分；有阐述内容，2个或3个内容有遗漏，无针对性解释说明或说明不清楚的，该项得</w:t>
      </w:r>
      <w:r>
        <w:rPr>
          <w:rFonts w:hint="eastAsia" w:ascii="宋体" w:hAnsi="宋体" w:eastAsia="宋体" w:cs="宋体"/>
          <w:color w:val="auto"/>
          <w:sz w:val="24"/>
          <w:szCs w:val="20"/>
          <w:lang w:val="en-US" w:eastAsia="zh-CN"/>
        </w:rPr>
        <w:t>1</w:t>
      </w:r>
      <w:r>
        <w:rPr>
          <w:rFonts w:hint="eastAsia" w:ascii="宋体" w:hAnsi="宋体" w:eastAsia="宋体" w:cs="宋体"/>
          <w:color w:val="auto"/>
          <w:sz w:val="24"/>
          <w:szCs w:val="20"/>
          <w:lang w:eastAsia="zh-CN"/>
        </w:rPr>
        <w:t>分。无阐述内容，针对评分内容没有解释说明的，该项得0分。</w:t>
      </w:r>
    </w:p>
    <w:p w14:paraId="318A6980">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w:t>
      </w:r>
      <w:r>
        <w:rPr>
          <w:rFonts w:hint="eastAsia" w:ascii="宋体" w:hAnsi="宋体" w:eastAsia="宋体" w:cs="宋体"/>
          <w:color w:val="auto"/>
          <w:sz w:val="24"/>
          <w:szCs w:val="20"/>
          <w:lang w:val="en-US" w:eastAsia="zh-CN"/>
        </w:rPr>
        <w:t>7</w:t>
      </w:r>
      <w:r>
        <w:rPr>
          <w:rFonts w:hint="eastAsia" w:ascii="宋体" w:hAnsi="宋体" w:eastAsia="宋体" w:cs="宋体"/>
          <w:color w:val="auto"/>
          <w:sz w:val="24"/>
          <w:szCs w:val="20"/>
          <w:lang w:eastAsia="zh-CN"/>
        </w:rPr>
        <w:t>）档案管理服务方案（</w:t>
      </w:r>
      <w:r>
        <w:rPr>
          <w:rFonts w:hint="eastAsia" w:ascii="宋体" w:hAnsi="宋体" w:eastAsia="宋体" w:cs="宋体"/>
          <w:color w:val="auto"/>
          <w:sz w:val="24"/>
          <w:szCs w:val="20"/>
          <w:lang w:val="en-US" w:eastAsia="zh-CN"/>
        </w:rPr>
        <w:t>4</w:t>
      </w:r>
      <w:r>
        <w:rPr>
          <w:rFonts w:hint="eastAsia" w:ascii="宋体" w:hAnsi="宋体" w:eastAsia="宋体" w:cs="宋体"/>
          <w:color w:val="auto"/>
          <w:sz w:val="24"/>
          <w:szCs w:val="20"/>
          <w:lang w:eastAsia="zh-CN"/>
        </w:rPr>
        <w:t>分）</w:t>
      </w:r>
    </w:p>
    <w:p w14:paraId="26075714">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①档案资料的收集、建立</w:t>
      </w:r>
    </w:p>
    <w:p w14:paraId="4EF7BA99">
      <w:pPr>
        <w:tabs>
          <w:tab w:val="left" w:pos="525"/>
          <w:tab w:val="left" w:pos="945"/>
          <w:tab w:val="left" w:pos="1155"/>
          <w:tab w:val="left" w:pos="3300"/>
        </w:tabs>
        <w:spacing w:line="360" w:lineRule="auto"/>
        <w:ind w:firstLine="480" w:firstLineChars="200"/>
        <w:rPr>
          <w:rFonts w:hint="eastAsia" w:ascii="宋体" w:hAnsi="宋体" w:eastAsia="宋体" w:cs="宋体"/>
          <w:color w:val="auto"/>
          <w:sz w:val="24"/>
          <w:szCs w:val="20"/>
        </w:rPr>
      </w:pPr>
      <w:r>
        <w:rPr>
          <w:rFonts w:hint="eastAsia" w:ascii="宋体" w:hAnsi="宋体" w:eastAsia="宋体" w:cs="宋体"/>
          <w:color w:val="auto"/>
          <w:sz w:val="24"/>
          <w:szCs w:val="20"/>
        </w:rPr>
        <w:t>②档案资料的管理、运用</w:t>
      </w:r>
    </w:p>
    <w:p w14:paraId="1054D3A9">
      <w:pPr>
        <w:tabs>
          <w:tab w:val="left" w:pos="525"/>
          <w:tab w:val="left" w:pos="945"/>
          <w:tab w:val="left" w:pos="1155"/>
          <w:tab w:val="left" w:pos="3300"/>
        </w:tabs>
        <w:spacing w:line="360" w:lineRule="auto"/>
        <w:ind w:firstLine="480" w:firstLineChars="200"/>
        <w:rPr>
          <w:rFonts w:hint="eastAsia" w:ascii="宋体" w:hAnsi="宋体" w:cs="宋体"/>
          <w:color w:val="auto"/>
          <w:sz w:val="24"/>
        </w:rPr>
      </w:pPr>
      <w:r>
        <w:rPr>
          <w:rFonts w:hint="eastAsia" w:ascii="宋体" w:hAnsi="宋体" w:eastAsia="宋体" w:cs="宋体"/>
          <w:color w:val="auto"/>
          <w:sz w:val="24"/>
          <w:szCs w:val="20"/>
        </w:rPr>
        <w:t>投标供应商须针对上述①、②条评分内容分别进行阐述，阐述内容须满足采购需求。内容全面、不漏项且有翔实的针对性解释说明的，该项得</w:t>
      </w:r>
      <w:r>
        <w:rPr>
          <w:rFonts w:hint="eastAsia" w:ascii="宋体" w:hAnsi="宋体" w:eastAsia="宋体" w:cs="宋体"/>
          <w:color w:val="auto"/>
          <w:sz w:val="24"/>
          <w:szCs w:val="20"/>
          <w:lang w:val="en-US" w:eastAsia="zh-CN"/>
        </w:rPr>
        <w:t>4</w:t>
      </w:r>
      <w:r>
        <w:rPr>
          <w:rFonts w:hint="eastAsia" w:ascii="宋体" w:hAnsi="宋体" w:eastAsia="宋体" w:cs="宋体"/>
          <w:color w:val="auto"/>
          <w:sz w:val="24"/>
          <w:szCs w:val="20"/>
        </w:rPr>
        <w:t>分；阐述内容基本全面，有针对性解释说明的，该项得</w:t>
      </w:r>
      <w:r>
        <w:rPr>
          <w:rFonts w:hint="eastAsia" w:ascii="宋体" w:hAnsi="宋体" w:eastAsia="宋体" w:cs="宋体"/>
          <w:color w:val="auto"/>
          <w:sz w:val="24"/>
          <w:szCs w:val="20"/>
          <w:lang w:val="en-US" w:eastAsia="zh-CN"/>
        </w:rPr>
        <w:t>3</w:t>
      </w:r>
      <w:r>
        <w:rPr>
          <w:rFonts w:hint="eastAsia" w:ascii="宋体" w:hAnsi="宋体" w:eastAsia="宋体" w:cs="宋体"/>
          <w:color w:val="auto"/>
          <w:sz w:val="24"/>
          <w:szCs w:val="20"/>
        </w:rPr>
        <w:t>分；阐述内容较全面、1个内容中有遗漏，但有针对性解释说明的，该项得2分；有阐述内容，1个或2个内容有遗漏，无针对性解释说明或说明不清楚的，该项得1分。无阐述内容，针对评分内容没有解释说明的，该项得0分。</w:t>
      </w:r>
    </w:p>
    <w:p w14:paraId="56674819">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p w14:paraId="5A3F5BBE">
      <w:pPr>
        <w:numPr>
          <w:ilvl w:val="0"/>
          <w:numId w:val="5"/>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2"/>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2"/>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7"/>
                <w:rFonts w:hint="eastAsia" w:ascii="宋体" w:hAnsi="宋体" w:cs="宋体"/>
                <w:color w:val="auto"/>
                <w:sz w:val="24"/>
                <w:highlight w:val="none"/>
              </w:rPr>
              <w:t>。</w:t>
            </w:r>
          </w:p>
        </w:tc>
        <w:tc>
          <w:tcPr>
            <w:tcW w:w="2449" w:type="dxa"/>
            <w:vMerge w:val="continue"/>
            <w:vAlign w:val="center"/>
          </w:tcPr>
          <w:p w14:paraId="7CAF973B">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2"/>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2"/>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2"/>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4EBE7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D06E8FF">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6</w:t>
            </w:r>
          </w:p>
        </w:tc>
        <w:tc>
          <w:tcPr>
            <w:tcW w:w="6095" w:type="dxa"/>
            <w:vAlign w:val="center"/>
          </w:tcPr>
          <w:p w14:paraId="141C0088">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eastAsia="宋体"/>
                <w:color w:val="auto"/>
                <w:highlight w:val="none"/>
                <w:lang w:eastAsia="zh-CN"/>
              </w:rPr>
            </w:pPr>
            <w:r>
              <w:rPr>
                <w:rFonts w:hint="eastAsia" w:ascii="宋体" w:hAnsi="宋体"/>
                <w:color w:val="auto"/>
                <w:highlight w:val="none"/>
                <w:lang w:eastAsia="zh-CN"/>
              </w:rPr>
              <w:t>人员配置表（给定格式）</w:t>
            </w:r>
          </w:p>
        </w:tc>
        <w:tc>
          <w:tcPr>
            <w:tcW w:w="1979" w:type="dxa"/>
            <w:vMerge w:val="continue"/>
            <w:vAlign w:val="center"/>
          </w:tcPr>
          <w:p w14:paraId="41FF5972">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33CEF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66DCF71">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val="en-US" w:eastAsia="zh-CN"/>
              </w:rPr>
            </w:pPr>
            <w:r>
              <w:rPr>
                <w:rFonts w:hint="eastAsia" w:ascii="宋体" w:hAnsi="宋体"/>
                <w:color w:val="auto"/>
                <w:highlight w:val="none"/>
                <w:lang w:val="en-US" w:eastAsia="zh-CN"/>
              </w:rPr>
              <w:t>7</w:t>
            </w:r>
          </w:p>
        </w:tc>
        <w:tc>
          <w:tcPr>
            <w:tcW w:w="6095" w:type="dxa"/>
            <w:vAlign w:val="center"/>
          </w:tcPr>
          <w:p w14:paraId="2C1AC63F">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lang w:eastAsia="zh-CN"/>
              </w:rPr>
            </w:pPr>
            <w:r>
              <w:rPr>
                <w:rFonts w:hint="eastAsia" w:ascii="宋体" w:hAnsi="宋体" w:eastAsia="宋体" w:cs="宋体"/>
                <w:b w:val="0"/>
                <w:bCs w:val="0"/>
                <w:color w:val="auto"/>
                <w:sz w:val="21"/>
                <w:szCs w:val="21"/>
                <w:highlight w:val="none"/>
              </w:rPr>
              <w:t>投标时提供</w:t>
            </w:r>
            <w:r>
              <w:rPr>
                <w:rFonts w:hint="eastAsia" w:ascii="宋体" w:hAnsi="宋体" w:eastAsia="宋体" w:cs="宋体"/>
                <w:b w:val="0"/>
                <w:bCs w:val="0"/>
                <w:color w:val="auto"/>
                <w:sz w:val="21"/>
                <w:szCs w:val="21"/>
                <w:highlight w:val="none"/>
                <w:lang w:eastAsia="zh-CN"/>
              </w:rPr>
              <w:t>项目负责人</w:t>
            </w:r>
            <w:r>
              <w:rPr>
                <w:rFonts w:hint="eastAsia" w:ascii="宋体" w:hAnsi="宋体" w:eastAsia="宋体" w:cs="宋体"/>
                <w:b w:val="0"/>
                <w:bCs w:val="0"/>
                <w:color w:val="auto"/>
                <w:sz w:val="21"/>
                <w:szCs w:val="21"/>
                <w:highlight w:val="none"/>
              </w:rPr>
              <w:t>由区级及以上社保部门出具的近三个月中任意一个月份不含投标当月缴纳社保的证明</w:t>
            </w:r>
          </w:p>
        </w:tc>
        <w:tc>
          <w:tcPr>
            <w:tcW w:w="1979" w:type="dxa"/>
            <w:vMerge w:val="continue"/>
            <w:vAlign w:val="center"/>
          </w:tcPr>
          <w:p w14:paraId="3B4DA17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8</w:t>
            </w:r>
          </w:p>
        </w:tc>
        <w:tc>
          <w:tcPr>
            <w:tcW w:w="6095" w:type="dxa"/>
            <w:vAlign w:val="center"/>
          </w:tcPr>
          <w:p w14:paraId="24958521">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9</w:t>
            </w:r>
          </w:p>
        </w:tc>
        <w:tc>
          <w:tcPr>
            <w:tcW w:w="6095" w:type="dxa"/>
            <w:vAlign w:val="center"/>
          </w:tcPr>
          <w:p w14:paraId="6A3618C7">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2"/>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2"/>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JSZC-320206-JZCG-G2025-0045</w:t>
      </w:r>
    </w:p>
    <w:p w14:paraId="6F471DE9">
      <w:pPr>
        <w:ind w:firstLine="1200" w:firstLineChars="4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阳山镇桃盛苑二期物业管理服务采购项目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3"/>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JSZC-320206-JZCG-G2025-0045</w:t>
      </w:r>
      <w:r>
        <w:rPr>
          <w:rFonts w:hint="eastAsia" w:ascii="宋体" w:hAnsi="宋体"/>
          <w:bCs/>
          <w:color w:val="auto"/>
          <w:sz w:val="24"/>
          <w:szCs w:val="24"/>
          <w:highlight w:val="none"/>
        </w:rPr>
        <w:t>项目，兹授权：</w:t>
      </w:r>
    </w:p>
    <w:p w14:paraId="631CE529">
      <w:pPr>
        <w:pStyle w:val="373"/>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3"/>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3"/>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3"/>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3"/>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3"/>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3"/>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3"/>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3"/>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3"/>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3"/>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3"/>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7" w:name="报价方关于资格的声明函（格式）"/>
      <w:bookmarkEnd w:id="137"/>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JSZC-320206-JZCG-G2025-0045</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JSZC-320206-JZCG-G2025-0045</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4"/>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JSZC-320206-JZCG-G2025-0045</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JSZC-320206-JZCG-G2025-0045</w:t>
      </w:r>
    </w:p>
    <w:tbl>
      <w:tblPr>
        <w:tblStyle w:val="34"/>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5"/>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阳山镇桃盛苑二期物业管理服务采购项目</w:t>
            </w:r>
          </w:p>
        </w:tc>
        <w:tc>
          <w:tcPr>
            <w:tcW w:w="4229" w:type="dxa"/>
            <w:vAlign w:val="center"/>
          </w:tcPr>
          <w:p w14:paraId="311E87DB">
            <w:pPr>
              <w:pStyle w:val="325"/>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8"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JSZC-320206-JZCG-G2025-0045</w:t>
      </w:r>
    </w:p>
    <w:tbl>
      <w:tblPr>
        <w:tblStyle w:val="34"/>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1</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4"/>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3"/>
        <w:gridCol w:w="2184"/>
        <w:gridCol w:w="651"/>
        <w:gridCol w:w="1559"/>
        <w:gridCol w:w="1134"/>
        <w:gridCol w:w="1510"/>
        <w:gridCol w:w="1590"/>
      </w:tblGrid>
      <w:tr w14:paraId="3A902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79794487">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2184" w:type="dxa"/>
            <w:noWrap w:val="0"/>
            <w:vAlign w:val="center"/>
          </w:tcPr>
          <w:p w14:paraId="531FC04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项目名称</w:t>
            </w:r>
          </w:p>
        </w:tc>
        <w:tc>
          <w:tcPr>
            <w:tcW w:w="651" w:type="dxa"/>
            <w:noWrap w:val="0"/>
            <w:vAlign w:val="center"/>
          </w:tcPr>
          <w:p w14:paraId="24E63E5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人数</w:t>
            </w:r>
          </w:p>
          <w:p w14:paraId="2B497ECC">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配置</w:t>
            </w:r>
          </w:p>
        </w:tc>
        <w:tc>
          <w:tcPr>
            <w:tcW w:w="1559" w:type="dxa"/>
            <w:noWrap w:val="0"/>
            <w:vAlign w:val="center"/>
          </w:tcPr>
          <w:p w14:paraId="3C19D878">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人员费用标准</w:t>
            </w:r>
          </w:p>
          <w:p w14:paraId="638DDA1D">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134" w:type="dxa"/>
            <w:noWrap w:val="0"/>
            <w:vAlign w:val="center"/>
          </w:tcPr>
          <w:p w14:paraId="334DB0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442A0F0B">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（元/月）</w:t>
            </w:r>
          </w:p>
        </w:tc>
        <w:tc>
          <w:tcPr>
            <w:tcW w:w="1510" w:type="dxa"/>
            <w:noWrap w:val="0"/>
            <w:vAlign w:val="center"/>
          </w:tcPr>
          <w:p w14:paraId="2B8504C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合计费用</w:t>
            </w:r>
          </w:p>
          <w:p w14:paraId="18735BB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（元/十个月）</w:t>
            </w:r>
          </w:p>
        </w:tc>
        <w:tc>
          <w:tcPr>
            <w:tcW w:w="1590" w:type="dxa"/>
            <w:noWrap w:val="0"/>
            <w:vAlign w:val="center"/>
          </w:tcPr>
          <w:p w14:paraId="33DD0E02">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备注</w:t>
            </w:r>
          </w:p>
        </w:tc>
      </w:tr>
      <w:tr w14:paraId="54DD9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289E4155">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1</w:t>
            </w:r>
          </w:p>
        </w:tc>
        <w:tc>
          <w:tcPr>
            <w:tcW w:w="2184" w:type="dxa"/>
            <w:noWrap w:val="0"/>
            <w:vAlign w:val="center"/>
          </w:tcPr>
          <w:p w14:paraId="37274781">
            <w:pPr>
              <w:rPr>
                <w:rFonts w:hint="eastAsia" w:ascii="宋体" w:hAnsi="宋体" w:eastAsia="宋体" w:cs="宋体"/>
                <w:b/>
                <w:color w:val="auto"/>
                <w:sz w:val="21"/>
                <w:szCs w:val="21"/>
              </w:rPr>
            </w:pPr>
            <w:r>
              <w:rPr>
                <w:rFonts w:hint="eastAsia" w:ascii="宋体" w:hAnsi="宋体" w:eastAsia="宋体" w:cs="宋体"/>
                <w:b/>
                <w:color w:val="auto"/>
                <w:sz w:val="21"/>
                <w:szCs w:val="21"/>
              </w:rPr>
              <w:t>员工工资及福利</w:t>
            </w:r>
          </w:p>
        </w:tc>
        <w:tc>
          <w:tcPr>
            <w:tcW w:w="651" w:type="dxa"/>
            <w:noWrap w:val="0"/>
            <w:vAlign w:val="center"/>
          </w:tcPr>
          <w:p w14:paraId="1E84500D">
            <w:pPr>
              <w:jc w:val="center"/>
              <w:rPr>
                <w:rFonts w:hint="eastAsia" w:ascii="宋体" w:hAnsi="宋体" w:eastAsia="宋体" w:cs="宋体"/>
                <w:color w:val="auto"/>
                <w:sz w:val="21"/>
                <w:szCs w:val="21"/>
              </w:rPr>
            </w:pPr>
          </w:p>
        </w:tc>
        <w:tc>
          <w:tcPr>
            <w:tcW w:w="1559" w:type="dxa"/>
            <w:noWrap w:val="0"/>
            <w:vAlign w:val="center"/>
          </w:tcPr>
          <w:p w14:paraId="6AC4BF26">
            <w:pPr>
              <w:jc w:val="center"/>
              <w:rPr>
                <w:rFonts w:hint="eastAsia" w:ascii="宋体" w:hAnsi="宋体" w:eastAsia="宋体" w:cs="宋体"/>
                <w:color w:val="auto"/>
                <w:sz w:val="21"/>
                <w:szCs w:val="21"/>
              </w:rPr>
            </w:pPr>
          </w:p>
        </w:tc>
        <w:tc>
          <w:tcPr>
            <w:tcW w:w="1134" w:type="dxa"/>
            <w:noWrap w:val="0"/>
            <w:vAlign w:val="center"/>
          </w:tcPr>
          <w:p w14:paraId="7E5BA08F">
            <w:pPr>
              <w:jc w:val="center"/>
              <w:rPr>
                <w:rFonts w:hint="eastAsia" w:ascii="宋体" w:hAnsi="宋体" w:eastAsia="宋体" w:cs="宋体"/>
                <w:color w:val="auto"/>
                <w:sz w:val="21"/>
                <w:szCs w:val="21"/>
              </w:rPr>
            </w:pPr>
          </w:p>
        </w:tc>
        <w:tc>
          <w:tcPr>
            <w:tcW w:w="1510" w:type="dxa"/>
            <w:noWrap w:val="0"/>
            <w:vAlign w:val="center"/>
          </w:tcPr>
          <w:p w14:paraId="160FE592">
            <w:pPr>
              <w:jc w:val="center"/>
              <w:rPr>
                <w:rFonts w:hint="eastAsia" w:ascii="宋体" w:hAnsi="宋体" w:eastAsia="宋体" w:cs="宋体"/>
                <w:color w:val="auto"/>
                <w:sz w:val="21"/>
                <w:szCs w:val="21"/>
              </w:rPr>
            </w:pPr>
          </w:p>
        </w:tc>
        <w:tc>
          <w:tcPr>
            <w:tcW w:w="1590" w:type="dxa"/>
            <w:noWrap w:val="0"/>
            <w:vAlign w:val="center"/>
          </w:tcPr>
          <w:p w14:paraId="40B97691">
            <w:pPr>
              <w:rPr>
                <w:rFonts w:hint="eastAsia" w:ascii="宋体" w:hAnsi="宋体" w:eastAsia="宋体" w:cs="宋体"/>
                <w:color w:val="auto"/>
                <w:sz w:val="21"/>
                <w:szCs w:val="21"/>
              </w:rPr>
            </w:pPr>
          </w:p>
        </w:tc>
      </w:tr>
      <w:tr w14:paraId="7040D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317CAE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84" w:type="dxa"/>
            <w:noWrap w:val="0"/>
            <w:vAlign w:val="center"/>
          </w:tcPr>
          <w:p w14:paraId="704A3F91">
            <w:pPr>
              <w:widowControl/>
              <w:spacing w:beforeLines="0" w:afterLine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物业主管兼客服</w:t>
            </w:r>
          </w:p>
        </w:tc>
        <w:tc>
          <w:tcPr>
            <w:tcW w:w="651" w:type="dxa"/>
            <w:noWrap w:val="0"/>
            <w:vAlign w:val="center"/>
          </w:tcPr>
          <w:p w14:paraId="59ED6B58">
            <w:pPr>
              <w:jc w:val="center"/>
              <w:rPr>
                <w:rFonts w:hint="eastAsia" w:ascii="宋体" w:hAnsi="宋体" w:eastAsia="宋体" w:cs="宋体"/>
                <w:color w:val="auto"/>
                <w:sz w:val="21"/>
                <w:szCs w:val="21"/>
              </w:rPr>
            </w:pPr>
          </w:p>
        </w:tc>
        <w:tc>
          <w:tcPr>
            <w:tcW w:w="1559" w:type="dxa"/>
            <w:noWrap w:val="0"/>
            <w:vAlign w:val="center"/>
          </w:tcPr>
          <w:p w14:paraId="2D64A0E0">
            <w:pPr>
              <w:jc w:val="center"/>
              <w:rPr>
                <w:rFonts w:hint="eastAsia" w:ascii="宋体" w:hAnsi="宋体" w:eastAsia="宋体" w:cs="宋体"/>
                <w:color w:val="auto"/>
                <w:sz w:val="21"/>
                <w:szCs w:val="21"/>
              </w:rPr>
            </w:pPr>
          </w:p>
        </w:tc>
        <w:tc>
          <w:tcPr>
            <w:tcW w:w="1134" w:type="dxa"/>
            <w:noWrap w:val="0"/>
            <w:vAlign w:val="center"/>
          </w:tcPr>
          <w:p w14:paraId="78C72F19">
            <w:pPr>
              <w:jc w:val="center"/>
              <w:rPr>
                <w:rFonts w:hint="eastAsia" w:ascii="宋体" w:hAnsi="宋体" w:eastAsia="宋体" w:cs="宋体"/>
                <w:color w:val="auto"/>
                <w:sz w:val="21"/>
                <w:szCs w:val="21"/>
              </w:rPr>
            </w:pPr>
          </w:p>
        </w:tc>
        <w:tc>
          <w:tcPr>
            <w:tcW w:w="1510" w:type="dxa"/>
            <w:noWrap w:val="0"/>
            <w:vAlign w:val="center"/>
          </w:tcPr>
          <w:p w14:paraId="46BDC687">
            <w:pPr>
              <w:jc w:val="center"/>
              <w:rPr>
                <w:rFonts w:hint="eastAsia" w:ascii="宋体" w:hAnsi="宋体" w:eastAsia="宋体" w:cs="宋体"/>
                <w:color w:val="auto"/>
                <w:sz w:val="21"/>
                <w:szCs w:val="21"/>
              </w:rPr>
            </w:pPr>
          </w:p>
        </w:tc>
        <w:tc>
          <w:tcPr>
            <w:tcW w:w="1590" w:type="dxa"/>
            <w:noWrap w:val="0"/>
            <w:vAlign w:val="center"/>
          </w:tcPr>
          <w:p w14:paraId="5F0E86FC">
            <w:pPr>
              <w:jc w:val="center"/>
              <w:rPr>
                <w:rFonts w:hint="eastAsia" w:ascii="宋体" w:hAnsi="宋体" w:eastAsia="宋体" w:cs="宋体"/>
                <w:color w:val="auto"/>
                <w:sz w:val="21"/>
                <w:szCs w:val="21"/>
              </w:rPr>
            </w:pPr>
          </w:p>
        </w:tc>
      </w:tr>
      <w:tr w14:paraId="113D7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610FE706">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p>
        </w:tc>
        <w:tc>
          <w:tcPr>
            <w:tcW w:w="2184" w:type="dxa"/>
            <w:noWrap w:val="0"/>
            <w:vAlign w:val="center"/>
          </w:tcPr>
          <w:p w14:paraId="6B479FD8">
            <w:pPr>
              <w:widowControl/>
              <w:spacing w:beforeLines="0" w:afterLine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保安</w:t>
            </w:r>
            <w:r>
              <w:rPr>
                <w:rFonts w:hint="eastAsia" w:ascii="宋体" w:hAnsi="宋体" w:eastAsia="宋体" w:cs="宋体"/>
                <w:color w:val="auto"/>
                <w:sz w:val="21"/>
                <w:szCs w:val="21"/>
                <w:lang w:eastAsia="zh-CN"/>
              </w:rPr>
              <w:t>队</w:t>
            </w:r>
            <w:r>
              <w:rPr>
                <w:rFonts w:hint="eastAsia" w:ascii="宋体" w:hAnsi="宋体" w:eastAsia="宋体" w:cs="宋体"/>
                <w:color w:val="auto"/>
                <w:sz w:val="21"/>
                <w:szCs w:val="21"/>
              </w:rPr>
              <w:t>长兼巡逻</w:t>
            </w:r>
          </w:p>
        </w:tc>
        <w:tc>
          <w:tcPr>
            <w:tcW w:w="651" w:type="dxa"/>
            <w:noWrap w:val="0"/>
            <w:vAlign w:val="center"/>
          </w:tcPr>
          <w:p w14:paraId="4F635042">
            <w:pPr>
              <w:jc w:val="center"/>
              <w:rPr>
                <w:rFonts w:hint="eastAsia" w:ascii="宋体" w:hAnsi="宋体" w:eastAsia="宋体" w:cs="宋体"/>
                <w:color w:val="auto"/>
                <w:sz w:val="21"/>
                <w:szCs w:val="21"/>
              </w:rPr>
            </w:pPr>
          </w:p>
        </w:tc>
        <w:tc>
          <w:tcPr>
            <w:tcW w:w="1559" w:type="dxa"/>
            <w:noWrap w:val="0"/>
            <w:vAlign w:val="center"/>
          </w:tcPr>
          <w:p w14:paraId="73933883">
            <w:pPr>
              <w:jc w:val="center"/>
              <w:rPr>
                <w:rFonts w:hint="eastAsia" w:ascii="宋体" w:hAnsi="宋体" w:eastAsia="宋体" w:cs="宋体"/>
                <w:color w:val="auto"/>
                <w:sz w:val="21"/>
                <w:szCs w:val="21"/>
              </w:rPr>
            </w:pPr>
          </w:p>
        </w:tc>
        <w:tc>
          <w:tcPr>
            <w:tcW w:w="1134" w:type="dxa"/>
            <w:noWrap w:val="0"/>
            <w:vAlign w:val="center"/>
          </w:tcPr>
          <w:p w14:paraId="5E11834D">
            <w:pPr>
              <w:jc w:val="center"/>
              <w:rPr>
                <w:rFonts w:hint="eastAsia" w:ascii="宋体" w:hAnsi="宋体" w:eastAsia="宋体" w:cs="宋体"/>
                <w:color w:val="auto"/>
                <w:sz w:val="21"/>
                <w:szCs w:val="21"/>
              </w:rPr>
            </w:pPr>
          </w:p>
        </w:tc>
        <w:tc>
          <w:tcPr>
            <w:tcW w:w="1510" w:type="dxa"/>
            <w:noWrap w:val="0"/>
            <w:vAlign w:val="center"/>
          </w:tcPr>
          <w:p w14:paraId="78126813">
            <w:pPr>
              <w:jc w:val="center"/>
              <w:rPr>
                <w:rFonts w:hint="eastAsia" w:ascii="宋体" w:hAnsi="宋体" w:eastAsia="宋体" w:cs="宋体"/>
                <w:color w:val="auto"/>
                <w:sz w:val="21"/>
                <w:szCs w:val="21"/>
              </w:rPr>
            </w:pPr>
          </w:p>
        </w:tc>
        <w:tc>
          <w:tcPr>
            <w:tcW w:w="1590" w:type="dxa"/>
            <w:noWrap w:val="0"/>
            <w:vAlign w:val="center"/>
          </w:tcPr>
          <w:p w14:paraId="2EAEE821">
            <w:pPr>
              <w:jc w:val="center"/>
              <w:rPr>
                <w:rFonts w:hint="eastAsia" w:ascii="宋体" w:hAnsi="宋体" w:eastAsia="宋体" w:cs="宋体"/>
                <w:color w:val="auto"/>
                <w:sz w:val="21"/>
                <w:szCs w:val="21"/>
              </w:rPr>
            </w:pPr>
          </w:p>
        </w:tc>
      </w:tr>
      <w:tr w14:paraId="32572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167CDF8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p>
        </w:tc>
        <w:tc>
          <w:tcPr>
            <w:tcW w:w="2184" w:type="dxa"/>
            <w:noWrap w:val="0"/>
            <w:vAlign w:val="center"/>
          </w:tcPr>
          <w:p w14:paraId="43CA4FFD">
            <w:pPr>
              <w:widowControl/>
              <w:spacing w:beforeLines="0" w:afterLines="0"/>
              <w:jc w:val="center"/>
              <w:textAlignment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门岗</w:t>
            </w:r>
            <w:r>
              <w:rPr>
                <w:rFonts w:hint="eastAsia" w:ascii="宋体" w:hAnsi="宋体" w:eastAsia="宋体" w:cs="宋体"/>
                <w:color w:val="auto"/>
                <w:sz w:val="21"/>
                <w:szCs w:val="21"/>
                <w:lang w:val="en-US" w:eastAsia="zh-CN"/>
              </w:rPr>
              <w:t>人员</w:t>
            </w:r>
          </w:p>
        </w:tc>
        <w:tc>
          <w:tcPr>
            <w:tcW w:w="651" w:type="dxa"/>
            <w:noWrap w:val="0"/>
            <w:vAlign w:val="center"/>
          </w:tcPr>
          <w:p w14:paraId="57F8EE46">
            <w:pPr>
              <w:jc w:val="center"/>
              <w:rPr>
                <w:rFonts w:hint="eastAsia" w:ascii="宋体" w:hAnsi="宋体" w:eastAsia="宋体" w:cs="宋体"/>
                <w:color w:val="auto"/>
                <w:sz w:val="21"/>
                <w:szCs w:val="21"/>
              </w:rPr>
            </w:pPr>
          </w:p>
        </w:tc>
        <w:tc>
          <w:tcPr>
            <w:tcW w:w="1559" w:type="dxa"/>
            <w:noWrap w:val="0"/>
            <w:vAlign w:val="center"/>
          </w:tcPr>
          <w:p w14:paraId="1CA17680">
            <w:pPr>
              <w:jc w:val="center"/>
              <w:rPr>
                <w:rFonts w:hint="eastAsia" w:ascii="宋体" w:hAnsi="宋体" w:eastAsia="宋体" w:cs="宋体"/>
                <w:color w:val="auto"/>
                <w:sz w:val="21"/>
                <w:szCs w:val="21"/>
              </w:rPr>
            </w:pPr>
          </w:p>
        </w:tc>
        <w:tc>
          <w:tcPr>
            <w:tcW w:w="1134" w:type="dxa"/>
            <w:noWrap w:val="0"/>
            <w:vAlign w:val="center"/>
          </w:tcPr>
          <w:p w14:paraId="7A2D7235">
            <w:pPr>
              <w:jc w:val="center"/>
              <w:rPr>
                <w:rFonts w:hint="eastAsia" w:ascii="宋体" w:hAnsi="宋体" w:eastAsia="宋体" w:cs="宋体"/>
                <w:color w:val="auto"/>
                <w:sz w:val="21"/>
                <w:szCs w:val="21"/>
              </w:rPr>
            </w:pPr>
          </w:p>
        </w:tc>
        <w:tc>
          <w:tcPr>
            <w:tcW w:w="1510" w:type="dxa"/>
            <w:noWrap w:val="0"/>
            <w:vAlign w:val="center"/>
          </w:tcPr>
          <w:p w14:paraId="62D8AE36">
            <w:pPr>
              <w:jc w:val="center"/>
              <w:rPr>
                <w:rFonts w:hint="eastAsia" w:ascii="宋体" w:hAnsi="宋体" w:eastAsia="宋体" w:cs="宋体"/>
                <w:color w:val="auto"/>
                <w:sz w:val="21"/>
                <w:szCs w:val="21"/>
              </w:rPr>
            </w:pPr>
          </w:p>
        </w:tc>
        <w:tc>
          <w:tcPr>
            <w:tcW w:w="1590" w:type="dxa"/>
            <w:noWrap w:val="0"/>
            <w:vAlign w:val="center"/>
          </w:tcPr>
          <w:p w14:paraId="068CB0D2">
            <w:pPr>
              <w:jc w:val="center"/>
              <w:rPr>
                <w:rFonts w:hint="eastAsia" w:ascii="宋体" w:hAnsi="宋体" w:eastAsia="宋体" w:cs="宋体"/>
                <w:color w:val="auto"/>
                <w:sz w:val="21"/>
                <w:szCs w:val="21"/>
              </w:rPr>
            </w:pPr>
          </w:p>
        </w:tc>
      </w:tr>
      <w:tr w14:paraId="1720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761F49C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w:t>
            </w:r>
          </w:p>
        </w:tc>
        <w:tc>
          <w:tcPr>
            <w:tcW w:w="2184" w:type="dxa"/>
            <w:noWrap w:val="0"/>
            <w:vAlign w:val="center"/>
          </w:tcPr>
          <w:p w14:paraId="63BBA6B2">
            <w:pPr>
              <w:widowControl/>
              <w:spacing w:beforeLines="0" w:afterLine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中控人员</w:t>
            </w:r>
          </w:p>
        </w:tc>
        <w:tc>
          <w:tcPr>
            <w:tcW w:w="651" w:type="dxa"/>
            <w:noWrap w:val="0"/>
            <w:vAlign w:val="center"/>
          </w:tcPr>
          <w:p w14:paraId="06AD29B7">
            <w:pPr>
              <w:jc w:val="center"/>
              <w:rPr>
                <w:rFonts w:hint="eastAsia" w:ascii="宋体" w:hAnsi="宋体" w:eastAsia="宋体" w:cs="宋体"/>
                <w:color w:val="auto"/>
                <w:sz w:val="21"/>
                <w:szCs w:val="21"/>
              </w:rPr>
            </w:pPr>
          </w:p>
        </w:tc>
        <w:tc>
          <w:tcPr>
            <w:tcW w:w="1559" w:type="dxa"/>
            <w:noWrap w:val="0"/>
            <w:vAlign w:val="center"/>
          </w:tcPr>
          <w:p w14:paraId="08CF565F">
            <w:pPr>
              <w:jc w:val="center"/>
              <w:rPr>
                <w:rFonts w:hint="eastAsia" w:ascii="宋体" w:hAnsi="宋体" w:eastAsia="宋体" w:cs="宋体"/>
                <w:color w:val="auto"/>
                <w:sz w:val="21"/>
                <w:szCs w:val="21"/>
              </w:rPr>
            </w:pPr>
          </w:p>
        </w:tc>
        <w:tc>
          <w:tcPr>
            <w:tcW w:w="1134" w:type="dxa"/>
            <w:noWrap w:val="0"/>
            <w:vAlign w:val="center"/>
          </w:tcPr>
          <w:p w14:paraId="1B786F90">
            <w:pPr>
              <w:jc w:val="center"/>
              <w:rPr>
                <w:rFonts w:hint="eastAsia" w:ascii="宋体" w:hAnsi="宋体" w:eastAsia="宋体" w:cs="宋体"/>
                <w:color w:val="auto"/>
                <w:sz w:val="21"/>
                <w:szCs w:val="21"/>
              </w:rPr>
            </w:pPr>
          </w:p>
        </w:tc>
        <w:tc>
          <w:tcPr>
            <w:tcW w:w="1510" w:type="dxa"/>
            <w:noWrap w:val="0"/>
            <w:vAlign w:val="center"/>
          </w:tcPr>
          <w:p w14:paraId="0804BB0F">
            <w:pPr>
              <w:jc w:val="center"/>
              <w:rPr>
                <w:rFonts w:hint="eastAsia" w:ascii="宋体" w:hAnsi="宋体" w:eastAsia="宋体" w:cs="宋体"/>
                <w:color w:val="auto"/>
                <w:sz w:val="21"/>
                <w:szCs w:val="21"/>
              </w:rPr>
            </w:pPr>
          </w:p>
        </w:tc>
        <w:tc>
          <w:tcPr>
            <w:tcW w:w="1590" w:type="dxa"/>
            <w:noWrap w:val="0"/>
            <w:vAlign w:val="center"/>
          </w:tcPr>
          <w:p w14:paraId="106128E6">
            <w:pPr>
              <w:jc w:val="center"/>
              <w:rPr>
                <w:rFonts w:hint="eastAsia" w:ascii="宋体" w:hAnsi="宋体" w:eastAsia="宋体" w:cs="宋体"/>
                <w:color w:val="auto"/>
                <w:sz w:val="21"/>
                <w:szCs w:val="21"/>
              </w:rPr>
            </w:pPr>
          </w:p>
        </w:tc>
      </w:tr>
      <w:tr w14:paraId="28B05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341142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w:t>
            </w:r>
          </w:p>
        </w:tc>
        <w:tc>
          <w:tcPr>
            <w:tcW w:w="2184" w:type="dxa"/>
            <w:noWrap w:val="0"/>
            <w:vAlign w:val="center"/>
          </w:tcPr>
          <w:p w14:paraId="21E6A500">
            <w:pPr>
              <w:widowControl/>
              <w:spacing w:beforeLines="0" w:afterLine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保洁</w:t>
            </w:r>
            <w:r>
              <w:rPr>
                <w:rFonts w:hint="eastAsia" w:ascii="宋体" w:hAnsi="宋体" w:eastAsia="宋体" w:cs="宋体"/>
                <w:color w:val="auto"/>
                <w:sz w:val="21"/>
                <w:szCs w:val="21"/>
                <w:lang w:val="en-US" w:eastAsia="zh-CN"/>
              </w:rPr>
              <w:t>人</w:t>
            </w:r>
            <w:r>
              <w:rPr>
                <w:rFonts w:hint="eastAsia" w:ascii="宋体" w:hAnsi="宋体" w:eastAsia="宋体" w:cs="宋体"/>
                <w:color w:val="auto"/>
                <w:sz w:val="21"/>
                <w:szCs w:val="21"/>
              </w:rPr>
              <w:t>员</w:t>
            </w:r>
          </w:p>
        </w:tc>
        <w:tc>
          <w:tcPr>
            <w:tcW w:w="651" w:type="dxa"/>
            <w:noWrap w:val="0"/>
            <w:vAlign w:val="center"/>
          </w:tcPr>
          <w:p w14:paraId="5332B63C">
            <w:pPr>
              <w:jc w:val="center"/>
              <w:rPr>
                <w:rFonts w:hint="eastAsia" w:ascii="宋体" w:hAnsi="宋体" w:eastAsia="宋体" w:cs="宋体"/>
                <w:color w:val="auto"/>
                <w:sz w:val="21"/>
                <w:szCs w:val="21"/>
              </w:rPr>
            </w:pPr>
          </w:p>
        </w:tc>
        <w:tc>
          <w:tcPr>
            <w:tcW w:w="1559" w:type="dxa"/>
            <w:noWrap w:val="0"/>
            <w:vAlign w:val="center"/>
          </w:tcPr>
          <w:p w14:paraId="00BB4B5E">
            <w:pPr>
              <w:jc w:val="center"/>
              <w:rPr>
                <w:rFonts w:hint="eastAsia" w:ascii="宋体" w:hAnsi="宋体" w:eastAsia="宋体" w:cs="宋体"/>
                <w:color w:val="auto"/>
                <w:sz w:val="21"/>
                <w:szCs w:val="21"/>
              </w:rPr>
            </w:pPr>
          </w:p>
        </w:tc>
        <w:tc>
          <w:tcPr>
            <w:tcW w:w="1134" w:type="dxa"/>
            <w:noWrap w:val="0"/>
            <w:vAlign w:val="center"/>
          </w:tcPr>
          <w:p w14:paraId="2B350C4B">
            <w:pPr>
              <w:jc w:val="center"/>
              <w:rPr>
                <w:rFonts w:hint="eastAsia" w:ascii="宋体" w:hAnsi="宋体" w:eastAsia="宋体" w:cs="宋体"/>
                <w:color w:val="auto"/>
                <w:sz w:val="21"/>
                <w:szCs w:val="21"/>
              </w:rPr>
            </w:pPr>
          </w:p>
        </w:tc>
        <w:tc>
          <w:tcPr>
            <w:tcW w:w="1510" w:type="dxa"/>
            <w:noWrap w:val="0"/>
            <w:vAlign w:val="center"/>
          </w:tcPr>
          <w:p w14:paraId="4AC4F9E4">
            <w:pPr>
              <w:jc w:val="center"/>
              <w:rPr>
                <w:rFonts w:hint="eastAsia" w:ascii="宋体" w:hAnsi="宋体" w:eastAsia="宋体" w:cs="宋体"/>
                <w:color w:val="auto"/>
                <w:sz w:val="21"/>
                <w:szCs w:val="21"/>
              </w:rPr>
            </w:pPr>
          </w:p>
        </w:tc>
        <w:tc>
          <w:tcPr>
            <w:tcW w:w="1590" w:type="dxa"/>
            <w:noWrap w:val="0"/>
            <w:vAlign w:val="center"/>
          </w:tcPr>
          <w:p w14:paraId="57EBC57E">
            <w:pPr>
              <w:jc w:val="center"/>
              <w:rPr>
                <w:rFonts w:hint="eastAsia" w:ascii="宋体" w:hAnsi="宋体" w:eastAsia="宋体" w:cs="宋体"/>
                <w:color w:val="auto"/>
                <w:sz w:val="21"/>
                <w:szCs w:val="21"/>
              </w:rPr>
            </w:pPr>
          </w:p>
        </w:tc>
      </w:tr>
      <w:tr w14:paraId="33014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63DB44F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w:t>
            </w:r>
          </w:p>
        </w:tc>
        <w:tc>
          <w:tcPr>
            <w:tcW w:w="2184" w:type="dxa"/>
            <w:noWrap w:val="0"/>
            <w:vAlign w:val="center"/>
          </w:tcPr>
          <w:p w14:paraId="6CE354D3">
            <w:pPr>
              <w:widowControl/>
              <w:spacing w:beforeLines="0" w:afterLines="0"/>
              <w:jc w:val="cente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rPr>
              <w:t>维修（水电）人员</w:t>
            </w:r>
          </w:p>
        </w:tc>
        <w:tc>
          <w:tcPr>
            <w:tcW w:w="651" w:type="dxa"/>
            <w:noWrap w:val="0"/>
            <w:vAlign w:val="center"/>
          </w:tcPr>
          <w:p w14:paraId="348BFADA">
            <w:pPr>
              <w:jc w:val="center"/>
              <w:rPr>
                <w:rFonts w:hint="eastAsia" w:ascii="宋体" w:hAnsi="宋体" w:eastAsia="宋体" w:cs="宋体"/>
                <w:color w:val="auto"/>
                <w:sz w:val="21"/>
                <w:szCs w:val="21"/>
              </w:rPr>
            </w:pPr>
          </w:p>
        </w:tc>
        <w:tc>
          <w:tcPr>
            <w:tcW w:w="1559" w:type="dxa"/>
            <w:noWrap w:val="0"/>
            <w:vAlign w:val="center"/>
          </w:tcPr>
          <w:p w14:paraId="5D08A5A7">
            <w:pPr>
              <w:jc w:val="center"/>
              <w:rPr>
                <w:rFonts w:hint="eastAsia" w:ascii="宋体" w:hAnsi="宋体" w:eastAsia="宋体" w:cs="宋体"/>
                <w:color w:val="auto"/>
                <w:sz w:val="21"/>
                <w:szCs w:val="21"/>
              </w:rPr>
            </w:pPr>
          </w:p>
        </w:tc>
        <w:tc>
          <w:tcPr>
            <w:tcW w:w="1134" w:type="dxa"/>
            <w:noWrap w:val="0"/>
            <w:vAlign w:val="center"/>
          </w:tcPr>
          <w:p w14:paraId="1BE4727F">
            <w:pPr>
              <w:jc w:val="center"/>
              <w:rPr>
                <w:rFonts w:hint="eastAsia" w:ascii="宋体" w:hAnsi="宋体" w:eastAsia="宋体" w:cs="宋体"/>
                <w:color w:val="auto"/>
                <w:sz w:val="21"/>
                <w:szCs w:val="21"/>
              </w:rPr>
            </w:pPr>
          </w:p>
        </w:tc>
        <w:tc>
          <w:tcPr>
            <w:tcW w:w="1510" w:type="dxa"/>
            <w:noWrap w:val="0"/>
            <w:vAlign w:val="center"/>
          </w:tcPr>
          <w:p w14:paraId="4F8F5C39">
            <w:pPr>
              <w:jc w:val="center"/>
              <w:rPr>
                <w:rFonts w:hint="eastAsia" w:ascii="宋体" w:hAnsi="宋体" w:eastAsia="宋体" w:cs="宋体"/>
                <w:color w:val="auto"/>
                <w:sz w:val="21"/>
                <w:szCs w:val="21"/>
              </w:rPr>
            </w:pPr>
          </w:p>
        </w:tc>
        <w:tc>
          <w:tcPr>
            <w:tcW w:w="1590" w:type="dxa"/>
            <w:noWrap w:val="0"/>
            <w:vAlign w:val="center"/>
          </w:tcPr>
          <w:p w14:paraId="1634F8A2">
            <w:pPr>
              <w:rPr>
                <w:rFonts w:hint="eastAsia" w:ascii="宋体" w:hAnsi="宋体" w:eastAsia="宋体" w:cs="宋体"/>
                <w:color w:val="auto"/>
                <w:sz w:val="21"/>
                <w:szCs w:val="21"/>
              </w:rPr>
            </w:pPr>
          </w:p>
        </w:tc>
      </w:tr>
      <w:tr w14:paraId="209A6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7CFB4818">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w:t>
            </w:r>
          </w:p>
        </w:tc>
        <w:tc>
          <w:tcPr>
            <w:tcW w:w="2184" w:type="dxa"/>
            <w:noWrap w:val="0"/>
            <w:vAlign w:val="center"/>
          </w:tcPr>
          <w:p w14:paraId="51EE403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法定节假日加班工资</w:t>
            </w:r>
          </w:p>
        </w:tc>
        <w:tc>
          <w:tcPr>
            <w:tcW w:w="651" w:type="dxa"/>
            <w:noWrap w:val="0"/>
            <w:vAlign w:val="center"/>
          </w:tcPr>
          <w:p w14:paraId="2FF68212">
            <w:pPr>
              <w:jc w:val="center"/>
              <w:rPr>
                <w:rFonts w:hint="eastAsia" w:ascii="宋体" w:hAnsi="宋体" w:eastAsia="宋体" w:cs="宋体"/>
                <w:color w:val="auto"/>
                <w:sz w:val="21"/>
                <w:szCs w:val="21"/>
              </w:rPr>
            </w:pPr>
          </w:p>
        </w:tc>
        <w:tc>
          <w:tcPr>
            <w:tcW w:w="1559" w:type="dxa"/>
            <w:noWrap w:val="0"/>
            <w:vAlign w:val="center"/>
          </w:tcPr>
          <w:p w14:paraId="64ED7C28">
            <w:pPr>
              <w:jc w:val="center"/>
              <w:rPr>
                <w:rFonts w:hint="eastAsia" w:ascii="宋体" w:hAnsi="宋体" w:eastAsia="宋体" w:cs="宋体"/>
                <w:color w:val="auto"/>
                <w:sz w:val="21"/>
                <w:szCs w:val="21"/>
              </w:rPr>
            </w:pPr>
          </w:p>
        </w:tc>
        <w:tc>
          <w:tcPr>
            <w:tcW w:w="1134" w:type="dxa"/>
            <w:noWrap w:val="0"/>
            <w:vAlign w:val="center"/>
          </w:tcPr>
          <w:p w14:paraId="3102EF4B">
            <w:pPr>
              <w:jc w:val="center"/>
              <w:rPr>
                <w:rFonts w:hint="eastAsia" w:ascii="宋体" w:hAnsi="宋体" w:eastAsia="宋体" w:cs="宋体"/>
                <w:color w:val="auto"/>
                <w:sz w:val="21"/>
                <w:szCs w:val="21"/>
              </w:rPr>
            </w:pPr>
          </w:p>
        </w:tc>
        <w:tc>
          <w:tcPr>
            <w:tcW w:w="1510" w:type="dxa"/>
            <w:noWrap w:val="0"/>
            <w:vAlign w:val="center"/>
          </w:tcPr>
          <w:p w14:paraId="3EF5FFFD">
            <w:pPr>
              <w:jc w:val="center"/>
              <w:rPr>
                <w:rFonts w:hint="eastAsia" w:ascii="宋体" w:hAnsi="宋体" w:eastAsia="宋体" w:cs="宋体"/>
                <w:color w:val="auto"/>
                <w:sz w:val="21"/>
                <w:szCs w:val="21"/>
              </w:rPr>
            </w:pPr>
          </w:p>
        </w:tc>
        <w:tc>
          <w:tcPr>
            <w:tcW w:w="1590" w:type="dxa"/>
            <w:noWrap w:val="0"/>
            <w:vAlign w:val="top"/>
          </w:tcPr>
          <w:p w14:paraId="10FACB3C">
            <w:pPr>
              <w:rPr>
                <w:rFonts w:hint="eastAsia" w:ascii="宋体" w:hAnsi="宋体" w:eastAsia="宋体" w:cs="宋体"/>
                <w:color w:val="auto"/>
                <w:sz w:val="21"/>
                <w:szCs w:val="21"/>
              </w:rPr>
            </w:pPr>
            <w:bookmarkStart w:id="139" w:name="OLE_LINK17"/>
            <w:bookmarkStart w:id="140" w:name="OLE_LINK18"/>
            <w:r>
              <w:rPr>
                <w:rFonts w:hint="eastAsia" w:ascii="宋体" w:hAnsi="宋体" w:eastAsia="宋体" w:cs="宋体"/>
                <w:color w:val="auto"/>
                <w:sz w:val="21"/>
                <w:szCs w:val="21"/>
              </w:rPr>
              <w:t>按人员配置总数1</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人计算</w:t>
            </w:r>
            <w:bookmarkEnd w:id="139"/>
            <w:bookmarkEnd w:id="140"/>
          </w:p>
        </w:tc>
      </w:tr>
      <w:tr w14:paraId="6835E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7FB6594A">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rPr>
              <w:t>）</w:t>
            </w:r>
          </w:p>
        </w:tc>
        <w:tc>
          <w:tcPr>
            <w:tcW w:w="2184" w:type="dxa"/>
            <w:noWrap w:val="0"/>
            <w:vAlign w:val="center"/>
          </w:tcPr>
          <w:p w14:paraId="7620129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员工人身意外保险费</w:t>
            </w:r>
          </w:p>
        </w:tc>
        <w:tc>
          <w:tcPr>
            <w:tcW w:w="651" w:type="dxa"/>
            <w:noWrap w:val="0"/>
            <w:vAlign w:val="center"/>
          </w:tcPr>
          <w:p w14:paraId="37326985">
            <w:pPr>
              <w:jc w:val="center"/>
              <w:rPr>
                <w:rFonts w:hint="eastAsia" w:ascii="宋体" w:hAnsi="宋体" w:eastAsia="宋体" w:cs="宋体"/>
                <w:color w:val="auto"/>
                <w:sz w:val="21"/>
                <w:szCs w:val="21"/>
              </w:rPr>
            </w:pPr>
          </w:p>
        </w:tc>
        <w:tc>
          <w:tcPr>
            <w:tcW w:w="1559" w:type="dxa"/>
            <w:noWrap w:val="0"/>
            <w:vAlign w:val="center"/>
          </w:tcPr>
          <w:p w14:paraId="3BB11214">
            <w:pPr>
              <w:jc w:val="center"/>
              <w:rPr>
                <w:rFonts w:hint="eastAsia" w:ascii="宋体" w:hAnsi="宋体" w:eastAsia="宋体" w:cs="宋体"/>
                <w:color w:val="auto"/>
                <w:sz w:val="21"/>
                <w:szCs w:val="21"/>
              </w:rPr>
            </w:pPr>
          </w:p>
        </w:tc>
        <w:tc>
          <w:tcPr>
            <w:tcW w:w="1134" w:type="dxa"/>
            <w:noWrap w:val="0"/>
            <w:vAlign w:val="center"/>
          </w:tcPr>
          <w:p w14:paraId="16B53669">
            <w:pPr>
              <w:jc w:val="center"/>
              <w:rPr>
                <w:rFonts w:hint="eastAsia" w:ascii="宋体" w:hAnsi="宋体" w:eastAsia="宋体" w:cs="宋体"/>
                <w:color w:val="auto"/>
                <w:sz w:val="21"/>
                <w:szCs w:val="21"/>
              </w:rPr>
            </w:pPr>
          </w:p>
        </w:tc>
        <w:tc>
          <w:tcPr>
            <w:tcW w:w="1510" w:type="dxa"/>
            <w:noWrap w:val="0"/>
            <w:vAlign w:val="center"/>
          </w:tcPr>
          <w:p w14:paraId="4BE50F96">
            <w:pPr>
              <w:jc w:val="center"/>
              <w:rPr>
                <w:rFonts w:hint="eastAsia" w:ascii="宋体" w:hAnsi="宋体" w:eastAsia="宋体" w:cs="宋体"/>
                <w:color w:val="auto"/>
                <w:sz w:val="21"/>
                <w:szCs w:val="21"/>
              </w:rPr>
            </w:pPr>
          </w:p>
        </w:tc>
        <w:tc>
          <w:tcPr>
            <w:tcW w:w="1590" w:type="dxa"/>
            <w:noWrap w:val="0"/>
            <w:vAlign w:val="top"/>
          </w:tcPr>
          <w:p w14:paraId="75ECD570">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按人员配置总数11人计算</w:t>
            </w:r>
          </w:p>
        </w:tc>
      </w:tr>
      <w:tr w14:paraId="2DE6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08840F9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rPr>
              <w:t>）</w:t>
            </w:r>
          </w:p>
        </w:tc>
        <w:tc>
          <w:tcPr>
            <w:tcW w:w="2184" w:type="dxa"/>
            <w:noWrap w:val="0"/>
            <w:vAlign w:val="center"/>
          </w:tcPr>
          <w:p w14:paraId="2FDA126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高温费</w:t>
            </w:r>
          </w:p>
        </w:tc>
        <w:tc>
          <w:tcPr>
            <w:tcW w:w="651" w:type="dxa"/>
            <w:noWrap w:val="0"/>
            <w:vAlign w:val="center"/>
          </w:tcPr>
          <w:p w14:paraId="3E9931F8">
            <w:pPr>
              <w:jc w:val="center"/>
              <w:rPr>
                <w:rFonts w:hint="eastAsia" w:ascii="宋体" w:hAnsi="宋体" w:eastAsia="宋体" w:cs="宋体"/>
                <w:color w:val="auto"/>
                <w:sz w:val="21"/>
                <w:szCs w:val="21"/>
              </w:rPr>
            </w:pPr>
          </w:p>
        </w:tc>
        <w:tc>
          <w:tcPr>
            <w:tcW w:w="1559" w:type="dxa"/>
            <w:noWrap w:val="0"/>
            <w:vAlign w:val="center"/>
          </w:tcPr>
          <w:p w14:paraId="1FC8DBB4">
            <w:pPr>
              <w:jc w:val="center"/>
              <w:rPr>
                <w:rFonts w:hint="eastAsia" w:ascii="宋体" w:hAnsi="宋体" w:eastAsia="宋体" w:cs="宋体"/>
                <w:color w:val="auto"/>
                <w:sz w:val="21"/>
                <w:szCs w:val="21"/>
              </w:rPr>
            </w:pPr>
          </w:p>
        </w:tc>
        <w:tc>
          <w:tcPr>
            <w:tcW w:w="1134" w:type="dxa"/>
            <w:noWrap w:val="0"/>
            <w:vAlign w:val="center"/>
          </w:tcPr>
          <w:p w14:paraId="151494FB">
            <w:pPr>
              <w:jc w:val="center"/>
              <w:rPr>
                <w:rFonts w:hint="eastAsia" w:ascii="宋体" w:hAnsi="宋体" w:eastAsia="宋体" w:cs="宋体"/>
                <w:color w:val="auto"/>
                <w:sz w:val="21"/>
                <w:szCs w:val="21"/>
              </w:rPr>
            </w:pPr>
          </w:p>
        </w:tc>
        <w:tc>
          <w:tcPr>
            <w:tcW w:w="1510" w:type="dxa"/>
            <w:noWrap w:val="0"/>
            <w:vAlign w:val="center"/>
          </w:tcPr>
          <w:p w14:paraId="70FDBEA0">
            <w:pPr>
              <w:jc w:val="center"/>
              <w:rPr>
                <w:rFonts w:hint="eastAsia" w:ascii="宋体" w:hAnsi="宋体" w:eastAsia="宋体" w:cs="宋体"/>
                <w:color w:val="auto"/>
                <w:sz w:val="21"/>
                <w:szCs w:val="21"/>
              </w:rPr>
            </w:pPr>
          </w:p>
        </w:tc>
        <w:tc>
          <w:tcPr>
            <w:tcW w:w="1590" w:type="dxa"/>
            <w:noWrap w:val="0"/>
            <w:vAlign w:val="top"/>
          </w:tcPr>
          <w:p w14:paraId="44174F0E">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按人员配置总数11人计算</w:t>
            </w:r>
          </w:p>
        </w:tc>
      </w:tr>
      <w:tr w14:paraId="00EF0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25CF34F1">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eastAsia="zh-CN"/>
              </w:rPr>
              <w:t>）</w:t>
            </w:r>
          </w:p>
        </w:tc>
        <w:tc>
          <w:tcPr>
            <w:tcW w:w="2184" w:type="dxa"/>
            <w:noWrap w:val="0"/>
            <w:vAlign w:val="center"/>
          </w:tcPr>
          <w:p w14:paraId="7040F9DC">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其他员工福利</w:t>
            </w:r>
          </w:p>
        </w:tc>
        <w:tc>
          <w:tcPr>
            <w:tcW w:w="651" w:type="dxa"/>
            <w:noWrap w:val="0"/>
            <w:vAlign w:val="center"/>
          </w:tcPr>
          <w:p w14:paraId="11455F03">
            <w:pPr>
              <w:jc w:val="center"/>
              <w:rPr>
                <w:rFonts w:hint="eastAsia" w:ascii="宋体" w:hAnsi="宋体" w:eastAsia="宋体" w:cs="宋体"/>
                <w:color w:val="auto"/>
                <w:sz w:val="21"/>
                <w:szCs w:val="21"/>
              </w:rPr>
            </w:pPr>
          </w:p>
        </w:tc>
        <w:tc>
          <w:tcPr>
            <w:tcW w:w="1559" w:type="dxa"/>
            <w:noWrap w:val="0"/>
            <w:vAlign w:val="center"/>
          </w:tcPr>
          <w:p w14:paraId="75F12FA0">
            <w:pPr>
              <w:jc w:val="center"/>
              <w:rPr>
                <w:rFonts w:hint="eastAsia" w:ascii="宋体" w:hAnsi="宋体" w:eastAsia="宋体" w:cs="宋体"/>
                <w:color w:val="auto"/>
                <w:sz w:val="21"/>
                <w:szCs w:val="21"/>
              </w:rPr>
            </w:pPr>
          </w:p>
        </w:tc>
        <w:tc>
          <w:tcPr>
            <w:tcW w:w="1134" w:type="dxa"/>
            <w:noWrap w:val="0"/>
            <w:vAlign w:val="center"/>
          </w:tcPr>
          <w:p w14:paraId="0897BAA1">
            <w:pPr>
              <w:jc w:val="center"/>
              <w:rPr>
                <w:rFonts w:hint="eastAsia" w:ascii="宋体" w:hAnsi="宋体" w:eastAsia="宋体" w:cs="宋体"/>
                <w:color w:val="auto"/>
                <w:sz w:val="21"/>
                <w:szCs w:val="21"/>
              </w:rPr>
            </w:pPr>
          </w:p>
        </w:tc>
        <w:tc>
          <w:tcPr>
            <w:tcW w:w="1510" w:type="dxa"/>
            <w:noWrap w:val="0"/>
            <w:vAlign w:val="center"/>
          </w:tcPr>
          <w:p w14:paraId="6FC16457">
            <w:pPr>
              <w:jc w:val="center"/>
              <w:rPr>
                <w:rFonts w:hint="eastAsia" w:ascii="宋体" w:hAnsi="宋体" w:eastAsia="宋体" w:cs="宋体"/>
                <w:color w:val="auto"/>
                <w:sz w:val="21"/>
                <w:szCs w:val="21"/>
              </w:rPr>
            </w:pPr>
          </w:p>
        </w:tc>
        <w:tc>
          <w:tcPr>
            <w:tcW w:w="1590" w:type="dxa"/>
            <w:noWrap w:val="0"/>
            <w:vAlign w:val="top"/>
          </w:tcPr>
          <w:p w14:paraId="0F6A6840">
            <w:pPr>
              <w:rPr>
                <w:rFonts w:hint="eastAsia" w:ascii="宋体" w:hAnsi="宋体" w:eastAsia="宋体" w:cs="宋体"/>
                <w:color w:val="auto"/>
                <w:sz w:val="21"/>
                <w:szCs w:val="21"/>
              </w:rPr>
            </w:pPr>
          </w:p>
        </w:tc>
      </w:tr>
      <w:tr w14:paraId="3EC6A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7775D9D2">
            <w:pP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84" w:type="dxa"/>
            <w:noWrap w:val="0"/>
            <w:vAlign w:val="center"/>
          </w:tcPr>
          <w:p w14:paraId="35100C3C">
            <w:pPr>
              <w:jc w:val="center"/>
              <w:rPr>
                <w:rFonts w:hint="eastAsia" w:ascii="宋体" w:hAnsi="宋体" w:eastAsia="宋体" w:cs="宋体"/>
                <w:color w:val="auto"/>
                <w:sz w:val="21"/>
                <w:szCs w:val="21"/>
              </w:rPr>
            </w:pPr>
          </w:p>
        </w:tc>
        <w:tc>
          <w:tcPr>
            <w:tcW w:w="651" w:type="dxa"/>
            <w:noWrap w:val="0"/>
            <w:vAlign w:val="center"/>
          </w:tcPr>
          <w:p w14:paraId="526367E3">
            <w:pPr>
              <w:jc w:val="center"/>
              <w:rPr>
                <w:rFonts w:hint="eastAsia" w:ascii="宋体" w:hAnsi="宋体" w:eastAsia="宋体" w:cs="宋体"/>
                <w:color w:val="auto"/>
                <w:sz w:val="21"/>
                <w:szCs w:val="21"/>
              </w:rPr>
            </w:pPr>
          </w:p>
        </w:tc>
        <w:tc>
          <w:tcPr>
            <w:tcW w:w="1559" w:type="dxa"/>
            <w:noWrap w:val="0"/>
            <w:vAlign w:val="center"/>
          </w:tcPr>
          <w:p w14:paraId="6D144423">
            <w:pPr>
              <w:jc w:val="center"/>
              <w:rPr>
                <w:rFonts w:hint="eastAsia" w:ascii="宋体" w:hAnsi="宋体" w:eastAsia="宋体" w:cs="宋体"/>
                <w:color w:val="auto"/>
                <w:sz w:val="21"/>
                <w:szCs w:val="21"/>
              </w:rPr>
            </w:pPr>
          </w:p>
        </w:tc>
        <w:tc>
          <w:tcPr>
            <w:tcW w:w="1134" w:type="dxa"/>
            <w:noWrap w:val="0"/>
            <w:vAlign w:val="center"/>
          </w:tcPr>
          <w:p w14:paraId="7CE5750D">
            <w:pPr>
              <w:jc w:val="center"/>
              <w:rPr>
                <w:rFonts w:hint="eastAsia" w:ascii="宋体" w:hAnsi="宋体" w:eastAsia="宋体" w:cs="宋体"/>
                <w:color w:val="auto"/>
                <w:sz w:val="21"/>
                <w:szCs w:val="21"/>
              </w:rPr>
            </w:pPr>
          </w:p>
        </w:tc>
        <w:tc>
          <w:tcPr>
            <w:tcW w:w="1510" w:type="dxa"/>
            <w:noWrap w:val="0"/>
            <w:vAlign w:val="center"/>
          </w:tcPr>
          <w:p w14:paraId="23F8F25A">
            <w:pPr>
              <w:jc w:val="center"/>
              <w:rPr>
                <w:rFonts w:hint="eastAsia" w:ascii="宋体" w:hAnsi="宋体" w:eastAsia="宋体" w:cs="宋体"/>
                <w:color w:val="auto"/>
                <w:sz w:val="21"/>
                <w:szCs w:val="21"/>
              </w:rPr>
            </w:pPr>
          </w:p>
        </w:tc>
        <w:tc>
          <w:tcPr>
            <w:tcW w:w="1590" w:type="dxa"/>
            <w:noWrap w:val="0"/>
            <w:vAlign w:val="center"/>
          </w:tcPr>
          <w:p w14:paraId="2DCBDE3A">
            <w:pPr>
              <w:rPr>
                <w:rFonts w:hint="eastAsia" w:ascii="宋体" w:hAnsi="宋体" w:eastAsia="宋体" w:cs="宋体"/>
                <w:color w:val="auto"/>
                <w:sz w:val="21"/>
                <w:szCs w:val="21"/>
              </w:rPr>
            </w:pPr>
          </w:p>
        </w:tc>
      </w:tr>
      <w:tr w14:paraId="39208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47EAA290">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2</w:t>
            </w:r>
          </w:p>
        </w:tc>
        <w:tc>
          <w:tcPr>
            <w:tcW w:w="2184" w:type="dxa"/>
            <w:noWrap w:val="0"/>
            <w:vAlign w:val="center"/>
          </w:tcPr>
          <w:p w14:paraId="32BE31DA">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法定计提费用</w:t>
            </w:r>
          </w:p>
        </w:tc>
        <w:tc>
          <w:tcPr>
            <w:tcW w:w="651" w:type="dxa"/>
            <w:noWrap w:val="0"/>
            <w:vAlign w:val="center"/>
          </w:tcPr>
          <w:p w14:paraId="20AC4638">
            <w:pPr>
              <w:jc w:val="center"/>
              <w:rPr>
                <w:rFonts w:hint="eastAsia" w:ascii="宋体" w:hAnsi="宋体" w:eastAsia="宋体" w:cs="宋体"/>
                <w:b/>
                <w:color w:val="auto"/>
                <w:sz w:val="21"/>
                <w:szCs w:val="21"/>
              </w:rPr>
            </w:pPr>
          </w:p>
        </w:tc>
        <w:tc>
          <w:tcPr>
            <w:tcW w:w="1559" w:type="dxa"/>
            <w:noWrap w:val="0"/>
            <w:vAlign w:val="center"/>
          </w:tcPr>
          <w:p w14:paraId="6A1C58D4">
            <w:pPr>
              <w:jc w:val="center"/>
              <w:rPr>
                <w:rFonts w:hint="eastAsia" w:ascii="宋体" w:hAnsi="宋体" w:eastAsia="宋体" w:cs="宋体"/>
                <w:color w:val="auto"/>
                <w:sz w:val="21"/>
                <w:szCs w:val="21"/>
              </w:rPr>
            </w:pPr>
          </w:p>
        </w:tc>
        <w:tc>
          <w:tcPr>
            <w:tcW w:w="1134" w:type="dxa"/>
            <w:noWrap w:val="0"/>
            <w:vAlign w:val="center"/>
          </w:tcPr>
          <w:p w14:paraId="2BA0E4E7">
            <w:pPr>
              <w:jc w:val="center"/>
              <w:rPr>
                <w:rFonts w:hint="eastAsia" w:ascii="宋体" w:hAnsi="宋体" w:eastAsia="宋体" w:cs="宋体"/>
                <w:color w:val="auto"/>
                <w:sz w:val="21"/>
                <w:szCs w:val="21"/>
              </w:rPr>
            </w:pPr>
          </w:p>
        </w:tc>
        <w:tc>
          <w:tcPr>
            <w:tcW w:w="1510" w:type="dxa"/>
            <w:noWrap w:val="0"/>
            <w:vAlign w:val="center"/>
          </w:tcPr>
          <w:p w14:paraId="6E5C7495">
            <w:pPr>
              <w:jc w:val="center"/>
              <w:rPr>
                <w:rFonts w:hint="eastAsia" w:ascii="宋体" w:hAnsi="宋体" w:eastAsia="宋体" w:cs="宋体"/>
                <w:color w:val="auto"/>
                <w:sz w:val="21"/>
                <w:szCs w:val="21"/>
              </w:rPr>
            </w:pPr>
          </w:p>
        </w:tc>
        <w:tc>
          <w:tcPr>
            <w:tcW w:w="1590" w:type="dxa"/>
            <w:noWrap w:val="0"/>
            <w:vAlign w:val="center"/>
          </w:tcPr>
          <w:p w14:paraId="45370620">
            <w:pPr>
              <w:rPr>
                <w:rFonts w:hint="eastAsia" w:ascii="宋体" w:hAnsi="宋体" w:eastAsia="宋体" w:cs="宋体"/>
                <w:color w:val="auto"/>
                <w:sz w:val="21"/>
                <w:szCs w:val="21"/>
              </w:rPr>
            </w:pPr>
          </w:p>
        </w:tc>
      </w:tr>
      <w:tr w14:paraId="787B5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508DDB1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2184" w:type="dxa"/>
            <w:noWrap w:val="0"/>
            <w:vAlign w:val="center"/>
          </w:tcPr>
          <w:p w14:paraId="1E108E0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养老保险</w:t>
            </w:r>
          </w:p>
        </w:tc>
        <w:tc>
          <w:tcPr>
            <w:tcW w:w="651" w:type="dxa"/>
            <w:noWrap w:val="0"/>
            <w:vAlign w:val="center"/>
          </w:tcPr>
          <w:p w14:paraId="3ECFEE46">
            <w:pPr>
              <w:jc w:val="center"/>
              <w:rPr>
                <w:rFonts w:hint="eastAsia" w:ascii="宋体" w:hAnsi="宋体" w:eastAsia="宋体" w:cs="宋体"/>
                <w:color w:val="auto"/>
                <w:sz w:val="21"/>
                <w:szCs w:val="21"/>
              </w:rPr>
            </w:pPr>
          </w:p>
        </w:tc>
        <w:tc>
          <w:tcPr>
            <w:tcW w:w="1559" w:type="dxa"/>
            <w:noWrap w:val="0"/>
            <w:vAlign w:val="center"/>
          </w:tcPr>
          <w:p w14:paraId="13FDC907">
            <w:pPr>
              <w:jc w:val="center"/>
              <w:rPr>
                <w:rFonts w:hint="eastAsia" w:ascii="宋体" w:hAnsi="宋体" w:eastAsia="宋体" w:cs="宋体"/>
                <w:color w:val="auto"/>
                <w:sz w:val="21"/>
                <w:szCs w:val="21"/>
              </w:rPr>
            </w:pPr>
          </w:p>
        </w:tc>
        <w:tc>
          <w:tcPr>
            <w:tcW w:w="1134" w:type="dxa"/>
            <w:noWrap w:val="0"/>
            <w:vAlign w:val="center"/>
          </w:tcPr>
          <w:p w14:paraId="492DE03E">
            <w:pPr>
              <w:jc w:val="center"/>
              <w:rPr>
                <w:rFonts w:hint="eastAsia" w:ascii="宋体" w:hAnsi="宋体" w:eastAsia="宋体" w:cs="宋体"/>
                <w:color w:val="auto"/>
                <w:sz w:val="21"/>
                <w:szCs w:val="21"/>
              </w:rPr>
            </w:pPr>
          </w:p>
        </w:tc>
        <w:tc>
          <w:tcPr>
            <w:tcW w:w="1510" w:type="dxa"/>
            <w:noWrap w:val="0"/>
            <w:vAlign w:val="center"/>
          </w:tcPr>
          <w:p w14:paraId="35EC6666">
            <w:pPr>
              <w:jc w:val="center"/>
              <w:rPr>
                <w:rFonts w:hint="eastAsia" w:ascii="宋体" w:hAnsi="宋体" w:eastAsia="宋体" w:cs="宋体"/>
                <w:color w:val="auto"/>
                <w:sz w:val="21"/>
                <w:szCs w:val="21"/>
              </w:rPr>
            </w:pPr>
          </w:p>
        </w:tc>
        <w:tc>
          <w:tcPr>
            <w:tcW w:w="1590" w:type="dxa"/>
            <w:noWrap w:val="0"/>
            <w:vAlign w:val="top"/>
          </w:tcPr>
          <w:p w14:paraId="190973A4">
            <w:pPr>
              <w:rPr>
                <w:rFonts w:hint="eastAsia" w:ascii="宋体" w:hAnsi="宋体" w:eastAsia="宋体" w:cs="宋体"/>
                <w:color w:val="auto"/>
                <w:sz w:val="21"/>
                <w:szCs w:val="21"/>
              </w:rPr>
            </w:pPr>
            <w:bookmarkStart w:id="141" w:name="OLE_LINK15"/>
            <w:bookmarkStart w:id="142" w:name="OLE_LINK16"/>
            <w:r>
              <w:rPr>
                <w:rFonts w:hint="eastAsia" w:ascii="宋体" w:hAnsi="宋体" w:eastAsia="宋体" w:cs="宋体"/>
                <w:color w:val="auto"/>
                <w:sz w:val="21"/>
                <w:szCs w:val="21"/>
              </w:rPr>
              <w:t>按人员配置总数不少于11人计算</w:t>
            </w:r>
            <w:bookmarkEnd w:id="141"/>
            <w:bookmarkEnd w:id="142"/>
          </w:p>
        </w:tc>
      </w:tr>
      <w:tr w14:paraId="3D78FA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5D17598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2184" w:type="dxa"/>
            <w:noWrap w:val="0"/>
            <w:vAlign w:val="center"/>
          </w:tcPr>
          <w:p w14:paraId="14E5E3E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医疗统筹</w:t>
            </w:r>
          </w:p>
        </w:tc>
        <w:tc>
          <w:tcPr>
            <w:tcW w:w="651" w:type="dxa"/>
            <w:noWrap w:val="0"/>
            <w:vAlign w:val="center"/>
          </w:tcPr>
          <w:p w14:paraId="14FFE227">
            <w:pPr>
              <w:jc w:val="center"/>
              <w:rPr>
                <w:rFonts w:hint="eastAsia" w:ascii="宋体" w:hAnsi="宋体" w:eastAsia="宋体" w:cs="宋体"/>
                <w:color w:val="auto"/>
                <w:sz w:val="21"/>
                <w:szCs w:val="21"/>
              </w:rPr>
            </w:pPr>
          </w:p>
        </w:tc>
        <w:tc>
          <w:tcPr>
            <w:tcW w:w="1559" w:type="dxa"/>
            <w:noWrap w:val="0"/>
            <w:vAlign w:val="center"/>
          </w:tcPr>
          <w:p w14:paraId="38BD578A">
            <w:pPr>
              <w:jc w:val="center"/>
              <w:rPr>
                <w:rFonts w:hint="eastAsia" w:ascii="宋体" w:hAnsi="宋体" w:eastAsia="宋体" w:cs="宋体"/>
                <w:color w:val="auto"/>
                <w:sz w:val="21"/>
                <w:szCs w:val="21"/>
              </w:rPr>
            </w:pPr>
          </w:p>
        </w:tc>
        <w:tc>
          <w:tcPr>
            <w:tcW w:w="1134" w:type="dxa"/>
            <w:noWrap w:val="0"/>
            <w:vAlign w:val="center"/>
          </w:tcPr>
          <w:p w14:paraId="2AA38FC9">
            <w:pPr>
              <w:jc w:val="center"/>
              <w:rPr>
                <w:rFonts w:hint="eastAsia" w:ascii="宋体" w:hAnsi="宋体" w:eastAsia="宋体" w:cs="宋体"/>
                <w:color w:val="auto"/>
                <w:sz w:val="21"/>
                <w:szCs w:val="21"/>
              </w:rPr>
            </w:pPr>
          </w:p>
        </w:tc>
        <w:tc>
          <w:tcPr>
            <w:tcW w:w="1510" w:type="dxa"/>
            <w:noWrap w:val="0"/>
            <w:vAlign w:val="center"/>
          </w:tcPr>
          <w:p w14:paraId="0887B09A">
            <w:pPr>
              <w:jc w:val="center"/>
              <w:rPr>
                <w:rFonts w:hint="eastAsia" w:ascii="宋体" w:hAnsi="宋体" w:eastAsia="宋体" w:cs="宋体"/>
                <w:color w:val="auto"/>
                <w:sz w:val="21"/>
                <w:szCs w:val="21"/>
              </w:rPr>
            </w:pPr>
          </w:p>
        </w:tc>
        <w:tc>
          <w:tcPr>
            <w:tcW w:w="1590" w:type="dxa"/>
            <w:noWrap w:val="0"/>
            <w:vAlign w:val="top"/>
          </w:tcPr>
          <w:p w14:paraId="44835F97">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按人员配置总数不少于11人计算</w:t>
            </w:r>
          </w:p>
        </w:tc>
      </w:tr>
      <w:tr w14:paraId="252F0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4B76BF3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2184" w:type="dxa"/>
            <w:noWrap w:val="0"/>
            <w:vAlign w:val="center"/>
          </w:tcPr>
          <w:p w14:paraId="718A8B6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失业</w:t>
            </w:r>
          </w:p>
        </w:tc>
        <w:tc>
          <w:tcPr>
            <w:tcW w:w="651" w:type="dxa"/>
            <w:noWrap w:val="0"/>
            <w:vAlign w:val="center"/>
          </w:tcPr>
          <w:p w14:paraId="6E31DECE">
            <w:pPr>
              <w:jc w:val="center"/>
              <w:rPr>
                <w:rFonts w:hint="eastAsia" w:ascii="宋体" w:hAnsi="宋体" w:eastAsia="宋体" w:cs="宋体"/>
                <w:color w:val="auto"/>
                <w:sz w:val="21"/>
                <w:szCs w:val="21"/>
              </w:rPr>
            </w:pPr>
          </w:p>
        </w:tc>
        <w:tc>
          <w:tcPr>
            <w:tcW w:w="1559" w:type="dxa"/>
            <w:noWrap w:val="0"/>
            <w:vAlign w:val="center"/>
          </w:tcPr>
          <w:p w14:paraId="72C61840">
            <w:pPr>
              <w:jc w:val="center"/>
              <w:rPr>
                <w:rFonts w:hint="eastAsia" w:ascii="宋体" w:hAnsi="宋体" w:eastAsia="宋体" w:cs="宋体"/>
                <w:color w:val="auto"/>
                <w:sz w:val="21"/>
                <w:szCs w:val="21"/>
              </w:rPr>
            </w:pPr>
          </w:p>
        </w:tc>
        <w:tc>
          <w:tcPr>
            <w:tcW w:w="1134" w:type="dxa"/>
            <w:noWrap w:val="0"/>
            <w:vAlign w:val="center"/>
          </w:tcPr>
          <w:p w14:paraId="5810D77A">
            <w:pPr>
              <w:jc w:val="center"/>
              <w:rPr>
                <w:rFonts w:hint="eastAsia" w:ascii="宋体" w:hAnsi="宋体" w:eastAsia="宋体" w:cs="宋体"/>
                <w:color w:val="auto"/>
                <w:sz w:val="21"/>
                <w:szCs w:val="21"/>
              </w:rPr>
            </w:pPr>
          </w:p>
        </w:tc>
        <w:tc>
          <w:tcPr>
            <w:tcW w:w="1510" w:type="dxa"/>
            <w:noWrap w:val="0"/>
            <w:vAlign w:val="center"/>
          </w:tcPr>
          <w:p w14:paraId="6C596A22">
            <w:pPr>
              <w:jc w:val="center"/>
              <w:rPr>
                <w:rFonts w:hint="eastAsia" w:ascii="宋体" w:hAnsi="宋体" w:eastAsia="宋体" w:cs="宋体"/>
                <w:color w:val="auto"/>
                <w:sz w:val="21"/>
                <w:szCs w:val="21"/>
              </w:rPr>
            </w:pPr>
          </w:p>
        </w:tc>
        <w:tc>
          <w:tcPr>
            <w:tcW w:w="1590" w:type="dxa"/>
            <w:noWrap w:val="0"/>
            <w:vAlign w:val="top"/>
          </w:tcPr>
          <w:p w14:paraId="7B5204A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按人员配置总数不少于11人计算</w:t>
            </w:r>
          </w:p>
        </w:tc>
      </w:tr>
      <w:tr w14:paraId="1F8CA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093B0A4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2184" w:type="dxa"/>
            <w:noWrap w:val="0"/>
            <w:vAlign w:val="center"/>
          </w:tcPr>
          <w:p w14:paraId="02D332DE">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工伤</w:t>
            </w:r>
          </w:p>
        </w:tc>
        <w:tc>
          <w:tcPr>
            <w:tcW w:w="651" w:type="dxa"/>
            <w:noWrap w:val="0"/>
            <w:vAlign w:val="center"/>
          </w:tcPr>
          <w:p w14:paraId="3628D248">
            <w:pPr>
              <w:jc w:val="center"/>
              <w:rPr>
                <w:rFonts w:hint="eastAsia" w:ascii="宋体" w:hAnsi="宋体" w:eastAsia="宋体" w:cs="宋体"/>
                <w:color w:val="auto"/>
                <w:sz w:val="21"/>
                <w:szCs w:val="21"/>
              </w:rPr>
            </w:pPr>
          </w:p>
        </w:tc>
        <w:tc>
          <w:tcPr>
            <w:tcW w:w="1559" w:type="dxa"/>
            <w:noWrap w:val="0"/>
            <w:vAlign w:val="center"/>
          </w:tcPr>
          <w:p w14:paraId="78DDF82F">
            <w:pPr>
              <w:jc w:val="center"/>
              <w:rPr>
                <w:rFonts w:hint="eastAsia" w:ascii="宋体" w:hAnsi="宋体" w:eastAsia="宋体" w:cs="宋体"/>
                <w:color w:val="auto"/>
                <w:sz w:val="21"/>
                <w:szCs w:val="21"/>
              </w:rPr>
            </w:pPr>
          </w:p>
        </w:tc>
        <w:tc>
          <w:tcPr>
            <w:tcW w:w="1134" w:type="dxa"/>
            <w:noWrap w:val="0"/>
            <w:vAlign w:val="center"/>
          </w:tcPr>
          <w:p w14:paraId="066C0511">
            <w:pPr>
              <w:jc w:val="center"/>
              <w:rPr>
                <w:rFonts w:hint="eastAsia" w:ascii="宋体" w:hAnsi="宋体" w:eastAsia="宋体" w:cs="宋体"/>
                <w:color w:val="auto"/>
                <w:sz w:val="21"/>
                <w:szCs w:val="21"/>
              </w:rPr>
            </w:pPr>
          </w:p>
        </w:tc>
        <w:tc>
          <w:tcPr>
            <w:tcW w:w="1510" w:type="dxa"/>
            <w:noWrap w:val="0"/>
            <w:vAlign w:val="center"/>
          </w:tcPr>
          <w:p w14:paraId="77C9DB74">
            <w:pPr>
              <w:jc w:val="center"/>
              <w:rPr>
                <w:rFonts w:hint="eastAsia" w:ascii="宋体" w:hAnsi="宋体" w:eastAsia="宋体" w:cs="宋体"/>
                <w:color w:val="auto"/>
                <w:sz w:val="21"/>
                <w:szCs w:val="21"/>
              </w:rPr>
            </w:pPr>
          </w:p>
        </w:tc>
        <w:tc>
          <w:tcPr>
            <w:tcW w:w="1590" w:type="dxa"/>
            <w:noWrap w:val="0"/>
            <w:vAlign w:val="top"/>
          </w:tcPr>
          <w:p w14:paraId="3D86132C">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按人员配置总数不少于11人计算</w:t>
            </w:r>
          </w:p>
        </w:tc>
      </w:tr>
      <w:tr w14:paraId="7C39F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1EA44C9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2184" w:type="dxa"/>
            <w:noWrap w:val="0"/>
            <w:vAlign w:val="center"/>
          </w:tcPr>
          <w:p w14:paraId="3B13797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生育</w:t>
            </w:r>
          </w:p>
        </w:tc>
        <w:tc>
          <w:tcPr>
            <w:tcW w:w="651" w:type="dxa"/>
            <w:noWrap w:val="0"/>
            <w:vAlign w:val="center"/>
          </w:tcPr>
          <w:p w14:paraId="657216FD">
            <w:pPr>
              <w:jc w:val="center"/>
              <w:rPr>
                <w:rFonts w:hint="eastAsia" w:ascii="宋体" w:hAnsi="宋体" w:eastAsia="宋体" w:cs="宋体"/>
                <w:color w:val="auto"/>
                <w:sz w:val="21"/>
                <w:szCs w:val="21"/>
              </w:rPr>
            </w:pPr>
          </w:p>
        </w:tc>
        <w:tc>
          <w:tcPr>
            <w:tcW w:w="1559" w:type="dxa"/>
            <w:noWrap w:val="0"/>
            <w:vAlign w:val="center"/>
          </w:tcPr>
          <w:p w14:paraId="28EB828D">
            <w:pPr>
              <w:jc w:val="center"/>
              <w:rPr>
                <w:rFonts w:hint="eastAsia" w:ascii="宋体" w:hAnsi="宋体" w:eastAsia="宋体" w:cs="宋体"/>
                <w:color w:val="auto"/>
                <w:sz w:val="21"/>
                <w:szCs w:val="21"/>
              </w:rPr>
            </w:pPr>
          </w:p>
        </w:tc>
        <w:tc>
          <w:tcPr>
            <w:tcW w:w="1134" w:type="dxa"/>
            <w:noWrap w:val="0"/>
            <w:vAlign w:val="center"/>
          </w:tcPr>
          <w:p w14:paraId="3BDCBD1C">
            <w:pPr>
              <w:jc w:val="center"/>
              <w:rPr>
                <w:rFonts w:hint="eastAsia" w:ascii="宋体" w:hAnsi="宋体" w:eastAsia="宋体" w:cs="宋体"/>
                <w:color w:val="auto"/>
                <w:sz w:val="21"/>
                <w:szCs w:val="21"/>
              </w:rPr>
            </w:pPr>
          </w:p>
        </w:tc>
        <w:tc>
          <w:tcPr>
            <w:tcW w:w="1510" w:type="dxa"/>
            <w:noWrap w:val="0"/>
            <w:vAlign w:val="center"/>
          </w:tcPr>
          <w:p w14:paraId="1660C76C">
            <w:pPr>
              <w:jc w:val="center"/>
              <w:rPr>
                <w:rFonts w:hint="eastAsia" w:ascii="宋体" w:hAnsi="宋体" w:eastAsia="宋体" w:cs="宋体"/>
                <w:color w:val="auto"/>
                <w:sz w:val="21"/>
                <w:szCs w:val="21"/>
              </w:rPr>
            </w:pPr>
          </w:p>
        </w:tc>
        <w:tc>
          <w:tcPr>
            <w:tcW w:w="1590" w:type="dxa"/>
            <w:noWrap w:val="0"/>
            <w:vAlign w:val="top"/>
          </w:tcPr>
          <w:p w14:paraId="65C1BFF1">
            <w:pPr>
              <w:rPr>
                <w:rFonts w:hint="eastAsia" w:ascii="宋体" w:hAnsi="宋体" w:eastAsia="宋体" w:cs="宋体"/>
                <w:color w:val="auto"/>
                <w:sz w:val="21"/>
                <w:szCs w:val="21"/>
              </w:rPr>
            </w:pPr>
            <w:r>
              <w:rPr>
                <w:rFonts w:hint="eastAsia" w:ascii="宋体" w:hAnsi="宋体" w:eastAsia="宋体" w:cs="宋体"/>
                <w:color w:val="auto"/>
                <w:sz w:val="21"/>
                <w:szCs w:val="21"/>
              </w:rPr>
              <w:t>按人员配置总数不少于11人计算</w:t>
            </w:r>
          </w:p>
        </w:tc>
      </w:tr>
      <w:tr w14:paraId="359B2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119A95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2184" w:type="dxa"/>
            <w:noWrap w:val="0"/>
            <w:vAlign w:val="center"/>
          </w:tcPr>
          <w:p w14:paraId="2AB283B7">
            <w:pPr>
              <w:jc w:val="center"/>
              <w:rPr>
                <w:rFonts w:hint="eastAsia" w:ascii="宋体" w:hAnsi="宋体" w:eastAsia="宋体" w:cs="宋体"/>
                <w:color w:val="auto"/>
                <w:sz w:val="21"/>
                <w:szCs w:val="21"/>
              </w:rPr>
            </w:pPr>
          </w:p>
        </w:tc>
        <w:tc>
          <w:tcPr>
            <w:tcW w:w="651" w:type="dxa"/>
            <w:noWrap w:val="0"/>
            <w:vAlign w:val="center"/>
          </w:tcPr>
          <w:p w14:paraId="7694F6BE">
            <w:pPr>
              <w:jc w:val="center"/>
              <w:rPr>
                <w:rFonts w:hint="eastAsia" w:ascii="宋体" w:hAnsi="宋体" w:eastAsia="宋体" w:cs="宋体"/>
                <w:color w:val="auto"/>
                <w:sz w:val="21"/>
                <w:szCs w:val="21"/>
              </w:rPr>
            </w:pPr>
          </w:p>
        </w:tc>
        <w:tc>
          <w:tcPr>
            <w:tcW w:w="1559" w:type="dxa"/>
            <w:noWrap w:val="0"/>
            <w:vAlign w:val="center"/>
          </w:tcPr>
          <w:p w14:paraId="5EA1B6C8">
            <w:pPr>
              <w:jc w:val="center"/>
              <w:rPr>
                <w:rFonts w:hint="eastAsia" w:ascii="宋体" w:hAnsi="宋体" w:eastAsia="宋体" w:cs="宋体"/>
                <w:color w:val="auto"/>
                <w:sz w:val="21"/>
                <w:szCs w:val="21"/>
              </w:rPr>
            </w:pPr>
          </w:p>
        </w:tc>
        <w:tc>
          <w:tcPr>
            <w:tcW w:w="1134" w:type="dxa"/>
            <w:noWrap w:val="0"/>
            <w:vAlign w:val="center"/>
          </w:tcPr>
          <w:p w14:paraId="75DD40D1">
            <w:pPr>
              <w:jc w:val="center"/>
              <w:rPr>
                <w:rFonts w:hint="eastAsia" w:ascii="宋体" w:hAnsi="宋体" w:eastAsia="宋体" w:cs="宋体"/>
                <w:color w:val="auto"/>
                <w:sz w:val="21"/>
                <w:szCs w:val="21"/>
              </w:rPr>
            </w:pPr>
          </w:p>
        </w:tc>
        <w:tc>
          <w:tcPr>
            <w:tcW w:w="1510" w:type="dxa"/>
            <w:noWrap w:val="0"/>
            <w:vAlign w:val="center"/>
          </w:tcPr>
          <w:p w14:paraId="6A46E6B1">
            <w:pPr>
              <w:jc w:val="center"/>
              <w:rPr>
                <w:rFonts w:hint="eastAsia" w:ascii="宋体" w:hAnsi="宋体" w:eastAsia="宋体" w:cs="宋体"/>
                <w:color w:val="auto"/>
                <w:sz w:val="21"/>
                <w:szCs w:val="21"/>
              </w:rPr>
            </w:pPr>
          </w:p>
        </w:tc>
        <w:tc>
          <w:tcPr>
            <w:tcW w:w="1590" w:type="dxa"/>
            <w:noWrap w:val="0"/>
            <w:vAlign w:val="center"/>
          </w:tcPr>
          <w:p w14:paraId="06B065FE">
            <w:pPr>
              <w:jc w:val="center"/>
              <w:rPr>
                <w:rFonts w:hint="eastAsia" w:ascii="宋体" w:hAnsi="宋体" w:eastAsia="宋体" w:cs="宋体"/>
                <w:color w:val="auto"/>
                <w:sz w:val="21"/>
                <w:szCs w:val="21"/>
              </w:rPr>
            </w:pPr>
          </w:p>
        </w:tc>
      </w:tr>
      <w:tr w14:paraId="497A30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03" w:type="dxa"/>
            <w:noWrap w:val="0"/>
            <w:vAlign w:val="center"/>
          </w:tcPr>
          <w:p w14:paraId="1F8DEFD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w:t>
            </w:r>
          </w:p>
        </w:tc>
        <w:tc>
          <w:tcPr>
            <w:tcW w:w="2184" w:type="dxa"/>
            <w:noWrap w:val="0"/>
            <w:vAlign w:val="center"/>
          </w:tcPr>
          <w:p w14:paraId="05715F6F">
            <w:pPr>
              <w:jc w:val="center"/>
              <w:rPr>
                <w:rFonts w:hint="eastAsia" w:ascii="宋体" w:hAnsi="宋体" w:eastAsia="宋体" w:cs="宋体"/>
                <w:color w:val="auto"/>
                <w:sz w:val="21"/>
                <w:szCs w:val="21"/>
              </w:rPr>
            </w:pPr>
          </w:p>
        </w:tc>
        <w:tc>
          <w:tcPr>
            <w:tcW w:w="651" w:type="dxa"/>
            <w:noWrap w:val="0"/>
            <w:vAlign w:val="center"/>
          </w:tcPr>
          <w:p w14:paraId="0247E104">
            <w:pPr>
              <w:jc w:val="center"/>
              <w:rPr>
                <w:rFonts w:hint="eastAsia" w:ascii="宋体" w:hAnsi="宋体" w:eastAsia="宋体" w:cs="宋体"/>
                <w:color w:val="auto"/>
                <w:sz w:val="21"/>
                <w:szCs w:val="21"/>
              </w:rPr>
            </w:pPr>
          </w:p>
        </w:tc>
        <w:tc>
          <w:tcPr>
            <w:tcW w:w="1559" w:type="dxa"/>
            <w:noWrap w:val="0"/>
            <w:vAlign w:val="center"/>
          </w:tcPr>
          <w:p w14:paraId="4289E714">
            <w:pPr>
              <w:jc w:val="center"/>
              <w:rPr>
                <w:rFonts w:hint="eastAsia" w:ascii="宋体" w:hAnsi="宋体" w:eastAsia="宋体" w:cs="宋体"/>
                <w:color w:val="auto"/>
                <w:sz w:val="21"/>
                <w:szCs w:val="21"/>
              </w:rPr>
            </w:pPr>
          </w:p>
        </w:tc>
        <w:tc>
          <w:tcPr>
            <w:tcW w:w="1134" w:type="dxa"/>
            <w:noWrap w:val="0"/>
            <w:vAlign w:val="center"/>
          </w:tcPr>
          <w:p w14:paraId="1D6AC0A1">
            <w:pPr>
              <w:jc w:val="center"/>
              <w:rPr>
                <w:rFonts w:hint="eastAsia" w:ascii="宋体" w:hAnsi="宋体" w:eastAsia="宋体" w:cs="宋体"/>
                <w:color w:val="auto"/>
                <w:sz w:val="21"/>
                <w:szCs w:val="21"/>
              </w:rPr>
            </w:pPr>
          </w:p>
        </w:tc>
        <w:tc>
          <w:tcPr>
            <w:tcW w:w="1510" w:type="dxa"/>
            <w:noWrap w:val="0"/>
            <w:vAlign w:val="center"/>
          </w:tcPr>
          <w:p w14:paraId="0B0D38BC">
            <w:pPr>
              <w:jc w:val="center"/>
              <w:rPr>
                <w:rFonts w:hint="eastAsia" w:ascii="宋体" w:hAnsi="宋体" w:eastAsia="宋体" w:cs="宋体"/>
                <w:color w:val="auto"/>
                <w:sz w:val="21"/>
                <w:szCs w:val="21"/>
              </w:rPr>
            </w:pPr>
          </w:p>
        </w:tc>
        <w:tc>
          <w:tcPr>
            <w:tcW w:w="1590" w:type="dxa"/>
            <w:noWrap w:val="0"/>
            <w:vAlign w:val="center"/>
          </w:tcPr>
          <w:p w14:paraId="755309B5">
            <w:pPr>
              <w:jc w:val="center"/>
              <w:rPr>
                <w:rFonts w:hint="eastAsia" w:ascii="宋体" w:hAnsi="宋体" w:eastAsia="宋体" w:cs="宋体"/>
                <w:color w:val="auto"/>
                <w:sz w:val="21"/>
                <w:szCs w:val="21"/>
              </w:rPr>
            </w:pPr>
          </w:p>
        </w:tc>
      </w:tr>
      <w:tr w14:paraId="614EB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987" w:type="dxa"/>
            <w:gridSpan w:val="2"/>
            <w:noWrap w:val="0"/>
            <w:vAlign w:val="center"/>
          </w:tcPr>
          <w:p w14:paraId="22E24CC6">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合计：</w:t>
            </w:r>
          </w:p>
        </w:tc>
        <w:tc>
          <w:tcPr>
            <w:tcW w:w="651" w:type="dxa"/>
            <w:noWrap w:val="0"/>
            <w:vAlign w:val="center"/>
          </w:tcPr>
          <w:p w14:paraId="54842C59">
            <w:pPr>
              <w:jc w:val="center"/>
              <w:rPr>
                <w:rFonts w:hint="eastAsia" w:ascii="宋体" w:hAnsi="宋体" w:eastAsia="宋体" w:cs="宋体"/>
                <w:color w:val="auto"/>
                <w:sz w:val="21"/>
                <w:szCs w:val="21"/>
              </w:rPr>
            </w:pPr>
          </w:p>
        </w:tc>
        <w:tc>
          <w:tcPr>
            <w:tcW w:w="1559" w:type="dxa"/>
            <w:noWrap w:val="0"/>
            <w:vAlign w:val="center"/>
          </w:tcPr>
          <w:p w14:paraId="55FCB610">
            <w:pPr>
              <w:jc w:val="center"/>
              <w:rPr>
                <w:rFonts w:hint="eastAsia" w:ascii="宋体" w:hAnsi="宋体" w:eastAsia="宋体" w:cs="宋体"/>
                <w:color w:val="auto"/>
                <w:sz w:val="21"/>
                <w:szCs w:val="21"/>
              </w:rPr>
            </w:pPr>
          </w:p>
        </w:tc>
        <w:tc>
          <w:tcPr>
            <w:tcW w:w="1134" w:type="dxa"/>
            <w:noWrap w:val="0"/>
            <w:vAlign w:val="center"/>
          </w:tcPr>
          <w:p w14:paraId="28F943F2">
            <w:pPr>
              <w:jc w:val="center"/>
              <w:rPr>
                <w:rFonts w:hint="eastAsia" w:ascii="宋体" w:hAnsi="宋体" w:eastAsia="宋体" w:cs="宋体"/>
                <w:color w:val="auto"/>
                <w:sz w:val="21"/>
                <w:szCs w:val="21"/>
              </w:rPr>
            </w:pPr>
          </w:p>
        </w:tc>
        <w:tc>
          <w:tcPr>
            <w:tcW w:w="1510" w:type="dxa"/>
            <w:noWrap w:val="0"/>
            <w:vAlign w:val="center"/>
          </w:tcPr>
          <w:p w14:paraId="53FE9013">
            <w:pPr>
              <w:jc w:val="center"/>
              <w:rPr>
                <w:rFonts w:hint="eastAsia" w:ascii="宋体" w:hAnsi="宋体" w:eastAsia="宋体" w:cs="宋体"/>
                <w:color w:val="auto"/>
                <w:sz w:val="21"/>
                <w:szCs w:val="21"/>
              </w:rPr>
            </w:pPr>
          </w:p>
        </w:tc>
        <w:tc>
          <w:tcPr>
            <w:tcW w:w="1590" w:type="dxa"/>
            <w:noWrap w:val="0"/>
            <w:vAlign w:val="center"/>
          </w:tcPr>
          <w:p w14:paraId="439194A7">
            <w:pPr>
              <w:jc w:val="center"/>
              <w:rPr>
                <w:rFonts w:hint="eastAsia" w:ascii="宋体" w:hAnsi="宋体" w:eastAsia="宋体" w:cs="宋体"/>
                <w:color w:val="auto"/>
                <w:sz w:val="21"/>
                <w:szCs w:val="21"/>
              </w:rPr>
            </w:pPr>
          </w:p>
        </w:tc>
      </w:tr>
    </w:tbl>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6"/>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6"/>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63C93B46">
      <w:pPr>
        <w:ind w:firstLine="480"/>
        <w:rPr>
          <w:rFonts w:hint="eastAsia" w:ascii="宋体" w:hAnsi="宋体"/>
          <w:bCs/>
          <w:color w:val="auto"/>
          <w:highlight w:val="none"/>
        </w:rPr>
      </w:pPr>
    </w:p>
    <w:p w14:paraId="284C48F1">
      <w:pPr>
        <w:ind w:firstLine="480"/>
        <w:rPr>
          <w:rFonts w:hint="eastAsia" w:ascii="宋体" w:hAnsi="宋体"/>
          <w:bCs/>
          <w:color w:val="auto"/>
          <w:highlight w:val="none"/>
        </w:rPr>
      </w:pPr>
    </w:p>
    <w:p w14:paraId="4810D7D4">
      <w:pPr>
        <w:ind w:firstLine="480"/>
        <w:rPr>
          <w:rFonts w:hint="eastAsia" w:ascii="宋体" w:hAnsi="宋体"/>
          <w:bCs/>
          <w:color w:val="auto"/>
          <w:highlight w:val="none"/>
        </w:rPr>
      </w:pPr>
    </w:p>
    <w:p w14:paraId="3C142E97">
      <w:pPr>
        <w:ind w:firstLine="480"/>
        <w:rPr>
          <w:rFonts w:hint="eastAsia" w:ascii="宋体" w:hAnsi="宋体"/>
          <w:bCs/>
          <w:color w:val="auto"/>
          <w:highlight w:val="none"/>
        </w:rPr>
      </w:pPr>
    </w:p>
    <w:p w14:paraId="505C79E1">
      <w:pPr>
        <w:ind w:firstLine="480"/>
        <w:rPr>
          <w:rFonts w:hint="eastAsia" w:ascii="宋体" w:hAnsi="宋体"/>
          <w:bCs/>
          <w:color w:val="auto"/>
          <w:highlight w:val="none"/>
        </w:rPr>
      </w:pPr>
    </w:p>
    <w:p w14:paraId="7832DFC8">
      <w:pPr>
        <w:ind w:firstLine="480"/>
        <w:rPr>
          <w:rFonts w:hint="eastAsia" w:ascii="宋体" w:hAnsi="宋体"/>
          <w:bCs/>
          <w:color w:val="auto"/>
          <w:highlight w:val="none"/>
        </w:rPr>
      </w:pPr>
    </w:p>
    <w:p w14:paraId="2CFC46A3">
      <w:pPr>
        <w:ind w:firstLine="480"/>
        <w:rPr>
          <w:rFonts w:hint="eastAsia" w:ascii="宋体" w:hAnsi="宋体"/>
          <w:bCs/>
          <w:color w:val="auto"/>
          <w:highlight w:val="none"/>
        </w:rPr>
      </w:pPr>
    </w:p>
    <w:p w14:paraId="4D216542">
      <w:pPr>
        <w:ind w:firstLine="480"/>
        <w:rPr>
          <w:rFonts w:hint="eastAsia" w:ascii="宋体" w:hAnsi="宋体"/>
          <w:bCs/>
          <w:color w:val="auto"/>
          <w:highlight w:val="none"/>
        </w:rPr>
      </w:pPr>
    </w:p>
    <w:p w14:paraId="124D621F">
      <w:pPr>
        <w:ind w:firstLine="480"/>
        <w:rPr>
          <w:rFonts w:hint="eastAsia" w:ascii="宋体" w:hAnsi="宋体"/>
          <w:bCs/>
          <w:color w:val="auto"/>
          <w:highlight w:val="none"/>
        </w:rPr>
      </w:pPr>
    </w:p>
    <w:p w14:paraId="5BE5F109">
      <w:pPr>
        <w:ind w:firstLine="480"/>
        <w:rPr>
          <w:rFonts w:hint="eastAsia" w:ascii="宋体" w:hAnsi="宋体"/>
          <w:bCs/>
          <w:color w:val="auto"/>
          <w:highlight w:val="none"/>
        </w:rPr>
      </w:pPr>
    </w:p>
    <w:p w14:paraId="5420BDC9">
      <w:pPr>
        <w:ind w:firstLine="480"/>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4"/>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4"/>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340"/>
        <w:gridCol w:w="1040"/>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40"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1040"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340" w:type="dxa"/>
            <w:vAlign w:val="center"/>
          </w:tcPr>
          <w:p w14:paraId="4391B686">
            <w:pPr>
              <w:jc w:val="center"/>
              <w:rPr>
                <w:rFonts w:hint="eastAsia" w:ascii="宋体" w:hAnsi="宋体"/>
                <w:color w:val="auto"/>
                <w:szCs w:val="21"/>
                <w:highlight w:val="none"/>
              </w:rPr>
            </w:pPr>
          </w:p>
        </w:tc>
        <w:tc>
          <w:tcPr>
            <w:tcW w:w="1040"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340" w:type="dxa"/>
            <w:vAlign w:val="center"/>
          </w:tcPr>
          <w:p w14:paraId="43C8E163">
            <w:pPr>
              <w:jc w:val="center"/>
              <w:rPr>
                <w:rFonts w:hint="eastAsia" w:ascii="宋体" w:hAnsi="宋体"/>
                <w:color w:val="auto"/>
                <w:szCs w:val="21"/>
                <w:highlight w:val="none"/>
              </w:rPr>
            </w:pPr>
          </w:p>
        </w:tc>
        <w:tc>
          <w:tcPr>
            <w:tcW w:w="1040"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340" w:type="dxa"/>
            <w:vAlign w:val="center"/>
          </w:tcPr>
          <w:p w14:paraId="4A143A94">
            <w:pPr>
              <w:jc w:val="center"/>
              <w:rPr>
                <w:rFonts w:hint="eastAsia" w:ascii="宋体" w:hAnsi="宋体"/>
                <w:color w:val="auto"/>
                <w:szCs w:val="21"/>
                <w:highlight w:val="none"/>
              </w:rPr>
            </w:pPr>
          </w:p>
        </w:tc>
        <w:tc>
          <w:tcPr>
            <w:tcW w:w="1040"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4"/>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JSZC-320206-JZCG-G2025-0045</w:t>
      </w:r>
    </w:p>
    <w:tbl>
      <w:tblPr>
        <w:tblStyle w:val="34"/>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8"/>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0C733C1E">
      <w:pPr>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十一  项目人员配置考察表（格式）</w:t>
      </w:r>
    </w:p>
    <w:p w14:paraId="685AFE93">
      <w:pPr>
        <w:ind w:firstLine="480"/>
        <w:outlineLvl w:val="0"/>
        <w:rPr>
          <w:rFonts w:hint="eastAsia" w:ascii="黑体" w:hAnsi="宋体" w:eastAsia="黑体"/>
          <w:bCs/>
          <w:color w:val="auto"/>
          <w:sz w:val="24"/>
          <w:szCs w:val="24"/>
          <w:highlight w:val="none"/>
        </w:rPr>
      </w:pPr>
    </w:p>
    <w:p w14:paraId="79FCD68F">
      <w:pPr>
        <w:jc w:val="center"/>
        <w:outlineLvl w:val="0"/>
        <w:rPr>
          <w:rFonts w:hint="eastAsia" w:ascii="黑体" w:hAnsi="宋体" w:eastAsia="黑体"/>
          <w:bCs/>
          <w:color w:val="auto"/>
          <w:sz w:val="24"/>
          <w:szCs w:val="24"/>
          <w:highlight w:val="none"/>
        </w:rPr>
      </w:pPr>
      <w:r>
        <w:rPr>
          <w:rFonts w:hint="eastAsia" w:ascii="黑体" w:eastAsia="黑体"/>
          <w:bCs/>
          <w:color w:val="auto"/>
          <w:sz w:val="28"/>
          <w:szCs w:val="28"/>
          <w:highlight w:val="none"/>
        </w:rPr>
        <w:t>项目人员配置考察表</w:t>
      </w:r>
    </w:p>
    <w:p w14:paraId="187684D5">
      <w:pPr>
        <w:spacing w:line="400" w:lineRule="exact"/>
        <w:ind w:firstLine="560"/>
        <w:jc w:val="center"/>
        <w:rPr>
          <w:rFonts w:ascii="黑体" w:eastAsia="黑体"/>
          <w:bCs/>
          <w:color w:val="auto"/>
          <w:sz w:val="28"/>
          <w:szCs w:val="28"/>
          <w:highlight w:val="none"/>
        </w:rPr>
      </w:pPr>
    </w:p>
    <w:p w14:paraId="1D9242D5">
      <w:pPr>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JSZC-320206-JZCG-G2025-0045</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744"/>
        <w:gridCol w:w="709"/>
        <w:gridCol w:w="834"/>
        <w:gridCol w:w="1276"/>
        <w:gridCol w:w="1285"/>
        <w:gridCol w:w="1833"/>
        <w:gridCol w:w="992"/>
      </w:tblGrid>
      <w:tr w14:paraId="778B4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vAlign w:val="center"/>
          </w:tcPr>
          <w:p w14:paraId="15FEEF03">
            <w:pPr>
              <w:jc w:val="center"/>
              <w:rPr>
                <w:b/>
                <w:color w:val="auto"/>
                <w:sz w:val="24"/>
                <w:highlight w:val="none"/>
              </w:rPr>
            </w:pPr>
            <w:r>
              <w:rPr>
                <w:rFonts w:hint="eastAsia"/>
                <w:b/>
                <w:color w:val="auto"/>
                <w:sz w:val="24"/>
                <w:highlight w:val="none"/>
              </w:rPr>
              <w:t>序号</w:t>
            </w:r>
          </w:p>
        </w:tc>
        <w:tc>
          <w:tcPr>
            <w:tcW w:w="1098" w:type="dxa"/>
            <w:vAlign w:val="center"/>
          </w:tcPr>
          <w:p w14:paraId="7EF6F094">
            <w:pPr>
              <w:jc w:val="center"/>
              <w:rPr>
                <w:b/>
                <w:color w:val="auto"/>
                <w:sz w:val="24"/>
                <w:highlight w:val="none"/>
              </w:rPr>
            </w:pPr>
            <w:r>
              <w:rPr>
                <w:rFonts w:hint="eastAsia"/>
                <w:b/>
                <w:color w:val="auto"/>
                <w:sz w:val="24"/>
                <w:highlight w:val="none"/>
              </w:rPr>
              <w:t>姓名</w:t>
            </w:r>
          </w:p>
        </w:tc>
        <w:tc>
          <w:tcPr>
            <w:tcW w:w="744" w:type="dxa"/>
            <w:vAlign w:val="center"/>
          </w:tcPr>
          <w:p w14:paraId="5356205A">
            <w:pPr>
              <w:jc w:val="center"/>
              <w:rPr>
                <w:b/>
                <w:color w:val="auto"/>
                <w:sz w:val="24"/>
                <w:highlight w:val="none"/>
              </w:rPr>
            </w:pPr>
            <w:r>
              <w:rPr>
                <w:rFonts w:hint="eastAsia"/>
                <w:b/>
                <w:color w:val="auto"/>
                <w:sz w:val="24"/>
                <w:highlight w:val="none"/>
              </w:rPr>
              <w:t>性别</w:t>
            </w:r>
          </w:p>
        </w:tc>
        <w:tc>
          <w:tcPr>
            <w:tcW w:w="709" w:type="dxa"/>
            <w:vAlign w:val="center"/>
          </w:tcPr>
          <w:p w14:paraId="249DCBAE">
            <w:pPr>
              <w:jc w:val="center"/>
              <w:rPr>
                <w:b/>
                <w:color w:val="auto"/>
                <w:sz w:val="24"/>
                <w:highlight w:val="none"/>
              </w:rPr>
            </w:pPr>
            <w:r>
              <w:rPr>
                <w:rFonts w:hint="eastAsia"/>
                <w:b/>
                <w:color w:val="auto"/>
                <w:sz w:val="24"/>
                <w:highlight w:val="none"/>
              </w:rPr>
              <w:t>年龄</w:t>
            </w:r>
          </w:p>
        </w:tc>
        <w:tc>
          <w:tcPr>
            <w:tcW w:w="834" w:type="dxa"/>
            <w:vAlign w:val="center"/>
          </w:tcPr>
          <w:p w14:paraId="5A814418">
            <w:pPr>
              <w:jc w:val="center"/>
              <w:rPr>
                <w:b/>
                <w:color w:val="auto"/>
                <w:sz w:val="24"/>
                <w:highlight w:val="none"/>
              </w:rPr>
            </w:pPr>
            <w:r>
              <w:rPr>
                <w:rFonts w:hint="eastAsia"/>
                <w:b/>
                <w:color w:val="auto"/>
                <w:sz w:val="24"/>
                <w:highlight w:val="none"/>
              </w:rPr>
              <w:t>学历</w:t>
            </w:r>
          </w:p>
        </w:tc>
        <w:tc>
          <w:tcPr>
            <w:tcW w:w="1276" w:type="dxa"/>
            <w:vAlign w:val="center"/>
          </w:tcPr>
          <w:p w14:paraId="3BB17FBF">
            <w:pPr>
              <w:jc w:val="center"/>
              <w:rPr>
                <w:b/>
                <w:color w:val="auto"/>
                <w:sz w:val="24"/>
                <w:highlight w:val="none"/>
              </w:rPr>
            </w:pPr>
            <w:r>
              <w:rPr>
                <w:rFonts w:hint="eastAsia"/>
                <w:b/>
                <w:color w:val="auto"/>
                <w:sz w:val="24"/>
                <w:highlight w:val="none"/>
              </w:rPr>
              <w:t>岗位职责</w:t>
            </w:r>
          </w:p>
        </w:tc>
        <w:tc>
          <w:tcPr>
            <w:tcW w:w="1285" w:type="dxa"/>
            <w:vAlign w:val="center"/>
          </w:tcPr>
          <w:p w14:paraId="180FA5EC">
            <w:pPr>
              <w:jc w:val="center"/>
              <w:rPr>
                <w:b/>
                <w:color w:val="auto"/>
                <w:sz w:val="24"/>
                <w:highlight w:val="none"/>
              </w:rPr>
            </w:pPr>
            <w:r>
              <w:rPr>
                <w:rFonts w:hint="eastAsia"/>
                <w:b/>
                <w:color w:val="auto"/>
                <w:sz w:val="24"/>
                <w:highlight w:val="none"/>
              </w:rPr>
              <w:t>人员证书名称</w:t>
            </w:r>
          </w:p>
        </w:tc>
        <w:tc>
          <w:tcPr>
            <w:tcW w:w="1833" w:type="dxa"/>
            <w:vAlign w:val="center"/>
          </w:tcPr>
          <w:p w14:paraId="5D9D0990">
            <w:pPr>
              <w:jc w:val="center"/>
              <w:rPr>
                <w:b/>
                <w:color w:val="auto"/>
                <w:sz w:val="24"/>
                <w:highlight w:val="none"/>
              </w:rPr>
            </w:pPr>
            <w:r>
              <w:rPr>
                <w:rFonts w:hint="eastAsia"/>
                <w:b/>
                <w:color w:val="auto"/>
                <w:sz w:val="24"/>
                <w:highlight w:val="none"/>
              </w:rPr>
              <w:t>人员经验描述</w:t>
            </w:r>
          </w:p>
          <w:p w14:paraId="5297F94A">
            <w:pPr>
              <w:jc w:val="center"/>
              <w:rPr>
                <w:b/>
                <w:color w:val="auto"/>
                <w:sz w:val="24"/>
                <w:highlight w:val="none"/>
              </w:rPr>
            </w:pPr>
            <w:r>
              <w:rPr>
                <w:rFonts w:hint="eastAsia"/>
                <w:b/>
                <w:color w:val="auto"/>
                <w:sz w:val="24"/>
                <w:highlight w:val="none"/>
              </w:rPr>
              <w:t>（如有要求）</w:t>
            </w:r>
          </w:p>
        </w:tc>
        <w:tc>
          <w:tcPr>
            <w:tcW w:w="992" w:type="dxa"/>
            <w:vAlign w:val="center"/>
          </w:tcPr>
          <w:p w14:paraId="588D608B">
            <w:pPr>
              <w:jc w:val="center"/>
              <w:rPr>
                <w:b/>
                <w:color w:val="auto"/>
                <w:sz w:val="24"/>
                <w:highlight w:val="none"/>
              </w:rPr>
            </w:pPr>
            <w:r>
              <w:rPr>
                <w:rFonts w:hint="eastAsia"/>
                <w:b/>
                <w:color w:val="auto"/>
                <w:sz w:val="24"/>
                <w:highlight w:val="none"/>
              </w:rPr>
              <w:t>备注</w:t>
            </w:r>
          </w:p>
        </w:tc>
      </w:tr>
      <w:tr w14:paraId="623F7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40C415E5">
            <w:pPr>
              <w:outlineLvl w:val="0"/>
              <w:rPr>
                <w:rFonts w:ascii="黑体" w:eastAsia="黑体"/>
                <w:bCs/>
                <w:color w:val="auto"/>
                <w:sz w:val="24"/>
                <w:szCs w:val="24"/>
                <w:highlight w:val="none"/>
              </w:rPr>
            </w:pPr>
          </w:p>
        </w:tc>
        <w:tc>
          <w:tcPr>
            <w:tcW w:w="1098" w:type="dxa"/>
          </w:tcPr>
          <w:p w14:paraId="00E5C2C6">
            <w:pPr>
              <w:outlineLvl w:val="0"/>
              <w:rPr>
                <w:rFonts w:ascii="黑体" w:eastAsia="黑体"/>
                <w:bCs/>
                <w:color w:val="auto"/>
                <w:sz w:val="24"/>
                <w:szCs w:val="24"/>
                <w:highlight w:val="none"/>
              </w:rPr>
            </w:pPr>
          </w:p>
        </w:tc>
        <w:tc>
          <w:tcPr>
            <w:tcW w:w="744" w:type="dxa"/>
            <w:vAlign w:val="center"/>
          </w:tcPr>
          <w:p w14:paraId="0C49D8DB">
            <w:pPr>
              <w:jc w:val="center"/>
              <w:outlineLvl w:val="0"/>
              <w:rPr>
                <w:rFonts w:ascii="黑体" w:eastAsia="黑体"/>
                <w:bCs/>
                <w:color w:val="auto"/>
                <w:sz w:val="24"/>
                <w:szCs w:val="24"/>
                <w:highlight w:val="none"/>
              </w:rPr>
            </w:pPr>
          </w:p>
        </w:tc>
        <w:tc>
          <w:tcPr>
            <w:tcW w:w="709" w:type="dxa"/>
            <w:vAlign w:val="center"/>
          </w:tcPr>
          <w:p w14:paraId="7F16D69D">
            <w:pPr>
              <w:jc w:val="center"/>
              <w:outlineLvl w:val="0"/>
              <w:rPr>
                <w:rFonts w:ascii="黑体" w:eastAsia="黑体"/>
                <w:bCs/>
                <w:color w:val="auto"/>
                <w:sz w:val="24"/>
                <w:szCs w:val="24"/>
                <w:highlight w:val="none"/>
              </w:rPr>
            </w:pPr>
          </w:p>
        </w:tc>
        <w:tc>
          <w:tcPr>
            <w:tcW w:w="834" w:type="dxa"/>
            <w:vAlign w:val="center"/>
          </w:tcPr>
          <w:p w14:paraId="4BCE6B30">
            <w:pPr>
              <w:jc w:val="center"/>
              <w:outlineLvl w:val="0"/>
              <w:rPr>
                <w:rFonts w:ascii="黑体" w:eastAsia="黑体"/>
                <w:bCs/>
                <w:color w:val="auto"/>
                <w:sz w:val="24"/>
                <w:szCs w:val="24"/>
                <w:highlight w:val="none"/>
              </w:rPr>
            </w:pPr>
          </w:p>
        </w:tc>
        <w:tc>
          <w:tcPr>
            <w:tcW w:w="1276" w:type="dxa"/>
            <w:vAlign w:val="center"/>
          </w:tcPr>
          <w:p w14:paraId="643A88D9">
            <w:pPr>
              <w:jc w:val="center"/>
              <w:outlineLvl w:val="0"/>
              <w:rPr>
                <w:rFonts w:ascii="黑体" w:eastAsia="黑体"/>
                <w:bCs/>
                <w:color w:val="auto"/>
                <w:sz w:val="24"/>
                <w:szCs w:val="24"/>
                <w:highlight w:val="none"/>
              </w:rPr>
            </w:pPr>
          </w:p>
        </w:tc>
        <w:tc>
          <w:tcPr>
            <w:tcW w:w="1285" w:type="dxa"/>
            <w:vAlign w:val="center"/>
          </w:tcPr>
          <w:p w14:paraId="23F56A07">
            <w:pPr>
              <w:jc w:val="center"/>
              <w:outlineLvl w:val="0"/>
              <w:rPr>
                <w:rFonts w:ascii="黑体" w:eastAsia="黑体"/>
                <w:bCs/>
                <w:color w:val="auto"/>
                <w:sz w:val="24"/>
                <w:szCs w:val="24"/>
                <w:highlight w:val="none"/>
              </w:rPr>
            </w:pPr>
          </w:p>
        </w:tc>
        <w:tc>
          <w:tcPr>
            <w:tcW w:w="1833" w:type="dxa"/>
            <w:vAlign w:val="center"/>
          </w:tcPr>
          <w:p w14:paraId="18646C08">
            <w:pPr>
              <w:jc w:val="center"/>
              <w:outlineLvl w:val="0"/>
              <w:rPr>
                <w:rFonts w:ascii="黑体" w:eastAsia="黑体"/>
                <w:bCs/>
                <w:color w:val="auto"/>
                <w:sz w:val="24"/>
                <w:szCs w:val="24"/>
                <w:highlight w:val="none"/>
              </w:rPr>
            </w:pPr>
          </w:p>
        </w:tc>
        <w:tc>
          <w:tcPr>
            <w:tcW w:w="992" w:type="dxa"/>
            <w:vAlign w:val="center"/>
          </w:tcPr>
          <w:p w14:paraId="505853C6">
            <w:pPr>
              <w:jc w:val="center"/>
              <w:outlineLvl w:val="0"/>
              <w:rPr>
                <w:rFonts w:ascii="黑体" w:eastAsia="黑体"/>
                <w:bCs/>
                <w:color w:val="auto"/>
                <w:sz w:val="24"/>
                <w:szCs w:val="24"/>
                <w:highlight w:val="none"/>
              </w:rPr>
            </w:pPr>
          </w:p>
        </w:tc>
      </w:tr>
      <w:tr w14:paraId="4796F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02446BB">
            <w:pPr>
              <w:outlineLvl w:val="0"/>
              <w:rPr>
                <w:rFonts w:ascii="黑体" w:eastAsia="黑体"/>
                <w:bCs/>
                <w:color w:val="auto"/>
                <w:sz w:val="24"/>
                <w:szCs w:val="24"/>
                <w:highlight w:val="none"/>
              </w:rPr>
            </w:pPr>
          </w:p>
        </w:tc>
        <w:tc>
          <w:tcPr>
            <w:tcW w:w="1098" w:type="dxa"/>
          </w:tcPr>
          <w:p w14:paraId="10A57945">
            <w:pPr>
              <w:outlineLvl w:val="0"/>
              <w:rPr>
                <w:rFonts w:ascii="黑体" w:eastAsia="黑体"/>
                <w:bCs/>
                <w:color w:val="auto"/>
                <w:sz w:val="24"/>
                <w:szCs w:val="24"/>
                <w:highlight w:val="none"/>
              </w:rPr>
            </w:pPr>
          </w:p>
        </w:tc>
        <w:tc>
          <w:tcPr>
            <w:tcW w:w="744" w:type="dxa"/>
            <w:vAlign w:val="center"/>
          </w:tcPr>
          <w:p w14:paraId="633154D6">
            <w:pPr>
              <w:jc w:val="center"/>
              <w:outlineLvl w:val="0"/>
              <w:rPr>
                <w:rFonts w:ascii="黑体" w:eastAsia="黑体"/>
                <w:bCs/>
                <w:color w:val="auto"/>
                <w:sz w:val="24"/>
                <w:szCs w:val="24"/>
                <w:highlight w:val="none"/>
              </w:rPr>
            </w:pPr>
          </w:p>
        </w:tc>
        <w:tc>
          <w:tcPr>
            <w:tcW w:w="709" w:type="dxa"/>
            <w:vAlign w:val="center"/>
          </w:tcPr>
          <w:p w14:paraId="4034F827">
            <w:pPr>
              <w:jc w:val="center"/>
              <w:outlineLvl w:val="0"/>
              <w:rPr>
                <w:rFonts w:ascii="黑体" w:eastAsia="黑体"/>
                <w:bCs/>
                <w:color w:val="auto"/>
                <w:sz w:val="24"/>
                <w:szCs w:val="24"/>
                <w:highlight w:val="none"/>
              </w:rPr>
            </w:pPr>
          </w:p>
        </w:tc>
        <w:tc>
          <w:tcPr>
            <w:tcW w:w="834" w:type="dxa"/>
            <w:vAlign w:val="center"/>
          </w:tcPr>
          <w:p w14:paraId="19944AC2">
            <w:pPr>
              <w:jc w:val="center"/>
              <w:outlineLvl w:val="0"/>
              <w:rPr>
                <w:rFonts w:ascii="黑体" w:eastAsia="黑体"/>
                <w:bCs/>
                <w:color w:val="auto"/>
                <w:sz w:val="24"/>
                <w:szCs w:val="24"/>
                <w:highlight w:val="none"/>
              </w:rPr>
            </w:pPr>
          </w:p>
        </w:tc>
        <w:tc>
          <w:tcPr>
            <w:tcW w:w="1276" w:type="dxa"/>
            <w:vAlign w:val="center"/>
          </w:tcPr>
          <w:p w14:paraId="6402DE41">
            <w:pPr>
              <w:jc w:val="center"/>
              <w:outlineLvl w:val="0"/>
              <w:rPr>
                <w:rFonts w:ascii="黑体" w:eastAsia="黑体"/>
                <w:bCs/>
                <w:color w:val="auto"/>
                <w:sz w:val="24"/>
                <w:szCs w:val="24"/>
                <w:highlight w:val="none"/>
              </w:rPr>
            </w:pPr>
          </w:p>
        </w:tc>
        <w:tc>
          <w:tcPr>
            <w:tcW w:w="1285" w:type="dxa"/>
            <w:vAlign w:val="center"/>
          </w:tcPr>
          <w:p w14:paraId="30E26470">
            <w:pPr>
              <w:jc w:val="center"/>
              <w:outlineLvl w:val="0"/>
              <w:rPr>
                <w:rFonts w:ascii="黑体" w:eastAsia="黑体"/>
                <w:bCs/>
                <w:color w:val="auto"/>
                <w:sz w:val="24"/>
                <w:szCs w:val="24"/>
                <w:highlight w:val="none"/>
              </w:rPr>
            </w:pPr>
          </w:p>
        </w:tc>
        <w:tc>
          <w:tcPr>
            <w:tcW w:w="1833" w:type="dxa"/>
            <w:vAlign w:val="center"/>
          </w:tcPr>
          <w:p w14:paraId="27C8225E">
            <w:pPr>
              <w:jc w:val="center"/>
              <w:outlineLvl w:val="0"/>
              <w:rPr>
                <w:rFonts w:ascii="黑体" w:eastAsia="黑体"/>
                <w:bCs/>
                <w:color w:val="auto"/>
                <w:sz w:val="24"/>
                <w:szCs w:val="24"/>
                <w:highlight w:val="none"/>
              </w:rPr>
            </w:pPr>
          </w:p>
        </w:tc>
        <w:tc>
          <w:tcPr>
            <w:tcW w:w="992" w:type="dxa"/>
            <w:vAlign w:val="center"/>
          </w:tcPr>
          <w:p w14:paraId="0AD0CFDF">
            <w:pPr>
              <w:jc w:val="center"/>
              <w:outlineLvl w:val="0"/>
              <w:rPr>
                <w:rFonts w:ascii="黑体" w:eastAsia="黑体"/>
                <w:bCs/>
                <w:color w:val="auto"/>
                <w:sz w:val="24"/>
                <w:szCs w:val="24"/>
                <w:highlight w:val="none"/>
              </w:rPr>
            </w:pPr>
          </w:p>
        </w:tc>
      </w:tr>
      <w:tr w14:paraId="75432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21E9EEF0">
            <w:pPr>
              <w:outlineLvl w:val="0"/>
              <w:rPr>
                <w:rFonts w:ascii="黑体" w:eastAsia="黑体"/>
                <w:bCs/>
                <w:color w:val="auto"/>
                <w:sz w:val="24"/>
                <w:szCs w:val="24"/>
                <w:highlight w:val="none"/>
              </w:rPr>
            </w:pPr>
          </w:p>
        </w:tc>
        <w:tc>
          <w:tcPr>
            <w:tcW w:w="1098" w:type="dxa"/>
          </w:tcPr>
          <w:p w14:paraId="7E503114">
            <w:pPr>
              <w:outlineLvl w:val="0"/>
              <w:rPr>
                <w:rFonts w:ascii="黑体" w:eastAsia="黑体"/>
                <w:bCs/>
                <w:color w:val="auto"/>
                <w:sz w:val="24"/>
                <w:szCs w:val="24"/>
                <w:highlight w:val="none"/>
              </w:rPr>
            </w:pPr>
          </w:p>
        </w:tc>
        <w:tc>
          <w:tcPr>
            <w:tcW w:w="744" w:type="dxa"/>
            <w:vAlign w:val="center"/>
          </w:tcPr>
          <w:p w14:paraId="579FDDA3">
            <w:pPr>
              <w:jc w:val="center"/>
              <w:outlineLvl w:val="0"/>
              <w:rPr>
                <w:rFonts w:ascii="黑体" w:eastAsia="黑体"/>
                <w:bCs/>
                <w:color w:val="auto"/>
                <w:sz w:val="24"/>
                <w:szCs w:val="24"/>
                <w:highlight w:val="none"/>
              </w:rPr>
            </w:pPr>
          </w:p>
        </w:tc>
        <w:tc>
          <w:tcPr>
            <w:tcW w:w="709" w:type="dxa"/>
            <w:vAlign w:val="center"/>
          </w:tcPr>
          <w:p w14:paraId="0B7FD281">
            <w:pPr>
              <w:jc w:val="center"/>
              <w:outlineLvl w:val="0"/>
              <w:rPr>
                <w:rFonts w:ascii="黑体" w:eastAsia="黑体"/>
                <w:bCs/>
                <w:color w:val="auto"/>
                <w:sz w:val="24"/>
                <w:szCs w:val="24"/>
                <w:highlight w:val="none"/>
              </w:rPr>
            </w:pPr>
          </w:p>
        </w:tc>
        <w:tc>
          <w:tcPr>
            <w:tcW w:w="834" w:type="dxa"/>
            <w:vAlign w:val="center"/>
          </w:tcPr>
          <w:p w14:paraId="0CD1E45B">
            <w:pPr>
              <w:jc w:val="center"/>
              <w:outlineLvl w:val="0"/>
              <w:rPr>
                <w:rFonts w:ascii="黑体" w:eastAsia="黑体"/>
                <w:bCs/>
                <w:color w:val="auto"/>
                <w:sz w:val="24"/>
                <w:szCs w:val="24"/>
                <w:highlight w:val="none"/>
              </w:rPr>
            </w:pPr>
          </w:p>
        </w:tc>
        <w:tc>
          <w:tcPr>
            <w:tcW w:w="1276" w:type="dxa"/>
            <w:vAlign w:val="center"/>
          </w:tcPr>
          <w:p w14:paraId="26EBF5D4">
            <w:pPr>
              <w:jc w:val="center"/>
              <w:outlineLvl w:val="0"/>
              <w:rPr>
                <w:rFonts w:ascii="黑体" w:eastAsia="黑体"/>
                <w:bCs/>
                <w:color w:val="auto"/>
                <w:sz w:val="24"/>
                <w:szCs w:val="24"/>
                <w:highlight w:val="none"/>
              </w:rPr>
            </w:pPr>
            <w:r>
              <w:rPr>
                <w:rFonts w:ascii="黑体" w:eastAsia="黑体"/>
                <w:bCs/>
                <w:color w:val="auto"/>
                <w:sz w:val="24"/>
                <w:szCs w:val="24"/>
                <w:highlight w:val="none"/>
              </w:rPr>
              <w:t>……</w:t>
            </w:r>
          </w:p>
        </w:tc>
        <w:tc>
          <w:tcPr>
            <w:tcW w:w="1285" w:type="dxa"/>
            <w:vAlign w:val="center"/>
          </w:tcPr>
          <w:p w14:paraId="737DBE8E">
            <w:pPr>
              <w:jc w:val="center"/>
              <w:outlineLvl w:val="0"/>
              <w:rPr>
                <w:rFonts w:ascii="黑体" w:eastAsia="黑体"/>
                <w:bCs/>
                <w:color w:val="auto"/>
                <w:sz w:val="24"/>
                <w:szCs w:val="24"/>
                <w:highlight w:val="none"/>
              </w:rPr>
            </w:pPr>
          </w:p>
        </w:tc>
        <w:tc>
          <w:tcPr>
            <w:tcW w:w="1833" w:type="dxa"/>
            <w:vAlign w:val="center"/>
          </w:tcPr>
          <w:p w14:paraId="6EF152F4">
            <w:pPr>
              <w:jc w:val="center"/>
              <w:outlineLvl w:val="0"/>
              <w:rPr>
                <w:rFonts w:ascii="黑体" w:eastAsia="黑体"/>
                <w:bCs/>
                <w:color w:val="auto"/>
                <w:sz w:val="24"/>
                <w:szCs w:val="24"/>
                <w:highlight w:val="none"/>
              </w:rPr>
            </w:pPr>
          </w:p>
        </w:tc>
        <w:tc>
          <w:tcPr>
            <w:tcW w:w="992" w:type="dxa"/>
            <w:vAlign w:val="center"/>
          </w:tcPr>
          <w:p w14:paraId="7F8EBD94">
            <w:pPr>
              <w:jc w:val="center"/>
              <w:outlineLvl w:val="0"/>
              <w:rPr>
                <w:rFonts w:ascii="黑体" w:eastAsia="黑体"/>
                <w:bCs/>
                <w:color w:val="auto"/>
                <w:sz w:val="24"/>
                <w:szCs w:val="24"/>
                <w:highlight w:val="none"/>
              </w:rPr>
            </w:pPr>
          </w:p>
        </w:tc>
      </w:tr>
      <w:tr w14:paraId="3D904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76416975">
            <w:pPr>
              <w:outlineLvl w:val="0"/>
              <w:rPr>
                <w:rFonts w:ascii="黑体" w:eastAsia="黑体"/>
                <w:bCs/>
                <w:color w:val="auto"/>
                <w:sz w:val="24"/>
                <w:szCs w:val="24"/>
                <w:highlight w:val="none"/>
              </w:rPr>
            </w:pPr>
          </w:p>
        </w:tc>
        <w:tc>
          <w:tcPr>
            <w:tcW w:w="1098" w:type="dxa"/>
          </w:tcPr>
          <w:p w14:paraId="2086F8CE">
            <w:pPr>
              <w:outlineLvl w:val="0"/>
              <w:rPr>
                <w:rFonts w:ascii="黑体" w:eastAsia="黑体"/>
                <w:bCs/>
                <w:color w:val="auto"/>
                <w:sz w:val="24"/>
                <w:szCs w:val="24"/>
                <w:highlight w:val="none"/>
              </w:rPr>
            </w:pPr>
          </w:p>
        </w:tc>
        <w:tc>
          <w:tcPr>
            <w:tcW w:w="744" w:type="dxa"/>
            <w:vAlign w:val="center"/>
          </w:tcPr>
          <w:p w14:paraId="0DF3F4CF">
            <w:pPr>
              <w:jc w:val="center"/>
              <w:outlineLvl w:val="0"/>
              <w:rPr>
                <w:rFonts w:ascii="黑体" w:eastAsia="黑体"/>
                <w:bCs/>
                <w:color w:val="auto"/>
                <w:sz w:val="24"/>
                <w:szCs w:val="24"/>
                <w:highlight w:val="none"/>
              </w:rPr>
            </w:pPr>
          </w:p>
        </w:tc>
        <w:tc>
          <w:tcPr>
            <w:tcW w:w="709" w:type="dxa"/>
            <w:vAlign w:val="center"/>
          </w:tcPr>
          <w:p w14:paraId="4A5D8974">
            <w:pPr>
              <w:jc w:val="center"/>
              <w:outlineLvl w:val="0"/>
              <w:rPr>
                <w:rFonts w:ascii="黑体" w:eastAsia="黑体"/>
                <w:bCs/>
                <w:color w:val="auto"/>
                <w:sz w:val="24"/>
                <w:szCs w:val="24"/>
                <w:highlight w:val="none"/>
              </w:rPr>
            </w:pPr>
          </w:p>
        </w:tc>
        <w:tc>
          <w:tcPr>
            <w:tcW w:w="834" w:type="dxa"/>
            <w:vAlign w:val="center"/>
          </w:tcPr>
          <w:p w14:paraId="58EA8D46">
            <w:pPr>
              <w:jc w:val="center"/>
              <w:outlineLvl w:val="0"/>
              <w:rPr>
                <w:rFonts w:ascii="黑体" w:eastAsia="黑体"/>
                <w:bCs/>
                <w:color w:val="auto"/>
                <w:sz w:val="24"/>
                <w:szCs w:val="24"/>
                <w:highlight w:val="none"/>
              </w:rPr>
            </w:pPr>
          </w:p>
        </w:tc>
        <w:tc>
          <w:tcPr>
            <w:tcW w:w="1276" w:type="dxa"/>
            <w:vAlign w:val="center"/>
          </w:tcPr>
          <w:p w14:paraId="4FDB8494">
            <w:pPr>
              <w:jc w:val="center"/>
              <w:outlineLvl w:val="0"/>
              <w:rPr>
                <w:rFonts w:ascii="黑体" w:eastAsia="黑体"/>
                <w:bCs/>
                <w:color w:val="auto"/>
                <w:sz w:val="24"/>
                <w:szCs w:val="24"/>
                <w:highlight w:val="none"/>
              </w:rPr>
            </w:pPr>
          </w:p>
        </w:tc>
        <w:tc>
          <w:tcPr>
            <w:tcW w:w="1285" w:type="dxa"/>
            <w:vAlign w:val="center"/>
          </w:tcPr>
          <w:p w14:paraId="0C504E39">
            <w:pPr>
              <w:jc w:val="center"/>
              <w:outlineLvl w:val="0"/>
              <w:rPr>
                <w:rFonts w:ascii="黑体" w:eastAsia="黑体"/>
                <w:bCs/>
                <w:color w:val="auto"/>
                <w:sz w:val="24"/>
                <w:szCs w:val="24"/>
                <w:highlight w:val="none"/>
              </w:rPr>
            </w:pPr>
          </w:p>
        </w:tc>
        <w:tc>
          <w:tcPr>
            <w:tcW w:w="1833" w:type="dxa"/>
            <w:vAlign w:val="center"/>
          </w:tcPr>
          <w:p w14:paraId="3D42001F">
            <w:pPr>
              <w:jc w:val="center"/>
              <w:outlineLvl w:val="0"/>
              <w:rPr>
                <w:rFonts w:ascii="黑体" w:eastAsia="黑体"/>
                <w:bCs/>
                <w:color w:val="auto"/>
                <w:sz w:val="24"/>
                <w:szCs w:val="24"/>
                <w:highlight w:val="none"/>
              </w:rPr>
            </w:pPr>
          </w:p>
        </w:tc>
        <w:tc>
          <w:tcPr>
            <w:tcW w:w="992" w:type="dxa"/>
            <w:vAlign w:val="center"/>
          </w:tcPr>
          <w:p w14:paraId="1C9714A2">
            <w:pPr>
              <w:jc w:val="center"/>
              <w:outlineLvl w:val="0"/>
              <w:rPr>
                <w:rFonts w:ascii="黑体" w:eastAsia="黑体"/>
                <w:bCs/>
                <w:color w:val="auto"/>
                <w:sz w:val="24"/>
                <w:szCs w:val="24"/>
                <w:highlight w:val="none"/>
              </w:rPr>
            </w:pPr>
          </w:p>
        </w:tc>
      </w:tr>
      <w:tr w14:paraId="118A5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tcPr>
          <w:p w14:paraId="673599D9">
            <w:pPr>
              <w:outlineLvl w:val="0"/>
              <w:rPr>
                <w:rFonts w:ascii="黑体" w:eastAsia="黑体"/>
                <w:bCs/>
                <w:color w:val="auto"/>
                <w:sz w:val="24"/>
                <w:szCs w:val="24"/>
                <w:highlight w:val="none"/>
              </w:rPr>
            </w:pPr>
          </w:p>
        </w:tc>
        <w:tc>
          <w:tcPr>
            <w:tcW w:w="1098" w:type="dxa"/>
          </w:tcPr>
          <w:p w14:paraId="37A7E845">
            <w:pPr>
              <w:outlineLvl w:val="0"/>
              <w:rPr>
                <w:rFonts w:ascii="黑体" w:eastAsia="黑体"/>
                <w:bCs/>
                <w:color w:val="auto"/>
                <w:sz w:val="24"/>
                <w:szCs w:val="24"/>
                <w:highlight w:val="none"/>
              </w:rPr>
            </w:pPr>
          </w:p>
        </w:tc>
        <w:tc>
          <w:tcPr>
            <w:tcW w:w="744" w:type="dxa"/>
            <w:vAlign w:val="center"/>
          </w:tcPr>
          <w:p w14:paraId="0B9DF3C0">
            <w:pPr>
              <w:jc w:val="center"/>
              <w:outlineLvl w:val="0"/>
              <w:rPr>
                <w:rFonts w:ascii="黑体" w:eastAsia="黑体"/>
                <w:bCs/>
                <w:color w:val="auto"/>
                <w:sz w:val="24"/>
                <w:szCs w:val="24"/>
                <w:highlight w:val="none"/>
              </w:rPr>
            </w:pPr>
          </w:p>
        </w:tc>
        <w:tc>
          <w:tcPr>
            <w:tcW w:w="709" w:type="dxa"/>
            <w:vAlign w:val="center"/>
          </w:tcPr>
          <w:p w14:paraId="5ACD662C">
            <w:pPr>
              <w:jc w:val="center"/>
              <w:outlineLvl w:val="0"/>
              <w:rPr>
                <w:rFonts w:ascii="黑体" w:eastAsia="黑体"/>
                <w:bCs/>
                <w:color w:val="auto"/>
                <w:sz w:val="24"/>
                <w:szCs w:val="24"/>
                <w:highlight w:val="none"/>
              </w:rPr>
            </w:pPr>
          </w:p>
        </w:tc>
        <w:tc>
          <w:tcPr>
            <w:tcW w:w="834" w:type="dxa"/>
            <w:vAlign w:val="center"/>
          </w:tcPr>
          <w:p w14:paraId="02A09AFA">
            <w:pPr>
              <w:jc w:val="center"/>
              <w:outlineLvl w:val="0"/>
              <w:rPr>
                <w:rFonts w:ascii="黑体" w:eastAsia="黑体"/>
                <w:bCs/>
                <w:color w:val="auto"/>
                <w:sz w:val="24"/>
                <w:szCs w:val="24"/>
                <w:highlight w:val="none"/>
              </w:rPr>
            </w:pPr>
          </w:p>
        </w:tc>
        <w:tc>
          <w:tcPr>
            <w:tcW w:w="1276" w:type="dxa"/>
            <w:vAlign w:val="center"/>
          </w:tcPr>
          <w:p w14:paraId="319920D0">
            <w:pPr>
              <w:jc w:val="center"/>
              <w:outlineLvl w:val="0"/>
              <w:rPr>
                <w:rFonts w:ascii="黑体" w:eastAsia="黑体"/>
                <w:bCs/>
                <w:color w:val="auto"/>
                <w:sz w:val="24"/>
                <w:szCs w:val="24"/>
                <w:highlight w:val="none"/>
              </w:rPr>
            </w:pPr>
          </w:p>
        </w:tc>
        <w:tc>
          <w:tcPr>
            <w:tcW w:w="1285" w:type="dxa"/>
            <w:vAlign w:val="center"/>
          </w:tcPr>
          <w:p w14:paraId="071DACD2">
            <w:pPr>
              <w:jc w:val="center"/>
              <w:outlineLvl w:val="0"/>
              <w:rPr>
                <w:rFonts w:ascii="黑体" w:eastAsia="黑体"/>
                <w:bCs/>
                <w:color w:val="auto"/>
                <w:sz w:val="24"/>
                <w:szCs w:val="24"/>
                <w:highlight w:val="none"/>
              </w:rPr>
            </w:pPr>
          </w:p>
        </w:tc>
        <w:tc>
          <w:tcPr>
            <w:tcW w:w="1833" w:type="dxa"/>
            <w:vAlign w:val="center"/>
          </w:tcPr>
          <w:p w14:paraId="4A029E12">
            <w:pPr>
              <w:jc w:val="center"/>
              <w:outlineLvl w:val="0"/>
              <w:rPr>
                <w:rFonts w:ascii="黑体" w:eastAsia="黑体"/>
                <w:bCs/>
                <w:color w:val="auto"/>
                <w:sz w:val="24"/>
                <w:szCs w:val="24"/>
                <w:highlight w:val="none"/>
              </w:rPr>
            </w:pPr>
          </w:p>
        </w:tc>
        <w:tc>
          <w:tcPr>
            <w:tcW w:w="992" w:type="dxa"/>
            <w:vAlign w:val="center"/>
          </w:tcPr>
          <w:p w14:paraId="0B62BEFE">
            <w:pPr>
              <w:jc w:val="center"/>
              <w:outlineLvl w:val="0"/>
              <w:rPr>
                <w:rFonts w:ascii="黑体" w:eastAsia="黑体"/>
                <w:bCs/>
                <w:color w:val="auto"/>
                <w:sz w:val="24"/>
                <w:szCs w:val="24"/>
                <w:highlight w:val="none"/>
              </w:rPr>
            </w:pPr>
          </w:p>
        </w:tc>
      </w:tr>
    </w:tbl>
    <w:p w14:paraId="491D88B7">
      <w:pPr>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17EF160B">
      <w:pPr>
        <w:rPr>
          <w:rFonts w:hint="eastAsia" w:ascii="宋体" w:hAnsi="宋体"/>
          <w:bCs/>
          <w:color w:val="auto"/>
          <w:highlight w:val="none"/>
        </w:rPr>
      </w:pPr>
    </w:p>
    <w:p w14:paraId="63849BA6">
      <w:pPr>
        <w:rPr>
          <w:rFonts w:hint="eastAsia" w:ascii="宋体" w:hAnsi="宋体"/>
          <w:bCs/>
          <w:color w:val="auto"/>
          <w:highlight w:val="none"/>
        </w:rPr>
      </w:pPr>
    </w:p>
    <w:p w14:paraId="56403407">
      <w:pPr>
        <w:ind w:firstLine="482"/>
        <w:rPr>
          <w:rFonts w:hint="eastAsia" w:ascii="宋体" w:hAnsi="宋体"/>
          <w:b/>
          <w:color w:val="auto"/>
          <w:highlight w:val="none"/>
        </w:rPr>
      </w:pPr>
      <w:r>
        <w:rPr>
          <w:rFonts w:hint="eastAsia" w:ascii="宋体" w:hAnsi="宋体"/>
          <w:b/>
          <w:color w:val="auto"/>
          <w:highlight w:val="none"/>
        </w:rPr>
        <w:t>附注：</w:t>
      </w:r>
    </w:p>
    <w:p w14:paraId="21A46EBA">
      <w:pPr>
        <w:rPr>
          <w:rFonts w:hint="eastAsia" w:ascii="宋体" w:hAnsi="宋体"/>
          <w:bCs/>
          <w:color w:val="auto"/>
          <w:highlight w:val="none"/>
        </w:rPr>
      </w:pPr>
      <w:r>
        <w:rPr>
          <w:rFonts w:hint="eastAsia" w:ascii="宋体" w:hAnsi="宋体"/>
          <w:bCs/>
          <w:color w:val="auto"/>
          <w:highlight w:val="none"/>
        </w:rPr>
        <w:t>1. 本表对应评分标准中的项目人员配置情况，表格不够可自行延长。</w:t>
      </w:r>
    </w:p>
    <w:p w14:paraId="329EDF8C">
      <w:pPr>
        <w:rPr>
          <w:rFonts w:hint="eastAsia" w:ascii="宋体" w:hAnsi="宋体"/>
          <w:bCs/>
          <w:color w:val="auto"/>
          <w:highlight w:val="none"/>
        </w:rPr>
      </w:pPr>
      <w:r>
        <w:rPr>
          <w:rFonts w:hint="eastAsia" w:ascii="宋体" w:hAnsi="宋体"/>
          <w:bCs/>
          <w:color w:val="auto"/>
          <w:highlight w:val="none"/>
          <w:lang w:val="en-US" w:eastAsia="zh-CN"/>
        </w:rPr>
        <w:t>2</w:t>
      </w:r>
      <w:r>
        <w:rPr>
          <w:rFonts w:hint="eastAsia" w:ascii="宋体" w:hAnsi="宋体"/>
          <w:bCs/>
          <w:color w:val="auto"/>
          <w:highlight w:val="none"/>
        </w:rPr>
        <w:t>.上表内容须按评分标准中的相关要求提供相应证明材料。</w:t>
      </w:r>
    </w:p>
    <w:p w14:paraId="36CEC4D4">
      <w:pPr>
        <w:rPr>
          <w:rFonts w:hint="eastAsia" w:ascii="宋体" w:hAnsi="宋体"/>
          <w:bCs/>
          <w:color w:val="auto"/>
          <w:highlight w:val="none"/>
        </w:rPr>
      </w:pPr>
      <w:r>
        <w:rPr>
          <w:rFonts w:hint="eastAsia" w:ascii="宋体" w:hAnsi="宋体"/>
          <w:bCs/>
          <w:color w:val="auto"/>
          <w:highlight w:val="none"/>
          <w:lang w:val="en-US" w:eastAsia="zh-CN"/>
        </w:rPr>
        <w:t>3</w:t>
      </w:r>
      <w:r>
        <w:rPr>
          <w:rFonts w:hint="eastAsia" w:ascii="宋体" w:hAnsi="宋体"/>
          <w:bCs/>
          <w:color w:val="auto"/>
          <w:highlight w:val="none"/>
        </w:rPr>
        <w:t>.证明材料均请附在本表之后。</w:t>
      </w:r>
    </w:p>
    <w:p w14:paraId="33EDAB06">
      <w:pPr>
        <w:rPr>
          <w:rFonts w:hint="eastAsia" w:ascii="宋体" w:hAnsi="宋体"/>
          <w:bCs/>
          <w:color w:val="auto"/>
          <w:highlight w:val="none"/>
        </w:rPr>
      </w:pPr>
    </w:p>
    <w:sectPr>
      <w:footerReference r:id="rId7" w:type="first"/>
      <w:headerReference r:id="rId6" w:type="default"/>
      <w:pgSz w:w="11906" w:h="16838"/>
      <w:pgMar w:top="567" w:right="851" w:bottom="567" w:left="1134" w:header="624"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Univers">
    <w:altName w:val="微软雅黑"/>
    <w:panose1 w:val="00000000000000000000"/>
    <w:charset w:val="00"/>
    <w:family w:val="swiss"/>
    <w:pitch w:val="default"/>
    <w:sig w:usb0="00000000" w:usb1="00000000" w:usb2="00000000" w:usb3="00000000" w:csb0="0000000F"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AE9C5">
    <w:pPr>
      <w:pStyle w:val="218"/>
    </w:pPr>
    <w:r>
      <w:rPr>
        <w:rFonts w:hint="eastAsia"/>
        <w:lang w:eastAsia="zh-CN"/>
      </w:rPr>
      <w:t xml:space="preserve">                                                 </w:t>
    </w:r>
    <w:r>
      <w:rPr>
        <w:lang w:eastAsia="zh-CN"/>
      </w:rPr>
      <w:fldChar w:fldCharType="begin"/>
    </w:r>
    <w:r>
      <w:rPr>
        <w:lang w:eastAsia="zh-CN"/>
      </w:rPr>
      <w:instrText xml:space="preserve"> PAGE   \* MERGEFORMAT </w:instrText>
    </w:r>
    <w:r>
      <w:rPr>
        <w:lang w:eastAsia="zh-CN"/>
      </w:rPr>
      <w:fldChar w:fldCharType="separate"/>
    </w:r>
    <w:r>
      <w:rPr>
        <w:lang w:val="zh-CN"/>
      </w:rPr>
      <w:t>35</w:t>
    </w:r>
    <w:r>
      <w:rPr>
        <w:lang w:eastAsia="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8"/>
      <w:framePr w:wrap="around" w:vAnchor="text" w:hAnchor="margin" w:xAlign="center" w:y="1"/>
      <w:rPr>
        <w:rStyle w:val="240"/>
      </w:rPr>
    </w:pPr>
    <w:r>
      <w:fldChar w:fldCharType="begin"/>
    </w:r>
    <w:r>
      <w:rPr>
        <w:rStyle w:val="240"/>
      </w:rPr>
      <w:instrText xml:space="preserve">PAGE  </w:instrText>
    </w:r>
    <w:r>
      <w:fldChar w:fldCharType="separate"/>
    </w:r>
    <w:r>
      <w:rPr>
        <w:rStyle w:val="240"/>
      </w:rPr>
      <w:t>1</w:t>
    </w:r>
    <w:r>
      <w:fldChar w:fldCharType="end"/>
    </w:r>
  </w:p>
  <w:p w14:paraId="58DD5DFB">
    <w:pPr>
      <w:pStyle w:val="218"/>
      <w:ind w:right="360"/>
    </w:pPr>
  </w:p>
  <w:p w14:paraId="3E6EA3F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737D7">
    <w:pPr>
      <w:pStyle w:val="21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51D354D">
                          <w:pPr>
                            <w:pStyle w:val="218"/>
                          </w:pPr>
                          <w:r>
                            <w:fldChar w:fldCharType="begin"/>
                          </w:r>
                          <w:r>
                            <w:instrText xml:space="preserve"> PAGE  \* MERGEFORMAT </w:instrText>
                          </w:r>
                          <w:r>
                            <w:fldChar w:fldCharType="separate"/>
                          </w:r>
                          <w:r>
                            <w:t>0</w:t>
                          </w:r>
                          <w:r>
                            <w:fldChar w:fldCharType="end"/>
                          </w:r>
                        </w:p>
                        <w:p w14:paraId="0457CAB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51D354D">
                    <w:pPr>
                      <w:pStyle w:val="218"/>
                    </w:pPr>
                    <w:r>
                      <w:fldChar w:fldCharType="begin"/>
                    </w:r>
                    <w:r>
                      <w:instrText xml:space="preserve"> PAGE  \* MERGEFORMAT </w:instrText>
                    </w:r>
                    <w:r>
                      <w:fldChar w:fldCharType="separate"/>
                    </w:r>
                    <w:r>
                      <w:t>0</w:t>
                    </w:r>
                    <w:r>
                      <w:fldChar w:fldCharType="end"/>
                    </w:r>
                  </w:p>
                  <w:p w14:paraId="0457CAB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0"/>
      <w:rPr>
        <w:lang w:eastAsia="zh-CN"/>
      </w:rPr>
    </w:pPr>
    <w:r>
      <w:rPr>
        <w:rFonts w:hint="eastAsia"/>
        <w:lang w:eastAsia="zh-CN"/>
      </w:rPr>
      <w:t xml:space="preserve">HSCGZX(G)20230030阳山镇桃香苑A区物业管理服务采购项目    </w:t>
    </w:r>
    <w:r>
      <w:rPr>
        <w:rFonts w:hint="eastAsia" w:ascii="黑体" w:eastAsia="黑体"/>
        <w:sz w:val="30"/>
        <w:szCs w:val="30"/>
        <w:lang w:eastAsia="zh-CN"/>
      </w:rPr>
      <w:t xml:space="preserve">               </w:t>
    </w:r>
    <w:r>
      <w:rPr>
        <w:rFonts w:hint="eastAsia"/>
        <w:lang w:eastAsia="zh-CN"/>
      </w:rPr>
      <w:t>无锡市惠山区政府采购中心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35CA9">
    <w:pPr>
      <w:pStyle w:val="220"/>
      <w:rPr>
        <w:lang w:eastAsia="zh-CN"/>
      </w:rPr>
    </w:pPr>
    <w:r>
      <w:rPr>
        <w:rFonts w:hint="eastAsia" w:ascii="宋体" w:hAnsi="宋体" w:cs="宋体"/>
        <w:lang w:eastAsia="zh-CN"/>
      </w:rPr>
      <w:t xml:space="preserve">JSZC-320206-JZCG-G2025-0045 阳山镇桃盛苑二期物业管理服务采购项目  </w:t>
    </w:r>
    <w:r>
      <w:rPr>
        <w:rFonts w:hint="eastAsia"/>
        <w:lang w:eastAsia="zh-CN"/>
      </w:rPr>
      <w:t>　</w:t>
    </w:r>
    <w:r>
      <w:rPr>
        <w:rFonts w:hint="eastAsia"/>
        <w:lang w:val="en-US" w:eastAsia="zh-CN"/>
      </w:rPr>
      <w:t xml:space="preserve">           </w:t>
    </w:r>
    <w:r>
      <w:rPr>
        <w:rFonts w:hint="eastAsia"/>
        <w:lang w:eastAsia="zh-CN"/>
      </w:rPr>
      <w:t xml:space="preserve"> 无锡市惠山区政府采购中心</w:t>
    </w:r>
  </w:p>
  <w:p w14:paraId="083FE8B5">
    <w:pPr>
      <w:pStyle w:val="220"/>
      <w:pBdr>
        <w:bottom w:val="none" w:color="000000" w:sz="0" w:space="0"/>
      </w:pBdr>
      <w:ind w:firstLine="360"/>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upperLetter"/>
      <w:pStyle w:val="19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abstractNum w:abstractNumId="5">
    <w:nsid w:val="2F05CA4C"/>
    <w:multiLevelType w:val="singleLevel"/>
    <w:tmpl w:val="2F05CA4C"/>
    <w:lvl w:ilvl="0" w:tentative="0">
      <w:start w:val="2"/>
      <w:numFmt w:val="decimal"/>
      <w:suff w:val="nothing"/>
      <w:lvlText w:val="（%1）"/>
      <w:lvlJc w:val="left"/>
    </w:lvl>
  </w:abstractNum>
  <w:num w:numId="1">
    <w:abstractNumId w:val="3"/>
  </w:num>
  <w:num w:numId="2">
    <w:abstractNumId w:val="1"/>
    <w:lvlOverride w:ilvl="0">
      <w:lvl w:ilvl="0" w:tentative="1">
        <w:start w:val="1"/>
        <w:numFmt w:val="decimal"/>
        <w:pStyle w:val="225"/>
        <w:lvlText w:val="第%1章"/>
        <w:lvlJc w:val="left"/>
        <w:pPr>
          <w:ind w:left="465" w:hanging="465"/>
        </w:pPr>
      </w:lvl>
    </w:lvlOverride>
    <w:lvlOverride w:ilvl="1">
      <w:lvl w:ilvl="1" w:tentative="1">
        <w:start w:val="1"/>
        <w:numFmt w:val="decimal"/>
        <w:pStyle w:val="290"/>
        <w:lvlText w:val="%1.%2"/>
        <w:lvlJc w:val="left"/>
        <w:pPr>
          <w:ind w:left="465" w:hanging="465"/>
        </w:pPr>
      </w:lvl>
    </w:lvlOverride>
    <w:lvlOverride w:ilvl="2">
      <w:lvl w:ilvl="2" w:tentative="1">
        <w:start w:val="1"/>
        <w:numFmt w:val="decimal"/>
        <w:pStyle w:val="329"/>
        <w:lvlText w:val="%1.%2.%3"/>
        <w:lvlJc w:val="left"/>
        <w:pPr>
          <w:ind w:left="720" w:hanging="720"/>
        </w:pPr>
      </w:lvl>
    </w:lvlOverride>
    <w:lvlOverride w:ilvl="3">
      <w:lvl w:ilvl="3" w:tentative="1">
        <w:start w:val="1"/>
        <w:numFmt w:val="decimal"/>
        <w:pStyle w:val="292"/>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D52B9"/>
    <w:rsid w:val="00C53E20"/>
    <w:rsid w:val="00C574DC"/>
    <w:rsid w:val="00D454D3"/>
    <w:rsid w:val="00D54CEA"/>
    <w:rsid w:val="00D60A9C"/>
    <w:rsid w:val="00DE2432"/>
    <w:rsid w:val="00DF22D0"/>
    <w:rsid w:val="00E40CD9"/>
    <w:rsid w:val="00E85BAC"/>
    <w:rsid w:val="00EB7ED0"/>
    <w:rsid w:val="00ED4FC9"/>
    <w:rsid w:val="00F13C49"/>
    <w:rsid w:val="00F1414C"/>
    <w:rsid w:val="00F968F7"/>
    <w:rsid w:val="00FA5DE0"/>
    <w:rsid w:val="00FF730A"/>
    <w:rsid w:val="011473B7"/>
    <w:rsid w:val="01396E1E"/>
    <w:rsid w:val="014337F8"/>
    <w:rsid w:val="01545A05"/>
    <w:rsid w:val="015679D0"/>
    <w:rsid w:val="018067FB"/>
    <w:rsid w:val="018856AF"/>
    <w:rsid w:val="01EB45BC"/>
    <w:rsid w:val="02034A03"/>
    <w:rsid w:val="02597332"/>
    <w:rsid w:val="025D08EA"/>
    <w:rsid w:val="02761211"/>
    <w:rsid w:val="028642E4"/>
    <w:rsid w:val="02B50726"/>
    <w:rsid w:val="02E132C9"/>
    <w:rsid w:val="0305345B"/>
    <w:rsid w:val="033E696D"/>
    <w:rsid w:val="034675D0"/>
    <w:rsid w:val="039B791C"/>
    <w:rsid w:val="04123410"/>
    <w:rsid w:val="04455AD9"/>
    <w:rsid w:val="04651CD8"/>
    <w:rsid w:val="047D389E"/>
    <w:rsid w:val="049B394B"/>
    <w:rsid w:val="04B179CA"/>
    <w:rsid w:val="04CB2483"/>
    <w:rsid w:val="04E7163B"/>
    <w:rsid w:val="04F26E33"/>
    <w:rsid w:val="04FD4A64"/>
    <w:rsid w:val="05693656"/>
    <w:rsid w:val="05934538"/>
    <w:rsid w:val="05BC5A66"/>
    <w:rsid w:val="05D7022B"/>
    <w:rsid w:val="05D90BCF"/>
    <w:rsid w:val="0619721E"/>
    <w:rsid w:val="0622233D"/>
    <w:rsid w:val="066435D0"/>
    <w:rsid w:val="066C559F"/>
    <w:rsid w:val="066F3697"/>
    <w:rsid w:val="06CB0518"/>
    <w:rsid w:val="06DF5D71"/>
    <w:rsid w:val="06F6179A"/>
    <w:rsid w:val="07153256"/>
    <w:rsid w:val="07293490"/>
    <w:rsid w:val="076D7821"/>
    <w:rsid w:val="079335E8"/>
    <w:rsid w:val="07A82607"/>
    <w:rsid w:val="07A91952"/>
    <w:rsid w:val="07B95303"/>
    <w:rsid w:val="07BC60B3"/>
    <w:rsid w:val="07F615C4"/>
    <w:rsid w:val="080A5070"/>
    <w:rsid w:val="082D2D8F"/>
    <w:rsid w:val="0833620A"/>
    <w:rsid w:val="08517143"/>
    <w:rsid w:val="087D3A94"/>
    <w:rsid w:val="08844E22"/>
    <w:rsid w:val="08D15B8E"/>
    <w:rsid w:val="08F17FDE"/>
    <w:rsid w:val="0A7B2255"/>
    <w:rsid w:val="0A7E3AF3"/>
    <w:rsid w:val="0A851326"/>
    <w:rsid w:val="0AB67731"/>
    <w:rsid w:val="0AB94B2B"/>
    <w:rsid w:val="0AEE2A27"/>
    <w:rsid w:val="0AFD0EBC"/>
    <w:rsid w:val="0BA650B0"/>
    <w:rsid w:val="0BB2614A"/>
    <w:rsid w:val="0BBE4333"/>
    <w:rsid w:val="0BBE689D"/>
    <w:rsid w:val="0BC55E54"/>
    <w:rsid w:val="0BE65DF4"/>
    <w:rsid w:val="0BFF2A12"/>
    <w:rsid w:val="0C49412F"/>
    <w:rsid w:val="0C725B23"/>
    <w:rsid w:val="0CF12CA2"/>
    <w:rsid w:val="0D397CED"/>
    <w:rsid w:val="0D4252AC"/>
    <w:rsid w:val="0D510B45"/>
    <w:rsid w:val="0D541E51"/>
    <w:rsid w:val="0D9755F8"/>
    <w:rsid w:val="0DE6451F"/>
    <w:rsid w:val="0E8116C4"/>
    <w:rsid w:val="0EA55AF2"/>
    <w:rsid w:val="0EBA2435"/>
    <w:rsid w:val="0F2E3930"/>
    <w:rsid w:val="0F8B405D"/>
    <w:rsid w:val="0FC43855"/>
    <w:rsid w:val="0FCB1589"/>
    <w:rsid w:val="10091983"/>
    <w:rsid w:val="100D394F"/>
    <w:rsid w:val="108A31F2"/>
    <w:rsid w:val="10915F18"/>
    <w:rsid w:val="111637D2"/>
    <w:rsid w:val="111E4FAD"/>
    <w:rsid w:val="11260DDA"/>
    <w:rsid w:val="11366ED6"/>
    <w:rsid w:val="11876D9C"/>
    <w:rsid w:val="11E64458"/>
    <w:rsid w:val="11F35990"/>
    <w:rsid w:val="12011292"/>
    <w:rsid w:val="1218482D"/>
    <w:rsid w:val="12374CB3"/>
    <w:rsid w:val="128D521B"/>
    <w:rsid w:val="12A165D1"/>
    <w:rsid w:val="12A460C1"/>
    <w:rsid w:val="13294C16"/>
    <w:rsid w:val="136F6B5A"/>
    <w:rsid w:val="13876010"/>
    <w:rsid w:val="13F51B73"/>
    <w:rsid w:val="14107EB2"/>
    <w:rsid w:val="141F00F5"/>
    <w:rsid w:val="14425B91"/>
    <w:rsid w:val="14495172"/>
    <w:rsid w:val="147D6BCA"/>
    <w:rsid w:val="149E726C"/>
    <w:rsid w:val="14E05AD6"/>
    <w:rsid w:val="14E13D7A"/>
    <w:rsid w:val="15363948"/>
    <w:rsid w:val="154B53F1"/>
    <w:rsid w:val="156E54F0"/>
    <w:rsid w:val="15B14D7D"/>
    <w:rsid w:val="15C31523"/>
    <w:rsid w:val="15C40F54"/>
    <w:rsid w:val="163634D4"/>
    <w:rsid w:val="16443E43"/>
    <w:rsid w:val="164756E1"/>
    <w:rsid w:val="16922E00"/>
    <w:rsid w:val="16B5089D"/>
    <w:rsid w:val="16CD25C8"/>
    <w:rsid w:val="173C4B1A"/>
    <w:rsid w:val="17981331"/>
    <w:rsid w:val="17AD5A18"/>
    <w:rsid w:val="17EF4FE8"/>
    <w:rsid w:val="182757CA"/>
    <w:rsid w:val="18412583"/>
    <w:rsid w:val="18754ED1"/>
    <w:rsid w:val="18950986"/>
    <w:rsid w:val="18A62B93"/>
    <w:rsid w:val="18C748B7"/>
    <w:rsid w:val="18CF162B"/>
    <w:rsid w:val="18D80F53"/>
    <w:rsid w:val="190873AA"/>
    <w:rsid w:val="19212219"/>
    <w:rsid w:val="194B54E8"/>
    <w:rsid w:val="195B488E"/>
    <w:rsid w:val="197B5DCD"/>
    <w:rsid w:val="198D78AF"/>
    <w:rsid w:val="19B93A2E"/>
    <w:rsid w:val="1A1324AA"/>
    <w:rsid w:val="1A1656B7"/>
    <w:rsid w:val="1A3348FA"/>
    <w:rsid w:val="1A427AAC"/>
    <w:rsid w:val="1B1D4C62"/>
    <w:rsid w:val="1B4D72F6"/>
    <w:rsid w:val="1B77374A"/>
    <w:rsid w:val="1BA54A74"/>
    <w:rsid w:val="1BBB6955"/>
    <w:rsid w:val="1BE06ADF"/>
    <w:rsid w:val="1BF53B0B"/>
    <w:rsid w:val="1C790574"/>
    <w:rsid w:val="1DB50D67"/>
    <w:rsid w:val="1DB83859"/>
    <w:rsid w:val="1E71154D"/>
    <w:rsid w:val="1E7A2AF8"/>
    <w:rsid w:val="1EC16291"/>
    <w:rsid w:val="1ED55F80"/>
    <w:rsid w:val="1EF108E0"/>
    <w:rsid w:val="1F3A2287"/>
    <w:rsid w:val="1F7B6261"/>
    <w:rsid w:val="1F9574BD"/>
    <w:rsid w:val="1FE67D19"/>
    <w:rsid w:val="1FF13FC9"/>
    <w:rsid w:val="20216FA3"/>
    <w:rsid w:val="208C6B12"/>
    <w:rsid w:val="211D4C6B"/>
    <w:rsid w:val="21562C7C"/>
    <w:rsid w:val="218D2B42"/>
    <w:rsid w:val="2190748C"/>
    <w:rsid w:val="21B005DE"/>
    <w:rsid w:val="21CE6CB6"/>
    <w:rsid w:val="21F21801"/>
    <w:rsid w:val="225D52A7"/>
    <w:rsid w:val="22665141"/>
    <w:rsid w:val="22B67E76"/>
    <w:rsid w:val="22F83FEB"/>
    <w:rsid w:val="23201B77"/>
    <w:rsid w:val="235843BA"/>
    <w:rsid w:val="2389558B"/>
    <w:rsid w:val="23A128D5"/>
    <w:rsid w:val="23B1699D"/>
    <w:rsid w:val="23EB6DA1"/>
    <w:rsid w:val="23FA0331"/>
    <w:rsid w:val="241237D2"/>
    <w:rsid w:val="24521E21"/>
    <w:rsid w:val="248A3369"/>
    <w:rsid w:val="24936675"/>
    <w:rsid w:val="25237319"/>
    <w:rsid w:val="253A4D8F"/>
    <w:rsid w:val="253D03DB"/>
    <w:rsid w:val="256A4F48"/>
    <w:rsid w:val="25835AD1"/>
    <w:rsid w:val="25EA51C1"/>
    <w:rsid w:val="266B7849"/>
    <w:rsid w:val="26C22739"/>
    <w:rsid w:val="26F31699"/>
    <w:rsid w:val="27160EE4"/>
    <w:rsid w:val="27392E24"/>
    <w:rsid w:val="275A34C6"/>
    <w:rsid w:val="27AA5AD0"/>
    <w:rsid w:val="27AC6936"/>
    <w:rsid w:val="27CC1EEA"/>
    <w:rsid w:val="27CC3C98"/>
    <w:rsid w:val="27DF39CB"/>
    <w:rsid w:val="28074CD0"/>
    <w:rsid w:val="28123DA1"/>
    <w:rsid w:val="28285372"/>
    <w:rsid w:val="286823DD"/>
    <w:rsid w:val="28E0094C"/>
    <w:rsid w:val="2916341D"/>
    <w:rsid w:val="29226266"/>
    <w:rsid w:val="293D522B"/>
    <w:rsid w:val="294D2BB7"/>
    <w:rsid w:val="296D5007"/>
    <w:rsid w:val="299A7D67"/>
    <w:rsid w:val="29A4069D"/>
    <w:rsid w:val="29B9024C"/>
    <w:rsid w:val="29BB3FC4"/>
    <w:rsid w:val="29D76728"/>
    <w:rsid w:val="29F51213"/>
    <w:rsid w:val="2A0E6DD8"/>
    <w:rsid w:val="2A133E00"/>
    <w:rsid w:val="2A337A92"/>
    <w:rsid w:val="2A697EC4"/>
    <w:rsid w:val="2A750617"/>
    <w:rsid w:val="2A917A18"/>
    <w:rsid w:val="2ADE61BC"/>
    <w:rsid w:val="2AE20089"/>
    <w:rsid w:val="2B3E4EAD"/>
    <w:rsid w:val="2B4029D3"/>
    <w:rsid w:val="2BA72A52"/>
    <w:rsid w:val="2BB1567F"/>
    <w:rsid w:val="2BD01692"/>
    <w:rsid w:val="2C0A7AA4"/>
    <w:rsid w:val="2C477D91"/>
    <w:rsid w:val="2C8325AE"/>
    <w:rsid w:val="2CC969F8"/>
    <w:rsid w:val="2D0143E4"/>
    <w:rsid w:val="2D784137"/>
    <w:rsid w:val="2DF177E1"/>
    <w:rsid w:val="2DF6182C"/>
    <w:rsid w:val="2E4E5407"/>
    <w:rsid w:val="2E627104"/>
    <w:rsid w:val="2E6764C9"/>
    <w:rsid w:val="2EEB0D06"/>
    <w:rsid w:val="2F631E13"/>
    <w:rsid w:val="300A7A53"/>
    <w:rsid w:val="301F3EE8"/>
    <w:rsid w:val="307D6477"/>
    <w:rsid w:val="30CD0A85"/>
    <w:rsid w:val="30D16C82"/>
    <w:rsid w:val="30DF4A3C"/>
    <w:rsid w:val="31400EAF"/>
    <w:rsid w:val="31440D43"/>
    <w:rsid w:val="316B4522"/>
    <w:rsid w:val="316D2048"/>
    <w:rsid w:val="31946BD3"/>
    <w:rsid w:val="31AC14CC"/>
    <w:rsid w:val="31C679AA"/>
    <w:rsid w:val="31C73F29"/>
    <w:rsid w:val="31D74ED9"/>
    <w:rsid w:val="31DD5420"/>
    <w:rsid w:val="32026530"/>
    <w:rsid w:val="32214672"/>
    <w:rsid w:val="32790CE2"/>
    <w:rsid w:val="32A41A99"/>
    <w:rsid w:val="32C71C2C"/>
    <w:rsid w:val="32C75788"/>
    <w:rsid w:val="32F96D61"/>
    <w:rsid w:val="332143CC"/>
    <w:rsid w:val="341113B0"/>
    <w:rsid w:val="342E6414"/>
    <w:rsid w:val="34384B8F"/>
    <w:rsid w:val="345257C1"/>
    <w:rsid w:val="34871673"/>
    <w:rsid w:val="34916B65"/>
    <w:rsid w:val="34927C06"/>
    <w:rsid w:val="34CC52D7"/>
    <w:rsid w:val="350E769E"/>
    <w:rsid w:val="35763888"/>
    <w:rsid w:val="3588705D"/>
    <w:rsid w:val="35EB3E83"/>
    <w:rsid w:val="362058DB"/>
    <w:rsid w:val="362F2838"/>
    <w:rsid w:val="36367635"/>
    <w:rsid w:val="36855EDF"/>
    <w:rsid w:val="36D13079"/>
    <w:rsid w:val="36E92F59"/>
    <w:rsid w:val="36FE3457"/>
    <w:rsid w:val="370228AA"/>
    <w:rsid w:val="3733163E"/>
    <w:rsid w:val="373B04F2"/>
    <w:rsid w:val="37465815"/>
    <w:rsid w:val="374F792C"/>
    <w:rsid w:val="37CF2144"/>
    <w:rsid w:val="37D526F5"/>
    <w:rsid w:val="37F0752F"/>
    <w:rsid w:val="37F54B45"/>
    <w:rsid w:val="383C09C6"/>
    <w:rsid w:val="384925F3"/>
    <w:rsid w:val="38775EE4"/>
    <w:rsid w:val="38840C87"/>
    <w:rsid w:val="38BC6B40"/>
    <w:rsid w:val="38C5276A"/>
    <w:rsid w:val="38F55C32"/>
    <w:rsid w:val="394C4699"/>
    <w:rsid w:val="39901051"/>
    <w:rsid w:val="39914B8B"/>
    <w:rsid w:val="39A131D7"/>
    <w:rsid w:val="3A322081"/>
    <w:rsid w:val="3A323597"/>
    <w:rsid w:val="3A4B6C9E"/>
    <w:rsid w:val="3A59760D"/>
    <w:rsid w:val="3A7A7584"/>
    <w:rsid w:val="3A975602"/>
    <w:rsid w:val="3AAB598F"/>
    <w:rsid w:val="3AF47336"/>
    <w:rsid w:val="3B077073"/>
    <w:rsid w:val="3B133C60"/>
    <w:rsid w:val="3B6169C8"/>
    <w:rsid w:val="3B781D15"/>
    <w:rsid w:val="3B993E4F"/>
    <w:rsid w:val="3BAA57F0"/>
    <w:rsid w:val="3C017F5D"/>
    <w:rsid w:val="3C067321"/>
    <w:rsid w:val="3C187054"/>
    <w:rsid w:val="3C495460"/>
    <w:rsid w:val="3C502C92"/>
    <w:rsid w:val="3C8A1D00"/>
    <w:rsid w:val="3C8F7DB0"/>
    <w:rsid w:val="3CC019CB"/>
    <w:rsid w:val="3CDC15A9"/>
    <w:rsid w:val="3D6940F4"/>
    <w:rsid w:val="3D8B7DB9"/>
    <w:rsid w:val="3DC9047D"/>
    <w:rsid w:val="3DDF3943"/>
    <w:rsid w:val="3DF15DAF"/>
    <w:rsid w:val="3E047890"/>
    <w:rsid w:val="3E31202F"/>
    <w:rsid w:val="3E312F90"/>
    <w:rsid w:val="3E3C1720"/>
    <w:rsid w:val="3E412892"/>
    <w:rsid w:val="3E9E25C2"/>
    <w:rsid w:val="3EE55913"/>
    <w:rsid w:val="3F063C21"/>
    <w:rsid w:val="3F2521B4"/>
    <w:rsid w:val="3F283AEB"/>
    <w:rsid w:val="3F294227"/>
    <w:rsid w:val="3F80388E"/>
    <w:rsid w:val="3FA26167"/>
    <w:rsid w:val="3FB928FC"/>
    <w:rsid w:val="40342640"/>
    <w:rsid w:val="404E62E0"/>
    <w:rsid w:val="406E7B8B"/>
    <w:rsid w:val="407F1BFB"/>
    <w:rsid w:val="40BC6B48"/>
    <w:rsid w:val="40BE01CA"/>
    <w:rsid w:val="40CC5EF5"/>
    <w:rsid w:val="40E13EB9"/>
    <w:rsid w:val="41232723"/>
    <w:rsid w:val="41306BEE"/>
    <w:rsid w:val="42075BA1"/>
    <w:rsid w:val="423821FE"/>
    <w:rsid w:val="42402DBA"/>
    <w:rsid w:val="42750D5C"/>
    <w:rsid w:val="42D56E6D"/>
    <w:rsid w:val="43056584"/>
    <w:rsid w:val="43195B8C"/>
    <w:rsid w:val="434A3F97"/>
    <w:rsid w:val="43C408AE"/>
    <w:rsid w:val="43D1290A"/>
    <w:rsid w:val="442962A2"/>
    <w:rsid w:val="444C1F91"/>
    <w:rsid w:val="448D568B"/>
    <w:rsid w:val="449851D6"/>
    <w:rsid w:val="44B813D4"/>
    <w:rsid w:val="452847AC"/>
    <w:rsid w:val="454A2974"/>
    <w:rsid w:val="45AC1B90"/>
    <w:rsid w:val="46004DE1"/>
    <w:rsid w:val="46164604"/>
    <w:rsid w:val="46AE2A8F"/>
    <w:rsid w:val="46C67DD9"/>
    <w:rsid w:val="46EE10DD"/>
    <w:rsid w:val="46F72659"/>
    <w:rsid w:val="47175674"/>
    <w:rsid w:val="47334EC3"/>
    <w:rsid w:val="475B3840"/>
    <w:rsid w:val="47635DAA"/>
    <w:rsid w:val="479559FD"/>
    <w:rsid w:val="47B7128B"/>
    <w:rsid w:val="47D6229D"/>
    <w:rsid w:val="481743FE"/>
    <w:rsid w:val="48592ECE"/>
    <w:rsid w:val="486378A9"/>
    <w:rsid w:val="488E0DCA"/>
    <w:rsid w:val="489B71D0"/>
    <w:rsid w:val="48F6071D"/>
    <w:rsid w:val="4948541D"/>
    <w:rsid w:val="494F4E40"/>
    <w:rsid w:val="495042D1"/>
    <w:rsid w:val="495D254A"/>
    <w:rsid w:val="496E7D4E"/>
    <w:rsid w:val="49795019"/>
    <w:rsid w:val="499706C9"/>
    <w:rsid w:val="49BB5BEF"/>
    <w:rsid w:val="49DC7359"/>
    <w:rsid w:val="49E36EF3"/>
    <w:rsid w:val="4A0F5F3A"/>
    <w:rsid w:val="4A54394D"/>
    <w:rsid w:val="4A5C0958"/>
    <w:rsid w:val="4A6B64B3"/>
    <w:rsid w:val="4A82495E"/>
    <w:rsid w:val="4AD4683C"/>
    <w:rsid w:val="4ADA6548"/>
    <w:rsid w:val="4AFC7BF7"/>
    <w:rsid w:val="4B692C1A"/>
    <w:rsid w:val="4C03387D"/>
    <w:rsid w:val="4C4A325A"/>
    <w:rsid w:val="4C6D0CF6"/>
    <w:rsid w:val="4C881F66"/>
    <w:rsid w:val="4C9C42CF"/>
    <w:rsid w:val="4CB12166"/>
    <w:rsid w:val="4D1A0E7E"/>
    <w:rsid w:val="4D3833FE"/>
    <w:rsid w:val="4D42793C"/>
    <w:rsid w:val="4D4B7289"/>
    <w:rsid w:val="4D7F0CE1"/>
    <w:rsid w:val="4D8B1D7C"/>
    <w:rsid w:val="4DA7561A"/>
    <w:rsid w:val="4DD05D5D"/>
    <w:rsid w:val="4DD74FC1"/>
    <w:rsid w:val="4DF21A2E"/>
    <w:rsid w:val="4E6D76D3"/>
    <w:rsid w:val="4ED27537"/>
    <w:rsid w:val="4EF7020E"/>
    <w:rsid w:val="4EFC5E7F"/>
    <w:rsid w:val="4F9F566B"/>
    <w:rsid w:val="4FA233AD"/>
    <w:rsid w:val="4FF04118"/>
    <w:rsid w:val="503009B9"/>
    <w:rsid w:val="50363EAE"/>
    <w:rsid w:val="50A078EC"/>
    <w:rsid w:val="50B22743"/>
    <w:rsid w:val="50BD56BE"/>
    <w:rsid w:val="50BF5B17"/>
    <w:rsid w:val="50E74663"/>
    <w:rsid w:val="50FE4613"/>
    <w:rsid w:val="51035853"/>
    <w:rsid w:val="5124051D"/>
    <w:rsid w:val="51301891"/>
    <w:rsid w:val="51622DF4"/>
    <w:rsid w:val="517C610B"/>
    <w:rsid w:val="51982514"/>
    <w:rsid w:val="51C94C21"/>
    <w:rsid w:val="51DC0DF8"/>
    <w:rsid w:val="52024883"/>
    <w:rsid w:val="52377DDC"/>
    <w:rsid w:val="524424F9"/>
    <w:rsid w:val="52691BE6"/>
    <w:rsid w:val="527032EE"/>
    <w:rsid w:val="528D5C4E"/>
    <w:rsid w:val="52A91000"/>
    <w:rsid w:val="52D63A99"/>
    <w:rsid w:val="52DC5F09"/>
    <w:rsid w:val="52E767E5"/>
    <w:rsid w:val="53165C44"/>
    <w:rsid w:val="53226DCB"/>
    <w:rsid w:val="53430012"/>
    <w:rsid w:val="535F3A8F"/>
    <w:rsid w:val="53B86CFB"/>
    <w:rsid w:val="53D33B35"/>
    <w:rsid w:val="53E144A4"/>
    <w:rsid w:val="54190C8F"/>
    <w:rsid w:val="5419327A"/>
    <w:rsid w:val="54316AAD"/>
    <w:rsid w:val="54B22CCC"/>
    <w:rsid w:val="552501DE"/>
    <w:rsid w:val="554E0887"/>
    <w:rsid w:val="555D2250"/>
    <w:rsid w:val="555E1B24"/>
    <w:rsid w:val="557E3F74"/>
    <w:rsid w:val="55CA0F67"/>
    <w:rsid w:val="55CF657E"/>
    <w:rsid w:val="560426CB"/>
    <w:rsid w:val="56376E63"/>
    <w:rsid w:val="568022D3"/>
    <w:rsid w:val="56D269BF"/>
    <w:rsid w:val="56D93B58"/>
    <w:rsid w:val="570010E5"/>
    <w:rsid w:val="570A5633"/>
    <w:rsid w:val="57272B15"/>
    <w:rsid w:val="575765D4"/>
    <w:rsid w:val="57983DAB"/>
    <w:rsid w:val="57AE24C6"/>
    <w:rsid w:val="5820511C"/>
    <w:rsid w:val="58445001"/>
    <w:rsid w:val="58D77C23"/>
    <w:rsid w:val="58F46A27"/>
    <w:rsid w:val="596040BD"/>
    <w:rsid w:val="59934492"/>
    <w:rsid w:val="5A0E434D"/>
    <w:rsid w:val="5A504131"/>
    <w:rsid w:val="5A663955"/>
    <w:rsid w:val="5A737E20"/>
    <w:rsid w:val="5A7F67C4"/>
    <w:rsid w:val="5A957D96"/>
    <w:rsid w:val="5AD36B10"/>
    <w:rsid w:val="5B0217C4"/>
    <w:rsid w:val="5B2B06FA"/>
    <w:rsid w:val="5B6360E6"/>
    <w:rsid w:val="5B8E639F"/>
    <w:rsid w:val="5BBB7CD0"/>
    <w:rsid w:val="5BFE196B"/>
    <w:rsid w:val="5C3417CF"/>
    <w:rsid w:val="5CB87611"/>
    <w:rsid w:val="5CBD1826"/>
    <w:rsid w:val="5CDC1CAC"/>
    <w:rsid w:val="5D327B1E"/>
    <w:rsid w:val="5D7F5CBD"/>
    <w:rsid w:val="5D861C18"/>
    <w:rsid w:val="5D9B4F65"/>
    <w:rsid w:val="5DAB77EA"/>
    <w:rsid w:val="5DB42C29"/>
    <w:rsid w:val="5DCA5FA9"/>
    <w:rsid w:val="5DDB01B6"/>
    <w:rsid w:val="5DEF1EB3"/>
    <w:rsid w:val="5DF43025"/>
    <w:rsid w:val="5DF748C4"/>
    <w:rsid w:val="5DFC012C"/>
    <w:rsid w:val="5E365F47"/>
    <w:rsid w:val="5E426F07"/>
    <w:rsid w:val="5E7F2BC2"/>
    <w:rsid w:val="5E8720EC"/>
    <w:rsid w:val="5EA66A16"/>
    <w:rsid w:val="5EAB5E7A"/>
    <w:rsid w:val="5EB17168"/>
    <w:rsid w:val="5EE70DDC"/>
    <w:rsid w:val="5EEC3FB6"/>
    <w:rsid w:val="5EF77271"/>
    <w:rsid w:val="5F0454EA"/>
    <w:rsid w:val="5F1B1CE8"/>
    <w:rsid w:val="5F634CB3"/>
    <w:rsid w:val="5FBA7BE4"/>
    <w:rsid w:val="5FEA0F07"/>
    <w:rsid w:val="5FED0904"/>
    <w:rsid w:val="605C4EB2"/>
    <w:rsid w:val="608C03F7"/>
    <w:rsid w:val="60F4333C"/>
    <w:rsid w:val="610822EC"/>
    <w:rsid w:val="61447E20"/>
    <w:rsid w:val="61834DEC"/>
    <w:rsid w:val="61D05B58"/>
    <w:rsid w:val="61D92C5E"/>
    <w:rsid w:val="61FC4B9F"/>
    <w:rsid w:val="62404A8B"/>
    <w:rsid w:val="624B1D04"/>
    <w:rsid w:val="62830E1C"/>
    <w:rsid w:val="62AC7438"/>
    <w:rsid w:val="62F56D26"/>
    <w:rsid w:val="62F81674"/>
    <w:rsid w:val="634F11DC"/>
    <w:rsid w:val="63643710"/>
    <w:rsid w:val="637A3FCD"/>
    <w:rsid w:val="63807109"/>
    <w:rsid w:val="63A454EE"/>
    <w:rsid w:val="6417181C"/>
    <w:rsid w:val="642D6105"/>
    <w:rsid w:val="64790728"/>
    <w:rsid w:val="64DC40FC"/>
    <w:rsid w:val="652E506F"/>
    <w:rsid w:val="654C7BEB"/>
    <w:rsid w:val="657607C4"/>
    <w:rsid w:val="65CF3628"/>
    <w:rsid w:val="65D24D0D"/>
    <w:rsid w:val="65F20792"/>
    <w:rsid w:val="65F55B8D"/>
    <w:rsid w:val="66132DDA"/>
    <w:rsid w:val="66140692"/>
    <w:rsid w:val="663C7C5F"/>
    <w:rsid w:val="663E3CEC"/>
    <w:rsid w:val="66417024"/>
    <w:rsid w:val="665F74AA"/>
    <w:rsid w:val="667C5B80"/>
    <w:rsid w:val="667E5B82"/>
    <w:rsid w:val="66805DB2"/>
    <w:rsid w:val="66867873"/>
    <w:rsid w:val="672E28B2"/>
    <w:rsid w:val="6736682F"/>
    <w:rsid w:val="674A63AC"/>
    <w:rsid w:val="67954634"/>
    <w:rsid w:val="679F4002"/>
    <w:rsid w:val="67DB7004"/>
    <w:rsid w:val="67EB7B2E"/>
    <w:rsid w:val="680C5410"/>
    <w:rsid w:val="68115652"/>
    <w:rsid w:val="686176FB"/>
    <w:rsid w:val="689A4CBF"/>
    <w:rsid w:val="689C5480"/>
    <w:rsid w:val="69574EC3"/>
    <w:rsid w:val="69925649"/>
    <w:rsid w:val="69AB1384"/>
    <w:rsid w:val="69AE2790"/>
    <w:rsid w:val="69D70A46"/>
    <w:rsid w:val="69EB79D2"/>
    <w:rsid w:val="69FA40E3"/>
    <w:rsid w:val="6AA701F3"/>
    <w:rsid w:val="6AD00976"/>
    <w:rsid w:val="6AF04462"/>
    <w:rsid w:val="6B317667"/>
    <w:rsid w:val="6B340F05"/>
    <w:rsid w:val="6B855C05"/>
    <w:rsid w:val="6B9B2D32"/>
    <w:rsid w:val="6BC02799"/>
    <w:rsid w:val="6BC56001"/>
    <w:rsid w:val="6BCC55E2"/>
    <w:rsid w:val="6BFD579B"/>
    <w:rsid w:val="6C152B1D"/>
    <w:rsid w:val="6C643A6C"/>
    <w:rsid w:val="6C692E30"/>
    <w:rsid w:val="6C77379F"/>
    <w:rsid w:val="6CA6001D"/>
    <w:rsid w:val="6CBA7B30"/>
    <w:rsid w:val="6CE0536C"/>
    <w:rsid w:val="6CEA21C3"/>
    <w:rsid w:val="6CFA7283"/>
    <w:rsid w:val="6CFE7A1D"/>
    <w:rsid w:val="6D342975"/>
    <w:rsid w:val="6D8C142E"/>
    <w:rsid w:val="6DA700B4"/>
    <w:rsid w:val="6DB90BB2"/>
    <w:rsid w:val="6DC02F24"/>
    <w:rsid w:val="6DC742B3"/>
    <w:rsid w:val="6DEC2AC9"/>
    <w:rsid w:val="6E3971CF"/>
    <w:rsid w:val="6E461CB0"/>
    <w:rsid w:val="6E55366C"/>
    <w:rsid w:val="6E624EC8"/>
    <w:rsid w:val="6E645FA5"/>
    <w:rsid w:val="6E7640FD"/>
    <w:rsid w:val="6EA92939"/>
    <w:rsid w:val="6EA939B8"/>
    <w:rsid w:val="6EC95E08"/>
    <w:rsid w:val="6ECB392F"/>
    <w:rsid w:val="6ED24CBD"/>
    <w:rsid w:val="6F116467"/>
    <w:rsid w:val="6F176B74"/>
    <w:rsid w:val="6F502EBF"/>
    <w:rsid w:val="6F5C0A2B"/>
    <w:rsid w:val="6F690481"/>
    <w:rsid w:val="6F6A1399"/>
    <w:rsid w:val="6F6D291C"/>
    <w:rsid w:val="6F796576"/>
    <w:rsid w:val="6F7B1AEF"/>
    <w:rsid w:val="6FA0300D"/>
    <w:rsid w:val="6FA04DBB"/>
    <w:rsid w:val="6FA97CBF"/>
    <w:rsid w:val="6FDE3B35"/>
    <w:rsid w:val="6FE5312D"/>
    <w:rsid w:val="7064228D"/>
    <w:rsid w:val="707A1AB0"/>
    <w:rsid w:val="70A73F27"/>
    <w:rsid w:val="70E707C8"/>
    <w:rsid w:val="71306613"/>
    <w:rsid w:val="717B44A3"/>
    <w:rsid w:val="71970440"/>
    <w:rsid w:val="71973F9C"/>
    <w:rsid w:val="71D90A58"/>
    <w:rsid w:val="71E63D76"/>
    <w:rsid w:val="71E72C94"/>
    <w:rsid w:val="71E847F7"/>
    <w:rsid w:val="720A716D"/>
    <w:rsid w:val="72134C39"/>
    <w:rsid w:val="72181581"/>
    <w:rsid w:val="72192C03"/>
    <w:rsid w:val="723E5D38"/>
    <w:rsid w:val="7242215A"/>
    <w:rsid w:val="72AA149E"/>
    <w:rsid w:val="72EC19C2"/>
    <w:rsid w:val="73124222"/>
    <w:rsid w:val="73143478"/>
    <w:rsid w:val="731868F5"/>
    <w:rsid w:val="734E2D80"/>
    <w:rsid w:val="73A82490"/>
    <w:rsid w:val="73E6120B"/>
    <w:rsid w:val="73FB2F08"/>
    <w:rsid w:val="740C6EC3"/>
    <w:rsid w:val="74820899"/>
    <w:rsid w:val="748702F8"/>
    <w:rsid w:val="74E84703"/>
    <w:rsid w:val="752E6625"/>
    <w:rsid w:val="755A2F3D"/>
    <w:rsid w:val="75CA0DE4"/>
    <w:rsid w:val="75DD0891"/>
    <w:rsid w:val="76197675"/>
    <w:rsid w:val="76312C11"/>
    <w:rsid w:val="769907B6"/>
    <w:rsid w:val="769F4CD6"/>
    <w:rsid w:val="77423580"/>
    <w:rsid w:val="77721026"/>
    <w:rsid w:val="778B00FF"/>
    <w:rsid w:val="77B5517C"/>
    <w:rsid w:val="77DC4DFE"/>
    <w:rsid w:val="78551B0B"/>
    <w:rsid w:val="78EE303B"/>
    <w:rsid w:val="79297BCF"/>
    <w:rsid w:val="79596F05"/>
    <w:rsid w:val="79982FA7"/>
    <w:rsid w:val="79A656C4"/>
    <w:rsid w:val="79FA156C"/>
    <w:rsid w:val="7A0027B8"/>
    <w:rsid w:val="7A1B6C6C"/>
    <w:rsid w:val="7A2F2DF2"/>
    <w:rsid w:val="7ABB67B8"/>
    <w:rsid w:val="7AFE32DE"/>
    <w:rsid w:val="7B2745E3"/>
    <w:rsid w:val="7B601165"/>
    <w:rsid w:val="7B9B36C4"/>
    <w:rsid w:val="7BB253C3"/>
    <w:rsid w:val="7BE6624C"/>
    <w:rsid w:val="7C2154D6"/>
    <w:rsid w:val="7C337A1C"/>
    <w:rsid w:val="7C354ADD"/>
    <w:rsid w:val="7C626ED3"/>
    <w:rsid w:val="7C817D22"/>
    <w:rsid w:val="7CB3214E"/>
    <w:rsid w:val="7CB60F13"/>
    <w:rsid w:val="7CBD530B"/>
    <w:rsid w:val="7CD51320"/>
    <w:rsid w:val="7CFD1A9F"/>
    <w:rsid w:val="7D2C615F"/>
    <w:rsid w:val="7DAC46A0"/>
    <w:rsid w:val="7DE94C40"/>
    <w:rsid w:val="7DEB6A33"/>
    <w:rsid w:val="7E1B7046"/>
    <w:rsid w:val="7E462FD2"/>
    <w:rsid w:val="7E581698"/>
    <w:rsid w:val="7E6B6EDC"/>
    <w:rsid w:val="7E91202B"/>
    <w:rsid w:val="7EBC3294"/>
    <w:rsid w:val="7F1615DE"/>
    <w:rsid w:val="7F1B7FBA"/>
    <w:rsid w:val="7F201A75"/>
    <w:rsid w:val="7FAF4BA7"/>
    <w:rsid w:val="7FC701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3"/>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autoRedefine/>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next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8"/>
    <w:autoRedefine/>
    <w:semiHidden/>
    <w:unhideWhenUsed/>
    <w:qFormat/>
    <w:uiPriority w:val="99"/>
    <w:rPr>
      <w:sz w:val="20"/>
    </w:rPr>
  </w:style>
  <w:style w:type="paragraph" w:styleId="21">
    <w:name w:val="footer"/>
    <w:basedOn w:val="1"/>
    <w:link w:val="61"/>
    <w:autoRedefine/>
    <w:unhideWhenUsed/>
    <w:qFormat/>
    <w:uiPriority w:val="99"/>
    <w:pPr>
      <w:tabs>
        <w:tab w:val="center" w:pos="7143"/>
        <w:tab w:val="right" w:pos="14287"/>
      </w:tabs>
    </w:pPr>
  </w:style>
  <w:style w:type="paragraph" w:styleId="22">
    <w:name w:val="header"/>
    <w:basedOn w:val="1"/>
    <w:link w:val="59"/>
    <w:autoRedefine/>
    <w:unhideWhenUsed/>
    <w:qFormat/>
    <w:uiPriority w:val="99"/>
    <w:pPr>
      <w:tabs>
        <w:tab w:val="center" w:pos="7143"/>
        <w:tab w:val="right" w:pos="14287"/>
      </w:tabs>
    </w:pPr>
  </w:style>
  <w:style w:type="paragraph" w:styleId="23">
    <w:name w:val="toc 1"/>
    <w:basedOn w:val="1"/>
    <w:next w:val="1"/>
    <w:autoRedefine/>
    <w:unhideWhenUsed/>
    <w:qFormat/>
    <w:uiPriority w:val="39"/>
    <w:pPr>
      <w:spacing w:after="57"/>
    </w:pPr>
  </w:style>
  <w:style w:type="paragraph" w:styleId="24">
    <w:name w:val="toc 4"/>
    <w:basedOn w:val="1"/>
    <w:next w:val="1"/>
    <w:autoRedefine/>
    <w:unhideWhenUsed/>
    <w:qFormat/>
    <w:uiPriority w:val="39"/>
    <w:pPr>
      <w:spacing w:after="57"/>
      <w:ind w:left="850"/>
    </w:pPr>
  </w:style>
  <w:style w:type="paragraph" w:styleId="25">
    <w:name w:val="Subtitle"/>
    <w:basedOn w:val="1"/>
    <w:next w:val="1"/>
    <w:link w:val="54"/>
    <w:autoRedefine/>
    <w:qFormat/>
    <w:uiPriority w:val="11"/>
    <w:pPr>
      <w:spacing w:before="200" w:after="200"/>
    </w:pPr>
    <w:rPr>
      <w:sz w:val="24"/>
      <w:szCs w:val="24"/>
    </w:rPr>
  </w:style>
  <w:style w:type="paragraph" w:styleId="26">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7">
    <w:name w:val="footnote text"/>
    <w:basedOn w:val="1"/>
    <w:link w:val="187"/>
    <w:autoRedefine/>
    <w:semiHidden/>
    <w:unhideWhenUsed/>
    <w:qFormat/>
    <w:uiPriority w:val="99"/>
    <w:pPr>
      <w:spacing w:after="40"/>
    </w:pPr>
    <w:rPr>
      <w:sz w:val="18"/>
    </w:rPr>
  </w:style>
  <w:style w:type="paragraph" w:styleId="28">
    <w:name w:val="toc 6"/>
    <w:basedOn w:val="1"/>
    <w:next w:val="1"/>
    <w:autoRedefine/>
    <w:unhideWhenUsed/>
    <w:qFormat/>
    <w:uiPriority w:val="39"/>
    <w:pPr>
      <w:spacing w:after="57"/>
      <w:ind w:left="1417"/>
    </w:pPr>
  </w:style>
  <w:style w:type="paragraph" w:styleId="29">
    <w:name w:val="table of figures"/>
    <w:basedOn w:val="1"/>
    <w:next w:val="1"/>
    <w:autoRedefine/>
    <w:unhideWhenUsed/>
    <w:qFormat/>
    <w:uiPriority w:val="99"/>
  </w:style>
  <w:style w:type="paragraph" w:styleId="30">
    <w:name w:val="toc 2"/>
    <w:basedOn w:val="1"/>
    <w:next w:val="1"/>
    <w:autoRedefine/>
    <w:unhideWhenUsed/>
    <w:qFormat/>
    <w:uiPriority w:val="39"/>
    <w:pPr>
      <w:spacing w:after="57"/>
      <w:ind w:left="283"/>
    </w:pPr>
  </w:style>
  <w:style w:type="paragraph" w:styleId="31">
    <w:name w:val="toc 9"/>
    <w:basedOn w:val="1"/>
    <w:next w:val="1"/>
    <w:autoRedefine/>
    <w:unhideWhenUsed/>
    <w:qFormat/>
    <w:uiPriority w:val="39"/>
    <w:pPr>
      <w:spacing w:after="57"/>
      <w:ind w:left="2268"/>
    </w:pPr>
  </w:style>
  <w:style w:type="paragraph" w:styleId="32">
    <w:name w:val="Title"/>
    <w:basedOn w:val="1"/>
    <w:next w:val="1"/>
    <w:link w:val="53"/>
    <w:autoRedefine/>
    <w:qFormat/>
    <w:uiPriority w:val="10"/>
    <w:pPr>
      <w:spacing w:before="300" w:after="200"/>
      <w:contextualSpacing/>
    </w:pPr>
    <w:rPr>
      <w:sz w:val="48"/>
      <w:szCs w:val="48"/>
    </w:rPr>
  </w:style>
  <w:style w:type="paragraph" w:styleId="33">
    <w:name w:val="Body Text First Indent"/>
    <w:basedOn w:val="14"/>
    <w:autoRedefine/>
    <w:qFormat/>
    <w:uiPriority w:val="99"/>
    <w:pPr>
      <w:widowControl/>
      <w:spacing w:after="120"/>
      <w:ind w:firstLine="420" w:firstLineChars="100"/>
      <w:jc w:val="left"/>
    </w:pPr>
    <w:rPr>
      <w:sz w:val="30"/>
      <w:szCs w:val="30"/>
    </w:rPr>
  </w:style>
  <w:style w:type="table" w:styleId="35">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autoRedefine/>
    <w:qFormat/>
    <w:uiPriority w:val="22"/>
    <w:rPr>
      <w:b/>
      <w:bCs/>
    </w:rPr>
  </w:style>
  <w:style w:type="character" w:styleId="38">
    <w:name w:val="endnote reference"/>
    <w:autoRedefine/>
    <w:semiHidden/>
    <w:unhideWhenUsed/>
    <w:qFormat/>
    <w:uiPriority w:val="99"/>
    <w:rPr>
      <w:vertAlign w:val="superscript"/>
    </w:rPr>
  </w:style>
  <w:style w:type="character" w:styleId="39">
    <w:name w:val="Hyperlink"/>
    <w:autoRedefine/>
    <w:unhideWhenUsed/>
    <w:qFormat/>
    <w:uiPriority w:val="99"/>
    <w:rPr>
      <w:color w:val="0000FF" w:themeColor="hyperlink"/>
      <w:u w:val="single"/>
      <w14:textFill>
        <w14:solidFill>
          <w14:schemeClr w14:val="hlink"/>
        </w14:solidFill>
      </w14:textFill>
    </w:rPr>
  </w:style>
  <w:style w:type="character" w:styleId="40">
    <w:name w:val="footnote reference"/>
    <w:autoRedefine/>
    <w:unhideWhenUsed/>
    <w:qFormat/>
    <w:uiPriority w:val="99"/>
    <w:rPr>
      <w:vertAlign w:val="superscript"/>
    </w:rPr>
  </w:style>
  <w:style w:type="paragraph" w:customStyle="1" w:styleId="41">
    <w:name w:val="索引 41"/>
    <w:basedOn w:val="1"/>
    <w:next w:val="1"/>
    <w:qFormat/>
    <w:uiPriority w:val="99"/>
    <w:pPr>
      <w:ind w:left="600"/>
    </w:pPr>
    <w:rPr>
      <w:szCs w:val="24"/>
    </w:rPr>
  </w:style>
  <w:style w:type="paragraph" w:styleId="42">
    <w:name w:val="List Paragraph"/>
    <w:basedOn w:val="1"/>
    <w:autoRedefine/>
    <w:qFormat/>
    <w:uiPriority w:val="99"/>
    <w:pPr>
      <w:ind w:firstLine="420"/>
    </w:pPr>
  </w:style>
  <w:style w:type="character" w:customStyle="1" w:styleId="43">
    <w:name w:val="标题 1 字符2"/>
    <w:link w:val="2"/>
    <w:autoRedefine/>
    <w:qFormat/>
    <w:uiPriority w:val="9"/>
    <w:rPr>
      <w:rFonts w:ascii="Arial" w:hAnsi="Arial" w:eastAsia="Arial" w:cs="Arial"/>
      <w:sz w:val="40"/>
      <w:szCs w:val="40"/>
    </w:rPr>
  </w:style>
  <w:style w:type="character" w:customStyle="1" w:styleId="44">
    <w:name w:val="标题 2 字符1"/>
    <w:link w:val="3"/>
    <w:autoRedefine/>
    <w:qFormat/>
    <w:uiPriority w:val="9"/>
    <w:rPr>
      <w:rFonts w:ascii="Arial" w:hAnsi="Arial" w:eastAsia="Arial" w:cs="Arial"/>
      <w:sz w:val="34"/>
    </w:rPr>
  </w:style>
  <w:style w:type="character" w:customStyle="1" w:styleId="45">
    <w:name w:val="标题 3 字符1"/>
    <w:link w:val="4"/>
    <w:autoRedefine/>
    <w:qFormat/>
    <w:uiPriority w:val="9"/>
    <w:rPr>
      <w:rFonts w:ascii="Arial" w:hAnsi="Arial" w:eastAsia="Arial" w:cs="Arial"/>
      <w:sz w:val="30"/>
      <w:szCs w:val="30"/>
    </w:rPr>
  </w:style>
  <w:style w:type="character" w:customStyle="1" w:styleId="46">
    <w:name w:val="标题 4 字符1"/>
    <w:link w:val="5"/>
    <w:autoRedefine/>
    <w:qFormat/>
    <w:uiPriority w:val="9"/>
    <w:rPr>
      <w:rFonts w:ascii="Arial" w:hAnsi="Arial" w:eastAsia="Arial" w:cs="Arial"/>
      <w:b/>
      <w:bCs/>
      <w:sz w:val="26"/>
      <w:szCs w:val="26"/>
    </w:rPr>
  </w:style>
  <w:style w:type="character" w:customStyle="1" w:styleId="47">
    <w:name w:val="标题 5 字符1"/>
    <w:link w:val="6"/>
    <w:autoRedefine/>
    <w:qFormat/>
    <w:uiPriority w:val="9"/>
    <w:rPr>
      <w:rFonts w:ascii="Arial" w:hAnsi="Arial" w:eastAsia="Arial" w:cs="Arial"/>
      <w:b/>
      <w:bCs/>
      <w:sz w:val="24"/>
      <w:szCs w:val="24"/>
    </w:rPr>
  </w:style>
  <w:style w:type="character" w:customStyle="1" w:styleId="48">
    <w:name w:val="标题 6 字符"/>
    <w:link w:val="7"/>
    <w:autoRedefine/>
    <w:qFormat/>
    <w:uiPriority w:val="9"/>
    <w:rPr>
      <w:rFonts w:ascii="Arial" w:hAnsi="Arial" w:eastAsia="Arial" w:cs="Arial"/>
      <w:b/>
      <w:bCs/>
      <w:sz w:val="22"/>
      <w:szCs w:val="22"/>
    </w:rPr>
  </w:style>
  <w:style w:type="character" w:customStyle="1" w:styleId="49">
    <w:name w:val="标题 7 字符"/>
    <w:link w:val="8"/>
    <w:autoRedefine/>
    <w:qFormat/>
    <w:uiPriority w:val="9"/>
    <w:rPr>
      <w:rFonts w:ascii="Arial" w:hAnsi="Arial" w:eastAsia="Arial" w:cs="Arial"/>
      <w:b/>
      <w:bCs/>
      <w:i/>
      <w:iCs/>
      <w:sz w:val="22"/>
      <w:szCs w:val="22"/>
    </w:rPr>
  </w:style>
  <w:style w:type="character" w:customStyle="1" w:styleId="50">
    <w:name w:val="标题 8 字符"/>
    <w:link w:val="9"/>
    <w:autoRedefine/>
    <w:qFormat/>
    <w:uiPriority w:val="9"/>
    <w:rPr>
      <w:rFonts w:ascii="Arial" w:hAnsi="Arial" w:eastAsia="Arial" w:cs="Arial"/>
      <w:i/>
      <w:iCs/>
      <w:sz w:val="22"/>
      <w:szCs w:val="22"/>
    </w:rPr>
  </w:style>
  <w:style w:type="character" w:customStyle="1" w:styleId="51">
    <w:name w:val="标题 9 字符"/>
    <w:link w:val="10"/>
    <w:autoRedefine/>
    <w:qFormat/>
    <w:uiPriority w:val="9"/>
    <w:rPr>
      <w:rFonts w:ascii="Arial" w:hAnsi="Arial" w:eastAsia="Arial" w:cs="Arial"/>
      <w:i/>
      <w:iCs/>
      <w:sz w:val="21"/>
      <w:szCs w:val="21"/>
    </w:rPr>
  </w:style>
  <w:style w:type="paragraph" w:styleId="52">
    <w:name w:val="No Spacing"/>
    <w:autoRedefine/>
    <w:qFormat/>
    <w:uiPriority w:val="1"/>
    <w:rPr>
      <w:rFonts w:ascii="Times New Roman" w:hAnsi="Times New Roman" w:eastAsia="宋体" w:cs="Times New Roman"/>
      <w:lang w:val="en-US" w:eastAsia="zh-CN" w:bidi="ar-SA"/>
    </w:rPr>
  </w:style>
  <w:style w:type="character" w:customStyle="1" w:styleId="53">
    <w:name w:val="标题 字符1"/>
    <w:link w:val="32"/>
    <w:autoRedefine/>
    <w:qFormat/>
    <w:uiPriority w:val="10"/>
    <w:rPr>
      <w:sz w:val="48"/>
      <w:szCs w:val="48"/>
    </w:rPr>
  </w:style>
  <w:style w:type="character" w:customStyle="1" w:styleId="54">
    <w:name w:val="副标题 字符1"/>
    <w:link w:val="25"/>
    <w:autoRedefine/>
    <w:qFormat/>
    <w:uiPriority w:val="11"/>
    <w:rPr>
      <w:sz w:val="24"/>
      <w:szCs w:val="24"/>
    </w:rPr>
  </w:style>
  <w:style w:type="paragraph" w:styleId="55">
    <w:name w:val="Quote"/>
    <w:basedOn w:val="1"/>
    <w:next w:val="1"/>
    <w:link w:val="56"/>
    <w:autoRedefine/>
    <w:qFormat/>
    <w:uiPriority w:val="29"/>
    <w:pPr>
      <w:ind w:left="720" w:right="720"/>
    </w:pPr>
    <w:rPr>
      <w:i/>
    </w:rPr>
  </w:style>
  <w:style w:type="character" w:customStyle="1" w:styleId="56">
    <w:name w:val="引用 字符"/>
    <w:link w:val="55"/>
    <w:autoRedefine/>
    <w:qFormat/>
    <w:uiPriority w:val="29"/>
    <w:rPr>
      <w:i/>
    </w:rPr>
  </w:style>
  <w:style w:type="paragraph" w:styleId="57">
    <w:name w:val="Intense Quote"/>
    <w:basedOn w:val="1"/>
    <w:next w:val="1"/>
    <w:link w:val="58"/>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字符"/>
    <w:link w:val="57"/>
    <w:autoRedefine/>
    <w:qFormat/>
    <w:uiPriority w:val="30"/>
    <w:rPr>
      <w:i/>
    </w:rPr>
  </w:style>
  <w:style w:type="character" w:customStyle="1" w:styleId="59">
    <w:name w:val="页眉 字符2"/>
    <w:link w:val="22"/>
    <w:autoRedefine/>
    <w:qFormat/>
    <w:uiPriority w:val="99"/>
  </w:style>
  <w:style w:type="character" w:customStyle="1" w:styleId="60">
    <w:name w:val="Footer Char"/>
    <w:autoRedefine/>
    <w:qFormat/>
    <w:uiPriority w:val="99"/>
  </w:style>
  <w:style w:type="character" w:customStyle="1" w:styleId="61">
    <w:name w:val="页脚 字符1"/>
    <w:link w:val="21"/>
    <w:autoRedefine/>
    <w:qFormat/>
    <w:uiPriority w:val="99"/>
  </w:style>
  <w:style w:type="table" w:customStyle="1" w:styleId="62">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字符"/>
    <w:link w:val="27"/>
    <w:autoRedefine/>
    <w:qFormat/>
    <w:uiPriority w:val="99"/>
    <w:rPr>
      <w:sz w:val="18"/>
    </w:rPr>
  </w:style>
  <w:style w:type="character" w:customStyle="1" w:styleId="188">
    <w:name w:val="尾注文本 字符"/>
    <w:link w:val="20"/>
    <w:autoRedefine/>
    <w:qFormat/>
    <w:uiPriority w:val="99"/>
    <w:rPr>
      <w:sz w:val="20"/>
    </w:rPr>
  </w:style>
  <w:style w:type="paragraph" w:customStyle="1" w:styleId="189">
    <w:name w:val="TOC 标题1"/>
    <w:autoRedefine/>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link w:val="197"/>
    <w:autoRedefine/>
    <w:qFormat/>
    <w:uiPriority w:val="0"/>
    <w:pPr>
      <w:keepNext/>
      <w:jc w:val="center"/>
      <w:outlineLvl w:val="0"/>
    </w:pPr>
    <w:rPr>
      <w:b/>
      <w:bCs/>
      <w:sz w:val="44"/>
      <w:szCs w:val="44"/>
      <w:lang w:eastAsia="en-US"/>
    </w:rPr>
  </w:style>
  <w:style w:type="paragraph" w:customStyle="1" w:styleId="191">
    <w:name w:val="标题 21"/>
    <w:basedOn w:val="1"/>
    <w:next w:val="1"/>
    <w:link w:val="198"/>
    <w:autoRedefine/>
    <w:qFormat/>
    <w:uiPriority w:val="0"/>
    <w:pPr>
      <w:keepNext/>
      <w:jc w:val="center"/>
      <w:outlineLvl w:val="1"/>
    </w:pPr>
    <w:rPr>
      <w:rFonts w:ascii="Cambria" w:hAnsi="Cambria"/>
      <w:b/>
      <w:bCs/>
      <w:sz w:val="32"/>
      <w:szCs w:val="32"/>
      <w:lang w:eastAsia="en-US"/>
    </w:rPr>
  </w:style>
  <w:style w:type="paragraph" w:customStyle="1" w:styleId="192">
    <w:name w:val="标题 311"/>
    <w:basedOn w:val="1"/>
    <w:next w:val="1"/>
    <w:link w:val="199"/>
    <w:autoRedefine/>
    <w:qFormat/>
    <w:uiPriority w:val="0"/>
    <w:pPr>
      <w:keepNext/>
      <w:jc w:val="center"/>
      <w:outlineLvl w:val="2"/>
    </w:pPr>
    <w:rPr>
      <w:b/>
      <w:bCs/>
      <w:sz w:val="32"/>
      <w:szCs w:val="32"/>
      <w:lang w:eastAsia="en-US"/>
    </w:rPr>
  </w:style>
  <w:style w:type="paragraph" w:customStyle="1" w:styleId="193">
    <w:name w:val="标题 411"/>
    <w:basedOn w:val="1"/>
    <w:next w:val="1"/>
    <w:link w:val="200"/>
    <w:autoRedefine/>
    <w:qFormat/>
    <w:uiPriority w:val="0"/>
    <w:pPr>
      <w:keepNext/>
      <w:jc w:val="center"/>
      <w:outlineLvl w:val="3"/>
    </w:pPr>
    <w:rPr>
      <w:rFonts w:ascii="Cambria" w:hAnsi="Cambria"/>
      <w:b/>
      <w:bCs/>
      <w:sz w:val="28"/>
      <w:szCs w:val="28"/>
      <w:lang w:eastAsia="en-US"/>
    </w:rPr>
  </w:style>
  <w:style w:type="paragraph" w:customStyle="1" w:styleId="194">
    <w:name w:val="标题 51"/>
    <w:basedOn w:val="1"/>
    <w:next w:val="1"/>
    <w:link w:val="201"/>
    <w:autoRedefine/>
    <w:qFormat/>
    <w:uiPriority w:val="0"/>
    <w:pPr>
      <w:keepNext/>
      <w:numPr>
        <w:ilvl w:val="0"/>
        <w:numId w:val="1"/>
      </w:numPr>
      <w:outlineLvl w:val="4"/>
    </w:pPr>
    <w:rPr>
      <w:rFonts w:ascii="楷体_GB2312" w:eastAsia="楷体_GB2312"/>
      <w:bCs/>
      <w:sz w:val="28"/>
      <w:lang w:eastAsia="en-US"/>
    </w:rPr>
  </w:style>
  <w:style w:type="character" w:customStyle="1" w:styleId="195">
    <w:name w:val="默认段落字体11"/>
    <w:autoRedefine/>
    <w:unhideWhenUsed/>
    <w:qFormat/>
    <w:uiPriority w:val="1"/>
  </w:style>
  <w:style w:type="table" w:customStyle="1" w:styleId="196">
    <w:name w:val="普通表格1"/>
    <w:autoRedefine/>
    <w:unhideWhenUsed/>
    <w:qFormat/>
    <w:uiPriority w:val="99"/>
    <w:tblPr>
      <w:tblCellMar>
        <w:top w:w="0" w:type="dxa"/>
        <w:left w:w="0" w:type="dxa"/>
        <w:bottom w:w="0" w:type="dxa"/>
        <w:right w:w="0" w:type="dxa"/>
      </w:tblCellMar>
    </w:tblPr>
  </w:style>
  <w:style w:type="character" w:customStyle="1" w:styleId="197">
    <w:name w:val="标题 1 Char"/>
    <w:link w:val="190"/>
    <w:autoRedefine/>
    <w:qFormat/>
    <w:uiPriority w:val="0"/>
    <w:rPr>
      <w:rFonts w:cs="Times New Roman"/>
      <w:b/>
      <w:bCs/>
      <w:sz w:val="44"/>
      <w:szCs w:val="44"/>
    </w:rPr>
  </w:style>
  <w:style w:type="character" w:customStyle="1" w:styleId="198">
    <w:name w:val="标题 2 Char"/>
    <w:link w:val="191"/>
    <w:autoRedefine/>
    <w:semiHidden/>
    <w:qFormat/>
    <w:uiPriority w:val="0"/>
    <w:rPr>
      <w:rFonts w:ascii="Cambria" w:hAnsi="Cambria" w:eastAsia="宋体" w:cs="Times New Roman"/>
      <w:b/>
      <w:bCs/>
      <w:sz w:val="32"/>
      <w:szCs w:val="32"/>
    </w:rPr>
  </w:style>
  <w:style w:type="character" w:customStyle="1" w:styleId="199">
    <w:name w:val="标题 3 Char"/>
    <w:link w:val="192"/>
    <w:autoRedefine/>
    <w:qFormat/>
    <w:uiPriority w:val="0"/>
    <w:rPr>
      <w:rFonts w:cs="Times New Roman"/>
      <w:b/>
      <w:bCs/>
      <w:sz w:val="32"/>
      <w:szCs w:val="32"/>
    </w:rPr>
  </w:style>
  <w:style w:type="character" w:customStyle="1" w:styleId="200">
    <w:name w:val="标题 4 Char"/>
    <w:link w:val="193"/>
    <w:autoRedefine/>
    <w:semiHidden/>
    <w:qFormat/>
    <w:uiPriority w:val="0"/>
    <w:rPr>
      <w:rFonts w:ascii="Cambria" w:hAnsi="Cambria" w:eastAsia="宋体" w:cs="Times New Roman"/>
      <w:b/>
      <w:bCs/>
      <w:sz w:val="28"/>
      <w:szCs w:val="28"/>
    </w:rPr>
  </w:style>
  <w:style w:type="character" w:customStyle="1" w:styleId="201">
    <w:name w:val="标题 5 Char"/>
    <w:link w:val="194"/>
    <w:autoRedefine/>
    <w:qFormat/>
    <w:uiPriority w:val="0"/>
    <w:rPr>
      <w:rFonts w:ascii="楷体_GB2312" w:eastAsia="楷体_GB2312"/>
      <w:bCs/>
      <w:sz w:val="28"/>
    </w:rPr>
  </w:style>
  <w:style w:type="paragraph" w:customStyle="1" w:styleId="202">
    <w:name w:val="正文缩进11"/>
    <w:basedOn w:val="1"/>
    <w:link w:val="203"/>
    <w:autoRedefine/>
    <w:qFormat/>
    <w:uiPriority w:val="0"/>
    <w:pPr>
      <w:ind w:firstLine="420"/>
    </w:pPr>
    <w:rPr>
      <w:lang w:eastAsia="en-US"/>
    </w:rPr>
  </w:style>
  <w:style w:type="character" w:customStyle="1" w:styleId="203">
    <w:name w:val="正文缩进 Char"/>
    <w:link w:val="202"/>
    <w:autoRedefine/>
    <w:qFormat/>
    <w:uiPriority w:val="0"/>
    <w:rPr>
      <w:sz w:val="21"/>
    </w:rPr>
  </w:style>
  <w:style w:type="paragraph" w:customStyle="1" w:styleId="204">
    <w:name w:val="文档结构图1"/>
    <w:basedOn w:val="1"/>
    <w:link w:val="205"/>
    <w:autoRedefine/>
    <w:semiHidden/>
    <w:qFormat/>
    <w:uiPriority w:val="0"/>
    <w:pPr>
      <w:shd w:val="clear" w:color="auto" w:fill="000080"/>
    </w:pPr>
    <w:rPr>
      <w:sz w:val="2"/>
      <w:lang w:eastAsia="en-US"/>
    </w:rPr>
  </w:style>
  <w:style w:type="character" w:customStyle="1" w:styleId="205">
    <w:name w:val="文档结构图 Char"/>
    <w:link w:val="204"/>
    <w:autoRedefine/>
    <w:semiHidden/>
    <w:qFormat/>
    <w:uiPriority w:val="0"/>
    <w:rPr>
      <w:rFonts w:cs="Times New Roman"/>
      <w:sz w:val="2"/>
    </w:rPr>
  </w:style>
  <w:style w:type="paragraph" w:customStyle="1" w:styleId="206">
    <w:name w:val="批注文字1"/>
    <w:basedOn w:val="1"/>
    <w:link w:val="207"/>
    <w:autoRedefine/>
    <w:unhideWhenUsed/>
    <w:qFormat/>
    <w:uiPriority w:val="99"/>
    <w:pPr>
      <w:jc w:val="left"/>
    </w:pPr>
    <w:rPr>
      <w:lang w:eastAsia="en-US"/>
    </w:rPr>
  </w:style>
  <w:style w:type="character" w:customStyle="1" w:styleId="207">
    <w:name w:val="批注文字 Char"/>
    <w:link w:val="206"/>
    <w:autoRedefine/>
    <w:semiHidden/>
    <w:qFormat/>
    <w:uiPriority w:val="99"/>
    <w:rPr>
      <w:sz w:val="21"/>
    </w:rPr>
  </w:style>
  <w:style w:type="paragraph" w:customStyle="1" w:styleId="208">
    <w:name w:val="正文文本1"/>
    <w:basedOn w:val="1"/>
    <w:link w:val="209"/>
    <w:autoRedefine/>
    <w:qFormat/>
    <w:uiPriority w:val="0"/>
    <w:rPr>
      <w:sz w:val="20"/>
      <w:lang w:eastAsia="en-US"/>
    </w:rPr>
  </w:style>
  <w:style w:type="character" w:customStyle="1" w:styleId="209">
    <w:name w:val="正文文本 Char"/>
    <w:link w:val="208"/>
    <w:autoRedefine/>
    <w:semiHidden/>
    <w:qFormat/>
    <w:uiPriority w:val="0"/>
    <w:rPr>
      <w:rFonts w:cs="Times New Roman"/>
      <w:sz w:val="20"/>
      <w:szCs w:val="20"/>
    </w:rPr>
  </w:style>
  <w:style w:type="paragraph" w:customStyle="1" w:styleId="210">
    <w:name w:val="正文文本缩进1"/>
    <w:basedOn w:val="1"/>
    <w:link w:val="211"/>
    <w:autoRedefine/>
    <w:qFormat/>
    <w:uiPriority w:val="0"/>
    <w:pPr>
      <w:ind w:firstLine="576"/>
    </w:pPr>
    <w:rPr>
      <w:sz w:val="20"/>
      <w:lang w:eastAsia="en-US"/>
    </w:rPr>
  </w:style>
  <w:style w:type="character" w:customStyle="1" w:styleId="211">
    <w:name w:val="正文文本缩进 Char"/>
    <w:link w:val="210"/>
    <w:autoRedefine/>
    <w:semiHidden/>
    <w:qFormat/>
    <w:uiPriority w:val="0"/>
    <w:rPr>
      <w:rFonts w:cs="Times New Roman"/>
      <w:sz w:val="20"/>
      <w:szCs w:val="20"/>
    </w:rPr>
  </w:style>
  <w:style w:type="paragraph" w:customStyle="1" w:styleId="212">
    <w:name w:val="日期1"/>
    <w:basedOn w:val="1"/>
    <w:next w:val="1"/>
    <w:link w:val="213"/>
    <w:autoRedefine/>
    <w:qFormat/>
    <w:uiPriority w:val="0"/>
    <w:rPr>
      <w:sz w:val="20"/>
      <w:lang w:eastAsia="en-US"/>
    </w:rPr>
  </w:style>
  <w:style w:type="character" w:customStyle="1" w:styleId="213">
    <w:name w:val="日期 Char"/>
    <w:link w:val="212"/>
    <w:autoRedefine/>
    <w:semiHidden/>
    <w:qFormat/>
    <w:uiPriority w:val="0"/>
    <w:rPr>
      <w:rFonts w:cs="Times New Roman"/>
      <w:sz w:val="20"/>
      <w:szCs w:val="20"/>
    </w:rPr>
  </w:style>
  <w:style w:type="paragraph" w:customStyle="1" w:styleId="214">
    <w:name w:val="正文文本缩进 21"/>
    <w:basedOn w:val="1"/>
    <w:link w:val="215"/>
    <w:autoRedefine/>
    <w:qFormat/>
    <w:uiPriority w:val="0"/>
    <w:pPr>
      <w:ind w:left="900"/>
    </w:pPr>
    <w:rPr>
      <w:sz w:val="20"/>
      <w:lang w:eastAsia="en-US"/>
    </w:rPr>
  </w:style>
  <w:style w:type="character" w:customStyle="1" w:styleId="215">
    <w:name w:val="正文文本缩进 2 Char"/>
    <w:link w:val="214"/>
    <w:autoRedefine/>
    <w:semiHidden/>
    <w:qFormat/>
    <w:uiPriority w:val="0"/>
    <w:rPr>
      <w:rFonts w:cs="Times New Roman"/>
      <w:sz w:val="20"/>
      <w:szCs w:val="20"/>
    </w:rPr>
  </w:style>
  <w:style w:type="paragraph" w:customStyle="1" w:styleId="216">
    <w:name w:val="批注框文本1"/>
    <w:basedOn w:val="1"/>
    <w:link w:val="217"/>
    <w:autoRedefine/>
    <w:unhideWhenUsed/>
    <w:qFormat/>
    <w:uiPriority w:val="0"/>
    <w:rPr>
      <w:sz w:val="18"/>
      <w:szCs w:val="18"/>
      <w:lang w:eastAsia="en-US"/>
    </w:rPr>
  </w:style>
  <w:style w:type="character" w:customStyle="1" w:styleId="217">
    <w:name w:val="批注框文本 Char"/>
    <w:link w:val="216"/>
    <w:autoRedefine/>
    <w:qFormat/>
    <w:uiPriority w:val="0"/>
    <w:rPr>
      <w:sz w:val="18"/>
      <w:szCs w:val="18"/>
    </w:rPr>
  </w:style>
  <w:style w:type="paragraph" w:customStyle="1" w:styleId="218">
    <w:name w:val="页脚11"/>
    <w:basedOn w:val="1"/>
    <w:link w:val="219"/>
    <w:autoRedefine/>
    <w:qFormat/>
    <w:uiPriority w:val="99"/>
    <w:pPr>
      <w:tabs>
        <w:tab w:val="center" w:pos="4153"/>
        <w:tab w:val="right" w:pos="8306"/>
      </w:tabs>
      <w:jc w:val="left"/>
    </w:pPr>
    <w:rPr>
      <w:sz w:val="18"/>
      <w:szCs w:val="18"/>
      <w:lang w:eastAsia="en-US"/>
    </w:rPr>
  </w:style>
  <w:style w:type="character" w:customStyle="1" w:styleId="219">
    <w:name w:val="页脚 Char"/>
    <w:link w:val="218"/>
    <w:autoRedefine/>
    <w:qFormat/>
    <w:uiPriority w:val="99"/>
    <w:rPr>
      <w:rFonts w:cs="Times New Roman"/>
      <w:sz w:val="18"/>
      <w:szCs w:val="18"/>
    </w:rPr>
  </w:style>
  <w:style w:type="paragraph" w:customStyle="1" w:styleId="220">
    <w:name w:val="页眉11"/>
    <w:basedOn w:val="1"/>
    <w:link w:val="221"/>
    <w:autoRedefine/>
    <w:qFormat/>
    <w:uiPriority w:val="99"/>
    <w:pPr>
      <w:pBdr>
        <w:bottom w:val="single" w:color="000000" w:sz="6" w:space="1"/>
      </w:pBdr>
      <w:tabs>
        <w:tab w:val="center" w:pos="4153"/>
        <w:tab w:val="right" w:pos="8306"/>
      </w:tabs>
    </w:pPr>
    <w:rPr>
      <w:sz w:val="18"/>
      <w:szCs w:val="18"/>
      <w:lang w:eastAsia="en-US"/>
    </w:rPr>
  </w:style>
  <w:style w:type="character" w:customStyle="1" w:styleId="221">
    <w:name w:val="页眉 Char"/>
    <w:link w:val="220"/>
    <w:autoRedefine/>
    <w:qFormat/>
    <w:uiPriority w:val="99"/>
    <w:rPr>
      <w:sz w:val="18"/>
      <w:szCs w:val="18"/>
    </w:rPr>
  </w:style>
  <w:style w:type="paragraph" w:customStyle="1" w:styleId="222">
    <w:name w:val="目录 11"/>
    <w:basedOn w:val="1"/>
    <w:next w:val="1"/>
    <w:autoRedefine/>
    <w:qFormat/>
    <w:uiPriority w:val="39"/>
  </w:style>
  <w:style w:type="paragraph" w:customStyle="1" w:styleId="223">
    <w:name w:val="副标题1"/>
    <w:basedOn w:val="1"/>
    <w:next w:val="1"/>
    <w:link w:val="224"/>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4">
    <w:name w:val="副标题 Char"/>
    <w:link w:val="223"/>
    <w:autoRedefine/>
    <w:qFormat/>
    <w:uiPriority w:val="11"/>
    <w:rPr>
      <w:rFonts w:ascii="Calibri Light" w:hAnsi="Calibri Light"/>
      <w:b/>
      <w:bCs/>
      <w:sz w:val="32"/>
      <w:szCs w:val="32"/>
    </w:rPr>
  </w:style>
  <w:style w:type="paragraph" w:customStyle="1" w:styleId="225">
    <w:name w:val="列表1"/>
    <w:basedOn w:val="1"/>
    <w:autoRedefine/>
    <w:qFormat/>
    <w:uiPriority w:val="99"/>
    <w:pPr>
      <w:numPr>
        <w:ilvl w:val="0"/>
        <w:numId w:val="2"/>
      </w:numPr>
      <w:tabs>
        <w:tab w:val="left" w:pos="420"/>
      </w:tabs>
      <w:spacing w:after="20" w:line="288" w:lineRule="auto"/>
    </w:pPr>
    <w:rPr>
      <w:lang w:val="en-GB"/>
    </w:rPr>
  </w:style>
  <w:style w:type="paragraph" w:customStyle="1" w:styleId="226">
    <w:name w:val="正文文本缩进 31"/>
    <w:basedOn w:val="1"/>
    <w:link w:val="227"/>
    <w:autoRedefine/>
    <w:qFormat/>
    <w:uiPriority w:val="0"/>
    <w:pPr>
      <w:ind w:left="359" w:firstLine="359"/>
    </w:pPr>
    <w:rPr>
      <w:sz w:val="16"/>
      <w:szCs w:val="16"/>
      <w:lang w:eastAsia="en-US"/>
    </w:rPr>
  </w:style>
  <w:style w:type="character" w:customStyle="1" w:styleId="227">
    <w:name w:val="正文文本缩进 3 Char"/>
    <w:link w:val="226"/>
    <w:autoRedefine/>
    <w:semiHidden/>
    <w:qFormat/>
    <w:uiPriority w:val="0"/>
    <w:rPr>
      <w:rFonts w:cs="Times New Roman"/>
      <w:sz w:val="16"/>
      <w:szCs w:val="16"/>
    </w:rPr>
  </w:style>
  <w:style w:type="paragraph" w:customStyle="1" w:styleId="228">
    <w:name w:val="正文文本 21"/>
    <w:basedOn w:val="1"/>
    <w:link w:val="229"/>
    <w:autoRedefine/>
    <w:qFormat/>
    <w:uiPriority w:val="0"/>
    <w:pPr>
      <w:spacing w:after="120" w:line="480" w:lineRule="auto"/>
    </w:pPr>
    <w:rPr>
      <w:sz w:val="20"/>
      <w:lang w:eastAsia="en-US"/>
    </w:rPr>
  </w:style>
  <w:style w:type="character" w:customStyle="1" w:styleId="229">
    <w:name w:val="正文文本 2 Char"/>
    <w:link w:val="228"/>
    <w:autoRedefine/>
    <w:semiHidden/>
    <w:qFormat/>
    <w:uiPriority w:val="0"/>
    <w:rPr>
      <w:rFonts w:cs="Times New Roman"/>
      <w:sz w:val="20"/>
      <w:szCs w:val="20"/>
    </w:rPr>
  </w:style>
  <w:style w:type="paragraph" w:customStyle="1" w:styleId="230">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1">
    <w:name w:val="标题1"/>
    <w:basedOn w:val="1"/>
    <w:next w:val="1"/>
    <w:link w:val="232"/>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2">
    <w:name w:val="标题 Char"/>
    <w:link w:val="231"/>
    <w:autoRedefine/>
    <w:qFormat/>
    <w:uiPriority w:val="99"/>
    <w:rPr>
      <w:rFonts w:ascii="Cambria" w:hAnsi="Cambria" w:cs="Cambria"/>
      <w:b/>
      <w:bCs/>
      <w:sz w:val="32"/>
      <w:szCs w:val="32"/>
    </w:rPr>
  </w:style>
  <w:style w:type="paragraph" w:customStyle="1" w:styleId="233">
    <w:name w:val="批注主题1"/>
    <w:basedOn w:val="206"/>
    <w:next w:val="206"/>
    <w:link w:val="234"/>
    <w:autoRedefine/>
    <w:unhideWhenUsed/>
    <w:qFormat/>
    <w:uiPriority w:val="99"/>
    <w:rPr>
      <w:b/>
      <w:bCs/>
    </w:rPr>
  </w:style>
  <w:style w:type="character" w:customStyle="1" w:styleId="234">
    <w:name w:val="批注主题 Char"/>
    <w:link w:val="233"/>
    <w:autoRedefine/>
    <w:semiHidden/>
    <w:qFormat/>
    <w:uiPriority w:val="99"/>
    <w:rPr>
      <w:b/>
      <w:bCs/>
      <w:sz w:val="21"/>
    </w:rPr>
  </w:style>
  <w:style w:type="paragraph" w:customStyle="1" w:styleId="235">
    <w:name w:val="正文首行缩进1"/>
    <w:basedOn w:val="208"/>
    <w:link w:val="236"/>
    <w:autoRedefine/>
    <w:unhideWhenUsed/>
    <w:qFormat/>
    <w:uiPriority w:val="99"/>
    <w:pPr>
      <w:spacing w:after="120"/>
      <w:ind w:firstLine="420"/>
    </w:pPr>
    <w:rPr>
      <w:sz w:val="21"/>
    </w:rPr>
  </w:style>
  <w:style w:type="character" w:customStyle="1" w:styleId="236">
    <w:name w:val="正文首行缩进 Char"/>
    <w:basedOn w:val="209"/>
    <w:link w:val="235"/>
    <w:autoRedefine/>
    <w:qFormat/>
    <w:uiPriority w:val="99"/>
    <w:rPr>
      <w:rFonts w:cs="Times New Roman"/>
      <w:sz w:val="21"/>
      <w:szCs w:val="20"/>
    </w:rPr>
  </w:style>
  <w:style w:type="paragraph" w:customStyle="1" w:styleId="237">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8">
    <w:name w:val="网格型1"/>
    <w:basedOn w:val="196"/>
    <w:autoRedefine/>
    <w:qFormat/>
    <w:uiPriority w:val="99"/>
    <w:rPr>
      <w:rFonts w:ascii="Times" w:hAnsi="Times" w:cs="Times"/>
    </w:rPr>
  </w:style>
  <w:style w:type="character" w:customStyle="1" w:styleId="239">
    <w:name w:val="要点1"/>
    <w:autoRedefine/>
    <w:qFormat/>
    <w:uiPriority w:val="0"/>
    <w:rPr>
      <w:rFonts w:cs="Times New Roman"/>
      <w:b/>
      <w:bCs/>
    </w:rPr>
  </w:style>
  <w:style w:type="character" w:customStyle="1" w:styleId="240">
    <w:name w:val="页码11"/>
    <w:autoRedefine/>
    <w:qFormat/>
    <w:uiPriority w:val="0"/>
    <w:rPr>
      <w:rFonts w:cs="Times New Roman"/>
    </w:rPr>
  </w:style>
  <w:style w:type="character" w:customStyle="1" w:styleId="241">
    <w:name w:val="已访问的超链接1"/>
    <w:autoRedefine/>
    <w:qFormat/>
    <w:uiPriority w:val="99"/>
    <w:rPr>
      <w:rFonts w:cs="Times New Roman"/>
      <w:color w:val="000000"/>
      <w:u w:val="none"/>
    </w:rPr>
  </w:style>
  <w:style w:type="character" w:customStyle="1" w:styleId="242">
    <w:name w:val="HTML 打字机11"/>
    <w:autoRedefine/>
    <w:qFormat/>
    <w:uiPriority w:val="99"/>
    <w:rPr>
      <w:rFonts w:ascii="宋体" w:hAnsi="宋体" w:eastAsia="宋体" w:cs="宋体"/>
      <w:sz w:val="24"/>
      <w:szCs w:val="24"/>
    </w:rPr>
  </w:style>
  <w:style w:type="character" w:customStyle="1" w:styleId="243">
    <w:name w:val="超链接1"/>
    <w:autoRedefine/>
    <w:qFormat/>
    <w:uiPriority w:val="99"/>
    <w:rPr>
      <w:rFonts w:cs="Times New Roman"/>
      <w:color w:val="000000"/>
      <w:u w:val="none"/>
    </w:rPr>
  </w:style>
  <w:style w:type="character" w:customStyle="1" w:styleId="244">
    <w:name w:val="批注引用11"/>
    <w:autoRedefine/>
    <w:unhideWhenUsed/>
    <w:qFormat/>
    <w:uiPriority w:val="0"/>
    <w:rPr>
      <w:sz w:val="21"/>
      <w:szCs w:val="21"/>
    </w:rPr>
  </w:style>
  <w:style w:type="character" w:customStyle="1" w:styleId="245">
    <w:name w:val="页码1"/>
    <w:autoRedefine/>
    <w:qFormat/>
    <w:uiPriority w:val="0"/>
  </w:style>
  <w:style w:type="paragraph" w:customStyle="1" w:styleId="246">
    <w:name w:val="标题 31"/>
    <w:basedOn w:val="1"/>
    <w:next w:val="247"/>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7">
    <w:name w:val="正文缩进1"/>
    <w:basedOn w:val="1"/>
    <w:autoRedefine/>
    <w:qFormat/>
    <w:uiPriority w:val="0"/>
    <w:pPr>
      <w:ind w:firstLine="420"/>
    </w:pPr>
    <w:rPr>
      <w:sz w:val="20"/>
    </w:rPr>
  </w:style>
  <w:style w:type="character" w:customStyle="1" w:styleId="248">
    <w:name w:val="style21"/>
    <w:autoRedefine/>
    <w:qFormat/>
    <w:uiPriority w:val="99"/>
    <w:rPr>
      <w:sz w:val="22"/>
      <w:szCs w:val="22"/>
    </w:rPr>
  </w:style>
  <w:style w:type="character" w:customStyle="1" w:styleId="249">
    <w:name w:val="列出段落 字符"/>
    <w:autoRedefine/>
    <w:qFormat/>
    <w:uiPriority w:val="34"/>
    <w:rPr>
      <w:sz w:val="21"/>
    </w:rPr>
  </w:style>
  <w:style w:type="character" w:customStyle="1" w:styleId="250">
    <w:name w:val="宋体&amp;Time5# Char"/>
    <w:link w:val="251"/>
    <w:autoRedefine/>
    <w:qFormat/>
    <w:uiPriority w:val="0"/>
    <w:rPr>
      <w:rFonts w:ascii="Calibri" w:hAnsi="Calibri" w:eastAsia="Times New Roman"/>
      <w:sz w:val="21"/>
      <w:szCs w:val="21"/>
    </w:rPr>
  </w:style>
  <w:style w:type="paragraph" w:customStyle="1" w:styleId="251">
    <w:name w:val="宋体&amp;Time5#"/>
    <w:basedOn w:val="1"/>
    <w:link w:val="250"/>
    <w:autoRedefine/>
    <w:qFormat/>
    <w:uiPriority w:val="0"/>
    <w:pPr>
      <w:jc w:val="center"/>
    </w:pPr>
    <w:rPr>
      <w:rFonts w:ascii="Calibri" w:hAnsi="Calibri" w:eastAsia="Times New Roman"/>
      <w:szCs w:val="21"/>
      <w:lang w:eastAsia="en-US"/>
    </w:rPr>
  </w:style>
  <w:style w:type="character" w:customStyle="1" w:styleId="252">
    <w:name w:val="访问过的超链接1"/>
    <w:autoRedefine/>
    <w:qFormat/>
    <w:uiPriority w:val="0"/>
    <w:rPr>
      <w:color w:val="000000"/>
      <w:u w:val="none"/>
    </w:rPr>
  </w:style>
  <w:style w:type="character" w:customStyle="1" w:styleId="253">
    <w:name w:val="列出段落 Char"/>
    <w:link w:val="254"/>
    <w:autoRedefine/>
    <w:qFormat/>
    <w:uiPriority w:val="34"/>
    <w:rPr>
      <w:sz w:val="21"/>
    </w:rPr>
  </w:style>
  <w:style w:type="paragraph" w:customStyle="1" w:styleId="254">
    <w:name w:val="列出段落1"/>
    <w:basedOn w:val="1"/>
    <w:link w:val="253"/>
    <w:autoRedefine/>
    <w:qFormat/>
    <w:uiPriority w:val="34"/>
    <w:pPr>
      <w:ind w:firstLine="420"/>
    </w:pPr>
    <w:rPr>
      <w:lang w:eastAsia="en-US"/>
    </w:rPr>
  </w:style>
  <w:style w:type="character" w:customStyle="1" w:styleId="255">
    <w:name w:val="case31"/>
    <w:autoRedefine/>
    <w:qFormat/>
    <w:uiPriority w:val="0"/>
    <w:rPr>
      <w:rFonts w:cs="Times New Roman"/>
      <w:spacing w:val="390"/>
      <w:sz w:val="21"/>
      <w:szCs w:val="21"/>
    </w:rPr>
  </w:style>
  <w:style w:type="character" w:customStyle="1" w:styleId="256">
    <w:name w:val="_正文 Char"/>
    <w:link w:val="257"/>
    <w:autoRedefine/>
    <w:qFormat/>
    <w:uiPriority w:val="0"/>
    <w:rPr>
      <w:rFonts w:ascii="微软雅黑" w:hAnsi="微软雅黑"/>
    </w:rPr>
  </w:style>
  <w:style w:type="paragraph" w:customStyle="1" w:styleId="257">
    <w:name w:val="_正文"/>
    <w:basedOn w:val="1"/>
    <w:link w:val="256"/>
    <w:autoRedefine/>
    <w:qFormat/>
    <w:uiPriority w:val="0"/>
    <w:pPr>
      <w:widowControl/>
      <w:spacing w:line="360" w:lineRule="auto"/>
      <w:ind w:firstLine="200"/>
      <w:jc w:val="left"/>
    </w:pPr>
    <w:rPr>
      <w:rFonts w:ascii="微软雅黑" w:hAnsi="微软雅黑"/>
      <w:sz w:val="20"/>
      <w:lang w:eastAsia="en-US"/>
    </w:rPr>
  </w:style>
  <w:style w:type="paragraph" w:customStyle="1" w:styleId="258">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9">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0">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1">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2">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3">
    <w:name w:val="font13"/>
    <w:basedOn w:val="1"/>
    <w:autoRedefine/>
    <w:qFormat/>
    <w:uiPriority w:val="0"/>
    <w:pPr>
      <w:widowControl/>
      <w:spacing w:before="100" w:beforeAutospacing="1" w:after="100" w:afterAutospacing="1"/>
      <w:jc w:val="left"/>
    </w:pPr>
    <w:rPr>
      <w:i/>
      <w:iCs/>
      <w:sz w:val="36"/>
      <w:szCs w:val="36"/>
    </w:rPr>
  </w:style>
  <w:style w:type="paragraph" w:customStyle="1" w:styleId="264">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5">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6">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8">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9">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0">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1">
    <w:name w:val="font7"/>
    <w:basedOn w:val="1"/>
    <w:autoRedefine/>
    <w:qFormat/>
    <w:uiPriority w:val="0"/>
    <w:pPr>
      <w:widowControl/>
      <w:spacing w:before="100" w:beforeAutospacing="1" w:after="100" w:afterAutospacing="1"/>
      <w:jc w:val="left"/>
    </w:pPr>
    <w:rPr>
      <w:b/>
      <w:bCs/>
      <w:i/>
      <w:iCs/>
      <w:sz w:val="20"/>
    </w:rPr>
  </w:style>
  <w:style w:type="paragraph" w:customStyle="1" w:styleId="272">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3">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4">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5">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6">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7">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8">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9">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0">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1">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2">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3">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4">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5">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6">
    <w:name w:val="文档正文"/>
    <w:basedOn w:val="1"/>
    <w:autoRedefine/>
    <w:qFormat/>
    <w:uiPriority w:val="0"/>
    <w:pPr>
      <w:spacing w:line="312" w:lineRule="atLeast"/>
      <w:ind w:firstLine="567"/>
    </w:pPr>
    <w:rPr>
      <w:rFonts w:ascii="长城仿宋" w:eastAsia="长城仿宋"/>
      <w:sz w:val="28"/>
    </w:rPr>
  </w:style>
  <w:style w:type="paragraph" w:customStyle="1" w:styleId="287">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8">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89">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0">
    <w:name w:val="_标题 2"/>
    <w:basedOn w:val="191"/>
    <w:next w:val="257"/>
    <w:autoRedefine/>
    <w:qFormat/>
    <w:uiPriority w:val="0"/>
    <w:pPr>
      <w:keepLines/>
      <w:widowControl/>
      <w:numPr>
        <w:ilvl w:val="1"/>
        <w:numId w:val="2"/>
      </w:numPr>
      <w:spacing w:before="260" w:after="260"/>
      <w:jc w:val="left"/>
    </w:pPr>
    <w:rPr>
      <w:rFonts w:ascii="微软雅黑" w:hAnsi="微软雅黑"/>
      <w:sz w:val="21"/>
    </w:rPr>
  </w:style>
  <w:style w:type="paragraph" w:customStyle="1" w:styleId="291">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2">
    <w:name w:val="_标题 4"/>
    <w:basedOn w:val="193"/>
    <w:next w:val="257"/>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3">
    <w:name w:val="Char Char Char Char"/>
    <w:basedOn w:val="204"/>
    <w:autoRedefine/>
    <w:qFormat/>
    <w:uiPriority w:val="0"/>
    <w:pPr>
      <w:spacing w:line="360" w:lineRule="auto"/>
    </w:pPr>
    <w:rPr>
      <w:rFonts w:ascii="Tahoma" w:hAnsi="Tahoma"/>
      <w:sz w:val="24"/>
      <w:szCs w:val="24"/>
    </w:rPr>
  </w:style>
  <w:style w:type="paragraph" w:customStyle="1" w:styleId="294">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5">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6">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7">
    <w:name w:val="默认段落字体 Para Char"/>
    <w:basedOn w:val="1"/>
    <w:qFormat/>
    <w:uiPriority w:val="0"/>
    <w:pPr>
      <w:tabs>
        <w:tab w:val="left" w:pos="552"/>
      </w:tabs>
      <w:ind w:left="552" w:hanging="420"/>
    </w:pPr>
    <w:rPr>
      <w:sz w:val="24"/>
      <w:szCs w:val="24"/>
    </w:rPr>
  </w:style>
  <w:style w:type="paragraph" w:customStyle="1" w:styleId="298">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9">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0">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3">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6">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7">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8">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9">
    <w:name w:val="_Style 22"/>
    <w:basedOn w:val="1"/>
    <w:qFormat/>
    <w:uiPriority w:val="0"/>
    <w:pPr>
      <w:spacing w:line="300" w:lineRule="auto"/>
      <w:ind w:firstLine="200"/>
    </w:pPr>
    <w:rPr>
      <w:rFonts w:ascii="宋体" w:hAnsi="Calibri" w:eastAsia="等线"/>
      <w:sz w:val="24"/>
      <w:szCs w:val="22"/>
    </w:rPr>
  </w:style>
  <w:style w:type="paragraph" w:customStyle="1" w:styleId="310">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1">
    <w:name w:val="Char Char1 Char Char Char Char"/>
    <w:basedOn w:val="204"/>
    <w:autoRedefine/>
    <w:qFormat/>
    <w:uiPriority w:val="0"/>
    <w:pPr>
      <w:spacing w:line="436" w:lineRule="exact"/>
      <w:ind w:left="357"/>
      <w:jc w:val="left"/>
      <w:outlineLvl w:val="3"/>
    </w:pPr>
    <w:rPr>
      <w:rFonts w:ascii="Tahoma" w:hAnsi="Tahoma"/>
      <w:b/>
      <w:sz w:val="24"/>
      <w:szCs w:val="24"/>
    </w:rPr>
  </w:style>
  <w:style w:type="paragraph" w:customStyle="1" w:styleId="312">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3">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9"/>
    <w:basedOn w:val="1"/>
    <w:qFormat/>
    <w:uiPriority w:val="0"/>
    <w:pPr>
      <w:widowControl/>
      <w:spacing w:before="100" w:beforeAutospacing="1" w:after="100" w:afterAutospacing="1"/>
      <w:jc w:val="left"/>
    </w:pPr>
    <w:rPr>
      <w:b/>
      <w:bCs/>
      <w:sz w:val="20"/>
    </w:rPr>
  </w:style>
  <w:style w:type="paragraph" w:customStyle="1" w:styleId="315">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6">
    <w:name w:val="_Style 1"/>
    <w:basedOn w:val="1"/>
    <w:qFormat/>
    <w:uiPriority w:val="99"/>
    <w:pPr>
      <w:ind w:firstLine="420"/>
    </w:pPr>
    <w:rPr>
      <w:szCs w:val="22"/>
    </w:rPr>
  </w:style>
  <w:style w:type="paragraph" w:customStyle="1" w:styleId="317">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8">
    <w:name w:val="列出段落11"/>
    <w:basedOn w:val="1"/>
    <w:qFormat/>
    <w:uiPriority w:val="34"/>
    <w:pPr>
      <w:ind w:firstLine="420"/>
    </w:pPr>
    <w:rPr>
      <w:sz w:val="20"/>
    </w:rPr>
  </w:style>
  <w:style w:type="paragraph" w:customStyle="1" w:styleId="31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1">
    <w:name w:val="font11"/>
    <w:basedOn w:val="1"/>
    <w:qFormat/>
    <w:uiPriority w:val="0"/>
    <w:pPr>
      <w:widowControl/>
      <w:spacing w:before="100" w:beforeAutospacing="1" w:after="100" w:afterAutospacing="1"/>
      <w:jc w:val="left"/>
    </w:pPr>
    <w:rPr>
      <w:b/>
      <w:bCs/>
      <w:sz w:val="18"/>
      <w:szCs w:val="18"/>
    </w:rPr>
  </w:style>
  <w:style w:type="paragraph" w:customStyle="1" w:styleId="32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3">
    <w:name w:val="Char1"/>
    <w:basedOn w:val="1"/>
    <w:qFormat/>
    <w:uiPriority w:val="0"/>
    <w:pPr>
      <w:widowControl/>
      <w:spacing w:after="160" w:line="240" w:lineRule="exact"/>
      <w:jc w:val="left"/>
    </w:pPr>
  </w:style>
  <w:style w:type="paragraph" w:customStyle="1" w:styleId="324">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5">
    <w:name w:val="普通文字"/>
    <w:basedOn w:val="1"/>
    <w:next w:val="1"/>
    <w:autoRedefine/>
    <w:qFormat/>
    <w:uiPriority w:val="99"/>
    <w:rPr>
      <w:rFonts w:ascii="宋体"/>
      <w:sz w:val="24"/>
    </w:rPr>
  </w:style>
  <w:style w:type="paragraph" w:customStyle="1" w:styleId="326">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7">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8">
    <w:name w:val="_标题 1"/>
    <w:basedOn w:val="1"/>
    <w:next w:val="257"/>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9">
    <w:name w:val="_标题 3"/>
    <w:basedOn w:val="192"/>
    <w:next w:val="257"/>
    <w:qFormat/>
    <w:uiPriority w:val="0"/>
    <w:pPr>
      <w:keepLines/>
      <w:widowControl/>
      <w:numPr>
        <w:ilvl w:val="2"/>
        <w:numId w:val="2"/>
      </w:numPr>
      <w:spacing w:before="260" w:after="260"/>
      <w:jc w:val="left"/>
    </w:pPr>
    <w:rPr>
      <w:rFonts w:ascii="微软雅黑" w:hAnsi="微软雅黑"/>
      <w:sz w:val="21"/>
      <w:szCs w:val="21"/>
    </w:rPr>
  </w:style>
  <w:style w:type="paragraph" w:customStyle="1" w:styleId="330">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1">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3">
    <w:name w:val="font14"/>
    <w:basedOn w:val="1"/>
    <w:qFormat/>
    <w:uiPriority w:val="0"/>
    <w:pPr>
      <w:widowControl/>
      <w:spacing w:before="100" w:beforeAutospacing="1" w:after="100" w:afterAutospacing="1"/>
      <w:jc w:val="left"/>
    </w:pPr>
    <w:rPr>
      <w:sz w:val="36"/>
      <w:szCs w:val="36"/>
    </w:rPr>
  </w:style>
  <w:style w:type="paragraph" w:customStyle="1" w:styleId="334">
    <w:name w:val="彩色列表 - 着色 11"/>
    <w:basedOn w:val="1"/>
    <w:qFormat/>
    <w:uiPriority w:val="34"/>
    <w:pPr>
      <w:ind w:firstLine="420"/>
    </w:pPr>
    <w:rPr>
      <w:szCs w:val="24"/>
    </w:rPr>
  </w:style>
  <w:style w:type="paragraph" w:customStyle="1" w:styleId="335">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6">
    <w:name w:val="正文文本 字符"/>
    <w:autoRedefine/>
    <w:semiHidden/>
    <w:qFormat/>
    <w:uiPriority w:val="0"/>
    <w:rPr>
      <w:rFonts w:cs="Times New Roman"/>
      <w:sz w:val="20"/>
      <w:szCs w:val="20"/>
    </w:rPr>
  </w:style>
  <w:style w:type="character" w:customStyle="1" w:styleId="337">
    <w:name w:val="页脚 字符"/>
    <w:autoRedefine/>
    <w:qFormat/>
    <w:uiPriority w:val="99"/>
    <w:rPr>
      <w:rFonts w:cs="Times New Roman"/>
      <w:sz w:val="18"/>
      <w:szCs w:val="18"/>
    </w:rPr>
  </w:style>
  <w:style w:type="character" w:customStyle="1" w:styleId="338">
    <w:name w:val="正文文本缩进 字符"/>
    <w:semiHidden/>
    <w:qFormat/>
    <w:uiPriority w:val="0"/>
    <w:rPr>
      <w:rFonts w:cs="Times New Roman"/>
      <w:sz w:val="20"/>
      <w:szCs w:val="20"/>
    </w:rPr>
  </w:style>
  <w:style w:type="character" w:customStyle="1" w:styleId="339">
    <w:name w:val="批注框文本 字符"/>
    <w:autoRedefine/>
    <w:qFormat/>
    <w:uiPriority w:val="0"/>
    <w:rPr>
      <w:sz w:val="18"/>
      <w:szCs w:val="18"/>
    </w:rPr>
  </w:style>
  <w:style w:type="character" w:customStyle="1" w:styleId="340">
    <w:name w:val="批注主题 字符"/>
    <w:semiHidden/>
    <w:qFormat/>
    <w:uiPriority w:val="99"/>
    <w:rPr>
      <w:b/>
      <w:bCs/>
      <w:sz w:val="21"/>
    </w:rPr>
  </w:style>
  <w:style w:type="character" w:customStyle="1" w:styleId="341">
    <w:name w:val="正文文本缩进 2 字符"/>
    <w:semiHidden/>
    <w:qFormat/>
    <w:uiPriority w:val="0"/>
    <w:rPr>
      <w:rFonts w:cs="Times New Roman"/>
      <w:sz w:val="20"/>
      <w:szCs w:val="20"/>
    </w:rPr>
  </w:style>
  <w:style w:type="character" w:customStyle="1" w:styleId="342">
    <w:name w:val="正文文本 2 字符"/>
    <w:semiHidden/>
    <w:qFormat/>
    <w:uiPriority w:val="0"/>
    <w:rPr>
      <w:rFonts w:cs="Times New Roman"/>
      <w:sz w:val="20"/>
      <w:szCs w:val="20"/>
    </w:rPr>
  </w:style>
  <w:style w:type="character" w:customStyle="1" w:styleId="343">
    <w:name w:val="正文文本缩进 3 字符"/>
    <w:semiHidden/>
    <w:qFormat/>
    <w:uiPriority w:val="0"/>
    <w:rPr>
      <w:rFonts w:cs="Times New Roman"/>
      <w:sz w:val="16"/>
      <w:szCs w:val="16"/>
    </w:rPr>
  </w:style>
  <w:style w:type="character" w:customStyle="1" w:styleId="344">
    <w:name w:val="标题 字符"/>
    <w:qFormat/>
    <w:uiPriority w:val="99"/>
    <w:rPr>
      <w:rFonts w:ascii="Cambria" w:hAnsi="Cambria" w:cs="Cambria"/>
      <w:b/>
      <w:bCs/>
      <w:sz w:val="32"/>
      <w:szCs w:val="32"/>
    </w:rPr>
  </w:style>
  <w:style w:type="character" w:customStyle="1" w:styleId="345">
    <w:name w:val="文档结构图 字符"/>
    <w:semiHidden/>
    <w:qFormat/>
    <w:uiPriority w:val="0"/>
    <w:rPr>
      <w:rFonts w:cs="Times New Roman"/>
      <w:sz w:val="2"/>
    </w:rPr>
  </w:style>
  <w:style w:type="character" w:customStyle="1" w:styleId="346">
    <w:name w:val="日期 字符"/>
    <w:semiHidden/>
    <w:qFormat/>
    <w:uiPriority w:val="0"/>
    <w:rPr>
      <w:rFonts w:cs="Times New Roman"/>
      <w:sz w:val="20"/>
      <w:szCs w:val="20"/>
    </w:rPr>
  </w:style>
  <w:style w:type="character" w:customStyle="1" w:styleId="347">
    <w:name w:val="标题 2 字符"/>
    <w:autoRedefine/>
    <w:semiHidden/>
    <w:qFormat/>
    <w:uiPriority w:val="0"/>
    <w:rPr>
      <w:rFonts w:ascii="Cambria" w:hAnsi="Cambria" w:eastAsia="宋体" w:cs="Times New Roman"/>
      <w:b/>
      <w:bCs/>
      <w:sz w:val="32"/>
      <w:szCs w:val="32"/>
    </w:rPr>
  </w:style>
  <w:style w:type="character" w:customStyle="1" w:styleId="348">
    <w:name w:val="副标题 字符"/>
    <w:qFormat/>
    <w:uiPriority w:val="11"/>
    <w:rPr>
      <w:rFonts w:ascii="Calibri Light" w:hAnsi="Calibri Light"/>
      <w:b/>
      <w:bCs/>
      <w:sz w:val="32"/>
      <w:szCs w:val="32"/>
    </w:rPr>
  </w:style>
  <w:style w:type="character" w:customStyle="1" w:styleId="349">
    <w:name w:val="标题 4 字符"/>
    <w:semiHidden/>
    <w:qFormat/>
    <w:uiPriority w:val="0"/>
    <w:rPr>
      <w:rFonts w:ascii="Cambria" w:hAnsi="Cambria" w:eastAsia="宋体" w:cs="Times New Roman"/>
      <w:b/>
      <w:bCs/>
      <w:sz w:val="28"/>
      <w:szCs w:val="28"/>
    </w:rPr>
  </w:style>
  <w:style w:type="character" w:customStyle="1" w:styleId="350">
    <w:name w:val="标题 1 字符"/>
    <w:qFormat/>
    <w:uiPriority w:val="0"/>
    <w:rPr>
      <w:rFonts w:cs="Times New Roman"/>
      <w:b/>
      <w:bCs/>
      <w:sz w:val="44"/>
      <w:szCs w:val="44"/>
    </w:rPr>
  </w:style>
  <w:style w:type="character" w:customStyle="1" w:styleId="351">
    <w:name w:val="标题 3 字符"/>
    <w:semiHidden/>
    <w:qFormat/>
    <w:uiPriority w:val="0"/>
    <w:rPr>
      <w:rFonts w:cs="Times New Roman"/>
      <w:b/>
      <w:bCs/>
      <w:sz w:val="32"/>
      <w:szCs w:val="32"/>
    </w:rPr>
  </w:style>
  <w:style w:type="character" w:customStyle="1" w:styleId="352">
    <w:name w:val="列出段落 字符1"/>
    <w:qFormat/>
    <w:uiPriority w:val="34"/>
    <w:rPr>
      <w:sz w:val="21"/>
    </w:rPr>
  </w:style>
  <w:style w:type="character" w:customStyle="1" w:styleId="353">
    <w:name w:val="标题 5 字符"/>
    <w:qFormat/>
    <w:uiPriority w:val="0"/>
    <w:rPr>
      <w:rFonts w:ascii="楷体_GB2312" w:eastAsia="楷体_GB2312"/>
      <w:bCs/>
      <w:sz w:val="28"/>
    </w:rPr>
  </w:style>
  <w:style w:type="character" w:customStyle="1" w:styleId="354">
    <w:name w:val="页眉 字符"/>
    <w:qFormat/>
    <w:uiPriority w:val="99"/>
    <w:rPr>
      <w:rFonts w:cs="Times New Roman"/>
      <w:sz w:val="18"/>
      <w:szCs w:val="18"/>
    </w:rPr>
  </w:style>
  <w:style w:type="character" w:customStyle="1" w:styleId="355">
    <w:name w:val="批注文字 字符"/>
    <w:semiHidden/>
    <w:qFormat/>
    <w:uiPriority w:val="99"/>
    <w:rPr>
      <w:sz w:val="21"/>
    </w:rPr>
  </w:style>
  <w:style w:type="paragraph" w:customStyle="1" w:styleId="356">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7">
    <w:name w:val="Char1 Char Char Char"/>
    <w:basedOn w:val="1"/>
    <w:qFormat/>
    <w:uiPriority w:val="0"/>
    <w:rPr>
      <w:rFonts w:ascii="Tahoma" w:hAnsi="Tahoma"/>
      <w:sz w:val="24"/>
    </w:rPr>
  </w:style>
  <w:style w:type="paragraph" w:customStyle="1" w:styleId="358">
    <w:name w:val="样式 小四 段前: 5 磅 段后: 5 磅 首行缩进:  2 字符"/>
    <w:basedOn w:val="1"/>
    <w:qFormat/>
    <w:uiPriority w:val="0"/>
    <w:pPr>
      <w:spacing w:line="360" w:lineRule="auto"/>
    </w:pPr>
    <w:rPr>
      <w:rFonts w:ascii="宋体" w:hAnsi="宋体"/>
      <w:szCs w:val="21"/>
    </w:rPr>
  </w:style>
  <w:style w:type="character" w:customStyle="1" w:styleId="359">
    <w:name w:val="font21"/>
    <w:qFormat/>
    <w:uiPriority w:val="0"/>
    <w:rPr>
      <w:rFonts w:hint="eastAsia" w:ascii="宋体" w:hAnsi="宋体" w:eastAsia="宋体" w:cs="宋体"/>
      <w:color w:val="FF0000"/>
      <w:sz w:val="18"/>
      <w:szCs w:val="18"/>
      <w:u w:val="none"/>
    </w:rPr>
  </w:style>
  <w:style w:type="character" w:customStyle="1" w:styleId="360">
    <w:name w:val="font01"/>
    <w:qFormat/>
    <w:uiPriority w:val="0"/>
    <w:rPr>
      <w:rFonts w:hint="eastAsia" w:ascii="宋体" w:hAnsi="宋体" w:eastAsia="宋体" w:cs="宋体"/>
      <w:color w:val="000000"/>
      <w:sz w:val="18"/>
      <w:szCs w:val="18"/>
      <w:u w:val="none"/>
    </w:rPr>
  </w:style>
  <w:style w:type="character" w:customStyle="1" w:styleId="361">
    <w:name w:val="font51"/>
    <w:qFormat/>
    <w:uiPriority w:val="0"/>
    <w:rPr>
      <w:rFonts w:hint="eastAsia" w:ascii="宋体" w:hAnsi="宋体" w:eastAsia="宋体" w:cs="宋体"/>
      <w:color w:val="000000"/>
      <w:sz w:val="18"/>
      <w:szCs w:val="18"/>
      <w:u w:val="none"/>
    </w:rPr>
  </w:style>
  <w:style w:type="paragraph" w:customStyle="1" w:styleId="362">
    <w:name w:val="Other|1"/>
    <w:basedOn w:val="1"/>
    <w:qFormat/>
    <w:uiPriority w:val="0"/>
    <w:pPr>
      <w:spacing w:line="389" w:lineRule="auto"/>
    </w:pPr>
    <w:rPr>
      <w:rFonts w:ascii="宋体" w:hAnsi="宋体" w:cs="宋体"/>
      <w:sz w:val="22"/>
      <w:szCs w:val="22"/>
      <w:lang w:val="zh-TW" w:eastAsia="zh-TW" w:bidi="zh-TW"/>
    </w:rPr>
  </w:style>
  <w:style w:type="character" w:customStyle="1" w:styleId="363">
    <w:name w:val="标题 1 字符1"/>
    <w:qFormat/>
    <w:uiPriority w:val="0"/>
    <w:rPr>
      <w:rFonts w:cs="Times New Roman"/>
      <w:b/>
      <w:bCs/>
      <w:sz w:val="44"/>
      <w:szCs w:val="44"/>
    </w:rPr>
  </w:style>
  <w:style w:type="character" w:customStyle="1" w:styleId="364">
    <w:name w:val="页眉 字符1"/>
    <w:qFormat/>
    <w:uiPriority w:val="0"/>
    <w:rPr>
      <w:sz w:val="18"/>
      <w:szCs w:val="18"/>
    </w:rPr>
  </w:style>
  <w:style w:type="paragraph" w:customStyle="1" w:styleId="365">
    <w:name w:val="Plain Text1"/>
    <w:basedOn w:val="1"/>
    <w:qFormat/>
    <w:uiPriority w:val="99"/>
    <w:rPr>
      <w:rFonts w:ascii="宋体" w:hAnsi="Courier New" w:eastAsia="楷体_GB2312" w:cs="宋体"/>
      <w:sz w:val="26"/>
      <w:szCs w:val="26"/>
    </w:rPr>
  </w:style>
  <w:style w:type="paragraph" w:customStyle="1" w:styleId="366">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7">
    <w:name w:val="批注引用1"/>
    <w:basedOn w:val="368"/>
    <w:semiHidden/>
    <w:qFormat/>
    <w:uiPriority w:val="0"/>
    <w:rPr>
      <w:sz w:val="21"/>
      <w:lang w:val="en-US" w:eastAsia="zh-CN" w:bidi="ar-SA"/>
    </w:rPr>
  </w:style>
  <w:style w:type="character" w:customStyle="1" w:styleId="368">
    <w:name w:val="默认段落字体1"/>
    <w:autoRedefine/>
    <w:unhideWhenUsed/>
    <w:qFormat/>
    <w:uiPriority w:val="1"/>
  </w:style>
  <w:style w:type="paragraph" w:customStyle="1" w:styleId="369">
    <w:name w:val="标题 41"/>
    <w:basedOn w:val="1"/>
    <w:next w:val="247"/>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0">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1">
    <w:name w:val="纯文本1"/>
    <w:basedOn w:val="1"/>
    <w:autoRedefine/>
    <w:qFormat/>
    <w:uiPriority w:val="0"/>
    <w:rPr>
      <w:rFonts w:ascii="宋体" w:hAnsi="Courier New"/>
      <w:sz w:val="20"/>
    </w:rPr>
  </w:style>
  <w:style w:type="paragraph" w:customStyle="1" w:styleId="372">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3">
    <w:name w:val="Char"/>
    <w:basedOn w:val="1"/>
    <w:qFormat/>
    <w:uiPriority w:val="0"/>
    <w:pPr>
      <w:tabs>
        <w:tab w:val="left" w:pos="360"/>
      </w:tabs>
      <w:ind w:firstLine="200"/>
    </w:pPr>
    <w:rPr>
      <w:sz w:val="28"/>
      <w:szCs w:val="30"/>
    </w:rPr>
  </w:style>
  <w:style w:type="character" w:customStyle="1" w:styleId="374">
    <w:name w:val="HTML 打字机1"/>
    <w:qFormat/>
    <w:uiPriority w:val="99"/>
    <w:rPr>
      <w:rFonts w:ascii="宋体" w:hAnsi="宋体" w:eastAsia="宋体" w:cs="宋体"/>
      <w:sz w:val="24"/>
      <w:szCs w:val="24"/>
    </w:rPr>
  </w:style>
  <w:style w:type="paragraph" w:customStyle="1" w:styleId="375">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6">
    <w:name w:val="页脚1"/>
    <w:basedOn w:val="1"/>
    <w:qFormat/>
    <w:uiPriority w:val="0"/>
    <w:pPr>
      <w:tabs>
        <w:tab w:val="center" w:pos="4153"/>
        <w:tab w:val="right" w:pos="8306"/>
      </w:tabs>
      <w:jc w:val="left"/>
    </w:pPr>
    <w:rPr>
      <w:sz w:val="18"/>
      <w:szCs w:val="18"/>
    </w:rPr>
  </w:style>
  <w:style w:type="paragraph" w:customStyle="1" w:styleId="377">
    <w:name w:val="纯文本2"/>
    <w:basedOn w:val="1"/>
    <w:link w:val="378"/>
    <w:qFormat/>
    <w:uiPriority w:val="0"/>
    <w:rPr>
      <w:rFonts w:ascii="宋体" w:hAnsi="Calibri" w:cs="Calibri"/>
      <w:sz w:val="20"/>
      <w:szCs w:val="21"/>
    </w:rPr>
  </w:style>
  <w:style w:type="character" w:customStyle="1" w:styleId="378">
    <w:name w:val="纯文本 Char"/>
    <w:basedOn w:val="195"/>
    <w:link w:val="377"/>
    <w:qFormat/>
    <w:uiPriority w:val="0"/>
    <w:rPr>
      <w:rFonts w:ascii="宋体" w:hAnsi="Calibri" w:eastAsia="宋体" w:cs="Calibri"/>
      <w:szCs w:val="21"/>
    </w:rPr>
  </w:style>
  <w:style w:type="paragraph" w:customStyle="1" w:styleId="379">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1">
    <w:name w:val="正文文本11"/>
    <w:basedOn w:val="1"/>
    <w:next w:val="1"/>
    <w:qFormat/>
    <w:uiPriority w:val="0"/>
    <w:rPr>
      <w:rFonts w:ascii="仿宋_GB2312" w:eastAsia="仿宋_GB2312"/>
      <w:sz w:val="28"/>
      <w:szCs w:val="20"/>
    </w:rPr>
  </w:style>
  <w:style w:type="character" w:customStyle="1" w:styleId="382">
    <w:name w:val="NormalCharacter1"/>
    <w:qFormat/>
    <w:uiPriority w:val="0"/>
    <w:rPr>
      <w:rFonts w:ascii="宋体" w:hAnsi="宋体" w:cs="宋体"/>
      <w:kern w:val="2"/>
      <w:sz w:val="21"/>
      <w:szCs w:val="21"/>
      <w:lang w:val="en-US" w:eastAsia="zh-CN" w:bidi="ar-SA"/>
    </w:rPr>
  </w:style>
  <w:style w:type="character" w:customStyle="1" w:styleId="383">
    <w:name w:val="NormalCharacter"/>
    <w:link w:val="384"/>
    <w:qFormat/>
    <w:uiPriority w:val="0"/>
  </w:style>
  <w:style w:type="paragraph" w:customStyle="1" w:styleId="384">
    <w:name w:val="UserStyle_4"/>
    <w:basedOn w:val="1"/>
    <w:link w:val="383"/>
    <w:qFormat/>
    <w:uiPriority w:val="99"/>
  </w:style>
  <w:style w:type="paragraph" w:customStyle="1" w:styleId="385">
    <w:name w:val="段"/>
    <w:next w:val="1"/>
    <w:qFormat/>
    <w:uiPriority w:val="0"/>
    <w:pPr>
      <w:ind w:firstLine="200"/>
      <w:jc w:val="both"/>
    </w:pPr>
    <w:rPr>
      <w:rFonts w:hint="default"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66</Pages>
  <Words>27511</Words>
  <Characters>28947</Characters>
  <Lines>306</Lines>
  <Paragraphs>86</Paragraphs>
  <TotalTime>6</TotalTime>
  <ScaleCrop>false</ScaleCrop>
  <LinksUpToDate>false</LinksUpToDate>
  <CharactersWithSpaces>29048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2025-08-05T06:11:53Z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