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before="120" w:beforeAutospacing="0" w:after="120" w:afterAutospacing="0" w:line="360" w:lineRule="auto"/>
      </w:pPr>
      <w:r>
        <w:t xml:space="preserve"> </w:t>
      </w:r>
      <w:r/>
    </w:p>
    <w:p>
      <w:pPr>
        <w:pStyle w:val="892"/>
        <w:jc w:val="center"/>
        <w:spacing w:before="120" w:beforeAutospacing="0" w:after="120" w:afterAutospacing="0" w:line="360" w:lineRule="auto"/>
      </w:pPr>
      <w:r>
        <w:rPr>
          <w:rFonts w:ascii="Arial" w:hAnsi="Arial" w:cs="Arial"/>
          <w:b/>
          <w:color w:val="000000"/>
          <w:sz w:val="84"/>
          <w:szCs w:val="84"/>
        </w:rPr>
        <w:t xml:space="preserve">招 标 文 件</w:t>
      </w:r>
      <w:r/>
    </w:p>
    <w:p>
      <w:pPr>
        <w:pStyle w:val="892"/>
        <w:ind w:firstLine="128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ind w:firstLine="128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92"/>
        <w:spacing w:before="120" w:beforeAutospacing="0" w:after="120" w:afterAutospacing="0" w:line="360" w:lineRule="auto"/>
      </w:pPr>
      <w:r>
        <w:rPr>
          <w:rFonts w:ascii="Arial" w:hAnsi="Arial" w:cs="Arial"/>
          <w:b/>
          <w:color w:val="000000"/>
          <w:sz w:val="32"/>
          <w:szCs w:val="32"/>
        </w:rPr>
        <w:t xml:space="preserve">项目名称：</w:t>
      </w:r>
      <w:r>
        <w:rPr>
          <w:rFonts w:hint="eastAsia" w:ascii="宋体" w:hAnsi="宋体" w:eastAsia="宋体" w:cs="宋体"/>
          <w:b/>
          <w:sz w:val="36"/>
          <w:lang w:eastAsia="zh-CN"/>
        </w:rPr>
        <w:t xml:space="preserve">盐城市新洋经济区河道保洁服务项目</w:t>
      </w:r>
      <w:r/>
    </w:p>
    <w:p>
      <w:pPr>
        <w:pStyle w:val="892"/>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JSZC-320902-YDYC-G2024-0001</w:t>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pStyle w:val="892"/>
        <w:spacing w:beforeAutospacing="0" w:afterAutospacing="0" w:line="360" w:lineRule="auto"/>
      </w:pPr>
      <w:r/>
      <w:r/>
    </w:p>
    <w:p>
      <w:pPr>
        <w:jc w:val="center"/>
        <w:spacing w:line="360" w:lineRule="auto"/>
        <w:rPr>
          <w:rFonts w:hint="eastAsia" w:ascii="宋体" w:hAnsi="宋体" w:eastAsia="宋体" w:cs="宋体"/>
          <w:sz w:val="36"/>
          <w:szCs w:val="36"/>
          <w:lang w:eastAsia="zh-CN"/>
        </w:rPr>
        <w:outlineLvl w:val="0"/>
      </w:pPr>
      <w:r/>
      <w:bookmarkStart w:id="0" w:name="_Toc30295"/>
      <w:r/>
      <w:bookmarkStart w:id="1" w:name="_Toc17181"/>
      <w:r/>
      <w:bookmarkStart w:id="2" w:name="_Toc17081"/>
      <w:r>
        <w:rPr>
          <w:rFonts w:hint="eastAsia" w:ascii="宋体" w:hAnsi="宋体" w:eastAsia="宋体" w:cs="宋体"/>
          <w:sz w:val="36"/>
          <w:szCs w:val="36"/>
          <w:lang w:eastAsia="zh-CN"/>
        </w:rPr>
        <w:t xml:space="preserve">盐城市新洋经济区管理委员会</w:t>
      </w:r>
      <w:bookmarkEnd w:id="0"/>
      <w:r/>
      <w:bookmarkEnd w:id="1"/>
      <w:r/>
      <w:bookmarkEnd w:id="2"/>
      <w:r/>
      <w:r/>
    </w:p>
    <w:p>
      <w:pPr>
        <w:pStyle w:val="892"/>
        <w:jc w:val="center"/>
        <w:spacing w:before="120" w:beforeAutospacing="0" w:after="120" w:afterAutospacing="0" w:line="360" w:lineRule="auto"/>
      </w:pPr>
      <w:r>
        <w:rPr>
          <w:rFonts w:hint="eastAsia" w:ascii="Arial" w:hAnsi="Arial" w:cs="Arial"/>
          <w:b/>
          <w:color w:val="000000"/>
          <w:sz w:val="32"/>
          <w:szCs w:val="32"/>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11</w:t>
      </w:r>
      <w:r>
        <w:rPr>
          <w:rFonts w:ascii="Arial" w:hAnsi="Arial" w:cs="Arial"/>
          <w:b/>
          <w:color w:val="000000"/>
          <w:sz w:val="32"/>
          <w:szCs w:val="32"/>
        </w:rPr>
        <w:t xml:space="preserve">月</w:t>
      </w:r>
      <w:r>
        <w:t xml:space="preserve"> </w:t>
      </w:r>
      <w:r/>
    </w:p>
    <w:p>
      <w:pPr>
        <w:pStyle w:val="89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3" w:name="_Toc20823272"/>
      <w:r/>
      <w:bookmarkStart w:id="4" w:name="_Toc523127445"/>
      <w:r/>
      <w:bookmarkStart w:id="5" w:name="_Toc16938516"/>
      <w:r/>
      <w:bookmarkStart w:id="6" w:name="_Toc120614210"/>
      <w:r/>
      <w:bookmarkStart w:id="7" w:name="_Toc479757206"/>
      <w:r/>
      <w:bookmarkStart w:id="8"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3"/>
      <w:r/>
      <w:bookmarkEnd w:id="4"/>
      <w:r/>
      <w:bookmarkEnd w:id="5"/>
      <w:r/>
      <w:bookmarkEnd w:id="6"/>
      <w:r/>
      <w:bookmarkEnd w:id="7"/>
      <w:r/>
      <w:bookmarkEnd w:id="8"/>
      <w:r/>
      <w:r/>
    </w:p>
    <w:p>
      <w:pPr>
        <w:pStyle w:val="892"/>
        <w:jc w:val="both"/>
        <w:spacing w:beforeAutospacing="0" w:afterAutospacing="0" w:line="480" w:lineRule="auto"/>
      </w:pPr>
      <w:r/>
      <w:r/>
    </w:p>
    <w:p>
      <w:pPr>
        <w:pStyle w:val="892"/>
        <w:jc w:val="both"/>
        <w:spacing w:beforeAutospacing="0" w:afterAutospacing="0" w:line="480" w:lineRule="auto"/>
        <w:rPr>
          <w:rFonts w:ascii="宋体" w:hAnsi="宋体" w:eastAsia="宋体" w:cs="宋体"/>
        </w:rPr>
      </w:pPr>
      <w:r>
        <w:rPr>
          <w:rFonts w:ascii="宋体" w:hAnsi="宋体" w:eastAsia="宋体" w:cs="宋体"/>
        </w:rPr>
      </w:r>
      <w:r/>
    </w:p>
    <w:p>
      <w:pPr>
        <w:pStyle w:val="892"/>
        <w:numPr>
          <w:ilvl w:val="0"/>
          <w:numId w:val="1"/>
        </w:numPr>
        <w:jc w:val="both"/>
        <w:spacing w:beforeAutospacing="0" w:afterAutospacing="0" w:line="360" w:lineRule="auto"/>
        <w:tabs>
          <w:tab w:val="left" w:pos="1441" w:leader="none"/>
        </w:tabs>
        <w:rPr>
          <w:rFonts w:hint="eastAsia" w:ascii="宋体" w:hAnsi="宋体" w:eastAsia="宋体" w:cs="宋体"/>
          <w:sz w:val="36"/>
          <w:szCs w:val="36"/>
          <w:lang w:val="en-US" w:eastAsia="zh-CN"/>
        </w:rPr>
      </w:pPr>
      <w:r>
        <w:rPr>
          <w:rFonts w:hint="eastAsia" w:ascii="宋体" w:hAnsi="宋体" w:eastAsia="宋体" w:cs="宋体"/>
          <w:sz w:val="36"/>
          <w:szCs w:val="36"/>
        </w:rPr>
        <w:t xml:space="preserve"> 招标公告</w:t>
      </w:r>
      <w:r>
        <w:rPr>
          <w:rFonts w:hint="eastAsia" w:ascii="宋体" w:hAnsi="宋体" w:eastAsia="宋体" w:cs="宋体"/>
          <w:sz w:val="36"/>
          <w:szCs w:val="36"/>
          <w:lang w:val="en-US" w:eastAsia="zh-CN"/>
        </w:rPr>
        <w:t xml:space="preserve">                      </w:t>
      </w:r>
      <w:r/>
    </w:p>
    <w:p>
      <w:pPr>
        <w:pStyle w:val="892"/>
        <w:numPr>
          <w:ilvl w:val="0"/>
          <w:numId w:val="0"/>
        </w:numPr>
        <w:jc w:val="both"/>
        <w:spacing w:beforeAutospacing="0" w:afterAutospacing="0" w:line="360" w:lineRule="auto"/>
        <w:tabs>
          <w:tab w:val="left" w:pos="1441" w:leader="none"/>
        </w:tabs>
        <w:rPr>
          <w:rFonts w:hint="default" w:ascii="宋体" w:hAnsi="宋体" w:eastAsia="宋体" w:cs="宋体"/>
          <w:lang w:val="en-US" w:eastAsia="zh-CN"/>
        </w:rPr>
      </w:pPr>
      <w:r>
        <w:rPr>
          <w:rFonts w:hint="eastAsia" w:ascii="宋体" w:hAnsi="宋体" w:eastAsia="宋体" w:cs="宋体"/>
          <w:sz w:val="36"/>
          <w:szCs w:val="36"/>
        </w:rPr>
        <w:t xml:space="preserve">第二章  投标人须知</w:t>
      </w:r>
      <w:r>
        <w:rPr>
          <w:rFonts w:hint="eastAsia" w:ascii="宋体" w:hAnsi="宋体" w:eastAsia="宋体" w:cs="宋体"/>
          <w:sz w:val="36"/>
          <w:szCs w:val="36"/>
          <w:lang w:val="en-US" w:eastAsia="zh-CN"/>
        </w:rPr>
        <w:t xml:space="preserve">                    </w:t>
      </w:r>
      <w:r/>
    </w:p>
    <w:p>
      <w:pPr>
        <w:pStyle w:val="892"/>
        <w:jc w:val="both"/>
        <w:spacing w:beforeAutospacing="0" w:afterAutospacing="0" w:line="360" w:lineRule="auto"/>
        <w:tabs>
          <w:tab w:val="left" w:pos="1441" w:leader="none"/>
        </w:tabs>
        <w:rPr>
          <w:rFonts w:hint="default" w:ascii="宋体" w:hAnsi="宋体" w:eastAsia="宋体" w:cs="宋体"/>
          <w:lang w:val="en-US" w:eastAsia="zh-CN"/>
        </w:rPr>
        <w:outlineLvl w:val="0"/>
      </w:pPr>
      <w:r/>
      <w:bookmarkStart w:id="9" w:name="_Toc7091"/>
      <w:r/>
      <w:bookmarkStart w:id="10" w:name="_Toc10855"/>
      <w:r/>
      <w:bookmarkStart w:id="11" w:name="_Toc32681"/>
      <w:r>
        <w:rPr>
          <w:rFonts w:hint="eastAsia" w:ascii="宋体" w:hAnsi="宋体" w:eastAsia="宋体" w:cs="宋体"/>
          <w:sz w:val="36"/>
          <w:szCs w:val="36"/>
        </w:rPr>
        <w:t xml:space="preserve">第三章  合同</w:t>
      </w:r>
      <w:bookmarkEnd w:id="9"/>
      <w:r/>
      <w:bookmarkEnd w:id="10"/>
      <w:r/>
      <w:bookmarkEnd w:id="11"/>
      <w:r>
        <w:rPr>
          <w:rFonts w:hint="eastAsia" w:ascii="宋体" w:hAnsi="宋体" w:eastAsia="宋体" w:cs="宋体"/>
          <w:sz w:val="36"/>
          <w:szCs w:val="36"/>
          <w:lang w:val="en-US" w:eastAsia="zh-CN"/>
        </w:rPr>
        <w:t xml:space="preserve">条款及格式</w:t>
      </w:r>
      <w:r/>
    </w:p>
    <w:p>
      <w:pPr>
        <w:pStyle w:val="892"/>
        <w:jc w:val="both"/>
        <w:spacing w:beforeAutospacing="0" w:afterAutospacing="0" w:line="360" w:lineRule="auto"/>
        <w:tabs>
          <w:tab w:val="left" w:pos="1441" w:leader="none"/>
        </w:tabs>
        <w:rPr>
          <w:rFonts w:ascii="宋体" w:hAnsi="宋体" w:eastAsia="宋体" w:cs="宋体"/>
        </w:rPr>
      </w:pPr>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项目</w:t>
      </w:r>
      <w:r>
        <w:rPr>
          <w:rFonts w:hint="eastAsia" w:ascii="宋体" w:hAnsi="宋体" w:eastAsia="宋体" w:cs="宋体"/>
          <w:sz w:val="36"/>
          <w:szCs w:val="36"/>
        </w:rPr>
        <w:t xml:space="preserve">需求</w:t>
      </w:r>
      <w:r/>
    </w:p>
    <w:p>
      <w:pPr>
        <w:pStyle w:val="892"/>
        <w:jc w:val="both"/>
        <w:spacing w:beforeAutospacing="0" w:afterAutospacing="0" w:line="360" w:lineRule="auto"/>
        <w:tabs>
          <w:tab w:val="left" w:pos="1441" w:leader="none"/>
        </w:tabs>
        <w:rPr>
          <w:rFonts w:ascii="宋体" w:hAnsi="宋体" w:eastAsia="宋体" w:cs="宋体"/>
        </w:rPr>
      </w:pPr>
      <w:r>
        <w:rPr>
          <w:rFonts w:hint="eastAsia" w:ascii="宋体" w:hAnsi="宋体" w:eastAsia="宋体" w:cs="宋体"/>
          <w:sz w:val="36"/>
          <w:szCs w:val="36"/>
        </w:rPr>
        <w:t xml:space="preserve">第五章  评标方法与评标标准</w:t>
      </w:r>
      <w:r/>
    </w:p>
    <w:p>
      <w:pPr>
        <w:pStyle w:val="892"/>
        <w:jc w:val="both"/>
        <w:spacing w:beforeAutospacing="0" w:afterAutospacing="0" w:line="360" w:lineRule="auto"/>
        <w:tabs>
          <w:tab w:val="left" w:pos="1441" w:leader="none"/>
        </w:tabs>
        <w:rPr>
          <w:rFonts w:ascii="宋体" w:hAnsi="宋体" w:eastAsia="宋体" w:cs="宋体"/>
        </w:rPr>
      </w:pPr>
      <w:r>
        <w:rPr>
          <w:rFonts w:hint="eastAsia" w:ascii="宋体" w:hAnsi="宋体" w:eastAsia="宋体" w:cs="宋体"/>
          <w:sz w:val="36"/>
          <w:szCs w:val="36"/>
        </w:rPr>
        <w:t xml:space="preserve">第六章  投标文件格式</w:t>
      </w:r>
      <w:r/>
    </w:p>
    <w:p>
      <w:pPr>
        <w:pStyle w:val="892"/>
        <w:jc w:val="both"/>
        <w:spacing w:beforeAutospacing="0" w:afterAutospacing="0"/>
      </w:pPr>
      <w:r/>
      <w:r/>
    </w:p>
    <w:p>
      <w:pPr>
        <w:pStyle w:val="892"/>
        <w:jc w:val="both"/>
        <w:spacing w:beforeAutospacing="0" w:afterAutospacing="0"/>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pStyle w:val="892"/>
        <w:jc w:val="both"/>
        <w:spacing w:beforeAutospacing="0" w:afterAutospacing="0"/>
      </w:pPr>
      <w:r/>
      <w:r/>
    </w:p>
    <w:p>
      <w:pPr>
        <w:pStyle w:val="892"/>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892"/>
        <w:ind w:firstLine="480"/>
        <w:jc w:val="both"/>
        <w:spacing w:beforeAutospacing="0" w:afterAutospacing="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892"/>
        <w:ind w:firstLine="480"/>
        <w:jc w:val="both"/>
        <w:spacing w:beforeAutospacing="0" w:afterAutospacing="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val="en-US" w:eastAsia="zh-CN"/>
        </w:rPr>
        <w:t xml:space="preserve">盐城市新洋经济区河道保洁服务项目</w:t>
      </w:r>
      <w:r>
        <w:rPr>
          <w:rFonts w:hint="eastAsia" w:ascii="宋体" w:hAnsi="宋体" w:eastAsia="宋体" w:cs="宋体"/>
          <w:color w:val="000000"/>
          <w:sz w:val="24"/>
          <w:szCs w:val="24"/>
        </w:rPr>
        <w:t xml:space="preserve">招标项目的潜在投标人可在</w:t>
      </w:r>
      <w:r>
        <w:rPr>
          <w:rFonts w:hint="eastAsia" w:ascii="宋体" w:hAnsi="宋体" w:eastAsia="宋体" w:cs="宋体"/>
          <w:i w:val="0"/>
          <w:iCs w:val="0"/>
          <w:caps w:val="0"/>
          <w:color w:val="333333"/>
          <w:spacing w:val="0"/>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2024</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12</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09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 分（</w:t>
      </w:r>
      <w:r>
        <w:rPr>
          <w:rFonts w:hint="eastAsia" w:ascii="宋体" w:hAnsi="宋体" w:eastAsia="宋体" w:cs="宋体"/>
          <w:color w:val="000000"/>
          <w:sz w:val="24"/>
          <w:szCs w:val="24"/>
        </w:rPr>
        <w:t xml:space="preserve">北京时间）前递交投标文件。</w:t>
      </w:r>
      <w:r/>
    </w:p>
    <w:p>
      <w:pPr>
        <w:pStyle w:val="892"/>
        <w:jc w:val="both"/>
        <w:keepLines/>
        <w:keepNext/>
        <w:spacing w:before="145" w:beforeAutospacing="0" w:after="145" w:afterAutospacing="0" w:line="360" w:lineRule="auto"/>
        <w:rPr>
          <w:sz w:val="30"/>
          <w:szCs w:val="30"/>
        </w:rPr>
      </w:pPr>
      <w:r/>
      <w:bookmarkStart w:id="12" w:name="_Toc28359079"/>
      <w:r/>
      <w:bookmarkStart w:id="13" w:name="_Toc35393790"/>
      <w:r/>
      <w:bookmarkStart w:id="14" w:name="_Toc35393621"/>
      <w:r/>
      <w:bookmarkStart w:id="15" w:name="_Hlk24379207"/>
      <w:r/>
      <w:bookmarkStart w:id="16" w:name="_Toc38985263"/>
      <w:r/>
      <w:bookmarkStart w:id="17" w:name="_Toc28359002"/>
      <w:r>
        <w:rPr>
          <w:rFonts w:ascii="Times New Roman" w:hAnsi="Times New Roman"/>
          <w:b/>
          <w:color w:val="000000"/>
          <w:sz w:val="30"/>
          <w:szCs w:val="30"/>
        </w:rPr>
        <w:t xml:space="preserve">一、项目基本情况</w:t>
      </w:r>
      <w:bookmarkEnd w:id="12"/>
      <w:r/>
      <w:bookmarkEnd w:id="13"/>
      <w:r/>
      <w:bookmarkEnd w:id="14"/>
      <w:r/>
      <w:bookmarkEnd w:id="15"/>
      <w:r/>
      <w:bookmarkEnd w:id="16"/>
      <w:r/>
      <w:bookmarkEnd w:id="17"/>
      <w:r/>
      <w:r/>
    </w:p>
    <w:p>
      <w:pPr>
        <w:pStyle w:val="892"/>
        <w:ind w:firstLine="480"/>
        <w:jc w:val="both"/>
        <w:spacing w:beforeAutospacing="0" w:afterAutospacing="0"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1.项目编号：JSZC-320902-YDYC-G2024-0001</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2.项目名称：</w:t>
      </w:r>
      <w:r>
        <w:rPr>
          <w:rFonts w:hint="eastAsia" w:asciiTheme="minorEastAsia" w:hAnsiTheme="minorEastAsia" w:eastAsiaTheme="minorEastAsia" w:cstheme="minorEastAsia"/>
          <w:color w:val="000000"/>
          <w:sz w:val="24"/>
          <w:szCs w:val="24"/>
          <w:lang w:eastAsia="zh-CN"/>
        </w:rPr>
        <w:t xml:space="preserve">盐城市新洋经济区河道保洁服务项目</w:t>
      </w:r>
      <w:r/>
    </w:p>
    <w:p>
      <w:pPr>
        <w:pStyle w:val="892"/>
        <w:ind w:firstLine="480"/>
        <w:jc w:val="both"/>
        <w:spacing w:beforeAutospacing="0" w:afterAutospacing="0" w:line="36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i w:val="0"/>
          <w:iCs w:val="0"/>
          <w:caps w:val="0"/>
          <w:color w:val="333333"/>
          <w:spacing w:val="0"/>
          <w:sz w:val="24"/>
          <w:szCs w:val="24"/>
          <w:shd w:val="clear" w:color="auto" w:fill="ffffff"/>
          <w:lang w:val="en-US" w:eastAsia="zh-CN"/>
        </w:rPr>
        <w:t xml:space="preserve">3.</w:t>
      </w:r>
      <w:r>
        <w:rPr>
          <w:rFonts w:hint="eastAsia" w:asciiTheme="minorEastAsia" w:hAnsiTheme="minorEastAsia" w:eastAsiaTheme="minorEastAsia" w:cstheme="minorEastAsia"/>
          <w:i w:val="0"/>
          <w:iCs w:val="0"/>
          <w:caps w:val="0"/>
          <w:color w:val="333333"/>
          <w:spacing w:val="0"/>
          <w:sz w:val="24"/>
          <w:szCs w:val="24"/>
          <w:shd w:val="clear" w:color="auto" w:fill="ffffff"/>
        </w:rPr>
        <w:t xml:space="preserve">采购方式：</w:t>
      </w:r>
      <w:r>
        <w:rPr>
          <w:rFonts w:hint="eastAsia" w:asciiTheme="minorEastAsia" w:hAnsiTheme="minorEastAsia" w:eastAsiaTheme="minorEastAsia" w:cstheme="minorEastAsia"/>
          <w:i w:val="0"/>
          <w:iCs w:val="0"/>
          <w:caps w:val="0"/>
          <w:color w:val="333333"/>
          <w:spacing w:val="0"/>
          <w:sz w:val="24"/>
          <w:szCs w:val="24"/>
          <w:shd w:val="clear" w:color="auto" w:fill="ffffff"/>
          <w:lang w:val="en-US" w:eastAsia="zh-CN"/>
        </w:rPr>
        <w:t xml:space="preserve">公开招标</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.预算金额：</w:t>
      </w:r>
      <w:r>
        <w:rPr>
          <w:rFonts w:hint="eastAsia" w:asciiTheme="minorEastAsia" w:hAnsiTheme="minorEastAsia" w:eastAsiaTheme="minorEastAsia" w:cstheme="minorEastAsia"/>
          <w:color w:val="000000"/>
          <w:sz w:val="24"/>
          <w:szCs w:val="24"/>
          <w:lang w:eastAsia="zh-CN"/>
        </w:rPr>
        <w:t xml:space="preserve">盐城市新洋经济区河道保洁服务项目（</w:t>
      </w:r>
      <w:r>
        <w:rPr>
          <w:rFonts w:hint="eastAsia" w:asciiTheme="minorEastAsia" w:hAnsiTheme="minorEastAsia" w:eastAsiaTheme="minorEastAsia" w:cstheme="minorEastAsia"/>
          <w:color w:val="000000"/>
          <w:sz w:val="24"/>
          <w:szCs w:val="24"/>
          <w:lang w:val="en-US" w:eastAsia="zh-CN"/>
        </w:rPr>
        <w:t xml:space="preserve">一标段</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cstheme="minorEastAsia"/>
          <w:color w:val="000000"/>
          <w:sz w:val="24"/>
          <w:szCs w:val="24"/>
          <w:lang w:val="en-US" w:eastAsia="zh-CN"/>
        </w:rPr>
        <w:t xml:space="preserve">289.2</w:t>
      </w:r>
      <w:r>
        <w:rPr>
          <w:rFonts w:hint="eastAsia" w:asciiTheme="minorEastAsia" w:hAnsiTheme="minorEastAsia" w:eastAsiaTheme="minorEastAsia" w:cstheme="minorEastAsia"/>
          <w:color w:val="000000"/>
          <w:sz w:val="24"/>
          <w:szCs w:val="24"/>
          <w:lang w:val="en-US" w:eastAsia="zh-CN"/>
        </w:rPr>
        <w:t xml:space="preserve">万元（服务期限为三年）；</w:t>
      </w:r>
      <w:r>
        <w:rPr>
          <w:rFonts w:hint="eastAsia" w:asciiTheme="minorEastAsia" w:hAnsiTheme="minorEastAsia" w:eastAsiaTheme="minorEastAsia" w:cstheme="minorEastAsia"/>
          <w:color w:val="000000"/>
          <w:sz w:val="24"/>
          <w:szCs w:val="24"/>
          <w:lang w:eastAsia="zh-CN"/>
        </w:rPr>
        <w:t xml:space="preserve">盐城市新洋经济区河道保洁服务项目（</w:t>
      </w:r>
      <w:r>
        <w:rPr>
          <w:rFonts w:hint="eastAsia" w:asciiTheme="minorEastAsia" w:hAnsiTheme="minorEastAsia" w:eastAsiaTheme="minorEastAsia" w:cstheme="minorEastAsia"/>
          <w:color w:val="000000"/>
          <w:sz w:val="24"/>
          <w:szCs w:val="24"/>
          <w:lang w:val="en-US" w:eastAsia="zh-CN"/>
        </w:rPr>
        <w:t xml:space="preserve">二标段</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240万元（服务期限为三年）。</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lang w:eastAsia="zh-CN"/>
        </w:rPr>
        <w:t xml:space="preserve">最高限价：</w:t>
      </w:r>
      <w:r>
        <w:rPr>
          <w:rFonts w:hint="eastAsia" w:asciiTheme="minorEastAsia" w:hAnsiTheme="minorEastAsia" w:eastAsiaTheme="minorEastAsia" w:cstheme="minorEastAsia"/>
          <w:color w:val="000000"/>
          <w:sz w:val="24"/>
          <w:szCs w:val="24"/>
          <w:lang w:val="en-US" w:eastAsia="zh-CN"/>
        </w:rPr>
        <w:t xml:space="preserve">人民币529.2万元（服务期限为三年）【其中：一标段（串场河以东片区）最高限价为人民币289.2万元（服务期限为三年）；二标段（串场河以西片区）最高限价为人民币240万元（服务期限为三年）】，投标报价高于最高限价的，采购人将不予接受，视为无效标书。</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6.采购需求：盐城市新洋经济区河道保洁服务项目，具体内容及要求详见招标文件第四章项目需求，采购人保留对招标需求进行适当调整的权利。</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7.合同履行期限：河道保洁服务合同期限为三年（开始时间以签订合同日期为准）。</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8.项目规模：本次招标共为2个标段，一标段为：串场河以东片区河道保洁，河道长49145.2米，面积876329.8平方米；二标段为：串场河以西片区河道保洁，河道长38190.1米，面积725665.7平方米。</w:t>
      </w:r>
      <w:r/>
    </w:p>
    <w:p>
      <w:pPr>
        <w:ind w:firstLine="482"/>
        <w:spacing w:line="360" w:lineRule="auto"/>
        <w:tabs>
          <w:tab w:val="left" w:pos="900" w:leader="none"/>
        </w:tabs>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注：本项目兼投不兼中，如一个投标人同时参加二个标段投标的，并在前一个标段作为第一中标候选人时，该投标人其他标段的投标文件参与之后项目的评审，但不作为中标候选人推荐。开标、定标顺序为：一标段—二标段。</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9.质量要求：按采购人的委托服务事项和服务考核细则（考核标准）进行河道保洁服务，并承诺服务质量达到优质服务的标准。</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10.本项目（是/否）接受联合体投标：否。</w:t>
      </w:r>
      <w:bookmarkStart w:id="18" w:name="_Toc38985264"/>
      <w:r/>
      <w:bookmarkStart w:id="19" w:name="_Toc28359003"/>
      <w:r/>
      <w:bookmarkStart w:id="20" w:name="_Toc35393622"/>
      <w:r/>
      <w:bookmarkStart w:id="21" w:name="_Toc28359080"/>
      <w:r/>
      <w:bookmarkStart w:id="22" w:name="_Toc35393791"/>
      <w:r/>
      <w:r/>
    </w:p>
    <w:p>
      <w:pPr>
        <w:spacing w:line="360" w:lineRule="auto"/>
        <w:tabs>
          <w:tab w:val="left" w:pos="900" w:leader="none"/>
        </w:tabs>
      </w:pPr>
      <w:r>
        <w:rPr>
          <w:rFonts w:ascii="Times New Roman" w:hAnsi="Times New Roman"/>
          <w:b/>
          <w:color w:val="000000"/>
          <w:sz w:val="30"/>
          <w:szCs w:val="30"/>
        </w:rPr>
        <w:t xml:space="preserve">二、申请人的资格要求：</w:t>
      </w:r>
      <w:bookmarkEnd w:id="18"/>
      <w:r/>
      <w:bookmarkEnd w:id="19"/>
      <w:r/>
      <w:bookmarkEnd w:id="20"/>
      <w:r/>
      <w:bookmarkEnd w:id="21"/>
      <w:r/>
      <w:bookmarkEnd w:id="22"/>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1.满足《中华人民共和国政府采购法》第二十二条规定，并提供下列材料：</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1.1 法人或者其他组织的营业执照等证明文件，自然人的身份证明；</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1.2上一年度的财务状况报表（成立不满一年无需提供）；</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1.3具备履行合同所必需的设备和专业技术能力的书面声明；</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1.5参加政府采购活动前3年内在经营活动中没有重大违法记录的书面声明。</w:t>
      </w:r>
      <w:r/>
    </w:p>
    <w:p>
      <w:pPr>
        <w:ind w:firstLine="482"/>
        <w:spacing w:line="360" w:lineRule="auto"/>
        <w:tabs>
          <w:tab w:val="left" w:pos="900" w:leader="none"/>
        </w:tabs>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1.6法律、行政法规规定的其他条件。</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1.8单位负责人为同一人或者存在直接控股、管理关系的不同供应商，不得参加同一合同项下的政府采购活动。</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落实政府采购政策需满足的资格要求：本项目专门面向中小企业采购，不接受非中小型企业参与本项目投标。采购标的的所属行业为其他未列明行业，投标人需按照招标文件的要求提供相应的《中小企业声明函》。企业标准请参照《关于印发中小企业划型标准规定的通知》（工信部联企业〔2011〕300号）文件规定自行填写。</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3.本项目的特定资格要求：</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①投标人必须是在中国境内注册，具有独立承担民事责任能力的法人企业。</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 xml:space="preserve">②投标时，投标申请人须提供拟派的项目负责人、安全员从投标截止之日当月向前半年内社保缴纳证明。</w:t>
      </w:r>
      <w:r/>
    </w:p>
    <w:p>
      <w:pPr>
        <w:spacing w:line="360" w:lineRule="auto"/>
        <w:tabs>
          <w:tab w:val="left" w:pos="900" w:leader="none"/>
        </w:tabs>
        <w:rPr>
          <w:rFonts w:hint="eastAsia" w:ascii="Times New Roman" w:hAnsi="Times New Roman"/>
          <w:b/>
          <w:color w:val="000000"/>
          <w:sz w:val="30"/>
          <w:szCs w:val="30"/>
          <w:highlight w:val="none"/>
          <w:lang w:val="en-US" w:eastAsia="zh-CN"/>
        </w:rPr>
      </w:pPr>
      <w:r>
        <w:rPr>
          <w:rFonts w:hint="eastAsia" w:ascii="Times New Roman" w:hAnsi="Times New Roman"/>
          <w:b/>
          <w:color w:val="000000"/>
          <w:sz w:val="30"/>
          <w:szCs w:val="30"/>
          <w:highlight w:val="none"/>
          <w:lang w:val="en-US" w:eastAsia="zh-CN"/>
        </w:rPr>
        <w:t xml:space="preserve">三、获取采购文件：</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lang w:val="en-US" w:eastAsia="zh-CN"/>
        </w:rPr>
        <w:t xml:space="preserve">采购文件获取截止时间：</w:t>
      </w:r>
      <w:r>
        <w:rPr>
          <w:rFonts w:hint="eastAsia" w:asciiTheme="minorEastAsia" w:hAnsiTheme="minorEastAsia" w:cstheme="minorEastAsia"/>
          <w:color w:val="000000"/>
          <w:sz w:val="24"/>
          <w:szCs w:val="24"/>
          <w:highlight w:val="none"/>
          <w:lang w:val="en-US" w:eastAsia="zh-CN"/>
        </w:rPr>
        <w:t xml:space="preserve">2024</w:t>
      </w:r>
      <w:r>
        <w:rPr>
          <w:rFonts w:hint="eastAsia" w:asciiTheme="minorEastAsia" w:hAnsiTheme="minorEastAsia" w:eastAsiaTheme="minorEastAsia" w:cstheme="minorEastAsia"/>
          <w:color w:val="000000"/>
          <w:sz w:val="24"/>
          <w:szCs w:val="24"/>
          <w:highlight w:val="none"/>
          <w:lang w:val="en-US" w:eastAsia="zh-CN"/>
        </w:rPr>
        <w:t xml:space="preserve"> 年 </w:t>
      </w:r>
      <w:r>
        <w:rPr>
          <w:rFonts w:hint="eastAsia" w:asciiTheme="minorEastAsia" w:hAnsi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lang w:val="en-US" w:eastAsia="zh-CN"/>
        </w:rPr>
        <w:t xml:space="preserve"> 月 </w:t>
      </w:r>
      <w:r>
        <w:rPr>
          <w:rFonts w:hint="eastAsia" w:asciiTheme="minorEastAsia" w:hAnsiTheme="minorEastAsia" w:cstheme="minorEastAsia"/>
          <w:color w:val="000000"/>
          <w:sz w:val="24"/>
          <w:szCs w:val="24"/>
          <w:highlight w:val="none"/>
          <w:lang w:val="en-US" w:eastAsia="zh-CN"/>
        </w:rPr>
        <w:t xml:space="preserve">18</w:t>
      </w:r>
      <w:r>
        <w:rPr>
          <w:rFonts w:hint="eastAsia" w:asciiTheme="minorEastAsia" w:hAnsiTheme="minorEastAsia" w:eastAsiaTheme="minorEastAsia" w:cstheme="minorEastAsia"/>
          <w:color w:val="000000"/>
          <w:sz w:val="24"/>
          <w:szCs w:val="24"/>
          <w:highlight w:val="none"/>
          <w:lang w:val="en-US" w:eastAsia="zh-CN"/>
        </w:rPr>
        <w:t xml:space="preserve"> 日上午 </w:t>
      </w:r>
      <w:r>
        <w:rPr>
          <w:rFonts w:hint="eastAsia" w:asciiTheme="minorEastAsia" w:hAnsi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lang w:val="en-US" w:eastAsia="zh-CN"/>
        </w:rPr>
        <w:t xml:space="preserve">:</w:t>
      </w:r>
      <w:r>
        <w:rPr>
          <w:rFonts w:hint="eastAsia" w:asciiTheme="minorEastAsia" w:hAnsiTheme="minorEastAsia" w:cstheme="minorEastAsia"/>
          <w:color w:val="000000"/>
          <w:sz w:val="24"/>
          <w:szCs w:val="24"/>
          <w:highlight w:val="none"/>
          <w:lang w:val="en-US" w:eastAsia="zh-CN"/>
        </w:rPr>
        <w:t xml:space="preserve">00</w:t>
      </w:r>
      <w:r>
        <w:rPr>
          <w:rFonts w:hint="eastAsia" w:asciiTheme="minorEastAsia" w:hAnsiTheme="minorEastAsia" w:eastAsiaTheme="minorEastAsia" w:cstheme="minorEastAsia"/>
          <w:color w:val="000000"/>
          <w:sz w:val="24"/>
          <w:szCs w:val="24"/>
          <w:highlight w:val="none"/>
          <w:lang w:val="en-US" w:eastAsia="zh-CN"/>
        </w:rPr>
        <w:t xml:space="preserve">。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lang w:val="en-US" w:eastAsia="zh-CN"/>
        </w:rPr>
        <w:t xml:space="preserve">地点：“苏采云”系统内免费下载（投标人必须在苏采云系统中获取采购 文件，方能参与政府采购项目）；</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lang w:val="en-US" w:eastAsia="zh-CN"/>
        </w:rPr>
        <w:t xml:space="preserve">方式：本项目采用网上注册登记方式。</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3.1</w:t>
      </w:r>
      <w:r>
        <w:rPr>
          <w:rFonts w:hint="eastAsia" w:asciiTheme="minorEastAsia" w:hAnsiTheme="minorEastAsia" w:eastAsiaTheme="minorEastAsia" w:cstheme="minorEastAsia"/>
          <w:color w:val="000000"/>
          <w:sz w:val="24"/>
          <w:szCs w:val="24"/>
          <w:highlight w:val="none"/>
          <w:lang w:val="en-US" w:eastAsia="zh-CN"/>
        </w:rPr>
        <w:t xml:space="preserve">潜在供应商访问电子招标响应交易平台的网络地址和方法：</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“苏采云”系统用户注册--获取“CA 数字证书”--CA 绑定与登录--参与投 标--下载采购文件（后缀名为“.kedt”）--将后缀名为“.kedt”的采购文件导 入政府采购客户端工具--制作响应文件--导出加密的响应文件（后缀名为 zip） --通过“苏采云”系统上传响应文件。具体见《“苏采云”系统供应商操作手册》 （手册下载地址：苏采云系统-右侧消息通知栏）。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3.2</w:t>
      </w:r>
      <w:r>
        <w:rPr>
          <w:rFonts w:hint="eastAsia" w:asciiTheme="minorEastAsia" w:hAnsiTheme="minorEastAsia" w:eastAsiaTheme="minorEastAsia" w:cstheme="minorEastAsia"/>
          <w:color w:val="000000"/>
          <w:sz w:val="24"/>
          <w:szCs w:val="24"/>
          <w:highlight w:val="none"/>
          <w:lang w:val="en-US" w:eastAsia="zh-CN"/>
        </w:rPr>
        <w:t xml:space="preserve">潜在投标人访问“苏采云”系统方法：</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江苏省政府采购网首页-“苏采云”链接。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3.3“CA 数字证书”的获取：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供应商需办理 CA 锁，“苏采云”系统目前仅支持政务 CA，省内各地区办理 的用于“苏采云”平台的政务 CA 全省通用。盐城地区政务 CA 办理请至亭湖区政 务服务中心二楼 226 窗口办理，联系电话：15051556883。</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3.4采购文件（后缀名为“.kedt”）、供应商操作手册及政府采购客户端 工具可通过“苏采云”系统相应链接进行下载。</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3.5 招标代理机构（采购代理机构）将数据电文形式的采购文件加载至“苏 采云”系统，供潜在供应商下载或者查阅。</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3.6 请潜在投标单位提前安装相应的控件（详见《“苏采云”系统供应商操 作手册》）并使用谷歌浏览器登录“苏采云”系统参与不见面开评标。</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如潜在投标人未按上述要求操作，将自行承担所产生的风险。</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4.文件售价：免费。 </w:t>
      </w:r>
      <w:r/>
    </w:p>
    <w:p>
      <w:pPr>
        <w:spacing w:line="360" w:lineRule="auto"/>
        <w:tabs>
          <w:tab w:val="left" w:pos="900" w:leader="none"/>
        </w:tabs>
        <w:rPr>
          <w:rFonts w:hint="eastAsia" w:ascii="Times New Roman" w:hAnsi="Times New Roman"/>
          <w:b/>
          <w:color w:val="000000"/>
          <w:sz w:val="30"/>
          <w:szCs w:val="30"/>
          <w:highlight w:val="none"/>
          <w:lang w:val="en-US" w:eastAsia="zh-CN"/>
        </w:rPr>
      </w:pPr>
      <w:r>
        <w:rPr>
          <w:rFonts w:hint="eastAsia" w:ascii="Times New Roman" w:hAnsi="Times New Roman"/>
          <w:b/>
          <w:color w:val="000000"/>
          <w:sz w:val="30"/>
          <w:szCs w:val="30"/>
          <w:highlight w:val="none"/>
          <w:lang w:val="en-US" w:eastAsia="zh-CN"/>
        </w:rPr>
        <w:t xml:space="preserve">四、线上提交投标文件截止时间、线上开标时间和线上开标地点：</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1.线上提交投标文件截止时间：</w:t>
      </w:r>
      <w:r>
        <w:rPr>
          <w:rFonts w:hint="eastAsia" w:asciiTheme="minorEastAsia" w:hAnsiTheme="minorEastAsia" w:cstheme="minorEastAsia"/>
          <w:color w:val="000000"/>
          <w:sz w:val="24"/>
          <w:szCs w:val="24"/>
          <w:highlight w:val="none"/>
          <w:lang w:val="en-US" w:eastAsia="zh-CN"/>
        </w:rPr>
        <w:t xml:space="preserve">2024</w:t>
      </w:r>
      <w:r>
        <w:rPr>
          <w:rFonts w:hint="eastAsia" w:asciiTheme="minorEastAsia" w:hAnsiTheme="minorEastAsia" w:eastAsiaTheme="minorEastAsia" w:cstheme="minorEastAsia"/>
          <w:color w:val="000000"/>
          <w:sz w:val="24"/>
          <w:szCs w:val="24"/>
          <w:highlight w:val="none"/>
          <w:lang w:val="en-US" w:eastAsia="zh-CN"/>
        </w:rPr>
        <w:t xml:space="preserve">年</w:t>
      </w:r>
      <w:r>
        <w:rPr>
          <w:rFonts w:hint="eastAsia" w:asciiTheme="minorEastAsia" w:hAnsi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lang w:val="en-US" w:eastAsia="zh-CN"/>
        </w:rPr>
        <w:t xml:space="preserve">月</w:t>
      </w:r>
      <w:r>
        <w:rPr>
          <w:rFonts w:hint="eastAsia" w:asciiTheme="minorEastAsia" w:hAnsiTheme="minorEastAsia" w:cstheme="minorEastAsia"/>
          <w:color w:val="000000"/>
          <w:sz w:val="24"/>
          <w:szCs w:val="24"/>
          <w:highlight w:val="none"/>
          <w:lang w:val="en-US" w:eastAsia="zh-CN"/>
        </w:rPr>
        <w:t xml:space="preserve">18</w:t>
      </w:r>
      <w:r>
        <w:rPr>
          <w:rFonts w:hint="eastAsia" w:asciiTheme="minorEastAsia" w:hAnsiTheme="minorEastAsia" w:eastAsiaTheme="minorEastAsia" w:cstheme="minorEastAsia"/>
          <w:color w:val="000000"/>
          <w:sz w:val="24"/>
          <w:szCs w:val="24"/>
          <w:highlight w:val="none"/>
          <w:lang w:val="en-US" w:eastAsia="zh-CN"/>
        </w:rPr>
        <w:t xml:space="preserve">日 </w:t>
      </w:r>
      <w:r>
        <w:rPr>
          <w:rFonts w:hint="eastAsia" w:asciiTheme="minorEastAsia" w:hAnsiTheme="minorEastAsia" w:cstheme="minorEastAsia"/>
          <w:color w:val="000000"/>
          <w:sz w:val="24"/>
          <w:szCs w:val="24"/>
          <w:highlight w:val="none"/>
          <w:lang w:val="en-US" w:eastAsia="zh-CN"/>
        </w:rPr>
        <w:t xml:space="preserve">09</w:t>
      </w:r>
      <w:r>
        <w:rPr>
          <w:rFonts w:hint="eastAsia" w:asciiTheme="minorEastAsia" w:hAnsiTheme="minorEastAsia" w:eastAsiaTheme="minorEastAsia" w:cstheme="minorEastAsia"/>
          <w:color w:val="000000"/>
          <w:sz w:val="24"/>
          <w:szCs w:val="24"/>
          <w:highlight w:val="none"/>
          <w:lang w:val="en-US" w:eastAsia="zh-CN"/>
        </w:rPr>
        <w:t xml:space="preserve">:</w:t>
      </w:r>
      <w:r>
        <w:rPr>
          <w:rFonts w:hint="eastAsia" w:asciiTheme="minorEastAsia" w:hAnsiTheme="minorEastAsia" w:cstheme="minorEastAsia"/>
          <w:color w:val="000000"/>
          <w:sz w:val="24"/>
          <w:szCs w:val="24"/>
          <w:highlight w:val="none"/>
          <w:lang w:val="en-US" w:eastAsia="zh-CN"/>
        </w:rPr>
        <w:t xml:space="preserve">00</w:t>
      </w:r>
      <w:r>
        <w:rPr>
          <w:rFonts w:hint="eastAsia" w:asciiTheme="minorEastAsia" w:hAnsiTheme="minorEastAsia" w:eastAsiaTheme="minorEastAsia" w:cstheme="minorEastAsia"/>
          <w:color w:val="000000"/>
          <w:sz w:val="24"/>
          <w:szCs w:val="24"/>
          <w:highlight w:val="none"/>
          <w:lang w:val="en-US" w:eastAsia="zh-CN"/>
        </w:rPr>
        <w:t xml:space="preserve">（北京时间）；</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2.线上开标时间：</w:t>
      </w:r>
      <w:r>
        <w:rPr>
          <w:rFonts w:hint="eastAsia" w:asciiTheme="minorEastAsia" w:hAnsiTheme="minorEastAsia" w:cstheme="minorEastAsia"/>
          <w:color w:val="000000"/>
          <w:sz w:val="24"/>
          <w:szCs w:val="24"/>
          <w:highlight w:val="none"/>
          <w:lang w:val="en-US" w:eastAsia="zh-CN"/>
        </w:rPr>
        <w:t xml:space="preserve">2024</w:t>
      </w:r>
      <w:r>
        <w:rPr>
          <w:rFonts w:hint="eastAsia" w:asciiTheme="minorEastAsia" w:hAnsiTheme="minorEastAsia" w:eastAsiaTheme="minorEastAsia" w:cstheme="minorEastAsia"/>
          <w:color w:val="000000"/>
          <w:sz w:val="24"/>
          <w:szCs w:val="24"/>
          <w:highlight w:val="none"/>
          <w:lang w:val="en-US" w:eastAsia="zh-CN"/>
        </w:rPr>
        <w:t xml:space="preserve"> 年 </w:t>
      </w:r>
      <w:r>
        <w:rPr>
          <w:rFonts w:hint="eastAsia" w:asciiTheme="minorEastAsia" w:hAnsi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lang w:val="en-US" w:eastAsia="zh-CN"/>
        </w:rPr>
        <w:t xml:space="preserve"> 月 </w:t>
      </w:r>
      <w:r>
        <w:rPr>
          <w:rFonts w:hint="eastAsia" w:asciiTheme="minorEastAsia" w:hAnsiTheme="minorEastAsia" w:cstheme="minorEastAsia"/>
          <w:color w:val="000000"/>
          <w:sz w:val="24"/>
          <w:szCs w:val="24"/>
          <w:highlight w:val="none"/>
          <w:lang w:val="en-US" w:eastAsia="zh-CN"/>
        </w:rPr>
        <w:t xml:space="preserve">18</w:t>
      </w:r>
      <w:r>
        <w:rPr>
          <w:rFonts w:hint="eastAsia" w:asciiTheme="minorEastAsia" w:hAnsiTheme="minorEastAsia" w:eastAsiaTheme="minorEastAsia" w:cstheme="minorEastAsia"/>
          <w:color w:val="000000"/>
          <w:sz w:val="24"/>
          <w:szCs w:val="24"/>
          <w:highlight w:val="none"/>
          <w:lang w:val="en-US" w:eastAsia="zh-CN"/>
        </w:rPr>
        <w:t xml:space="preserve"> 日 </w:t>
      </w:r>
      <w:r>
        <w:rPr>
          <w:rFonts w:hint="eastAsia" w:asciiTheme="minorEastAsia" w:hAnsiTheme="minorEastAsia" w:cstheme="minorEastAsia"/>
          <w:color w:val="000000"/>
          <w:sz w:val="24"/>
          <w:szCs w:val="24"/>
          <w:highlight w:val="none"/>
          <w:lang w:val="en-US" w:eastAsia="zh-CN"/>
        </w:rPr>
        <w:t xml:space="preserve">09</w:t>
      </w:r>
      <w:r>
        <w:rPr>
          <w:rFonts w:hint="eastAsia" w:asciiTheme="minorEastAsia" w:hAnsiTheme="minorEastAsia" w:eastAsiaTheme="minorEastAsia" w:cstheme="minorEastAsia"/>
          <w:color w:val="000000"/>
          <w:sz w:val="24"/>
          <w:szCs w:val="24"/>
          <w:highlight w:val="none"/>
          <w:lang w:val="en-US" w:eastAsia="zh-CN"/>
        </w:rPr>
        <w:t xml:space="preserve"> 时 </w:t>
      </w:r>
      <w:r>
        <w:rPr>
          <w:rFonts w:hint="eastAsia" w:asciiTheme="minorEastAsia" w:hAnsiTheme="minorEastAsia" w:cstheme="minorEastAsia"/>
          <w:color w:val="000000"/>
          <w:sz w:val="24"/>
          <w:szCs w:val="24"/>
          <w:highlight w:val="none"/>
          <w:lang w:val="en-US" w:eastAsia="zh-CN"/>
        </w:rPr>
        <w:t xml:space="preserve">00</w:t>
      </w:r>
      <w:r>
        <w:rPr>
          <w:rFonts w:hint="eastAsia" w:asciiTheme="minorEastAsia" w:hAnsiTheme="minorEastAsia" w:eastAsiaTheme="minorEastAsia" w:cstheme="minorEastAsia"/>
          <w:color w:val="000000"/>
          <w:sz w:val="24"/>
          <w:szCs w:val="24"/>
          <w:highlight w:val="none"/>
          <w:lang w:val="en-US" w:eastAsia="zh-CN"/>
        </w:rPr>
        <w:t xml:space="preserve"> 分；</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3.线上开标地点：“苏采云”系统中的“开标大厅”。</w:t>
      </w:r>
      <w:r/>
    </w:p>
    <w:p>
      <w:pPr>
        <w:pStyle w:val="879"/>
        <w:ind w:right="0"/>
        <w:jc w:val="left"/>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Theme="minorEastAsia" w:cstheme="minorBidi"/>
          <w:b/>
          <w:bCs w:val="0"/>
          <w:color w:val="000000"/>
          <w:sz w:val="30"/>
          <w:szCs w:val="30"/>
          <w:highlight w:val="none"/>
          <w:lang w:val="en-US" w:eastAsia="zh-CN" w:bidi="ar-SA"/>
        </w:rPr>
        <w:t xml:space="preserve">五、公告期限：</w:t>
      </w:r>
      <w:r>
        <w:rPr>
          <w:rFonts w:hint="eastAsia" w:asciiTheme="minorEastAsia" w:hAnsiTheme="minorEastAsia" w:eastAsiaTheme="minorEastAsia" w:cstheme="minorEastAsia"/>
          <w:b w:val="0"/>
          <w:bCs w:val="0"/>
          <w:color w:val="000000"/>
          <w:sz w:val="24"/>
          <w:szCs w:val="24"/>
          <w:highlight w:val="none"/>
          <w:lang w:val="en-US" w:eastAsia="zh-CN" w:bidi="ar-SA"/>
        </w:rPr>
        <w:t xml:space="preserve"> 自本公告发布之日起 5 个工作日。</w:t>
      </w:r>
      <w:r/>
    </w:p>
    <w:p>
      <w:pPr>
        <w:pStyle w:val="879"/>
        <w:ind w:right="0"/>
        <w:jc w:val="left"/>
        <w:keepLines w:val="0"/>
        <w:keepNext w:val="0"/>
        <w:spacing w:before="0" w:beforeAutospacing="0" w:after="0" w:afterAutospacing="0" w:line="360" w:lineRule="auto"/>
        <w:shd w:val="clear" w:color="auto" w:fill="ffffff"/>
        <w:widowControl/>
        <w:rPr>
          <w:rFonts w:hint="eastAsia" w:ascii="Times New Roman" w:hAnsi="Times New Roman" w:eastAsiaTheme="minorEastAsia" w:cstheme="minorBidi"/>
          <w:b/>
          <w:bCs w:val="0"/>
          <w:color w:val="000000"/>
          <w:sz w:val="32"/>
          <w:szCs w:val="3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Theme="minorEastAsia" w:cstheme="minorBidi"/>
          <w:b/>
          <w:bCs w:val="0"/>
          <w:color w:val="000000"/>
          <w:sz w:val="30"/>
          <w:szCs w:val="30"/>
          <w:highlight w:val="none"/>
          <w:lang w:val="en-US" w:eastAsia="zh-CN" w:bidi="ar-SA"/>
        </w:rPr>
        <w:t xml:space="preserve">六、其他补充事宜：</w:t>
      </w:r>
      <w:r>
        <w:rPr>
          <w:rFonts w:hint="eastAsia" w:ascii="Times New Roman" w:hAnsi="Times New Roman" w:eastAsiaTheme="minorEastAsia" w:cstheme="minorBidi"/>
          <w:b/>
          <w:bCs w:val="0"/>
          <w:color w:val="000000"/>
          <w:sz w:val="32"/>
          <w:szCs w:val="32"/>
          <w:highlight w:val="none"/>
          <w:lang w:val="en-US" w:eastAsia="zh-CN" w:bidi="ar-SA"/>
        </w:rPr>
        <w:t xml:space="preserve">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1.各投标人在投标截止时间前应当每天都上网查询，以便获 取更新的澄清、修改、补充内容。凡涉及到该项目的补充说明和 修改，均以中国政府采购网、江苏政府采购网、盐城市政府采购 网上的更正或补充通知为准。 </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2.投标人不得提供虚假材料谋取中标成交的或采取不正当手段诋毁、排挤其 他供应商。</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3.投标人存在串通投标、以他人名义投标、弄虚作假等违法违规行为，或者 无正当理由放弃投标、中标资格，造成项目招标失败的，不得参加该项目重新招 标的投标。</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4.因供应商的系统环境、操作等原因导致项目参与、开评标过程中出现问题 由供应商自行承担负责。</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5.投标文件正本1份，副本4份。</w:t>
      </w:r>
      <w:r/>
    </w:p>
    <w:p>
      <w:pPr>
        <w:pStyle w:val="879"/>
        <w:ind w:right="0"/>
        <w:jc w:val="left"/>
        <w:keepLines w:val="0"/>
        <w:keepNext w:val="0"/>
        <w:spacing w:before="0" w:beforeAutospacing="0" w:after="0" w:afterAutospacing="0" w:line="360" w:lineRule="auto"/>
        <w:shd w:val="clear" w:color="auto" w:fill="ffffff"/>
        <w:widowControl/>
        <w:rPr>
          <w:rFonts w:hint="eastAsia" w:ascii="Times New Roman" w:hAnsi="Times New Roman" w:eastAsiaTheme="minorEastAsia" w:cstheme="minorBidi"/>
          <w:b/>
          <w:bCs w:val="0"/>
          <w:color w:val="000000"/>
          <w:sz w:val="30"/>
          <w:szCs w:val="30"/>
          <w:lang w:val="en-US" w:eastAsia="zh-CN" w:bidi="ar-SA"/>
        </w:rPr>
        <w:pBdr>
          <w:top w:val="none" w:color="auto" w:sz="0" w:space="0"/>
          <w:left w:val="none" w:color="auto" w:sz="0" w:space="0"/>
          <w:bottom w:val="none" w:color="auto" w:sz="0" w:space="0"/>
          <w:right w:val="none" w:color="auto" w:sz="0" w:space="0"/>
        </w:pBdr>
        <w:suppressLineNumbers w:val="0"/>
      </w:pPr>
      <w:r/>
      <w:bookmarkStart w:id="23" w:name="_Toc28359018"/>
      <w:r>
        <w:rPr>
          <w:rFonts w:hint="eastAsia" w:ascii="Times New Roman" w:hAnsi="Times New Roman" w:eastAsiaTheme="minorEastAsia" w:cstheme="minorBidi"/>
          <w:b/>
          <w:bCs w:val="0"/>
          <w:color w:val="000000"/>
          <w:sz w:val="30"/>
          <w:szCs w:val="30"/>
          <w:lang w:val="en-US" w:eastAsia="zh-CN" w:bidi="ar-SA"/>
        </w:rPr>
        <w:t xml:space="preserve">七、对本次招标提出询问，请按以下方式联系。</w:t>
      </w:r>
      <w:bookmarkEnd w:id="23"/>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bookmarkStart w:id="24" w:name="_Toc28359009"/>
      <w:r>
        <w:rPr>
          <w:rFonts w:hint="eastAsia" w:asciiTheme="minorEastAsia" w:hAnsiTheme="minorEastAsia" w:eastAsiaTheme="minorEastAsia" w:cstheme="minorEastAsia"/>
          <w:color w:val="000000"/>
          <w:sz w:val="24"/>
          <w:szCs w:val="24"/>
          <w:lang w:val="en-US" w:eastAsia="zh-CN"/>
        </w:rPr>
        <w:t xml:space="preserve">1.采购人信息</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名 称：盐城市新洋经济区管理委员会</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地址：盐城市开放大道155号</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联系人：朱旭锋</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联系方式：0515-88565191</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2.采购代理机构信息</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名 称：盐城信德项目管理有限公司</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地 址： 盐城市亭湖区范公中路89号嘉元广场东区北栋13层</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联系人：杨桂铭</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联系方式：13961934566</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bookmarkStart w:id="25" w:name="_Toc28359021"/>
      <w:r>
        <w:rPr>
          <w:rFonts w:hint="eastAsia" w:asciiTheme="minorEastAsia" w:hAnsiTheme="minorEastAsia" w:eastAsiaTheme="minorEastAsia" w:cstheme="minorEastAsia"/>
          <w:color w:val="000000"/>
          <w:sz w:val="24"/>
          <w:szCs w:val="24"/>
          <w:lang w:val="en-US" w:eastAsia="zh-CN"/>
        </w:rPr>
        <w:t xml:space="preserve">3.</w:t>
      </w:r>
      <w:bookmarkEnd w:id="25"/>
      <w:r>
        <w:rPr>
          <w:rFonts w:hint="eastAsia" w:asciiTheme="minorEastAsia" w:hAnsiTheme="minorEastAsia" w:eastAsiaTheme="minorEastAsia" w:cstheme="minorEastAsia"/>
          <w:color w:val="000000"/>
          <w:sz w:val="24"/>
          <w:szCs w:val="24"/>
          <w:lang w:val="en-US" w:eastAsia="zh-CN"/>
        </w:rPr>
        <w:t xml:space="preserve">项目联系方式</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项目联系人：朱旭锋</w:t>
      </w:r>
      <w:r/>
    </w:p>
    <w:p>
      <w:pPr>
        <w:ind w:firstLine="482"/>
        <w:spacing w:line="360" w:lineRule="auto"/>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电　　 话：0515-88565191</w:t>
      </w:r>
      <w:r/>
    </w:p>
    <w:p>
      <w:r>
        <w:t xml:space="preserve"> </w:t>
      </w:r>
      <w:r/>
    </w:p>
    <w:p>
      <w:pPr>
        <w:pStyle w:val="892"/>
        <w:ind w:right="840"/>
        <w:jc w:val="both"/>
        <w:spacing w:beforeAutospacing="0" w:afterAutospacing="0"/>
      </w:pPr>
      <w:r>
        <w:rPr>
          <w:rFonts w:hint="eastAsia" w:ascii="宋体" w:hAnsi="宋体" w:eastAsia="宋体" w:cs="宋体"/>
          <w:color w:val="000000"/>
        </w:rPr>
        <w:br w:type="page" w:clear="all"/>
      </w:r>
      <w:r/>
    </w:p>
    <w:p>
      <w:pPr>
        <w:pStyle w:val="892"/>
        <w:ind w:firstLine="2429"/>
        <w:jc w:val="both"/>
        <w:keepLines/>
        <w:keepNext/>
        <w:spacing w:before="260" w:beforeAutospacing="0" w:after="260" w:afterAutospacing="0" w:line="415" w:lineRule="auto"/>
      </w:pPr>
      <w:r/>
      <w:bookmarkStart w:id="26" w:name="_Toc120614211"/>
      <w:r>
        <w:rPr>
          <w:rFonts w:hint="eastAsia" w:ascii="黑体" w:hAnsi="宋体" w:eastAsia="黑体" w:cs="黑体"/>
          <w:b/>
          <w:color w:val="000000"/>
          <w:sz w:val="44"/>
          <w:szCs w:val="44"/>
        </w:rPr>
        <w:t xml:space="preserve">第二章  </w:t>
      </w:r>
      <w:bookmarkEnd w:id="26"/>
      <w:r/>
      <w:bookmarkStart w:id="27" w:name="_Toc16938518"/>
      <w:r/>
      <w:bookmarkStart w:id="28" w:name="_Toc120614213"/>
      <w:r/>
      <w:bookmarkStart w:id="29" w:name="_Toc513029202"/>
      <w:r/>
      <w:bookmarkStart w:id="30" w:name="_Toc20823274"/>
      <w:r>
        <w:rPr>
          <w:rFonts w:hint="eastAsia" w:ascii="黑体" w:hAnsi="宋体" w:eastAsia="黑体" w:cs="黑体"/>
          <w:b/>
          <w:color w:val="000000"/>
          <w:sz w:val="44"/>
          <w:szCs w:val="44"/>
        </w:rPr>
        <w:t xml:space="preserve">投标人须知</w:t>
      </w:r>
      <w:bookmarkEnd w:id="27"/>
      <w:r/>
      <w:bookmarkEnd w:id="28"/>
      <w:r/>
      <w:bookmarkEnd w:id="29"/>
      <w:r/>
      <w:bookmarkEnd w:id="30"/>
      <w:r/>
      <w:r/>
    </w:p>
    <w:p>
      <w:pPr>
        <w:pStyle w:val="892"/>
        <w:ind w:firstLine="498"/>
        <w:jc w:val="both"/>
        <w:keepLines/>
        <w:keepNext/>
        <w:spacing w:before="145" w:beforeAutospacing="0" w:after="145" w:afterAutospacing="0" w:line="360" w:lineRule="auto"/>
      </w:pPr>
      <w:r/>
      <w:bookmarkStart w:id="31" w:name="_Toc20823275"/>
      <w:r/>
      <w:bookmarkStart w:id="32" w:name="_Toc513029203"/>
      <w:r/>
      <w:bookmarkStart w:id="33" w:name="_Toc16938519"/>
      <w:r/>
      <w:bookmarkStart w:id="34" w:name="_Toc120614214"/>
      <w:r>
        <w:rPr>
          <w:rFonts w:ascii="Times New Roman" w:hAnsi="Times New Roman"/>
          <w:b/>
          <w:color w:val="000000"/>
          <w:sz w:val="32"/>
          <w:szCs w:val="32"/>
        </w:rPr>
        <w:t xml:space="preserve">一、总则</w:t>
      </w:r>
      <w:bookmarkEnd w:id="31"/>
      <w:r/>
      <w:bookmarkEnd w:id="32"/>
      <w:r/>
      <w:bookmarkEnd w:id="33"/>
      <w:r/>
      <w:bookmarkEnd w:id="34"/>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35" w:name="_Toc16938520"/>
      <w:r/>
      <w:bookmarkStart w:id="36" w:name="_Toc20823276"/>
      <w:r/>
      <w:bookmarkStart w:id="37" w:name="_Toc458694821"/>
      <w:r/>
      <w:bookmarkStart w:id="38" w:name="_Toc513029204"/>
      <w:r/>
      <w:bookmarkStart w:id="39" w:name="_Hlt16619475"/>
      <w:r>
        <w:rPr>
          <w:rFonts w:hint="eastAsia" w:asciiTheme="minorEastAsia" w:hAnsiTheme="minorEastAsia" w:eastAsiaTheme="minorEastAsia" w:cstheme="minorEastAsia"/>
          <w:b/>
          <w:bCs/>
          <w:color w:val="000000"/>
          <w:sz w:val="28"/>
          <w:szCs w:val="28"/>
          <w:lang w:val="en-US" w:eastAsia="zh-CN"/>
        </w:rPr>
        <w:t xml:space="preserve">1</w:t>
      </w:r>
      <w:bookmarkEnd w:id="35"/>
      <w:r>
        <w:rPr>
          <w:rFonts w:hint="eastAsia" w:asciiTheme="minorEastAsia" w:hAnsiTheme="minorEastAsia" w:eastAsiaTheme="minorEastAsia" w:cstheme="minorEastAsia"/>
          <w:b/>
          <w:bCs/>
          <w:color w:val="000000"/>
          <w:sz w:val="28"/>
          <w:szCs w:val="28"/>
          <w:lang w:val="en-US" w:eastAsia="zh-CN"/>
        </w:rPr>
        <w:t xml:space="preserve">、招标方式</w:t>
      </w:r>
      <w:bookmarkEnd w:id="36"/>
      <w:r/>
      <w:bookmarkEnd w:id="37"/>
      <w:r/>
      <w:bookmarkEnd w:id="38"/>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1.1本次招标采取公开招标方式，本招标文件仅适用于招标公告中所述项目。</w:t>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40" w:name="_Toc513029205"/>
      <w:r/>
      <w:bookmarkStart w:id="41" w:name="_Toc20823277"/>
      <w:r/>
      <w:bookmarkStart w:id="42" w:name="_Toc16938521"/>
      <w:r>
        <w:rPr>
          <w:rFonts w:hint="eastAsia" w:asciiTheme="minorEastAsia" w:hAnsiTheme="minorEastAsia" w:eastAsiaTheme="minorEastAsia" w:cstheme="minorEastAsia"/>
          <w:b/>
          <w:bCs/>
          <w:color w:val="000000"/>
          <w:sz w:val="28"/>
          <w:szCs w:val="28"/>
          <w:lang w:val="en-US" w:eastAsia="zh-CN"/>
        </w:rPr>
        <w:t xml:space="preserve">2、合格的投标人</w:t>
      </w:r>
      <w:bookmarkEnd w:id="40"/>
      <w:r/>
      <w:bookmarkEnd w:id="41"/>
      <w:r/>
      <w:bookmarkEnd w:id="42"/>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2.1满足招标公告中供应商的资格要求的规定。</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2.2满足本文件实质性要求和条件的规定。</w:t>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43" w:name="_Toc20823278"/>
      <w:r/>
      <w:bookmarkStart w:id="44" w:name="_Toc513029206"/>
      <w:r/>
      <w:bookmarkStart w:id="45" w:name="_Toc16938522"/>
      <w:r>
        <w:rPr>
          <w:rFonts w:hint="eastAsia" w:asciiTheme="minorEastAsia" w:hAnsiTheme="minorEastAsia" w:eastAsiaTheme="minorEastAsia" w:cstheme="minorEastAsia"/>
          <w:b/>
          <w:bCs/>
          <w:color w:val="000000"/>
          <w:sz w:val="28"/>
          <w:szCs w:val="28"/>
          <w:lang w:val="en-US" w:eastAsia="zh-CN"/>
        </w:rPr>
        <w:t xml:space="preserve">3、适用法律</w:t>
      </w:r>
      <w:bookmarkEnd w:id="43"/>
      <w:r/>
      <w:bookmarkEnd w:id="44"/>
      <w:r/>
      <w:bookmarkEnd w:id="45"/>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3.1本次招标及由此产生的合同受中华人民共和国有关的法律法规制约和保护。</w:t>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46" w:name="_Toc20823279"/>
      <w:r/>
      <w:bookmarkStart w:id="47" w:name="_Toc513029207"/>
      <w:r/>
      <w:bookmarkStart w:id="48" w:name="_Toc462564067"/>
      <w:r/>
      <w:bookmarkStart w:id="49" w:name="_Toc16938523"/>
      <w:r>
        <w:rPr>
          <w:rFonts w:hint="eastAsia" w:asciiTheme="minorEastAsia" w:hAnsiTheme="minorEastAsia" w:eastAsiaTheme="minorEastAsia" w:cstheme="minorEastAsia"/>
          <w:b/>
          <w:bCs/>
          <w:color w:val="000000"/>
          <w:sz w:val="28"/>
          <w:szCs w:val="28"/>
          <w:lang w:val="en-US" w:eastAsia="zh-CN"/>
        </w:rPr>
        <w:t xml:space="preserve">4、投标费用</w:t>
      </w:r>
      <w:bookmarkEnd w:id="46"/>
      <w:r/>
      <w:bookmarkEnd w:id="47"/>
      <w:r/>
      <w:bookmarkEnd w:id="48"/>
      <w:r/>
      <w:bookmarkEnd w:id="49"/>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4.1投标人应自行承担所有与参加投标有关的费用，无论投标过程中的做法和结果如何，采购人在任何情况下均无义务和责任承担这些费用。</w:t>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rPr>
          <w:rFonts w:hint="eastAsia" w:asciiTheme="minorEastAsia" w:hAnsiTheme="minorEastAsia" w:eastAsiaTheme="minorEastAsia" w:cstheme="minorEastAsia"/>
          <w:b/>
          <w:bCs/>
          <w:color w:val="000000"/>
          <w:sz w:val="28"/>
          <w:szCs w:val="28"/>
          <w:lang w:val="en-US" w:eastAsia="zh-CN"/>
        </w:rPr>
        <w:t xml:space="preserve">5、招标文件的约束力</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5.1投标人一旦参加本项目采购活动，即被认为接受了本招标文件的规定和约束。</w:t>
      </w:r>
      <w:r/>
    </w:p>
    <w:p>
      <w:pPr>
        <w:pStyle w:val="892"/>
        <w:ind w:firstLine="498"/>
        <w:jc w:val="both"/>
        <w:keepLines/>
        <w:keepNext/>
        <w:spacing w:before="145" w:beforeAutospacing="0" w:after="145" w:afterAutospacing="0" w:line="360" w:lineRule="auto"/>
        <w:rPr>
          <w:rFonts w:ascii="Times New Roman" w:hAnsi="Times New Roman"/>
          <w:b/>
          <w:color w:val="000000"/>
          <w:sz w:val="32"/>
          <w:szCs w:val="32"/>
        </w:rPr>
      </w:pPr>
      <w:r/>
      <w:bookmarkStart w:id="50" w:name="_Toc513029209"/>
      <w:r/>
      <w:bookmarkStart w:id="51" w:name="_Toc16938525"/>
      <w:r/>
      <w:bookmarkStart w:id="52" w:name="_Toc20823281"/>
      <w:r/>
      <w:bookmarkStart w:id="53" w:name="_Toc120614215"/>
      <w:r>
        <w:rPr>
          <w:rFonts w:ascii="Times New Roman" w:hAnsi="Times New Roman"/>
          <w:b/>
          <w:color w:val="000000"/>
          <w:sz w:val="32"/>
          <w:szCs w:val="32"/>
        </w:rPr>
        <w:t xml:space="preserve">二、招标文件</w:t>
      </w:r>
      <w:bookmarkEnd w:id="50"/>
      <w:r/>
      <w:bookmarkEnd w:id="51"/>
      <w:r/>
      <w:bookmarkEnd w:id="52"/>
      <w:r/>
      <w:bookmarkEnd w:id="53"/>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54" w:name="_Toc513029210"/>
      <w:r/>
      <w:bookmarkStart w:id="55" w:name="_Toc20823282"/>
      <w:r/>
      <w:bookmarkStart w:id="56" w:name="_Toc16938526"/>
      <w:r>
        <w:rPr>
          <w:rFonts w:hint="eastAsia" w:asciiTheme="minorEastAsia" w:hAnsiTheme="minorEastAsia" w:eastAsiaTheme="minorEastAsia" w:cstheme="minorEastAsia"/>
          <w:b/>
          <w:bCs/>
          <w:color w:val="000000"/>
          <w:sz w:val="28"/>
          <w:szCs w:val="28"/>
          <w:lang w:val="en-US" w:eastAsia="zh-CN"/>
        </w:rPr>
        <w:t xml:space="preserve">6、招标文件构成</w:t>
      </w:r>
      <w:bookmarkEnd w:id="54"/>
      <w:r/>
      <w:bookmarkEnd w:id="55"/>
      <w:r/>
      <w:bookmarkEnd w:id="56"/>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6.1 招标文件由以下部分组成：</w:t>
      </w:r>
      <w:r/>
    </w:p>
    <w:p>
      <w:pPr>
        <w:ind w:firstLine="482"/>
        <w:spacing w:line="460" w:lineRule="exact"/>
        <w:tabs>
          <w:tab w:val="left" w:pos="900" w:leader="none"/>
        </w:tabs>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（1）招标公告</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（2）投标人须知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cstheme="minorEastAsia"/>
          <w:color w:val="auto"/>
          <w:sz w:val="24"/>
          <w:szCs w:val="24"/>
          <w:highlight w:val="none"/>
          <w:lang w:val="en-US" w:eastAsia="zh-CN"/>
        </w:rPr>
        <w:t xml:space="preserve">条款及格式</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cstheme="minorEastAsia"/>
          <w:color w:val="000000"/>
          <w:sz w:val="24"/>
          <w:szCs w:val="24"/>
          <w:lang w:val="en-US" w:eastAsia="zh-CN"/>
        </w:rPr>
        <w:t xml:space="preserve">项目</w:t>
      </w:r>
      <w:r>
        <w:rPr>
          <w:rFonts w:hint="eastAsia" w:asciiTheme="minorEastAsia" w:hAnsiTheme="minorEastAsia" w:eastAsiaTheme="minorEastAsia" w:cstheme="minorEastAsia"/>
          <w:color w:val="000000"/>
          <w:sz w:val="24"/>
          <w:szCs w:val="24"/>
          <w:lang w:val="en-US" w:eastAsia="zh-CN"/>
        </w:rPr>
        <w:t xml:space="preserve">需求</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（5）评标方法与评标标准</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（6）投标文件格式</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请仔细检查招标文件是否齐全，如有缺漏请立即与</w:t>
      </w:r>
      <w:r>
        <w:rPr>
          <w:rFonts w:hint="eastAsia" w:ascii="宋体" w:hAnsi="宋体"/>
          <w:sz w:val="24"/>
        </w:rPr>
        <w:t xml:space="preserve">招标代理机构</w:t>
      </w:r>
      <w:r>
        <w:rPr>
          <w:rFonts w:hint="eastAsia" w:asciiTheme="minorEastAsia" w:hAnsiTheme="minorEastAsia" w:eastAsiaTheme="minorEastAsia" w:cstheme="minorEastAsia"/>
          <w:color w:val="000000"/>
          <w:sz w:val="24"/>
          <w:szCs w:val="24"/>
          <w:lang w:val="en-US" w:eastAsia="zh-CN"/>
        </w:rPr>
        <w:t xml:space="preserve">联系解决。</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60" w:lineRule="exact"/>
        <w:tabs>
          <w:tab w:val="left" w:pos="900" w:leader="none"/>
        </w:tabs>
        <w:rPr>
          <w:rFonts w:hint="eastAsia" w:asciiTheme="minorEastAsia" w:hAnsiTheme="minorEastAsia" w:eastAsiaTheme="minorEastAsia" w:cstheme="minorEastAsia"/>
          <w:b/>
          <w:bCs/>
          <w:color w:val="000000"/>
          <w:sz w:val="28"/>
          <w:szCs w:val="28"/>
          <w:lang w:val="en-US" w:eastAsia="zh-CN"/>
        </w:rPr>
      </w:pPr>
      <w:r/>
      <w:bookmarkStart w:id="57" w:name="_Toc462564070"/>
      <w:r/>
      <w:bookmarkStart w:id="58" w:name="_Toc513029211"/>
      <w:r/>
      <w:bookmarkStart w:id="59" w:name="_Toc20823283"/>
      <w:r/>
      <w:bookmarkStart w:id="60" w:name="_Toc16938527"/>
      <w:r>
        <w:rPr>
          <w:rFonts w:hint="eastAsia" w:asciiTheme="minorEastAsia" w:hAnsiTheme="minorEastAsia" w:eastAsiaTheme="minorEastAsia" w:cstheme="minorEastAsia"/>
          <w:b/>
          <w:bCs/>
          <w:color w:val="000000"/>
          <w:sz w:val="28"/>
          <w:szCs w:val="28"/>
          <w:lang w:val="en-US" w:eastAsia="zh-CN"/>
        </w:rPr>
        <w:t xml:space="preserve">7、招标文件的澄清</w:t>
      </w:r>
      <w:bookmarkEnd w:id="57"/>
      <w:r/>
      <w:bookmarkEnd w:id="58"/>
      <w:r/>
      <w:bookmarkEnd w:id="59"/>
      <w:r/>
      <w:bookmarkEnd w:id="60"/>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7.1任何要求对招标文件进行澄清的投标人，应在投标截止期十日前按招标公告中的通讯地址，以书面形式通知采购</w:t>
      </w:r>
      <w:r>
        <w:rPr>
          <w:rFonts w:hint="eastAsia" w:asciiTheme="minorEastAsia" w:hAnsiTheme="minorEastAsia" w:cstheme="minorEastAsia"/>
          <w:color w:val="000000"/>
          <w:sz w:val="24"/>
          <w:szCs w:val="24"/>
          <w:lang w:val="en-US" w:eastAsia="zh-CN"/>
        </w:rPr>
        <w:t xml:space="preserve">人</w:t>
      </w:r>
      <w:r>
        <w:rPr>
          <w:rFonts w:hint="eastAsia" w:asciiTheme="minorEastAsia" w:hAnsiTheme="minorEastAsia" w:eastAsiaTheme="minorEastAsia" w:cstheme="minorEastAsia"/>
          <w:color w:val="000000"/>
          <w:sz w:val="24"/>
          <w:szCs w:val="24"/>
          <w:lang w:val="en-US" w:eastAsia="zh-CN"/>
        </w:rPr>
        <w:t xml:space="preserve">。</w:t>
      </w:r>
      <w:r/>
    </w:p>
    <w:p>
      <w:pPr>
        <w:pStyle w:val="892"/>
        <w:ind w:firstLine="560"/>
        <w:jc w:val="both"/>
        <w:keepLines/>
        <w:keepNext/>
        <w:spacing w:beforeAutospacing="0" w:afterAutospacing="0" w:line="360" w:lineRule="auto"/>
      </w:pPr>
      <w:r/>
      <w:bookmarkStart w:id="61" w:name="_Toc16938528"/>
      <w:r/>
      <w:bookmarkStart w:id="62" w:name="_Toc513029212"/>
      <w:r/>
      <w:bookmarkStart w:id="63" w:name="_Toc20823284"/>
      <w:r/>
      <w:bookmarkStart w:id="64" w:name="_Toc462564071"/>
      <w:r>
        <w:rPr>
          <w:rFonts w:hint="eastAsia" w:asciiTheme="minorEastAsia" w:hAnsiTheme="minorEastAsia" w:eastAsiaTheme="minorEastAsia" w:cstheme="minorEastAsia"/>
          <w:b/>
          <w:bCs/>
          <w:color w:val="000000"/>
          <w:sz w:val="28"/>
          <w:szCs w:val="28"/>
          <w:lang w:val="en-US" w:eastAsia="zh-CN" w:bidi="ar-SA"/>
        </w:rPr>
        <w:t xml:space="preserve">8、招标文件的修改</w:t>
      </w:r>
      <w:bookmarkEnd w:id="61"/>
      <w:r/>
      <w:bookmarkEnd w:id="62"/>
      <w:r/>
      <w:bookmarkEnd w:id="63"/>
      <w:r/>
      <w:bookmarkEnd w:id="64"/>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8.1在投标截止时间前，采购人可以对招标文件进行修改。</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8.2采购</w:t>
      </w:r>
      <w:r>
        <w:rPr>
          <w:rFonts w:hint="eastAsia" w:asciiTheme="minorEastAsia" w:hAnsiTheme="minorEastAsia" w:cstheme="minorEastAsia"/>
          <w:color w:val="000000"/>
          <w:sz w:val="24"/>
          <w:szCs w:val="24"/>
          <w:lang w:val="en-US" w:eastAsia="zh-CN"/>
        </w:rPr>
        <w:t xml:space="preserve">人</w:t>
      </w:r>
      <w:r>
        <w:rPr>
          <w:rFonts w:hint="eastAsia" w:asciiTheme="minorEastAsia" w:hAnsiTheme="minorEastAsia" w:eastAsiaTheme="minorEastAsia" w:cstheme="minorEastAsia"/>
          <w:color w:val="000000"/>
          <w:sz w:val="24"/>
          <w:szCs w:val="24"/>
          <w:lang w:val="en-US" w:eastAsia="zh-CN"/>
        </w:rPr>
        <w:t xml:space="preserve">有权按照法定的要求推迟投标截止日期和开标日期。</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8.3招标文件的修改将在中国政府采购网、江苏政府采购网、盐城市政府采购网公布，补充文件将作为招标文件的组成部分，并对投标人具有约束力。</w:t>
      </w:r>
      <w:r/>
    </w:p>
    <w:p>
      <w:pPr>
        <w:pStyle w:val="892"/>
        <w:ind w:firstLine="482"/>
        <w:jc w:val="both"/>
        <w:keepLines/>
        <w:keepNext/>
        <w:spacing w:before="145" w:beforeAutospacing="0" w:after="145" w:afterAutospacing="0" w:line="360" w:lineRule="auto"/>
      </w:pPr>
      <w:r/>
      <w:bookmarkStart w:id="65" w:name="_Toc16938529"/>
      <w:r/>
      <w:bookmarkStart w:id="66" w:name="_Toc462564072"/>
      <w:r/>
      <w:bookmarkStart w:id="67" w:name="_Toc513029213"/>
      <w:r/>
      <w:bookmarkStart w:id="68" w:name="_Toc20823285"/>
      <w:r/>
      <w:bookmarkStart w:id="69" w:name="_Toc120614216"/>
      <w:r>
        <w:rPr>
          <w:rFonts w:ascii="Times New Roman" w:hAnsi="Times New Roman"/>
          <w:b/>
          <w:color w:val="000000"/>
          <w:sz w:val="32"/>
          <w:szCs w:val="32"/>
        </w:rPr>
        <w:t xml:space="preserve">三、投标文件的编制</w:t>
      </w:r>
      <w:bookmarkEnd w:id="65"/>
      <w:r/>
      <w:bookmarkEnd w:id="66"/>
      <w:r/>
      <w:bookmarkEnd w:id="67"/>
      <w:r/>
      <w:bookmarkEnd w:id="68"/>
      <w:r/>
      <w:bookmarkEnd w:id="69"/>
      <w:r/>
      <w:r/>
    </w:p>
    <w:p>
      <w:pPr>
        <w:pStyle w:val="892"/>
        <w:ind w:firstLine="560"/>
        <w:jc w:val="both"/>
        <w:keepLines/>
        <w:keepNext/>
        <w:spacing w:beforeAutospacing="0" w:afterAutospacing="0" w:line="360" w:lineRule="auto"/>
      </w:pPr>
      <w:r/>
      <w:bookmarkStart w:id="70" w:name="_Toc20823286"/>
      <w:r/>
      <w:bookmarkStart w:id="71" w:name="_Toc16938530"/>
      <w:r/>
      <w:bookmarkStart w:id="72" w:name="_Toc513029214"/>
      <w:r/>
      <w:bookmarkStart w:id="73" w:name="_Toc462564073"/>
      <w:r>
        <w:rPr>
          <w:rFonts w:hint="eastAsia" w:asciiTheme="minorEastAsia" w:hAnsiTheme="minorEastAsia" w:eastAsiaTheme="minorEastAsia" w:cstheme="minorEastAsia"/>
          <w:b/>
          <w:bCs/>
          <w:color w:val="000000"/>
          <w:sz w:val="28"/>
          <w:szCs w:val="28"/>
          <w:lang w:val="en-US" w:eastAsia="zh-CN" w:bidi="ar-SA"/>
        </w:rPr>
        <w:t xml:space="preserve">9、投标文件的语言及度量衡单位</w:t>
      </w:r>
      <w:bookmarkEnd w:id="70"/>
      <w:r/>
      <w:bookmarkEnd w:id="71"/>
      <w:r/>
      <w:bookmarkEnd w:id="72"/>
      <w:r/>
      <w:bookmarkEnd w:id="73"/>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9.1投标人提交的投标文件以及投标人与采购人就有关投标的所有来往通知、函件和文件均应使用</w:t>
      </w:r>
      <w:r>
        <w:rPr>
          <w:rFonts w:hint="eastAsia" w:asciiTheme="minorEastAsia" w:hAnsiTheme="minorEastAsia" w:eastAsiaTheme="minorEastAsia" w:cstheme="minorEastAsia"/>
          <w:color w:val="auto"/>
          <w:sz w:val="24"/>
          <w:szCs w:val="24"/>
          <w:lang w:val="en-US" w:eastAsia="zh-CN"/>
        </w:rPr>
        <w:t xml:space="preserve">简体中文</w:t>
      </w:r>
      <w:r>
        <w:rPr>
          <w:rFonts w:hint="eastAsia" w:asciiTheme="minorEastAsia" w:hAnsiTheme="minorEastAsia" w:eastAsiaTheme="minorEastAsia" w:cstheme="minorEastAsia"/>
          <w:color w:val="000000"/>
          <w:sz w:val="24"/>
          <w:szCs w:val="24"/>
          <w:lang w:val="en-US" w:eastAsia="zh-CN"/>
        </w:rPr>
        <w:t xml:space="preserve">。</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9.2除技术性能另有规定外，投标文件所使用的度量衡单位，均须采用国家法定计量单位。</w:t>
      </w:r>
      <w:r/>
    </w:p>
    <w:p>
      <w:pPr>
        <w:pStyle w:val="892"/>
        <w:ind w:firstLine="56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74" w:name="_Toc462564074"/>
      <w:r/>
      <w:bookmarkStart w:id="75" w:name="_Toc513029215"/>
      <w:r/>
      <w:bookmarkStart w:id="76" w:name="_Toc20823287"/>
      <w:r/>
      <w:bookmarkStart w:id="77" w:name="_Toc16938531"/>
      <w:r>
        <w:rPr>
          <w:rFonts w:hint="eastAsia" w:asciiTheme="minorEastAsia" w:hAnsiTheme="minorEastAsia" w:eastAsiaTheme="minorEastAsia" w:cstheme="minorEastAsia"/>
          <w:b/>
          <w:bCs/>
          <w:color w:val="000000"/>
          <w:sz w:val="28"/>
          <w:szCs w:val="28"/>
          <w:lang w:val="en-US" w:eastAsia="zh-CN" w:bidi="ar-SA"/>
        </w:rPr>
        <w:t xml:space="preserve">10、投标文件构成</w:t>
      </w:r>
      <w:bookmarkEnd w:id="74"/>
      <w:r/>
      <w:bookmarkEnd w:id="75"/>
      <w:r/>
      <w:bookmarkEnd w:id="76"/>
      <w:r/>
      <w:bookmarkEnd w:id="77"/>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zh-CN" w:eastAsia="zh-CN"/>
        </w:rPr>
      </w:pPr>
      <w:r>
        <w:rPr>
          <w:rFonts w:hint="eastAsia" w:asciiTheme="minorEastAsia" w:hAnsiTheme="minorEastAsia" w:eastAsiaTheme="minorEastAsia" w:cstheme="minorEastAsia"/>
          <w:color w:val="000000"/>
          <w:sz w:val="24"/>
          <w:szCs w:val="24"/>
          <w:lang w:val="en-US" w:eastAsia="zh-CN"/>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Theme="minorEastAsia" w:hAnsiTheme="minorEastAsia" w:eastAsiaTheme="minorEastAsia" w:cstheme="minorEastAsia"/>
          <w:color w:val="auto"/>
          <w:sz w:val="24"/>
          <w:szCs w:val="24"/>
          <w:lang w:val="zh-CN" w:eastAsia="zh-CN"/>
        </w:rPr>
        <w:t xml:space="preserve">（格式详见招标文件“第六章  投标文件格式”）</w:t>
      </w:r>
      <w:r>
        <w:rPr>
          <w:rFonts w:hint="eastAsia" w:asciiTheme="minorEastAsia" w:hAnsiTheme="minorEastAsia" w:eastAsiaTheme="minorEastAsia" w:cstheme="minorEastAsia"/>
          <w:color w:val="000000"/>
          <w:sz w:val="24"/>
          <w:szCs w:val="24"/>
          <w:lang w:val="zh-CN" w:eastAsia="zh-CN"/>
        </w:rPr>
        <w:t xml:space="preserve">。</w:t>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92"/>
        <w:ind w:firstLine="56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78" w:name="_Toc49090507"/>
      <w:r/>
      <w:bookmarkStart w:id="79" w:name="_Toc513029219"/>
      <w:r/>
      <w:bookmarkStart w:id="80" w:name="_Toc14577354"/>
      <w:r/>
      <w:bookmarkStart w:id="81" w:name="_Toc14577357"/>
      <w:r/>
      <w:bookmarkStart w:id="82" w:name="_Toc513029216"/>
      <w:r/>
      <w:bookmarkStart w:id="83" w:name="_Toc49090509"/>
      <w:r/>
      <w:bookmarkStart w:id="84" w:name="_Hlt26670360"/>
      <w:r/>
      <w:bookmarkStart w:id="85" w:name="_Hlt26668975"/>
      <w:r/>
      <w:bookmarkStart w:id="86" w:name="_Hlt26954838"/>
      <w:r>
        <w:rPr>
          <w:rFonts w:hint="eastAsia" w:asciiTheme="minorEastAsia" w:hAnsiTheme="minorEastAsia" w:eastAsiaTheme="minorEastAsia" w:cstheme="minorEastAsia"/>
          <w:b/>
          <w:bCs/>
          <w:color w:val="000000"/>
          <w:sz w:val="28"/>
          <w:szCs w:val="28"/>
          <w:lang w:val="en-US" w:eastAsia="zh-CN" w:bidi="ar-SA"/>
        </w:rPr>
        <w:t xml:space="preserve">11、证明投标人及投标标的符合招标文件规定的文件</w:t>
      </w:r>
      <w:bookmarkEnd w:id="78"/>
      <w:r/>
      <w:bookmarkEnd w:id="79"/>
      <w:r/>
      <w:bookmarkEnd w:id="80"/>
      <w:r/>
      <w:bookmarkEnd w:id="81"/>
      <w:r/>
      <w:bookmarkEnd w:id="82"/>
      <w:r/>
      <w:bookmarkEnd w:id="83"/>
      <w:r/>
      <w:r/>
    </w:p>
    <w:p>
      <w:pPr>
        <w:ind w:firstLine="480"/>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bookmarkStart w:id="87" w:name="_Toc14577355"/>
      <w:r/>
      <w:bookmarkStart w:id="88" w:name="_Toc49090508"/>
      <w:r>
        <w:rPr>
          <w:rFonts w:hint="eastAsia" w:asciiTheme="minorEastAsia" w:hAnsiTheme="minorEastAsia" w:eastAsiaTheme="minorEastAsia" w:cstheme="minorEastAsia"/>
          <w:color w:val="000000"/>
          <w:sz w:val="24"/>
          <w:szCs w:val="24"/>
          <w:lang w:val="en-US" w:eastAsia="zh-CN"/>
        </w:rPr>
        <w:t xml:space="preserve">11.1投标人应按照</w:t>
      </w:r>
      <w:r>
        <w:rPr>
          <w:rFonts w:hint="eastAsia" w:asciiTheme="minorEastAsia" w:hAnsiTheme="minorEastAsia" w:cstheme="minorEastAsia"/>
          <w:color w:val="000000"/>
          <w:sz w:val="24"/>
          <w:szCs w:val="24"/>
          <w:lang w:val="en-US" w:eastAsia="zh-CN"/>
        </w:rPr>
        <w:t xml:space="preserve">法律法规</w:t>
      </w:r>
      <w:r>
        <w:rPr>
          <w:rFonts w:hint="eastAsia" w:asciiTheme="minorEastAsia" w:hAnsiTheme="minorEastAsia" w:eastAsiaTheme="minorEastAsia" w:cstheme="minorEastAsia"/>
          <w:color w:val="000000"/>
          <w:sz w:val="24"/>
          <w:szCs w:val="24"/>
          <w:lang w:val="en-US" w:eastAsia="zh-CN"/>
        </w:rPr>
        <w:t xml:space="preserve">、规章和规范性文件以及招标文件要求提交证明文件，证明其及投标标的符合招标文件规定。</w:t>
      </w:r>
      <w:bookmarkEnd w:id="87"/>
      <w:r/>
      <w:bookmarkEnd w:id="88"/>
      <w:r/>
      <w:r/>
    </w:p>
    <w:p>
      <w:pPr>
        <w:ind w:firstLine="482"/>
        <w:spacing w:line="460" w:lineRule="exact"/>
        <w:tabs>
          <w:tab w:val="left" w:pos="900" w:leader="none"/>
        </w:tabs>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11.2招标文件对证明文件无明确形式要求的，证明文件可以以文字资料、图纸和数据等形式提交。</w:t>
      </w:r>
      <w:r/>
    </w:p>
    <w:p>
      <w:pPr>
        <w:pStyle w:val="892"/>
        <w:ind w:firstLine="56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12、投标分项报价</w:t>
      </w:r>
      <w:bookmarkStart w:id="89" w:name="_Hlt26670373"/>
      <w:r>
        <w:rPr>
          <w:rFonts w:hint="eastAsia" w:asciiTheme="minorEastAsia" w:hAnsiTheme="minorEastAsia" w:eastAsiaTheme="minorEastAsia" w:cstheme="minorEastAsia"/>
          <w:b/>
          <w:bCs/>
          <w:color w:val="000000"/>
          <w:sz w:val="28"/>
          <w:szCs w:val="28"/>
          <w:lang w:val="en-US" w:eastAsia="zh-CN" w:bidi="ar-SA"/>
        </w:rPr>
        <w:t xml:space="preserve">表</w:t>
      </w:r>
      <w:r/>
    </w:p>
    <w:p>
      <w:pPr>
        <w:ind w:firstLine="482"/>
        <w:spacing w:line="460" w:lineRule="exact"/>
        <w:tabs>
          <w:tab w:val="left" w:pos="900"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12.1投</w:t>
      </w:r>
      <w:bookmarkStart w:id="90" w:name="_Hlt26954840"/>
      <w:r>
        <w:rPr>
          <w:rFonts w:hint="eastAsia" w:asciiTheme="minorEastAsia" w:hAnsiTheme="minorEastAsia" w:eastAsiaTheme="minorEastAsia" w:cstheme="minorEastAsia"/>
          <w:color w:val="auto"/>
          <w:sz w:val="24"/>
          <w:szCs w:val="24"/>
          <w:lang w:val="en-US" w:eastAsia="zh-CN"/>
        </w:rPr>
        <w:t xml:space="preserve">标人应按照招标文件规定格式填报投标分项报价表</w:t>
      </w:r>
      <w:bookmarkStart w:id="91" w:name="_Hlt26670399"/>
      <w:r>
        <w:rPr>
          <w:rFonts w:hint="eastAsia" w:asciiTheme="minorEastAsia" w:hAnsiTheme="minorEastAsia" w:eastAsiaTheme="minorEastAsia" w:cstheme="minorEastAsia"/>
          <w:color w:val="auto"/>
          <w:sz w:val="24"/>
          <w:szCs w:val="24"/>
          <w:lang w:val="en-US" w:eastAsia="zh-CN"/>
        </w:rPr>
        <w:t xml:space="preserve">。</w:t>
      </w:r>
      <w:r/>
    </w:p>
    <w:p>
      <w:pPr>
        <w:ind w:firstLine="482"/>
        <w:spacing w:line="460" w:lineRule="exact"/>
        <w:tabs>
          <w:tab w:val="left" w:pos="900"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12.2投标货币。投标文件中的单价和总价无特殊规定的采用人民币报价，以元为单位标注。招标文件中另有规定的按规定执行。</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12.3本项目设定投标报价的最高限价，请各投标人在一标段（串场河以东片区）最高限价为人民币</w:t>
      </w:r>
      <w:r>
        <w:rPr>
          <w:rFonts w:hint="eastAsia" w:asciiTheme="minorEastAsia" w:hAnsiTheme="minorEastAsia" w:cstheme="minorEastAsia"/>
          <w:color w:val="auto"/>
          <w:sz w:val="24"/>
          <w:szCs w:val="24"/>
          <w:highlight w:val="none"/>
          <w:lang w:val="en-US" w:eastAsia="zh-CN"/>
        </w:rPr>
        <w:t xml:space="preserve">289.2万</w:t>
      </w:r>
      <w:r>
        <w:rPr>
          <w:rFonts w:hint="eastAsia" w:asciiTheme="minorEastAsia" w:hAnsiTheme="minorEastAsia" w:eastAsiaTheme="minorEastAsia" w:cstheme="minorEastAsia"/>
          <w:color w:val="auto"/>
          <w:sz w:val="24"/>
          <w:szCs w:val="24"/>
          <w:highlight w:val="none"/>
          <w:lang w:val="en-US" w:eastAsia="zh-CN"/>
        </w:rPr>
        <w:t xml:space="preserve">元（服务期限为三年）；二标段（串场河以西片区）最高限价为人民币</w:t>
      </w:r>
      <w:r>
        <w:rPr>
          <w:rFonts w:hint="eastAsia" w:asciiTheme="minorEastAsia" w:hAnsiTheme="minorEastAsia" w:cstheme="minorEastAsia"/>
          <w:color w:val="auto"/>
          <w:sz w:val="24"/>
          <w:szCs w:val="24"/>
          <w:highlight w:val="none"/>
          <w:lang w:val="en-US" w:eastAsia="zh-CN"/>
        </w:rPr>
        <w:t xml:space="preserve">240万</w:t>
      </w:r>
      <w:r>
        <w:rPr>
          <w:rFonts w:hint="eastAsia" w:asciiTheme="minorEastAsia" w:hAnsiTheme="minorEastAsia" w:eastAsiaTheme="minorEastAsia" w:cstheme="minorEastAsia"/>
          <w:color w:val="auto"/>
          <w:sz w:val="24"/>
          <w:szCs w:val="24"/>
          <w:highlight w:val="none"/>
          <w:lang w:val="en-US" w:eastAsia="zh-CN"/>
        </w:rPr>
        <w:t xml:space="preserve">元（服务期限为三年）以下进行投标报价，投标报价高于最高限价的，采购人将不予接受，视为无效标书。</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报价除应包括所有河道保洁服务（包含但不限于）人员的工资、社会保险费（五险）、人员服装费、福利费（节假日福利及高温等一切福利费用）、保洁工具费（打捞工具、船只等一切劳动工具费用）、设备使用费（折旧费、电费、油费、维修费及保养费等一切设备使用费用）、加班费</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含节假日工资+节假日加班费</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、电话费、垃圾清运费（含垃圾外运至垃圾中转站）、劳动保护用品费（手套、救生衣等一切劳动保护用品费用）、招标代理服务费、利润、公</w:t>
      </w:r>
      <w:r>
        <w:rPr>
          <w:rFonts w:hint="eastAsia" w:asciiTheme="minorEastAsia" w:hAnsiTheme="minorEastAsia" w:cstheme="minorEastAsia"/>
          <w:color w:val="auto"/>
          <w:sz w:val="24"/>
          <w:szCs w:val="24"/>
          <w:highlight w:val="none"/>
          <w:lang w:val="en-US" w:eastAsia="zh-CN"/>
        </w:rPr>
        <w:t xml:space="preserve">共</w:t>
      </w:r>
      <w:r>
        <w:rPr>
          <w:rFonts w:hint="eastAsia" w:asciiTheme="minorEastAsia" w:hAnsiTheme="minorEastAsia" w:eastAsiaTheme="minorEastAsia" w:cstheme="minorEastAsia"/>
          <w:color w:val="auto"/>
          <w:sz w:val="24"/>
          <w:szCs w:val="24"/>
          <w:highlight w:val="none"/>
          <w:lang w:val="en-US" w:eastAsia="zh-CN"/>
        </w:rPr>
        <w:t xml:space="preserve">责任保险费</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意外伤害险及法定税费外，还应包括管理费、劳务费、培训费、宣传服务费、不可预测费及政策性文件规定等各项应有费用，以及为完成招标文件规定的河道保洁服务工作所</w:t>
      </w:r>
      <w:r>
        <w:rPr>
          <w:rFonts w:hint="eastAsia" w:asciiTheme="minorEastAsia" w:hAnsiTheme="minorEastAsia" w:cstheme="minorEastAsia"/>
          <w:color w:val="auto"/>
          <w:sz w:val="24"/>
          <w:szCs w:val="24"/>
          <w:highlight w:val="none"/>
          <w:lang w:val="en-US" w:eastAsia="zh-CN"/>
        </w:rPr>
        <w:t xml:space="preserve">涉及的</w:t>
      </w:r>
      <w:r>
        <w:rPr>
          <w:rFonts w:hint="eastAsia" w:asciiTheme="minorEastAsia" w:hAnsiTheme="minorEastAsia" w:eastAsiaTheme="minorEastAsia" w:cstheme="minorEastAsia"/>
          <w:color w:val="auto"/>
          <w:sz w:val="24"/>
          <w:szCs w:val="24"/>
          <w:highlight w:val="none"/>
          <w:lang w:val="en-US" w:eastAsia="zh-CN"/>
        </w:rPr>
        <w:t xml:space="preserve">一切相关费用。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2、用于河道保洁日常管理的劳动工具（包括打捞工具、船只等一切劳动器械）由中标人提供并承担相关费用。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3、河道保洁人员相关劳动保护用品（含手套、救生衣等一切劳动保护用品费用）由中标人提供并承担相关费用。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4、设备使用费（折旧费、电费、油费、维修费及保养费等一切设备使用费用）。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5、投标人报价时应充分考虑所有可能影响到报价的价格因素，一旦招标结束最终确定中标人，中标的</w:t>
      </w:r>
      <w:r>
        <w:rPr>
          <w:rFonts w:hint="eastAsia" w:asciiTheme="minorEastAsia" w:hAnsiTheme="minorEastAsia" w:cstheme="minorEastAsia"/>
          <w:color w:val="auto"/>
          <w:sz w:val="24"/>
          <w:szCs w:val="24"/>
          <w:highlight w:val="none"/>
          <w:lang w:val="en-US" w:eastAsia="zh-CN"/>
        </w:rPr>
        <w:t xml:space="preserve">采用固定总价报价</w:t>
      </w:r>
      <w:r>
        <w:rPr>
          <w:rFonts w:hint="eastAsia" w:asciiTheme="minorEastAsia" w:hAnsiTheme="minorEastAsia" w:eastAsiaTheme="minorEastAsia" w:cstheme="minorEastAsia"/>
          <w:color w:val="auto"/>
          <w:sz w:val="24"/>
          <w:szCs w:val="24"/>
          <w:highlight w:val="none"/>
          <w:lang w:val="en-US" w:eastAsia="zh-CN"/>
        </w:rPr>
        <w:t xml:space="preserve">在合同实施过程中和竣工结算时除本招标文件和合同约定外，均不作调整。如发生漏、缺、少项，都将被认为是中标人的报价让利行为，损失自负。</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6、所有人员薪资不得低于：</w:t>
      </w:r>
      <w:r>
        <w:rPr>
          <w:rFonts w:hint="eastAsia" w:asciiTheme="minorEastAsia" w:hAnsiTheme="minorEastAsia" w:eastAsiaTheme="minorEastAsia" w:cstheme="minorEastAsia"/>
          <w:color w:val="auto"/>
          <w:sz w:val="24"/>
          <w:szCs w:val="24"/>
          <w:highlight w:val="none"/>
          <w:lang w:val="zh-CN" w:eastAsia="zh-CN"/>
        </w:rPr>
        <w:t xml:space="preserve">本市最低工资标准</w:t>
      </w:r>
      <w:r>
        <w:rPr>
          <w:rFonts w:hint="eastAsia" w:asciiTheme="minorEastAsia" w:hAnsiTheme="minorEastAsia" w:eastAsiaTheme="minorEastAsia" w:cstheme="minorEastAsia"/>
          <w:color w:val="auto"/>
          <w:sz w:val="24"/>
          <w:szCs w:val="24"/>
          <w:highlight w:val="none"/>
          <w:lang w:val="en-US" w:eastAsia="zh-CN"/>
        </w:rPr>
        <w:t xml:space="preserve">2260元/人/月，五险（目前缴费基数不低于4879元，缴费费率（规定险种为“五险”）：养老保险16%、医疗保险8%、工伤保险0.7%、生育保险0.9%、失业保险0.5%以及大病保险6元，即不得低于1279.42元/人/月），以及不低于以下标准的高温费1200元/人/年（300*4），法定节假日加班费3428.97元/人/年（2260元/21.75天*3倍*11天），休息日加班费不得低于10806.44元/人/年（2260元/21.75天*2倍*52天），</w:t>
      </w:r>
      <w:r>
        <w:rPr>
          <w:rFonts w:hint="eastAsia" w:asciiTheme="minorEastAsia" w:hAnsiTheme="minorEastAsia" w:eastAsiaTheme="minorEastAsia" w:cstheme="minorEastAsia"/>
          <w:color w:val="auto"/>
          <w:sz w:val="24"/>
          <w:szCs w:val="24"/>
          <w:highlight w:val="none"/>
          <w:lang w:val="zh-CN" w:eastAsia="zh-CN"/>
        </w:rPr>
        <w:t xml:space="preserve">税金费率统一按6.72%进行报价。</w:t>
      </w:r>
      <w:r/>
    </w:p>
    <w:p>
      <w:pPr>
        <w:ind w:firstLine="480"/>
        <w:spacing w:line="44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投标人所提供人员的费用不得低于上述标准进行测算，否则视为未实质性响应招标文件要求。如果招标公告发布之后遇政府调整职工最低工资标准或社会保险缴纳基数，投标人投标时可仍按上述标准测算报价，中标后，供应商可与采购人签订补充协议按实调整。</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12.6本次招标代理服务费收费标准按苏招协</w:t>
      </w:r>
      <w:r>
        <w:rPr>
          <w:rFonts w:hint="eastAsia" w:asciiTheme="minorEastAsia" w:hAnsiTheme="minorEastAsia" w:cstheme="minorEastAsia"/>
          <w:color w:val="auto"/>
          <w:sz w:val="24"/>
          <w:szCs w:val="24"/>
          <w:highlight w:val="none"/>
          <w:lang w:val="en-US" w:eastAsia="zh-CN"/>
        </w:rPr>
        <w:t xml:space="preserve">〔2022〕2号</w:t>
      </w:r>
      <w:r>
        <w:rPr>
          <w:rFonts w:hint="eastAsia" w:asciiTheme="minorEastAsia" w:hAnsiTheme="minorEastAsia" w:eastAsiaTheme="minorEastAsia" w:cstheme="minorEastAsia"/>
          <w:color w:val="auto"/>
          <w:sz w:val="24"/>
          <w:szCs w:val="24"/>
          <w:highlight w:val="none"/>
          <w:lang w:val="en-US" w:eastAsia="zh-CN"/>
        </w:rPr>
        <w:t xml:space="preserve">文规定计取由中标人承担，投标人在报价时包含在投标报价中报价，中标后由中标人在</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合同完成公示后直接向采购代理机构缴纳。（本条不单独列表报价，自行综合考虑在投标报价中，中标后采购人不再另行支付）。</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12.7、如采购人发现中标人按投标承诺配备了相应人员，但却不能完成相应河道保洁服务或服务质量达不到要求的，采购人可责令中标人无偿更换或增加相应派遣人员，直至满足相应服务要求，其产生的费用由中标人自行承担，采购人不另行支付。</w:t>
      </w:r>
      <w:r/>
    </w:p>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注：1、投标报价中应包含本招标文件第四章《项目需求》中相关内容的费用。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2、河道保洁服务费总报价必须严格按照以上内容及岗位配置要求进行综合报价。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3、投标人须详细列出河道保洁服务费总报价的明细。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4、除本招标文件约定费用外，中标人不得借河道保洁服务，另行收取其他任何费用。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12.8 投标人根据招标内容的要求准确报价，一经报出，不得更改。</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12.9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12.10投标报价方式：</w:t>
      </w:r>
      <w:r>
        <w:rPr>
          <w:rFonts w:hint="eastAsia" w:asciiTheme="minorEastAsia" w:hAnsiTheme="minorEastAsia" w:cstheme="minorEastAsia"/>
          <w:color w:val="auto"/>
          <w:sz w:val="24"/>
          <w:szCs w:val="24"/>
          <w:highlight w:val="none"/>
          <w:u w:val="single"/>
          <w:lang w:val="en-US" w:eastAsia="zh-CN"/>
        </w:rPr>
        <w:t xml:space="preserve">采用固定总价报价。</w:t>
      </w:r>
      <w:r>
        <w:rPr>
          <w:rFonts w:hint="eastAsia" w:ascii="宋体" w:hAnsi="宋体"/>
          <w:bCs/>
          <w:color w:val="000000"/>
          <w:sz w:val="24"/>
          <w:szCs w:val="24"/>
          <w:highlight w:val="none"/>
          <w:lang w:eastAsia="zh-CN"/>
        </w:rPr>
        <w:t xml:space="preserve">供应商</w:t>
      </w:r>
      <w:r>
        <w:rPr>
          <w:rFonts w:hint="eastAsia" w:ascii="宋体" w:hAnsi="宋体"/>
          <w:bCs/>
          <w:color w:val="000000"/>
          <w:sz w:val="24"/>
          <w:szCs w:val="24"/>
          <w:highlight w:val="none"/>
        </w:rPr>
        <w:t xml:space="preserve">报价时应充分考虑所有可能影响到报价的价格因素，一旦招标结束最终确定中标人，总价将包干，不予调整。如发生漏、缺、少项，都将被认为是中标人的报价让利行为，损失自负。</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12.10.1由投标人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w:t>
      </w:r>
      <w:r>
        <w:rPr>
          <w:rFonts w:hint="eastAsia" w:asciiTheme="minorEastAsia" w:hAnsiTheme="minorEastAsia" w:cstheme="minorEastAsia"/>
          <w:color w:val="auto"/>
          <w:sz w:val="24"/>
          <w:szCs w:val="24"/>
          <w:highlight w:val="none"/>
          <w:lang w:val="en-US" w:eastAsia="zh-CN"/>
        </w:rPr>
        <w:t xml:space="preserve">予</w:t>
      </w:r>
      <w:r>
        <w:rPr>
          <w:rFonts w:hint="eastAsia" w:asciiTheme="minorEastAsia" w:hAnsiTheme="minorEastAsia" w:eastAsiaTheme="minorEastAsia" w:cstheme="minorEastAsia"/>
          <w:color w:val="auto"/>
          <w:sz w:val="24"/>
          <w:szCs w:val="24"/>
          <w:highlight w:val="none"/>
          <w:lang w:val="en-US" w:eastAsia="zh-CN"/>
        </w:rPr>
        <w:t xml:space="preserve">调整中标价。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12.10.2只允许有一个报价，任何有选择的报价将被拒绝。</w:t>
      </w:r>
      <w:r/>
    </w:p>
    <w:p>
      <w:pPr>
        <w:ind w:left="0" w:firstLine="480"/>
        <w:keepLines w:val="0"/>
        <w:keepNext w:val="0"/>
        <w:pageBreakBefore w:val="0"/>
        <w:spacing w:line="500" w:lineRule="exact"/>
        <w:widowControl w:val="off"/>
        <w:tabs>
          <w:tab w:val="left" w:pos="900" w:leader="none"/>
        </w:tabs>
        <w:rPr>
          <w:rFonts w:hint="eastAsia" w:ascii="宋体" w:hAnsi="宋体" w:eastAsia="宋体" w:cs="宋体"/>
          <w:color w:val="000000"/>
        </w:rPr>
      </w:pPr>
      <w:r>
        <w:rPr>
          <w:rFonts w:hint="eastAsia" w:asciiTheme="minorEastAsia" w:hAnsiTheme="minorEastAsia" w:eastAsiaTheme="minorEastAsia" w:cstheme="minorEastAsia"/>
          <w:color w:val="auto"/>
          <w:sz w:val="24"/>
          <w:szCs w:val="24"/>
          <w:highlight w:val="none"/>
          <w:lang w:val="en-US" w:eastAsia="zh-CN"/>
        </w:rPr>
        <w:t xml:space="preserve">12.11现场踏勘要求：投标人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pStyle w:val="892"/>
        <w:ind w:firstLine="56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92" w:name="_Hlt26670482"/>
      <w:r/>
      <w:bookmarkStart w:id="93" w:name="_Hlt26670486"/>
      <w:r/>
      <w:bookmarkStart w:id="94" w:name="_Hlt26670403"/>
      <w:r/>
      <w:bookmarkStart w:id="95" w:name="_Hlt26954731"/>
      <w:r/>
      <w:bookmarkStart w:id="96" w:name="_Hlt26954846"/>
      <w:r/>
      <w:bookmarkStart w:id="97" w:name="_Hlt26954844"/>
      <w:r/>
      <w:bookmarkStart w:id="98" w:name="_Hlt26954848"/>
      <w:r/>
      <w:bookmarkStart w:id="99" w:name="_Hlt26670425"/>
      <w:r/>
      <w:bookmarkStart w:id="100" w:name="_Hlt26954842"/>
      <w:r/>
      <w:bookmarkStart w:id="101" w:name="_Hlt26668983"/>
      <w:r>
        <w:rPr>
          <w:rFonts w:hint="eastAsia" w:asciiTheme="minorEastAsia" w:hAnsiTheme="minorEastAsia" w:eastAsiaTheme="minorEastAsia" w:cstheme="minorEastAsia"/>
          <w:b/>
          <w:bCs/>
          <w:color w:val="000000"/>
          <w:sz w:val="28"/>
          <w:szCs w:val="28"/>
          <w:lang w:val="en-US" w:eastAsia="zh-CN" w:bidi="ar-SA"/>
        </w:rPr>
        <w:t xml:space="preserve">13、技术要求响应及偏离表、商务要求响应及偏离表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13.1投标人需对招标文件中的技术要求与商务要求逐项作出响应或偏离，并说明原因。</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13.2投标人可在投标文件中提供认为需要的其他技术文件或说明。</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02" w:name="_Toc14577359"/>
      <w:r/>
      <w:bookmarkStart w:id="103" w:name="_Toc49090510"/>
      <w:r>
        <w:rPr>
          <w:rFonts w:hint="eastAsia" w:asciiTheme="minorEastAsia" w:hAnsiTheme="minorEastAsia" w:eastAsiaTheme="minorEastAsia" w:cstheme="minorEastAsia"/>
          <w:b/>
          <w:bCs/>
          <w:color w:val="000000"/>
          <w:sz w:val="28"/>
          <w:szCs w:val="28"/>
          <w:lang w:val="en-US" w:eastAsia="zh-CN" w:bidi="ar-SA"/>
        </w:rPr>
        <w:t xml:space="preserve">14、投标函和开标一览表</w:t>
      </w:r>
      <w:bookmarkEnd w:id="102"/>
      <w:r/>
      <w:bookmarkEnd w:id="103"/>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14.1投标人应按照招标文件中提供的格式完整、正确填写投标函、开标一览表。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04" w:name="_Toc14577360"/>
      <w:r/>
      <w:bookmarkStart w:id="105" w:name="_Toc49090511"/>
      <w:r/>
      <w:bookmarkStart w:id="106" w:name="_Hlt26670489"/>
      <w:r/>
      <w:bookmarkStart w:id="107" w:name="_Hlt26954734"/>
      <w:r/>
      <w:bookmarkStart w:id="108" w:name="_Hlt26954850"/>
      <w:r>
        <w:rPr>
          <w:rFonts w:hint="eastAsia" w:asciiTheme="minorEastAsia" w:hAnsiTheme="minorEastAsia" w:eastAsiaTheme="minorEastAsia" w:cstheme="minorEastAsia"/>
          <w:b/>
          <w:bCs/>
          <w:color w:val="000000"/>
          <w:sz w:val="28"/>
          <w:szCs w:val="28"/>
          <w:lang w:val="en-US" w:eastAsia="zh-CN" w:bidi="ar-SA"/>
        </w:rPr>
        <w:t xml:space="preserve">15、投标有效期</w:t>
      </w:r>
      <w:bookmarkEnd w:id="104"/>
      <w:r/>
      <w:bookmarkEnd w:id="105"/>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15.1投标有效期为采购</w:t>
      </w:r>
      <w:r>
        <w:rPr>
          <w:rFonts w:hint="eastAsia" w:asciiTheme="minorEastAsia" w:hAnsi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en-US" w:eastAsia="zh-CN"/>
        </w:rPr>
        <w:t xml:space="preserve">规定的开标之日后</w:t>
      </w:r>
      <w:r>
        <w:rPr>
          <w:rFonts w:hint="eastAsia" w:asciiTheme="minorEastAsia" w:hAnsiTheme="minorEastAsia" w:eastAsiaTheme="minorEastAsia" w:cstheme="minorEastAsia"/>
          <w:b/>
          <w:bCs/>
          <w:color w:val="auto"/>
          <w:sz w:val="24"/>
          <w:szCs w:val="24"/>
          <w:highlight w:val="none"/>
          <w:u w:val="single"/>
          <w:lang w:val="en-US" w:eastAsia="zh-CN"/>
        </w:rPr>
        <w:t xml:space="preserve">六十（60）天</w:t>
      </w:r>
      <w:r>
        <w:rPr>
          <w:rFonts w:hint="eastAsia" w:asciiTheme="minorEastAsia" w:hAnsiTheme="minorEastAsia" w:eastAsiaTheme="minorEastAsia" w:cstheme="minorEastAsia"/>
          <w:color w:val="auto"/>
          <w:sz w:val="24"/>
          <w:szCs w:val="24"/>
          <w:highlight w:val="none"/>
          <w:lang w:val="en-US" w:eastAsia="zh-CN"/>
        </w:rPr>
        <w:t xml:space="preserve">。投标有效期比规定短的将被视为未实质性响应招标文件而予以拒绝。</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16、投标有效期的延长</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16.1在特殊情况下，采购</w:t>
      </w:r>
      <w:r>
        <w:rPr>
          <w:rFonts w:hint="eastAsia" w:asciiTheme="minorEastAsia" w:hAnsiTheme="minorEastAsia" w:cstheme="minorEastAsia"/>
          <w:color w:val="auto"/>
          <w:sz w:val="24"/>
          <w:szCs w:val="24"/>
          <w:highlight w:val="none"/>
          <w:lang w:val="en-US" w:eastAsia="zh-CN" w:bidi="ar-SA"/>
        </w:rPr>
        <w:t xml:space="preserve">人</w:t>
      </w:r>
      <w:r>
        <w:rPr>
          <w:rFonts w:hint="eastAsia" w:asciiTheme="minorEastAsia" w:hAnsiTheme="minorEastAsia" w:eastAsiaTheme="minorEastAsia" w:cstheme="minorEastAsia"/>
          <w:color w:val="auto"/>
          <w:sz w:val="24"/>
          <w:szCs w:val="24"/>
          <w:highlight w:val="none"/>
          <w:lang w:val="en-US" w:eastAsia="zh-CN" w:bidi="ar-SA"/>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color w:val="auto"/>
          <w:sz w:val="24"/>
          <w:szCs w:val="24"/>
          <w:highlight w:val="none"/>
          <w:lang w:val="en-US" w:eastAsia="zh-CN" w:bidi="ar-SA"/>
        </w:rPr>
        <w:t xml:space="preserve">人</w:t>
      </w:r>
      <w:r>
        <w:rPr>
          <w:rFonts w:hint="eastAsia" w:asciiTheme="minorEastAsia" w:hAnsiTheme="minorEastAsia" w:eastAsiaTheme="minorEastAsia" w:cstheme="minorEastAsia"/>
          <w:color w:val="auto"/>
          <w:sz w:val="24"/>
          <w:szCs w:val="24"/>
          <w:highlight w:val="none"/>
          <w:lang w:val="en-US" w:eastAsia="zh-CN" w:bidi="ar-SA"/>
        </w:rPr>
        <w:t xml:space="preserve">的这一要求而放弃投标。同意延长投标有效期的投标人既不能要求也不允许修改其投标文件，同时受投标有效期约束的所有权利与义务均延长至新的有效期。</w:t>
      </w:r>
      <w:r/>
    </w:p>
    <w:p>
      <w:pPr>
        <w:pStyle w:val="892"/>
        <w:ind w:firstLine="482"/>
        <w:jc w:val="both"/>
        <w:keepLines/>
        <w:keepNext/>
        <w:spacing w:before="145" w:beforeAutospacing="0" w:after="145" w:afterAutospacing="0" w:line="360" w:lineRule="auto"/>
      </w:pPr>
      <w:r/>
      <w:bookmarkStart w:id="109" w:name="_Toc513029224"/>
      <w:r/>
      <w:bookmarkStart w:id="110" w:name="_Toc120614217"/>
      <w:r/>
      <w:bookmarkStart w:id="111" w:name="_Toc20823296"/>
      <w:r/>
      <w:bookmarkStart w:id="112" w:name="_Toc16938540"/>
      <w:r/>
      <w:bookmarkStart w:id="113" w:name="_Hlt26954852"/>
      <w:r/>
      <w:bookmarkStart w:id="114" w:name="_Hlt26954739"/>
      <w:r>
        <w:rPr>
          <w:rFonts w:ascii="Times New Roman" w:hAnsi="Times New Roman"/>
          <w:b/>
          <w:color w:val="000000"/>
          <w:sz w:val="32"/>
          <w:szCs w:val="32"/>
        </w:rPr>
        <w:t xml:space="preserve">四、投标文件的递交</w:t>
      </w:r>
      <w:bookmarkEnd w:id="109"/>
      <w:r/>
      <w:bookmarkEnd w:id="110"/>
      <w:r/>
      <w:bookmarkEnd w:id="111"/>
      <w:r/>
      <w:bookmarkEnd w:id="112"/>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15" w:name="_Toc16938541"/>
      <w:r/>
      <w:bookmarkStart w:id="116" w:name="_Toc20823297"/>
      <w:r/>
      <w:bookmarkStart w:id="117" w:name="_Toc513029225"/>
      <w:r/>
      <w:bookmarkStart w:id="118" w:name="_Toc462564084"/>
      <w:r>
        <w:rPr>
          <w:rFonts w:hint="eastAsia" w:asciiTheme="minorEastAsia" w:hAnsiTheme="minorEastAsia" w:eastAsiaTheme="minorEastAsia" w:cstheme="minorEastAsia"/>
          <w:b/>
          <w:bCs/>
          <w:color w:val="000000"/>
          <w:sz w:val="28"/>
          <w:szCs w:val="28"/>
          <w:lang w:val="en-US" w:eastAsia="zh-CN" w:bidi="ar-SA"/>
        </w:rPr>
        <w:t xml:space="preserve">17、投标文件</w:t>
      </w:r>
      <w:bookmarkEnd w:id="115"/>
      <w:r/>
      <w:bookmarkEnd w:id="116"/>
      <w:r/>
      <w:bookmarkEnd w:id="117"/>
      <w:r/>
      <w:bookmarkEnd w:id="118"/>
      <w:r>
        <w:rPr>
          <w:rFonts w:hint="eastAsia" w:asciiTheme="minorEastAsia" w:hAnsiTheme="minorEastAsia" w:eastAsiaTheme="minorEastAsia" w:cstheme="minorEastAsia"/>
          <w:b/>
          <w:bCs/>
          <w:color w:val="000000"/>
          <w:sz w:val="28"/>
          <w:szCs w:val="28"/>
          <w:lang w:val="en-US" w:eastAsia="zh-CN" w:bidi="ar-SA"/>
        </w:rPr>
        <w:t xml:space="preserve">的递交</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17.1 电子投标文件的递交</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投标人应当按照《操作手册》规定，在投标截止时间前制作并上传电子投标文件。</w:t>
      </w:r>
      <w:bookmarkStart w:id="119" w:name="_Toc16938542"/>
      <w:r/>
      <w:bookmarkEnd w:id="119"/>
      <w:r/>
      <w:bookmarkStart w:id="120" w:name="_Toc20823298"/>
      <w:r/>
      <w:bookmarkEnd w:id="120"/>
      <w:r/>
      <w:bookmarkStart w:id="121" w:name="_Toc513029226"/>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18、投标截止时间</w:t>
      </w:r>
      <w:r/>
    </w:p>
    <w:p>
      <w:pPr>
        <w:pStyle w:val="892"/>
        <w:ind w:firstLine="480"/>
        <w:jc w:val="both"/>
        <w:spacing w:beforeAutospacing="0" w:afterAutospacing="0" w:line="360" w:lineRule="auto"/>
        <w:rPr>
          <w:rFonts w:hint="eastAsia" w:asciiTheme="minorEastAsia" w:hAnsiTheme="minorEastAsia" w:eastAsiaTheme="minorEastAsia" w:cstheme="minorEastAsia"/>
          <w:b/>
          <w:bCs/>
          <w:i/>
          <w:iCs/>
          <w:color w:val="auto"/>
          <w:sz w:val="24"/>
          <w:szCs w:val="24"/>
          <w:highlight w:val="none"/>
          <w:u w:val="single"/>
          <w:lang w:val="en-US" w:eastAsia="zh-CN" w:bidi="ar-SA"/>
        </w:rPr>
      </w:pPr>
      <w:r>
        <w:rPr>
          <w:rFonts w:hint="eastAsia" w:asciiTheme="minorEastAsia" w:hAnsiTheme="minorEastAsia" w:eastAsiaTheme="minorEastAsia" w:cstheme="minorEastAsia"/>
          <w:b/>
          <w:bCs/>
          <w:i/>
          <w:iCs/>
          <w:color w:val="auto"/>
          <w:sz w:val="24"/>
          <w:szCs w:val="24"/>
          <w:highlight w:val="none"/>
          <w:u w:val="single"/>
          <w:lang w:val="en-US" w:eastAsia="zh-CN" w:bidi="ar-SA"/>
        </w:rPr>
        <w:t xml:space="preserve">18.1投标人上传电子投标文件的时间不得迟于招标公告中规定的投标截止时间。</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投标人应</w:t>
      </w:r>
      <w:r>
        <w:rPr>
          <w:rFonts w:hint="eastAsia" w:asciiTheme="minorEastAsia" w:hAnsiTheme="minorEastAsia" w:cstheme="minorEastAsia"/>
          <w:color w:val="auto"/>
          <w:sz w:val="24"/>
          <w:szCs w:val="24"/>
          <w:highlight w:val="none"/>
          <w:lang w:val="en-US" w:eastAsia="zh-CN" w:bidi="ar-SA"/>
        </w:rPr>
        <w:t xml:space="preserve">充分考虑</w:t>
      </w:r>
      <w:r>
        <w:rPr>
          <w:rFonts w:hint="eastAsia" w:asciiTheme="minorEastAsia" w:hAnsiTheme="minorEastAsia" w:eastAsiaTheme="minorEastAsia" w:cstheme="minorEastAsia"/>
          <w:color w:val="auto"/>
          <w:sz w:val="24"/>
          <w:szCs w:val="24"/>
          <w:highlight w:val="none"/>
          <w:lang w:val="en-US" w:eastAsia="zh-CN" w:bidi="ar-SA"/>
        </w:rPr>
        <w:t xml:space="preserve">网络环境、网络带宽等风险因素，如因投标人自身原因造成的电子投标文件上传不成功的按照本招标文件第二章第26.1.2条 规定做无效投标处理。</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18.2采购人可以按照规定，通过修改招标文件酌情延长投标截止时间，在此情况下，投标人的所有权利和义务以及投标人受制的截止时间均应以延长后新的截止时间为准。</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22" w:name="_Toc16938543"/>
      <w:r/>
      <w:bookmarkStart w:id="123" w:name="_Toc513029227"/>
      <w:r/>
      <w:bookmarkStart w:id="124" w:name="_Toc20823299"/>
      <w:r>
        <w:rPr>
          <w:rFonts w:hint="eastAsia" w:asciiTheme="minorEastAsia" w:hAnsiTheme="minorEastAsia" w:eastAsiaTheme="minorEastAsia" w:cstheme="minorEastAsia"/>
          <w:b/>
          <w:bCs/>
          <w:color w:val="000000"/>
          <w:sz w:val="28"/>
          <w:szCs w:val="28"/>
          <w:lang w:val="en-US" w:eastAsia="zh-CN" w:bidi="ar-SA"/>
        </w:rPr>
        <w:t xml:space="preserve">19、投标文件</w:t>
      </w:r>
      <w:bookmarkEnd w:id="122"/>
      <w:r/>
      <w:bookmarkEnd w:id="123"/>
      <w:r/>
      <w:bookmarkEnd w:id="124"/>
      <w:r>
        <w:rPr>
          <w:rFonts w:hint="eastAsia" w:asciiTheme="minorEastAsia" w:hAnsiTheme="minorEastAsia" w:eastAsiaTheme="minorEastAsia" w:cstheme="minorEastAsia"/>
          <w:b/>
          <w:bCs/>
          <w:color w:val="000000"/>
          <w:sz w:val="28"/>
          <w:szCs w:val="28"/>
          <w:lang w:val="en-US" w:eastAsia="zh-CN" w:bidi="ar-SA"/>
        </w:rPr>
        <w:t xml:space="preserve">的拒收</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19.1采购代理机构拒绝接收在其规定的投标截止时间后上传的任何投标文件。</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auto"/>
          <w:sz w:val="28"/>
          <w:szCs w:val="28"/>
          <w:highlight w:val="none"/>
          <w:lang w:val="en-US" w:eastAsia="zh-CN" w:bidi="ar-SA"/>
        </w:rPr>
      </w:pPr>
      <w:r/>
      <w:bookmarkStart w:id="125" w:name="_Toc513029228"/>
      <w:r/>
      <w:bookmarkStart w:id="126" w:name="_Toc16938544"/>
      <w:r/>
      <w:bookmarkStart w:id="127" w:name="_Toc20823300"/>
      <w:r>
        <w:rPr>
          <w:rFonts w:hint="eastAsia" w:asciiTheme="minorEastAsia" w:hAnsiTheme="minorEastAsia" w:eastAsiaTheme="minorEastAsia" w:cstheme="minorEastAsia"/>
          <w:b/>
          <w:bCs/>
          <w:color w:val="auto"/>
          <w:sz w:val="28"/>
          <w:szCs w:val="28"/>
          <w:highlight w:val="none"/>
          <w:lang w:val="en-US" w:eastAsia="zh-CN" w:bidi="ar-SA"/>
        </w:rPr>
        <w:t xml:space="preserve">20、投标文件的撤回和修改</w:t>
      </w:r>
      <w:bookmarkEnd w:id="125"/>
      <w:r/>
      <w:bookmarkEnd w:id="126"/>
      <w:r/>
      <w:bookmarkEnd w:id="127"/>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20.1投标文件的撤回</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21.1.1电子投标文件的撤回</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21.1.2投标人撤回电子投标文件，则认为其不再参与本项目投标活动。</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20.2 投标文件的修改</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89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892"/>
        <w:ind w:firstLine="482"/>
        <w:jc w:val="both"/>
        <w:keepLines/>
        <w:keepNext/>
        <w:spacing w:before="145" w:beforeAutospacing="0" w:after="145" w:afterAutospacing="0" w:line="360" w:lineRule="auto"/>
      </w:pPr>
      <w:r/>
      <w:bookmarkStart w:id="128" w:name="_Toc120614218"/>
      <w:r/>
      <w:bookmarkStart w:id="129" w:name="_Toc16938545"/>
      <w:r/>
      <w:bookmarkStart w:id="130" w:name="_Toc20823301"/>
      <w:r/>
      <w:bookmarkStart w:id="131" w:name="_Toc513029229"/>
      <w:r>
        <w:rPr>
          <w:rFonts w:ascii="Times New Roman" w:hAnsi="Times New Roman"/>
          <w:b/>
          <w:color w:val="000000"/>
          <w:sz w:val="32"/>
          <w:szCs w:val="32"/>
        </w:rPr>
        <w:t xml:space="preserve">五、开标与评标</w:t>
      </w:r>
      <w:bookmarkEnd w:id="128"/>
      <w:r/>
      <w:bookmarkEnd w:id="129"/>
      <w:r/>
      <w:bookmarkEnd w:id="130"/>
      <w:r/>
      <w:bookmarkEnd w:id="131"/>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32" w:name="_Toc16938546"/>
      <w:r/>
      <w:bookmarkStart w:id="133" w:name="_Toc513029230"/>
      <w:r/>
      <w:bookmarkStart w:id="134" w:name="_Toc20823302"/>
      <w:r>
        <w:rPr>
          <w:rFonts w:hint="eastAsia" w:asciiTheme="minorEastAsia" w:hAnsiTheme="minorEastAsia" w:eastAsiaTheme="minorEastAsia" w:cstheme="minorEastAsia"/>
          <w:b/>
          <w:bCs/>
          <w:color w:val="000000"/>
          <w:sz w:val="28"/>
          <w:szCs w:val="28"/>
          <w:lang w:val="en-US" w:eastAsia="zh-CN" w:bidi="ar-SA"/>
        </w:rPr>
        <w:t xml:space="preserve">21、开标</w:t>
      </w:r>
      <w:bookmarkEnd w:id="132"/>
      <w:r/>
      <w:bookmarkEnd w:id="133"/>
      <w:r/>
      <w:bookmarkEnd w:id="134"/>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21.1</w:t>
      </w:r>
      <w:r>
        <w:rPr>
          <w:rFonts w:hint="eastAsia" w:asciiTheme="minorEastAsia" w:hAnsiTheme="minorEastAsia" w:eastAsiaTheme="minorEastAsia" w:cstheme="minorEastAsia"/>
          <w:bCs/>
          <w:sz w:val="24"/>
        </w:rPr>
        <w:t xml:space="preserve">采购代理机构</w:t>
      </w:r>
      <w:r>
        <w:rPr>
          <w:rFonts w:hint="eastAsia" w:asciiTheme="minorEastAsia" w:hAnsiTheme="minorEastAsia" w:eastAsiaTheme="minorEastAsia" w:cstheme="minorEastAsia"/>
          <w:color w:val="auto"/>
        </w:rPr>
        <w:t xml:space="preserve">将在招标公告中规定的时间和地点组织公开开标。投标人应当按照《操作手册》规定，参加开标活动和在苏采云系统规定的时间内对投标文件进行解密。</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21.2开标仪式由</w:t>
      </w:r>
      <w:r>
        <w:rPr>
          <w:rFonts w:hint="eastAsia" w:asciiTheme="minorEastAsia" w:hAnsiTheme="minorEastAsia" w:eastAsiaTheme="minorEastAsia" w:cstheme="minorEastAsia"/>
          <w:bCs/>
          <w:sz w:val="24"/>
        </w:rPr>
        <w:t xml:space="preserve">采购代理机构组织</w:t>
      </w:r>
      <w:r>
        <w:rPr>
          <w:rFonts w:hint="eastAsia" w:asciiTheme="minorEastAsia" w:hAnsiTheme="minorEastAsia" w:eastAsiaTheme="minorEastAsia" w:cstheme="minorEastAsia"/>
          <w:color w:val="auto"/>
        </w:rPr>
        <w:t xml:space="preserve">。苏采云系统将自动对项目进行开标，并宣布各投标人名称和投标价格。</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21.3投标人在开标过程中涉及到的投标文件解密、开标结果确认等工作，应按照《操作手册》规定执行。</w:t>
      </w:r>
      <w:r/>
    </w:p>
    <w:p>
      <w:pPr>
        <w:pStyle w:val="892"/>
        <w:ind w:firstLine="48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21.4投标人如果对开标过程和开标记录有疑义，应当根据《操作手册》规定提出，如苏采云系统中《开标记录表》宣布后5分钟内未提出的，视同认可开标结果。</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35" w:name="_Toc20823303"/>
      <w:r/>
      <w:bookmarkStart w:id="136" w:name="_Toc16938547"/>
      <w:r/>
      <w:bookmarkStart w:id="137" w:name="_Toc513029231"/>
      <w:r>
        <w:rPr>
          <w:rFonts w:hint="eastAsia" w:asciiTheme="minorEastAsia" w:hAnsiTheme="minorEastAsia" w:eastAsiaTheme="minorEastAsia" w:cstheme="minorEastAsia"/>
          <w:b/>
          <w:bCs/>
          <w:color w:val="000000"/>
          <w:sz w:val="28"/>
          <w:szCs w:val="28"/>
          <w:lang w:val="en-US" w:eastAsia="zh-CN" w:bidi="ar-SA"/>
        </w:rPr>
        <w:t xml:space="preserve">22、评标委员会</w:t>
      </w:r>
      <w:bookmarkEnd w:id="135"/>
      <w:r/>
      <w:bookmarkEnd w:id="136"/>
      <w:r/>
      <w:bookmarkEnd w:id="137"/>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宋体" w:hAnsi="宋体" w:eastAsia="宋体" w:cs="宋体"/>
          <w:b/>
          <w:color w:val="000000"/>
        </w:rPr>
        <w:t xml:space="preserve">  </w:t>
      </w:r>
      <w:r>
        <w:rPr>
          <w:rFonts w:hint="eastAsia" w:asciiTheme="minorEastAsia" w:hAnsiTheme="minorEastAsia" w:eastAsiaTheme="minorEastAsia" w:cstheme="minorEastAsia"/>
          <w:color w:val="auto"/>
        </w:rPr>
        <w:t xml:space="preserve">22.1开标后，</w:t>
      </w:r>
      <w:r>
        <w:rPr>
          <w:rFonts w:hint="eastAsia"/>
        </w:rPr>
        <w:t xml:space="preserve">采购代理机构</w:t>
      </w:r>
      <w:r>
        <w:rPr>
          <w:rFonts w:hint="eastAsia" w:asciiTheme="minorEastAsia" w:hAnsiTheme="minorEastAsia" w:eastAsiaTheme="minorEastAsia" w:cstheme="minorEastAsia"/>
          <w:color w:val="auto"/>
        </w:rPr>
        <w:t xml:space="preserve">将立即组织评标委员会（以下简称评委会）进行评标。</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22.2评委会由采购人代表和有关技术、经济等方面的专家组成，且人员构成符合政府采购有关规定。</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22.3评委会独立工作，负责评审所有投标文件并确定中标</w:t>
      </w:r>
      <w:r>
        <w:rPr>
          <w:rFonts w:hint="eastAsia" w:asciiTheme="minorEastAsia" w:hAnsiTheme="minorEastAsia" w:cstheme="minorEastAsia"/>
          <w:color w:val="auto"/>
          <w:lang w:eastAsia="zh-CN"/>
        </w:rPr>
        <w:t xml:space="preserve">候</w:t>
      </w:r>
      <w:r>
        <w:rPr>
          <w:rFonts w:hint="eastAsia" w:asciiTheme="minorEastAsia" w:hAnsiTheme="minorEastAsia" w:eastAsiaTheme="minorEastAsia" w:cstheme="minorEastAsia"/>
          <w:color w:val="auto"/>
        </w:rPr>
        <w:t xml:space="preserve">选人。</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23、评标过程的保密与公正</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23.1凡是与审查、澄清、评价和比较投标的有关资料以及授标建议等，采购人、评委、采购代理机构均不得向投标人或与评标无关的其他人员透露。</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23.2在评标过程中，投标人不得以任何行为影响评标过程，否则其投标文件将被作为无效投标文件。</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23.3采购</w:t>
      </w:r>
      <w:r>
        <w:rPr>
          <w:rFonts w:hint="eastAsia" w:asciiTheme="minorEastAsia" w:hAnsiTheme="minorEastAsia" w:eastAsiaTheme="minorEastAsia" w:cstheme="minorEastAsia"/>
          <w:color w:val="auto"/>
          <w:lang w:val="en-US" w:eastAsia="zh-CN"/>
        </w:rPr>
        <w:t xml:space="preserve">代理机构</w:t>
      </w:r>
      <w:r>
        <w:rPr>
          <w:rFonts w:hint="eastAsia" w:asciiTheme="minorEastAsia" w:hAnsiTheme="minorEastAsia" w:eastAsiaTheme="minorEastAsia" w:cstheme="minorEastAsia"/>
          <w:color w:val="auto"/>
        </w:rPr>
        <w:t xml:space="preserve">和评标委员会不向未中标的投标人解释未中标原因，也不公布评标过程中的相关细节。</w:t>
      </w:r>
      <w:r/>
    </w:p>
    <w:p>
      <w:pPr>
        <w:pStyle w:val="892"/>
        <w:ind w:firstLine="360"/>
        <w:jc w:val="both"/>
        <w:spacing w:beforeAutospacing="0" w:afterAutospacing="0" w:line="360" w:lineRule="auto"/>
      </w:pPr>
      <w:r>
        <w:rPr>
          <w:rFonts w:hint="eastAsia" w:asciiTheme="minorEastAsia" w:hAnsiTheme="minorEastAsia" w:eastAsiaTheme="minorEastAsia" w:cstheme="minorEastAsia"/>
          <w:color w:val="auto"/>
        </w:rPr>
        <w:t xml:space="preserve">23.4采用综合评分法的项目，未中标的投标人可于中标结果公告期限届满之日起通过苏采云系统查看自己的评审得分及排序情况。</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38" w:name="_Toc16938548"/>
      <w:r/>
      <w:bookmarkStart w:id="139" w:name="_Toc513029232"/>
      <w:r/>
      <w:bookmarkStart w:id="140" w:name="_Toc20823304"/>
      <w:r>
        <w:rPr>
          <w:rFonts w:hint="eastAsia" w:asciiTheme="minorEastAsia" w:hAnsiTheme="minorEastAsia" w:eastAsiaTheme="minorEastAsia" w:cstheme="minorEastAsia"/>
          <w:b/>
          <w:bCs/>
          <w:color w:val="000000"/>
          <w:sz w:val="28"/>
          <w:szCs w:val="28"/>
          <w:lang w:val="en-US" w:eastAsia="zh-CN" w:bidi="ar-SA"/>
        </w:rPr>
        <w:t xml:space="preserve">24、投标文件的澄清</w:t>
      </w:r>
      <w:bookmarkEnd w:id="138"/>
      <w:r/>
      <w:bookmarkEnd w:id="139"/>
      <w:r/>
      <w:bookmarkEnd w:id="140"/>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24.1评标期间，评委会对投标文件中含义不明确、同类问题表述不一致或者有明显文字和计算错误的内容 ，有权要求投标人作出必要的澄清、说明或者补正。</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投标人的澄清、说明或者补正不得超出投标文件的范围或者改变投标文件的实质性内容。</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评标委员会并非对每个投标人都做澄清要求。</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24.3接到评委会澄清、说明和补正要求的投标人如未按规定做出澄清、说明和补正，其风险由投标人自行承担。</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41" w:name="_Toc16938549"/>
      <w:r/>
      <w:bookmarkStart w:id="142" w:name="_Toc20823305"/>
      <w:r/>
      <w:bookmarkStart w:id="143" w:name="_Toc513029233"/>
      <w:r>
        <w:rPr>
          <w:rFonts w:hint="eastAsia" w:asciiTheme="minorEastAsia" w:hAnsiTheme="minorEastAsia" w:eastAsiaTheme="minorEastAsia" w:cstheme="minorEastAsia"/>
          <w:b/>
          <w:bCs/>
          <w:color w:val="000000"/>
          <w:sz w:val="28"/>
          <w:szCs w:val="28"/>
          <w:lang w:val="en-US" w:eastAsia="zh-CN" w:bidi="ar-SA"/>
        </w:rPr>
        <w:t xml:space="preserve">25、对投标文件的初审</w:t>
      </w:r>
      <w:bookmarkEnd w:id="141"/>
      <w:r/>
      <w:bookmarkEnd w:id="142"/>
      <w:r/>
      <w:bookmarkEnd w:id="143"/>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25.1投标文件初审分为资格审查和符合性审查。</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25.1.1资格审查：依据法律法规和招标文件的规定，由采购人对投标文件中的资格证明文件进行审查。资格审查的结论，采购人以书面形式向评委会进行反馈。</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采购人在进行资格性审查的同时，将在“信用中国”网站（www.creditchina.gov.cn）查询投标人的信用记录，以确定投标人是否具备投标资格,查询结果留存并归档。</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25.1.2符合性审查：依据招标文件的规定，由评委会从投标文件的有效性、完整性和对招标文件的响应程度进行审查，以确定是否对招标文件的实质性要求作出响应。</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25.1.3未通过资格审查或符合性审查的投标人，</w:t>
      </w:r>
      <w:r>
        <w:rPr>
          <w:rFonts w:hint="eastAsia" w:ascii="宋体" w:hAnsi="宋体"/>
          <w:bCs/>
          <w:sz w:val="24"/>
        </w:rPr>
        <w:t xml:space="preserve">采购代理机构</w:t>
      </w:r>
      <w:r>
        <w:rPr>
          <w:rFonts w:hint="eastAsia" w:asciiTheme="minorEastAsia" w:hAnsiTheme="minorEastAsia" w:eastAsiaTheme="minorEastAsia" w:cstheme="minorEastAsia"/>
          <w:color w:val="auto"/>
        </w:rPr>
        <w:t xml:space="preserve">将在苏采云系统中告知未通过资格审查或符合性审查的原因，评标结束后，</w:t>
      </w:r>
      <w:r>
        <w:rPr>
          <w:rFonts w:hint="eastAsia" w:ascii="宋体" w:hAnsi="宋体"/>
          <w:bCs/>
          <w:sz w:val="24"/>
        </w:rPr>
        <w:t xml:space="preserve">采购代理机构</w:t>
      </w:r>
      <w:r>
        <w:rPr>
          <w:rFonts w:hint="eastAsia" w:asciiTheme="minorEastAsia" w:hAnsiTheme="minorEastAsia" w:eastAsiaTheme="minorEastAsia" w:cstheme="minorEastAsia"/>
          <w:color w:val="auto"/>
        </w:rPr>
        <w:t xml:space="preserve">将不再告知未通过资格审查和符合性审查的原因。</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25.3如果投标文件实质上没有响应招标文件的要求，评委会将予以拒绝，投标人不得通过修改或撤销不合要求的偏离或保留而使其投标成为实质性响应的投标。</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25.4评委会将对确定为实质性响应的投标进行进一步审核，确定其是否有计算上或累加上的算术错误，修正错误的原则如下：</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（1）投标文件中开标一览表内容与投标文件中相应内容不一致的，以开标一览表为准。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（2）大写金额和小写金额不一致的，以大写金额为准。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（3）单价金额小数点或者百分比有明显错位的，以开标一览表的总价为准，并修改单价。</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（4）总价金额与按单价汇总金额不一致的，以单价金额计算结果为准。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同时出现两种以上错误的，按照前款规定的顺序修正。</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bookmarkStart w:id="144" w:name="_Toc513029234"/>
      <w:r/>
      <w:bookmarkStart w:id="145" w:name="_Toc20823306"/>
      <w:r/>
      <w:bookmarkStart w:id="146" w:name="_Toc16938550"/>
      <w:r>
        <w:rPr>
          <w:rFonts w:hint="eastAsia" w:asciiTheme="minorEastAsia" w:hAnsiTheme="minorEastAsia" w:eastAsiaTheme="minorEastAsia" w:cstheme="minorEastAsia"/>
          <w:color w:val="auto"/>
        </w:rPr>
        <w:t xml:space="preserve">25.6投标人在开、评标全过程中应保持通讯畅通，及时登录苏采云系统查阅、答复相关信息，并安排专人与采购中心及评标委员会联系。</w:t>
      </w:r>
      <w:bookmarkEnd w:id="144"/>
      <w:r/>
      <w:bookmarkEnd w:id="145"/>
      <w:r/>
      <w:bookmarkEnd w:id="146"/>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26、无效投标条款和废标条款</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bookmarkStart w:id="147" w:name="_Toc513029235"/>
      <w:r/>
      <w:bookmarkStart w:id="148" w:name="_Toc16938551"/>
      <w:r/>
      <w:bookmarkStart w:id="149" w:name="_Toc20823307"/>
      <w:r>
        <w:rPr>
          <w:rFonts w:hint="eastAsia" w:asciiTheme="minorEastAsia" w:hAnsiTheme="minorEastAsia" w:eastAsiaTheme="minorEastAsia" w:cstheme="minorEastAsia"/>
          <w:color w:val="auto"/>
        </w:rPr>
        <w:t xml:space="preserve">26.1无效投标条款</w:t>
      </w:r>
      <w:bookmarkEnd w:id="147"/>
      <w:r/>
      <w:bookmarkEnd w:id="148"/>
      <w:r/>
      <w:bookmarkEnd w:id="149"/>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26.1.1投标人在苏采云系统规定的时间内未成功解密电子投标文件的。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26.1.2投标人未按照招标文件要求上传电子投标文件的。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26.1.3同一投标人提交两个（含两个）以上不同的投标报价的。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26.1.4投标人不具备招标文件中规定资格要求的。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26.1.5投标人的报价超过了采购预算或最高限价的。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26.1.6未通过符合性审查的。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26.1.7不符合招标文件中规定的实质性要求和条件的（本招标文件中斜体且有下划线部分为实质性要求和条件）。</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26.1.9投标文件含有采购人不能接受的附加条件的。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26.1.11投标文件未按照招标文件要求加盖CA电子公章的。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26.1.12其他</w:t>
      </w:r>
      <w:r>
        <w:rPr>
          <w:rFonts w:hint="eastAsia" w:asciiTheme="minorEastAsia" w:hAnsiTheme="minorEastAsia" w:cstheme="minorEastAsia"/>
          <w:color w:val="auto"/>
          <w:lang w:eastAsia="zh-CN"/>
        </w:rPr>
        <w:t xml:space="preserve">法律法规</w:t>
      </w:r>
      <w:r>
        <w:rPr>
          <w:rFonts w:hint="eastAsia" w:asciiTheme="minorEastAsia" w:hAnsiTheme="minorEastAsia" w:eastAsiaTheme="minorEastAsia" w:cstheme="minorEastAsia"/>
          <w:color w:val="auto"/>
        </w:rPr>
        <w:t xml:space="preserve">及本招标文件规定的属无效投标的情形。</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26.2废标条款</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26.2.1符合专业条件的供应商或者对招标文件作实质响应的供应商不足三家的。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26.2.2出现影响采购公正的违法、违规行为的。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26.2.3因重大变故，采购任务取消的。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26.2.4评标委员会认定招标文件存在歧义、重大缺陷导致评审工作无法进行。</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26.2.5因苏采云系统系统故障原因造成开标不成功的。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26.3 投标截止时间结束后参加投标的供应商不足三家的处理：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26.3.1如出现投标截止时间结束后参加投标的供应商或者在评标期间对招标文件做出实质响应的供应商不足三家情况，按政府采购相关规定执行。</w:t>
      </w:r>
      <w:r/>
    </w:p>
    <w:p>
      <w:pPr>
        <w:pStyle w:val="892"/>
        <w:ind w:firstLine="482"/>
        <w:jc w:val="both"/>
        <w:keepLines/>
        <w:keepNext/>
        <w:spacing w:before="145" w:beforeAutospacing="0" w:after="145" w:afterAutospacing="0" w:line="360" w:lineRule="auto"/>
      </w:pPr>
      <w:r/>
      <w:bookmarkStart w:id="150" w:name="_Toc120614219"/>
      <w:r>
        <w:rPr>
          <w:rFonts w:ascii="Times New Roman" w:hAnsi="Times New Roman"/>
          <w:b/>
          <w:color w:val="000000"/>
          <w:sz w:val="32"/>
          <w:szCs w:val="32"/>
        </w:rPr>
        <w:t xml:space="preserve">六、定标</w:t>
      </w:r>
      <w:bookmarkEnd w:id="150"/>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51" w:name="_Toc20823310"/>
      <w:r/>
      <w:bookmarkStart w:id="152" w:name="_Toc513029238"/>
      <w:r/>
      <w:bookmarkStart w:id="153" w:name="_Toc16938554"/>
      <w:r>
        <w:rPr>
          <w:rFonts w:hint="eastAsia" w:asciiTheme="minorEastAsia" w:hAnsiTheme="minorEastAsia" w:eastAsiaTheme="minorEastAsia" w:cstheme="minorEastAsia"/>
          <w:b/>
          <w:bCs/>
          <w:color w:val="000000"/>
          <w:sz w:val="28"/>
          <w:szCs w:val="28"/>
          <w:lang w:val="en-US" w:eastAsia="zh-CN" w:bidi="ar-SA"/>
        </w:rPr>
        <w:t xml:space="preserve">27、</w:t>
      </w:r>
      <w:bookmarkEnd w:id="151"/>
      <w:r>
        <w:rPr>
          <w:rFonts w:hint="eastAsia" w:asciiTheme="minorEastAsia" w:hAnsiTheme="minorEastAsia" w:eastAsiaTheme="minorEastAsia" w:cstheme="minorEastAsia"/>
          <w:b/>
          <w:bCs/>
          <w:color w:val="000000"/>
          <w:sz w:val="28"/>
          <w:szCs w:val="28"/>
          <w:lang w:val="en-US" w:eastAsia="zh-CN" w:bidi="ar-SA"/>
        </w:rPr>
        <w:t xml:space="preserve">确定</w:t>
      </w:r>
      <w:bookmarkEnd w:id="152"/>
      <w:r/>
      <w:bookmarkEnd w:id="153"/>
      <w:r>
        <w:rPr>
          <w:rFonts w:hint="eastAsia" w:asciiTheme="minorEastAsia" w:hAnsiTheme="minorEastAsia" w:eastAsiaTheme="minorEastAsia" w:cstheme="minorEastAsia"/>
          <w:b/>
          <w:bCs/>
          <w:color w:val="000000"/>
          <w:sz w:val="28"/>
          <w:szCs w:val="28"/>
          <w:lang w:val="en-US" w:eastAsia="zh-CN" w:bidi="ar-SA"/>
        </w:rPr>
        <w:t xml:space="preserve">中标单位</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27.1中标候选人的选取原则和数量见招标文件第五章规定。 </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27.2采购人应根据评委会推荐的中标候选人确定中标人。</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27.3采购中心将在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Theme="minorEastAsia" w:hAnsiTheme="minorEastAsia" w:eastAsiaTheme="minorEastAsia" w:cstheme="minorEastAsia"/>
          <w:color w:val="auto"/>
        </w:rPr>
        <w:t xml:space="preserve">“江苏政府采购网”、“盐城市政府采购网”发布中标公告，公告期限为1个工作日。</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27.4若有充分证据证明，中标人出现下列情况之一的，一经查实，将被取消中标资格：</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27.4.1提供虚假材料谋取中标的。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27.4.2向采购人行贿或者提供其他不正当利益的。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27.4.3属于本文件规定的无效条件，但在评标过程中又未被评委会发现的。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27.4.4与采购人或者其他供应商恶意串通的。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27.4.5采取不正当手段诋毁、排挤其他供应商的。</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bookmarkStart w:id="154" w:name="_Toc200451960"/>
      <w:r>
        <w:rPr>
          <w:rFonts w:hint="eastAsia" w:asciiTheme="minorEastAsia" w:hAnsiTheme="minorEastAsia" w:eastAsiaTheme="minorEastAsia" w:cstheme="minorEastAsia"/>
          <w:color w:val="auto"/>
        </w:rPr>
        <w:t xml:space="preserve">27.5 有下列情形之一的，视为投标人串通投标，投标无效：</w:t>
      </w:r>
      <w:bookmarkEnd w:id="154"/>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27.5.1不同投标人的投标文件由同一单位或者个人编制。</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27.5.2不同投标人委托同一单位或者个人办理投标事宜。</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27.5.3不同投标人的投标文件载明的项目管理成员或者联系人员为同一人。</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27.5.4不同投标人的投标文件异常一致或者投标报价呈规律性差异。</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28、质疑处理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28.1提出质疑的供应商应当是参与所质疑项目采购活动的供应商。潜在供应商依法获取其可质疑的采购文件的，可以对采购文件提出质疑。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Theme="minorEastAsia" w:hAnsiTheme="minorEastAsia" w:cstheme="minorEastAsia"/>
          <w:color w:val="auto"/>
          <w:lang w:val="en-US" w:eastAsia="zh-CN"/>
        </w:rPr>
        <w:t xml:space="preserve">人</w:t>
      </w:r>
      <w:r>
        <w:rPr>
          <w:rFonts w:hint="eastAsia" w:asciiTheme="minorEastAsia" w:hAnsiTheme="minorEastAsia" w:eastAsiaTheme="minorEastAsia" w:cstheme="minorEastAsia"/>
          <w:color w:val="auto"/>
        </w:rPr>
        <w:t xml:space="preserve">或</w:t>
      </w:r>
      <w:r>
        <w:rPr>
          <w:rFonts w:hint="eastAsia" w:ascii="宋体" w:hAnsi="宋体"/>
          <w:bCs/>
          <w:sz w:val="24"/>
        </w:rPr>
        <w:t xml:space="preserve">采购代理机构</w:t>
      </w:r>
      <w:r>
        <w:rPr>
          <w:rFonts w:hint="eastAsia" w:asciiTheme="minorEastAsia" w:hAnsiTheme="minorEastAsia" w:eastAsiaTheme="minorEastAsia" w:cstheme="minorEastAsia"/>
          <w:color w:val="auto"/>
        </w:rPr>
        <w:t xml:space="preserve">提出质疑。上述应知其权益受到损害之日，是指：</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28.2.1对可以质疑的采购文件提出质疑的，为收到采购文件之日或者采购文件公告期限届满之日；</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28.2.2对采购过程提出质疑的，为各采购程序环节结束之日；</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28.2.3对中标或者成交结果提出质疑的，为中标或者成交结果公告期限届满之日。</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color w:val="auto"/>
          <w:lang w:val="en-US" w:eastAsia="zh-CN"/>
        </w:rPr>
        <w:t xml:space="preserve">人</w:t>
      </w:r>
      <w:r>
        <w:rPr>
          <w:rFonts w:hint="eastAsia" w:asciiTheme="minorEastAsia" w:hAnsiTheme="minorEastAsia" w:eastAsiaTheme="minorEastAsia" w:cstheme="minorEastAsia"/>
          <w:color w:val="auto"/>
        </w:rPr>
        <w:t xml:space="preserve">、</w:t>
      </w:r>
      <w:r>
        <w:rPr>
          <w:rFonts w:hint="eastAsia" w:ascii="宋体" w:hAnsi="宋体"/>
          <w:bCs/>
          <w:sz w:val="24"/>
        </w:rPr>
        <w:t xml:space="preserve">采购代理机构</w:t>
      </w:r>
      <w:r>
        <w:rPr>
          <w:rFonts w:hint="eastAsia" w:asciiTheme="minorEastAsia" w:hAnsiTheme="minorEastAsia" w:eastAsiaTheme="minorEastAsia" w:cstheme="minorEastAsia"/>
          <w:color w:val="auto"/>
        </w:rPr>
        <w:t xml:space="preserve">将只对供应商第一次质疑作出答复。</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Theme="minorEastAsia" w:hAnsiTheme="minorEastAsia" w:cstheme="minorEastAsia"/>
          <w:color w:val="auto"/>
          <w:lang w:val="en-US" w:eastAsia="zh-CN"/>
        </w:rPr>
        <w:t xml:space="preserve">人</w:t>
      </w:r>
      <w:r>
        <w:rPr>
          <w:rFonts w:hint="eastAsia" w:asciiTheme="minorEastAsia" w:hAnsiTheme="minorEastAsia" w:eastAsiaTheme="minorEastAsia" w:cstheme="minorEastAsia"/>
          <w:color w:val="auto"/>
        </w:rPr>
        <w:t xml:space="preserve">提出，由采购</w:t>
      </w:r>
      <w:r>
        <w:rPr>
          <w:rFonts w:hint="eastAsia" w:asciiTheme="minorEastAsia" w:hAnsiTheme="minorEastAsia" w:cstheme="minorEastAsia"/>
          <w:color w:val="auto"/>
          <w:lang w:val="en-US" w:eastAsia="zh-CN"/>
        </w:rPr>
        <w:t xml:space="preserve">人</w:t>
      </w:r>
      <w:r>
        <w:rPr>
          <w:rFonts w:hint="eastAsia" w:asciiTheme="minorEastAsia" w:hAnsiTheme="minorEastAsia" w:eastAsiaTheme="minorEastAsia" w:cstheme="minorEastAsia"/>
          <w:color w:val="auto"/>
        </w:rPr>
        <w:t xml:space="preserve">负责答复。</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采购</w:t>
      </w:r>
      <w:r>
        <w:rPr>
          <w:rFonts w:hint="eastAsia" w:asciiTheme="minorEastAsia" w:hAnsiTheme="minorEastAsia" w:cstheme="minorEastAsia"/>
          <w:color w:val="auto"/>
          <w:lang w:val="en-US" w:eastAsia="zh-CN"/>
        </w:rPr>
        <w:t xml:space="preserve">人</w:t>
      </w:r>
      <w:r>
        <w:rPr>
          <w:rFonts w:hint="eastAsia" w:ascii="宋体" w:hAnsi="宋体"/>
          <w:bCs/>
          <w:sz w:val="24"/>
        </w:rPr>
        <w:t xml:space="preserve">采购代理机构</w:t>
      </w:r>
      <w:r>
        <w:rPr>
          <w:rFonts w:hint="eastAsia" w:asciiTheme="minorEastAsia" w:hAnsiTheme="minorEastAsia" w:eastAsiaTheme="minorEastAsia" w:cstheme="minorEastAsia"/>
          <w:color w:val="auto"/>
          <w:lang w:val="en-US" w:eastAsia="zh-CN"/>
        </w:rPr>
        <w:t xml:space="preserve">只接收以纸质原件形式送达的质疑。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 以下情形的质疑不予受理</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28.5.1内容不符合《政府采购质疑和投诉办法》第十二条规定的质疑。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28.5.2超出政府采购法定期限的质疑。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28.5.3以传真、电子邮件等方式递交的非原件形式的质疑。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28.5.4未参加投标活动的供应商或在投标活动中自身权益未受到损害的供应商所提出的质疑。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28.5.5供应商组成联合体参加投标，联合体中任何一方或多方未按要求签字、盖章、加盖公章的质疑。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28.6供应商提出书面质疑必须有理、有据，不得捏造事实、提供虚假材料进行恶意质疑。否则，一经查实，</w:t>
      </w:r>
      <w:r>
        <w:rPr>
          <w:rFonts w:hint="eastAsia" w:ascii="宋体" w:hAnsi="宋体"/>
          <w:bCs/>
          <w:sz w:val="24"/>
        </w:rPr>
        <w:t xml:space="preserve">采购代理机构</w:t>
      </w:r>
      <w:r>
        <w:rPr>
          <w:rFonts w:hint="eastAsia" w:asciiTheme="minorEastAsia" w:hAnsiTheme="minorEastAsia" w:eastAsiaTheme="minorEastAsia" w:cstheme="minorEastAsia"/>
          <w:color w:val="auto"/>
        </w:rPr>
        <w:t xml:space="preserve">有权依据政府采购的有关规定，报请政府采购监管部门对该供应商进行相应的行政处罚和记录该供应商的失信信息。</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29、中标通知书</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29.l中标结果确定后，采购</w:t>
      </w:r>
      <w:r>
        <w:rPr>
          <w:rFonts w:hint="eastAsia" w:asciiTheme="minorEastAsia" w:hAnsiTheme="minorEastAsia" w:cstheme="minorEastAsia"/>
          <w:color w:val="auto"/>
          <w:lang w:val="en-US" w:eastAsia="zh-CN"/>
        </w:rPr>
        <w:t xml:space="preserve">人</w:t>
      </w:r>
      <w:r>
        <w:rPr>
          <w:rFonts w:hint="eastAsia" w:asciiTheme="minorEastAsia" w:hAnsiTheme="minorEastAsia" w:eastAsiaTheme="minorEastAsia" w:cstheme="minorEastAsia"/>
          <w:color w:val="auto"/>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29.2中标通知书将是合同的一个组成部分。对采购人和中标人均具有法律效力。中标通知书发出后，采购人改变中标结果的，或者中标人放弃中标项目的，应当依法承担法律责任。</w:t>
      </w:r>
      <w:r/>
    </w:p>
    <w:p>
      <w:pPr>
        <w:pStyle w:val="892"/>
        <w:jc w:val="both"/>
        <w:keepLines/>
        <w:keepNext/>
        <w:spacing w:before="145" w:beforeAutospacing="0" w:after="145" w:afterAutospacing="0" w:line="360" w:lineRule="auto"/>
      </w:pPr>
      <w:r/>
      <w:bookmarkStart w:id="155" w:name="_Toc120614220"/>
      <w:r/>
      <w:bookmarkStart w:id="156" w:name="_Toc20823308"/>
      <w:r/>
      <w:bookmarkStart w:id="157" w:name="_Toc16938552"/>
      <w:r/>
      <w:bookmarkStart w:id="158" w:name="_Toc513029236"/>
      <w:r>
        <w:rPr>
          <w:rFonts w:ascii="Times New Roman" w:hAnsi="Times New Roman"/>
          <w:b/>
          <w:color w:val="000000"/>
          <w:sz w:val="32"/>
          <w:szCs w:val="32"/>
        </w:rPr>
        <w:t xml:space="preserve">七、授予合同</w:t>
      </w:r>
      <w:bookmarkEnd w:id="155"/>
      <w:r/>
      <w:bookmarkEnd w:id="156"/>
      <w:r/>
      <w:bookmarkEnd w:id="157"/>
      <w:r/>
      <w:bookmarkEnd w:id="158"/>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59" w:name="_Toc16938553"/>
      <w:r/>
      <w:bookmarkStart w:id="160" w:name="_Toc20823309"/>
      <w:r/>
      <w:bookmarkStart w:id="161" w:name="_Toc513029237"/>
      <w:r>
        <w:rPr>
          <w:rFonts w:hint="eastAsia" w:asciiTheme="minorEastAsia" w:hAnsiTheme="minorEastAsia" w:eastAsiaTheme="minorEastAsia" w:cstheme="minorEastAsia"/>
          <w:b/>
          <w:bCs/>
          <w:color w:val="000000"/>
          <w:sz w:val="28"/>
          <w:szCs w:val="28"/>
          <w:lang w:val="en-US" w:eastAsia="zh-CN" w:bidi="ar-SA"/>
        </w:rPr>
        <w:t xml:space="preserve">30.签订合同</w:t>
      </w:r>
      <w:bookmarkEnd w:id="159"/>
      <w:r/>
      <w:bookmarkEnd w:id="160"/>
      <w:r/>
      <w:bookmarkEnd w:id="161"/>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30.l中标人应当在中标通知书发出之日起三十日内，按照招标文件确定的事项与采购人签订政府采购合同。</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30.2招标文件、中标人的投标文件及招标过程中有关澄清、承诺文件均应作为合同附件。</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30.3签订合同后，</w:t>
      </w:r>
      <w:r>
        <w:rPr>
          <w:rFonts w:hint="eastAsia" w:asciiTheme="minorEastAsia" w:hAnsiTheme="minorEastAsia" w:eastAsiaTheme="minorEastAsia" w:cstheme="minorEastAsia"/>
          <w:i/>
          <w:iCs/>
          <w:color w:val="auto"/>
          <w:u w:val="single"/>
        </w:rPr>
        <w:t xml:space="preserve">中标人不得将合同标的进行转包</w:t>
      </w:r>
      <w:r>
        <w:rPr>
          <w:rFonts w:hint="eastAsia" w:asciiTheme="minorEastAsia" w:hAnsiTheme="minorEastAsia" w:eastAsiaTheme="minorEastAsia" w:cstheme="minorEastAsia"/>
          <w:color w:val="auto"/>
        </w:rPr>
        <w:t xml:space="preserve">。未经采购人同意，中标人也不得采用分包的形式履行合同，否则采购人有权终止合同。转包或分包造成采购人损失的，中标人应承担相应赔偿责任。</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31、服务（包含与服务相关的货物）的追加</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Theme="minorEastAsia" w:hAnsiTheme="minorEastAsia" w:cstheme="minorEastAsia"/>
          <w:color w:val="auto"/>
          <w:lang w:eastAsia="zh-CN"/>
        </w:rPr>
        <w:t xml:space="preserve">额的</w:t>
      </w:r>
      <w:r>
        <w:rPr>
          <w:rFonts w:hint="eastAsia" w:asciiTheme="minorEastAsia" w:hAnsiTheme="minorEastAsia" w:eastAsiaTheme="minorEastAsia" w:cstheme="minorEastAsia"/>
          <w:color w:val="auto"/>
        </w:rPr>
        <w:t xml:space="preserve">10%。</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bookmarkStart w:id="162" w:name="_Toc20823314"/>
      <w:r/>
      <w:bookmarkStart w:id="163" w:name="_Toc16938558"/>
      <w:r/>
      <w:bookmarkStart w:id="164" w:name="_Toc513029242"/>
      <w:r/>
      <w:bookmarkStart w:id="165" w:name="_Toc479757207"/>
      <w:r/>
      <w:bookmarkStart w:id="166" w:name="_Toc120614221"/>
      <w:r>
        <w:rPr>
          <w:rFonts w:hint="eastAsia" w:asciiTheme="minorEastAsia" w:hAnsiTheme="minorEastAsia" w:eastAsiaTheme="minorEastAsia" w:cstheme="minorEastAsia"/>
          <w:b/>
          <w:bCs/>
          <w:color w:val="000000"/>
          <w:sz w:val="28"/>
          <w:szCs w:val="28"/>
          <w:lang w:val="en-US" w:eastAsia="zh-CN" w:bidi="ar-SA"/>
        </w:rPr>
        <w:t xml:space="preserve">32、</w:t>
      </w:r>
      <w:bookmarkEnd w:id="162"/>
      <w:r/>
      <w:bookmarkEnd w:id="163"/>
      <w:r/>
      <w:bookmarkEnd w:id="164"/>
      <w:r/>
      <w:bookmarkEnd w:id="165"/>
      <w:r/>
      <w:bookmarkEnd w:id="166"/>
      <w:r>
        <w:rPr>
          <w:rFonts w:hint="eastAsia" w:asciiTheme="minorEastAsia" w:hAnsiTheme="minorEastAsia" w:eastAsiaTheme="minorEastAsia" w:cstheme="minorEastAsia"/>
          <w:b/>
          <w:bCs/>
          <w:color w:val="000000"/>
          <w:sz w:val="28"/>
          <w:szCs w:val="28"/>
          <w:lang w:val="en-US" w:eastAsia="zh-CN" w:bidi="ar-SA"/>
        </w:rPr>
        <w:t xml:space="preserve">政府采购线上合同信用融资政策</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92"/>
        <w:ind w:firstLine="420"/>
        <w:jc w:val="both"/>
        <w:keepLines/>
        <w:keepNext/>
        <w:spacing w:beforeAutospacing="0" w:afterAutospacing="0" w:line="360" w:lineRule="auto"/>
        <w:rPr>
          <w:rFonts w:hint="eastAsia" w:asciiTheme="minorEastAsia" w:hAnsiTheme="minorEastAsia" w:eastAsiaTheme="minorEastAsia" w:cstheme="minorEastAsia"/>
          <w:b/>
          <w:bCs/>
          <w:color w:val="000000"/>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33、其他</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33.1</w:t>
      </w:r>
      <w:r>
        <w:rPr>
          <w:rFonts w:hint="eastAsia" w:asciiTheme="minorEastAsia" w:hAnsiTheme="minorEastAsia" w:eastAsiaTheme="minorEastAsia" w:cstheme="minorEastAsia"/>
          <w:color w:val="auto"/>
        </w:rPr>
        <w:t xml:space="preserve">供应商对于投标产品的商品包装、快递包装应按照《关于印发《商品包装政府采购需求标准（试行）》、《快递包装政府采购需求标准（试行）》的通知》</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财办库〔2020〕123号</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执行。</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33.2</w:t>
      </w:r>
      <w:r>
        <w:rPr>
          <w:rFonts w:hint="eastAsia" w:asciiTheme="minorEastAsia" w:hAnsiTheme="minorEastAsia" w:eastAsiaTheme="minorEastAsia" w:cstheme="minorEastAsia"/>
          <w:color w:val="auto"/>
        </w:rPr>
        <w:t xml:space="preserve">本文件中若涉及到数据中心采购，应按照《&lt;绿色数据中心政府采购需求标准（试行）&gt;的通知》（财库〔2023〕7号）执行。</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34.3 本项目落实预付款制度，预付款比例为</w:t>
      </w:r>
      <w:r>
        <w:rPr>
          <w:rFonts w:hint="eastAsia" w:asciiTheme="minorEastAsia" w:hAnsiTheme="minorEastAsia" w:cstheme="minorEastAsia"/>
          <w:color w:val="auto"/>
          <w:u w:val="single"/>
          <w:lang w:val="en-US" w:eastAsia="zh-CN"/>
        </w:rPr>
        <w:t xml:space="preserve">10</w:t>
      </w:r>
      <w:r>
        <w:rPr>
          <w:rFonts w:hint="eastAsia" w:asciiTheme="minorEastAsia" w:hAnsiTheme="minorEastAsia" w:eastAsiaTheme="minorEastAsia" w:cstheme="minorEastAsia"/>
          <w:color w:val="auto"/>
          <w:lang w:val="en-US" w:eastAsia="zh-CN"/>
        </w:rPr>
        <w:t xml:space="preserve">%。在签订合同时，中标、成交供应商明确书面表示无需预付款或者主动要求降低预付款比例的，采购人可就预付款比例</w:t>
      </w:r>
      <w:r>
        <w:rPr>
          <w:rFonts w:hint="eastAsia" w:asciiTheme="minorEastAsia" w:hAnsiTheme="minorEastAsia" w:cstheme="minorEastAsia"/>
          <w:color w:val="auto"/>
          <w:lang w:val="en-US" w:eastAsia="zh-CN"/>
        </w:rPr>
        <w:t xml:space="preserve">做</w:t>
      </w:r>
      <w:r>
        <w:rPr>
          <w:rFonts w:hint="eastAsia" w:asciiTheme="minorEastAsia" w:hAnsiTheme="minorEastAsia" w:eastAsiaTheme="minorEastAsia" w:cstheme="minorEastAsia"/>
          <w:color w:val="auto"/>
          <w:lang w:val="en-US" w:eastAsia="zh-CN"/>
        </w:rPr>
        <w:t xml:space="preserve">相应调整。</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34.4 确需收取履约保证金的，履约保证金的缴纳形式：</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如以履约保函（保险）形式缴纳履约保证金，供应商可通过政府采购电子履约保函（保险）平台（www.jsdzbh.com）在线申请履约保函（保险）。</w:t>
      </w:r>
      <w:r/>
    </w:p>
    <w:p>
      <w:pPr>
        <w:pStyle w:val="892"/>
        <w:ind w:firstLine="360"/>
        <w:jc w:val="both"/>
        <w:spacing w:beforeAutospacing="0" w:afterAutospacing="0" w:line="360" w:lineRule="auto"/>
        <w:rPr>
          <w:rFonts w:hint="eastAsia" w:asciiTheme="minorEastAsia" w:hAnsiTheme="minorEastAsia" w:eastAsiaTheme="minorEastAsia" w:cstheme="minorEastAsia"/>
          <w:color w:val="ff0000"/>
          <w:lang w:val="en-US" w:eastAsia="zh-CN"/>
        </w:rPr>
      </w:pPr>
      <w:r>
        <w:rPr>
          <w:rFonts w:hint="eastAsia" w:asciiTheme="minorEastAsia" w:hAnsiTheme="minorEastAsia" w:eastAsiaTheme="minorEastAsia" w:cstheme="minorEastAsia"/>
          <w:color w:val="auto"/>
          <w:lang w:val="en-US" w:eastAsia="zh-CN"/>
        </w:rPr>
        <w:t xml:space="preserve">本项目履约保证金为合同价的</w:t>
      </w:r>
      <w:r>
        <w:rPr>
          <w:rFonts w:hint="eastAsia" w:asciiTheme="minorEastAsia" w:hAnsiTheme="minorEastAsia" w:eastAsiaTheme="minorEastAsia" w:cstheme="minorEastAsia"/>
          <w:color w:val="auto"/>
          <w:u w:val="none"/>
          <w:lang w:val="en-US" w:eastAsia="zh-CN"/>
        </w:rPr>
        <w:t xml:space="preserve"> </w:t>
      </w:r>
      <w:r>
        <w:rPr>
          <w:rFonts w:hint="eastAsia" w:asciiTheme="minorEastAsia" w:hAnsiTheme="minorEastAsia" w:cstheme="minorEastAsia"/>
          <w:color w:val="auto"/>
          <w:u w:val="none"/>
          <w:lang w:val="en-US" w:eastAsia="zh-CN"/>
        </w:rPr>
        <w:t xml:space="preserve">10</w:t>
      </w:r>
      <w:r>
        <w:rPr>
          <w:rFonts w:hint="eastAsia" w:asciiTheme="minorEastAsia" w:hAnsiTheme="minorEastAsia" w:eastAsiaTheme="minorEastAsia" w:cstheme="minorEastAsia"/>
          <w:color w:val="auto"/>
          <w:u w:val="none"/>
          <w:lang w:val="en-US" w:eastAsia="zh-CN"/>
        </w:rPr>
        <w:t xml:space="preserve">% </w:t>
      </w:r>
      <w:r>
        <w:rPr>
          <w:rFonts w:hint="eastAsia" w:asciiTheme="minorEastAsia" w:hAnsiTheme="minorEastAsia" w:eastAsiaTheme="minorEastAsia" w:cstheme="minorEastAsia"/>
          <w:color w:val="auto"/>
          <w:lang w:val="en-US" w:eastAsia="zh-CN"/>
        </w:rPr>
        <w:t xml:space="preserve">，于本项目服务期限满后无息退还。</w:t>
      </w:r>
      <w:r/>
    </w:p>
    <w:p>
      <w:pPr>
        <w:pStyle w:val="887"/>
        <w:rPr>
          <w:rFonts w:hint="default"/>
          <w:lang w:val="en-US"/>
        </w:rPr>
      </w:pPr>
      <w:r>
        <w:rPr>
          <w:rFonts w:hint="default"/>
          <w:lang w:val="en-US"/>
        </w:rPr>
      </w:r>
      <w:r/>
    </w:p>
    <w:p>
      <w:pPr>
        <w:jc w:val="center"/>
        <w:spacing w:line="360" w:lineRule="auto"/>
        <w:rPr>
          <w:rFonts w:hint="eastAsia" w:ascii="黑体" w:hAnsi="宋体" w:eastAsia="黑体" w:cs="黑体"/>
          <w:color w:val="000000"/>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宋体" w:eastAsia="黑体" w:cs="黑体"/>
          <w:color w:val="000000"/>
          <w:sz w:val="44"/>
          <w:szCs w:val="44"/>
        </w:rPr>
      </w:r>
      <w:r/>
    </w:p>
    <w:p>
      <w:pPr>
        <w:jc w:val="center"/>
        <w:spacing w:line="360" w:lineRule="auto"/>
      </w:pPr>
      <w:r>
        <w:rPr>
          <w:rFonts w:hint="eastAsia" w:ascii="黑体" w:hAnsi="宋体" w:eastAsia="黑体" w:cs="黑体"/>
          <w:color w:val="000000"/>
          <w:sz w:val="44"/>
          <w:szCs w:val="44"/>
        </w:rPr>
        <w:t xml:space="preserve">第三章 </w:t>
      </w:r>
      <w:r>
        <w:rPr>
          <w:rFonts w:hint="eastAsia" w:ascii="黑体" w:eastAsia="黑体"/>
          <w:color w:val="000000"/>
          <w:sz w:val="44"/>
          <w:szCs w:val="44"/>
        </w:rPr>
        <w:t xml:space="preserve">合同条款及格式</w:t>
      </w:r>
      <w:r/>
    </w:p>
    <w:p>
      <w:pPr>
        <w:pStyle w:val="892"/>
        <w:ind w:firstLine="360"/>
        <w:jc w:val="both"/>
        <w:spacing w:beforeAutospacing="0" w:afterAutospacing="0"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以下为成交后签定本项目合同的通用条款，成交供应商不得提出实质性的修改，关于专用条款将由采购人与成交供应商结合本项目具体情况协商后签订。</w:t>
      </w:r>
      <w:r/>
    </w:p>
    <w:p>
      <w:pPr>
        <w:pStyle w:val="892"/>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盐城市政府采购合同（服务）</w:t>
      </w:r>
      <w:r/>
    </w:p>
    <w:p>
      <w:pPr>
        <w:pStyle w:val="892"/>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Theme="minorEastAsia" w:hAnsiTheme="minorEastAsia" w:eastAsiaTheme="minorEastAsia" w:cstheme="minorEastAsia"/>
          <w:color w:val="auto"/>
          <w:sz w:val="24"/>
          <w:szCs w:val="24"/>
          <w:highlight w:val="none"/>
          <w:lang w:val="en-US" w:eastAsia="zh-CN"/>
        </w:rPr>
        <w:t xml:space="preserve">盐城市新洋经济区河道保洁服务项目。</w:t>
      </w:r>
      <w:r/>
    </w:p>
    <w:p>
      <w:pPr>
        <w:pStyle w:val="892"/>
        <w:jc w:val="both"/>
        <w:spacing w:before="120" w:beforeAutospacing="0" w:after="120" w:afterAutospacing="0" w:line="360" w:lineRule="auto"/>
      </w:pPr>
      <w:r>
        <w:rPr>
          <w:rFonts w:hint="eastAsia" w:ascii="宋体" w:hAnsi="宋体" w:eastAsia="宋体" w:cs="宋体"/>
          <w:color w:val="000000"/>
        </w:rPr>
        <w:t xml:space="preserve">项目编号：JSZC-320902-YDYC-G2024-0001</w:t>
      </w:r>
      <w:r/>
    </w:p>
    <w:p>
      <w:pPr>
        <w:pStyle w:val="892"/>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u w:val="single"/>
          <w:lang w:val="en-US" w:eastAsia="zh-CN"/>
        </w:rPr>
        <w:t xml:space="preserve">盐城市新洋经济区管理委员会</w:t>
      </w:r>
      <w:r/>
    </w:p>
    <w:p>
      <w:pPr>
        <w:pStyle w:val="892"/>
        <w:jc w:val="both"/>
        <w:spacing w:before="120" w:beforeAutospacing="0" w:after="12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乙方：_________</w:t>
      </w:r>
      <w:r/>
    </w:p>
    <w:p>
      <w:pPr>
        <w:pStyle w:val="892"/>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b/>
          <w:color w:val="000000"/>
          <w:lang w:val="en-US" w:eastAsia="zh-CN"/>
        </w:rPr>
        <w:t xml:space="preserve"> </w:t>
      </w:r>
      <w:r>
        <w:rPr>
          <w:rFonts w:hint="eastAsia" w:ascii="宋体" w:hAnsi="宋体" w:eastAsia="宋体" w:cs="宋体"/>
          <w:color w:val="000000"/>
        </w:rPr>
        <w:t xml:space="preserve">甲、乙双方根据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盐城市政府采购（</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项目编号：JSZC-320902-YDYC-G2024-0001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盐城市新洋经济区河道保洁服务</w:t>
      </w:r>
      <w:r>
        <w:rPr>
          <w:rFonts w:hint="eastAsia" w:ascii="宋体" w:hAnsi="宋体" w:eastAsia="宋体" w:cs="宋体"/>
          <w:color w:val="000000"/>
        </w:rPr>
        <w:t xml:space="preserve">项目公开招标的结果，签署本合同。</w:t>
      </w:r>
      <w:r/>
    </w:p>
    <w:p>
      <w:pPr>
        <w:pStyle w:val="892"/>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1.1 服务名称：盐城市新洋经济区河道保洁服务项目。</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1.2服务内容：盐城市新洋经济区河道保洁服务项目，具体内容及要求详见招标文件，甲方保留对招标需求进行适当调整的权利。</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1.3项目规模：本次招标共为2个标段，一标段为：串场河以东片区河道保洁，河道长49145.2米，面积876329.8平方米；二标段为：串场河以西片区河道保洁，河道长38190.1米，面积725665.7平方米。</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 履行时间（期限）：</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河道保洁服务合同期限为三年（开始时间以签订合同日期为准）。</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质量要求：按甲方的委托服务事项和服务考核细则（考核标准）进行河道保洁服务，并承诺服务质量达到优质服务的标准。</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履行地点：甲方指定的具体地点。</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履行方式：到甲方指定地点并通过甲方审查。</w:t>
      </w:r>
      <w:r/>
    </w:p>
    <w:p>
      <w:pPr>
        <w:pStyle w:val="892"/>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2.1本合同总金额为（大写）：________________圆整（¥：___________元）人民币或其他币种。</w:t>
      </w:r>
      <w:r/>
    </w:p>
    <w:p>
      <w:pPr>
        <w:pStyle w:val="892"/>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2"/>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92"/>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92"/>
        <w:jc w:val="both"/>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rPr>
        <w:t xml:space="preserve">6.1</w:t>
      </w:r>
      <w:r>
        <w:rPr>
          <w:rFonts w:hint="eastAsia" w:asciiTheme="minorEastAsia" w:hAnsiTheme="minorEastAsia" w:eastAsiaTheme="minorEastAsia" w:cstheme="minorEastAsia"/>
          <w:sz w:val="24"/>
          <w:szCs w:val="24"/>
        </w:rPr>
        <w:t xml:space="preserve">乙方交纳人民币（大写）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圆整（¥</w:t>
      </w:r>
      <w:r>
        <w:rPr>
          <w:rFonts w:hint="eastAsia" w:asciiTheme="minorEastAsia" w:hAnsiTheme="minorEastAsia" w:eastAsiaTheme="minorEastAsia" w:cstheme="minorEastAsia"/>
          <w:sz w:val="24"/>
          <w:szCs w:val="24"/>
          <w:u w:val="single"/>
        </w:rPr>
        <w:t xml:space="preserve">         元</w:t>
      </w:r>
      <w:r>
        <w:rPr>
          <w:rFonts w:hint="eastAsia" w:asciiTheme="minorEastAsia" w:hAnsiTheme="minorEastAsia" w:eastAsiaTheme="minorEastAsia" w:cstheme="minorEastAsia"/>
          <w:sz w:val="24"/>
          <w:szCs w:val="24"/>
        </w:rPr>
        <w:t xml:space="preserve">）作为本合同的履约保证金（合同金额的</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于合同履行完毕后同合同款一起无息退还。</w:t>
      </w:r>
      <w:r/>
    </w:p>
    <w:p>
      <w:pPr>
        <w:pStyle w:val="892"/>
        <w:jc w:val="both"/>
        <w:spacing w:before="120" w:beforeAutospacing="0" w:after="120" w:afterAutospacing="0" w:line="360" w:lineRule="auto"/>
        <w:rPr>
          <w:rFonts w:hint="eastAsia" w:ascii="宋体" w:hAnsi="宋体" w:eastAsia="宋体" w:cs="宋体"/>
          <w:color w:val="auto"/>
          <w:lang w:eastAsia="zh-CN"/>
        </w:rPr>
      </w:pPr>
      <w:r>
        <w:rPr>
          <w:rFonts w:hint="eastAsia" w:ascii="宋体" w:hAnsi="宋体" w:eastAsia="宋体" w:cs="宋体"/>
          <w:color w:val="auto"/>
        </w:rPr>
        <w:t xml:space="preserve">6.</w:t>
      </w:r>
      <w:r>
        <w:rPr>
          <w:rFonts w:hint="eastAsia" w:ascii="宋体" w:hAnsi="宋体" w:eastAsia="宋体" w:cs="宋体"/>
          <w:color w:val="auto"/>
          <w:lang w:val="en-US" w:eastAsia="zh-CN"/>
        </w:rPr>
        <w:t xml:space="preserve">2确需收取履约保证金的，</w:t>
      </w:r>
      <w:r>
        <w:rPr>
          <w:rFonts w:hint="eastAsia" w:ascii="宋体" w:hAnsi="宋体" w:eastAsia="宋体" w:cs="宋体"/>
          <w:color w:val="auto"/>
          <w:lang w:eastAsia="zh-CN"/>
        </w:rPr>
        <w:t xml:space="preserve">履约保证金的缴纳形式：</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lang w:eastAsia="zh-CN"/>
        </w:rPr>
      </w:pPr>
      <w:r>
        <w:rPr>
          <w:rFonts w:hint="eastAsia" w:ascii="宋体" w:hAnsi="宋体" w:eastAsia="宋体" w:cs="宋体"/>
          <w:color w:val="auto"/>
          <w:lang w:val="en-US" w:eastAsia="zh-CN"/>
        </w:rPr>
        <w:t xml:space="preserve">6.2.1</w:t>
      </w:r>
      <w:r>
        <w:rPr>
          <w:rFonts w:hint="eastAsia" w:ascii="宋体" w:hAnsi="宋体" w:eastAsia="宋体" w:cs="宋体"/>
          <w:color w:val="auto"/>
        </w:rPr>
        <w:t xml:space="preserve">供应商应当以支票、汇票、本票或者金融机构、担保机构出具的保函等非现金形式提交</w:t>
      </w:r>
      <w:r>
        <w:rPr>
          <w:rFonts w:hint="eastAsia" w:ascii="宋体" w:hAnsi="宋体" w:eastAsia="宋体" w:cs="宋体"/>
          <w:color w:val="auto"/>
          <w:lang w:eastAsia="zh-CN"/>
        </w:rPr>
        <w:t xml:space="preserve">履约保证金</w:t>
      </w:r>
      <w:r>
        <w:rPr>
          <w:rFonts w:hint="eastAsia" w:ascii="宋体" w:hAnsi="宋体" w:eastAsia="宋体" w:cs="宋体"/>
          <w:color w:val="auto"/>
        </w:rPr>
        <w:t xml:space="preserve">。依据《关于在全省政府采购领域推行电子履约保函（保险）的通知》，鼓励供应商自愿使用</w:t>
      </w:r>
      <w:r>
        <w:rPr>
          <w:rFonts w:hint="eastAsia" w:ascii="宋体" w:hAnsi="宋体" w:eastAsia="宋体" w:cs="宋体"/>
          <w:color w:val="auto"/>
          <w:lang w:eastAsia="zh-CN"/>
        </w:rPr>
        <w:t xml:space="preserve">电子</w:t>
      </w:r>
      <w:r>
        <w:rPr>
          <w:rFonts w:hint="eastAsia" w:ascii="宋体" w:hAnsi="宋体" w:eastAsia="宋体" w:cs="宋体"/>
          <w:color w:val="auto"/>
        </w:rPr>
        <w:t xml:space="preserve">履约保函（保险）代替缴纳履约保证金</w:t>
      </w:r>
      <w:r>
        <w:rPr>
          <w:rFonts w:hint="eastAsia" w:ascii="宋体" w:hAnsi="宋体" w:eastAsia="宋体" w:cs="宋体"/>
          <w:color w:val="auto"/>
          <w:lang w:eastAsia="zh-CN"/>
        </w:rPr>
        <w:t xml:space="preserve">。</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6.2.2 如以履约保函（保险）形式缴纳履约保证金，供应商可通过政府采购电子履约保函（保险）平台（www.jsdzbh.com）在线申请履约保函（保险）。</w:t>
      </w:r>
      <w:r/>
    </w:p>
    <w:p>
      <w:pPr>
        <w:pStyle w:val="892"/>
        <w:ind w:left="408" w:hanging="408"/>
        <w:jc w:val="both"/>
        <w:spacing w:before="120" w:beforeAutospacing="0" w:after="120" w:afterAutospacing="0" w:line="360" w:lineRule="auto"/>
        <w:rPr>
          <w:color w:val="auto"/>
        </w:rPr>
      </w:pPr>
      <w:r>
        <w:rPr>
          <w:rFonts w:hint="eastAsia" w:ascii="宋体" w:hAnsi="宋体" w:eastAsia="宋体" w:cs="宋体"/>
          <w:color w:val="auto"/>
        </w:rPr>
        <w:t xml:space="preserve">6.</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合同履行结束后，甲方应及时退还交纳的履约保证金。</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92"/>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92"/>
        <w:jc w:val="both"/>
        <w:spacing w:before="145" w:beforeAutospacing="0" w:after="145" w:afterAutospacing="0" w:line="360" w:lineRule="auto"/>
      </w:pPr>
      <w:r>
        <w:rPr>
          <w:rFonts w:hint="eastAsia" w:ascii="宋体" w:hAnsi="宋体" w:eastAsia="宋体" w:cs="宋体"/>
          <w:color w:val="000000"/>
        </w:rPr>
        <w:t xml:space="preserve">7.</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乙方不得将合同标的分包给他人履行。</w:t>
      </w:r>
      <w:r/>
    </w:p>
    <w:p>
      <w:pPr>
        <w:pStyle w:val="892"/>
        <w:jc w:val="both"/>
        <w:spacing w:before="145" w:beforeAutospacing="0" w:after="145" w:afterAutospacing="0" w:line="360" w:lineRule="auto"/>
      </w:pPr>
      <w:r>
        <w:rPr>
          <w:rFonts w:hint="eastAsia" w:ascii="宋体" w:hAnsi="宋体" w:eastAsia="宋体" w:cs="宋体"/>
          <w:color w:val="000000"/>
        </w:rPr>
        <w:t xml:space="preserve">7.</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乙方如有转包或未经甲方同意的分包行为，甲方有权解除合同。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92"/>
        <w:ind w:left="480" w:hanging="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92"/>
        <w:ind w:left="480" w:hanging="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8.1.1 预付款支付时间：合同签订后</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采购人收到</w:t>
      </w:r>
      <w:r>
        <w:rPr>
          <w:rFonts w:hint="eastAsia" w:ascii="宋体" w:hAnsi="宋体" w:eastAsia="宋体" w:cs="宋体"/>
          <w:color w:val="000000"/>
          <w:lang w:eastAsia="zh-CN"/>
        </w:rPr>
        <w:t xml:space="preserve">预付款</w:t>
      </w:r>
      <w:r>
        <w:rPr>
          <w:rFonts w:hint="eastAsia" w:ascii="宋体" w:hAnsi="宋体" w:eastAsia="宋体" w:cs="宋体"/>
          <w:color w:val="000000"/>
        </w:rPr>
        <w:t xml:space="preserve">发票后10个工作日内，预付款支付比例：合同金额的</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w:t>
      </w:r>
      <w:r/>
    </w:p>
    <w:p>
      <w:pPr>
        <w:pStyle w:val="892"/>
        <w:ind w:left="480" w:hanging="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8.1.2 尾款支付时间：</w:t>
      </w:r>
      <w:r>
        <w:rPr>
          <w:rFonts w:hint="eastAsia" w:ascii="宋体" w:hAnsi="宋体" w:eastAsia="宋体" w:cs="宋体"/>
          <w:color w:val="000000"/>
          <w:lang w:eastAsia="zh-CN"/>
        </w:rPr>
        <w:t xml:space="preserve">每年</w:t>
      </w:r>
      <w:r>
        <w:rPr>
          <w:rFonts w:hint="eastAsia" w:ascii="宋体" w:hAnsi="宋体" w:eastAsia="宋体" w:cs="宋体"/>
          <w:color w:val="000000"/>
        </w:rPr>
        <w:t xml:space="preserve">服务结束并验收合格,采购人收到发票后10个工作日内，尾款支付比例：</w:t>
      </w:r>
      <w:r>
        <w:rPr>
          <w:rFonts w:hint="eastAsia" w:ascii="宋体" w:hAnsi="宋体" w:eastAsia="宋体" w:cs="宋体"/>
          <w:color w:val="000000"/>
          <w:lang w:eastAsia="zh-CN"/>
        </w:rPr>
        <w:t xml:space="preserve">每年</w:t>
      </w:r>
      <w:r>
        <w:rPr>
          <w:rFonts w:hint="eastAsia" w:ascii="宋体" w:hAnsi="宋体" w:eastAsia="宋体" w:cs="宋体"/>
          <w:color w:val="000000"/>
        </w:rPr>
        <w:t xml:space="preserve">服务合同金额的</w:t>
      </w:r>
      <w:r>
        <w:rPr>
          <w:rFonts w:hint="eastAsia" w:ascii="宋体" w:hAnsi="宋体" w:eastAsia="宋体" w:cs="宋体"/>
          <w:color w:val="000000"/>
          <w:lang w:val="en-US" w:eastAsia="zh-CN"/>
        </w:rPr>
        <w:t xml:space="preserve">90</w:t>
      </w:r>
      <w:r>
        <w:rPr>
          <w:rFonts w:hint="eastAsia" w:ascii="宋体" w:hAnsi="宋体" w:eastAsia="宋体" w:cs="宋体"/>
          <w:color w:val="000000"/>
        </w:rPr>
        <w:t xml:space="preserve">%。</w:t>
      </w:r>
      <w:r/>
    </w:p>
    <w:p>
      <w:pPr>
        <w:pStyle w:val="892"/>
        <w:ind w:left="483" w:hanging="65"/>
        <w:jc w:val="both"/>
        <w:spacing w:before="120" w:beforeAutospacing="0" w:after="120" w:afterAutospacing="0" w:line="360" w:lineRule="auto"/>
        <w:rPr>
          <w:rFonts w:hint="eastAsia" w:ascii="宋体" w:hAnsi="宋体" w:eastAsia="宋体" w:cs="宋体"/>
          <w:color w:val="000000"/>
          <w:highlight w:val="red"/>
          <w:u w:val="none"/>
        </w:rPr>
      </w:pPr>
      <w:r>
        <w:rPr>
          <w:rFonts w:hint="eastAsia" w:asciiTheme="minorEastAsia" w:hAnsiTheme="minorEastAsia" w:eastAsiaTheme="minorEastAsia" w:cstheme="minorEastAsia"/>
          <w:b/>
          <w:bCs/>
          <w:color w:val="auto"/>
          <w:sz w:val="24"/>
          <w:szCs w:val="24"/>
          <w:highlight w:val="none"/>
          <w:lang w:val="en-US" w:eastAsia="zh-CN"/>
        </w:rPr>
        <w:t xml:space="preserve">注</w:t>
      </w:r>
      <w:r>
        <w:rPr>
          <w:rFonts w:hint="eastAsia" w:asciiTheme="minorEastAsia" w:hAnsiTheme="minorEastAsia" w:cstheme="minorEastAsia"/>
          <w:b/>
          <w:bCs/>
          <w:color w:val="auto"/>
          <w:sz w:val="24"/>
          <w:szCs w:val="24"/>
          <w:highlight w:val="none"/>
          <w:lang w:val="en-US" w:eastAsia="zh-CN"/>
        </w:rPr>
        <w:t xml:space="preserve">：</w:t>
      </w:r>
      <w:r>
        <w:rPr>
          <w:rFonts w:hint="eastAsia" w:ascii="宋体" w:hAnsi="宋体" w:eastAsia="宋体" w:cs="宋体"/>
          <w:color w:val="000000"/>
          <w:lang w:val="en-US" w:eastAsia="zh-CN"/>
        </w:rPr>
        <w:t xml:space="preserve">甲方按月度考核，每季度考核汇总一次（按年度结算），年度考核总汇总后按考核结果拨付给乙方（不计利息）；每年度的支付费用=合同价/3-考核扣款-预付款。于本项目合同履行结束后，无息退还其履约保证金。每次付款须开具所在地专用增值税发票，以上付款均无银行利息。</w:t>
      </w:r>
      <w:r>
        <w:rPr>
          <w:rFonts w:hint="eastAsia" w:asciiTheme="minorEastAsia" w:hAnsiTheme="minorEastAsia" w:eastAsiaTheme="minorEastAsia" w:cstheme="minorEastAsia"/>
          <w:b/>
          <w:bCs/>
          <w:color w:val="auto"/>
          <w:sz w:val="24"/>
          <w:szCs w:val="24"/>
          <w:highlight w:val="none"/>
          <w:lang w:val="en-US" w:eastAsia="zh-CN"/>
        </w:rPr>
        <w:t xml:space="preserve">乙方须及时发放工资，并将工资发放明细提供给甲方（备案）。</w:t>
      </w:r>
      <w:r/>
    </w:p>
    <w:p>
      <w:pPr>
        <w:pStyle w:val="892"/>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92"/>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92"/>
        <w:jc w:val="both"/>
        <w:spacing w:before="120" w:beforeAutospacing="0" w:after="120" w:afterAutospacing="0" w:line="360" w:lineRule="auto"/>
      </w:pPr>
      <w:r>
        <w:rPr>
          <w:rFonts w:hint="eastAsia" w:ascii="宋体" w:hAnsi="宋体" w:eastAsia="宋体" w:cs="宋体"/>
          <w:b/>
          <w:color w:val="000000"/>
        </w:rPr>
        <w:t xml:space="preserve">十、项目验收</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10.1甲方依法组织履约验收工作。</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10.3对于实际使用人和甲方分离的项目，甲方邀请实际使用人参与验收。</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lang w:eastAsia="zh-CN"/>
        </w:rPr>
        <w:t xml:space="preserve">中华人民共和国民法典</w:t>
      </w:r>
      <w:r>
        <w:rPr>
          <w:rFonts w:hint="eastAsia" w:ascii="宋体" w:hAnsi="宋体" w:eastAsia="宋体" w:cs="宋体"/>
          <w:color w:val="000000"/>
        </w:rPr>
        <w:t xml:space="preserve">》。乙方在履约过程中有政府采购法律法规规定的违法违规情形的,甲方将及时报告本级财政部门。</w:t>
      </w:r>
      <w:r/>
    </w:p>
    <w:p>
      <w:pPr>
        <w:pStyle w:val="892"/>
        <w:jc w:val="both"/>
        <w:spacing w:before="120" w:beforeAutospacing="0" w:after="120" w:afterAutospacing="0" w:line="360" w:lineRule="auto"/>
      </w:pPr>
      <w:r>
        <w:rPr>
          <w:rFonts w:hint="eastAsia" w:ascii="宋体" w:hAnsi="宋体" w:eastAsia="宋体" w:cs="宋体"/>
          <w:b/>
          <w:color w:val="000000"/>
        </w:rPr>
        <w:t xml:space="preserve">十一、违约责任</w:t>
      </w:r>
      <w:r/>
    </w:p>
    <w:p>
      <w:pPr>
        <w:pStyle w:val="892"/>
        <w:ind w:left="410" w:hanging="410"/>
        <w:jc w:val="both"/>
        <w:spacing w:before="120" w:beforeAutospacing="0" w:after="120" w:afterAutospacing="0" w:line="360" w:lineRule="auto"/>
        <w:rPr>
          <w:color w:val="auto"/>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Theme="minorEastAsia" w:hAnsiTheme="minorEastAsia" w:eastAsiaTheme="minorEastAsia" w:cstheme="minorEastAsia"/>
          <w:bCs/>
          <w:color w:val="auto"/>
          <w:sz w:val="24"/>
          <w:u w:val="single"/>
        </w:rPr>
        <w:t xml:space="preserve">百分之五</w:t>
      </w:r>
      <w:r>
        <w:rPr>
          <w:rFonts w:hint="eastAsia" w:ascii="宋体" w:hAnsi="宋体" w:eastAsia="宋体" w:cs="宋体"/>
          <w:color w:val="auto"/>
        </w:rPr>
        <w:t xml:space="preserve">的违约金。</w:t>
      </w:r>
      <w:r/>
    </w:p>
    <w:p>
      <w:pPr>
        <w:ind w:firstLine="0"/>
        <w:spacing w:before="143" w:after="143" w:line="460" w:lineRule="exact"/>
        <w:rPr>
          <w:rFonts w:asciiTheme="minorEastAsia" w:hAnsiTheme="minorEastAsia" w:eastAsiaTheme="minorEastAsia" w:cstheme="minorEastAsia"/>
          <w:bCs/>
          <w:sz w:val="24"/>
        </w:rPr>
      </w:pPr>
      <w:r>
        <w:rPr>
          <w:rFonts w:hint="eastAsia" w:ascii="宋体" w:hAnsi="宋体" w:eastAsia="宋体" w:cs="宋体"/>
          <w:color w:val="000000"/>
        </w:rPr>
        <w:t xml:space="preserve">11.2</w:t>
      </w:r>
      <w:r>
        <w:rPr>
          <w:rFonts w:hint="eastAsia" w:asciiTheme="minorEastAsia" w:hAnsiTheme="minorEastAsia" w:eastAsiaTheme="minorEastAsia" w:cstheme="minorEastAsia"/>
          <w:bCs/>
          <w:sz w:val="24"/>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bCs/>
          <w:color w:val="auto"/>
          <w:sz w:val="24"/>
          <w:u w:val="single"/>
        </w:rPr>
        <w:t xml:space="preserve">百分之五</w:t>
      </w:r>
      <w:r>
        <w:rPr>
          <w:rFonts w:hint="eastAsia" w:ascii="宋体" w:hAnsi="宋体" w:eastAsia="宋体" w:cs="宋体"/>
          <w:color w:val="000000"/>
        </w:rPr>
        <w:t xml:space="preserve">的违约金，如造成甲方损失超过违约金的，超出部分由乙方继续承担赔偿责任。 </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十二、不可抗力事件处理</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892"/>
        <w:jc w:val="both"/>
        <w:spacing w:before="120" w:beforeAutospacing="0" w:after="120" w:afterAutospacing="0" w:line="360" w:lineRule="auto"/>
      </w:pPr>
      <w:r>
        <w:rPr>
          <w:rFonts w:hint="eastAsia" w:ascii="宋体" w:hAnsi="宋体" w:eastAsia="宋体" w:cs="宋体"/>
          <w:color w:val="000000"/>
        </w:rPr>
        <w:t xml:space="preserve">12.2不可抗力事件发生后，应立即通知对方，并寄送有关权威机构出具的证明。</w:t>
      </w:r>
      <w:r/>
    </w:p>
    <w:p>
      <w:pPr>
        <w:pStyle w:val="892"/>
        <w:jc w:val="both"/>
        <w:spacing w:before="120" w:beforeAutospacing="0" w:after="120" w:afterAutospacing="0" w:line="360" w:lineRule="auto"/>
      </w:pPr>
      <w:r>
        <w:rPr>
          <w:rFonts w:hint="eastAsia" w:ascii="宋体" w:hAnsi="宋体" w:eastAsia="宋体" w:cs="宋体"/>
          <w:color w:val="000000"/>
        </w:rPr>
        <w:t xml:space="preserve">12.3不可抗力事件延续120天以上，双方应通过友好协商，确定是否继续履行合同。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十三、解决争议的方法</w:t>
      </w:r>
      <w:r/>
    </w:p>
    <w:p>
      <w:pPr>
        <w:pStyle w:val="892"/>
        <w:jc w:val="both"/>
        <w:spacing w:before="120" w:beforeAutospacing="0" w:after="120" w:afterAutospacing="0" w:line="360" w:lineRule="auto"/>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92"/>
        <w:jc w:val="both"/>
        <w:spacing w:before="120" w:beforeAutospacing="0" w:after="120" w:afterAutospacing="0" w:line="360" w:lineRule="auto"/>
      </w:pPr>
      <w:r>
        <w:rPr>
          <w:rFonts w:hint="eastAsia" w:ascii="宋体" w:hAnsi="宋体" w:eastAsia="宋体" w:cs="宋体"/>
          <w:b/>
          <w:color w:val="000000"/>
        </w:rPr>
        <w:t xml:space="preserve">十四、合同生效及其它</w:t>
      </w:r>
      <w:r/>
    </w:p>
    <w:p>
      <w:pPr>
        <w:pStyle w:val="892"/>
        <w:jc w:val="both"/>
        <w:spacing w:before="120" w:beforeAutospacing="0" w:after="120" w:afterAutospacing="0" w:line="360" w:lineRule="auto"/>
      </w:pPr>
      <w:r>
        <w:rPr>
          <w:rFonts w:hint="eastAsia" w:ascii="宋体" w:hAnsi="宋体" w:eastAsia="宋体" w:cs="宋体"/>
          <w:color w:val="000000"/>
        </w:rPr>
        <w:t xml:space="preserve">14.1合同经双方法定代表人或授权委托代表人签字并加盖单位公章后生效。</w:t>
      </w:r>
      <w:r/>
    </w:p>
    <w:p>
      <w:pPr>
        <w:pStyle w:val="892"/>
        <w:jc w:val="both"/>
        <w:spacing w:before="120" w:beforeAutospacing="0" w:after="120" w:afterAutospacing="0" w:line="360" w:lineRule="auto"/>
      </w:pPr>
      <w:r>
        <w:rPr>
          <w:rFonts w:hint="eastAsia" w:ascii="宋体" w:hAnsi="宋体" w:eastAsia="宋体" w:cs="宋体"/>
          <w:color w:val="000000"/>
        </w:rPr>
        <w:t xml:space="preserve">14.2本合同未尽事宜，遵照《</w:t>
      </w:r>
      <w:r>
        <w:rPr>
          <w:rFonts w:hint="eastAsia" w:ascii="宋体" w:hAnsi="宋体" w:eastAsia="宋体" w:cs="宋体"/>
          <w:color w:val="000000"/>
          <w:lang w:eastAsia="zh-CN"/>
        </w:rPr>
        <w:t xml:space="preserve">中华人民共和国民法典》《中华人民共和国政府采购法</w:t>
      </w:r>
      <w:r>
        <w:rPr>
          <w:rFonts w:hint="eastAsia" w:ascii="宋体" w:hAnsi="宋体" w:eastAsia="宋体" w:cs="宋体"/>
          <w:color w:val="000000"/>
        </w:rPr>
        <w:t xml:space="preserve">》有关条文执行。</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14.3 本合同正本一式两份，具有同等法律效力，甲方、乙方各执一份。</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92"/>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92"/>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92"/>
        <w:ind w:firstLine="240"/>
        <w:jc w:val="both"/>
        <w:spacing w:before="120" w:beforeAutospacing="0" w:after="120" w:afterAutospacing="0" w:line="360" w:lineRule="auto"/>
      </w:pPr>
      <w:r>
        <w:rPr>
          <w:rFonts w:hint="eastAsia" w:ascii="宋体" w:hAnsi="宋体" w:eastAsia="宋体" w:cs="宋体"/>
          <w:color w:val="000000"/>
        </w:rPr>
        <w:t xml:space="preserve">联系电话：                    联系电话：          </w:t>
      </w:r>
      <w:r/>
    </w:p>
    <w:p>
      <w:pPr>
        <w:pStyle w:val="892"/>
        <w:jc w:val="center"/>
        <w:spacing w:before="120" w:beforeAutospacing="0" w:after="120" w:afterAutospacing="0" w:line="360" w:lineRule="auto"/>
        <w:rPr>
          <w:rFonts w:hint="eastAsia" w:ascii="宋体" w:hAnsi="宋体" w:eastAsia="宋体" w:cs="宋体"/>
          <w:color w:val="000000"/>
          <w:sz w:val="21"/>
          <w:szCs w:val="21"/>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宋体" w:hAnsi="宋体" w:eastAsia="宋体" w:cs="宋体"/>
          <w:color w:val="000000"/>
          <w:sz w:val="21"/>
          <w:szCs w:val="21"/>
        </w:rPr>
        <w:t xml:space="preserve">                          签订日期：      年    月   日</w:t>
      </w:r>
      <w:bookmarkStart w:id="167" w:name="_Toc479757211"/>
      <w:r/>
      <w:bookmarkStart w:id="168" w:name="_Toc16938590"/>
      <w:r/>
      <w:bookmarkStart w:id="169" w:name="_Toc120614244"/>
      <w:r/>
      <w:bookmarkStart w:id="170" w:name="_Toc20823346"/>
      <w:r/>
      <w:bookmarkStart w:id="171" w:name="_Toc462564139"/>
      <w:r/>
      <w:bookmarkStart w:id="172" w:name="_Hlt16619350"/>
      <w:r/>
      <w:bookmarkStart w:id="173" w:name="_Hlt16619369"/>
      <w:r/>
      <w:r/>
    </w:p>
    <w:p>
      <w:pPr>
        <w:pStyle w:val="892"/>
        <w:jc w:val="center"/>
        <w:spacing w:before="120" w:beforeAutospacing="0" w:after="120" w:afterAutospacing="0" w:line="360" w:lineRule="auto"/>
      </w:pPr>
      <w:r>
        <w:rPr>
          <w:rFonts w:hint="eastAsia" w:ascii="黑体" w:hAnsi="宋体" w:eastAsia="黑体" w:cs="黑体"/>
          <w:color w:val="000000"/>
          <w:sz w:val="44"/>
          <w:szCs w:val="44"/>
        </w:rPr>
        <w:t xml:space="preserve">第</w:t>
      </w:r>
      <w:bookmarkEnd w:id="167"/>
      <w:r>
        <w:rPr>
          <w:rFonts w:hint="eastAsia" w:ascii="黑体" w:hAnsi="宋体" w:eastAsia="黑体" w:cs="黑体"/>
          <w:color w:val="000000"/>
          <w:sz w:val="44"/>
          <w:szCs w:val="44"/>
        </w:rPr>
        <w:t xml:space="preserve">四章 采购需求</w:t>
      </w:r>
      <w:bookmarkEnd w:id="168"/>
      <w:r/>
      <w:bookmarkEnd w:id="169"/>
      <w:r/>
      <w:bookmarkEnd w:id="170"/>
      <w:r/>
      <w:bookmarkEnd w:id="171"/>
      <w:r/>
      <w:bookmarkEnd w:id="172"/>
      <w:r/>
      <w:r/>
    </w:p>
    <w:p>
      <w:pPr>
        <w:pStyle w:val="892"/>
        <w:jc w:val="both"/>
        <w:spacing w:beforeAutospacing="0" w:afterAutospacing="0" w:line="360" w:lineRule="auto"/>
      </w:pPr>
      <w:r/>
      <w:bookmarkStart w:id="174" w:name="_Toc26554093"/>
      <w:r/>
      <w:bookmarkStart w:id="175" w:name="_Toc49090575"/>
      <w:r>
        <w:rPr>
          <w:rFonts w:hint="eastAsia" w:ascii="宋体" w:hAnsi="宋体" w:eastAsia="宋体" w:cs="宋体"/>
          <w:color w:val="000000"/>
        </w:rPr>
        <w:t xml:space="preserve">项目属性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服务类项目。</w:t>
      </w:r>
      <w:bookmarkEnd w:id="174"/>
      <w:r/>
      <w:bookmarkEnd w:id="175"/>
      <w:r/>
      <w:r/>
    </w:p>
    <w:p>
      <w:pPr>
        <w:numPr>
          <w:ilvl w:val="0"/>
          <w:numId w:val="2"/>
        </w:num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bookmarkStart w:id="176" w:name="_Toc120614281"/>
      <w:r>
        <w:rPr>
          <w:rFonts w:hint="eastAsia" w:asciiTheme="minorEastAsia" w:hAnsiTheme="minorEastAsia" w:eastAsiaTheme="minorEastAsia" w:cstheme="minorEastAsia"/>
          <w:b/>
          <w:bCs/>
          <w:color w:val="auto"/>
          <w:sz w:val="24"/>
          <w:szCs w:val="24"/>
          <w:highlight w:val="none"/>
          <w:lang w:val="en-US" w:eastAsia="zh-CN"/>
        </w:rPr>
        <w:t xml:space="preserve">服务内容及要求：</w:t>
      </w:r>
      <w:r/>
    </w:p>
    <w:p>
      <w:pPr>
        <w:numPr>
          <w:ilvl w:val="0"/>
          <w:numId w:val="0"/>
        </w:num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盐城市新洋经济区河道保洁服务项目，本次招标共为2个标段，一标段为：串场河以东片区河道保洁，河道长49145.2米，面积876329.8平方米；二标段为：串场河以西片区河道保洁，河道长38190.1米，面积725665.7平方米。</w:t>
      </w:r>
      <w:r/>
    </w:p>
    <w:p>
      <w:pPr>
        <w:numPr>
          <w:ilvl w:val="0"/>
          <w:numId w:val="0"/>
        </w:num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2、通过组织先清除河道中的水草以及河岸两侧的杂草在进场后十日内须对现状河道进行彻底性整治，包括但不限于：除草、浮萍打捞等，达到河面无漂浮物，河中无障碍物，河岸两侧15米范围内无垃圾的“三无”标准。</w:t>
      </w:r>
      <w:r/>
    </w:p>
    <w:tbl>
      <w:tblPr>
        <w:tblStyle w:val="882"/>
        <w:tblW w:w="102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3"/>
        <w:gridCol w:w="1729"/>
        <w:gridCol w:w="2257"/>
        <w:gridCol w:w="1387"/>
        <w:gridCol w:w="1642"/>
        <w:gridCol w:w="936"/>
        <w:gridCol w:w="1826"/>
      </w:tblGrid>
      <w:tr>
        <w:trPr>
          <w:trHeight w:val="383"/>
        </w:trPr>
        <w:tc>
          <w:tcPr>
            <w:gridSpan w:val="7"/>
            <w:shd w:val="clear" w:color="auto" w:fill="auto"/>
            <w:tcBorders>
              <w:top w:val="none" w:color="000000" w:sz="4" w:space="0"/>
              <w:left w:val="none" w:color="000000" w:sz="4" w:space="0"/>
              <w:bottom w:val="none" w:color="000000" w:sz="4" w:space="0"/>
              <w:right w:val="none" w:color="000000" w:sz="4" w:space="0"/>
            </w:tcBorders>
            <w:tcW w:w="10240"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一标段（串场河以东片区）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河名</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年限</w:t>
            </w:r>
            <w:r>
              <w:rPr>
                <w:rFonts w:hint="eastAsia" w:asciiTheme="minorEastAsia" w:hAnsiTheme="minorEastAsia" w:cstheme="minorEastAsia"/>
                <w:color w:val="auto"/>
                <w:sz w:val="24"/>
                <w:szCs w:val="24"/>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三灶河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3141.4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74516.9</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新风河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开放大道-铁路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440.1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6733.5</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龙桥十组河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东伏河-通榆河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372.7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7186.9</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龙丰河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串场河-西伏河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1306.9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19268.0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龙桥一组生产河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龙丰河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绿城路-东伏河以东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1521.3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21322.0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兵化厂东侧沟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中坝河以北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220.9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2143.5</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西伏河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三灶河-东民灶沟</w:t>
            </w:r>
            <w:r/>
          </w:p>
        </w:tc>
        <w:tc>
          <w:tcPr>
            <w:shd w:val="clear" w:color="auto" w:fill="auto"/>
            <w:tcBorders>
              <w:top w:val="none" w:color="000000" w:sz="4" w:space="0"/>
              <w:left w:val="none" w:color="000000" w:sz="4" w:space="0"/>
              <w:bottom w:val="none" w:color="000000" w:sz="4" w:space="0"/>
              <w:right w:val="non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3397.8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52089.0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东伏河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三灶河以北与北灶庄</w:t>
            </w:r>
            <w:r>
              <w:rPr>
                <w:rFonts w:hint="eastAsia" w:asciiTheme="minorEastAsia" w:hAnsiTheme="minorEastAsia" w:cstheme="minorEastAsia"/>
                <w:color w:val="auto"/>
                <w:sz w:val="24"/>
                <w:szCs w:val="24"/>
                <w:highlight w:val="none"/>
                <w:lang w:val="en-US" w:eastAsia="zh-CN"/>
              </w:rPr>
              <w:t xml:space="preserve">交界</w:t>
            </w:r>
            <w:r>
              <w:rPr>
                <w:rFonts w:hint="eastAsia" w:asciiTheme="minorEastAsia" w:hAnsiTheme="minorEastAsia" w:eastAsiaTheme="minorEastAsia" w:cstheme="minorEastAsia"/>
                <w:color w:val="auto"/>
                <w:sz w:val="24"/>
                <w:szCs w:val="24"/>
                <w:highlight w:val="none"/>
                <w:lang w:val="en-US" w:eastAsia="zh-CN"/>
              </w:rPr>
              <w:t xml:space="preserve">-新洋港大道</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5767.2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137189.4</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中坝河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串场河-通榆河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3222.9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55246.3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新丰河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串场河-通榆河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3828.4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73577.3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袁庄景观河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袁庄公路河-小洋梢北段</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1415.4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8328.8</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袁圩河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兴城路-东伏河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2163.0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26104.0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含五金机电城前中沟和圩洋村十组生产沟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袁庄公路河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新丰河-东民灶沟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805.3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16029.3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袁庄八组河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中坝河-新丰河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1249.8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14302.2</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袁庄七组生产河含在内</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小洋梢北段</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新丰河-东民灶沟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974.7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11033.7</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腰圩河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中坝河-S349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1178.5</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17782.6</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3段</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圩洋村八组河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2133.5</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圩洋村四、五、八组河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范公路-通榆河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930.0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17078.1</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圩洋九组生产沟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范公路高架-东伏河以东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638.3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4861.0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圩洋二三组河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东民灶沟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袁庄公路河-东伏河以东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3032.6</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35954.3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童家沟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串场河-通榆河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3729.6</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103614.3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热水河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串场河-童家沟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3357.4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55229.7</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盐湾村五、六组界河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北闸中河-东伏河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401.1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4127.8</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新洋小组北侧沟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东伏河以东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3021.3</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北闸中河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盐湾热水河-新洋港大道</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1318.9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28937.0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盐湾七组河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立新河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北环路南侧、人民路东侧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1182.3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15738.5</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北闸河（沟）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立新河-盐湾热水河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574.8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4333.2</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磷肥厂西侧沟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盐湾热水河-新洋港大道</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329.9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5805.5</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城郊河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童家沟-盐湾热水河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898.1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22433.6</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小洋梢南段</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东民灶沟-童家沟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466.2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9415.6</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王港河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盐湾热水河-新洋港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781.2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20793.0</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gridSpan w:val="2"/>
            <w:shd w:val="clear" w:color="auto" w:fill="auto"/>
            <w:tcBorders>
              <w:top w:val="single" w:color="000000" w:sz="4" w:space="0"/>
              <w:left w:val="single" w:color="000000" w:sz="4" w:space="0"/>
              <w:bottom w:val="single" w:color="000000" w:sz="4" w:space="0"/>
              <w:right w:val="none" w:color="000000" w:sz="4" w:space="0"/>
            </w:tcBorders>
            <w:tcW w:w="2277" w:type="dxa"/>
            <w:vAlign w:val="center"/>
            <w:textDirection w:val="lrTb"/>
            <w:noWrap w:val="false"/>
          </w:tcPr>
          <w:p>
            <w:pPr>
              <w:ind w:left="0" w:firstLine="480"/>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合 计</w:t>
            </w:r>
            <w:r/>
          </w:p>
        </w:tc>
        <w:tc>
          <w:tcPr>
            <w:shd w:val="clear" w:color="auto" w:fill="auto"/>
            <w:tcBorders>
              <w:top w:val="single" w:color="000000" w:sz="4" w:space="0"/>
              <w:left w:val="none" w:color="000000" w:sz="4" w:space="0"/>
              <w:bottom w:val="single" w:color="000000" w:sz="4" w:space="0"/>
              <w:right w:val="single" w:color="000000" w:sz="4" w:space="0"/>
            </w:tcBorders>
            <w:tcW w:w="2404" w:type="dxa"/>
            <w:vAlign w:val="center"/>
            <w:textDirection w:val="lrTb"/>
            <w:noWrap w:val="false"/>
          </w:tcPr>
          <w:p>
            <w:pPr>
              <w:ind w:left="0" w:firstLine="480"/>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49145.2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876329.8</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w:t>
            </w:r>
            <w:r/>
          </w:p>
        </w:tc>
      </w:tr>
      <w:tr>
        <w:trPr>
          <w:trHeight w:val="840"/>
        </w:trPr>
        <w:tc>
          <w:tcPr>
            <w:gridSpan w:val="7"/>
            <w:shd w:val="clear" w:color="auto" w:fill="auto"/>
            <w:tcBorders>
              <w:top w:val="none" w:color="000000" w:sz="4" w:space="0"/>
              <w:left w:val="none" w:color="000000" w:sz="4" w:space="0"/>
              <w:bottom w:val="none" w:color="000000" w:sz="4" w:space="0"/>
              <w:right w:val="none" w:color="000000" w:sz="4" w:space="0"/>
            </w:tcBorders>
            <w:tcW w:w="10240" w:type="dxa"/>
            <w:vAlign w:val="center"/>
            <w:textDirection w:val="lrTb"/>
            <w:noWrap w:val="false"/>
          </w:tcPr>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注：1、河道保洁范围为两岸堤防之间的水域，</w:t>
            </w:r>
            <w:r>
              <w:rPr>
                <w:rFonts w:hint="eastAsia" w:asciiTheme="minorEastAsia" w:hAnsiTheme="minorEastAsia" w:cstheme="minorEastAsia"/>
                <w:color w:val="auto"/>
                <w:sz w:val="24"/>
                <w:szCs w:val="24"/>
                <w:highlight w:val="none"/>
                <w:lang w:val="en-US" w:eastAsia="zh-CN"/>
              </w:rPr>
              <w:t xml:space="preserve">护坡上口延伸</w:t>
            </w:r>
            <w:r>
              <w:rPr>
                <w:rFonts w:hint="eastAsia" w:asciiTheme="minorEastAsia" w:hAnsiTheme="minorEastAsia" w:eastAsiaTheme="minorEastAsia" w:cstheme="minorEastAsia"/>
                <w:color w:val="auto"/>
                <w:sz w:val="24"/>
                <w:szCs w:val="24"/>
                <w:highlight w:val="none"/>
                <w:lang w:val="en-US" w:eastAsia="zh-CN"/>
              </w:rPr>
              <w:t xml:space="preserve">3米，无堤防河道保洁范围为历史最高洪水位之间的水域。</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2、清单工程量面积为水域面积。</w:t>
            </w:r>
            <w:r/>
          </w:p>
        </w:tc>
      </w:tr>
    </w:tbl>
    <w:p>
      <w:pPr>
        <w:ind w:left="0" w:firstLine="480"/>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sectPr>
          <w:footnotePr/>
          <w:endnotePr/>
          <w:type w:val="nextPage"/>
          <w:pgSz w:w="11907" w:h="16840" w:orient="portrait"/>
          <w:pgMar w:top="607" w:right="851" w:bottom="811" w:left="1134" w:header="624" w:footer="992" w:gutter="0"/>
          <w:cols w:num="1" w:sep="0" w:space="720" w:equalWidth="1"/>
          <w:docGrid w:linePitch="360"/>
        </w:sectPr>
      </w:pPr>
      <w:r>
        <w:rPr>
          <w:rFonts w:hint="default" w:asciiTheme="minorEastAsia" w:hAnsiTheme="minorEastAsia" w:eastAsiaTheme="minorEastAsia" w:cstheme="minorEastAsia"/>
          <w:color w:val="auto"/>
          <w:sz w:val="24"/>
          <w:szCs w:val="24"/>
          <w:highlight w:val="none"/>
          <w:lang w:val="en-US" w:eastAsia="zh-CN"/>
        </w:rPr>
      </w:r>
      <w:r/>
    </w:p>
    <w:tbl>
      <w:tblPr>
        <w:tblStyle w:val="882"/>
        <w:tblW w:w="95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3"/>
        <w:gridCol w:w="1765"/>
        <w:gridCol w:w="2325"/>
        <w:gridCol w:w="1403"/>
        <w:gridCol w:w="1440"/>
        <w:gridCol w:w="936"/>
        <w:gridCol w:w="1230"/>
      </w:tblGrid>
      <w:tr>
        <w:trPr>
          <w:trHeight w:val="620"/>
        </w:trPr>
        <w:tc>
          <w:tcPr>
            <w:gridSpan w:val="7"/>
            <w:shd w:val="clear" w:color="auto" w:fill="auto"/>
            <w:tcBorders>
              <w:top w:val="none" w:color="000000" w:sz="4" w:space="0"/>
              <w:left w:val="none" w:color="000000" w:sz="4" w:space="0"/>
              <w:bottom w:val="none" w:color="000000" w:sz="4" w:space="0"/>
              <w:right w:val="none" w:color="000000" w:sz="4" w:space="0"/>
            </w:tcBorders>
            <w:tcW w:w="9562"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二标段（串场河以西片区）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河名</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长度</w:t>
            </w:r>
            <w:r>
              <w:rPr>
                <w:rFonts w:hint="default"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面积</w:t>
            </w:r>
            <w:r>
              <w:rPr>
                <w:rFonts w:hint="default"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年限</w:t>
            </w:r>
            <w:r>
              <w:rPr>
                <w:rFonts w:hint="eastAsia" w:asciiTheme="minorEastAsia" w:hAnsiTheme="minorEastAsia" w:cstheme="minorEastAsia"/>
                <w:color w:val="auto"/>
                <w:sz w:val="24"/>
                <w:szCs w:val="24"/>
                <w:highlight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串场河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2569.7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55972.5</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袁河九、十一组农庄河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东大寨河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1129.1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17572.0</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袁河四组、十二组生产河东西向</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414.4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6576.9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袁河中心河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串场河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3296.2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65353.2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2493.4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57661.7</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大干渠</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西民灶沟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1648.9</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40642.6</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丰登河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袁河九、十一组农庄河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西民灶沟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1474.7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27745.2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继禹沟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袁河九、十一组农庄河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袁河中心河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689.2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10310.2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段</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东大寨河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2648.4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49036.9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生产河六</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295.6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5178.5</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袁河四组、十二组生产河南北向</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西民灶沟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1092.0</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17900.0</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苏庄河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2738.5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58581.3</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东升河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南丰产河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2089.6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45089.2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三英五组生产河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串场河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3931.8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72498.1</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车旺沟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串场河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4397.4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63998.8</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三英十四组生产河东西向</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663.7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10269.3</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三英十四组生产河南北向</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411.3</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6379.2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永新河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1428.5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40635.9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三英村十三组生产河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三英十四组生产河东西向</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867.5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19334.9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大干渠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三英十二组生产河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336.1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4914.9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薛家沟</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仇庄河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三英河以南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512.1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9642.8</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三英村十组河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皮岔河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897.9</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12233.5</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三英十一组生产河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苏庄一河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814.9</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10374.0</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八组、九组苏庄沟</w:t>
            </w:r>
            <w:r>
              <w:rPr>
                <w:rFonts w:hint="default"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段</w:t>
            </w:r>
            <w:r>
              <w:rPr>
                <w:rFonts w:hint="default" w:asciiTheme="minorEastAsia" w:hAnsiTheme="minorEastAsia" w:eastAsiaTheme="minorEastAsia" w:cstheme="minorEastAsia"/>
                <w:color w:val="auto"/>
                <w:sz w:val="24"/>
                <w:szCs w:val="24"/>
                <w:highlight w:val="none"/>
                <w:lang w:val="en-US" w:eastAsia="zh-CN"/>
              </w:rPr>
              <w:t xml:space="preserve">L</w:t>
            </w:r>
            <w:r>
              <w:rPr>
                <w:rFonts w:hint="eastAsia" w:asciiTheme="minorEastAsia" w:hAnsiTheme="minorEastAsia" w:eastAsiaTheme="minorEastAsia" w:cstheme="minorEastAsia"/>
                <w:color w:val="auto"/>
                <w:sz w:val="24"/>
                <w:szCs w:val="24"/>
                <w:highlight w:val="none"/>
                <w:lang w:val="en-US" w:eastAsia="zh-CN"/>
              </w:rPr>
              <w:t xml:space="preserve">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三英六组河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皮岔河以北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244.4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3771.7</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三英三组生产河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437.8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5751.3</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三英二组生产河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西民灶沟</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三英河</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408.1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5574.2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三英村一组生产河</w:t>
            </w:r>
            <w:r/>
          </w:p>
        </w:tc>
        <w:tc>
          <w:tcPr>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三英河</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三英一组中心路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258.9</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2666.9</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r>
        <w:trPr>
          <w:trHeight w:val="500"/>
        </w:trPr>
        <w:tc>
          <w:tcPr>
            <w:gridSpan w:val="2"/>
            <w:shd w:val="clear" w:color="auto" w:fill="auto"/>
            <w:tcBorders>
              <w:top w:val="single" w:color="000000" w:sz="4" w:space="0"/>
              <w:left w:val="single" w:color="000000" w:sz="4" w:space="0"/>
              <w:bottom w:val="single" w:color="000000" w:sz="4" w:space="0"/>
              <w:right w:val="none" w:color="000000" w:sz="4" w:space="0"/>
            </w:tcBorders>
            <w:tcW w:w="2277"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合</w:t>
            </w:r>
            <w:r>
              <w:rPr>
                <w:rFonts w:hint="default"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计</w:t>
            </w:r>
            <w:r/>
          </w:p>
        </w:tc>
        <w:tc>
          <w:tcPr>
            <w:shd w:val="clear" w:color="auto" w:fill="auto"/>
            <w:tcBorders>
              <w:top w:val="single" w:color="000000" w:sz="4" w:space="0"/>
              <w:left w:val="none" w:color="000000" w:sz="4" w:space="0"/>
              <w:bottom w:val="single" w:color="000000" w:sz="4" w:space="0"/>
              <w:right w:val="single" w:color="000000" w:sz="4" w:space="0"/>
            </w:tcBorders>
            <w:tcW w:w="2404"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38190.1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both"/>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725665.7</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firstLine="480"/>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w:t>
            </w:r>
            <w:r/>
          </w:p>
        </w:tc>
      </w:tr>
      <w:tr>
        <w:trPr>
          <w:trHeight w:val="1140"/>
        </w:trPr>
        <w:tc>
          <w:tcPr>
            <w:gridSpan w:val="7"/>
            <w:shd w:val="clear" w:color="auto" w:fill="auto"/>
            <w:tcBorders>
              <w:top w:val="none" w:color="000000" w:sz="4" w:space="0"/>
              <w:left w:val="none" w:color="000000" w:sz="4" w:space="0"/>
              <w:bottom w:val="none" w:color="000000" w:sz="4" w:space="0"/>
              <w:right w:val="none" w:color="000000" w:sz="4" w:space="0"/>
            </w:tcBorders>
            <w:tcW w:w="9562" w:type="dxa"/>
            <w:vAlign w:val="center"/>
            <w:textDirection w:val="lrTb"/>
            <w:noWrap w:val="false"/>
          </w:tcPr>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注：1、河道保洁范围为两岸堤防之间的水域，</w:t>
            </w:r>
            <w:r>
              <w:rPr>
                <w:rFonts w:hint="eastAsia" w:asciiTheme="minorEastAsia" w:hAnsiTheme="minorEastAsia" w:cstheme="minorEastAsia"/>
                <w:color w:val="auto"/>
                <w:sz w:val="24"/>
                <w:szCs w:val="24"/>
                <w:highlight w:val="none"/>
                <w:lang w:val="en-US" w:eastAsia="zh-CN"/>
              </w:rPr>
              <w:t xml:space="preserve">护坡上口延伸</w:t>
            </w:r>
            <w:r>
              <w:rPr>
                <w:rFonts w:hint="eastAsia" w:asciiTheme="minorEastAsia" w:hAnsiTheme="minorEastAsia" w:eastAsiaTheme="minorEastAsia" w:cstheme="minorEastAsia"/>
                <w:color w:val="auto"/>
                <w:sz w:val="24"/>
                <w:szCs w:val="24"/>
                <w:highlight w:val="none"/>
                <w:lang w:val="en-US" w:eastAsia="zh-CN"/>
              </w:rPr>
              <w:t xml:space="preserve">3米，无堤防河道保洁范围为历史最高洪水位之间的水域。</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2、清单工程量面积为水域面积。</w:t>
            </w:r>
            <w:r/>
          </w:p>
        </w:tc>
      </w:tr>
    </w:tbl>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二、人员及设备配置要求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2.1</w:t>
      </w:r>
      <w:r>
        <w:rPr>
          <w:rFonts w:hint="eastAsia" w:asciiTheme="minorEastAsia" w:hAnsiTheme="minorEastAsia" w:eastAsiaTheme="minorEastAsia" w:cstheme="minorEastAsia"/>
          <w:color w:val="auto"/>
          <w:sz w:val="24"/>
          <w:szCs w:val="24"/>
          <w:highlight w:val="none"/>
          <w:lang w:val="en-US" w:eastAsia="zh-CN"/>
        </w:rPr>
        <w:t xml:space="preserve">、项目服务人员配置要求：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2.1</w:t>
      </w:r>
      <w:r>
        <w:rPr>
          <w:rFonts w:hint="eastAsia" w:asciiTheme="minorEastAsia" w:hAnsiTheme="minorEastAsia" w:eastAsiaTheme="minorEastAsia" w:cstheme="minorEastAsia"/>
          <w:color w:val="auto"/>
          <w:sz w:val="24"/>
          <w:szCs w:val="24"/>
          <w:highlight w:val="none"/>
          <w:lang w:val="en-US" w:eastAsia="zh-CN"/>
        </w:rPr>
        <w:t xml:space="preserve">.1最低保洁服务配置人数、岗位及年龄要求：</w:t>
      </w:r>
      <w:r/>
    </w:p>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一标段：串场河以东片区</w:t>
      </w:r>
      <w:r/>
    </w:p>
    <w:tbl>
      <w:tblPr>
        <w:tblStyle w:val="882"/>
        <w:tblW w:w="9898" w:type="dxa"/>
        <w:tblInd w:w="9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95"/>
        <w:gridCol w:w="1313"/>
        <w:gridCol w:w="1843"/>
        <w:gridCol w:w="2943"/>
        <w:gridCol w:w="2405"/>
      </w:tblGrid>
      <w:tr>
        <w:trPr>
          <w:trHeight w:val="722"/>
        </w:trPr>
        <w:tc>
          <w:tcPr>
            <w:tcW w:w="139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标段号</w:t>
            </w:r>
            <w:r/>
          </w:p>
        </w:tc>
        <w:tc>
          <w:tcPr>
            <w:tcW w:w="184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最低要求人数</w:t>
            </w:r>
            <w:r/>
          </w:p>
        </w:tc>
        <w:tc>
          <w:tcPr>
            <w:tcW w:w="294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年龄要求</w:t>
            </w:r>
            <w:r/>
          </w:p>
        </w:tc>
        <w:tc>
          <w:tcPr>
            <w:tcW w:w="240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trHeight w:val="774"/>
        </w:trPr>
        <w:tc>
          <w:tcPr>
            <w:tcW w:w="1395" w:type="dxa"/>
            <w:vAlign w:val="center"/>
            <w:textDirection w:val="lrTb"/>
            <w:noWrap/>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p>
        </w:tc>
        <w:tc>
          <w:tcPr>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一标段</w:t>
            </w:r>
            <w:r/>
          </w:p>
        </w:tc>
        <w:tc>
          <w:tcPr>
            <w:tcW w:w="1843" w:type="dxa"/>
            <w:vAlign w:val="center"/>
            <w:textDirection w:val="lrTb"/>
            <w:noWrap/>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1人</w:t>
            </w:r>
            <w:r/>
          </w:p>
        </w:tc>
        <w:tc>
          <w:tcPr>
            <w:tcW w:w="2943" w:type="dxa"/>
            <w:vAlign w:val="center"/>
            <w:textDirection w:val="lrTb"/>
            <w:noWrap/>
          </w:tcPr>
          <w:p>
            <w:pPr>
              <w:jc w:val="both"/>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男性：不高于60周岁；</w:t>
            </w:r>
            <w:r/>
          </w:p>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女性：不高于5</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周岁。</w:t>
            </w:r>
            <w:r/>
          </w:p>
        </w:tc>
        <w:tc>
          <w:tcPr>
            <w:tcW w:w="2405" w:type="dxa"/>
            <w:vAlign w:val="center"/>
            <w:textDirection w:val="lrTb"/>
            <w:noWrap/>
          </w:tcPr>
          <w:p>
            <w:pPr>
              <w:jc w:val="left"/>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项目经理（兼安全员）</w:t>
            </w:r>
            <w:r>
              <w:rPr>
                <w:rFonts w:hint="eastAsia" w:ascii="宋体" w:hAnsi="宋体" w:eastAsia="宋体" w:cs="宋体"/>
                <w:color w:val="auto"/>
                <w:sz w:val="24"/>
                <w:szCs w:val="24"/>
                <w:highlight w:val="none"/>
              </w:rPr>
              <w:t xml:space="preserve">会水性，有较强的组织领导能力和协调能力</w:t>
            </w:r>
            <w:r>
              <w:rPr>
                <w:rFonts w:hint="eastAsia" w:ascii="宋体" w:hAnsi="宋体" w:eastAsia="宋体" w:cs="宋体"/>
                <w:color w:val="auto"/>
                <w:sz w:val="24"/>
                <w:szCs w:val="24"/>
                <w:highlight w:val="none"/>
                <w:lang w:eastAsia="zh-CN"/>
              </w:rPr>
              <w:t xml:space="preserve">。</w:t>
            </w:r>
            <w:r/>
          </w:p>
        </w:tc>
      </w:tr>
      <w:tr>
        <w:trPr>
          <w:trHeight w:val="774"/>
        </w:trPr>
        <w:tc>
          <w:tcPr>
            <w:shd w:val="clear" w:color="auto" w:fill="auto"/>
            <w:tcW w:w="139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 xml:space="preserve">2</w:t>
            </w:r>
            <w:r/>
          </w:p>
        </w:tc>
        <w:tc>
          <w:tcPr>
            <w:shd w:val="clear" w:color="auto" w:fill="auto"/>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一标段</w:t>
            </w:r>
            <w:r/>
          </w:p>
        </w:tc>
        <w:tc>
          <w:tcPr>
            <w:shd w:val="clear" w:color="auto" w:fill="auto"/>
            <w:tcW w:w="184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不少于</w:t>
            </w:r>
            <w:r>
              <w:rPr>
                <w:rFonts w:hint="eastAsia" w:asciiTheme="minorEastAsia" w:hAnsi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人</w:t>
            </w:r>
            <w:r/>
          </w:p>
        </w:tc>
        <w:tc>
          <w:tcPr>
            <w:shd w:val="clear" w:color="auto" w:fill="auto"/>
            <w:tcW w:w="2943" w:type="dxa"/>
            <w:vAlign w:val="center"/>
            <w:textDirection w:val="lrTb"/>
            <w:noWrap/>
          </w:tcPr>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男性：不高于60周岁；</w:t>
            </w:r>
            <w:r/>
          </w:p>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女性：不高于5</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周岁。</w:t>
            </w:r>
            <w:r/>
          </w:p>
        </w:tc>
        <w:tc>
          <w:tcPr>
            <w:shd w:val="clear" w:color="auto" w:fill="auto"/>
            <w:tcW w:w="240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保洁人员身体</w:t>
            </w:r>
            <w:r>
              <w:rPr>
                <w:rFonts w:hint="eastAsia" w:asciiTheme="minorEastAsia" w:hAnsiTheme="minorEastAsia" w:cstheme="minorEastAsia"/>
                <w:color w:val="auto"/>
                <w:sz w:val="24"/>
                <w:szCs w:val="24"/>
                <w:highlight w:val="none"/>
                <w:lang w:val="en-US" w:eastAsia="zh-CN"/>
              </w:rPr>
              <w:t xml:space="preserve">健</w:t>
            </w:r>
            <w:r>
              <w:rPr>
                <w:rFonts w:hint="eastAsia" w:asciiTheme="minorEastAsia" w:hAnsiTheme="minorEastAsia" w:eastAsiaTheme="minorEastAsia" w:cstheme="minorEastAsia"/>
                <w:color w:val="auto"/>
                <w:sz w:val="24"/>
                <w:szCs w:val="24"/>
                <w:highlight w:val="none"/>
                <w:lang w:val="en-US" w:eastAsia="zh-CN"/>
              </w:rPr>
              <w:t xml:space="preserve">康，</w:t>
            </w:r>
            <w:r/>
          </w:p>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熟悉水性。</w:t>
            </w:r>
            <w:r/>
          </w:p>
        </w:tc>
      </w:tr>
    </w:tbl>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二标段：串场河以西片区</w:t>
      </w:r>
      <w:r/>
    </w:p>
    <w:tbl>
      <w:tblPr>
        <w:tblStyle w:val="882"/>
        <w:tblW w:w="9898" w:type="dxa"/>
        <w:tblInd w:w="9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95"/>
        <w:gridCol w:w="1313"/>
        <w:gridCol w:w="1843"/>
        <w:gridCol w:w="2959"/>
        <w:gridCol w:w="2389"/>
      </w:tblGrid>
      <w:tr>
        <w:trPr>
          <w:trHeight w:val="722"/>
        </w:trPr>
        <w:tc>
          <w:tcPr>
            <w:tcW w:w="139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标段号</w:t>
            </w:r>
            <w:r/>
          </w:p>
        </w:tc>
        <w:tc>
          <w:tcPr>
            <w:tcW w:w="184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最低要求人数</w:t>
            </w:r>
            <w:r/>
          </w:p>
        </w:tc>
        <w:tc>
          <w:tcPr>
            <w:tcW w:w="2959"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年龄要求</w:t>
            </w:r>
            <w:r/>
          </w:p>
        </w:tc>
        <w:tc>
          <w:tcPr>
            <w:tcW w:w="2389"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trHeight w:val="774"/>
        </w:trPr>
        <w:tc>
          <w:tcPr>
            <w:tcW w:w="1395" w:type="dxa"/>
            <w:vAlign w:val="center"/>
            <w:textDirection w:val="lrTb"/>
            <w:noWrap/>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p>
        </w:tc>
        <w:tc>
          <w:tcPr>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en-US" w:eastAsia="zh-CN"/>
              </w:rPr>
              <w:t xml:space="preserve">标段</w:t>
            </w:r>
            <w:r/>
          </w:p>
        </w:tc>
        <w:tc>
          <w:tcPr>
            <w:tcW w:w="1843" w:type="dxa"/>
            <w:vAlign w:val="center"/>
            <w:textDirection w:val="lrTb"/>
            <w:noWrap/>
          </w:tcPr>
          <w:p>
            <w:pPr>
              <w:jc w:val="center"/>
              <w:keepLines w:val="0"/>
              <w:keepNext w:val="0"/>
              <w:pageBreakBefore w:val="0"/>
              <w:spacing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1人</w:t>
            </w:r>
            <w:r/>
          </w:p>
        </w:tc>
        <w:tc>
          <w:tcPr>
            <w:tcW w:w="2959" w:type="dxa"/>
            <w:vAlign w:val="center"/>
            <w:textDirection w:val="lrTb"/>
            <w:noWrap/>
          </w:tcPr>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男性：不高于60周岁；</w:t>
            </w:r>
            <w:r/>
          </w:p>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女性：不高于5</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周岁。</w:t>
            </w:r>
            <w:r/>
          </w:p>
        </w:tc>
        <w:tc>
          <w:tcPr>
            <w:tcW w:w="2389" w:type="dxa"/>
            <w:vAlign w:val="center"/>
            <w:textDirection w:val="lrTb"/>
            <w:noWrap/>
          </w:tcPr>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项目经理（兼安全员）</w:t>
            </w:r>
            <w:r>
              <w:rPr>
                <w:rFonts w:hint="eastAsia" w:ascii="宋体" w:hAnsi="宋体" w:eastAsia="宋体" w:cs="宋体"/>
                <w:color w:val="auto"/>
                <w:sz w:val="24"/>
                <w:szCs w:val="24"/>
                <w:highlight w:val="none"/>
              </w:rPr>
              <w:t xml:space="preserve">会水性，有较强的组织领导能力和协调能力</w:t>
            </w:r>
            <w:r>
              <w:rPr>
                <w:rFonts w:hint="eastAsia" w:ascii="宋体" w:hAnsi="宋体" w:eastAsia="宋体" w:cs="宋体"/>
                <w:color w:val="auto"/>
                <w:sz w:val="24"/>
                <w:szCs w:val="24"/>
                <w:highlight w:val="none"/>
                <w:lang w:eastAsia="zh-CN"/>
              </w:rPr>
              <w:t xml:space="preserve">。</w:t>
            </w:r>
            <w:r/>
          </w:p>
        </w:tc>
      </w:tr>
      <w:tr>
        <w:trPr>
          <w:trHeight w:val="774"/>
        </w:trPr>
        <w:tc>
          <w:tcPr>
            <w:shd w:val="clear" w:color="auto" w:fill="auto"/>
            <w:tcW w:w="1395"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 xml:space="preserve">2</w:t>
            </w:r>
            <w:r/>
          </w:p>
        </w:tc>
        <w:tc>
          <w:tcPr>
            <w:shd w:val="clear" w:color="auto" w:fill="auto"/>
            <w:tcW w:w="131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二标段</w:t>
            </w:r>
            <w:r/>
          </w:p>
        </w:tc>
        <w:tc>
          <w:tcPr>
            <w:shd w:val="clear" w:color="auto" w:fill="auto"/>
            <w:tcW w:w="184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不少于</w:t>
            </w: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人</w:t>
            </w:r>
            <w:r/>
          </w:p>
        </w:tc>
        <w:tc>
          <w:tcPr>
            <w:shd w:val="clear" w:color="auto" w:fill="auto"/>
            <w:tcW w:w="2959" w:type="dxa"/>
            <w:vAlign w:val="center"/>
            <w:textDirection w:val="lrTb"/>
            <w:noWrap/>
          </w:tcPr>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男性：不高于60周岁；</w:t>
            </w:r>
            <w:r/>
          </w:p>
          <w:p>
            <w:pPr>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女性：不高于5</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周岁。</w:t>
            </w:r>
            <w:r/>
          </w:p>
        </w:tc>
        <w:tc>
          <w:tcPr>
            <w:shd w:val="clear" w:color="auto" w:fill="auto"/>
            <w:tcW w:w="2389"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保洁人员身体</w:t>
            </w:r>
            <w:r>
              <w:rPr>
                <w:rFonts w:hint="eastAsia" w:asciiTheme="minorEastAsia" w:hAnsiTheme="minorEastAsia" w:cstheme="minorEastAsia"/>
                <w:color w:val="auto"/>
                <w:sz w:val="24"/>
                <w:szCs w:val="24"/>
                <w:highlight w:val="none"/>
                <w:lang w:val="en-US" w:eastAsia="zh-CN"/>
              </w:rPr>
              <w:t xml:space="preserve">健康</w:t>
            </w:r>
            <w:r>
              <w:rPr>
                <w:rFonts w:hint="eastAsia" w:asciiTheme="minorEastAsia" w:hAnsiTheme="minorEastAsia" w:eastAsiaTheme="minorEastAsia" w:cstheme="minorEastAsia"/>
                <w:color w:val="auto"/>
                <w:sz w:val="24"/>
                <w:szCs w:val="24"/>
                <w:highlight w:val="none"/>
                <w:lang w:val="en-US" w:eastAsia="zh-CN"/>
              </w:rPr>
              <w:t xml:space="preserve">，</w:t>
            </w:r>
            <w:r/>
          </w:p>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熟悉水性。</w:t>
            </w:r>
            <w:r/>
          </w:p>
        </w:tc>
      </w:tr>
    </w:tbl>
    <w:p>
      <w:pPr>
        <w:ind w:firstLine="480"/>
        <w:spacing w:line="360" w:lineRule="auto"/>
        <w:shd w:val="clear" w:color="ffffff" w:themeColor="background1" w:fill="ffffff" w:themeFill="background1"/>
        <w:rPr>
          <w:rFonts w:hint="eastAsia" w:ascii="宋体" w:hAnsi="宋体" w:eastAsia="宋体" w:cs="宋体"/>
          <w:b/>
          <w:bCs/>
          <w:color w:val="auto"/>
          <w:sz w:val="24"/>
          <w:highlight w:val="none"/>
          <w:lang w:val="zh-CN" w:eastAsia="zh-CN"/>
        </w:rPr>
      </w:pPr>
      <w:r>
        <w:rPr>
          <w:rFonts w:hint="eastAsia" w:ascii="宋体" w:hAnsi="宋体" w:eastAsia="宋体" w:cs="Times New Roman"/>
          <w:b w:val="0"/>
          <w:bCs w:val="0"/>
          <w:color w:val="000000"/>
          <w:sz w:val="24"/>
          <w:highlight w:val="none"/>
          <w:lang w:val="en-US" w:eastAsia="zh-CN"/>
        </w:rPr>
        <w:t xml:space="preserve">注：1 所有人员薪资不得低于</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宋体"/>
          <w:b/>
          <w:bCs/>
          <w:color w:val="auto"/>
          <w:sz w:val="24"/>
          <w:highlight w:val="none"/>
          <w:lang w:val="zh-CN" w:eastAsia="zh-CN"/>
        </w:rPr>
        <w:t xml:space="preserve">本市最低工资标准</w:t>
      </w:r>
      <w:r>
        <w:rPr>
          <w:rFonts w:hint="eastAsia" w:ascii="宋体" w:hAnsi="宋体" w:eastAsia="宋体" w:cs="宋体"/>
          <w:b/>
          <w:bCs/>
          <w:color w:val="auto"/>
          <w:sz w:val="24"/>
          <w:highlight w:val="none"/>
          <w:lang w:val="en-US" w:eastAsia="zh-CN"/>
        </w:rPr>
        <w:t xml:space="preserve">2260</w:t>
      </w:r>
      <w:r>
        <w:rPr>
          <w:rFonts w:hint="eastAsia" w:ascii="宋体" w:hAnsi="宋体" w:eastAsia="宋体" w:cs="Times New Roman"/>
          <w:color w:val="auto"/>
          <w:sz w:val="24"/>
          <w:highlight w:val="none"/>
          <w:lang w:val="en-US" w:eastAsia="zh-CN"/>
        </w:rPr>
        <w:t xml:space="preserve">元/人/月，五险（目前缴费基数不低于</w:t>
      </w:r>
      <w:r>
        <w:rPr>
          <w:rFonts w:hint="eastAsia" w:ascii="宋体" w:hAnsi="宋体" w:cs="Times New Roman"/>
          <w:color w:val="auto"/>
          <w:sz w:val="24"/>
          <w:highlight w:val="none"/>
          <w:lang w:val="en-US" w:eastAsia="zh-CN"/>
        </w:rPr>
        <w:t xml:space="preserve">4879</w:t>
      </w:r>
      <w:r>
        <w:rPr>
          <w:rFonts w:hint="eastAsia" w:ascii="宋体" w:hAnsi="宋体" w:eastAsia="宋体" w:cs="Times New Roman"/>
          <w:color w:val="auto"/>
          <w:sz w:val="24"/>
          <w:highlight w:val="none"/>
          <w:lang w:val="en-US" w:eastAsia="zh-CN"/>
        </w:rPr>
        <w:t xml:space="preserve">元，缴费费率（规定险种为“五险”）：养老保险16%、医疗保险8%、工伤保险0.7%、生育保险0.9%、失业保险0.5%以及大病保险6元，即不得低于</w:t>
      </w:r>
      <w:r>
        <w:rPr>
          <w:rFonts w:hint="eastAsia" w:ascii="宋体" w:hAnsi="宋体" w:cs="Times New Roman"/>
          <w:color w:val="auto"/>
          <w:sz w:val="24"/>
          <w:highlight w:val="none"/>
          <w:lang w:val="en-US" w:eastAsia="zh-CN"/>
        </w:rPr>
        <w:t xml:space="preserve">1279.42</w:t>
      </w:r>
      <w:r>
        <w:rPr>
          <w:rFonts w:hint="eastAsia" w:ascii="宋体" w:hAnsi="宋体" w:eastAsia="宋体" w:cs="Times New Roman"/>
          <w:color w:val="auto"/>
          <w:sz w:val="24"/>
          <w:highlight w:val="none"/>
          <w:lang w:val="en-US" w:eastAsia="zh-CN"/>
        </w:rPr>
        <w:t xml:space="preserve">元/人/月），以及不低于以下标准的高温费1200元/人/年（300元/人/月*4月），法定节假日加班费3428.97元/人/年（2260元/21.75天*3倍*11天），休息日加班费</w:t>
      </w:r>
      <w:r>
        <w:rPr>
          <w:rFonts w:hint="eastAsia" w:ascii="宋体" w:hAnsi="宋体" w:cs="Times New Roman"/>
          <w:color w:val="auto"/>
          <w:sz w:val="24"/>
          <w:highlight w:val="none"/>
          <w:lang w:val="en-US" w:eastAsia="zh-CN"/>
        </w:rPr>
        <w:t xml:space="preserve">不得低于</w:t>
      </w:r>
      <w:r>
        <w:rPr>
          <w:rFonts w:hint="eastAsia" w:ascii="宋体" w:hAnsi="宋体" w:eastAsia="宋体" w:cs="Times New Roman"/>
          <w:color w:val="auto"/>
          <w:sz w:val="24"/>
          <w:highlight w:val="none"/>
          <w:lang w:val="en-US" w:eastAsia="zh-CN"/>
        </w:rPr>
        <w:t xml:space="preserve">10806.44元/人/年（2260元/21.75天*2倍*52天），</w:t>
      </w:r>
      <w:r>
        <w:rPr>
          <w:rFonts w:hint="eastAsia" w:ascii="宋体" w:hAnsi="宋体" w:eastAsia="宋体" w:cs="宋体"/>
          <w:b/>
          <w:bCs/>
          <w:color w:val="auto"/>
          <w:sz w:val="24"/>
          <w:highlight w:val="none"/>
          <w:lang w:val="zh-CN" w:eastAsia="zh-CN"/>
        </w:rPr>
        <w:t xml:space="preserve">税金费率统一按6.72%进行报价。</w:t>
      </w:r>
      <w:r/>
    </w:p>
    <w:p>
      <w:pPr>
        <w:pStyle w:val="901"/>
        <w:rPr>
          <w:highlight w:val="none"/>
          <w:lang w:val="en-US" w:eastAsia="zh-CN"/>
        </w:rPr>
      </w:pPr>
      <w:r>
        <w:rPr>
          <w:rFonts w:hint="eastAsia"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2依法为符合条件的作业人员缴纳各项社会保险，录用的人员男性年龄不得超过60周岁，女性年龄不得超过50周岁，中标人对录用人员购买保障不得低于100万元的意外伤害保险。</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针对本项目人员配置标准</w:t>
      </w:r>
      <w:r/>
    </w:p>
    <w:p>
      <w:pPr>
        <w:ind w:left="0" w:firstLine="480"/>
        <w:keepLines w:val="0"/>
        <w:keepNext w:val="0"/>
        <w:pageBreakBefore w:val="0"/>
        <w:spacing w:line="500" w:lineRule="exact"/>
        <w:widowControl w:val="off"/>
        <w:tabs>
          <w:tab w:val="left" w:pos="900" w:leader="none"/>
        </w:tabs>
        <w:rPr>
          <w:rFonts w:hint="eastAsia" w:ascii="宋体" w:hAnsi="宋体" w:eastAsia="宋体" w:cs="Times New Roman"/>
          <w:color w:val="auto"/>
          <w:sz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必须满足上述人员的最低配置数量及标准要求。所有人员必须身体健康，无不适合水上作业的疾病或缺陷，年龄符合招标文件要求。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.2项目经理</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兼安全员</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需在本项目中使用直至合同期满，除</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认可的情况外，不得随意更换。</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.3项目经理</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兼安全员</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，必须专门服务于本项目，不得用于其他项目中。成交后项目经理</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兼安全员</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未按投标承诺到位或更换项目经理</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兼安全员</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将视为违约行为，</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将向</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收取违约金，5000元/人次。</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.4保洁人员主要从事河道、湖面及河岸两侧的保洁工作，保洁船每条船只至少配备2名保洁人员。</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.5保洁人员上岗必须身着统一的保洁服装，佩戴统一的标志符号。保洁服装、标志符号和证件的设计、制作和供应，按国家规定执行。现场管理人员统一着装挂牌上岗。日常保洁服务中发现</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服务人员未统一着装或未着装的，视严重情况处罚500-1000元/次。</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lang w:val="en-US" w:eastAsia="zh-CN"/>
        </w:rPr>
        <w:t xml:space="preserve">.6其他：中标后，合同期内不允许更换投标文件中承诺本项目的所有管理及主要技术人员（以投标文件《项目成员情况表》中列出的人员为准）,如因离职、开除等特殊原因的，必须提出书面申请并经</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审核通过后更换,或保洁服务期内如上述人员不能胜任保洁服务管理工作的，</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提出要求更换的，</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须无条件服从更换（更换人员不得低于招标要求）,以上更换按照1万元/人/次处罚，合同期内每类人员更换不得超过2次。未提出书面申请，但事实已更换的，一经查实处罚2万元/次/人，并按要求完备更换手续。以上处罚费用从当期服务费用中直接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针对本项目设备最低配备要求：</w:t>
      </w:r>
      <w:r/>
    </w:p>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一标段：串场河以东片区</w:t>
      </w:r>
      <w:r/>
    </w:p>
    <w:tbl>
      <w:tblPr>
        <w:tblStyle w:val="882"/>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3"/>
        <w:gridCol w:w="1217"/>
        <w:gridCol w:w="3147"/>
        <w:gridCol w:w="2351"/>
      </w:tblGrid>
      <w:tr>
        <w:trPr>
          <w:jc w:val="center"/>
          <w:trHeight w:val="713"/>
        </w:trPr>
        <w:tc>
          <w:tcPr>
            <w:tcW w:w="308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设备</w:t>
            </w:r>
            <w:r/>
          </w:p>
        </w:tc>
        <w:tc>
          <w:tcPr>
            <w:tcW w:w="121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数量</w:t>
            </w:r>
            <w:r/>
          </w:p>
        </w:tc>
        <w:tc>
          <w:tcPr>
            <w:tcW w:w="314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规格、型号</w:t>
            </w:r>
            <w:r/>
          </w:p>
        </w:tc>
        <w:tc>
          <w:tcPr>
            <w:tcW w:w="2351"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713"/>
        </w:trPr>
        <w:tc>
          <w:tcPr>
            <w:tcW w:w="308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钢制保洁船或平仓保洁船</w:t>
            </w:r>
            <w:r/>
          </w:p>
        </w:tc>
        <w:tc>
          <w:tcPr>
            <w:tcW w:w="121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条</w:t>
            </w:r>
            <w:r/>
          </w:p>
        </w:tc>
        <w:tc>
          <w:tcPr>
            <w:tcW w:w="314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2M（宽）*6M（长）以上</w:t>
            </w:r>
            <w:r/>
          </w:p>
        </w:tc>
        <w:tc>
          <w:tcPr>
            <w:tcW w:w="2351"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采购时间为</w:t>
            </w:r>
            <w:r>
              <w:rPr>
                <w:rFonts w:hint="eastAsia" w:asciiTheme="minorEastAsia" w:hAnsiTheme="minorEastAsia" w:cstheme="minorEastAsia"/>
                <w:color w:val="auto"/>
                <w:sz w:val="24"/>
                <w:szCs w:val="24"/>
                <w:highlight w:val="none"/>
                <w:lang w:val="en-US" w:eastAsia="zh-CN"/>
              </w:rPr>
              <w:t xml:space="preserve">2019</w:t>
            </w:r>
            <w:r>
              <w:rPr>
                <w:rFonts w:hint="eastAsia" w:asciiTheme="minorEastAsia" w:hAnsiTheme="minorEastAsia" w:eastAsiaTheme="minorEastAsia" w:cstheme="minorEastAsia"/>
                <w:color w:val="auto"/>
                <w:sz w:val="24"/>
                <w:szCs w:val="24"/>
                <w:highlight w:val="none"/>
                <w:lang w:val="en-US" w:eastAsia="zh-CN"/>
              </w:rPr>
              <w:t xml:space="preserve">年1月1日（含）以后</w:t>
            </w:r>
            <w:r/>
          </w:p>
        </w:tc>
      </w:tr>
    </w:tbl>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二标段：串场河以西</w:t>
      </w:r>
      <w:r>
        <w:rPr>
          <w:rFonts w:hint="eastAsia" w:asciiTheme="minorEastAsia" w:hAnsiTheme="minorEastAsia" w:cstheme="minorEastAsia"/>
          <w:color w:val="auto"/>
          <w:sz w:val="24"/>
          <w:szCs w:val="24"/>
          <w:highlight w:val="none"/>
          <w:lang w:val="en-US" w:eastAsia="zh-CN"/>
        </w:rPr>
        <w:t xml:space="preserve">片</w:t>
      </w:r>
      <w:r>
        <w:rPr>
          <w:rFonts w:hint="eastAsia" w:asciiTheme="minorEastAsia" w:hAnsiTheme="minorEastAsia" w:eastAsiaTheme="minorEastAsia" w:cstheme="minorEastAsia"/>
          <w:color w:val="auto"/>
          <w:sz w:val="24"/>
          <w:szCs w:val="24"/>
          <w:highlight w:val="none"/>
          <w:lang w:val="en-US" w:eastAsia="zh-CN"/>
        </w:rPr>
        <w:t xml:space="preserve">区</w:t>
      </w:r>
      <w:r/>
    </w:p>
    <w:tbl>
      <w:tblPr>
        <w:tblStyle w:val="882"/>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3"/>
        <w:gridCol w:w="1267"/>
        <w:gridCol w:w="3097"/>
        <w:gridCol w:w="2351"/>
      </w:tblGrid>
      <w:tr>
        <w:trPr>
          <w:jc w:val="center"/>
          <w:trHeight w:val="713"/>
        </w:trPr>
        <w:tc>
          <w:tcPr>
            <w:tcW w:w="308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设备</w:t>
            </w:r>
            <w:r/>
          </w:p>
        </w:tc>
        <w:tc>
          <w:tcPr>
            <w:tcW w:w="126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数量</w:t>
            </w:r>
            <w:r/>
          </w:p>
        </w:tc>
        <w:tc>
          <w:tcPr>
            <w:tcW w:w="309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规格、型号</w:t>
            </w:r>
            <w:r/>
          </w:p>
        </w:tc>
        <w:tc>
          <w:tcPr>
            <w:tcW w:w="2351"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713"/>
        </w:trPr>
        <w:tc>
          <w:tcPr>
            <w:tcW w:w="3083"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钢制保洁船或平仓保洁船</w:t>
            </w:r>
            <w:r/>
          </w:p>
        </w:tc>
        <w:tc>
          <w:tcPr>
            <w:tcW w:w="126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条</w:t>
            </w:r>
            <w:r/>
          </w:p>
        </w:tc>
        <w:tc>
          <w:tcPr>
            <w:tcW w:w="3097"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2M（宽）*6M（长）以上</w:t>
            </w:r>
            <w:r/>
          </w:p>
        </w:tc>
        <w:tc>
          <w:tcPr>
            <w:tcW w:w="2351" w:type="dxa"/>
            <w:vAlign w:val="center"/>
            <w:textDirection w:val="lrTb"/>
            <w:noWrap/>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采购时间为20</w:t>
            </w:r>
            <w:r>
              <w:rPr>
                <w:rFonts w:hint="eastAsia" w:asciiTheme="minorEastAsia" w:hAnsiTheme="minorEastAsia" w:cstheme="minorEastAsia"/>
                <w:color w:val="auto"/>
                <w:sz w:val="24"/>
                <w:szCs w:val="24"/>
                <w:highlight w:val="none"/>
                <w:lang w:val="en-US" w:eastAsia="zh-CN"/>
              </w:rPr>
              <w:t xml:space="preserve">19</w:t>
            </w:r>
            <w:r>
              <w:rPr>
                <w:rFonts w:hint="eastAsia" w:asciiTheme="minorEastAsia" w:hAnsiTheme="minorEastAsia" w:eastAsiaTheme="minorEastAsia" w:cstheme="minorEastAsia"/>
                <w:color w:val="auto"/>
                <w:sz w:val="24"/>
                <w:szCs w:val="24"/>
                <w:highlight w:val="none"/>
                <w:lang w:val="en-US" w:eastAsia="zh-CN"/>
              </w:rPr>
              <w:t xml:space="preserve">年1月1日（含）以后</w:t>
            </w:r>
            <w:r/>
          </w:p>
        </w:tc>
      </w:tr>
    </w:tbl>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注：每标段中标人须在领取中标通知书之日起7日内配备所有设备，否则甲方有权取消中标资格。</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三、保洁服务及管理要求</w:t>
      </w:r>
      <w:r/>
    </w:p>
    <w:p>
      <w:pPr>
        <w:ind w:left="0" w:firstLine="480"/>
        <w:jc w:val="left"/>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r>
      <w:r>
        <w:rPr>
          <w:rFonts w:hint="eastAsia" w:asciiTheme="minorEastAsia" w:hAnsiTheme="minorEastAsia" w:eastAsiaTheme="minorEastAsia" w:cstheme="minorEastAsia"/>
          <w:color w:val="auto"/>
          <w:sz w:val="24"/>
          <w:szCs w:val="24"/>
          <w:highlight w:val="none"/>
          <w:lang w:val="en-US" w:eastAsia="zh-CN"/>
        </w:rPr>
        <w:t xml:space="preserve">3.1 保洁目标</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建立健全、规范长效管理机制和监督检查机制，坚持“政府主导、部门结合、市场运作”的工作方针，改善和保护河道的水生态环境，达到河面“无漂浮废弃物、河中无障碍、河岸无垃圾”的“三无”目标，实现“水洁、流畅、岸美”的目标。</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1、保洁内容</w:t>
      </w:r>
      <w:r>
        <w:rPr>
          <w:rFonts w:hint="eastAsia" w:asciiTheme="minorEastAsia" w:hAnsiTheme="minorEastAsia" w:eastAsiaTheme="minorEastAsia" w:cstheme="minorEastAsia"/>
          <w:color w:val="ff0000"/>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包括河面保洁、河岸保洁及水体污染控制等（乙方在进场后十日内须对现状河道进行彻底性整治，包括但不限于：除草、浮萍打捞等）要求达到河面无漂浮物</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水面打捞物集中堆放妥善处置</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无二次污染</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河岸无垃圾，干净整洁</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河道畅通，河中无障碍物</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上游及平交河口规范拦截。</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2、参加投标的企业：须具备应急抢险机制与能力，按110联动要求，能在出险2小时内到达现场组织抢险；遇到灾害天气时需有能力组织5-10人的应急处置队伍，随时待命处置标段内的紧急情况；完成招标方安排的保洁相关的网格化、信息化平台案件。</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3、所有服务人员必须经培训后上岗，加强安全作业服务意识。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4、保洁标准：见合同附件一《水域保洁管理标准》。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5、保洁船只的样式、大小必须符合</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规定，且</w:t>
      </w:r>
      <w:r>
        <w:rPr>
          <w:rFonts w:hint="eastAsia" w:asciiTheme="minorEastAsia" w:hAnsiTheme="minorEastAsia" w:cstheme="minorEastAsia"/>
          <w:color w:val="auto"/>
          <w:sz w:val="24"/>
          <w:szCs w:val="24"/>
          <w:highlight w:val="none"/>
          <w:lang w:val="en-US" w:eastAsia="zh-CN"/>
        </w:rPr>
        <w:t xml:space="preserve">必须</w:t>
      </w:r>
      <w:r>
        <w:rPr>
          <w:rFonts w:hint="eastAsia" w:asciiTheme="minorEastAsia" w:hAnsiTheme="minorEastAsia" w:eastAsiaTheme="minorEastAsia" w:cstheme="minorEastAsia"/>
          <w:color w:val="auto"/>
          <w:sz w:val="24"/>
          <w:szCs w:val="24"/>
          <w:highlight w:val="none"/>
          <w:lang w:val="en-US" w:eastAsia="zh-CN"/>
        </w:rPr>
        <w:t xml:space="preserve">有资质的船厂制造。</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6、保洁船只必须集中停放，停放地点需征得</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同意。船只使用必须符合《水域保洁船只使用管理办法》。</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7、每条保洁船只必须配备</w:t>
      </w:r>
      <w:r>
        <w:rPr>
          <w:rFonts w:hint="eastAsia" w:asciiTheme="minorEastAsia" w:hAnsiTheme="minorEastAsia" w:cstheme="minorEastAsia"/>
          <w:color w:val="auto"/>
          <w:sz w:val="24"/>
          <w:szCs w:val="24"/>
          <w:highlight w:val="none"/>
          <w:lang w:val="en-US" w:eastAsia="zh-CN"/>
        </w:rPr>
        <w:t xml:space="preserve">至少一套通信</w:t>
      </w:r>
      <w:r>
        <w:rPr>
          <w:rFonts w:hint="eastAsia" w:asciiTheme="minorEastAsia" w:hAnsiTheme="minorEastAsia" w:eastAsiaTheme="minorEastAsia" w:cstheme="minorEastAsia"/>
          <w:color w:val="auto"/>
          <w:sz w:val="24"/>
          <w:szCs w:val="24"/>
          <w:highlight w:val="none"/>
          <w:lang w:val="en-US" w:eastAsia="zh-CN"/>
        </w:rPr>
        <w:t xml:space="preserve">工具，以便于出现问题及时联系解决。</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8、保洁服务方式：</w:t>
      </w:r>
      <w:r/>
    </w:p>
    <w:p>
      <w:pPr>
        <w:ind w:firstLine="420"/>
        <w:spacing w:line="48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实际要求，对以上区域及设施提供保洁服务，积极主动与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协调做好安全防范工作。</w:t>
      </w:r>
      <w:r>
        <w:rPr>
          <w:rFonts w:hint="eastAsia" w:ascii="宋体" w:hAnsi="宋体" w:eastAsia="宋体" w:cs="宋体"/>
          <w:color w:val="000000"/>
          <w:highlight w:val="none"/>
        </w:rPr>
        <w:t xml:space="preserve">中标单位对履约过程中的一切安全工作负全部法律责任，并承担由此而产生的一切经济损失，一切责任与招标人无关。打捞船机、人员都需配备专业的安全消防救生器材。必须建立安全台账</w:t>
      </w:r>
      <w:r>
        <w:rPr>
          <w:rFonts w:hint="eastAsia" w:ascii="宋体" w:hAnsi="宋体"/>
          <w:color w:val="000000"/>
        </w:rPr>
        <w:t xml:space="preserve">。</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val="en-US" w:eastAsia="zh-CN"/>
        </w:rPr>
        <w:t xml:space="preserve">节假日照常上班并相应增加保洁人数，遇突击任务及重大活动时应无条件按</w:t>
      </w:r>
      <w:r>
        <w:rPr>
          <w:rFonts w:hint="eastAsia" w:asciiTheme="minorEastAsia" w:hAnsiTheme="minorEastAsia" w:cstheme="minorEastAsia"/>
          <w:b/>
          <w:bCs/>
          <w:color w:val="auto"/>
          <w:sz w:val="24"/>
          <w:szCs w:val="24"/>
          <w:highlight w:val="none"/>
          <w:lang w:val="en-US" w:eastAsia="zh-CN"/>
        </w:rPr>
        <w:t xml:space="preserve">甲方</w:t>
      </w:r>
      <w:r>
        <w:rPr>
          <w:rFonts w:hint="eastAsia" w:asciiTheme="minorEastAsia" w:hAnsiTheme="minorEastAsia" w:eastAsiaTheme="minorEastAsia" w:cstheme="minorEastAsia"/>
          <w:b/>
          <w:bCs/>
          <w:color w:val="auto"/>
          <w:sz w:val="24"/>
          <w:szCs w:val="24"/>
          <w:highlight w:val="none"/>
          <w:lang w:val="en-US" w:eastAsia="zh-CN"/>
        </w:rPr>
        <w:t xml:space="preserve">要求完成</w:t>
      </w:r>
      <w:r>
        <w:rPr>
          <w:rFonts w:hint="eastAsia" w:asciiTheme="minorEastAsia" w:hAnsiTheme="minorEastAsia" w:cstheme="minorEastAsia"/>
          <w:b/>
          <w:bCs/>
          <w:color w:val="auto"/>
          <w:sz w:val="24"/>
          <w:szCs w:val="24"/>
          <w:highlight w:val="none"/>
          <w:lang w:val="en-US" w:eastAsia="zh-CN"/>
        </w:rPr>
        <w:t xml:space="preserve">甲方</w:t>
      </w:r>
      <w:r>
        <w:rPr>
          <w:rFonts w:hint="eastAsia" w:asciiTheme="minorEastAsia" w:hAnsiTheme="minorEastAsia" w:eastAsiaTheme="minorEastAsia" w:cstheme="minorEastAsia"/>
          <w:b/>
          <w:bCs/>
          <w:color w:val="auto"/>
          <w:sz w:val="24"/>
          <w:szCs w:val="24"/>
          <w:highlight w:val="none"/>
          <w:lang w:val="en-US" w:eastAsia="zh-CN"/>
        </w:rPr>
        <w:t xml:space="preserve">布置的工作，同时要准备好一支突击保洁队伍，随时</w:t>
      </w:r>
      <w:r>
        <w:rPr>
          <w:rFonts w:hint="eastAsia" w:asciiTheme="minorEastAsia" w:hAnsiTheme="minorEastAsia" w:cstheme="minorEastAsia"/>
          <w:b/>
          <w:bCs/>
          <w:color w:val="auto"/>
          <w:sz w:val="24"/>
          <w:szCs w:val="24"/>
          <w:highlight w:val="none"/>
          <w:lang w:val="en-US" w:eastAsia="zh-CN"/>
        </w:rPr>
        <w:t xml:space="preserve">应对</w:t>
      </w:r>
      <w:r>
        <w:rPr>
          <w:rFonts w:hint="eastAsia" w:asciiTheme="minorEastAsia" w:hAnsiTheme="minorEastAsia" w:eastAsiaTheme="minorEastAsia" w:cstheme="minorEastAsia"/>
          <w:b/>
          <w:bCs/>
          <w:color w:val="auto"/>
          <w:sz w:val="24"/>
          <w:szCs w:val="24"/>
          <w:highlight w:val="none"/>
          <w:lang w:val="en-US" w:eastAsia="zh-CN"/>
        </w:rPr>
        <w:t xml:space="preserve">各种突击保洁工作。</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（3）对水面水草随时发现随时清理，水域保洁产生的垃圾须放置在</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指定的堆放点（临时垃圾收集点），并统一运到垃圾中转站集中处理。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9、保洁服务履行期间将按照《水域保洁管理标准</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河道保洁考核评分表</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水域保洁船只使用管理办法》《安全生产协议》对该招标项目保洁服务进行检查考核。</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考核标准</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本项目实施过程中，每</w:t>
      </w:r>
      <w:r>
        <w:rPr>
          <w:rFonts w:hint="eastAsia" w:asciiTheme="minorEastAsia" w:hAnsiTheme="minorEastAsia" w:cstheme="minorEastAsia"/>
          <w:b/>
          <w:bCs/>
          <w:color w:val="auto"/>
          <w:sz w:val="24"/>
          <w:szCs w:val="24"/>
          <w:highlight w:val="none"/>
          <w:lang w:val="en-US" w:eastAsia="zh-CN"/>
        </w:rPr>
        <w:t xml:space="preserve">月甲方组织属地村对相应标段进行</w:t>
      </w:r>
      <w:r>
        <w:rPr>
          <w:rFonts w:hint="eastAsia" w:asciiTheme="minorEastAsia" w:hAnsiTheme="minorEastAsia" w:eastAsiaTheme="minorEastAsia" w:cstheme="minorEastAsia"/>
          <w:b/>
          <w:bCs/>
          <w:color w:val="auto"/>
          <w:sz w:val="24"/>
          <w:szCs w:val="24"/>
          <w:highlight w:val="none"/>
          <w:lang w:val="en-US" w:eastAsia="zh-CN"/>
        </w:rPr>
        <w:t xml:space="preserve">考核</w:t>
      </w:r>
      <w:r>
        <w:rPr>
          <w:rFonts w:hint="eastAsia" w:asciiTheme="minorEastAsia" w:hAnsiTheme="minorEastAsia" w:cstheme="minorEastAsia"/>
          <w:b/>
          <w:bCs/>
          <w:color w:val="auto"/>
          <w:sz w:val="24"/>
          <w:szCs w:val="24"/>
          <w:highlight w:val="none"/>
          <w:lang w:val="en-US" w:eastAsia="zh-CN"/>
        </w:rPr>
        <w:t xml:space="preserve">，每季度汇总</w:t>
      </w:r>
      <w:r>
        <w:rPr>
          <w:rFonts w:hint="eastAsia" w:asciiTheme="minorEastAsia" w:hAnsiTheme="minorEastAsia" w:eastAsiaTheme="minorEastAsia" w:cstheme="minorEastAsia"/>
          <w:b/>
          <w:bCs/>
          <w:color w:val="auto"/>
          <w:sz w:val="24"/>
          <w:szCs w:val="24"/>
          <w:highlight w:val="none"/>
          <w:lang w:val="en-US" w:eastAsia="zh-CN"/>
        </w:rPr>
        <w:t xml:space="preserve">一次</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水面及河岸两侧清洁程度以每次百分考核记录为依据，年度平均得分在90分以上（含90分）按合同价</w:t>
      </w:r>
      <w:r>
        <w:rPr>
          <w:rFonts w:hint="eastAsia" w:asciiTheme="minorEastAsia" w:hAnsiTheme="minorEastAsia" w:cstheme="minorEastAsia"/>
          <w:b/>
          <w:bCs/>
          <w:color w:val="auto"/>
          <w:sz w:val="24"/>
          <w:szCs w:val="24"/>
          <w:highlight w:val="none"/>
          <w:lang w:val="en-US" w:eastAsia="zh-CN"/>
        </w:rPr>
        <w:t xml:space="preserve">拨付</w:t>
      </w:r>
      <w:r>
        <w:rPr>
          <w:rFonts w:hint="eastAsia" w:asciiTheme="minorEastAsia" w:hAnsiTheme="minorEastAsia" w:eastAsiaTheme="minorEastAsia" w:cstheme="minorEastAsia"/>
          <w:b/>
          <w:bCs/>
          <w:color w:val="auto"/>
          <w:sz w:val="24"/>
          <w:szCs w:val="24"/>
          <w:highlight w:val="none"/>
          <w:lang w:val="en-US" w:eastAsia="zh-CN"/>
        </w:rPr>
        <w:t xml:space="preserve">；年度平均得分在80分（含）-90分（不含），以90分为基准，每少一分按年均价格的1%扣除；年度平均得分在80分</w:t>
      </w:r>
      <w:r>
        <w:rPr>
          <w:rFonts w:hint="eastAsia" w:asciiTheme="minorEastAsia" w:hAnsiTheme="minorEastAsia" w:cstheme="minorEastAsia"/>
          <w:b/>
          <w:bCs/>
          <w:color w:val="auto"/>
          <w:sz w:val="24"/>
          <w:szCs w:val="24"/>
          <w:highlight w:val="none"/>
          <w:lang w:val="en-US" w:eastAsia="zh-CN"/>
        </w:rPr>
        <w:t xml:space="preserve">（含）-70分（不含）</w:t>
      </w:r>
      <w:r>
        <w:rPr>
          <w:rFonts w:hint="eastAsia" w:asciiTheme="minorEastAsia" w:hAnsiTheme="minorEastAsia" w:eastAsiaTheme="minorEastAsia" w:cstheme="minorEastAsia"/>
          <w:b/>
          <w:bCs/>
          <w:color w:val="auto"/>
          <w:sz w:val="24"/>
          <w:szCs w:val="24"/>
          <w:highlight w:val="none"/>
          <w:lang w:val="en-US" w:eastAsia="zh-CN"/>
        </w:rPr>
        <w:t xml:space="preserve">以下，以90分为基准，每少一分按年均价格的2%扣除</w:t>
      </w:r>
      <w:r>
        <w:rPr>
          <w:rFonts w:hint="eastAsia" w:asciiTheme="minorEastAsia" w:hAnsiTheme="minorEastAsia" w:cstheme="minorEastAsia"/>
          <w:b/>
          <w:bCs/>
          <w:color w:val="auto"/>
          <w:sz w:val="24"/>
          <w:szCs w:val="24"/>
          <w:highlight w:val="none"/>
          <w:lang w:val="en-US" w:eastAsia="zh-CN"/>
        </w:rPr>
        <w:t xml:space="preserve">。</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本项目服务期限三年，服务合同三年一签，经采购人连续三年考核年度平均得分在</w:t>
      </w:r>
      <w:r>
        <w:rPr>
          <w:rFonts w:hint="eastAsia" w:asciiTheme="minorEastAsia" w:hAnsiTheme="minorEastAsia" w:cstheme="minorEastAsia"/>
          <w:b/>
          <w:bCs/>
          <w:color w:val="auto"/>
          <w:sz w:val="24"/>
          <w:szCs w:val="24"/>
          <w:highlight w:val="none"/>
          <w:lang w:val="en-US" w:eastAsia="zh-CN"/>
        </w:rPr>
        <w:t xml:space="preserve">95</w:t>
      </w:r>
      <w:r>
        <w:rPr>
          <w:rFonts w:hint="eastAsia" w:asciiTheme="minorEastAsia" w:hAnsiTheme="minorEastAsia" w:eastAsiaTheme="minorEastAsia" w:cstheme="minorEastAsia"/>
          <w:b/>
          <w:bCs/>
          <w:color w:val="auto"/>
          <w:sz w:val="24"/>
          <w:szCs w:val="24"/>
          <w:highlight w:val="none"/>
          <w:lang w:val="en-US" w:eastAsia="zh-CN"/>
        </w:rPr>
        <w:t xml:space="preserve">分以上，可续签服务合同。</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10、因</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管理不善，造成保洁范围内的设施、设备、景观等损坏的，由直接责任人赔偿，若直接责任人因故无法赔偿的，采购人有权视情节要求成交单位按损失金额的10%--20%赔偿。</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提供每条船（编号）固定保洁员清单一览表清单。</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四、投标报价说明</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4.1.</w:t>
      </w:r>
      <w:r>
        <w:rPr>
          <w:rFonts w:hint="eastAsia" w:asciiTheme="minorEastAsia" w:hAnsiTheme="minorEastAsia" w:eastAsiaTheme="minorEastAsia" w:cstheme="minorEastAsia"/>
          <w:color w:val="auto"/>
          <w:sz w:val="24"/>
          <w:szCs w:val="24"/>
          <w:highlight w:val="none"/>
          <w:lang w:val="en-US" w:eastAsia="zh-CN"/>
        </w:rPr>
        <w:t xml:space="preserve">1、投标人在投报价格时应充分考虑以下因素：</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各投标单位应结合现场实际情况和河道保洁服务基本要求进行报价。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报价应考虑整个承包期限内的河道涉及的全部保洁内容。</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报价应充分考虑保洁服务期间各种潜在风险，包括工人的意外伤害、落水等造成人员伤亡及财产损失及赔偿的风险。</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保洁服务人员的安全管理、保险及相关费用。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实际保洁服务周期不足招标</w:t>
      </w:r>
      <w:r>
        <w:rPr>
          <w:rFonts w:hint="eastAsia" w:asciiTheme="minorEastAsia" w:hAnsiTheme="minorEastAsia" w:cstheme="minorEastAsia"/>
          <w:color w:val="auto"/>
          <w:sz w:val="24"/>
          <w:szCs w:val="24"/>
          <w:highlight w:val="none"/>
          <w:lang w:val="en-US" w:eastAsia="zh-CN"/>
        </w:rPr>
        <w:t xml:space="preserve">预订服务</w:t>
      </w:r>
      <w:r>
        <w:rPr>
          <w:rFonts w:hint="eastAsia" w:asciiTheme="minorEastAsia" w:hAnsiTheme="minorEastAsia" w:eastAsiaTheme="minorEastAsia" w:cstheme="minorEastAsia"/>
          <w:color w:val="auto"/>
          <w:sz w:val="24"/>
          <w:szCs w:val="24"/>
          <w:highlight w:val="none"/>
          <w:lang w:val="en-US" w:eastAsia="zh-CN"/>
        </w:rPr>
        <w:t xml:space="preserve">周期的报价风险（服务周期具体起止时间按照合同中的约定）。</w:t>
      </w:r>
      <w:r/>
    </w:p>
    <w:p>
      <w:pPr>
        <w:ind w:firstLine="482"/>
        <w:spacing w:line="440" w:lineRule="exact"/>
        <w:rPr>
          <w:rFonts w:hint="eastAsia" w:ascii="宋体" w:hAnsi="宋体" w:eastAsia="宋体" w:cs="宋体"/>
          <w:color w:val="auto"/>
          <w:szCs w:val="28"/>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、安全责任：</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中标人必须为所有工作人员购买意外保险（有效期为合同期间），每人理赔金额不少于100万元（人民币）。中标人必须在签订合同前提供购买保险证明原件，否则</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有权按不按规定签订合同处理。</w:t>
      </w:r>
      <w:r/>
    </w:p>
    <w:p>
      <w:pPr>
        <w:ind w:firstLine="480"/>
        <w:spacing w:line="48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w:t>
      </w:r>
      <w:r>
        <w:rPr>
          <w:rFonts w:hint="eastAsia" w:ascii="宋体" w:hAnsi="宋体" w:cs="宋体"/>
          <w:color w:val="auto"/>
          <w:sz w:val="24"/>
          <w:szCs w:val="24"/>
          <w:highlight w:val="none"/>
          <w:lang w:val="en-US" w:eastAsia="zh-CN"/>
        </w:rPr>
        <w:t xml:space="preserve">中标人所有工作人员必须统一工作服及头盔等以及生产必备的各类作业工具、保洁的日常易耗品、工具等物品，并按照甲方要求足额配备到位，满足本项目需求。</w:t>
      </w:r>
      <w:r/>
    </w:p>
    <w:p>
      <w:pPr>
        <w:ind w:firstLine="480"/>
        <w:spacing w:line="48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5.3、中标人保洁船、车辆等设备必须配备安全救生工具。</w:t>
      </w:r>
      <w:r/>
    </w:p>
    <w:p>
      <w:pPr>
        <w:ind w:left="0" w:firstLine="480"/>
        <w:keepLines w:val="0"/>
        <w:keepNext w:val="0"/>
        <w:pageBreakBefore w:val="0"/>
        <w:spacing w:line="50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中标人必须严格遵守相关安全规定、操作规范，依法从事漂浮物打捞保洁工作。中标人须加强所有工作人员的管理，并承担所有工作人员的安全责任（包括交通安全、服务安全、人员损伤等）。由此而产生的安全责任、经济损失等均由中标人承担，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无关。</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cstheme="minorEastAsia"/>
          <w:b/>
          <w:bCs/>
          <w:color w:val="auto"/>
          <w:sz w:val="24"/>
          <w:szCs w:val="24"/>
          <w:highlight w:val="none"/>
          <w:lang w:val="en-US" w:eastAsia="zh-CN"/>
        </w:rPr>
        <w:t xml:space="preserve">其他综合</w:t>
      </w:r>
      <w:r>
        <w:rPr>
          <w:rFonts w:hint="eastAsia" w:asciiTheme="minorEastAsia" w:hAnsiTheme="minorEastAsia" w:eastAsiaTheme="minorEastAsia" w:cstheme="minorEastAsia"/>
          <w:b/>
          <w:bCs/>
          <w:color w:val="auto"/>
          <w:sz w:val="24"/>
          <w:szCs w:val="24"/>
          <w:highlight w:val="none"/>
          <w:lang w:val="en-US" w:eastAsia="zh-CN"/>
        </w:rPr>
        <w:t xml:space="preserve">说明：</w:t>
      </w:r>
      <w:r>
        <w:rPr>
          <w:rFonts w:hint="eastAsia" w:asciiTheme="minorEastAsia" w:hAnsiTheme="minorEastAsia" w:eastAsiaTheme="minorEastAsia" w:cstheme="minorEastAsia"/>
          <w:color w:val="auto"/>
          <w:sz w:val="24"/>
          <w:szCs w:val="24"/>
          <w:highlight w:val="none"/>
          <w:lang w:val="en-US" w:eastAsia="zh-CN"/>
        </w:rPr>
        <w:t xml:space="preserve"> </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须按照本招标文件的要求对该招标项目进行服务工作。</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必须对招标文件中提出的全部服务要求进行响应投标。</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2、服务要求：《水域保洁管理标准</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河道保洁考核评分表》及《水域保洁船只使用管理办法》进行检查考核和验收。对</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提出的关于河道保洁服务合理的建议应予执行。</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因国家城市建设或其他特殊情况提出的确需变更的事项应予遵守，因此而涉及合同事项的变更，由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和</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协商解决。</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3、因</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管理不善，造成保洁服务范围内的公共设施设备毁坏、损坏，由</w:t>
      </w:r>
      <w:r>
        <w:rPr>
          <w:rFonts w:hint="eastAsia" w:asciiTheme="minorEastAsia" w:hAnsiTheme="minorEastAsia" w:cstheme="minorEastAsia"/>
          <w:color w:val="auto"/>
          <w:sz w:val="24"/>
          <w:szCs w:val="24"/>
          <w:highlight w:val="none"/>
          <w:lang w:val="en-US" w:eastAsia="zh-CN"/>
        </w:rPr>
        <w:t xml:space="preserve">乙方补偿</w:t>
      </w:r>
      <w:r>
        <w:rPr>
          <w:rFonts w:hint="eastAsia" w:asciiTheme="minorEastAsia" w:hAnsiTheme="minorEastAsia" w:eastAsiaTheme="minorEastAsia" w:cstheme="minorEastAsia"/>
          <w:color w:val="auto"/>
          <w:sz w:val="24"/>
          <w:szCs w:val="24"/>
          <w:highlight w:val="none"/>
          <w:lang w:val="en-US" w:eastAsia="zh-CN"/>
        </w:rPr>
        <w:t xml:space="preserve">或直接责任人赔偿。造成重大损失的由直接责任人赔偿的，若直接责任人因故无法赔偿的，</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有权要求</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按实际损失金额赔偿。</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工作人员在岗履行职责期间（包括上下班途中），发生自身的人身伤害、伤亡，均由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负责处理并承担经济和道义上的责任，招标单位不承担任何责任。</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违反国家相关法规，与聘用人员发生纠纷，均由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负责调解与处理，招标单位不承担责任。</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6、投标文件中明确的项目组人员、设备与进场作业人员、设备应该一致，</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不得随意更换，如发现未经</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许可随意更换所有管理及主要技术人员（以投标文件《项目成员情况表》中列出的人员为准）及设备，按中标方违约处理。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人员进场，需持有身份证，经与投标文件核对无误，方能上岗工作，人员变动，需法定代表人签字或盖章，阐明变动原因，并需经</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同意。</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所需的全部工作装备和耗材均由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负责提供。</w:t>
      </w:r>
      <w:r/>
    </w:p>
    <w:p>
      <w:pPr>
        <w:ind w:firstLine="48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6.9</w:t>
      </w:r>
      <w:r>
        <w:rPr>
          <w:rFonts w:hint="eastAsia" w:asciiTheme="minorEastAsia" w:hAnsiTheme="minorEastAsia" w:eastAsiaTheme="minorEastAsia" w:cstheme="minorEastAsia"/>
          <w:color w:val="auto"/>
          <w:sz w:val="24"/>
          <w:szCs w:val="24"/>
          <w:highlight w:val="none"/>
          <w:lang w:val="en-US" w:eastAsia="zh-CN"/>
        </w:rPr>
        <w:t xml:space="preserve">、服务交接时间：中标后，由采购单位根据服务到期移交进度，另行通知进场时间，并按实际服务期结算费用。</w:t>
      </w:r>
      <w:r/>
    </w:p>
    <w:p>
      <w:pPr>
        <w:pStyle w:val="892"/>
        <w:ind w:firstLine="480"/>
        <w:jc w:val="both"/>
        <w:spacing w:beforeAutospacing="0" w:afterAutospacing="0" w:line="460" w:lineRule="exact"/>
        <w:rPr>
          <w:rFonts w:cs="宋体"/>
        </w:rPr>
      </w:pPr>
      <w:r>
        <w:rPr>
          <w:rFonts w:hint="eastAsia" w:cs="宋体"/>
          <w:lang w:val="en-US" w:eastAsia="zh-CN"/>
        </w:rPr>
        <w:t xml:space="preserve">6.10、</w:t>
      </w:r>
      <w:r>
        <w:rPr>
          <w:rFonts w:hint="eastAsia" w:cs="宋体"/>
        </w:rPr>
        <w:t xml:space="preserve">本项目</w:t>
      </w:r>
      <w:r>
        <w:rPr>
          <w:rFonts w:hint="eastAsia" w:cs="宋体"/>
          <w:u w:val="single"/>
        </w:rPr>
        <w:t xml:space="preserve">不接受</w:t>
      </w:r>
      <w:r>
        <w:rPr>
          <w:rFonts w:hint="eastAsia" w:cs="宋体"/>
        </w:rPr>
        <w:t xml:space="preserve">进口产品投标。</w:t>
      </w:r>
      <w:r/>
    </w:p>
    <w:p>
      <w:pPr>
        <w:pStyle w:val="892"/>
        <w:jc w:val="both"/>
        <w:spacing w:beforeAutospacing="0" w:afterAutospacing="0" w:line="460" w:lineRule="exact"/>
      </w:pPr>
      <w:r>
        <w:rPr>
          <w:rFonts w:hint="eastAsia" w:cs="宋体"/>
        </w:rPr>
        <w:t xml:space="preserve">    采购标的对应的中小企业划分标准所属行业一览表</w:t>
      </w:r>
      <w:r/>
    </w:p>
    <w:tbl>
      <w:tblPr>
        <w:tblStyle w:val="882"/>
        <w:tblW w:w="745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8"/>
        <w:gridCol w:w="3882"/>
        <w:gridCol w:w="266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2"/>
              <w:jc w:val="center"/>
              <w:spacing w:beforeAutospacing="0" w:afterAutospacing="0" w:line="0" w:lineRule="atLeast"/>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892"/>
              <w:jc w:val="center"/>
              <w:spacing w:beforeAutospacing="0" w:afterAutospacing="0" w:line="0" w:lineRule="atLeast"/>
            </w:pPr>
            <w:r>
              <w:rPr>
                <w:rFonts w:hint="eastAsia"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92"/>
              <w:jc w:val="center"/>
              <w:spacing w:beforeAutospacing="0" w:afterAutospacing="0" w:line="0" w:lineRule="atLeast"/>
            </w:pPr>
            <w:r>
              <w:rPr>
                <w:rFonts w:hint="eastAsia"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2"/>
              <w:jc w:val="center"/>
              <w:spacing w:beforeAutospacing="0" w:afterAutospacing="0" w:line="0" w:lineRule="atLeast"/>
            </w:pPr>
            <w:r>
              <w:rPr>
                <w:rFonts w:hint="eastAsia"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892"/>
              <w:jc w:val="center"/>
              <w:spacing w:beforeAutospacing="0" w:afterAutospacing="0" w:line="0" w:lineRule="atLeast"/>
              <w:rPr>
                <w:rFonts w:hint="eastAsia" w:eastAsiaTheme="minorEastAsia"/>
                <w:lang w:eastAsia="zh-CN"/>
              </w:rPr>
            </w:pPr>
            <w:r>
              <w:rPr>
                <w:rFonts w:hint="eastAsia"/>
                <w:lang w:eastAsia="zh-CN"/>
              </w:rPr>
              <w:t xml:space="preserve">盐城市新洋经济区河道保洁服务项目</w:t>
            </w:r>
            <w:r/>
          </w:p>
        </w:tc>
        <w:tc>
          <w:tcPr>
            <w:shd w:val="clear" w:color="auto" w:fill="auto"/>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92"/>
              <w:jc w:val="center"/>
              <w:spacing w:beforeAutospacing="0" w:afterAutospacing="0" w:line="0" w:lineRule="atLeast"/>
            </w:pPr>
            <w:r>
              <w:rPr>
                <w:rFonts w:hint="eastAsia"/>
              </w:rPr>
              <w:t xml:space="preserve">其他未列明行业（技术服务业）</w:t>
            </w:r>
            <w:r>
              <w:t xml:space="preserve"> </w:t>
            </w:r>
            <w:r/>
          </w:p>
        </w:tc>
      </w:tr>
    </w:tbl>
    <w:p>
      <w:pPr>
        <w:ind w:firstLine="48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92"/>
        <w:jc w:val="center"/>
        <w:keepNext/>
        <w:spacing w:beforeAutospacing="0" w:afterAutospacing="0" w:line="360" w:lineRule="auto"/>
      </w:pPr>
      <w:r>
        <w:t xml:space="preserve"> </w:t>
      </w:r>
      <w:r/>
    </w:p>
    <w:p>
      <w:pPr>
        <w:ind w:left="0" w:firstLine="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rPr>
          <w:rFonts w:hint="eastAsia" w:asciiTheme="minorEastAsia" w:hAnsiTheme="minorEastAsia" w:eastAsiaTheme="minorEastAsia" w:cstheme="minorEastAsia"/>
          <w:color w:val="auto"/>
          <w:sz w:val="24"/>
          <w:szCs w:val="24"/>
          <w:highlight w:val="none"/>
          <w:lang w:val="en-US" w:eastAsia="zh-CN"/>
        </w:rPr>
      </w:r>
      <w:r/>
    </w:p>
    <w:p>
      <w:pPr>
        <w:ind w:left="0" w:firstLine="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rPr>
          <w:rFonts w:hint="eastAsia" w:asciiTheme="minorEastAsia" w:hAnsiTheme="minorEastAsia" w:eastAsiaTheme="minorEastAsia" w:cstheme="minorEastAsia"/>
          <w:color w:val="auto"/>
          <w:sz w:val="24"/>
          <w:szCs w:val="24"/>
          <w:highlight w:val="none"/>
          <w:lang w:val="en-US" w:eastAsia="zh-CN"/>
        </w:rPr>
      </w:r>
      <w:r/>
    </w:p>
    <w:p>
      <w:pPr>
        <w:ind w:left="0" w:firstLine="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附件一：《水域保洁管理标准》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1、通用标准：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（1）保洁范围要求：河道两岸之间的水域。河道两岸保洁范围至各支河口的阻拦网，水闸处保洁至闸门。设备运行、维护，垃圾日产日清，铲车、垃圾清运车等工具由乙方负责，运行产生电费乙方负责。</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（2）保洁内容：本项目采购范围内的河道水域垃圾、水生植物打捞；垃圾上岸点的日常管理和保洁工作。对水上筑坝和河岸上乱开挖、乱堆放、建筑垃圾倾倒等违法违规行为及时制止并报告</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。水域保洁产生的垃圾应转运到指定的位置，做到垃圾、杂物日产日清，保洁船舱无积存垃圾。如遇水草等大面积水生植物，</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则需增加船只数量，满足保洁要求。</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保洁时间：上午7:00-11:00、下午13:30—17:30，上午10点前完成本项目采购范围内普捞，作业时间内船只人员不得离开保洁区域。5月-11月，每条船上午、下午须在责任区段内至少完成各两遍巡回保洁，12月-4月，每条船上午、下午须在责任区段内至少完成各一遍巡回保洁。</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可视季节情况酌情调整作业时间。</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保洁服务时间应包括所有节假日，并根据不同区域的特点合理调配保洁船只和人数。乙方应做好人员配备的统筹安排工作，做到不违法用工。对于质量不符合甲方要求，有重大活动保障或临时突击任务时应无条件满足甲方要求，增派人员，完成甲方布置的工作。同时要准备好一支突击保洁队伍，随时应对各种突击保洁工作。</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（5）人员作业要求：</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A</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单位必须定员定岗、定保洁河段、定保洁要求，认真开展各项工作。保洁时间段，严禁人员脱岗，如遇保洁人员临时请假等事宜，</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单位除了立即向甲方业务科室报备以外，须在2小时内安排替班人员到位。</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B</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保洁人员必须会游泳，统一着装，文明作业，打捞作业时必须穿着救</w:t>
      </w:r>
      <w:r>
        <w:rPr>
          <w:rFonts w:hint="eastAsia" w:asciiTheme="minorEastAsia" w:hAnsiTheme="minorEastAsia" w:cstheme="minorEastAsia"/>
          <w:color w:val="auto"/>
          <w:sz w:val="24"/>
          <w:szCs w:val="24"/>
          <w:highlight w:val="none"/>
          <w:lang w:val="en-US" w:eastAsia="zh-CN"/>
        </w:rPr>
        <w:t xml:space="preserve">生</w:t>
      </w:r>
      <w:r>
        <w:rPr>
          <w:rFonts w:hint="eastAsia" w:asciiTheme="minorEastAsia" w:hAnsiTheme="minorEastAsia" w:eastAsiaTheme="minorEastAsia" w:cstheme="minorEastAsia"/>
          <w:color w:val="auto"/>
          <w:sz w:val="24"/>
          <w:szCs w:val="24"/>
          <w:highlight w:val="none"/>
          <w:lang w:val="en-US" w:eastAsia="zh-CN"/>
        </w:rPr>
        <w:t xml:space="preserve">衣。保洁船必须符合合同要求，</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应做好船只各项检验和相关费用的缴纳工作，使用统一标记，保持船况良好，船容整洁，安全作业。</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C</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禁止酒后作业。</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D</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作业船只清洁有序，状况良好。打捞工具及时清理干净并保管好，不得随意乱放。</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E</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工作时间要集中注意力，避免发生撞船或落水，如有意外事故责任由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承担。</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F</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同事之间要和睦相处，严禁将河道打捞物抛入</w:t>
      </w:r>
      <w:r>
        <w:rPr>
          <w:rFonts w:hint="eastAsia" w:asciiTheme="minorEastAsia" w:hAnsiTheme="minorEastAsia" w:cstheme="minorEastAsia"/>
          <w:color w:val="auto"/>
          <w:sz w:val="24"/>
          <w:szCs w:val="24"/>
          <w:highlight w:val="none"/>
          <w:lang w:val="en-US" w:eastAsia="zh-CN"/>
        </w:rPr>
        <w:t xml:space="preserve">其他</w:t>
      </w:r>
      <w:r>
        <w:rPr>
          <w:rFonts w:hint="eastAsia" w:asciiTheme="minorEastAsia" w:hAnsiTheme="minorEastAsia" w:eastAsiaTheme="minorEastAsia" w:cstheme="minorEastAsia"/>
          <w:color w:val="auto"/>
          <w:sz w:val="24"/>
          <w:szCs w:val="24"/>
          <w:highlight w:val="none"/>
          <w:lang w:val="en-US" w:eastAsia="zh-CN"/>
        </w:rPr>
        <w:t xml:space="preserve">河道。</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G</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作业设备保持整洁，状况良好。外表无乱挂放，工具摆放整齐。</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2、河道保洁质量标准：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（1）河道保洁作业上午首轮保洁应在8:00前完成。</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（2）河面以及生态浮岛周边无垃圾、水草、树叶、树枝等漂浮物；凡属圩区性质的内河保洁范围至外河接口河边处。</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（3）驳岸</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包括压顶</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、堤岸、河桥踏步做到无垃圾、杂草、树叶、树枝等。</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（4）河滩、弯道处无垃圾沉淀死角。</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（5）水域内桥梁支柱、基础、附属设施做到无垃圾等。</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（6）桥洞内无垃圾、杂物等。</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3、河道垃圾堆放质量标准：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（1）河道垃圾应放置在指定垃圾桶内，并将沿口清理干净，盖好盖。如周边无垃圾桶的，则打包装入垃圾袋，存放在指定场所定期清运。</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（2）垃圾桶要每日清洗，外表清洁。发现垃圾容器缺失、损坏的要及时通知</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增添、维修、更换。</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4、河道垃圾收集质量标准：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（1）除河道垃圾指定地点堆放外，</w:t>
      </w:r>
      <w:r>
        <w:rPr>
          <w:rFonts w:hint="eastAsia" w:asciiTheme="minorEastAsia" w:hAnsiTheme="minorEastAsia" w:cstheme="minorEastAsia"/>
          <w:color w:val="auto"/>
          <w:sz w:val="24"/>
          <w:szCs w:val="24"/>
          <w:highlight w:val="none"/>
          <w:lang w:val="en-US" w:eastAsia="zh-CN"/>
        </w:rPr>
        <w:t xml:space="preserve">其他</w:t>
      </w:r>
      <w:r>
        <w:rPr>
          <w:rFonts w:hint="eastAsia" w:asciiTheme="minorEastAsia" w:hAnsiTheme="minorEastAsia" w:eastAsiaTheme="minorEastAsia" w:cstheme="minorEastAsia"/>
          <w:color w:val="auto"/>
          <w:sz w:val="24"/>
          <w:szCs w:val="24"/>
          <w:highlight w:val="none"/>
          <w:lang w:val="en-US" w:eastAsia="zh-CN"/>
        </w:rPr>
        <w:t xml:space="preserve">区域垃圾收集作业做到车走地净。</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（2）河道垃圾收集做到日产日清。垃圾较多的河道以及重点区域应每日二次收集垃圾，确保垃圾不满溢。第一次收集时间：08:00-11:00，第二次收集：13:00-18:00（</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可根据季节等原因进行调整）。</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（3）收集结束后垃圾桶容器及时复位、摆放整齐。</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（4）垃圾收集运输途中做到密闭运输、不抛洒滴漏、不得超载。</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（5）垃圾应运至指定的中转站点，在进入中转场所后的排水、卸料等作业过程应严格遵守相关管理规定，服从相关人员指挥。</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（6）苍蝇</w:t>
      </w:r>
      <w:r>
        <w:rPr>
          <w:rFonts w:hint="eastAsia" w:asciiTheme="minorEastAsia" w:hAnsiTheme="minorEastAsia" w:cstheme="minorEastAsia"/>
          <w:color w:val="auto"/>
          <w:sz w:val="24"/>
          <w:szCs w:val="24"/>
          <w:highlight w:val="none"/>
          <w:lang w:val="en-US" w:eastAsia="zh-CN"/>
        </w:rPr>
        <w:t xml:space="preserve">滋生</w:t>
      </w:r>
      <w:r>
        <w:rPr>
          <w:rFonts w:hint="eastAsia" w:asciiTheme="minorEastAsia" w:hAnsiTheme="minorEastAsia" w:eastAsiaTheme="minorEastAsia" w:cstheme="minorEastAsia"/>
          <w:color w:val="auto"/>
          <w:sz w:val="24"/>
          <w:szCs w:val="24"/>
          <w:highlight w:val="none"/>
          <w:lang w:val="en-US" w:eastAsia="zh-CN"/>
        </w:rPr>
        <w:t xml:space="preserve">季节及时消杀（消杀时间为：4月-11月），做到基本无蝇。</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（7）如有突发事故，水生植物爆发性生长，应完全配合</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要求。</w:t>
      </w:r>
      <w:r/>
    </w:p>
    <w:p>
      <w:pPr>
        <w:ind w:left="0" w:firstLine="482"/>
        <w:keepLines w:val="0"/>
        <w:keepNext w:val="0"/>
        <w:pageBreakBefore w:val="0"/>
        <w:spacing w:line="480" w:lineRule="auto"/>
        <w:widowControl w:val="off"/>
        <w:tabs>
          <w:tab w:val="left" w:pos="900" w:leader="none"/>
        </w:tabs>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zh-CN"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lang w:val="zh-CN" w:eastAsia="zh-CN"/>
        </w:rPr>
        <w:t xml:space="preserve">）</w:t>
      </w:r>
      <w:r>
        <w:rPr>
          <w:rFonts w:hint="eastAsia" w:asciiTheme="minorEastAsia" w:hAnsiTheme="minorEastAsia" w:cstheme="minorEastAsia"/>
          <w:b/>
          <w:bCs/>
          <w:color w:val="auto"/>
          <w:sz w:val="24"/>
          <w:szCs w:val="24"/>
          <w:highlight w:val="none"/>
          <w:lang w:val="en-US" w:eastAsia="zh-CN"/>
        </w:rPr>
        <w:t xml:space="preserve">甲方</w:t>
      </w:r>
      <w:r>
        <w:rPr>
          <w:rFonts w:hint="eastAsia" w:asciiTheme="minorEastAsia" w:hAnsiTheme="minorEastAsia" w:eastAsiaTheme="minorEastAsia" w:cstheme="minorEastAsia"/>
          <w:b/>
          <w:bCs/>
          <w:color w:val="auto"/>
          <w:sz w:val="24"/>
          <w:szCs w:val="24"/>
          <w:highlight w:val="none"/>
          <w:lang w:val="en-US" w:eastAsia="zh-CN"/>
        </w:rPr>
        <w:t xml:space="preserve">制定考核办法和标准，</w:t>
      </w:r>
      <w:r>
        <w:rPr>
          <w:rFonts w:hint="eastAsia" w:asciiTheme="minorEastAsia" w:hAnsiTheme="minorEastAsia" w:cstheme="minorEastAsia"/>
          <w:b/>
          <w:bCs/>
          <w:color w:val="auto"/>
          <w:sz w:val="24"/>
          <w:szCs w:val="24"/>
          <w:highlight w:val="none"/>
          <w:lang w:val="en-US" w:eastAsia="zh-CN"/>
        </w:rPr>
        <w:t xml:space="preserve">连续3个月考核不达标甲方有权解除合同。</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5、其他</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必须建立河道保洁日查和考勤、考核制度，每日进行自查，并按统一检查表登记。</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（2）如遇重大活动或重要节日、突发环境卫生事件，</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必须服从甲方的统一安排和调度，配合做好突击性保洁工作。</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必须承诺所聘用标段内保洁人员、船只安全的全部责任，在河道保洁的过程中发生的一切安全问题，均由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自行负责，与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无关。</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6、对项目负责人的考核标准：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对全标段河道保洁工作负总责，负责人员安排和相关设备的管理与维</w:t>
      </w:r>
      <w:r>
        <w:rPr>
          <w:rFonts w:hint="eastAsia" w:asciiTheme="minorEastAsia" w:hAnsiTheme="minorEastAsia" w:eastAsiaTheme="minorEastAsia" w:cstheme="minorEastAsia"/>
          <w:color w:val="auto"/>
          <w:sz w:val="24"/>
          <w:szCs w:val="24"/>
          <w:highlight w:val="none"/>
          <w:lang w:val="en-US" w:eastAsia="zh-CN"/>
        </w:rPr>
        <w:t xml:space="preserve">护。</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（2）负责与甲方进行日常工作的联络、沟通，按照甲方相关规章制度及考核要求，定期上报河道保洁情况及有关数据、报表等。未按期完成的，每次扣500元。</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（3）参与甲方组织的定期考核和临时性抽查，对检查发现的问题按要求落实整改。</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（4）严格落实本企业内部考核检查制度，采取定期检查与不定期抽查相结合的方式，督促河道保洁人员按项目要求履职，奖勤罚懒。</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（5）按要求落实甲方与保洁单位临时商定的伴随服务项目，并保证服务质量。</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7、对现场（安全）管理考核标准：</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（1）每天对全标段河道保洁情况进行巡视检查。未按期完成的，每次扣500元。</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（2）监督本项目各项工作的完成情况，发现河道保洁不达标的情况立即组织清洁返工，直至符合要求为止。未按期完成的，每次扣500元。</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（3）对日常巡视检查情况如实进行记录，并制作台账，随时接受甲方检查。未按期完成的，每次扣500元。</w:t>
      </w:r>
      <w:r/>
    </w:p>
    <w:p>
      <w:pPr>
        <w:ind w:left="0" w:firstLine="480"/>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（4）接受甲方督导，发现现场保洁不力、沿线河岸设施损坏及其他突发情况，以拍照上传、电话联系等方式向甲方业务科室及时反馈，并落实整改。未按期完成的，每次扣500元。</w:t>
      </w:r>
      <w:r/>
    </w:p>
    <w:p>
      <w:pPr>
        <w:ind w:left="0" w:firstLine="480"/>
        <w:jc w:val="left"/>
        <w:keepLines w:val="0"/>
        <w:keepNext w:val="0"/>
        <w:pageBreakBefore w:val="0"/>
        <w:spacing w:line="480" w:lineRule="auto"/>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cstheme="minorEastAsia"/>
          <w:b/>
          <w:bCs/>
          <w:color w:val="auto"/>
          <w:sz w:val="24"/>
          <w:szCs w:val="24"/>
          <w:highlight w:val="none"/>
          <w:lang w:val="en-US" w:eastAsia="zh-CN"/>
        </w:rPr>
        <w:t xml:space="preserve">甲方</w:t>
      </w:r>
      <w:r>
        <w:rPr>
          <w:rFonts w:hint="eastAsia" w:asciiTheme="minorEastAsia" w:hAnsiTheme="minorEastAsia" w:eastAsiaTheme="minorEastAsia" w:cstheme="minorEastAsia"/>
          <w:b/>
          <w:bCs/>
          <w:color w:val="auto"/>
          <w:sz w:val="24"/>
          <w:szCs w:val="24"/>
          <w:highlight w:val="none"/>
          <w:lang w:val="en-US" w:eastAsia="zh-CN"/>
        </w:rPr>
        <w:t xml:space="preserve">制定考核办法和标准，</w:t>
      </w:r>
      <w:r>
        <w:rPr>
          <w:rFonts w:hint="eastAsia" w:asciiTheme="minorEastAsia" w:hAnsiTheme="minorEastAsia" w:cstheme="minorEastAsia"/>
          <w:b/>
          <w:bCs/>
          <w:color w:val="auto"/>
          <w:sz w:val="24"/>
          <w:szCs w:val="24"/>
          <w:highlight w:val="none"/>
          <w:lang w:val="en-US" w:eastAsia="zh-CN"/>
        </w:rPr>
        <w:t xml:space="preserve">连续3个月考核不达标甲方有权解除合同。</w:t>
      </w:r>
      <w:r>
        <w:rPr>
          <w:rFonts w:hint="eastAsia" w:asciiTheme="minorEastAsia" w:hAnsiTheme="minorEastAsia" w:eastAsiaTheme="minorEastAsia" w:cstheme="minorEastAsia"/>
          <w:color w:val="auto"/>
          <w:sz w:val="24"/>
          <w:szCs w:val="24"/>
          <w:highlight w:val="none"/>
          <w:lang w:val="en-US" w:eastAsia="zh-CN"/>
        </w:rPr>
        <w:t xml:space="preserve">具体标准按照合同约定。</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9、</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如被上级检查发现保洁不到位或者群众举报查实的，每次、每处扣1000元。被新闻媒体曝光，每次、每处扣2000元。</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10、</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不按时按量完成整改要求，每次扣月度保洁作业费的10%，造成较大影响的，每次扣月度保洁作业费的15%。对于整改质量不符合要求的，逾期不整改或者整改效果不符合要求的，由</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安排其他队伍整改，费用在</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的月度保洁费中扣除。</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11、对合同周期内出现如下重大违规行为之一的</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将终止其合同，并进行通报，同时取消其下一轮参与河道保洁招标的投标权。</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（1）被发现有转包行为的；</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（2）媒体曝光核查或社会反响严重，情况属实且有责累计满3次的；</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（3）</w:t>
      </w:r>
      <w:r>
        <w:rPr>
          <w:rFonts w:hint="eastAsia" w:ascii="宋体" w:hAnsi="宋体" w:eastAsia="宋体" w:cs="Times New Roman"/>
          <w:color w:val="auto"/>
          <w:sz w:val="24"/>
          <w:lang w:eastAsia="zh-CN"/>
        </w:rPr>
        <w:t xml:space="preserve">连续</w:t>
      </w:r>
      <w:r>
        <w:rPr>
          <w:rFonts w:hint="eastAsia" w:ascii="宋体" w:hAnsi="宋体" w:eastAsia="宋体" w:cs="Times New Roman"/>
          <w:color w:val="auto"/>
          <w:sz w:val="24"/>
        </w:rPr>
        <w:t xml:space="preserve">三次考核分数低于70分或年度考核不合格</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（4）拖欠保洁员工资、发生重大安全作业事故等违规行为；</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    （5）其他重大违规行为的。</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rPr>
          <w:rFonts w:hint="eastAsia" w:asciiTheme="minorEastAsia" w:hAnsiTheme="minorEastAsia" w:eastAsiaTheme="minorEastAsia" w:cstheme="minorEastAsia"/>
          <w:color w:val="auto"/>
          <w:sz w:val="24"/>
          <w:szCs w:val="24"/>
          <w:highlight w:val="none"/>
          <w:lang w:val="en-US" w:eastAsia="zh-CN"/>
        </w:rPr>
        <w:t xml:space="preserve">附件二：河道保洁考核评分表</w:t>
      </w:r>
      <w:r/>
    </w:p>
    <w:tbl>
      <w:tblPr>
        <w:tblStyle w:val="882"/>
        <w:tblpPr w:horzAnchor="page" w:tblpX="960" w:vertAnchor="page" w:tblpY="1120" w:leftFromText="180" w:topFromText="0" w:rightFromText="180" w:bottomFromText="0"/>
        <w:tblW w:w="10745" w:type="dxa"/>
        <w:tblInd w:w="0" w:type="dxa"/>
        <w:tblLayout w:type="fixed"/>
        <w:tblCellMar>
          <w:left w:w="108" w:type="dxa"/>
          <w:top w:w="0" w:type="dxa"/>
          <w:right w:w="108" w:type="dxa"/>
          <w:bottom w:w="0" w:type="dxa"/>
        </w:tblCellMar>
        <w:tblLook w:val="04A0" w:firstRow="1" w:lastRow="0" w:firstColumn="1" w:lastColumn="0" w:noHBand="0" w:noVBand="1"/>
      </w:tblPr>
      <w:tblGrid>
        <w:gridCol w:w="978"/>
        <w:gridCol w:w="1651"/>
        <w:gridCol w:w="750"/>
        <w:gridCol w:w="6000"/>
        <w:gridCol w:w="666"/>
        <w:gridCol w:w="700"/>
      </w:tblGrid>
      <w:tr>
        <w:trPr>
          <w:trHeight w:val="557"/>
        </w:trPr>
        <w:tc>
          <w:tcPr>
            <w:tcBorders>
              <w:top w:val="single" w:color="auto" w:sz="4" w:space="0"/>
              <w:left w:val="single" w:color="auto" w:sz="4" w:space="0"/>
              <w:bottom w:val="single" w:color="auto" w:sz="4" w:space="0"/>
              <w:right w:val="single" w:color="auto" w:sz="4" w:space="0"/>
            </w:tcBorders>
            <w:tcW w:w="978"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类别</w:t>
            </w:r>
            <w:r/>
          </w:p>
        </w:tc>
        <w:tc>
          <w:tcPr>
            <w:tcBorders>
              <w:top w:val="single" w:color="auto" w:sz="4" w:space="0"/>
              <w:left w:val="none" w:color="000000" w:sz="4" w:space="0"/>
              <w:bottom w:val="single" w:color="auto" w:sz="4" w:space="0"/>
              <w:right w:val="single" w:color="auto" w:sz="4" w:space="0"/>
            </w:tcBorders>
            <w:tcW w:w="1651"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考核内容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6000"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扣分标准</w:t>
            </w:r>
            <w:r/>
          </w:p>
        </w:tc>
        <w:tc>
          <w:tcPr>
            <w:tcBorders>
              <w:top w:val="single" w:color="auto" w:sz="4" w:space="0"/>
              <w:left w:val="none" w:color="000000" w:sz="4" w:space="0"/>
              <w:bottom w:val="single" w:color="auto" w:sz="4" w:space="0"/>
              <w:right w:val="single" w:color="auto" w:sz="4" w:space="0"/>
            </w:tcBorders>
            <w:tcW w:w="666"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扣分点</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扣分</w:t>
            </w:r>
            <w:r/>
          </w:p>
        </w:tc>
      </w:tr>
      <w:tr>
        <w:trPr>
          <w:trHeight w:val="356"/>
        </w:trPr>
        <w:tc>
          <w:tcPr>
            <w:tcBorders>
              <w:top w:val="none" w:color="000000" w:sz="4" w:space="0"/>
              <w:left w:val="single" w:color="auto" w:sz="4" w:space="0"/>
              <w:bottom w:val="single" w:color="auto" w:sz="4" w:space="0"/>
              <w:right w:val="single" w:color="auto" w:sz="4" w:space="0"/>
            </w:tcBorders>
            <w:tcW w:w="978"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保洁作业质</w:t>
            </w: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量</w:t>
            </w:r>
            <w:r/>
          </w:p>
        </w:tc>
        <w:tc>
          <w:tcPr>
            <w:tcBorders>
              <w:top w:val="none" w:color="000000" w:sz="4" w:space="0"/>
              <w:left w:val="single" w:color="auto" w:sz="4" w:space="0"/>
              <w:bottom w:val="single" w:color="auto" w:sz="4" w:space="0"/>
              <w:right w:val="single" w:color="auto" w:sz="4" w:space="0"/>
            </w:tcBorders>
            <w:tcW w:w="1651"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水面垃圾打捞</w:t>
            </w:r>
            <w:r/>
          </w:p>
        </w:tc>
        <w:tc>
          <w:tcPr>
            <w:tcBorders>
              <w:top w:val="none" w:color="000000" w:sz="4" w:space="0"/>
              <w:left w:val="single" w:color="auto" w:sz="4" w:space="0"/>
              <w:bottom w:val="single" w:color="auto" w:sz="4" w:space="0"/>
              <w:right w:val="single" w:color="auto" w:sz="4" w:space="0"/>
            </w:tcBorders>
            <w:tcW w:w="750" w:type="dxa"/>
            <w:vAlign w:val="center"/>
            <w:vMerge w:val="restart"/>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水面有零星点状漂浮垃圾，发现一处扣0.5分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r>
      <w:tr>
        <w:trPr>
          <w:trHeight w:val="271"/>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水面有成片漂浮垃圾，面积在1平米以内，发现一处扣1分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水面有成片漂浮垃圾，面积在1平米以上，发现一处扣2分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垃圾的收集、清运、处理是否及时，是否符合规定，否则每发现一次扣3分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9"/>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突发性的漂浮物、垃圾、杂物打捞、清理是否及时，否则每发现一次扣0.5-3分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水面水草打捞（包含但不限于水草、水葫芦、绿萍、蓝藻等）</w:t>
            </w:r>
            <w:r/>
          </w:p>
        </w:tc>
        <w:tc>
          <w:tcPr>
            <w:tcBorders>
              <w:top w:val="none" w:color="000000" w:sz="4" w:space="0"/>
              <w:left w:val="single" w:color="auto" w:sz="4" w:space="0"/>
              <w:bottom w:val="single" w:color="auto" w:sz="4" w:space="0"/>
              <w:right w:val="single" w:color="auto" w:sz="4" w:space="0"/>
            </w:tcBorders>
            <w:tcW w:w="750" w:type="dxa"/>
            <w:vAlign w:val="center"/>
            <w:vMerge w:val="restart"/>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水面有水草，面积在1平米以内，发现一处扣0.5分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水面有水草，面积在1-5平米，发现一处扣1分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1770"/>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水面有水草，面积在5平米以上，发现一处扣2分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7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河道附属设施的保洁（包含但不限于河道岸坡各类垃圾；倾倒、死亡树木；垃圾清运；驳岸杂草的清除</w:t>
            </w:r>
            <w:r>
              <w:rPr>
                <w:rFonts w:hint="eastAsia" w:asciiTheme="minorEastAsia" w:hAnsiTheme="minorEastAsia" w:cstheme="minorEastAsia"/>
                <w:color w:val="auto"/>
                <w:sz w:val="21"/>
                <w:szCs w:val="21"/>
                <w:highlight w:val="none"/>
                <w:lang w:val="en-US" w:eastAsia="zh-CN"/>
              </w:rPr>
              <w:t xml:space="preserve">）</w:t>
            </w:r>
            <w:r/>
          </w:p>
        </w:tc>
        <w:tc>
          <w:tcPr>
            <w:tcBorders>
              <w:top w:val="none" w:color="000000" w:sz="4" w:space="0"/>
              <w:left w:val="single" w:color="auto" w:sz="4" w:space="0"/>
              <w:bottom w:val="single" w:color="auto" w:sz="4" w:space="0"/>
              <w:right w:val="single" w:color="auto" w:sz="4" w:space="0"/>
            </w:tcBorders>
            <w:tcW w:w="750" w:type="dxa"/>
            <w:vAlign w:val="center"/>
            <w:vMerge w:val="restart"/>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河道挡墙（包括直立式和护坡式）内有垃圾、杂物，发现一处扣2分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right w:val="single" w:color="auto" w:sz="4" w:space="0"/>
            </w:tcBorders>
            <w:tcW w:w="700" w:type="dxa"/>
            <w:vAlign w:val="center"/>
            <w:vMerge w:val="restart"/>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r>
      <w:tr>
        <w:trPr>
          <w:trHeight w:val="619"/>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水域内桥梁支柱、基础等不干净、发现一处扣1分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1651"/>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检查船只是否干净整洁，</w:t>
            </w:r>
            <w:r>
              <w:rPr>
                <w:rFonts w:hint="eastAsia" w:asciiTheme="minorEastAsia" w:hAnsiTheme="minorEastAsia" w:cstheme="minorEastAsia"/>
                <w:color w:val="auto"/>
                <w:sz w:val="21"/>
                <w:szCs w:val="21"/>
                <w:highlight w:val="none"/>
                <w:lang w:val="en-US" w:eastAsia="zh-CN"/>
              </w:rPr>
              <w:t xml:space="preserve">标识</w:t>
            </w:r>
            <w:r>
              <w:rPr>
                <w:rFonts w:hint="eastAsia" w:asciiTheme="minorEastAsia" w:hAnsiTheme="minorEastAsia" w:eastAsiaTheme="minorEastAsia" w:cstheme="minorEastAsia"/>
                <w:color w:val="auto"/>
                <w:sz w:val="21"/>
                <w:szCs w:val="21"/>
                <w:highlight w:val="none"/>
                <w:lang w:val="en-US" w:eastAsia="zh-CN"/>
              </w:rPr>
              <w:t xml:space="preserve">标志是否完好无缺，否则每发现一次扣2分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船只作业管理</w:t>
            </w:r>
            <w:r/>
          </w:p>
        </w:tc>
        <w:tc>
          <w:tcPr>
            <w:tcBorders>
              <w:top w:val="none" w:color="000000" w:sz="4" w:space="0"/>
              <w:left w:val="single" w:color="auto" w:sz="4" w:space="0"/>
              <w:bottom w:val="single" w:color="auto" w:sz="4" w:space="0"/>
              <w:right w:val="single" w:color="auto" w:sz="4" w:space="0"/>
            </w:tcBorders>
            <w:tcW w:w="750" w:type="dxa"/>
            <w:vAlign w:val="center"/>
            <w:vMerge w:val="restart"/>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检查是否按照甲方批准位置停放船只，否则每发现一次扣1分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right w:val="single" w:color="auto" w:sz="4" w:space="0"/>
            </w:tcBorders>
            <w:tcW w:w="700" w:type="dxa"/>
            <w:vAlign w:val="center"/>
            <w:vMerge w:val="restart"/>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检查船只是否配备救生圈，船上作业人员是否穿救生衣，否则每发现一次扣3分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抽查保洁当班作业船只数量是否满足合同需求，否则每缺一船扣3分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是否按要求完成首遍保洁工作，作业时间是否符合甲方要求，否则每发现一次扣2分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劳动组织和纪律</w:t>
            </w:r>
            <w:r/>
          </w:p>
        </w:tc>
        <w:tc>
          <w:tcPr>
            <w:tcBorders>
              <w:top w:val="none" w:color="000000" w:sz="4" w:space="0"/>
              <w:left w:val="single" w:color="auto" w:sz="4" w:space="0"/>
              <w:bottom w:val="single" w:color="auto" w:sz="4" w:space="0"/>
              <w:right w:val="single" w:color="auto" w:sz="4" w:space="0"/>
            </w:tcBorders>
            <w:tcW w:w="1651" w:type="dxa"/>
            <w:vAlign w:val="center"/>
            <w:vMerge w:val="restart"/>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人员安排、工作纪律</w:t>
            </w:r>
            <w:r/>
          </w:p>
        </w:tc>
        <w:tc>
          <w:tcPr>
            <w:tcBorders>
              <w:top w:val="none" w:color="000000" w:sz="4" w:space="0"/>
              <w:left w:val="single" w:color="auto" w:sz="4" w:space="0"/>
              <w:bottom w:val="single" w:color="auto" w:sz="4" w:space="0"/>
              <w:right w:val="single" w:color="auto" w:sz="4" w:space="0"/>
            </w:tcBorders>
            <w:tcW w:w="750" w:type="dxa"/>
            <w:vAlign w:val="center"/>
            <w:vMerge w:val="restart"/>
            <w:textDirection w:val="lrTb"/>
            <w:noWrap/>
          </w:tcPr>
          <w:p>
            <w:pPr>
              <w:jc w:val="left"/>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检查工人是否按规定要求着装，否则每发现一起扣1分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top w:val="none" w:color="000000" w:sz="4" w:space="0"/>
              <w:left w:val="single" w:color="auto" w:sz="4" w:space="0"/>
              <w:right w:val="single" w:color="auto" w:sz="4" w:space="0"/>
            </w:tcBorders>
            <w:tcW w:w="700" w:type="dxa"/>
            <w:vAlign w:val="center"/>
            <w:vMerge w:val="restart"/>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54"/>
        </w:trPr>
        <w:tc>
          <w:tcPr>
            <w:tcBorders>
              <w:top w:val="none" w:color="000000" w:sz="4" w:space="0"/>
              <w:left w:val="single" w:color="auto" w:sz="4" w:space="0"/>
              <w:bottom w:val="single" w:color="auto" w:sz="4" w:space="0"/>
              <w:right w:val="single" w:color="auto" w:sz="4" w:space="0"/>
            </w:tcBorders>
            <w:tcW w:w="978"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1651"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000" w:type="dxa"/>
            <w:vAlign w:val="center"/>
            <w:textDirection w:val="lrTb"/>
            <w:noWrap/>
          </w:tcPr>
          <w:p>
            <w:pPr>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检查作业工人在作业时间内是否私活等与保洁工作无关的事情，否则每发现一起扣2分</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p>
        </w:tc>
        <w:tc>
          <w:tcPr>
            <w:tcBorders>
              <w:left w:val="single" w:color="auto" w:sz="4" w:space="0"/>
              <w:bottom w:val="single" w:color="auto" w:sz="4" w:space="0"/>
              <w:right w:val="single" w:color="auto" w:sz="4" w:space="0"/>
            </w:tcBorders>
            <w:tcW w:w="700" w:type="dxa"/>
            <w:vAlign w:val="center"/>
            <w:vMerge w:val="continue"/>
            <w:textDirection w:val="lrTb"/>
            <w:noWrap/>
          </w:tcPr>
          <w:p>
            <w:pPr>
              <w:ind w:left="0" w:firstLine="420"/>
              <w:keepLines w:val="0"/>
              <w:keepNext w:val="0"/>
              <w:pageBreakBefore w:val="0"/>
              <w:spacing w:line="24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bl>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附件三：水域保洁船只使用管理办法</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一、作业时间</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水域标段保洁作业时间为上午7:00-11:00、下午13:00—17:30；</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除规定的休息时间，全天保洁不间断保洁。</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若遇重大活动，投标人应无条件服从甲方对保洁时间的调整。</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每日首次水域保洁工作请见具体要求。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二、船只使用管理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在保洁服务期内</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有责任做好船只的保管和看护工作。保证船只正常作业，进行定期检查、定期检修，不得“带病”工作。</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如果船只（含发动机）出现人为损坏或明显的外表缺损，</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须自行支付维修费用且保证船只的正常使用。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若</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在使用期内不遵守甲方管理，擅自将船只挪为他用，</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有权进行处罚，发现一次扣除当月保洁费一千元人民币，发现两次扣除当月保洁费两千元人民币，若发现三次以上，</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有权终止协议的权利。</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必须保持船体外观的完好和整洁，每天船只作业结束后必须对船体内外进行一次清洗。此外，</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每周必须对所有保洁船只进行一次集中的保洁清洗，如船体污垢、油渍、青苔的清理，船舱内彻底冲洗等。</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三、船只停置</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应将船只停靠在</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指定地点且负有看护责任。若船只遗失，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必须补齐船只配备的最低数量。若船只遗失，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必须补齐船只配备的最低数量。</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船只停放时需并排停放整齐。</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非保洁作业时间船只必须停回规定停置地点。</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船只因维修保养等原因不能停回规定地点的需提前报请</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，由</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专职管理人员检查核实。</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四、船只配置</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所有服务于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水域保洁标段的船只中标人必须配备一只手机（号码报</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备案），由船只驾驶员随身携带并24小时开机，以便于随时联系调度。</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所有用于水域保洁的船只都需</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自行购买，购买的船只必须符合</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的要求。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每条保洁船只必须配备两件或两件以上的救生衣及一个救生圈，保证船上的驾乘人员人手一件。</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五、人员配备及其职责</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做好安全检查工作，做到每天出船前、作业中、作业后对船只进行安全检查，重点检查船只设备是否性能完好，船只、设备及人员是否按操作章程进行作业，船只是否清洗干净、防火、防电、防盗等措施是否到位。</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保洁人员在工作时间内（无论是船上作业还是岸坡作业）必须穿工作服及救生衣。</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做好设备维护，</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负责机械设备日常保养与维修，并做好机械设备日常保养与维修台</w:t>
      </w:r>
      <w:r>
        <w:rPr>
          <w:rFonts w:hint="eastAsia" w:asciiTheme="minorEastAsia" w:hAnsiTheme="minorEastAsia" w:cstheme="minorEastAsia"/>
          <w:color w:val="auto"/>
          <w:sz w:val="24"/>
          <w:szCs w:val="24"/>
          <w:highlight w:val="none"/>
          <w:lang w:val="en-US" w:eastAsia="zh-CN"/>
        </w:rPr>
        <w:t xml:space="preserve">账</w:t>
      </w:r>
      <w:r>
        <w:rPr>
          <w:rFonts w:hint="eastAsia" w:asciiTheme="minorEastAsia" w:hAnsiTheme="minorEastAsia" w:eastAsiaTheme="minorEastAsia" w:cstheme="minorEastAsia"/>
          <w:color w:val="auto"/>
          <w:sz w:val="24"/>
          <w:szCs w:val="24"/>
          <w:highlight w:val="none"/>
          <w:lang w:val="en-US" w:eastAsia="zh-CN"/>
        </w:rPr>
        <w:t xml:space="preserve">。</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六、作业要求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须根据实际的河面、天气情况选择适当的保洁方式，作业结束后及时清洗、保养船只。</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保持船容整洁，船体外无污物、灰垢，作业船只标志清晰、齐全，保持良好的船容船貌和技术状况。</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按时出船，在规定时间内完成保洁任务。船上作业人员严禁从事与工作无关的内容</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应严格按操作规程作业，作业过程中严禁随意倾倒垃圾，防止造成二次污染。</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保洁船垃圾仓积满后驳运至规定地点并将仓内冲洗干净。</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保洁船只在完成规定的保洁任务后应在保洁责任区内来回巡视，清理、打捞零星垃圾，禁止长时间停船休息。</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七、</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职责</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人员在上岗前须详细了解作业范围、熟悉现场情况，制定相应的施工组织计划并上报采购人。</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人员在上岗前须进行相应的岗位培训并经考核合格后方能上岗。</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须制定相应的负责人岗位责任制、安全员岗位责任制、维修保养岗位责任制等管理制度，并以此进行内部考核。</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人员须按</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要求穿戴统一制服并佩</w:t>
      </w:r>
      <w:r>
        <w:rPr>
          <w:rFonts w:hint="eastAsia" w:asciiTheme="minorEastAsia" w:hAnsiTheme="minorEastAsia" w:cstheme="minorEastAsia"/>
          <w:color w:val="auto"/>
          <w:sz w:val="24"/>
          <w:szCs w:val="24"/>
          <w:highlight w:val="none"/>
          <w:lang w:val="en-US" w:eastAsia="zh-CN"/>
        </w:rPr>
        <w:t xml:space="preserve">戴</w:t>
      </w:r>
      <w:r>
        <w:rPr>
          <w:rFonts w:hint="eastAsia" w:asciiTheme="minorEastAsia" w:hAnsiTheme="minorEastAsia" w:eastAsiaTheme="minorEastAsia" w:cstheme="minorEastAsia"/>
          <w:color w:val="auto"/>
          <w:sz w:val="24"/>
          <w:szCs w:val="24"/>
          <w:highlight w:val="none"/>
          <w:lang w:val="en-US" w:eastAsia="zh-CN"/>
        </w:rPr>
        <w:t xml:space="preserve">胸卡。</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人员须购买相应的人员商业保险，购买的人员商</w:t>
      </w:r>
      <w:r>
        <w:rPr>
          <w:rFonts w:hint="eastAsia" w:asciiTheme="minorEastAsia" w:hAnsiTheme="minorEastAsia" w:cstheme="minorEastAsia"/>
          <w:color w:val="auto"/>
          <w:sz w:val="24"/>
          <w:szCs w:val="24"/>
          <w:highlight w:val="none"/>
          <w:lang w:val="en-US" w:eastAsia="zh-CN"/>
        </w:rPr>
        <w:t xml:space="preserve">业保</w:t>
      </w:r>
      <w:r>
        <w:rPr>
          <w:rFonts w:hint="eastAsia" w:asciiTheme="minorEastAsia" w:hAnsiTheme="minorEastAsia" w:eastAsiaTheme="minorEastAsia" w:cstheme="minorEastAsia"/>
          <w:color w:val="auto"/>
          <w:sz w:val="24"/>
          <w:szCs w:val="24"/>
          <w:highlight w:val="none"/>
          <w:lang w:val="en-US" w:eastAsia="zh-CN"/>
        </w:rPr>
        <w:t xml:space="preserve">险不得低于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的最低要求，船只保险由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自行考虑，所有的船只、人员事故均由</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承担并处理。</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en-US" w:eastAsia="zh-CN"/>
        </w:rPr>
        <w:t xml:space="preserve">须建立完备的台账资料并随时可提供给采购人。</w:t>
      </w:r>
      <w:r/>
    </w:p>
    <w:p>
      <w:pPr>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附件4：安全生产承诺书</w:t>
      </w:r>
      <w:r/>
    </w:p>
    <w:p>
      <w:pPr>
        <w:ind w:left="0" w:firstLine="312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安全生产承诺书</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为在盐城市新洋经济区河道保洁服务项目的实施过程中创造安全、高效的服务环境，切实做好本项目的安全管理工作，为切实加强服务现场的安全生产管理，本单位郑重承诺，将严格履行以下责任和义务，确保服务现场的安全生产有序进行：</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一、本单位应遵守国家安全生产有关管理规定，严格按安全标准组织服务，采取一切必要的安全措施，消除事故隐患，确保安全，并对服务现场发生的一切安全问题负责。</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二、服从采购人安全生产管理。坚持“安全第一，预防为主”和“管生产必须管安全”的原则，加强安全生产宣传教育，增强全员安全生产意识，建立健全各项安全生产的管理机构和安全生产管理制度，配备安全人员。</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三、建立健全安全生产责任制。从派驻项目实施的项目负责人到保洁人员的安全生产系统管理必须做到纵向到底，一环不漏；各职能部门、人员的安全生产责任制做到横向到边，人人有责。</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四、本单位必须为服务场地内自有人员办理意外伤害保险，并为服务场地内自有人员生命财产和机械设备办理保险，支付保险费用。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五、本单位造成安全生产事故，导致人员伤亡或财产损失事故时，由本单位全权承担事故责任和经济责任。</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六、本单位服务人员上岗，必须按规定穿戴防护用品。本单位随时检查劳动防护用品的穿戴情况，不按规定穿戴防护用品的人员不得上岗。</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七、所用机具设备均应定期检查，并有本单位的签字记录，保证其经常处于完好状态；不合格的机具、设备和劳动保护用品严禁使用。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八、本单位应当接受甲方及政府安全监督机构对其安全生产的监督检查。对于检查单位下达的整改意见通知，本单位要立即予以整改，由此发生的费用本单位自负。</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九、本单位必须按照本项目特点，组织制定本项目实施中的生产安全专项方案、各项安全技术交底和事故应急救援预案；如果发生安全事故，应按照有关规定，及时上报有关部门，并坚持“四不放过”的原则，严肃处理相关责任。</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十、本单位服务人员及车辆应遵守交通规则，服务人员及车辆在道路上作业或行驶时，应做好安全警示相关措施，确保自身及过往车辆、行人安全；服务人员及车辆不得在道路上随意穿越、逗留，如确因工作需要，应在确保安全的前提下，遵照交通指示灯及交通规则通行。</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十一、本单位服务人员应按照规定的作业流程进行保洁作业，不得擅自改变作业方式；服务人员在使用清洁设备时，应严格按照操作规程进行，不得违规操作。服务人员作业时如发生应急情况应按有关规定在现场及周边环境设置必要的安全标志、警示标志等交通安全设施。</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十二、发生重大伤亡及其他安全事故，本单位应按有关规定立即上报有关部门并通知现场人员，同时按政府有关部门要求处理，事故汇报和处理须依据《生产安全事故报告和调查处理条例》（国务院令第493号）执行。</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十三、本单位应对发生在本项目合同签订至项目全部履行完毕结算后止期间的交通安全、作业安全、安全事故（包括人员）负全部法律责任，并承担由此而发生的一切经济损失。</w:t>
      </w:r>
      <w:r/>
    </w:p>
    <w:p>
      <w:pPr>
        <w:pStyle w:val="906"/>
        <w:ind w:firstLine="420"/>
        <w:spacing w:after="120" w:line="400" w:lineRule="exact"/>
        <w:widowControl w:val="off"/>
        <w:rPr>
          <w:rFonts w:hint="eastAsia"/>
          <w:color w:val="auto"/>
        </w:rPr>
      </w:pPr>
      <w:r>
        <w:rPr>
          <w:rFonts w:hint="eastAsia" w:ascii="宋体" w:hAnsi="宋体" w:eastAsia="宋体" w:cs="宋体"/>
          <w:color w:val="000000"/>
          <w:sz w:val="24"/>
          <w:lang w:eastAsia="zh-CN"/>
        </w:rPr>
        <w:t xml:space="preserve">十四、</w:t>
      </w:r>
      <w:r>
        <w:rPr>
          <w:rFonts w:hint="eastAsia" w:asciiTheme="minorEastAsia" w:hAnsiTheme="minorEastAsia" w:eastAsiaTheme="minorEastAsia" w:cstheme="minorEastAsia"/>
          <w:color w:val="auto"/>
          <w:sz w:val="24"/>
          <w:szCs w:val="24"/>
          <w:highlight w:val="none"/>
          <w:lang w:val="en-US" w:eastAsia="zh-CN" w:bidi="ar-SA"/>
        </w:rPr>
        <w:t xml:space="preserve">本承诺书对我方具有法律效力。本承诺签署之日起生效。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w:t>
      </w:r>
      <w:r/>
    </w:p>
    <w:p>
      <w:pPr>
        <w:ind w:firstLine="52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2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2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360" w:lineRule="auto"/>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color w:val="000000"/>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r>
      <w:r/>
    </w:p>
    <w:p>
      <w:pPr>
        <w:pStyle w:val="892"/>
        <w:jc w:val="center"/>
        <w:keepNext/>
        <w:spacing w:beforeAutospacing="0" w:afterAutospacing="0" w:line="360" w:lineRule="auto"/>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一、评标方法与定标原则</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本项目采用综合评分法的，评标结果按评审后得分由高到低顺序排列。得分相同的，按投标报价由低到高顺序排列。得分且投标报价相同的并列，由评标委员会组织通过抽签的方式确定中标候选人的排序。投标文件满足招标文件全部实质性要求，且按照评审因素的量化指标评审得分最高的投标人为中标候选人。本项目标一段选取1名中标候选人，二标段选取1名中标候选人。</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政府采购政策功能落实</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1、小微型企业价格扣除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（2）供应商需按照采购文件的要求提供相应的《小微企业声明函》。</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（3）企业标准请参照《关于印发中小企业划型标准规定的通知》（工信部联企业[2011]300号）文件规定自行填写。</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2、残疾人福利单位价格扣除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（1）本项目对残疾人福利性单位视同小型、微型企业，给予20%的价格扣除。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（2）残疾人福利单位需按照采购文件的要求提供《残疾人福利性单位声明函》。</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（3）残疾人福利单位标准请参照《关于促进残疾人就业政府采购政策的通知》（财库〔2017〕141号）。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3、监狱和戒毒企业价格扣除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（1）本项目对监狱和戒毒企业（简称监狱企业）视同小型、微型企业，给予20%的价格扣除。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（3）监狱企业标准请参照《关于政府采购支持监狱企业发展有关问题的通知》（财库[2014]68号）。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4、残疾人福利单位、监狱企业属于小型、微型企业的，不重复享受政策。</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6、联合体各方均为小型、微型企业（残疾人福利单位、监狱企业）的，联合体享受20%的价格扣除。</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7、严格执行政府采购关于支持</w:t>
      </w:r>
      <w:r>
        <w:rPr>
          <w:rFonts w:hint="eastAsia" w:asciiTheme="minorEastAsia" w:hAnsiTheme="minorEastAsia" w:cstheme="minorEastAsia"/>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二、评标标准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投标文件初审分为资格审查和符合性审查。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1、初步评审</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（1）资格审查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开标结束后，采购人或者采购代理机构依法对投标人的资格进行审查。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依据法律法规和招标文件的规定，由采购人对投标文件中的资格证明文件进行审查。资格审查的结论，采购人以书面形式向评委会进行反馈。</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（2）符合性审查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评标委员会对符合资格的投标人的投标文件进行符合性审查。</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依据招标文件的规定，由评委会从投标文件的有效性、完整性和对招标文件的响应程度进行审查，以确定是否对招标文件的实质性要求作出响应。</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三、评标方法与评标标准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评标时，评标委员会各成员独立对每个投标人的投标文件进行评价，并汇总每个投标人的得分。本项目评分总分值为100分。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（1）有效投标报价：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①投标报价符合招标文件、招标答疑的要求。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②投标人的投标报价不高于最高限价。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注：有效投标报价的投标文件进行评审。</w:t>
      </w:r>
      <w:r/>
    </w:p>
    <w:p>
      <w:pPr>
        <w:pStyle w:val="887"/>
        <w:ind w:firstLine="720"/>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（2）详细评审：</w:t>
      </w:r>
      <w:r/>
    </w:p>
    <w:tbl>
      <w:tblPr>
        <w:tblStyle w:val="882"/>
        <w:tblW w:w="985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933"/>
        <w:gridCol w:w="7443"/>
      </w:tblGrid>
      <w:tr>
        <w:trPr/>
        <w:tc>
          <w:tcPr>
            <w:tcW w:w="1477" w:type="dxa"/>
            <w:vAlign w:val="top"/>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评审项目</w:t>
            </w:r>
            <w:r/>
          </w:p>
        </w:tc>
        <w:tc>
          <w:tcPr>
            <w:tcW w:w="933" w:type="dxa"/>
            <w:vAlign w:val="top"/>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分值</w:t>
            </w:r>
            <w:r/>
          </w:p>
        </w:tc>
        <w:tc>
          <w:tcPr>
            <w:tcW w:w="7443" w:type="dxa"/>
            <w:vAlign w:val="top"/>
            <w:textDirection w:val="lrTb"/>
            <w:noWrap w:val="false"/>
          </w:tcPr>
          <w:p>
            <w:pPr>
              <w:ind w:left="0" w:firstLine="480"/>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评审标准</w:t>
            </w:r>
            <w:r/>
          </w:p>
        </w:tc>
      </w:tr>
      <w:tr>
        <w:trPr>
          <w:trHeight w:val="498"/>
        </w:trPr>
        <w:tc>
          <w:tcPr>
            <w:gridSpan w:val="3"/>
            <w:tcW w:w="9853" w:type="dxa"/>
            <w:vAlign w:val="center"/>
            <w:textDirection w:val="lrTb"/>
            <w:noWrap w:val="false"/>
          </w:tcPr>
          <w:p>
            <w:pPr>
              <w:ind w:right="108"/>
              <w:jc w:val="center"/>
              <w:spacing w:before="33" w:line="30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价格分 (</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cstheme="minorEastAsia"/>
                <w:color w:val="auto"/>
                <w:sz w:val="24"/>
                <w:szCs w:val="24"/>
                <w:highlight w:val="none"/>
                <w:lang w:val="en-US" w:eastAsia="zh-CN"/>
              </w:rPr>
              <w:t xml:space="preserve">分）</w:t>
            </w:r>
            <w:r/>
          </w:p>
        </w:tc>
      </w:tr>
      <w:tr>
        <w:trPr>
          <w:trHeight w:val="3963"/>
        </w:trPr>
        <w:tc>
          <w:tcPr>
            <w:tcW w:w="1477"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投标报价</w:t>
            </w:r>
            <w:r/>
          </w:p>
        </w:tc>
        <w:tc>
          <w:tcPr>
            <w:tcW w:w="93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0分</w:t>
            </w:r>
            <w:r/>
          </w:p>
        </w:tc>
        <w:tc>
          <w:tcPr>
            <w:tcW w:w="744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评标基准价：满足招标文件要求且投标价格最低的投标报价为评标基准价，其价格分为</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0分。</w:t>
            </w:r>
            <w:r/>
          </w:p>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其他投标人的价格分统一按照下列公式计算（小数点后保留两位）：</w:t>
            </w:r>
            <w:r/>
          </w:p>
          <w:p>
            <w:pPr>
              <w:ind w:right="108"/>
              <w:spacing w:before="33" w:line="30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投标报价得分=</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评标基准价／投标报价</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0（小数点保留两位）</w:t>
            </w:r>
            <w:r/>
          </w:p>
          <w:p>
            <w:pPr>
              <w:ind w:left="113" w:right="108"/>
              <w:spacing w:before="33" w:line="30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注：对小型和微型企业服务的价格给予20%的扣除，用扣除后的价格参与评审</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因落实政府采购政策进行价格调整的，以调整后的价格计算评标基准价和投标报价</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，如有虚假，将按照《中华人民共和国政府采购法》第七十七条依法承担相应责任。</w:t>
            </w:r>
            <w:r/>
          </w:p>
        </w:tc>
      </w:tr>
      <w:tr>
        <w:trPr/>
        <w:tc>
          <w:tcPr>
            <w:gridSpan w:val="3"/>
            <w:tcW w:w="9853" w:type="dxa"/>
            <w:vAlign w:val="top"/>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服务方案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val="en-US" w:eastAsia="zh-CN"/>
              </w:rPr>
              <w:t xml:space="preserve">50分）</w:t>
            </w:r>
            <w:r/>
          </w:p>
        </w:tc>
      </w:tr>
      <w:tr>
        <w:trPr/>
        <w:tc>
          <w:tcPr>
            <w:shd w:val="clear" w:color="auto" w:fill="auto"/>
            <w:tcW w:w="1477" w:type="dxa"/>
            <w:vAlign w:val="center"/>
            <w:textDirection w:val="lrTb"/>
            <w:noWrap w:val="false"/>
          </w:tcPr>
          <w:p>
            <w:pPr>
              <w:pStyle w:val="885"/>
              <w:jc w:val="center"/>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日常保洁具体实施方案</w:t>
            </w:r>
            <w:r/>
          </w:p>
        </w:tc>
        <w:tc>
          <w:tcPr>
            <w:tcW w:w="933" w:type="dxa"/>
            <w:vAlign w:val="center"/>
            <w:textDirection w:val="lrTb"/>
            <w:noWrap w:val="false"/>
          </w:tcPr>
          <w:p>
            <w:pPr>
              <w:pStyle w:val="885"/>
              <w:jc w:val="center"/>
              <w:keepLines w:val="0"/>
              <w:keepNext w:val="0"/>
              <w:pageBreakBefore w:val="0"/>
              <w:spacing w:line="4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15分</w:t>
            </w:r>
            <w:r/>
          </w:p>
        </w:tc>
        <w:tc>
          <w:tcPr>
            <w:tcW w:w="7443" w:type="dxa"/>
            <w:vAlign w:val="center"/>
            <w:textDirection w:val="lrTb"/>
            <w:noWrap w:val="false"/>
          </w:tcPr>
          <w:p>
            <w:pPr>
              <w:pStyle w:val="885"/>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针对本项目指定的各类作业计划、作业流程、质量标准、实施方案等措施的全面性、合理性、规范性等，由评标委员会综合比较后独立打分。介绍完整细致，解读分析到位</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介绍较细致，解读分析较透彻</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介绍内容一般，解读分析基本到位</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本项最高得1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分。没有本项内容的不得分。</w:t>
            </w:r>
            <w:r/>
          </w:p>
        </w:tc>
      </w:tr>
      <w:tr>
        <w:trPr/>
        <w:tc>
          <w:tcPr>
            <w:shd w:val="clear" w:color="auto" w:fill="auto"/>
            <w:tcW w:w="1477" w:type="dxa"/>
            <w:vAlign w:val="center"/>
            <w:textDirection w:val="lrTb"/>
            <w:noWrap w:val="false"/>
          </w:tcPr>
          <w:p>
            <w:pPr>
              <w:pStyle w:val="885"/>
              <w:jc w:val="center"/>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现状调查与问题剖析</w:t>
            </w:r>
            <w:r/>
          </w:p>
        </w:tc>
        <w:tc>
          <w:tcPr>
            <w:shd w:val="clear" w:color="auto" w:fill="auto"/>
            <w:tcW w:w="933" w:type="dxa"/>
            <w:vAlign w:val="center"/>
            <w:textDirection w:val="lrTb"/>
            <w:noWrap w:val="false"/>
          </w:tcPr>
          <w:p>
            <w:pPr>
              <w:pStyle w:val="885"/>
              <w:jc w:val="center"/>
              <w:keepLines w:val="0"/>
              <w:keepNext w:val="0"/>
              <w:pageBreakBefore w:val="0"/>
              <w:spacing w:line="4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15分</w:t>
            </w:r>
            <w:r/>
          </w:p>
        </w:tc>
        <w:tc>
          <w:tcPr>
            <w:shd w:val="clear" w:color="auto" w:fill="auto"/>
            <w:tcW w:w="7443" w:type="dxa"/>
            <w:vAlign w:val="center"/>
            <w:textDirection w:val="lrTb"/>
            <w:noWrap w:val="false"/>
          </w:tcPr>
          <w:p>
            <w:pPr>
              <w:pStyle w:val="885"/>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对本项目河道保洁工作的现状调查与问题剖析。投标人能够详细了解此项目存在的重点、疑点、难点，并分析合理，具有全面性、合理性、规范性等可操作性强方案；由评标委员会综合比较后独立打分。</w:t>
            </w:r>
            <w:r>
              <w:rPr>
                <w:rFonts w:hint="eastAsia" w:ascii="宋体" w:hAnsi="宋体" w:cs="宋体"/>
                <w:b w:val="0"/>
                <w:bCs w:val="0"/>
                <w:color w:val="auto"/>
                <w:sz w:val="24"/>
                <w:szCs w:val="24"/>
                <w:highlight w:val="none"/>
                <w:lang w:val="en-US" w:eastAsia="zh-CN"/>
              </w:rPr>
              <w:t xml:space="preserve">调查</w:t>
            </w:r>
            <w:r>
              <w:rPr>
                <w:rFonts w:hint="eastAsia" w:ascii="宋体" w:hAnsi="宋体" w:eastAsia="宋体" w:cs="宋体"/>
                <w:b w:val="0"/>
                <w:bCs w:val="0"/>
                <w:color w:val="auto"/>
                <w:sz w:val="24"/>
                <w:szCs w:val="24"/>
                <w:highlight w:val="none"/>
                <w:lang w:eastAsia="zh-CN"/>
              </w:rPr>
              <w:t xml:space="preserve">完整细致，解读分析到位：</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调查</w:t>
            </w:r>
            <w:r>
              <w:rPr>
                <w:rFonts w:hint="eastAsia" w:ascii="宋体" w:hAnsi="宋体" w:eastAsia="宋体" w:cs="宋体"/>
                <w:b w:val="0"/>
                <w:bCs w:val="0"/>
                <w:color w:val="auto"/>
                <w:sz w:val="24"/>
                <w:szCs w:val="24"/>
                <w:highlight w:val="none"/>
              </w:rPr>
              <w:t xml:space="preserve">较细致，解读分析较透彻</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调查</w:t>
            </w:r>
            <w:r>
              <w:rPr>
                <w:rFonts w:hint="eastAsia" w:ascii="宋体" w:hAnsi="宋体" w:eastAsia="宋体" w:cs="宋体"/>
                <w:b w:val="0"/>
                <w:bCs w:val="0"/>
                <w:color w:val="auto"/>
                <w:sz w:val="24"/>
                <w:szCs w:val="24"/>
                <w:highlight w:val="none"/>
              </w:rPr>
              <w:t xml:space="preserve">内容一般，解读分析基本到位</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。本项最高得1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分。没有本项内容的不得分。</w:t>
            </w:r>
            <w:r/>
          </w:p>
        </w:tc>
      </w:tr>
      <w:tr>
        <w:trPr/>
        <w:tc>
          <w:tcPr>
            <w:shd w:val="clear" w:color="auto" w:fill="auto"/>
            <w:tcW w:w="1477" w:type="dxa"/>
            <w:vAlign w:val="center"/>
            <w:textDirection w:val="lrTb"/>
            <w:noWrap w:val="false"/>
          </w:tcPr>
          <w:p>
            <w:pPr>
              <w:pStyle w:val="885"/>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针对季节性及突发性情况的措施</w:t>
            </w:r>
            <w:r/>
          </w:p>
        </w:tc>
        <w:tc>
          <w:tcPr>
            <w:shd w:val="clear" w:color="auto" w:fill="auto"/>
            <w:tcW w:w="933" w:type="dxa"/>
            <w:vAlign w:val="center"/>
            <w:textDirection w:val="lrTb"/>
            <w:noWrap w:val="false"/>
          </w:tcPr>
          <w:p>
            <w:pPr>
              <w:pStyle w:val="885"/>
              <w:jc w:val="center"/>
              <w:keepLines w:val="0"/>
              <w:keepNext w:val="0"/>
              <w:pageBreakBefore w:val="0"/>
              <w:spacing w:line="4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10分</w:t>
            </w:r>
            <w:r/>
          </w:p>
        </w:tc>
        <w:tc>
          <w:tcPr>
            <w:shd w:val="clear" w:color="auto" w:fill="auto"/>
            <w:tcW w:w="7443" w:type="dxa"/>
            <w:vAlign w:val="center"/>
            <w:textDirection w:val="lrTb"/>
            <w:noWrap w:val="false"/>
          </w:tcPr>
          <w:p>
            <w:pPr>
              <w:pStyle w:val="885"/>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水生植物季节性及突发性情况所采取的计划措施及成效经验。投标人能够详细了解水生植物季节性及突发性情况，并提出所采取的治理计划措施及成效经验，分析合理，操作性强；由评标委员会综合比较后独立打分。</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科学合理，可操作性强，符合项目需求</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案</w:t>
            </w:r>
            <w:r>
              <w:rPr>
                <w:rFonts w:hint="eastAsia" w:ascii="宋体" w:hAnsi="宋体" w:eastAsia="宋体" w:cs="宋体"/>
                <w:b w:val="0"/>
                <w:bCs w:val="0"/>
                <w:color w:val="auto"/>
                <w:sz w:val="24"/>
                <w:szCs w:val="24"/>
                <w:highlight w:val="none"/>
                <w:lang w:val="en-US" w:eastAsia="zh-CN"/>
              </w:rPr>
              <w:t xml:space="preserve">较合理，可操作性较强，基本符合项目需求</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一般，可操作性一般，缺乏针对性：</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。本项最高得1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分。没有本项内容的不得分。</w:t>
            </w:r>
            <w:r/>
          </w:p>
        </w:tc>
      </w:tr>
      <w:tr>
        <w:trPr/>
        <w:tc>
          <w:tcPr>
            <w:shd w:val="clear" w:color="auto" w:fill="auto"/>
            <w:tcW w:w="1477" w:type="dxa"/>
            <w:vAlign w:val="center"/>
            <w:textDirection w:val="lrTb"/>
            <w:noWrap w:val="false"/>
          </w:tcPr>
          <w:p>
            <w:pPr>
              <w:pStyle w:val="885"/>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应急处置及临时措施方案</w:t>
            </w:r>
            <w:r/>
          </w:p>
        </w:tc>
        <w:tc>
          <w:tcPr>
            <w:shd w:val="clear" w:color="auto" w:fill="auto"/>
            <w:tcW w:w="933" w:type="dxa"/>
            <w:vAlign w:val="center"/>
            <w:textDirection w:val="lrTb"/>
            <w:noWrap w:val="false"/>
          </w:tcPr>
          <w:p>
            <w:pPr>
              <w:pStyle w:val="885"/>
              <w:jc w:val="center"/>
              <w:keepLines w:val="0"/>
              <w:keepNext w:val="0"/>
              <w:pageBreakBefore w:val="0"/>
              <w:spacing w:line="4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10分</w:t>
            </w:r>
            <w:r/>
          </w:p>
        </w:tc>
        <w:tc>
          <w:tcPr>
            <w:shd w:val="clear" w:color="auto" w:fill="auto"/>
            <w:tcW w:w="7443" w:type="dxa"/>
            <w:vAlign w:val="center"/>
            <w:textDirection w:val="lrTb"/>
            <w:noWrap w:val="false"/>
          </w:tcPr>
          <w:p>
            <w:pPr>
              <w:pStyle w:val="885"/>
              <w:jc w:val="both"/>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抗台、防汛和突击任务、不可预见等分别制定保障方案。应急保障方案科学合理，针对性好、操作性强，有重点地做好河面保洁区域（须注明增加船只、人员及在要求期限内完成的各类具体措施）以及考核评比采取的临时措施方案等方面由评委进行分析比较、评议、确定档次，独立打分。</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科学合理，可操作性强，符合项目需求</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较合理，可操作性较强，基本符合项目需求</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一般，可操作性一般，缺乏针对性：</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。本项最高得10分。没有本项内容的不得分。</w:t>
            </w:r>
            <w:r/>
          </w:p>
        </w:tc>
      </w:tr>
      <w:tr>
        <w:trPr/>
        <w:tc>
          <w:tcPr>
            <w:gridSpan w:val="3"/>
            <w:shd w:val="clear" w:color="auto" w:fill="auto"/>
            <w:tcW w:w="9853" w:type="dxa"/>
            <w:vAlign w:val="center"/>
            <w:textDirection w:val="lrTb"/>
            <w:noWrap w:val="false"/>
          </w:tcPr>
          <w:p>
            <w:pPr>
              <w:jc w:val="cente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商务分 (</w:t>
            </w:r>
            <w:r>
              <w:rPr>
                <w:rFonts w:hint="eastAsia" w:asciiTheme="minorEastAsia" w:hAnsiTheme="minorEastAsia" w:cstheme="minorEastAsia"/>
                <w:color w:val="auto"/>
                <w:sz w:val="24"/>
                <w:szCs w:val="24"/>
                <w:highlight w:val="none"/>
                <w:lang w:val="en-US" w:eastAsia="zh-CN"/>
              </w:rPr>
              <w:t xml:space="preserve">20</w:t>
            </w:r>
            <w:r>
              <w:rPr>
                <w:rFonts w:hint="eastAsia" w:asciiTheme="minorEastAsia" w:hAnsiTheme="minorEastAsia" w:eastAsiaTheme="minorEastAsia" w:cstheme="minorEastAsia"/>
                <w:color w:val="auto"/>
                <w:sz w:val="24"/>
                <w:szCs w:val="24"/>
                <w:highlight w:val="none"/>
                <w:lang w:val="en-US" w:eastAsia="zh-CN"/>
              </w:rPr>
              <w:t xml:space="preserve">分</w:t>
            </w:r>
            <w:r>
              <w:rPr>
                <w:rFonts w:hint="eastAsia" w:asciiTheme="minorEastAsia" w:hAnsiTheme="minorEastAsia" w:cstheme="minorEastAsia"/>
                <w:color w:val="auto"/>
                <w:sz w:val="24"/>
                <w:szCs w:val="24"/>
                <w:highlight w:val="none"/>
                <w:lang w:val="en-US" w:eastAsia="zh-CN"/>
              </w:rPr>
              <w:t xml:space="preserve">）</w:t>
            </w:r>
            <w:r/>
          </w:p>
        </w:tc>
      </w:tr>
      <w:tr>
        <w:trPr/>
        <w:tc>
          <w:tcPr>
            <w:shd w:val="clear" w:color="auto" w:fill="auto"/>
            <w:tcW w:w="1477"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人员配备</w:t>
            </w:r>
            <w:r/>
          </w:p>
        </w:tc>
        <w:tc>
          <w:tcPr>
            <w:shd w:val="clear" w:color="auto" w:fill="auto"/>
            <w:tcW w:w="93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tc>
        <w:tc>
          <w:tcPr>
            <w:shd w:val="clear" w:color="auto" w:fill="auto"/>
            <w:tcW w:w="744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项目负责人具有大专以上学历且具有相关安全管理证书的得3分；最高得3分。（投标时需提供相关证书原件扫描件，未提供不得分）</w:t>
            </w:r>
            <w:r/>
          </w:p>
        </w:tc>
      </w:tr>
      <w:tr>
        <w:trPr/>
        <w:tc>
          <w:tcPr>
            <w:shd w:val="clear" w:color="auto" w:fill="auto"/>
            <w:tcW w:w="1477"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业绩情况</w:t>
            </w:r>
            <w:r/>
          </w:p>
        </w:tc>
        <w:tc>
          <w:tcPr>
            <w:shd w:val="clear" w:color="auto" w:fill="auto"/>
            <w:tcW w:w="93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分</w:t>
            </w:r>
            <w:r/>
          </w:p>
        </w:tc>
        <w:tc>
          <w:tcPr>
            <w:shd w:val="clear" w:color="auto" w:fill="auto"/>
            <w:tcW w:w="744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投标人自202</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年1月1日以来（以合同签订时间为准），承接过类似本项目服务业绩的，每有一个得</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分，最多得</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分【投标时提供中标通知书、合同、项目中标网站公示截图等投标时加盖电子签章上传至投标文件中，不提供或提供不全者不得分，类似业绩的有效期以合同签订时间为准</w:t>
            </w:r>
            <w:r>
              <w:rPr>
                <w:rFonts w:hint="eastAsia" w:asciiTheme="minorEastAsia" w:hAnsiTheme="minorEastAsia" w:cstheme="minorEastAsia"/>
                <w:color w:val="auto"/>
                <w:sz w:val="24"/>
                <w:szCs w:val="24"/>
                <w:highlight w:val="none"/>
                <w:lang w:val="en-US" w:eastAsia="zh-CN"/>
              </w:rPr>
              <w:t xml:space="preserve">】</w:t>
            </w:r>
            <w:r/>
          </w:p>
        </w:tc>
      </w:tr>
      <w:tr>
        <w:trPr/>
        <w:tc>
          <w:tcPr>
            <w:shd w:val="clear" w:color="auto" w:fill="auto"/>
            <w:tcW w:w="1477"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综合实力</w:t>
            </w:r>
            <w:r/>
          </w:p>
        </w:tc>
        <w:tc>
          <w:tcPr>
            <w:shd w:val="clear" w:color="auto" w:fill="auto"/>
            <w:tcW w:w="93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分</w:t>
            </w:r>
            <w:r/>
          </w:p>
        </w:tc>
        <w:tc>
          <w:tcPr>
            <w:shd w:val="clear" w:color="auto" w:fill="auto"/>
            <w:tcW w:w="7443" w:type="dxa"/>
            <w:vAlign w:val="center"/>
            <w:textDirection w:val="lrTb"/>
            <w:noWrap w:val="false"/>
          </w:tcPr>
          <w:p>
            <w:pPr>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投标人具有有效的质量管理体系认证证书、环境管理体系认证证书、职业健康安全管理体系认证证书，每提供1个得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分，最高得</w:t>
            </w: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分。投标时须提供证书原件扫描件及认证证书须在全国认证认可信息公共服务平台cx.cnca.cn网站查询截图加盖公章供评委评审，未提供或提供不全的不得分。</w:t>
            </w:r>
            <w:r/>
          </w:p>
        </w:tc>
      </w:tr>
    </w:tbl>
    <w:p>
      <w:pPr>
        <w:pStyle w:val="892"/>
        <w:jc w:val="both"/>
        <w:spacing w:beforeAutospacing="0" w:afterAutospacing="0" w:line="360" w:lineRule="auto"/>
        <w:sectPr>
          <w:footnotePr/>
          <w:endnotePr/>
          <w:type w:val="nextPage"/>
          <w:pgSz w:w="11906" w:h="16838" w:orient="portrait"/>
          <w:pgMar w:top="1440" w:right="1800" w:bottom="1440" w:left="1800" w:header="851" w:footer="992" w:gutter="0"/>
          <w:cols w:num="1" w:sep="0" w:space="425" w:equalWidth="1"/>
          <w:docGrid w:linePitch="360"/>
        </w:sectPr>
      </w:pPr>
      <w:r/>
      <w:r/>
    </w:p>
    <w:p>
      <w:pPr>
        <w:pStyle w:val="892"/>
        <w:jc w:val="both"/>
        <w:spacing w:beforeAutospacing="0" w:afterAutospacing="0" w:line="360" w:lineRule="auto"/>
      </w:pPr>
      <w:r>
        <w:t xml:space="preserve"> </w:t>
      </w:r>
      <w:r/>
    </w:p>
    <w:p>
      <w:pPr>
        <w:pStyle w:val="892"/>
        <w:jc w:val="center"/>
        <w:keepNext/>
        <w:spacing w:beforeAutospacing="0" w:afterAutospacing="0" w:line="360" w:lineRule="auto"/>
      </w:pPr>
      <w:r>
        <w:rPr>
          <w:rFonts w:hint="eastAsia" w:ascii="黑体" w:hAnsi="宋体" w:eastAsia="黑体" w:cs="黑体"/>
          <w:color w:val="000000"/>
          <w:sz w:val="44"/>
          <w:szCs w:val="44"/>
        </w:rPr>
        <w:t xml:space="preserve">第六章  投标文件格式 </w:t>
      </w:r>
      <w:r/>
    </w:p>
    <w:p>
      <w:pPr>
        <w:pStyle w:val="892"/>
        <w:jc w:val="center"/>
        <w:spacing w:beforeAutospacing="0" w:afterAutospacing="0" w:line="360" w:lineRule="auto"/>
        <w:rPr>
          <w:rFonts w:hint="eastAsia" w:ascii="宋体" w:hAnsi="宋体" w:eastAsia="宋体" w:cs="宋体"/>
          <w:b/>
          <w:color w:val="000000"/>
          <w:sz w:val="72"/>
          <w:szCs w:val="72"/>
        </w:rPr>
      </w:pPr>
      <w:r/>
      <w:bookmarkStart w:id="177" w:name="_Toc26554094"/>
      <w:r/>
      <w:bookmarkEnd w:id="177"/>
      <w:r/>
      <w:bookmarkStart w:id="178" w:name="_Hlt26671244"/>
      <w:r/>
      <w:bookmarkEnd w:id="178"/>
      <w:r/>
      <w:bookmarkStart w:id="179" w:name="_Hlt26955039"/>
      <w:r/>
      <w:bookmarkEnd w:id="179"/>
      <w:r/>
      <w:bookmarkStart w:id="180" w:name="_Toc120614282"/>
      <w:r/>
      <w:bookmarkStart w:id="181" w:name="_Toc49090576"/>
      <w:r/>
      <w:r/>
    </w:p>
    <w:p>
      <w:pPr>
        <w:pStyle w:val="892"/>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92"/>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92"/>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92"/>
        <w:jc w:val="center"/>
        <w:spacing w:beforeAutospacing="0" w:afterAutospacing="0" w:line="360" w:lineRule="auto"/>
      </w:pPr>
      <w:r>
        <w:rPr>
          <w:rFonts w:hint="eastAsia" w:ascii="宋体" w:hAnsi="宋体" w:eastAsia="宋体" w:cs="宋体"/>
          <w:b/>
          <w:color w:val="000000"/>
          <w:sz w:val="72"/>
          <w:szCs w:val="72"/>
        </w:rPr>
        <w:t xml:space="preserve">投  标  文  件</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r/>
    </w:p>
    <w:p>
      <w:pPr>
        <w:pStyle w:val="892"/>
        <w:jc w:val="center"/>
        <w:spacing w:beforeAutospacing="0" w:afterAutospacing="0" w:line="360" w:lineRule="auto"/>
      </w:pPr>
      <w:r>
        <w:t xml:space="preserve"> </w:t>
      </w:r>
      <w:r/>
    </w:p>
    <w:p>
      <w:pPr>
        <w:pStyle w:val="892"/>
        <w:ind w:firstLine="1084"/>
        <w:jc w:val="both"/>
        <w:spacing w:beforeAutospacing="0" w:afterAutospacing="0" w:line="360" w:lineRule="auto"/>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92"/>
        <w:ind w:firstLine="1084"/>
        <w:jc w:val="both"/>
        <w:spacing w:beforeAutospacing="0" w:afterAutospacing="0" w:line="360" w:lineRule="auto"/>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92"/>
        <w:jc w:val="both"/>
        <w:spacing w:beforeAutospacing="0" w:afterAutospacing="0" w:line="360" w:lineRule="auto"/>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92"/>
        <w:jc w:val="both"/>
        <w:spacing w:beforeAutospacing="0" w:afterAutospacing="0" w:line="36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92"/>
        <w:jc w:val="center"/>
        <w:spacing w:beforeAutospacing="0" w:afterAutospacing="0" w:line="360" w:lineRule="auto"/>
      </w:pPr>
      <w:r>
        <w:t xml:space="preserve"> </w:t>
      </w:r>
      <w:r/>
    </w:p>
    <w:p>
      <w:pPr>
        <w:pStyle w:val="892"/>
        <w:jc w:val="both"/>
        <w:spacing w:beforeAutospacing="0" w:afterAutospacing="0" w:line="360" w:lineRule="auto"/>
      </w:pPr>
      <w:r>
        <w:t xml:space="preserve"> </w:t>
      </w:r>
      <w:r/>
    </w:p>
    <w:p>
      <w:pPr>
        <w:pStyle w:val="892"/>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892"/>
        <w:jc w:val="center"/>
        <w:spacing w:beforeAutospacing="0" w:afterAutospacing="0" w:line="360" w:lineRule="auto"/>
      </w:pPr>
      <w:r>
        <w:t xml:space="preserve"> </w:t>
      </w:r>
      <w:r/>
    </w:p>
    <w:p>
      <w:pPr>
        <w:ind w:left="0" w:firstLine="630"/>
        <w:keepLines w:val="0"/>
        <w:keepNext w:val="0"/>
        <w:pageBreakBefore w:val="0"/>
        <w:spacing w:line="500" w:lineRule="exact"/>
        <w:widowControl w:val="off"/>
        <w:tabs>
          <w:tab w:val="left" w:pos="900" w:leader="none"/>
        </w:tabs>
        <w:rPr>
          <w:rFonts w:ascii="宋体" w:hAnsi="宋体" w:eastAsia="宋体" w:cs="宋体"/>
          <w:i/>
          <w:color w:val="000000"/>
          <w:sz w:val="21"/>
          <w:szCs w:val="21"/>
          <w:u w:val="single"/>
        </w:rPr>
      </w:pPr>
      <w:r>
        <w:rPr>
          <w:rFonts w:hint="eastAsia" w:ascii="宋体" w:hAnsi="宋体" w:eastAsia="宋体" w:cs="宋体"/>
          <w:i/>
          <w:color w:val="000000"/>
          <w:u w:val="single"/>
        </w:rPr>
        <w:t xml:space="preserve">一、法人或者其他组织的营业执照等证明文件，自然人的身份证明</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firstLine="480"/>
        <w:jc w:val="left"/>
        <w:spacing w:line="360" w:lineRule="auto"/>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none"/>
          <w:u w:val="single"/>
          <w:lang w:val="en-US" w:eastAsia="zh-CN" w:bidi="ar-SA"/>
        </w:rPr>
        <w:t xml:space="preserve">（至少提供资产负债表、利润表、现金流量表，</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sz w:val="24"/>
          <w:szCs w:val="24"/>
          <w:highlight w:val="none"/>
          <w:u w:val="single"/>
          <w:lang w:val="en-US" w:eastAsia="zh-CN" w:bidi="ar-SA"/>
        </w:rPr>
        <w:t xml:space="preserve">投标人成立不满一年无需提供）</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w:t>
      </w:r>
      <w:r>
        <w:rPr>
          <w:rFonts w:hint="eastAsia" w:ascii="宋体" w:hAnsi="宋体" w:eastAsia="宋体" w:cs="宋体"/>
          <w:i/>
          <w:color w:val="000000"/>
          <w:u w:val="single"/>
        </w:rPr>
        <w:t xml:space="preserve">明</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u w:val="single"/>
        </w:rPr>
        <w:t xml:space="preserve">五、参加政府采购活动前 3 年内在经营活动中没有重大违法记录的书面声明</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u w:val="single"/>
        </w:rPr>
        <w:t xml:space="preserve">六、特定资格要求的证明文件</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u w:val="single"/>
        </w:rPr>
        <w:t xml:space="preserve">七、法人授权书</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u w:val="single"/>
        </w:rPr>
        <w:t xml:space="preserve">八、投标函</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九、小微企业声明函</w:t>
      </w:r>
      <w:r>
        <w:rPr>
          <w:rFonts w:hint="eastAsia" w:ascii="宋体" w:hAnsi="宋体" w:eastAsia="宋体" w:cs="宋体"/>
          <w:color w:val="000000"/>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十、残疾人福利性单位声明函</w:t>
      </w:r>
      <w:r>
        <w:rPr>
          <w:rFonts w:hint="eastAsia" w:ascii="宋体" w:hAnsi="宋体" w:eastAsia="宋体" w:cs="宋体"/>
          <w:color w:val="000000"/>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、投标分项报价表</w:t>
      </w:r>
      <w:r>
        <w:rPr>
          <w:rFonts w:hint="eastAsia" w:ascii="宋体" w:hAnsi="宋体" w:eastAsia="宋体" w:cs="宋体"/>
          <w:color w:val="000000"/>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rPr>
          <w:rFonts w:hint="eastAsia" w:ascii="宋体" w:hAnsi="宋体" w:eastAsia="宋体" w:cs="宋体"/>
          <w:color w:val="000000"/>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rPr>
          <w:rFonts w:hint="eastAsia" w:ascii="宋体" w:hAnsi="宋体" w:eastAsia="宋体" w:cs="宋体"/>
          <w:color w:val="000000"/>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、开标一览表</w:t>
      </w:r>
      <w:r>
        <w:rPr>
          <w:rFonts w:hint="eastAsia" w:asciiTheme="minorEastAsia" w:hAnsiTheme="minorEastAsia" w:eastAsiaTheme="minorEastAsia" w:cstheme="minorEastAsia"/>
          <w:color w:val="auto"/>
          <w:sz w:val="21"/>
          <w:szCs w:val="21"/>
          <w:highlight w:val="none"/>
          <w:lang w:val="en-US" w:eastAsia="zh-CN"/>
        </w:rPr>
        <w:t xml:space="preserve">（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十五、服务方案、承诺等（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六</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相关业绩（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七</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拟派项目负责人资格证明材料（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八</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项目成员情况表（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十九</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设备配置表（格式）（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二十</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盐城市政府采购事前信用承诺书（   标段）</w:t>
      </w:r>
      <w:r/>
    </w:p>
    <w:p>
      <w:pPr>
        <w:ind w:left="0" w:firstLine="420"/>
        <w:keepLines w:val="0"/>
        <w:keepNext w:val="0"/>
        <w:pageBreakBefore w:val="0"/>
        <w:spacing w:line="500" w:lineRule="exact"/>
        <w:widowControl w:val="off"/>
        <w:tabs>
          <w:tab w:val="left" w:pos="900" w:leader="none"/>
        </w:tabs>
        <w:rPr>
          <w:rFonts w:hint="eastAsia" w:ascii="宋体" w:hAnsi="宋体" w:eastAsia="宋体" w:cs="宋体"/>
          <w:color w:val="000000"/>
        </w:rPr>
      </w:pPr>
      <w:r>
        <w:rPr>
          <w:rFonts w:hint="eastAsia" w:ascii="宋体" w:hAnsi="宋体" w:eastAsia="宋体" w:cs="宋体"/>
          <w:color w:val="000000"/>
          <w:lang w:val="en-US" w:eastAsia="zh-CN"/>
        </w:rPr>
        <w:t xml:space="preserve">二十一</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根据招标文件“第五章 定标原则与评标标准”的要求需要提供的材料及供应商认为有必要提供的其他材料（   标段）</w:t>
      </w:r>
      <w:r/>
    </w:p>
    <w:p>
      <w:pPr>
        <w:pStyle w:val="892"/>
        <w:jc w:val="both"/>
        <w:spacing w:beforeAutospacing="0" w:afterAutospacing="0" w:line="360" w:lineRule="auto"/>
      </w:pPr>
      <w:r/>
      <w:r/>
    </w:p>
    <w:p>
      <w:pPr>
        <w:pStyle w:val="892"/>
        <w:jc w:val="left"/>
        <w:spacing w:beforeAutospacing="0" w:afterAutospacing="0" w:line="360" w:lineRule="auto"/>
      </w:pPr>
      <w:r>
        <w:rPr>
          <w:highlight w:val="none"/>
        </w:rPr>
      </w:r>
      <w:r>
        <w:rPr>
          <w:highlight w:val="none"/>
        </w:rPr>
      </w:r>
      <w:r/>
    </w:p>
    <w:p>
      <w:pPr>
        <w:pStyle w:val="892"/>
        <w:jc w:val="left"/>
        <w:spacing w:beforeAutospacing="0" w:afterAutospacing="0" w:line="360" w:lineRule="auto"/>
        <w:rPr>
          <w:highlight w:val="none"/>
        </w:rPr>
      </w:pPr>
      <w:r>
        <w:rPr>
          <w:highlight w:val="none"/>
        </w:rPr>
      </w:r>
      <w:r>
        <w:rPr>
          <w:highlight w:val="none"/>
        </w:rPr>
      </w:r>
      <w:r/>
    </w:p>
    <w:p>
      <w:pPr>
        <w:pStyle w:val="892"/>
        <w:jc w:val="left"/>
        <w:spacing w:beforeAutospacing="0" w:afterAutospacing="0" w:line="360" w:lineRule="auto"/>
        <w:rPr>
          <w:highlight w:val="none"/>
        </w:rPr>
      </w:pPr>
      <w:r>
        <w:rPr>
          <w:rFonts w:hint="eastAsia" w:ascii="黑体" w:hAnsi="宋体" w:eastAsia="黑体" w:cs="黑体"/>
          <w:i/>
          <w:color w:val="000000"/>
          <w:sz w:val="32"/>
          <w:szCs w:val="32"/>
          <w:u w:val="single"/>
        </w:rPr>
        <w:t xml:space="preserve">一、法人或者其他组织的营业执照等证明文件，自然人的身份证明</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t xml:space="preserve"> </w:t>
      </w:r>
      <w:r/>
    </w:p>
    <w:p>
      <w:pPr>
        <w:pStyle w:val="892"/>
        <w:jc w:val="left"/>
        <w:spacing w:beforeAutospacing="0" w:afterAutospacing="0" w:line="360" w:lineRule="auto"/>
        <w:rPr>
          <w:rFonts w:eastAsia="黑体"/>
          <w:highlight w:val="non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none"/>
          <w:u w:val="single"/>
        </w:rPr>
        <w:t xml:space="preserve">报表</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ind w:firstLine="480"/>
        <w:jc w:val="both"/>
        <w:spacing w:beforeAutospacing="0" w:afterAutospacing="0" w:line="360" w:lineRule="auto"/>
      </w:pPr>
      <w:r>
        <w:rPr>
          <w:rFonts w:hint="eastAsia" w:ascii="宋体" w:hAnsi="宋体" w:eastAsia="宋体" w:cs="宋体"/>
          <w:color w:val="000000"/>
        </w:rPr>
        <w:t xml:space="preserve">投标人成立不满一年不需提供</w:t>
      </w:r>
      <w:r/>
    </w:p>
    <w:p>
      <w:pPr>
        <w:pStyle w:val="892"/>
        <w:jc w:val="left"/>
        <w:spacing w:beforeAutospacing="0" w:afterAutospacing="0" w:line="360" w:lineRule="auto"/>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left"/>
        <w:spacing w:beforeAutospacing="0" w:afterAutospacing="0" w:line="360" w:lineRule="auto"/>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ind w:firstLine="480"/>
        <w:jc w:val="both"/>
        <w:spacing w:beforeAutospacing="0" w:afterAutospacing="0" w:line="360" w:lineRule="auto"/>
      </w:pPr>
      <w:r/>
      <w:bookmarkStart w:id="182"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2"/>
      <w:r/>
      <w:r/>
    </w:p>
    <w:p>
      <w:pPr>
        <w:pStyle w:val="892"/>
        <w:jc w:val="left"/>
        <w:spacing w:beforeAutospacing="0" w:afterAutospacing="0" w:line="36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jc w:val="both"/>
        <w:spacing w:beforeAutospacing="0" w:afterAutospacing="0" w:line="360" w:lineRule="auto"/>
      </w:pPr>
      <w:r/>
      <w:r/>
    </w:p>
    <w:p>
      <w:pPr>
        <w:pStyle w:val="892"/>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892"/>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2"/>
        <w:jc w:val="both"/>
        <w:spacing w:beforeAutospacing="0" w:afterAutospacing="0" w:line="360" w:lineRule="auto"/>
      </w:pPr>
      <w:r>
        <w:t xml:space="preserve"> </w:t>
      </w:r>
      <w:r/>
    </w:p>
    <w:p>
      <w:pPr>
        <w:pStyle w:val="892"/>
        <w:jc w:val="left"/>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jc w:val="left"/>
        <w:spacing w:beforeAutospacing="0" w:afterAutospacing="0" w:line="360" w:lineRule="auto"/>
      </w:pPr>
      <w:r/>
      <w:r/>
    </w:p>
    <w:p>
      <w:pPr>
        <w:pStyle w:val="892"/>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892"/>
        <w:jc w:val="left"/>
        <w:spacing w:beforeAutospacing="0" w:afterAutospacing="0" w:line="360" w:lineRule="auto"/>
        <w:rPr>
          <w:rFonts w:hint="eastAsia" w:ascii="黑体" w:hAnsi="宋体" w:eastAsia="黑体" w:cs="黑体"/>
          <w:bCs/>
          <w:i/>
          <w:color w:val="000000"/>
          <w:sz w:val="32"/>
          <w:szCs w:val="32"/>
          <w:u w:val="single"/>
        </w:rPr>
      </w:pPr>
      <w:r>
        <w:t xml:space="preserve"> </w:t>
      </w:r>
      <w:r>
        <w:rPr>
          <w:rFonts w:hint="eastAsia" w:ascii="黑体" w:hAnsi="宋体" w:eastAsia="黑体" w:cs="黑体"/>
          <w:i/>
          <w:color w:val="000000"/>
          <w:sz w:val="32"/>
          <w:szCs w:val="32"/>
          <w:u w:val="single"/>
        </w:rPr>
      </w:r>
      <w:r/>
    </w:p>
    <w:p>
      <w:pPr>
        <w:pStyle w:val="892"/>
        <w:jc w:val="left"/>
        <w:spacing w:beforeAutospacing="0" w:afterAutospacing="0" w:line="360" w:lineRule="auto"/>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left"/>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left"/>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left"/>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left"/>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i/>
          <w:color w:val="000000"/>
          <w:sz w:val="32"/>
          <w:szCs w:val="32"/>
          <w:u w:val="single"/>
        </w:rPr>
        <w:t xml:space="preserve">七、法人授权书</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jc w:val="both"/>
        <w:spacing w:beforeAutospacing="0" w:afterAutospacing="0" w:line="360" w:lineRule="auto"/>
      </w:pPr>
      <w:r/>
      <w:r/>
    </w:p>
    <w:p>
      <w:pPr>
        <w:pStyle w:val="892"/>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u w:val="single"/>
        </w:rPr>
        <w:t xml:space="preserve">JSZC-320902-YDYC-G2024-0001</w:t>
      </w:r>
      <w:r>
        <w:rPr>
          <w:rFonts w:ascii="Times New Roman" w:hAnsi="Times New Roman"/>
          <w:color w:val="000000"/>
        </w:rPr>
        <w:t xml:space="preserve">号项目采购活动的合法代理人，以本单位名义全权处理一切与该项目采购有关的事务。</w:t>
      </w:r>
      <w:r/>
    </w:p>
    <w:p>
      <w:pPr>
        <w:pStyle w:val="892"/>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892"/>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92"/>
        <w:jc w:val="both"/>
        <w:spacing w:beforeAutospacing="0" w:afterAutospacing="0" w:line="36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92"/>
        <w:ind w:firstLine="0"/>
        <w:jc w:val="both"/>
        <w:spacing w:beforeAutospacing="0" w:afterAutospacing="0" w:line="360" w:lineRule="auto"/>
        <w:tabs>
          <w:tab w:val="left" w:pos="360" w:leader="none"/>
        </w:tabs>
      </w:pPr>
      <w:r>
        <w:rPr>
          <w:rFonts w:ascii="Times New Roman" w:hAnsi="Times New Roman"/>
          <w:color w:val="000000"/>
        </w:rPr>
        <w:t xml:space="preserve">      授权单位名称：</w:t>
      </w:r>
      <w:r>
        <w:rPr>
          <w:rFonts w:ascii="Times New Roman" w:hAnsi="Times New Roman"/>
          <w:color w:val="000000"/>
          <w:u w:val="single"/>
        </w:rPr>
        <w:t xml:space="preserve">（加盖CA电子公章）</w:t>
      </w:r>
      <w:r/>
    </w:p>
    <w:p>
      <w:pPr>
        <w:pStyle w:val="892"/>
        <w:ind w:firstLine="480"/>
        <w:jc w:val="both"/>
        <w:spacing w:beforeAutospacing="0" w:afterAutospacing="0" w:line="36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92"/>
        <w:ind w:firstLine="480"/>
        <w:jc w:val="both"/>
        <w:spacing w:beforeAutospacing="0" w:afterAutospacing="0" w:line="360" w:lineRule="auto"/>
        <w:tabs>
          <w:tab w:val="left" w:pos="360" w:leader="none"/>
        </w:tabs>
      </w:pPr>
      <w:r>
        <w:rPr>
          <w:rFonts w:ascii="Times New Roman" w:hAnsi="Times New Roman"/>
          <w:color w:val="000000"/>
        </w:rPr>
        <w:t xml:space="preserve">    日期：</w:t>
      </w:r>
      <w:bookmarkStart w:id="183" w:name="_格式3__银行出具的资信证明"/>
      <w:r/>
      <w:bookmarkStart w:id="184" w:name="_Hlt26955070"/>
      <w:r/>
      <w:bookmarkStart w:id="185" w:name="_Hlt26671380"/>
      <w:r>
        <w:rPr>
          <w:rFonts w:ascii="Times New Roman" w:hAnsi="Times New Roman"/>
          <w:color w:val="000000"/>
          <w:u w:val="single"/>
        </w:rPr>
        <w:t xml:space="preserve">                                         </w:t>
      </w:r>
      <w:r/>
    </w:p>
    <w:p>
      <w:pPr>
        <w:pStyle w:val="892"/>
        <w:ind w:firstLine="420"/>
        <w:jc w:val="both"/>
        <w:spacing w:beforeAutospacing="0" w:afterAutospacing="0" w:line="360" w:lineRule="auto"/>
      </w:pPr>
      <w:r>
        <w:t xml:space="preserve"> </w:t>
      </w:r>
      <w:r/>
    </w:p>
    <w:p>
      <w:pPr>
        <w:pStyle w:val="892"/>
        <w:jc w:val="both"/>
        <w:spacing w:beforeAutospacing="0" w:afterAutospacing="0" w:line="360" w:lineRule="auto"/>
      </w:pPr>
      <w:r>
        <w:t xml:space="preserve"> </w:t>
      </w:r>
      <w:r/>
    </w:p>
    <w:p>
      <w:pPr>
        <w:pStyle w:val="892"/>
        <w:jc w:val="both"/>
        <w:spacing w:beforeAutospacing="0" w:afterAutospacing="0" w:line="360" w:lineRule="auto"/>
      </w:pPr>
      <w:r>
        <w:t xml:space="preserve"> </w:t>
      </w:r>
      <w:r/>
    </w:p>
    <w:p>
      <w:pPr>
        <w:pStyle w:val="892"/>
        <w:jc w:val="both"/>
        <w:spacing w:beforeAutospacing="0" w:afterAutospacing="0" w:line="360" w:lineRule="auto"/>
      </w:pPr>
      <w:r/>
      <w:r/>
    </w:p>
    <w:p>
      <w:pPr>
        <w:pStyle w:val="892"/>
        <w:jc w:val="center"/>
        <w:spacing w:beforeAutospacing="0" w:afterAutospacing="0" w:line="360"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spacing w:beforeAutospacing="0" w:afterAutospacing="0" w:line="0" w:lineRule="atLeast"/>
      </w:pPr>
      <w:r>
        <w:rPr>
          <w:rFonts w:hint="eastAsia" w:ascii="宋体" w:hAnsi="宋体" w:eastAsia="宋体" w:cs="宋体"/>
          <w:color w:val="000000"/>
        </w:rPr>
        <w:t xml:space="preserve">致：</w:t>
      </w:r>
      <w:r>
        <w:rPr>
          <w:rFonts w:hint="eastAsia"/>
          <w:color w:val="000000"/>
        </w:rPr>
        <w:t xml:space="preserve">（采购人名称）</w:t>
      </w:r>
      <w:r/>
    </w:p>
    <w:p>
      <w:pPr>
        <w:pStyle w:val="892"/>
        <w:ind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JSZC-320902-YDYC-G2024-0001</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92"/>
        <w:ind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892"/>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92"/>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92"/>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92"/>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92"/>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92"/>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92"/>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892"/>
        <w:ind w:left="420" w:firstLine="480"/>
        <w:spacing w:beforeAutospacing="0" w:afterAutospacing="0" w:line="360" w:lineRule="auto"/>
      </w:pPr>
      <w:r>
        <w:rPr>
          <w:rFonts w:hint="eastAsia" w:ascii="宋体" w:hAnsi="宋体" w:eastAsia="宋体" w:cs="宋体"/>
          <w:color w:val="000000"/>
        </w:rPr>
        <w:t xml:space="preserve">地          址：</w:t>
      </w:r>
      <w:r/>
    </w:p>
    <w:p>
      <w:pPr>
        <w:pStyle w:val="892"/>
        <w:ind w:left="420" w:firstLine="480"/>
        <w:spacing w:beforeAutospacing="0" w:afterAutospacing="0" w:line="360" w:lineRule="auto"/>
      </w:pPr>
      <w:r>
        <w:rPr>
          <w:rFonts w:hint="eastAsia" w:ascii="宋体" w:hAnsi="宋体" w:eastAsia="宋体" w:cs="宋体"/>
          <w:color w:val="000000"/>
        </w:rPr>
        <w:t xml:space="preserve">邮          编：</w:t>
      </w:r>
      <w:r/>
    </w:p>
    <w:p>
      <w:pPr>
        <w:pStyle w:val="892"/>
        <w:ind w:left="420" w:firstLine="480"/>
        <w:spacing w:beforeAutospacing="0" w:afterAutospacing="0" w:line="360" w:lineRule="auto"/>
      </w:pPr>
      <w:r>
        <w:rPr>
          <w:rFonts w:hint="eastAsia" w:ascii="宋体" w:hAnsi="宋体" w:eastAsia="宋体" w:cs="宋体"/>
          <w:color w:val="000000"/>
        </w:rPr>
        <w:t xml:space="preserve">电          话：</w:t>
      </w:r>
      <w:r/>
    </w:p>
    <w:p>
      <w:pPr>
        <w:pStyle w:val="892"/>
        <w:ind w:left="420" w:firstLine="480"/>
        <w:spacing w:beforeAutospacing="0" w:afterAutospacing="0" w:line="360" w:lineRule="auto"/>
      </w:pPr>
      <w:r>
        <w:rPr>
          <w:rFonts w:hint="eastAsia" w:ascii="宋体" w:hAnsi="宋体" w:eastAsia="宋体" w:cs="宋体"/>
          <w:color w:val="000000"/>
        </w:rPr>
        <w:t xml:space="preserve">传          真：</w:t>
      </w:r>
      <w:r/>
    </w:p>
    <w:p>
      <w:pPr>
        <w:pStyle w:val="892"/>
        <w:ind w:left="420" w:firstLine="480"/>
        <w:spacing w:beforeAutospacing="0" w:afterAutospacing="0" w:line="360" w:lineRule="auto"/>
      </w:pPr>
      <w:r>
        <w:rPr>
          <w:rFonts w:hint="eastAsia" w:ascii="宋体" w:hAnsi="宋体" w:eastAsia="宋体" w:cs="宋体"/>
          <w:color w:val="000000"/>
        </w:rPr>
        <w:t xml:space="preserve">投标人开户行：</w:t>
      </w:r>
      <w:r/>
    </w:p>
    <w:p>
      <w:pPr>
        <w:pStyle w:val="892"/>
        <w:ind w:left="420" w:firstLine="480"/>
        <w:spacing w:beforeAutospacing="0" w:afterAutospacing="0" w:line="360" w:lineRule="auto"/>
      </w:pPr>
      <w:r>
        <w:rPr>
          <w:rFonts w:hint="eastAsia" w:ascii="宋体" w:hAnsi="宋体" w:eastAsia="宋体" w:cs="宋体"/>
          <w:color w:val="000000"/>
        </w:rPr>
        <w:t xml:space="preserve">账          号： </w:t>
      </w:r>
      <w:r/>
    </w:p>
    <w:p>
      <w:pPr>
        <w:pStyle w:val="892"/>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892"/>
        <w:ind w:firstLine="240"/>
        <w:jc w:val="center"/>
        <w:spacing w:beforeAutospacing="0" w:afterAutospacing="0" w:line="360" w:lineRule="auto"/>
      </w:pPr>
      <w:r>
        <w:t xml:space="preserve">  </w:t>
      </w:r>
      <w:r/>
    </w:p>
    <w:p>
      <w:pPr>
        <w:pStyle w:val="892"/>
        <w:jc w:val="center"/>
        <w:spacing w:beforeAutospacing="0" w:afterAutospacing="0" w:line="360" w:lineRule="auto"/>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t xml:space="preserve"> </w:t>
      </w:r>
      <w:r>
        <w:rPr>
          <w:rFonts w:hint="eastAsia" w:ascii="黑体" w:hAnsi="宋体" w:eastAsia="黑体" w:cs="黑体"/>
          <w:b/>
          <w:color w:val="000000"/>
          <w:sz w:val="32"/>
          <w:szCs w:val="32"/>
        </w:rPr>
        <w:t xml:space="preserve">九、小微企业声明函（服务）（</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ind w:firstLine="36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2"/>
        <w:ind w:firstLine="36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360" w:lineRule="auto"/>
      </w:pPr>
      <w:r>
        <w:rPr>
          <w:rFonts w:hint="eastAsia" w:ascii="宋体" w:hAnsi="宋体" w:eastAsia="宋体" w:cs="宋体"/>
          <w:color w:val="000000"/>
        </w:rPr>
        <w:t xml:space="preserve">……</w:t>
      </w:r>
      <w:r/>
    </w:p>
    <w:p>
      <w:pPr>
        <w:pStyle w:val="892"/>
        <w:ind w:firstLine="36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92"/>
        <w:ind w:firstLine="360"/>
        <w:jc w:val="both"/>
        <w:spacing w:beforeAutospacing="0" w:afterAutospacing="0" w:line="360" w:lineRule="auto"/>
      </w:pPr>
      <w:r>
        <w:rPr>
          <w:rFonts w:hint="eastAsia" w:ascii="宋体" w:hAnsi="宋体" w:eastAsia="宋体" w:cs="宋体"/>
          <w:color w:val="000000"/>
        </w:rPr>
        <w:t xml:space="preserve">本企业对上述声明内容的真实性负责。如有虚假，将依法承担相应责任</w:t>
      </w:r>
      <w:r/>
    </w:p>
    <w:p>
      <w:pPr>
        <w:pStyle w:val="892"/>
        <w:ind w:right="720"/>
        <w:jc w:val="both"/>
        <w:spacing w:beforeAutospacing="0" w:afterAutospacing="0" w:line="360" w:lineRule="auto"/>
      </w:pPr>
      <w:r>
        <w:t xml:space="preserve"> </w:t>
      </w:r>
      <w:r/>
    </w:p>
    <w:p>
      <w:pPr>
        <w:pStyle w:val="892"/>
        <w:ind w:right="180" w:firstLine="360"/>
        <w:jc w:val="right"/>
        <w:spacing w:beforeAutospacing="0" w:afterAutospacing="0" w:line="360" w:lineRule="auto"/>
      </w:pPr>
      <w:r>
        <w:rPr>
          <w:rFonts w:hint="eastAsia" w:ascii="宋体" w:hAnsi="宋体" w:eastAsia="宋体" w:cs="宋体"/>
          <w:color w:val="000000"/>
        </w:rPr>
        <w:t xml:space="preserve">企业名称（加盖CA电子公章）：</w:t>
      </w:r>
      <w:r/>
    </w:p>
    <w:p>
      <w:pPr>
        <w:pStyle w:val="892"/>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89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892"/>
        <w:ind w:firstLine="480"/>
        <w:jc w:val="both"/>
        <w:spacing w:beforeAutospacing="0" w:afterAutospacing="0" w:line="360"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92"/>
        <w:ind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92"/>
        <w:jc w:val="center"/>
        <w:spacing w:beforeAutospacing="0" w:afterAutospacing="0" w:line="360" w:lineRule="auto"/>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p>
      <w:pPr>
        <w:pStyle w:val="892"/>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rPr>
          <w:rFonts w:hint="eastAsia" w:ascii="宋体" w:hAnsi="宋体" w:eastAsia="宋体" w:cs="宋体"/>
          <w:color w:val="000000"/>
        </w:rPr>
        <w:t xml:space="preserve">采购活动由本单位提供服务。</w:t>
      </w:r>
      <w:r/>
    </w:p>
    <w:p>
      <w:pPr>
        <w:pStyle w:val="892"/>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92"/>
        <w:ind w:firstLine="480"/>
        <w:jc w:val="both"/>
        <w:spacing w:beforeAutospacing="0" w:afterAutospacing="0" w:line="360" w:lineRule="auto"/>
      </w:pPr>
      <w:r>
        <w:t xml:space="preserve"> </w:t>
      </w:r>
      <w:r/>
    </w:p>
    <w:p>
      <w:pPr>
        <w:pStyle w:val="892"/>
        <w:ind w:firstLine="480"/>
        <w:jc w:val="both"/>
        <w:spacing w:beforeAutospacing="0" w:afterAutospacing="0" w:line="360" w:lineRule="auto"/>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892"/>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892"/>
        <w:ind w:firstLine="624"/>
        <w:jc w:val="both"/>
        <w:spacing w:beforeAutospacing="0" w:afterAutospacing="0" w:line="360" w:lineRule="auto"/>
      </w:pPr>
      <w:r>
        <w:t xml:space="preserve"> </w:t>
      </w:r>
      <w:r/>
    </w:p>
    <w:p>
      <w:pPr>
        <w:pStyle w:val="892"/>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92"/>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t xml:space="preserve"> </w:t>
      </w:r>
      <w:r/>
    </w:p>
    <w:p>
      <w:pPr>
        <w:pStyle w:val="892"/>
        <w:jc w:val="center"/>
        <w:spacing w:beforeAutospacing="0" w:afterAutospacing="0" w:line="360" w:lineRule="auto"/>
      </w:pPr>
      <w:r/>
      <w:r/>
    </w:p>
    <w:p>
      <w:pPr>
        <w:pStyle w:val="892"/>
        <w:jc w:val="center"/>
        <w:spacing w:beforeAutospacing="0" w:afterAutospacing="0" w:line="360" w:lineRule="auto"/>
      </w:pPr>
      <w:r/>
      <w:r/>
    </w:p>
    <w:p>
      <w:pPr>
        <w:pStyle w:val="892"/>
        <w:jc w:val="center"/>
        <w:spacing w:beforeAutospacing="0" w:afterAutospacing="0" w:line="360" w:lineRule="auto"/>
      </w:pPr>
      <w:r/>
      <w:r/>
    </w:p>
    <w:p>
      <w:pPr>
        <w:pStyle w:val="892"/>
        <w:jc w:val="both"/>
        <w:spacing w:beforeAutospacing="0" w:afterAutospacing="0" w:line="360" w:lineRule="auto"/>
      </w:pPr>
      <w:r/>
      <w:r/>
    </w:p>
    <w:p>
      <w:pPr>
        <w:pStyle w:val="892"/>
        <w:jc w:val="center"/>
        <w:spacing w:beforeAutospacing="0" w:afterAutospacing="0" w:line="360" w:lineRule="auto"/>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tbl>
      <w:tblPr>
        <w:tblStyle w:val="88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pacing w:line="360" w:lineRule="auto"/>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rPr>
                <w:rFonts w:hint="default" w:eastAsiaTheme="minorEastAsia"/>
                <w:lang w:val="en-US" w:eastAsia="zh-CN"/>
              </w:rPr>
            </w:pPr>
            <w:r>
              <w:rPr>
                <w:rFonts w:hint="eastAsia" w:ascii="宋体" w:hAnsi="宋体" w:eastAsia="宋体" w:cs="宋体"/>
                <w:color w:val="000000"/>
                <w:lang w:val="en-US" w:eastAsia="zh-CN"/>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rPr>
                <w:rFonts w:hint="eastAsia" w:cs="Times New Roman" w:asciiTheme="minorHAnsi" w:hAnsiTheme="minorHAnsi" w:eastAsiaTheme="minorEastAsia"/>
                <w:sz w:val="24"/>
                <w:szCs w:val="24"/>
                <w:lang w:val="en-US" w:eastAsia="zh-CN" w:bidi="ar-SA"/>
              </w:rPr>
            </w:pPr>
            <w:r>
              <w:rPr>
                <w:rFonts w:hint="eastAsia" w:ascii="宋体" w:hAnsi="宋体" w:eastAsia="宋体" w:cs="宋体"/>
                <w:color w:val="000000"/>
                <w:lang w:val="en-US" w:eastAsia="zh-CN"/>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rPr>
                <w:rFonts w:hint="eastAsia" w:cs="Times New Roman" w:asciiTheme="minorHAnsi" w:hAnsiTheme="minorHAnsi" w:eastAsiaTheme="minorEastAsia"/>
                <w:sz w:val="24"/>
                <w:szCs w:val="24"/>
                <w:lang w:val="en-US" w:eastAsia="zh-CN" w:bidi="ar-SA"/>
              </w:rPr>
            </w:pPr>
            <w:r>
              <w:rPr>
                <w:rFonts w:hint="eastAsia" w:ascii="宋体" w:hAnsi="宋体" w:eastAsia="宋体" w:cs="宋体"/>
                <w:color w:val="000000"/>
                <w:lang w:val="en-US" w:eastAsia="zh-CN"/>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rPr>
                <w:rFonts w:hint="eastAsia" w:eastAsiaTheme="minorEastAsia"/>
                <w:lang w:eastAsia="zh-CN"/>
              </w:rPr>
            </w:pPr>
            <w:r>
              <w:rPr>
                <w:rFonts w:hint="eastAsia" w:ascii="宋体" w:hAnsi="宋体" w:eastAsia="宋体" w:cs="宋体"/>
                <w:color w:val="000000"/>
                <w:lang w:val="en-US" w:eastAsia="zh-CN"/>
              </w:rPr>
              <w:t xml:space="preserve">年限（年）</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rPr>
                <w:rFonts w:hint="eastAsia" w:eastAsia="宋体"/>
                <w:lang w:eastAsia="zh-CN"/>
              </w:rPr>
            </w:pPr>
            <w:r>
              <w:rPr>
                <w:rFonts w:hint="eastAsia" w:ascii="宋体" w:hAnsi="宋体" w:eastAsia="宋体" w:cs="宋体"/>
                <w:color w:val="000000"/>
              </w:rPr>
              <w:t xml:space="preserve">总价</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元</w:t>
            </w:r>
            <w:r>
              <w:rPr>
                <w:rFonts w:hint="eastAsia" w:ascii="宋体" w:hAnsi="宋体" w:eastAsia="宋体" w:cs="宋体"/>
                <w:color w:val="000000"/>
                <w:lang w:eastAsia="zh-CN"/>
              </w:rPr>
              <w:t xml:space="preserve">）</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92"/>
              <w:jc w:val="both"/>
              <w:spacing w:beforeAutospacing="0" w:afterAutospacing="0" w:line="360" w:lineRule="auto"/>
            </w:pPr>
            <w:r>
              <w:t xml:space="preserve"> </w:t>
            </w:r>
            <w:r/>
          </w:p>
        </w:tc>
      </w:tr>
    </w:tbl>
    <w:p>
      <w:pPr>
        <w:pStyle w:val="892"/>
        <w:jc w:val="both"/>
        <w:spacing w:beforeAutospacing="0" w:afterAutospacing="0" w:line="360" w:lineRule="auto"/>
      </w:pPr>
      <w:r>
        <w:rPr>
          <w:rFonts w:hint="eastAsia" w:ascii="宋体" w:hAnsi="宋体" w:eastAsia="宋体" w:cs="宋体"/>
          <w:color w:val="000000"/>
        </w:rPr>
        <w:t xml:space="preserve">备注：“投标分项报价表”中“投标总报价”数额应当与“开标一览表”中“投标总报价”数额一致。</w:t>
      </w:r>
      <w:r/>
    </w:p>
    <w:p>
      <w:pPr>
        <w:pStyle w:val="892"/>
        <w:jc w:val="center"/>
        <w:spacing w:beforeAutospacing="0" w:afterAutospacing="0" w:line="360" w:lineRule="auto"/>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证明</w:t>
            </w:r>
            <w:r/>
          </w:p>
          <w:p>
            <w:pPr>
              <w:pStyle w:val="892"/>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360" w:lineRule="auto"/>
            </w:pPr>
            <w:r>
              <w:t xml:space="preserve"> </w:t>
            </w:r>
            <w:r/>
          </w:p>
        </w:tc>
      </w:tr>
    </w:tbl>
    <w:p>
      <w:pPr>
        <w:pStyle w:val="892"/>
        <w:jc w:val="both"/>
        <w:spacing w:beforeAutospacing="0" w:afterAutospacing="0" w:line="360" w:lineRule="auto"/>
      </w:pPr>
      <w:r>
        <w:rPr>
          <w:rFonts w:hint="eastAsia" w:ascii="宋体" w:hAnsi="宋体" w:eastAsia="宋体" w:cs="宋体"/>
          <w:color w:val="000000"/>
        </w:rPr>
        <w:t xml:space="preserve">注： 行数不够，可自行添加。</w:t>
      </w:r>
      <w:r/>
    </w:p>
    <w:p>
      <w:pPr>
        <w:pStyle w:val="892"/>
        <w:jc w:val="center"/>
        <w:spacing w:beforeAutospacing="0" w:afterAutospacing="0" w:line="360" w:lineRule="auto"/>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92"/>
        <w:jc w:val="center"/>
        <w:spacing w:beforeAutospacing="0" w:afterAutospacing="0" w:line="360" w:lineRule="auto"/>
        <w:rPr>
          <w:rFonts w:hint="eastAsia" w:ascii="黑体" w:hAnsi="宋体" w:eastAsia="黑体" w:cs="黑体"/>
          <w:b/>
          <w:bCs/>
          <w:color w:val="000000"/>
          <w:sz w:val="32"/>
          <w:szCs w:val="32"/>
          <w:highlight w:val="none"/>
        </w:rPr>
      </w:pPr>
      <w:r/>
      <w:bookmarkStart w:id="18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rPr>
          <w:rFonts w:hint="eastAsia" w:ascii="黑体" w:hAnsi="宋体" w:eastAsia="黑体" w:cs="黑体"/>
          <w:b/>
          <w:color w:val="000000"/>
          <w:sz w:val="32"/>
          <w:szCs w:val="32"/>
          <w:lang w:val="en-US" w:eastAsia="zh-CN"/>
        </w:rPr>
        <w:t xml:space="preserve">   标段</w:t>
      </w:r>
      <w:r>
        <w:rPr>
          <w:rFonts w:hint="eastAsia" w:ascii="黑体" w:hAnsi="宋体" w:eastAsia="黑体" w:cs="黑体"/>
          <w:b/>
          <w:color w:val="000000"/>
          <w:sz w:val="32"/>
          <w:szCs w:val="32"/>
        </w:rPr>
        <w:t xml:space="preserve">）</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bookmarkStart w:id="187" w:name="_Hlt26955064"/>
            <w:r/>
            <w:bookmarkStart w:id="188" w:name="_Hlt26609391"/>
            <w:r/>
            <w:bookmarkStart w:id="189" w:name="_Hlt26671343"/>
            <w:r/>
            <w:bookmarkStart w:id="190" w:name="_Hlt26671372"/>
            <w:r/>
            <w:bookmarkStart w:id="191" w:name="_Hlt26955056"/>
            <w:r/>
            <w:bookmarkStart w:id="192" w:name="_Hlt26580838"/>
            <w:r/>
            <w:bookmarkStart w:id="193" w:name="_Hlt26782999"/>
            <w:r/>
            <w:bookmarkStart w:id="194" w:name="_Hlt24879081"/>
            <w:r>
              <w:rPr>
                <w:rFonts w:hint="eastAsia" w:ascii="宋体" w:hAnsi="宋体" w:eastAsia="宋体" w:cs="宋体"/>
                <w:color w:val="000000"/>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rPr>
                <w:rFonts w:hint="eastAsia" w:ascii="宋体" w:hAnsi="宋体" w:eastAsia="宋体" w:cs="宋体"/>
                <w:color w:val="000000"/>
              </w:rPr>
              <w:t xml:space="preserve">证明</w:t>
            </w:r>
            <w:r/>
          </w:p>
          <w:p>
            <w:pPr>
              <w:pStyle w:val="892"/>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2"/>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2"/>
              <w:jc w:val="center"/>
              <w:spacing w:beforeAutospacing="0" w:afterAutospacing="0" w:line="360" w:lineRule="auto"/>
            </w:pPr>
            <w:r>
              <w:t xml:space="preserve"> </w:t>
            </w:r>
            <w:r/>
          </w:p>
        </w:tc>
      </w:tr>
    </w:tbl>
    <w:p>
      <w:pPr>
        <w:pStyle w:val="892"/>
        <w:jc w:val="both"/>
        <w:spacing w:beforeAutospacing="0" w:afterAutospacing="0" w:line="360" w:lineRule="auto"/>
      </w:pPr>
      <w:r>
        <w:rPr>
          <w:rFonts w:hint="eastAsia" w:ascii="宋体" w:hAnsi="宋体" w:eastAsia="宋体" w:cs="宋体"/>
          <w:color w:val="000000"/>
        </w:rPr>
        <w:t xml:space="preserve">注： 行数不够，可自行添加。</w:t>
      </w:r>
      <w:r/>
    </w:p>
    <w:p>
      <w:pPr>
        <w:pStyle w:val="892"/>
        <w:jc w:val="center"/>
        <w:spacing w:beforeAutospacing="0" w:afterAutospacing="0" w:line="360" w:lineRule="auto"/>
        <w:rPr>
          <w:rFonts w:hint="eastAsia" w:eastAsia="黑体"/>
          <w:i w:val="0"/>
          <w:iCs/>
          <w:lang w:eastAsia="zh-CN"/>
        </w:rPr>
      </w:pPr>
      <w:r/>
      <w:bookmarkStart w:id="195" w:name="_格式2__法定代表人授权书"/>
      <w:r/>
      <w:bookmarkStart w:id="196" w:name="_Toc462564146"/>
      <w:r/>
      <w:bookmarkStart w:id="197" w:name="_Hlt26671374"/>
      <w:r/>
      <w:bookmarkStart w:id="198" w:name="_Hlt26955066"/>
      <w:r/>
      <w:bookmarkStart w:id="199" w:name="_Hlt26609389"/>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rPr>
          <w:rFonts w:hint="eastAsia" w:ascii="黑体" w:hAnsi="宋体" w:eastAsia="黑体" w:cs="黑体"/>
          <w:b/>
          <w:i w:val="0"/>
          <w:iCs/>
          <w:color w:val="000000"/>
          <w:sz w:val="32"/>
          <w:szCs w:val="32"/>
          <w:u w:val="single"/>
          <w:lang w:eastAsia="zh-CN"/>
        </w:rPr>
        <w:t xml:space="preserve">（</w:t>
      </w:r>
      <w:r>
        <w:rPr>
          <w:rFonts w:hint="eastAsia" w:ascii="黑体" w:hAnsi="宋体" w:eastAsia="黑体" w:cs="黑体"/>
          <w:b/>
          <w:i w:val="0"/>
          <w:iCs/>
          <w:color w:val="000000"/>
          <w:sz w:val="32"/>
          <w:szCs w:val="32"/>
          <w:u w:val="single"/>
          <w:lang w:val="en-US" w:eastAsia="zh-CN"/>
        </w:rPr>
        <w:t xml:space="preserve">  标段</w:t>
      </w:r>
      <w:r>
        <w:rPr>
          <w:rFonts w:hint="eastAsia" w:ascii="黑体" w:hAnsi="宋体" w:eastAsia="黑体" w:cs="黑体"/>
          <w:b/>
          <w:i w:val="0"/>
          <w:iCs/>
          <w:color w:val="000000"/>
          <w:sz w:val="32"/>
          <w:szCs w:val="32"/>
          <w:u w:val="single"/>
          <w:lang w:eastAsia="zh-CN"/>
        </w:rPr>
        <w:t xml:space="preserve">）</w:t>
      </w:r>
      <w:r/>
    </w:p>
    <w:p>
      <w:pPr>
        <w:pStyle w:val="892"/>
        <w:jc w:val="both"/>
        <w:spacing w:beforeAutospacing="0" w:afterAutospacing="0" w:line="360" w:lineRule="auto"/>
      </w:pPr>
      <w:r/>
      <w:r/>
    </w:p>
    <w:p>
      <w:pPr>
        <w:pStyle w:val="892"/>
        <w:ind w:firstLine="480"/>
        <w:jc w:val="both"/>
        <w:spacing w:beforeAutospacing="0" w:afterAutospacing="0" w:line="360" w:lineRule="auto"/>
      </w:pPr>
      <w:r>
        <w:rPr>
          <w:rFonts w:hint="eastAsia" w:ascii="宋体" w:hAnsi="宋体" w:eastAsia="宋体" w:cs="宋体"/>
          <w:color w:val="000000"/>
        </w:rPr>
        <w:t xml:space="preserve">投标人全称（加盖CA电子签章）：</w:t>
      </w:r>
      <w:r/>
    </w:p>
    <w:p>
      <w:pPr>
        <w:pStyle w:val="892"/>
        <w:ind w:firstLine="480"/>
        <w:jc w:val="both"/>
        <w:spacing w:beforeAutospacing="0" w:afterAutospacing="0" w:line="360" w:lineRule="auto"/>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盐城市新洋经济区河道保洁服务项目</w:t>
      </w:r>
      <w:r/>
    </w:p>
    <w:p>
      <w:pPr>
        <w:pStyle w:val="892"/>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招标编号：           </w:t>
      </w:r>
      <w:r>
        <w:rPr>
          <w:rFonts w:hint="eastAsia" w:ascii="宋体" w:hAnsi="宋体" w:eastAsia="宋体" w:cs="宋体"/>
          <w:color w:val="000000"/>
          <w:lang w:val="en-US" w:eastAsia="zh-CN"/>
        </w:rPr>
        <w:t xml:space="preserve">标段</w:t>
      </w:r>
      <w:r>
        <w:rPr>
          <w:rFonts w:hint="eastAsia" w:ascii="宋体" w:hAnsi="宋体" w:eastAsia="宋体" w:cs="宋体"/>
          <w:color w:val="000000"/>
        </w:rPr>
        <w:t xml:space="preserve">：</w:t>
      </w:r>
      <w:r>
        <w:rPr>
          <w:rFonts w:hint="eastAsia" w:ascii="黑体" w:hAnsi="宋体" w:eastAsia="黑体" w:cs="黑体"/>
          <w:b/>
          <w:color w:val="000000"/>
          <w:sz w:val="32"/>
          <w:szCs w:val="32"/>
          <w:lang w:val="en-US" w:eastAsia="zh-CN"/>
        </w:rPr>
        <w:t xml:space="preserve">   </w:t>
      </w:r>
      <w:r>
        <w:rPr>
          <w:rFonts w:hint="eastAsia" w:ascii="宋体" w:hAnsi="宋体" w:eastAsia="宋体" w:cs="宋体"/>
          <w:color w:val="000000"/>
          <w:lang w:val="en-US" w:eastAsia="zh-CN"/>
        </w:rPr>
        <w:t xml:space="preserve">标段</w:t>
      </w:r>
      <w:r/>
    </w:p>
    <w:tbl>
      <w:tblPr>
        <w:tblStyle w:val="88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2"/>
              <w:jc w:val="both"/>
              <w:spacing w:beforeAutospacing="0" w:afterAutospacing="0" w:line="360" w:lineRule="auto"/>
              <w:rPr>
                <w:rFonts w:hint="eastAsia" w:eastAsia="宋体"/>
                <w:lang w:eastAsia="zh-CN"/>
              </w:rPr>
            </w:pPr>
            <w:r>
              <w:rPr>
                <w:rFonts w:hint="eastAsia" w:ascii="宋体" w:hAnsi="宋体" w:eastAsia="宋体" w:cs="宋体"/>
                <w:color w:val="000000"/>
              </w:rPr>
              <w:t xml:space="preserve">投标总报价</w:t>
            </w:r>
            <w:r>
              <w:rPr>
                <w:rFonts w:hint="eastAsia" w:ascii="宋体" w:hAnsi="宋体" w:eastAsia="宋体" w:cs="宋体"/>
                <w:color w:val="000000"/>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2"/>
              <w:spacing w:beforeAutospacing="0" w:afterAutospacing="0" w:line="360" w:lineRule="auto"/>
            </w:pPr>
            <w:r>
              <w:rPr>
                <w:rFonts w:hint="eastAsia" w:ascii="宋体" w:hAnsi="宋体" w:eastAsia="宋体" w:cs="宋体"/>
                <w:color w:val="000000"/>
              </w:rPr>
              <w:t xml:space="preserve">小写：                      （人民币：元）</w:t>
            </w:r>
            <w:r/>
          </w:p>
        </w:tc>
      </w:tr>
    </w:tbl>
    <w:p>
      <w:pPr>
        <w:pStyle w:val="892"/>
        <w:jc w:val="both"/>
        <w:spacing w:beforeAutospacing="0" w:afterAutospacing="0"/>
      </w:pPr>
      <w:r/>
      <w:r/>
    </w:p>
    <w:p>
      <w:pPr>
        <w:pStyle w:val="892"/>
        <w:jc w:val="both"/>
        <w:spacing w:beforeAutospacing="0" w:afterAutospacing="0"/>
      </w:pPr>
      <w:r>
        <w:t xml:space="preserve"> </w:t>
      </w:r>
      <w:r>
        <w:rPr>
          <w:rFonts w:hint="eastAsia"/>
          <w:color w:val="000000"/>
          <w:highlight w:val="none"/>
          <w:lang w:eastAsia="zh-CN"/>
        </w:rPr>
        <w:t xml:space="preserve">注：上表中投标报价为三年总报价，特此说明。</w:t>
      </w:r>
      <w:r/>
    </w:p>
    <w:p>
      <w:pPr>
        <w:pStyle w:val="892"/>
        <w:ind w:firstLine="480"/>
        <w:jc w:val="both"/>
        <w:spacing w:beforeAutospacing="0" w:afterAutospacing="0" w:line="360" w:lineRule="auto"/>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92"/>
        <w:ind w:firstLine="480"/>
        <w:jc w:val="both"/>
        <w:spacing w:beforeAutospacing="0" w:afterAutospacing="0" w:line="360" w:lineRule="auto"/>
      </w:pPr>
      <w:r>
        <w:t xml:space="preserve"> </w:t>
      </w:r>
      <w:r/>
    </w:p>
    <w:p>
      <w:pPr>
        <w:jc w:val="center"/>
        <w:spacing w:before="50" w:after="50" w:line="360" w:lineRule="auto"/>
        <w:widowControl/>
      </w:pPr>
      <w:r/>
      <w:r/>
    </w:p>
    <w:p>
      <w:pPr>
        <w:numPr>
          <w:ilvl w:val="0"/>
          <w:numId w:val="0"/>
        </w:num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十五、服务方案、承诺等（   标段）</w:t>
      </w:r>
      <w:r/>
    </w:p>
    <w:p>
      <w:pPr>
        <w:pStyle w:val="892"/>
        <w:jc w:val="center"/>
        <w:spacing w:beforeAutospacing="0" w:afterAutospacing="0"/>
        <w:rPr>
          <w:b/>
          <w:color w:val="000000"/>
          <w:sz w:val="32"/>
          <w:szCs w:val="32"/>
        </w:rPr>
      </w:pPr>
      <w:r>
        <w:rPr>
          <w:rFonts w:hint="eastAsia"/>
          <w:b/>
          <w:color w:val="000000"/>
          <w:sz w:val="32"/>
          <w:szCs w:val="32"/>
        </w:rPr>
        <w:t xml:space="preserve">（详见评标办法部分的要求）</w:t>
      </w:r>
      <w:r/>
    </w:p>
    <w:p>
      <w:pPr>
        <w:numPr>
          <w:ilvl w:val="0"/>
          <w:numId w:val="0"/>
        </w:num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（格式自拟）</w:t>
      </w:r>
      <w:r/>
    </w:p>
    <w:p>
      <w:pPr>
        <w:numPr>
          <w:ilvl w:val="0"/>
          <w:numId w:val="0"/>
        </w:num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十六、</w:t>
      </w:r>
      <w:r>
        <w:rPr>
          <w:rFonts w:hint="eastAsia" w:ascii="宋体" w:hAnsi="宋体" w:eastAsia="宋体" w:cs="宋体"/>
          <w:b/>
          <w:bCs/>
          <w:color w:val="000000"/>
          <w:sz w:val="32"/>
          <w:szCs w:val="32"/>
          <w:lang w:val="zh-CN" w:eastAsia="zh-CN"/>
        </w:rPr>
        <w:t xml:space="preserve">相关业绩</w:t>
      </w:r>
      <w:r>
        <w:rPr>
          <w:rFonts w:hint="eastAsia" w:ascii="宋体" w:hAnsi="宋体" w:eastAsia="宋体" w:cs="宋体"/>
          <w:b/>
          <w:bCs/>
          <w:color w:val="000000"/>
          <w:sz w:val="32"/>
          <w:szCs w:val="32"/>
          <w:lang w:val="en-US" w:eastAsia="zh-CN"/>
        </w:rPr>
        <w:t xml:space="preserve">（   标段）</w:t>
      </w:r>
      <w:r/>
    </w:p>
    <w:p>
      <w:pPr>
        <w:numPr>
          <w:ilvl w:val="0"/>
          <w:numId w:val="0"/>
        </w:numPr>
        <w:jc w:val="center"/>
        <w:spacing w:before="50" w:after="50"/>
        <w:widowControl/>
        <w:rPr>
          <w:rFonts w:hint="eastAsia" w:ascii="宋体" w:hAnsi="宋体" w:eastAsia="宋体" w:cs="宋体"/>
          <w:b/>
          <w:bCs/>
          <w:color w:val="000000"/>
          <w:sz w:val="32"/>
          <w:szCs w:val="32"/>
          <w:lang w:val="en-US" w:eastAsia="zh-CN"/>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宋体" w:hAnsi="宋体" w:eastAsia="宋体" w:cs="宋体"/>
          <w:b/>
          <w:bCs/>
          <w:color w:val="000000"/>
          <w:sz w:val="32"/>
          <w:szCs w:val="32"/>
          <w:lang w:val="en-US" w:eastAsia="zh-CN"/>
        </w:rPr>
      </w:r>
      <w:r/>
    </w:p>
    <w:p>
      <w:pPr>
        <w:numPr>
          <w:ilvl w:val="0"/>
          <w:numId w:val="0"/>
        </w:num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十七、拟派项目负责人资格证明材料（    标段）</w:t>
      </w:r>
      <w:r/>
    </w:p>
    <w:tbl>
      <w:tblPr>
        <w:tblStyle w:val="882"/>
        <w:tblW w:w="0" w:type="auto"/>
        <w:tblInd w:w="92" w:type="dxa"/>
        <w:tblLayout w:type="fixed"/>
        <w:tblCellMar>
          <w:left w:w="108" w:type="dxa"/>
          <w:top w:w="0" w:type="dxa"/>
          <w:right w:w="108" w:type="dxa"/>
          <w:bottom w:w="0" w:type="dxa"/>
        </w:tblCellMar>
        <w:tblLook w:val="04A0" w:firstRow="1" w:lastRow="0" w:firstColumn="1" w:lastColumn="0" w:noHBand="0" w:noVBand="1"/>
      </w:tblPr>
      <w:tblGrid>
        <w:gridCol w:w="736"/>
        <w:gridCol w:w="945"/>
        <w:gridCol w:w="945"/>
        <w:gridCol w:w="945"/>
        <w:gridCol w:w="945"/>
        <w:gridCol w:w="945"/>
        <w:gridCol w:w="945"/>
        <w:gridCol w:w="945"/>
        <w:gridCol w:w="2059"/>
      </w:tblGrid>
      <w:tr>
        <w:trPr>
          <w:cantSplit/>
          <w:trHeight w:val="565"/>
        </w:trPr>
        <w:tc>
          <w:tcPr>
            <w:tcBorders>
              <w:top w:val="single" w:color="auto" w:sz="6" w:space="0"/>
              <w:left w:val="single" w:color="auto" w:sz="6" w:space="0"/>
              <w:bottom w:val="single" w:color="auto" w:sz="6" w:space="0"/>
              <w:right w:val="single" w:color="auto" w:sz="6" w:space="0"/>
            </w:tcBorders>
            <w:tcW w:w="736" w:type="dxa"/>
            <w:vAlign w:val="center"/>
            <w:vMerge w:val="restart"/>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olor w:val="auto"/>
                <w:sz w:val="24"/>
              </w:rPr>
              <w:t xml:space="preserve">拟派</w:t>
            </w:r>
            <w:r>
              <w:rPr>
                <w:rFonts w:hint="eastAsia" w:ascii="宋体" w:hAnsi="宋体"/>
                <w:color w:val="auto"/>
                <w:sz w:val="24"/>
                <w:lang w:eastAsia="zh-CN"/>
              </w:rPr>
              <w:t xml:space="preserve">项目负责人</w:t>
            </w:r>
            <w:r>
              <w:rPr>
                <w:rFonts w:hint="eastAsia" w:ascii="宋体" w:hAnsi="宋体"/>
                <w:color w:val="auto"/>
                <w:sz w:val="24"/>
              </w:rPr>
              <w:t xml:space="preserve">简历以及管理业绩</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t xml:space="preserve">姓  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t xml:space="preserve">年  龄</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t xml:space="preserve">学  历</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t xml:space="preserve">职  称</w:t>
            </w:r>
            <w:r/>
          </w:p>
        </w:tc>
        <w:tc>
          <w:tcPr>
            <w:tcBorders>
              <w:top w:val="single" w:color="auto" w:sz="6" w:space="0"/>
              <w:left w:val="single" w:color="auto" w:sz="6" w:space="0"/>
              <w:bottom w:val="single" w:color="auto" w:sz="6" w:space="0"/>
              <w:right w:val="single" w:color="auto" w:sz="6" w:space="0"/>
            </w:tcBorders>
            <w:tcW w:w="2059" w:type="dxa"/>
            <w:vAlign w:val="center"/>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r>
      <w:tr>
        <w:trPr>
          <w:cantSplit/>
          <w:trHeight w:val="4851"/>
        </w:trPr>
        <w:tc>
          <w:tcPr>
            <w:tcBorders>
              <w:top w:val="single" w:color="auto" w:sz="6" w:space="0"/>
              <w:left w:val="single" w:color="auto" w:sz="6" w:space="0"/>
              <w:bottom w:val="single" w:color="auto" w:sz="6" w:space="0"/>
              <w:right w:val="single" w:color="auto" w:sz="6" w:space="0"/>
            </w:tcBorders>
            <w:tcW w:w="736" w:type="dxa"/>
            <w:vAlign w:val="center"/>
            <w:vMerge w:val="continue"/>
            <w:textDirection w:val="lrTb"/>
            <w:noWrap w:val="false"/>
          </w:tcPr>
          <w:p>
            <w:pPr>
              <w:jc w:val="cente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c>
          <w:tcPr>
            <w:gridSpan w:val="8"/>
            <w:tcBorders>
              <w:top w:val="single" w:color="auto" w:sz="6" w:space="0"/>
              <w:left w:val="single" w:color="auto" w:sz="6" w:space="0"/>
              <w:bottom w:val="single" w:color="auto" w:sz="6" w:space="0"/>
              <w:right w:val="single" w:color="auto" w:sz="6" w:space="0"/>
            </w:tcBorders>
            <w:tcW w:w="8674"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工作简历：</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t xml:space="preserve">管理业绩：</w:t>
            </w:r>
            <w:r/>
          </w:p>
          <w:p>
            <w:pPr>
              <w:rPr>
                <w:rFonts w:hint="eastAsia" w:ascii="宋体" w:hAnsi="宋体"/>
                <w:color w:val="auto"/>
                <w:sz w:val="24"/>
              </w:rPr>
            </w:pPr>
            <w:r>
              <w:rPr>
                <w:rFonts w:hint="eastAsia" w:ascii="宋体" w:hAnsi="宋体"/>
                <w:color w:val="auto"/>
                <w:sz w:val="24"/>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p>
            <w:pPr>
              <w:spacing w:line="320" w:lineRule="atLeast"/>
              <w:rPr>
                <w:rFonts w:hint="eastAsia" w:ascii="宋体" w:hAnsi="宋体" w:cs="宋体"/>
                <w:color w:val="auto"/>
                <w:szCs w:val="21"/>
                <w:lang w:val="zh-CN"/>
              </w:rPr>
            </w:pPr>
            <w:r>
              <w:rPr>
                <w:rFonts w:hint="eastAsia" w:ascii="宋体" w:hAnsi="宋体" w:cs="宋体"/>
                <w:color w:val="auto"/>
                <w:szCs w:val="21"/>
                <w:lang w:val="zh-CN"/>
              </w:rPr>
            </w:r>
            <w:r/>
          </w:p>
        </w:tc>
      </w:tr>
    </w:tbl>
    <w:p>
      <w:pPr>
        <w:spacing w:line="320" w:lineRule="atLeast"/>
        <w:rPr>
          <w:rFonts w:hint="eastAsia" w:ascii="宋体" w:hAnsi="宋体" w:cs="宋体"/>
          <w:color w:val="auto"/>
          <w:szCs w:val="21"/>
          <w:lang w:val="zh-CN"/>
        </w:rPr>
      </w:pPr>
      <w:r>
        <w:rPr>
          <w:rFonts w:hint="eastAsia" w:ascii="宋体" w:hAnsi="宋体" w:cs="宋体"/>
          <w:color w:val="auto"/>
          <w:szCs w:val="21"/>
          <w:lang w:val="zh-CN"/>
        </w:rPr>
        <w:t xml:space="preserve">一、身份证复印件</w:t>
      </w:r>
      <w:r/>
    </w:p>
    <w:p>
      <w:pPr>
        <w:spacing w:line="320" w:lineRule="atLeast"/>
        <w:rPr>
          <w:rFonts w:hint="eastAsia" w:ascii="宋体" w:hAnsi="宋体" w:cs="宋体"/>
          <w:b/>
          <w:bCs/>
          <w:color w:val="auto"/>
          <w:sz w:val="24"/>
          <w:lang w:val="zh-CN"/>
        </w:rPr>
      </w:pPr>
      <w:r>
        <w:rPr>
          <w:rFonts w:hint="eastAsia" w:ascii="宋体" w:hAnsi="宋体" w:cs="宋体"/>
          <w:b/>
          <w:bCs/>
          <w:color w:val="auto"/>
          <w:sz w:val="24"/>
          <w:lang w:val="zh-CN"/>
        </w:rPr>
      </w:r>
      <w:r/>
    </w:p>
    <w:p>
      <w:pPr>
        <w:spacing w:line="320" w:lineRule="atLeast"/>
        <w:rPr>
          <w:rFonts w:hint="eastAsia" w:ascii="宋体" w:hAnsi="宋体" w:cs="宋体"/>
          <w:b/>
          <w:bCs/>
          <w:color w:val="auto"/>
          <w:sz w:val="24"/>
          <w:lang w:val="zh-CN"/>
        </w:rPr>
      </w:pPr>
      <w:r>
        <w:rPr>
          <w:rFonts w:hint="eastAsia" w:ascii="宋体" w:hAnsi="宋体" w:cs="宋体"/>
          <w:b/>
          <w:bCs/>
          <w:color w:val="auto"/>
          <w:sz w:val="24"/>
          <w:lang w:val="zh-CN"/>
        </w:rPr>
      </w:r>
      <w:r/>
    </w:p>
    <w:p>
      <w:pPr>
        <w:spacing w:line="320" w:lineRule="atLeast"/>
        <w:rPr>
          <w:rFonts w:hint="eastAsia" w:ascii="宋体" w:hAnsi="宋体"/>
          <w:color w:val="auto"/>
          <w:szCs w:val="21"/>
        </w:rPr>
      </w:pPr>
      <w:r>
        <w:rPr>
          <w:rFonts w:hint="eastAsia" w:ascii="宋体" w:hAnsi="宋体"/>
          <w:color w:val="auto"/>
          <w:szCs w:val="21"/>
        </w:rPr>
      </w:r>
      <w:r/>
    </w:p>
    <w:p>
      <w:pPr>
        <w:pStyle w:val="883"/>
        <w:ind w:firstLine="0"/>
        <w:jc w:val="center"/>
        <w:rPr>
          <w:rFonts w:hint="eastAsia" w:hAnsi="宋体"/>
          <w:color w:val="auto"/>
        </w:rPr>
      </w:pPr>
      <w:r>
        <w:rPr>
          <w:rFonts w:hint="eastAsia" w:hAnsi="宋体"/>
          <w:color w:val="auto"/>
        </w:rPr>
      </w:r>
      <w:r/>
    </w:p>
    <w:p>
      <w:pPr>
        <w:pStyle w:val="883"/>
        <w:ind w:firstLine="0"/>
        <w:rPr>
          <w:rFonts w:hint="eastAsia" w:hAnsi="宋体"/>
          <w:color w:val="auto"/>
        </w:rPr>
      </w:pPr>
      <w:r>
        <w:rPr>
          <w:rFonts w:hint="eastAsia" w:hAnsi="宋体"/>
          <w:color w:val="auto"/>
        </w:rPr>
      </w:r>
      <w:r/>
    </w:p>
    <w:p>
      <w:pPr>
        <w:pStyle w:val="900"/>
        <w:ind w:left="420" w:firstLine="5640"/>
        <w:spacing w:before="0" w:after="0" w:line="420" w:lineRule="exact"/>
        <w:rPr>
          <w:rFonts w:hint="eastAsia" w:ascii="宋体" w:hAnsi="宋体"/>
          <w:color w:val="auto"/>
          <w:szCs w:val="21"/>
        </w:rPr>
      </w:pPr>
      <w:r>
        <w:rPr>
          <w:rFonts w:hint="eastAsia" w:ascii="宋体" w:hAnsi="宋体"/>
          <w:color w:val="auto"/>
          <w:szCs w:val="21"/>
        </w:rPr>
        <w:t xml:space="preserve">投标人（公章）： </w:t>
      </w:r>
      <w:r/>
    </w:p>
    <w:p>
      <w:pPr>
        <w:ind w:firstLine="480"/>
        <w:jc w:val="right"/>
        <w:rPr>
          <w:rFonts w:hint="eastAsia" w:ascii="宋体" w:hAnsi="宋体"/>
          <w:color w:val="auto"/>
          <w:sz w:val="24"/>
        </w:rPr>
      </w:pPr>
      <w:r>
        <w:rPr>
          <w:rFonts w:hint="eastAsia" w:ascii="宋体" w:hAnsi="宋体"/>
          <w:color w:val="auto"/>
          <w:sz w:val="24"/>
        </w:rPr>
        <w:t xml:space="preserve">法定代表人或授权代表（签字或盖章）：</w:t>
      </w:r>
      <w:r/>
    </w:p>
    <w:p>
      <w:pPr>
        <w:ind w:firstLine="480"/>
        <w:rPr>
          <w:rFonts w:ascii="宋体" w:hAnsi="宋体"/>
          <w:color w:val="auto"/>
          <w:sz w:val="24"/>
        </w:rPr>
      </w:pPr>
      <w:r>
        <w:rPr>
          <w:rFonts w:hint="eastAsia" w:ascii="宋体" w:hAnsi="宋体"/>
          <w:color w:val="auto"/>
          <w:sz w:val="24"/>
        </w:rPr>
        <w:t xml:space="preserve">                                              日期：  </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spacing w:line="560" w:lineRule="exact"/>
        <w:rPr>
          <w:rFonts w:hint="eastAsia" w:ascii="宋体" w:hAnsi="宋体"/>
          <w:b/>
          <w:color w:val="auto"/>
          <w:sz w:val="32"/>
          <w:szCs w:val="32"/>
        </w:rPr>
      </w:pPr>
      <w:r>
        <w:rPr>
          <w:rFonts w:hint="eastAsia" w:ascii="宋体" w:hAnsi="宋体"/>
          <w:b/>
          <w:color w:val="auto"/>
          <w:sz w:val="32"/>
          <w:szCs w:val="32"/>
        </w:rPr>
      </w:r>
      <w:r/>
    </w:p>
    <w:p>
      <w:pPr>
        <w:jc w:val="center"/>
        <w:rPr>
          <w:rFonts w:hint="eastAsia" w:hAnsi="宋体"/>
          <w:b/>
          <w:bCs/>
          <w:sz w:val="32"/>
          <w:szCs w:val="32"/>
          <w:lang w:val="en-US" w:eastAsia="zh-CN"/>
        </w:rPr>
        <w:sectPr>
          <w:footnotePr/>
          <w:endnotePr/>
          <w:type w:val="nextPage"/>
          <w:pgSz w:w="11907" w:h="16840" w:orient="portrait"/>
          <w:pgMar w:top="607" w:right="851" w:bottom="811" w:left="1134" w:header="624" w:footer="992" w:gutter="0"/>
          <w:cols w:num="1" w:sep="0" w:space="720" w:equalWidth="1"/>
          <w:docGrid w:linePitch="360"/>
        </w:sectPr>
      </w:pPr>
      <w:r>
        <w:rPr>
          <w:rFonts w:hint="eastAsia" w:hAnsi="宋体"/>
          <w:b/>
          <w:bCs/>
          <w:sz w:val="32"/>
          <w:szCs w:val="32"/>
          <w:lang w:val="en-US" w:eastAsia="zh-CN"/>
        </w:rPr>
      </w:r>
      <w:r/>
    </w:p>
    <w:p>
      <w:pPr>
        <w:jc w:val="center"/>
        <w:rPr>
          <w:rFonts w:hint="eastAsia" w:hAnsi="宋体"/>
          <w:b/>
          <w:bCs/>
          <w:sz w:val="32"/>
          <w:szCs w:val="32"/>
        </w:rPr>
      </w:pPr>
      <w:r>
        <w:rPr>
          <w:rFonts w:hint="eastAsia" w:hAnsi="宋体"/>
          <w:b/>
          <w:bCs/>
          <w:sz w:val="32"/>
          <w:szCs w:val="32"/>
          <w:lang w:val="en-US" w:eastAsia="zh-CN"/>
        </w:rPr>
        <w:t xml:space="preserve">十八、项目成员情况表</w:t>
      </w:r>
      <w:r>
        <w:rPr>
          <w:rFonts w:hint="eastAsia" w:hAnsi="宋体"/>
          <w:b/>
          <w:bCs/>
          <w:sz w:val="32"/>
          <w:szCs w:val="32"/>
        </w:rPr>
        <w:t xml:space="preserve">（格式）</w:t>
      </w:r>
      <w:r>
        <w:rPr>
          <w:rFonts w:hint="eastAsia" w:hAnsi="宋体"/>
          <w:b/>
          <w:bCs/>
          <w:sz w:val="32"/>
          <w:szCs w:val="32"/>
          <w:lang w:eastAsia="zh-CN"/>
        </w:rPr>
        <w:t xml:space="preserve">（</w:t>
      </w:r>
      <w:r>
        <w:rPr>
          <w:rFonts w:hint="eastAsia" w:hAnsi="宋体"/>
          <w:b/>
          <w:bCs/>
          <w:sz w:val="32"/>
          <w:szCs w:val="32"/>
          <w:lang w:val="en-US" w:eastAsia="zh-CN"/>
        </w:rPr>
        <w:t xml:space="preserve">   标段</w:t>
      </w:r>
      <w:r>
        <w:rPr>
          <w:rFonts w:hint="eastAsia" w:hAnsi="宋体"/>
          <w:b/>
          <w:bCs/>
          <w:sz w:val="32"/>
          <w:szCs w:val="32"/>
          <w:lang w:eastAsia="zh-CN"/>
        </w:rPr>
        <w:t xml:space="preserve">）</w:t>
      </w:r>
      <w:r/>
    </w:p>
    <w:tbl>
      <w:tblPr>
        <w:tblStyle w:val="882"/>
        <w:tblW w:w="505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776"/>
        <w:gridCol w:w="774"/>
        <w:gridCol w:w="774"/>
        <w:gridCol w:w="821"/>
        <w:gridCol w:w="774"/>
        <w:gridCol w:w="4336"/>
        <w:gridCol w:w="1155"/>
      </w:tblGrid>
      <w:tr>
        <w:trPr/>
        <w:tc>
          <w:tcPr>
            <w:tcW w:w="838" w:type="dxa"/>
            <w:vAlign w:val="center"/>
            <w:textDirection w:val="lrTb"/>
            <w:noWrap w:val="false"/>
          </w:tcPr>
          <w:p>
            <w:pPr>
              <w:jc w:val="center"/>
              <w:rPr>
                <w:rFonts w:hint="eastAsia" w:ascii="宋体" w:hAnsi="宋体" w:cs="宋体"/>
                <w:bCs/>
                <w:sz w:val="24"/>
              </w:rPr>
            </w:pPr>
            <w:r>
              <w:rPr>
                <w:rFonts w:hint="eastAsia" w:ascii="宋体" w:hAnsi="宋体"/>
                <w:b/>
                <w:color w:val="auto"/>
                <w:sz w:val="24"/>
                <w:highlight w:val="none"/>
              </w:rPr>
              <w:t xml:space="preserve">序号</w:t>
            </w:r>
            <w:r/>
          </w:p>
        </w:tc>
        <w:tc>
          <w:tcPr>
            <w:tcW w:w="776" w:type="dxa"/>
            <w:vAlign w:val="center"/>
            <w:textDirection w:val="lrTb"/>
            <w:noWrap w:val="false"/>
          </w:tcPr>
          <w:p>
            <w:pPr>
              <w:jc w:val="center"/>
              <w:rPr>
                <w:rFonts w:hint="eastAsia" w:ascii="宋体" w:hAnsi="宋体" w:cs="宋体"/>
                <w:bCs/>
                <w:sz w:val="24"/>
              </w:rPr>
            </w:pPr>
            <w:r>
              <w:rPr>
                <w:rFonts w:hint="eastAsia" w:ascii="宋体" w:hAnsi="宋体"/>
                <w:b/>
                <w:color w:val="auto"/>
                <w:sz w:val="24"/>
                <w:highlight w:val="none"/>
              </w:rPr>
              <w:t xml:space="preserve">岗位</w:t>
            </w:r>
            <w:r/>
          </w:p>
        </w:tc>
        <w:tc>
          <w:tcPr>
            <w:tcW w:w="774" w:type="dxa"/>
            <w:vAlign w:val="center"/>
            <w:textDirection w:val="lrTb"/>
            <w:noWrap w:val="false"/>
          </w:tcPr>
          <w:p>
            <w:pPr>
              <w:jc w:val="center"/>
              <w:rPr>
                <w:rFonts w:hint="eastAsia" w:ascii="宋体" w:hAnsi="宋体" w:cs="宋体"/>
                <w:bCs/>
                <w:sz w:val="24"/>
              </w:rPr>
            </w:pPr>
            <w:r>
              <w:rPr>
                <w:rFonts w:hint="eastAsia" w:ascii="宋体" w:hAnsi="宋体"/>
                <w:b/>
                <w:color w:val="auto"/>
                <w:sz w:val="24"/>
                <w:highlight w:val="none"/>
              </w:rPr>
              <w:t xml:space="preserve">姓名</w:t>
            </w:r>
            <w:r/>
          </w:p>
        </w:tc>
        <w:tc>
          <w:tcPr>
            <w:tcW w:w="774" w:type="dxa"/>
            <w:vAlign w:val="center"/>
            <w:textDirection w:val="lrTb"/>
            <w:noWrap w:val="false"/>
          </w:tcPr>
          <w:p>
            <w:pPr>
              <w:jc w:val="center"/>
              <w:rPr>
                <w:rFonts w:hint="eastAsia" w:hAnsi="宋体"/>
                <w:sz w:val="24"/>
              </w:rPr>
            </w:pPr>
            <w:r>
              <w:rPr>
                <w:rFonts w:hint="eastAsia" w:ascii="宋体" w:hAnsi="宋体"/>
                <w:b/>
                <w:color w:val="auto"/>
                <w:sz w:val="24"/>
                <w:highlight w:val="none"/>
              </w:rPr>
              <w:t xml:space="preserve">性别</w:t>
            </w:r>
            <w:r/>
          </w:p>
        </w:tc>
        <w:tc>
          <w:tcPr>
            <w:tcW w:w="821" w:type="dxa"/>
            <w:vAlign w:val="center"/>
            <w:textDirection w:val="lrTb"/>
            <w:noWrap w:val="false"/>
          </w:tcPr>
          <w:p>
            <w:pPr>
              <w:jc w:val="center"/>
              <w:rPr>
                <w:rFonts w:hint="eastAsia" w:hAnsi="宋体"/>
                <w:sz w:val="24"/>
              </w:rPr>
            </w:pPr>
            <w:r>
              <w:rPr>
                <w:rFonts w:hint="eastAsia" w:ascii="宋体" w:hAnsi="宋体"/>
                <w:b/>
                <w:color w:val="auto"/>
                <w:sz w:val="24"/>
                <w:highlight w:val="none"/>
              </w:rPr>
              <w:t xml:space="preserve">年龄</w:t>
            </w:r>
            <w:r/>
          </w:p>
        </w:tc>
        <w:tc>
          <w:tcPr>
            <w:tcW w:w="774" w:type="dxa"/>
            <w:vAlign w:val="center"/>
            <w:textDirection w:val="lrTb"/>
            <w:noWrap w:val="false"/>
          </w:tcPr>
          <w:p>
            <w:pPr>
              <w:jc w:val="center"/>
              <w:rPr>
                <w:rFonts w:hint="eastAsia" w:hAnsi="宋体"/>
                <w:sz w:val="24"/>
              </w:rPr>
            </w:pPr>
            <w:r>
              <w:rPr>
                <w:rFonts w:hint="eastAsia" w:ascii="宋体" w:hAnsi="宋体"/>
                <w:b/>
                <w:color w:val="auto"/>
                <w:sz w:val="24"/>
                <w:highlight w:val="none"/>
              </w:rPr>
              <w:t xml:space="preserve">学历</w:t>
            </w:r>
            <w:r/>
          </w:p>
        </w:tc>
        <w:tc>
          <w:tcPr>
            <w:tcW w:w="4336" w:type="dxa"/>
            <w:vAlign w:val="center"/>
            <w:textDirection w:val="lrTb"/>
            <w:noWrap w:val="false"/>
          </w:tcPr>
          <w:p>
            <w:pPr>
              <w:ind w:firstLine="482"/>
              <w:jc w:val="center"/>
              <w:rPr>
                <w:rFonts w:hint="eastAsia" w:hAnsi="宋体"/>
                <w:sz w:val="24"/>
              </w:rPr>
            </w:pPr>
            <w:r>
              <w:rPr>
                <w:rFonts w:hint="eastAsia" w:ascii="宋体" w:hAnsi="宋体"/>
                <w:b/>
                <w:color w:val="auto"/>
                <w:sz w:val="24"/>
                <w:highlight w:val="none"/>
                <w:lang w:eastAsia="zh-CN"/>
              </w:rPr>
              <w:t xml:space="preserve">身份证号码</w:t>
            </w:r>
            <w:r/>
          </w:p>
        </w:tc>
        <w:tc>
          <w:tcPr>
            <w:tcW w:w="1155" w:type="dxa"/>
            <w:vAlign w:val="center"/>
            <w:textDirection w:val="lrTb"/>
            <w:noWrap w:val="false"/>
          </w:tcPr>
          <w:p>
            <w:pPr>
              <w:jc w:val="both"/>
              <w:rPr>
                <w:rFonts w:hint="eastAsia" w:hAnsi="宋体"/>
                <w:sz w:val="24"/>
              </w:rPr>
            </w:pPr>
            <w:r>
              <w:rPr>
                <w:rFonts w:hint="eastAsia" w:ascii="宋体" w:hAnsi="宋体"/>
                <w:b/>
                <w:color w:val="auto"/>
                <w:sz w:val="24"/>
                <w:highlight w:val="none"/>
              </w:rPr>
              <w:t xml:space="preserve">备  注</w:t>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1</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2</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3</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4</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5</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r>
        <w:trPr/>
        <w:tc>
          <w:tcPr>
            <w:tcW w:w="838" w:type="dxa"/>
            <w:vAlign w:val="top"/>
            <w:textDirection w:val="lrTb"/>
            <w:noWrap w:val="false"/>
          </w:tcPr>
          <w:p>
            <w:pPr>
              <w:jc w:val="center"/>
              <w:spacing w:line="360" w:lineRule="auto"/>
              <w:rPr>
                <w:rFonts w:hint="eastAsia" w:hAnsi="宋体" w:eastAsiaTheme="minorEastAsia"/>
                <w:sz w:val="24"/>
                <w:lang w:val="en-US" w:eastAsia="zh-CN"/>
              </w:rPr>
            </w:pPr>
            <w:r>
              <w:rPr>
                <w:rFonts w:hint="eastAsia" w:hAnsi="宋体"/>
                <w:sz w:val="24"/>
                <w:lang w:val="en-US" w:eastAsia="zh-CN"/>
              </w:rPr>
              <w:t xml:space="preserve">6</w:t>
            </w:r>
            <w:r/>
          </w:p>
        </w:tc>
        <w:tc>
          <w:tcPr>
            <w:tcW w:w="776"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821" w:type="dxa"/>
            <w:vAlign w:val="top"/>
            <w:textDirection w:val="lrTb"/>
            <w:noWrap w:val="false"/>
          </w:tcPr>
          <w:p>
            <w:pPr>
              <w:spacing w:line="360" w:lineRule="auto"/>
              <w:rPr>
                <w:rFonts w:hint="eastAsia" w:hAnsi="宋体"/>
                <w:sz w:val="24"/>
              </w:rPr>
            </w:pPr>
            <w:r>
              <w:rPr>
                <w:rFonts w:hint="eastAsia" w:hAnsi="宋体"/>
                <w:sz w:val="24"/>
              </w:rPr>
            </w:r>
            <w:r/>
          </w:p>
        </w:tc>
        <w:tc>
          <w:tcPr>
            <w:tcW w:w="774" w:type="dxa"/>
            <w:vAlign w:val="top"/>
            <w:textDirection w:val="lrTb"/>
            <w:noWrap w:val="false"/>
          </w:tcPr>
          <w:p>
            <w:pPr>
              <w:spacing w:line="360" w:lineRule="auto"/>
              <w:rPr>
                <w:rFonts w:hint="eastAsia" w:hAnsi="宋体"/>
                <w:sz w:val="24"/>
              </w:rPr>
            </w:pPr>
            <w:r>
              <w:rPr>
                <w:rFonts w:hint="eastAsia" w:hAnsi="宋体"/>
                <w:sz w:val="24"/>
              </w:rPr>
            </w:r>
            <w:r/>
          </w:p>
        </w:tc>
        <w:tc>
          <w:tcPr>
            <w:tcW w:w="4336" w:type="dxa"/>
            <w:vAlign w:val="top"/>
            <w:textDirection w:val="lrTb"/>
            <w:noWrap w:val="false"/>
          </w:tcPr>
          <w:p>
            <w:pPr>
              <w:spacing w:line="360" w:lineRule="auto"/>
              <w:rPr>
                <w:rFonts w:hint="eastAsia" w:hAnsi="宋体"/>
                <w:sz w:val="24"/>
              </w:rPr>
            </w:pPr>
            <w:r>
              <w:rPr>
                <w:rFonts w:hint="eastAsia" w:hAnsi="宋体"/>
                <w:sz w:val="24"/>
              </w:rPr>
            </w:r>
            <w:r/>
          </w:p>
        </w:tc>
        <w:tc>
          <w:tcPr>
            <w:tcW w:w="1155" w:type="dxa"/>
            <w:vAlign w:val="top"/>
            <w:textDirection w:val="lrTb"/>
            <w:noWrap w:val="false"/>
          </w:tcPr>
          <w:p>
            <w:pPr>
              <w:spacing w:line="360" w:lineRule="auto"/>
              <w:rPr>
                <w:rFonts w:hint="eastAsia" w:hAnsi="宋体"/>
                <w:sz w:val="24"/>
              </w:rPr>
            </w:pPr>
            <w:r>
              <w:rPr>
                <w:rFonts w:hint="eastAsia" w:hAnsi="宋体"/>
                <w:sz w:val="24"/>
              </w:rPr>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rPr>
          <w:rFonts w:hint="eastAsia" w:ascii="宋体" w:hAnsi="宋体"/>
          <w:color w:val="auto"/>
          <w:sz w:val="24"/>
          <w:highlight w:val="none"/>
          <w:lang w:eastAsia="zh-CN"/>
        </w:rPr>
        <w:t xml:space="preserve">（</w:t>
      </w:r>
      <w:r>
        <w:rPr>
          <w:rFonts w:hint="eastAsia" w:ascii="宋体" w:hAnsi="宋体"/>
          <w:b/>
          <w:bCs/>
          <w:color w:val="auto"/>
          <w:sz w:val="24"/>
          <w:highlight w:val="none"/>
          <w:lang w:eastAsia="zh-CN"/>
        </w:rPr>
        <w:t xml:space="preserve">配备人员身份证</w:t>
      </w:r>
      <w:r>
        <w:rPr>
          <w:rFonts w:hint="eastAsia" w:ascii="宋体" w:hAnsi="宋体"/>
          <w:b/>
          <w:bCs/>
          <w:color w:val="auto"/>
          <w:sz w:val="24"/>
          <w:highlight w:val="none"/>
          <w:lang w:val="en-US" w:eastAsia="zh-CN"/>
        </w:rPr>
        <w:t xml:space="preserve">扫描件</w:t>
      </w:r>
      <w:r>
        <w:rPr>
          <w:rFonts w:hint="eastAsia" w:ascii="宋体" w:hAnsi="宋体"/>
          <w:b/>
          <w:bCs/>
          <w:color w:val="auto"/>
          <w:sz w:val="24"/>
          <w:highlight w:val="none"/>
          <w:lang w:eastAsia="zh-CN"/>
        </w:rPr>
        <w:t xml:space="preserve">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2.表格不够填写可添加；</w:t>
      </w:r>
      <w:r/>
    </w:p>
    <w:p>
      <w:pPr>
        <w:ind w:firstLine="480"/>
        <w:rPr>
          <w:rFonts w:hint="eastAsia"/>
        </w:rPr>
      </w:pPr>
      <w:r>
        <w:rPr>
          <w:rFonts w:hint="eastAsia" w:ascii="宋体" w:hAnsi="宋体"/>
          <w:color w:val="auto"/>
          <w:sz w:val="24"/>
          <w:highlight w:val="none"/>
        </w:rPr>
        <w:t xml:space="preserve">3.以上人员工资、社保须根据劳动法和</w:t>
      </w:r>
      <w:r>
        <w:rPr>
          <w:rFonts w:hint="eastAsia" w:ascii="宋体" w:hAnsi="宋体"/>
          <w:color w:val="auto"/>
          <w:sz w:val="24"/>
          <w:highlight w:val="none"/>
          <w:lang w:val="en-US" w:eastAsia="zh-CN"/>
        </w:rPr>
        <w:t xml:space="preserve">盐城市</w:t>
      </w:r>
      <w:r>
        <w:rPr>
          <w:rFonts w:hint="eastAsia" w:ascii="宋体" w:hAnsi="宋体"/>
          <w:color w:val="auto"/>
          <w:sz w:val="24"/>
          <w:highlight w:val="none"/>
        </w:rPr>
        <w:t xml:space="preserve">相关要求缴纳；</w:t>
      </w:r>
      <w:r/>
    </w:p>
    <w:p>
      <w:pPr>
        <w:spacing w:line="300" w:lineRule="auto"/>
        <w:rPr>
          <w:rFonts w:hint="eastAsia" w:hAnsi="宋体"/>
          <w:sz w:val="24"/>
        </w:rPr>
      </w:pPr>
      <w:r>
        <w:rPr>
          <w:rFonts w:hint="eastAsia" w:hAnsi="宋体"/>
          <w:sz w:val="24"/>
        </w:rPr>
      </w:r>
      <w:r/>
    </w:p>
    <w:p>
      <w:pPr>
        <w:spacing w:line="300" w:lineRule="auto"/>
        <w:rPr>
          <w:rFonts w:hint="eastAsia" w:hAnsi="宋体"/>
          <w:sz w:val="24"/>
        </w:rPr>
      </w:pPr>
      <w:r>
        <w:rPr>
          <w:rFonts w:hint="eastAsia" w:hAnsi="宋体"/>
          <w:sz w:val="24"/>
        </w:rPr>
      </w:r>
      <w:r/>
    </w:p>
    <w:p>
      <w:pPr>
        <w:jc w:val="center"/>
        <w:spacing w:line="300" w:lineRule="auto"/>
        <w:rPr>
          <w:rFonts w:hint="eastAsia" w:hAnsi="宋体"/>
          <w:sz w:val="24"/>
        </w:rPr>
      </w:pPr>
      <w:r>
        <w:rPr>
          <w:rFonts w:hint="eastAsia" w:hAnsi="宋体"/>
          <w:sz w:val="24"/>
          <w:lang w:val="en-US" w:eastAsia="zh-CN"/>
        </w:rPr>
        <w:t xml:space="preserve">                          </w:t>
      </w:r>
      <w:r>
        <w:rPr>
          <w:rFonts w:hint="eastAsia" w:hAnsi="宋体"/>
          <w:sz w:val="24"/>
        </w:rPr>
        <w:t xml:space="preserve">投标供应商（公章）</w:t>
      </w:r>
      <w:r>
        <w:rPr>
          <w:rFonts w:hint="eastAsia" w:hAnsi="宋体"/>
          <w:sz w:val="24"/>
          <w:lang w:eastAsia="zh-CN"/>
        </w:rPr>
        <w:t xml:space="preserve">：</w:t>
      </w:r>
      <w:r>
        <w:rPr>
          <w:rFonts w:hint="eastAsia" w:hAnsi="宋体"/>
          <w:sz w:val="24"/>
        </w:rPr>
        <w:t xml:space="preserve">                        </w:t>
      </w:r>
      <w:r/>
    </w:p>
    <w:p>
      <w:pPr>
        <w:jc w:val="right"/>
        <w:spacing w:line="300" w:lineRule="auto"/>
        <w:rPr>
          <w:rFonts w:hint="eastAsia" w:hAnsi="宋体"/>
          <w:sz w:val="24"/>
        </w:rPr>
      </w:pPr>
      <w:r>
        <w:rPr>
          <w:rFonts w:hint="eastAsia" w:hAnsi="宋体"/>
          <w:sz w:val="24"/>
        </w:rPr>
        <w:t xml:space="preserve">法定代表人或授权委托人（签字或盖章）</w:t>
      </w:r>
      <w:r>
        <w:rPr>
          <w:rFonts w:hint="eastAsia" w:hAnsi="宋体"/>
          <w:sz w:val="24"/>
          <w:lang w:eastAsia="zh-CN"/>
        </w:rPr>
        <w:t xml:space="preserve">：</w:t>
      </w:r>
      <w:r>
        <w:rPr>
          <w:rFonts w:hint="eastAsia" w:hAnsi="宋体"/>
          <w:sz w:val="24"/>
        </w:rPr>
        <w:t xml:space="preserve">                    </w:t>
      </w:r>
      <w:r/>
    </w:p>
    <w:p>
      <w:pPr>
        <w:jc w:val="right"/>
        <w:spacing w:line="300" w:lineRule="auto"/>
        <w:rPr>
          <w:rFonts w:hint="eastAsia" w:hAnsi="宋体"/>
          <w:sz w:val="24"/>
        </w:rPr>
      </w:pPr>
      <w:r>
        <w:rPr>
          <w:rFonts w:hint="eastAsia" w:hAnsi="宋体"/>
          <w:sz w:val="24"/>
        </w:rPr>
        <w:t xml:space="preserve">日期：     年     月     日</w:t>
      </w:r>
      <w:r/>
    </w:p>
    <w:p>
      <w:pPr>
        <w:ind w:firstLine="1600"/>
        <w:jc w:val="right"/>
        <w:spacing w:line="499" w:lineRule="atLeast"/>
        <w:widowControl/>
        <w:rPr>
          <w:rFonts w:hint="eastAsia" w:ascii="宋体" w:hAnsi="宋体" w:eastAsia="宋体" w:cs="宋体"/>
          <w:color w:val="000000"/>
          <w:sz w:val="32"/>
          <w:szCs w:val="32"/>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宋体" w:hAnsi="宋体" w:eastAsia="宋体" w:cs="宋体"/>
          <w:color w:val="000000"/>
          <w:sz w:val="32"/>
          <w:szCs w:val="32"/>
        </w:rPr>
      </w:r>
      <w:r/>
    </w:p>
    <w:p>
      <w:pPr>
        <w:jc w:val="center"/>
        <w:rPr>
          <w:rFonts w:hint="eastAsia" w:ascii="宋体" w:hAnsi="宋体" w:eastAsia="宋体" w:cs="宋体"/>
          <w:sz w:val="28"/>
          <w:szCs w:val="28"/>
        </w:rPr>
      </w:pPr>
      <w:r>
        <w:rPr>
          <w:rFonts w:hint="eastAsia" w:hAnsi="宋体"/>
          <w:b/>
          <w:bCs/>
          <w:sz w:val="32"/>
          <w:szCs w:val="32"/>
          <w:lang w:val="en-US" w:eastAsia="zh-CN"/>
        </w:rPr>
        <w:t xml:space="preserve">十九、设备配置表（格式）（   标段）</w:t>
      </w:r>
      <w:r/>
    </w:p>
    <w:p>
      <w:pPr>
        <w:rPr>
          <w:rFonts w:hAnsi="宋体"/>
        </w:rPr>
      </w:pPr>
      <w:r>
        <w:rPr>
          <w:rFonts w:hAnsi="宋体"/>
        </w:rPr>
      </w:r>
      <w:r/>
    </w:p>
    <w:tbl>
      <w:tblPr>
        <w:tblStyle w:val="882"/>
        <w:tblW w:w="50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190"/>
        <w:gridCol w:w="1437"/>
        <w:gridCol w:w="1245"/>
        <w:gridCol w:w="1875"/>
        <w:gridCol w:w="1874"/>
        <w:gridCol w:w="1874"/>
      </w:tblGrid>
      <w:tr>
        <w:trPr>
          <w:trHeight w:val="567" w:hRule="exact"/>
        </w:trPr>
        <w:tc>
          <w:tcPr>
            <w:tcW w:w="747" w:type="dxa"/>
            <w:vAlign w:val="center"/>
            <w:textDirection w:val="lrTb"/>
            <w:noWrap w:val="false"/>
          </w:tcPr>
          <w:p>
            <w:pPr>
              <w:jc w:val="center"/>
              <w:rPr>
                <w:rFonts w:hAnsi="宋体"/>
                <w:b/>
                <w:bCs/>
                <w:sz w:val="24"/>
              </w:rPr>
            </w:pPr>
            <w:r>
              <w:rPr>
                <w:rFonts w:hint="eastAsia" w:hAnsi="宋体"/>
                <w:b/>
                <w:bCs/>
                <w:sz w:val="24"/>
              </w:rPr>
              <w:t xml:space="preserve">序号</w:t>
            </w:r>
            <w:r/>
          </w:p>
        </w:tc>
        <w:tc>
          <w:tcPr>
            <w:tcW w:w="1190" w:type="dxa"/>
            <w:vAlign w:val="center"/>
            <w:textDirection w:val="lrTb"/>
            <w:noWrap w:val="false"/>
          </w:tcPr>
          <w:p>
            <w:pPr>
              <w:jc w:val="center"/>
              <w:rPr>
                <w:rFonts w:hAnsi="宋体"/>
                <w:b/>
                <w:bCs/>
                <w:sz w:val="24"/>
              </w:rPr>
            </w:pPr>
            <w:r>
              <w:rPr>
                <w:rFonts w:hint="eastAsia" w:hAnsi="宋体"/>
                <w:b/>
                <w:bCs/>
                <w:sz w:val="24"/>
              </w:rPr>
              <w:t xml:space="preserve">设备名称</w:t>
            </w:r>
            <w:r/>
          </w:p>
        </w:tc>
        <w:tc>
          <w:tcPr>
            <w:tcW w:w="1437" w:type="dxa"/>
            <w:vAlign w:val="center"/>
            <w:textDirection w:val="lrTb"/>
            <w:noWrap w:val="false"/>
          </w:tcPr>
          <w:p>
            <w:pPr>
              <w:jc w:val="center"/>
              <w:rPr>
                <w:rFonts w:hint="eastAsia" w:hAnsi="宋体"/>
                <w:b/>
                <w:bCs/>
                <w:sz w:val="24"/>
              </w:rPr>
            </w:pPr>
            <w:r>
              <w:rPr>
                <w:rFonts w:hint="eastAsia" w:hAnsi="宋体"/>
                <w:b/>
                <w:bCs/>
                <w:sz w:val="24"/>
                <w:lang w:val="zh-CN"/>
              </w:rPr>
              <w:t xml:space="preserve">数</w:t>
            </w:r>
            <w:r>
              <w:rPr>
                <w:rFonts w:hint="eastAsia" w:hAnsi="宋体"/>
                <w:b/>
                <w:bCs/>
                <w:sz w:val="24"/>
              </w:rPr>
              <w:t xml:space="preserve">    </w:t>
            </w:r>
            <w:r>
              <w:rPr>
                <w:rFonts w:hint="eastAsia" w:hAnsi="宋体"/>
                <w:b/>
                <w:bCs/>
                <w:sz w:val="24"/>
                <w:lang w:val="zh-CN"/>
              </w:rPr>
              <w:t xml:space="preserve">量</w:t>
            </w:r>
            <w:r/>
          </w:p>
        </w:tc>
        <w:tc>
          <w:tcPr>
            <w:tcW w:w="1245" w:type="dxa"/>
            <w:vAlign w:val="center"/>
            <w:textDirection w:val="lrTb"/>
            <w:noWrap w:val="false"/>
          </w:tcPr>
          <w:p>
            <w:pPr>
              <w:jc w:val="center"/>
              <w:rPr>
                <w:rFonts w:hint="eastAsia" w:hAnsi="宋体"/>
                <w:b/>
                <w:bCs/>
                <w:sz w:val="24"/>
              </w:rPr>
            </w:pPr>
            <w:r>
              <w:rPr>
                <w:rFonts w:hint="eastAsia" w:hAnsi="宋体"/>
                <w:b/>
                <w:bCs/>
                <w:sz w:val="24"/>
                <w:lang w:val="zh-CN"/>
              </w:rPr>
              <w:t xml:space="preserve">厂</w:t>
            </w:r>
            <w:r>
              <w:rPr>
                <w:rFonts w:hint="eastAsia" w:hAnsi="宋体"/>
                <w:b/>
                <w:bCs/>
                <w:sz w:val="24"/>
              </w:rPr>
              <w:t xml:space="preserve">    </w:t>
            </w:r>
            <w:r>
              <w:rPr>
                <w:rFonts w:hint="eastAsia" w:hAnsi="宋体"/>
                <w:b/>
                <w:bCs/>
                <w:sz w:val="24"/>
                <w:lang w:val="zh-CN"/>
              </w:rPr>
              <w:t xml:space="preserve">家</w:t>
            </w:r>
            <w:r/>
          </w:p>
        </w:tc>
        <w:tc>
          <w:tcPr>
            <w:tcW w:w="1875" w:type="dxa"/>
            <w:vAlign w:val="center"/>
            <w:textDirection w:val="lrTb"/>
            <w:noWrap w:val="false"/>
          </w:tcPr>
          <w:p>
            <w:pPr>
              <w:jc w:val="center"/>
              <w:rPr>
                <w:rFonts w:hint="eastAsia" w:hAnsi="宋体"/>
                <w:b/>
                <w:bCs/>
                <w:sz w:val="24"/>
              </w:rPr>
            </w:pPr>
            <w:r>
              <w:rPr>
                <w:rFonts w:hint="eastAsia" w:hAnsi="宋体"/>
                <w:b/>
                <w:bCs/>
                <w:sz w:val="24"/>
                <w:lang w:val="zh-CN"/>
              </w:rPr>
              <w:t xml:space="preserve">单价（元）</w:t>
            </w:r>
            <w:r/>
          </w:p>
        </w:tc>
        <w:tc>
          <w:tcPr>
            <w:tcW w:w="1874" w:type="dxa"/>
            <w:vAlign w:val="center"/>
            <w:textDirection w:val="lrTb"/>
            <w:noWrap w:val="false"/>
          </w:tcPr>
          <w:p>
            <w:pPr>
              <w:jc w:val="center"/>
              <w:rPr>
                <w:rFonts w:hint="eastAsia" w:hAnsi="宋体"/>
                <w:b/>
                <w:bCs/>
                <w:sz w:val="24"/>
                <w:lang w:val="zh-CN"/>
              </w:rPr>
            </w:pPr>
            <w:r>
              <w:rPr>
                <w:rFonts w:hint="eastAsia" w:hAnsi="宋体"/>
                <w:b/>
                <w:bCs/>
                <w:sz w:val="24"/>
                <w:lang w:val="zh-CN"/>
              </w:rPr>
              <w:t xml:space="preserve">总价（元）</w:t>
            </w:r>
            <w:r/>
          </w:p>
        </w:tc>
        <w:tc>
          <w:tcPr>
            <w:tcW w:w="1874" w:type="dxa"/>
            <w:vAlign w:val="center"/>
            <w:textDirection w:val="lrTb"/>
            <w:noWrap w:val="false"/>
          </w:tcPr>
          <w:p>
            <w:pPr>
              <w:jc w:val="center"/>
              <w:rPr>
                <w:rFonts w:hint="eastAsia" w:hAnsi="宋体"/>
                <w:b/>
                <w:bCs/>
                <w:sz w:val="24"/>
                <w:lang w:val="en-US" w:eastAsia="zh-CN"/>
              </w:rPr>
            </w:pPr>
            <w:r>
              <w:rPr>
                <w:rFonts w:hint="eastAsia" w:hAnsi="宋体"/>
                <w:b/>
                <w:bCs/>
                <w:sz w:val="24"/>
                <w:lang w:val="en-US" w:eastAsia="zh-CN"/>
              </w:rPr>
              <w:t xml:space="preserve">备注</w:t>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2</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ind w:firstLine="120"/>
              <w:jc w:val="center"/>
              <w:rPr>
                <w:rFonts w:hAnsi="宋体"/>
                <w:sz w:val="24"/>
              </w:rPr>
            </w:pPr>
            <w:r>
              <w:rPr>
                <w:rFonts w:hint="eastAsia" w:hAnsi="宋体"/>
                <w:sz w:val="24"/>
              </w:rPr>
              <w:t xml:space="preserve">3</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4</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5</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6</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7</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8</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9</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ind w:firstLine="120"/>
              <w:jc w:val="center"/>
              <w:rPr>
                <w:rFonts w:hAnsi="宋体"/>
                <w:sz w:val="24"/>
              </w:rPr>
            </w:pPr>
            <w:r>
              <w:rPr>
                <w:rFonts w:hint="eastAsia" w:hAnsi="宋体"/>
                <w:sz w:val="24"/>
              </w:rPr>
              <w:t xml:space="preserve">10</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11</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12</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13</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14</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15</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r>
        <w:trPr>
          <w:trHeight w:val="567" w:hRule="exact"/>
        </w:trPr>
        <w:tc>
          <w:tcPr>
            <w:tcW w:w="747" w:type="dxa"/>
            <w:vAlign w:val="center"/>
            <w:textDirection w:val="lrTb"/>
            <w:noWrap w:val="false"/>
          </w:tcPr>
          <w:p>
            <w:pPr>
              <w:jc w:val="center"/>
              <w:rPr>
                <w:rFonts w:hAnsi="宋体"/>
                <w:sz w:val="24"/>
              </w:rPr>
            </w:pPr>
            <w:r>
              <w:rPr>
                <w:rFonts w:hint="eastAsia" w:hAnsi="宋体"/>
                <w:sz w:val="24"/>
              </w:rPr>
              <w:t xml:space="preserve">16</w:t>
            </w:r>
            <w:r/>
          </w:p>
        </w:tc>
        <w:tc>
          <w:tcPr>
            <w:tcW w:w="1190" w:type="dxa"/>
            <w:vAlign w:val="center"/>
            <w:textDirection w:val="lrTb"/>
            <w:noWrap w:val="false"/>
          </w:tcPr>
          <w:p>
            <w:pPr>
              <w:jc w:val="center"/>
              <w:rPr>
                <w:rFonts w:hAnsi="宋体"/>
                <w:sz w:val="24"/>
              </w:rPr>
            </w:pPr>
            <w:r>
              <w:rPr>
                <w:rFonts w:hAnsi="宋体"/>
                <w:sz w:val="24"/>
              </w:rPr>
            </w:r>
            <w:r/>
          </w:p>
        </w:tc>
        <w:tc>
          <w:tcPr>
            <w:tcW w:w="1437" w:type="dxa"/>
            <w:vAlign w:val="center"/>
            <w:textDirection w:val="lrTb"/>
            <w:noWrap w:val="false"/>
          </w:tcPr>
          <w:p>
            <w:pPr>
              <w:jc w:val="center"/>
              <w:rPr>
                <w:rFonts w:hAnsi="宋体"/>
                <w:sz w:val="24"/>
              </w:rPr>
            </w:pPr>
            <w:r>
              <w:rPr>
                <w:rFonts w:hAnsi="宋体"/>
                <w:sz w:val="24"/>
              </w:rPr>
            </w:r>
            <w:r/>
          </w:p>
        </w:tc>
        <w:tc>
          <w:tcPr>
            <w:tcW w:w="1245" w:type="dxa"/>
            <w:vAlign w:val="center"/>
            <w:textDirection w:val="lrTb"/>
            <w:noWrap w:val="false"/>
          </w:tcPr>
          <w:p>
            <w:pPr>
              <w:jc w:val="center"/>
              <w:rPr>
                <w:rFonts w:hAnsi="宋体"/>
                <w:sz w:val="24"/>
              </w:rPr>
            </w:pPr>
            <w:r>
              <w:rPr>
                <w:rFonts w:hAnsi="宋体"/>
                <w:sz w:val="24"/>
              </w:rPr>
            </w:r>
            <w:r/>
          </w:p>
        </w:tc>
        <w:tc>
          <w:tcPr>
            <w:tcW w:w="1875"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c>
          <w:tcPr>
            <w:tcW w:w="1874" w:type="dxa"/>
            <w:vAlign w:val="center"/>
            <w:textDirection w:val="lrTb"/>
            <w:noWrap w:val="false"/>
          </w:tcPr>
          <w:p>
            <w:pPr>
              <w:jc w:val="center"/>
              <w:rPr>
                <w:rFonts w:hAnsi="宋体"/>
                <w:sz w:val="24"/>
              </w:rPr>
            </w:pPr>
            <w:r>
              <w:rPr>
                <w:rFonts w:hAnsi="宋体"/>
                <w:sz w:val="24"/>
              </w:rPr>
            </w:r>
            <w:r/>
          </w:p>
        </w:tc>
      </w:tr>
    </w:tbl>
    <w:p>
      <w:pPr>
        <w:pStyle w:val="904"/>
        <w:jc w:val="right"/>
        <w:spacing w:line="360" w:lineRule="auto"/>
        <w:rPr>
          <w:rFonts w:hAnsi="宋体"/>
          <w:sz w:val="24"/>
          <w:szCs w:val="24"/>
        </w:rPr>
      </w:pPr>
      <w:r>
        <w:rPr>
          <w:rFonts w:hAnsi="宋体"/>
          <w:sz w:val="24"/>
          <w:szCs w:val="24"/>
        </w:rPr>
      </w:r>
      <w:r/>
    </w:p>
    <w:p>
      <w:pPr>
        <w:spacing w:line="300" w:lineRule="auto"/>
        <w:rPr>
          <w:rFonts w:hAnsi="宋体"/>
          <w:sz w:val="24"/>
        </w:rPr>
      </w:pPr>
      <w:r>
        <w:rPr>
          <w:rFonts w:hint="eastAsia" w:hAnsi="宋体"/>
          <w:sz w:val="24"/>
        </w:rPr>
        <w:t xml:space="preserve">备注：表格不够可自行扩展。</w:t>
      </w:r>
      <w:r/>
    </w:p>
    <w:p>
      <w:pPr>
        <w:spacing w:line="300" w:lineRule="auto"/>
        <w:rPr>
          <w:rFonts w:hint="eastAsia" w:hAnsi="宋体"/>
          <w:sz w:val="24"/>
        </w:rPr>
      </w:pPr>
      <w:r>
        <w:rPr>
          <w:rFonts w:hint="eastAsia" w:hAnsi="宋体"/>
          <w:sz w:val="24"/>
        </w:rPr>
        <w:t xml:space="preserve">投标供应商（公章）</w:t>
      </w:r>
      <w:r>
        <w:rPr>
          <w:rFonts w:hint="eastAsia" w:hAnsi="宋体"/>
          <w:sz w:val="24"/>
          <w:lang w:eastAsia="zh-CN"/>
        </w:rPr>
        <w:t xml:space="preserve">：</w:t>
      </w:r>
      <w:r>
        <w:rPr>
          <w:rFonts w:hint="eastAsia" w:hAnsi="宋体"/>
          <w:sz w:val="24"/>
        </w:rPr>
        <w:t xml:space="preserve">                        </w:t>
      </w:r>
      <w:r/>
    </w:p>
    <w:p>
      <w:pPr>
        <w:spacing w:line="300" w:lineRule="auto"/>
        <w:rPr>
          <w:rFonts w:hint="eastAsia" w:hAnsi="宋体"/>
          <w:sz w:val="24"/>
        </w:rPr>
      </w:pPr>
      <w:r>
        <w:rPr>
          <w:rFonts w:hint="eastAsia" w:hAnsi="宋体"/>
          <w:sz w:val="24"/>
        </w:rPr>
        <w:t xml:space="preserve">法定代表人或授权委托人（签字或盖章）</w:t>
      </w:r>
      <w:r>
        <w:rPr>
          <w:rFonts w:hint="eastAsia" w:hAnsi="宋体"/>
          <w:sz w:val="24"/>
          <w:lang w:eastAsia="zh-CN"/>
        </w:rPr>
        <w:t xml:space="preserve">：</w:t>
      </w:r>
      <w:r>
        <w:rPr>
          <w:rFonts w:hint="eastAsia" w:hAnsi="宋体"/>
          <w:sz w:val="24"/>
        </w:rPr>
        <w:t xml:space="preserve">                    </w:t>
      </w:r>
      <w:r/>
    </w:p>
    <w:p>
      <w:pPr>
        <w:rPr>
          <w:rFonts w:hint="eastAsia" w:hAnsi="宋体"/>
          <w:sz w:val="24"/>
        </w:rPr>
        <w:outlineLvl w:val="0"/>
      </w:pPr>
      <w:r/>
      <w:bookmarkStart w:id="200" w:name="_Toc14410"/>
      <w:r/>
      <w:bookmarkStart w:id="201" w:name="_Toc19481"/>
      <w:r/>
      <w:bookmarkStart w:id="202" w:name="_Toc20969"/>
      <w:r>
        <w:rPr>
          <w:rFonts w:hint="eastAsia" w:hAnsi="宋体"/>
          <w:sz w:val="24"/>
        </w:rPr>
        <w:t xml:space="preserve">日期：     年     月     日</w:t>
      </w:r>
      <w:bookmarkEnd w:id="200"/>
      <w:r/>
      <w:bookmarkEnd w:id="201"/>
      <w:r/>
      <w:bookmarkEnd w:id="202"/>
      <w:r/>
      <w:r/>
    </w:p>
    <w:p>
      <w:pPr>
        <w:pStyle w:val="905"/>
        <w:rPr>
          <w:rFonts w:hint="eastAsia"/>
        </w:rPr>
        <w:sectPr>
          <w:footnotePr/>
          <w:endnotePr/>
          <w:type w:val="nextPage"/>
          <w:pgSz w:w="11907" w:h="16840" w:orient="portrait"/>
          <w:pgMar w:top="607" w:right="851" w:bottom="811" w:left="1134" w:header="624" w:footer="992" w:gutter="0"/>
          <w:cols w:num="1" w:sep="0" w:space="720" w:equalWidth="1"/>
          <w:docGrid w:linePitch="360"/>
        </w:sectPr>
      </w:pPr>
      <w:r>
        <w:rPr>
          <w:rFonts w:hint="eastAsia" w:ascii="宋体" w:hAnsi="宋体"/>
          <w:b/>
          <w:bCs/>
          <w:sz w:val="30"/>
          <w:szCs w:val="30"/>
        </w:rPr>
        <w:br w:type="page" w:clear="all"/>
      </w:r>
      <w:r/>
    </w:p>
    <w:p>
      <w:pPr>
        <w:jc w:val="center"/>
        <w:rPr>
          <w:rFonts w:hint="eastAsia" w:hAnsi="宋体"/>
          <w:b/>
          <w:bCs/>
          <w:sz w:val="32"/>
          <w:szCs w:val="32"/>
          <w:lang w:val="en-US" w:eastAsia="zh-CN"/>
        </w:rPr>
      </w:pPr>
      <w:r>
        <w:rPr>
          <w:rFonts w:hint="eastAsia" w:hAnsi="宋体"/>
          <w:b/>
          <w:bCs/>
          <w:sz w:val="32"/>
          <w:szCs w:val="32"/>
          <w:lang w:val="en-US" w:eastAsia="zh-CN"/>
        </w:rPr>
        <w:t xml:space="preserve">二十、盐城市政府采购事前信用承诺书（  标段）</w:t>
      </w:r>
      <w:r/>
    </w:p>
    <w:p>
      <w:pPr>
        <w:ind w:firstLine="640"/>
        <w:jc w:val="left"/>
        <w:spacing w:line="360" w:lineRule="auto"/>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w:t>
      </w:r>
      <w:r>
        <w:rPr>
          <w:rFonts w:hint="eastAsia" w:ascii="宋体" w:hAnsi="宋体" w:eastAsia="宋体" w:cs="宋体"/>
          <w:color w:val="000000"/>
          <w:sz w:val="24"/>
          <w:lang w:eastAsia="zh-CN"/>
        </w:rPr>
        <w:t xml:space="preserve">成分</w:t>
      </w:r>
      <w:r>
        <w:rPr>
          <w:rFonts w:hint="eastAsia" w:ascii="宋体" w:hAnsi="宋体" w:eastAsia="宋体" w:cs="宋体"/>
          <w:color w:val="000000"/>
          <w:sz w:val="24"/>
        </w:rPr>
        <w:t xml:space="preserve">，并对所提供资料的真实性负责；</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、规章、规范性文件，参加政府采购投标活动；积极履行社会责任，促进廉政建设； </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360" w:lineRule="auto"/>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color w:val="000000"/>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jc w:val="center"/>
        <w:rPr>
          <w:rFonts w:hint="eastAsia" w:hAnsi="宋体"/>
          <w:b/>
          <w:bCs/>
          <w:sz w:val="32"/>
          <w:szCs w:val="32"/>
          <w:lang w:val="en-US" w:eastAsia="zh-CN"/>
        </w:rPr>
      </w:pPr>
      <w:r>
        <w:rPr>
          <w:rFonts w:hint="eastAsia" w:hAnsi="宋体"/>
          <w:b/>
          <w:bCs/>
          <w:sz w:val="32"/>
          <w:szCs w:val="32"/>
          <w:lang w:val="en-US" w:eastAsia="zh-CN"/>
        </w:rPr>
        <w:t xml:space="preserve">二十一、根据招标文件“第五章 定标原则与评标标准”的要求需要提供的材料及供应商认为有必要提供的其他材料（   标段）</w:t>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pStyle w:val="892"/>
        <w:jc w:val="center"/>
        <w:spacing w:beforeAutospacing="0" w:afterAutospacing="0" w:line="360" w:lineRule="auto"/>
      </w:pPr>
      <w:r/>
      <w:bookmarkEnd w:id="24"/>
      <w:r/>
      <w:bookmarkEnd w:id="39"/>
      <w:r/>
      <w:bookmarkEnd w:id="84"/>
      <w:r/>
      <w:bookmarkEnd w:id="85"/>
      <w:r/>
      <w:bookmarkEnd w:id="86"/>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6"/>
      <w:r/>
      <w:bookmarkEnd w:id="107"/>
      <w:r/>
      <w:bookmarkEnd w:id="108"/>
      <w:r/>
      <w:bookmarkEnd w:id="113"/>
      <w:r/>
      <w:bookmarkEnd w:id="114"/>
      <w:r/>
      <w:bookmarkEnd w:id="121"/>
      <w:r/>
      <w:bookmarkEnd w:id="173"/>
      <w:r/>
      <w:bookmarkEnd w:id="176"/>
      <w:r/>
      <w:bookmarkEnd w:id="180"/>
      <w:r/>
      <w:bookmarkEnd w:id="181"/>
      <w:r/>
      <w:bookmarkEnd w:id="183"/>
      <w:r/>
      <w:bookmarkEnd w:id="184"/>
      <w:r/>
      <w:bookmarkEnd w:id="185"/>
      <w:r/>
      <w:bookmarkEnd w:id="186"/>
      <w:r/>
      <w:bookmarkEnd w:id="195"/>
      <w:r/>
      <w:bookmarkEnd w:id="196"/>
      <w:r/>
      <w:bookmarkEnd w:id="197"/>
      <w:r/>
      <w:bookmarkEnd w:id="198"/>
      <w:r/>
      <w:bookmarkEnd w:id="199"/>
      <w:r/>
      <w:r/>
    </w:p>
    <w:p>
      <w:pPr>
        <w:spacing w:line="360" w:lineRule="auto"/>
      </w:pPr>
      <w:r/>
      <w:r/>
    </w:p>
    <w:p>
      <w:pPr>
        <w:pStyle w:val="892"/>
        <w:jc w:val="center"/>
        <w:spacing w:beforeAutospacing="0" w:afterAutospacing="0" w:line="360" w:lineRule="auto"/>
        <w:rPr>
          <w:rFonts w:hint="eastAsia" w:ascii="宋体" w:hAnsi="宋体" w:eastAsia="宋体" w:cs="宋体"/>
          <w:b/>
          <w:color w:val="00000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2"/>
          <w:szCs w:val="32"/>
        </w:rPr>
      </w:r>
      <w:r/>
    </w:p>
    <w:p>
      <w:pPr>
        <w:pStyle w:val="892"/>
        <w:jc w:val="center"/>
        <w:spacing w:beforeAutospacing="0" w:afterAutospacing="0"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9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9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9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签字(签章)：                 公章：               日期：    </w:t>
      </w:r>
      <w:r/>
    </w:p>
    <w:p>
      <w:pPr>
        <w:pStyle w:val="89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质疑函制作说明：</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92"/>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pPr>
      <w:r/>
      <w:bookmarkStart w:id="203" w:name="_GoBack"/>
      <w:r/>
      <w:bookmarkEnd w:id="203"/>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2540</wp:posOffset>
              </wp:positionV>
              <wp:extent cx="351790" cy="26162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51790" cy="261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jc w:val="both"/>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2pt;mso-position-vertical:absolute;width:27.7pt;height:20.6pt;mso-wrap-distance-left:9.0pt;mso-wrap-distance-top:0.0pt;mso-wrap-distance-right:9.0pt;mso-wrap-distance-bottom:0.0pt;v-text-anchor:top;visibility:visible;" filled="f" stroked="f" strokeweight="0.50pt">
              <v:textbox inset="0,0,0,0">
                <w:txbxContent>
                  <w:p>
                    <w:pPr>
                      <w:pStyle w:val="890"/>
                      <w:jc w:val="both"/>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78"/>
    <w:next w:val="878"/>
    <w:link w:val="705"/>
    <w:uiPriority w:val="9"/>
    <w:qFormat/>
    <w:pPr>
      <w:keepLines/>
      <w:keepNext/>
      <w:spacing w:before="480" w:after="200"/>
      <w:outlineLvl w:val="0"/>
    </w:pPr>
    <w:rPr>
      <w:rFonts w:ascii="Arial" w:hAnsi="Arial" w:eastAsia="Arial" w:cs="Arial"/>
      <w:sz w:val="40"/>
      <w:szCs w:val="40"/>
    </w:rPr>
  </w:style>
  <w:style w:type="character" w:styleId="705">
    <w:name w:val="Heading 1 Char"/>
    <w:basedOn w:val="881"/>
    <w:link w:val="704"/>
    <w:uiPriority w:val="9"/>
    <w:rPr>
      <w:rFonts w:ascii="Arial" w:hAnsi="Arial" w:eastAsia="Arial" w:cs="Arial"/>
      <w:sz w:val="40"/>
      <w:szCs w:val="40"/>
    </w:rPr>
  </w:style>
  <w:style w:type="character" w:styleId="706">
    <w:name w:val="Heading 2 Char"/>
    <w:basedOn w:val="881"/>
    <w:link w:val="879"/>
    <w:uiPriority w:val="9"/>
    <w:rPr>
      <w:rFonts w:ascii="Arial" w:hAnsi="Arial" w:eastAsia="Arial" w:cs="Arial"/>
      <w:sz w:val="34"/>
    </w:rPr>
  </w:style>
  <w:style w:type="character" w:styleId="707">
    <w:name w:val="Heading 3 Char"/>
    <w:basedOn w:val="881"/>
    <w:link w:val="880"/>
    <w:uiPriority w:val="9"/>
    <w:rPr>
      <w:rFonts w:ascii="Arial" w:hAnsi="Arial" w:eastAsia="Arial" w:cs="Arial"/>
      <w:sz w:val="30"/>
      <w:szCs w:val="30"/>
    </w:rPr>
  </w:style>
  <w:style w:type="paragraph" w:styleId="708">
    <w:name w:val="Heading 4"/>
    <w:basedOn w:val="878"/>
    <w:next w:val="878"/>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basedOn w:val="881"/>
    <w:link w:val="708"/>
    <w:uiPriority w:val="9"/>
    <w:rPr>
      <w:rFonts w:ascii="Arial" w:hAnsi="Arial" w:eastAsia="Arial" w:cs="Arial"/>
      <w:b/>
      <w:bCs/>
      <w:sz w:val="26"/>
      <w:szCs w:val="26"/>
    </w:rPr>
  </w:style>
  <w:style w:type="paragraph" w:styleId="710">
    <w:name w:val="Heading 5"/>
    <w:basedOn w:val="878"/>
    <w:next w:val="878"/>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81"/>
    <w:link w:val="710"/>
    <w:uiPriority w:val="9"/>
    <w:rPr>
      <w:rFonts w:ascii="Arial" w:hAnsi="Arial" w:eastAsia="Arial" w:cs="Arial"/>
      <w:b/>
      <w:bCs/>
      <w:sz w:val="24"/>
      <w:szCs w:val="24"/>
    </w:rPr>
  </w:style>
  <w:style w:type="paragraph" w:styleId="712">
    <w:name w:val="Heading 6"/>
    <w:basedOn w:val="878"/>
    <w:next w:val="878"/>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81"/>
    <w:link w:val="712"/>
    <w:uiPriority w:val="9"/>
    <w:rPr>
      <w:rFonts w:ascii="Arial" w:hAnsi="Arial" w:eastAsia="Arial" w:cs="Arial"/>
      <w:b/>
      <w:bCs/>
      <w:sz w:val="22"/>
      <w:szCs w:val="22"/>
    </w:rPr>
  </w:style>
  <w:style w:type="paragraph" w:styleId="714">
    <w:name w:val="Heading 7"/>
    <w:basedOn w:val="878"/>
    <w:next w:val="878"/>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81"/>
    <w:link w:val="714"/>
    <w:uiPriority w:val="9"/>
    <w:rPr>
      <w:rFonts w:ascii="Arial" w:hAnsi="Arial" w:eastAsia="Arial" w:cs="Arial"/>
      <w:b/>
      <w:bCs/>
      <w:i/>
      <w:iCs/>
      <w:sz w:val="22"/>
      <w:szCs w:val="22"/>
    </w:rPr>
  </w:style>
  <w:style w:type="paragraph" w:styleId="716">
    <w:name w:val="Heading 8"/>
    <w:basedOn w:val="878"/>
    <w:next w:val="878"/>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81"/>
    <w:link w:val="716"/>
    <w:uiPriority w:val="9"/>
    <w:rPr>
      <w:rFonts w:ascii="Arial" w:hAnsi="Arial" w:eastAsia="Arial" w:cs="Arial"/>
      <w:i/>
      <w:iCs/>
      <w:sz w:val="22"/>
      <w:szCs w:val="22"/>
    </w:rPr>
  </w:style>
  <w:style w:type="paragraph" w:styleId="718">
    <w:name w:val="Heading 9"/>
    <w:basedOn w:val="878"/>
    <w:next w:val="878"/>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81"/>
    <w:link w:val="718"/>
    <w:uiPriority w:val="9"/>
    <w:rPr>
      <w:rFonts w:ascii="Arial" w:hAnsi="Arial" w:eastAsia="Arial" w:cs="Arial"/>
      <w:i/>
      <w:iCs/>
      <w:sz w:val="21"/>
      <w:szCs w:val="21"/>
    </w:rPr>
  </w:style>
  <w:style w:type="paragraph" w:styleId="720">
    <w:name w:val="List Paragraph"/>
    <w:basedOn w:val="878"/>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78"/>
    <w:next w:val="878"/>
    <w:link w:val="723"/>
    <w:uiPriority w:val="10"/>
    <w:qFormat/>
    <w:pPr>
      <w:contextualSpacing/>
      <w:spacing w:before="300" w:after="200"/>
    </w:pPr>
    <w:rPr>
      <w:sz w:val="48"/>
      <w:szCs w:val="48"/>
    </w:rPr>
  </w:style>
  <w:style w:type="character" w:styleId="723">
    <w:name w:val="Title Char"/>
    <w:basedOn w:val="881"/>
    <w:link w:val="722"/>
    <w:uiPriority w:val="10"/>
    <w:rPr>
      <w:sz w:val="48"/>
      <w:szCs w:val="48"/>
    </w:rPr>
  </w:style>
  <w:style w:type="paragraph" w:styleId="724">
    <w:name w:val="Subtitle"/>
    <w:basedOn w:val="878"/>
    <w:next w:val="878"/>
    <w:link w:val="725"/>
    <w:uiPriority w:val="11"/>
    <w:qFormat/>
    <w:pPr>
      <w:spacing w:before="200" w:after="200"/>
    </w:pPr>
    <w:rPr>
      <w:sz w:val="24"/>
      <w:szCs w:val="24"/>
    </w:rPr>
  </w:style>
  <w:style w:type="character" w:styleId="725">
    <w:name w:val="Subtitle Char"/>
    <w:basedOn w:val="881"/>
    <w:link w:val="724"/>
    <w:uiPriority w:val="11"/>
    <w:rPr>
      <w:sz w:val="24"/>
      <w:szCs w:val="24"/>
    </w:rPr>
  </w:style>
  <w:style w:type="paragraph" w:styleId="726">
    <w:name w:val="Quote"/>
    <w:basedOn w:val="878"/>
    <w:next w:val="878"/>
    <w:link w:val="727"/>
    <w:uiPriority w:val="29"/>
    <w:qFormat/>
    <w:pPr>
      <w:ind w:left="720" w:right="720"/>
    </w:pPr>
    <w:rPr>
      <w:i/>
    </w:rPr>
  </w:style>
  <w:style w:type="character" w:styleId="727">
    <w:name w:val="Quote Char"/>
    <w:link w:val="726"/>
    <w:uiPriority w:val="29"/>
    <w:rPr>
      <w:i/>
    </w:rPr>
  </w:style>
  <w:style w:type="paragraph" w:styleId="728">
    <w:name w:val="Intense Quote"/>
    <w:basedOn w:val="878"/>
    <w:next w:val="878"/>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81"/>
    <w:link w:val="891"/>
    <w:uiPriority w:val="99"/>
  </w:style>
  <w:style w:type="character" w:styleId="731">
    <w:name w:val="Footer Char"/>
    <w:basedOn w:val="881"/>
    <w:link w:val="89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890"/>
    <w:uiPriority w:val="99"/>
  </w:style>
  <w:style w:type="table" w:styleId="734">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1">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2">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3">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4">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5">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6">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7">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8">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9">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0">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1">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4">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5">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6">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7">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7">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8">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9">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0">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1">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2">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4">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5">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6">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7">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8">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9">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1"/>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1"/>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9">
    <w:name w:val="Heading 2"/>
    <w:basedOn w:val="878"/>
    <w:next w:val="87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80">
    <w:name w:val="Heading 3"/>
    <w:basedOn w:val="878"/>
    <w:next w:val="883"/>
    <w:uiPriority w:val="0"/>
    <w:semiHidden/>
    <w:unhideWhenUsed/>
    <w:qFormat/>
    <w:pPr>
      <w:jc w:val="left"/>
      <w:keepLines/>
      <w:keepNext/>
      <w:spacing w:before="120" w:after="120" w:line="400" w:lineRule="exact"/>
      <w:outlineLvl w:val="2"/>
    </w:pPr>
    <w:rPr>
      <w:rFonts w:ascii="Times New Roman" w:hAnsi="Times New Roman" w:eastAsia="宋体" w:cs="Times New Roman"/>
      <w:b/>
      <w:bCs/>
      <w:sz w:val="24"/>
      <w:szCs w:val="32"/>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8"/>
    <w:uiPriority w:val="99"/>
    <w:unhideWhenUsed/>
    <w:qFormat/>
    <w:pPr>
      <w:ind w:firstLine="420"/>
      <w:jc w:val="left"/>
    </w:pPr>
    <w:rPr>
      <w:rFonts w:ascii="宋体"/>
      <w:sz w:val="24"/>
    </w:rPr>
  </w:style>
  <w:style w:type="paragraph" w:styleId="884">
    <w:name w:val="table of authorities"/>
    <w:basedOn w:val="878"/>
    <w:next w:val="878"/>
    <w:uiPriority w:val="99"/>
    <w:qFormat/>
    <w:pPr>
      <w:ind w:left="420"/>
    </w:pPr>
  </w:style>
  <w:style w:type="paragraph" w:styleId="885">
    <w:name w:val="annotation text"/>
    <w:basedOn w:val="878"/>
    <w:uiPriority w:val="0"/>
    <w:qFormat/>
    <w:pPr>
      <w:jc w:val="left"/>
    </w:pPr>
  </w:style>
  <w:style w:type="paragraph" w:styleId="886">
    <w:name w:val="Body Text"/>
    <w:basedOn w:val="878"/>
    <w:next w:val="887"/>
    <w:uiPriority w:val="0"/>
    <w:qFormat/>
    <w:rPr>
      <w:rFonts w:ascii="楷体_GB2312" w:hAnsi="Arial" w:eastAsia="楷体_GB2312"/>
      <w:sz w:val="28"/>
      <w:szCs w:val="20"/>
    </w:rPr>
  </w:style>
  <w:style w:type="paragraph" w:styleId="887">
    <w:name w:val="Body Text First Indent"/>
    <w:basedOn w:val="878"/>
    <w:next w:val="878"/>
    <w:uiPriority w:val="0"/>
    <w:qFormat/>
    <w:pPr>
      <w:ind w:firstLine="420"/>
    </w:pPr>
    <w:rPr>
      <w:rFonts w:ascii="Times New Roman" w:hAnsi="Times New Roman"/>
      <w:sz w:val="21"/>
      <w:szCs w:val="24"/>
    </w:rPr>
  </w:style>
  <w:style w:type="paragraph" w:styleId="888">
    <w:name w:val="Body Text Indent"/>
    <w:basedOn w:val="878"/>
    <w:next w:val="889"/>
    <w:uiPriority w:val="99"/>
    <w:qFormat/>
    <w:pPr>
      <w:ind w:firstLine="645"/>
    </w:pPr>
    <w:rPr>
      <w:rFonts w:ascii="楷体_GB2312" w:eastAsia="楷体_GB2312"/>
      <w:sz w:val="32"/>
      <w:szCs w:val="32"/>
    </w:rPr>
  </w:style>
  <w:style w:type="paragraph" w:styleId="889">
    <w:name w:val="envelope return"/>
    <w:basedOn w:val="878"/>
    <w:uiPriority w:val="0"/>
    <w:qFormat/>
    <w:rPr>
      <w:rFonts w:ascii="Arial" w:hAnsi="Arial"/>
    </w:rPr>
  </w:style>
  <w:style w:type="paragraph" w:styleId="890">
    <w:name w:val="Footer"/>
    <w:basedOn w:val="878"/>
    <w:link w:val="899"/>
    <w:uiPriority w:val="0"/>
    <w:qFormat/>
    <w:pPr>
      <w:jc w:val="left"/>
      <w:tabs>
        <w:tab w:val="center" w:pos="4153" w:leader="none"/>
        <w:tab w:val="right" w:pos="8306" w:leader="none"/>
      </w:tabs>
    </w:pPr>
    <w:rPr>
      <w:sz w:val="18"/>
      <w:szCs w:val="18"/>
    </w:rPr>
  </w:style>
  <w:style w:type="paragraph" w:styleId="891">
    <w:name w:val="Header"/>
    <w:basedOn w:val="878"/>
    <w:link w:val="898"/>
    <w:uiPriority w:val="0"/>
    <w:qFormat/>
    <w:pPr>
      <w:jc w:val="center"/>
      <w:tabs>
        <w:tab w:val="center" w:pos="4153" w:leader="none"/>
        <w:tab w:val="right" w:pos="8306" w:leader="none"/>
      </w:tabs>
      <w:pBdr>
        <w:bottom w:val="single" w:color="auto" w:sz="6" w:space="1"/>
      </w:pBdr>
    </w:pPr>
    <w:rPr>
      <w:sz w:val="18"/>
      <w:szCs w:val="18"/>
    </w:rPr>
  </w:style>
  <w:style w:type="paragraph" w:styleId="892">
    <w:name w:val="Normal (Web)"/>
    <w:basedOn w:val="878"/>
    <w:uiPriority w:val="0"/>
    <w:qFormat/>
    <w:pPr>
      <w:jc w:val="left"/>
      <w:spacing w:beforeAutospacing="1" w:afterAutospacing="1"/>
    </w:pPr>
    <w:rPr>
      <w:rFonts w:cs="Times New Roman"/>
      <w:sz w:val="24"/>
    </w:rPr>
  </w:style>
  <w:style w:type="paragraph" w:styleId="893">
    <w:name w:val="Body Text First Indent 2"/>
    <w:basedOn w:val="888"/>
    <w:next w:val="894"/>
    <w:uiPriority w:val="99"/>
    <w:qFormat/>
    <w:pPr>
      <w:ind w:firstLine="420"/>
      <w:spacing w:line="360" w:lineRule="auto"/>
    </w:pPr>
    <w:rPr>
      <w:rFonts w:ascii="宋体" w:hAnsi="宋体" w:eastAsia="宋体"/>
      <w:sz w:val="21"/>
      <w:szCs w:val="20"/>
    </w:rPr>
  </w:style>
  <w:style w:type="paragraph" w:styleId="894" w:customStyle="1">
    <w:name w:val="样式 标题 3 + (中文) 黑体 小四 非加粗 段前: 7.8 磅 段后: 0 磅 行距: 固定值 20 磅_0"/>
    <w:basedOn w:val="895"/>
    <w:uiPriority w:val="0"/>
    <w:qFormat/>
    <w:pPr>
      <w:spacing w:before="0" w:after="0" w:line="400" w:lineRule="exact"/>
    </w:pPr>
    <w:rPr>
      <w:rFonts w:ascii="Times New Roman" w:hAnsi="Times New Roman" w:eastAsia="黑体" w:cs="宋体"/>
      <w:b w:val="0"/>
      <w:bCs w:val="0"/>
      <w:sz w:val="21"/>
      <w:szCs w:val="20"/>
    </w:rPr>
  </w:style>
  <w:style w:type="paragraph" w:styleId="895" w:customStyle="1">
    <w:name w:val="标题 3_0"/>
    <w:basedOn w:val="896"/>
    <w:next w:val="897"/>
    <w:uiPriority w:val="0"/>
    <w:qFormat/>
    <w:pPr>
      <w:keepLines/>
      <w:keepNext/>
      <w:spacing w:before="260" w:after="260" w:line="416" w:lineRule="auto"/>
      <w:outlineLvl w:val="2"/>
    </w:pPr>
    <w:rPr>
      <w:rFonts w:ascii="Calibri" w:hAnsi="Calibri" w:eastAsia="宋体"/>
      <w:b/>
      <w:bCs/>
      <w:sz w:val="32"/>
      <w:szCs w:val="32"/>
    </w:rPr>
  </w:style>
  <w:style w:type="paragraph" w:styleId="896" w:customStyle="1">
    <w:name w:val="正文_0"/>
    <w:next w:val="893"/>
    <w:uiPriority w:val="0"/>
    <w:qFormat/>
    <w:pPr>
      <w:jc w:val="both"/>
      <w:widowControl w:val="off"/>
    </w:pPr>
    <w:rPr>
      <w:rFonts w:ascii="Calibri" w:hAnsi="Calibri" w:eastAsia="仿宋_GB2312" w:cs="Times New Roman"/>
      <w:sz w:val="21"/>
      <w:szCs w:val="22"/>
      <w:lang w:val="en-US" w:eastAsia="zh-CN" w:bidi="ar-SA"/>
    </w:rPr>
  </w:style>
  <w:style w:type="paragraph" w:styleId="897" w:customStyle="1">
    <w:name w:val="正文_1"/>
    <w:next w:val="893"/>
    <w:uiPriority w:val="0"/>
    <w:qFormat/>
    <w:pPr>
      <w:jc w:val="both"/>
      <w:widowControl w:val="off"/>
    </w:pPr>
    <w:rPr>
      <w:rFonts w:ascii="Calibri" w:hAnsi="Calibri" w:eastAsia="仿宋_GB2312" w:cs="Times New Roman"/>
      <w:sz w:val="21"/>
      <w:szCs w:val="22"/>
      <w:lang w:val="en-US" w:eastAsia="zh-CN" w:bidi="ar-SA"/>
    </w:rPr>
  </w:style>
  <w:style w:type="character" w:styleId="898" w:customStyle="1">
    <w:name w:val="页眉 Char"/>
    <w:basedOn w:val="881"/>
    <w:link w:val="891"/>
    <w:uiPriority w:val="0"/>
    <w:qFormat/>
    <w:rPr>
      <w:rFonts w:asciiTheme="minorHAnsi" w:hAnsiTheme="minorHAnsi" w:eastAsiaTheme="minorEastAsia" w:cstheme="minorBidi"/>
      <w:sz w:val="18"/>
      <w:szCs w:val="18"/>
    </w:rPr>
  </w:style>
  <w:style w:type="character" w:styleId="899" w:customStyle="1">
    <w:name w:val="页脚 Char"/>
    <w:basedOn w:val="881"/>
    <w:link w:val="890"/>
    <w:uiPriority w:val="0"/>
    <w:qFormat/>
    <w:rPr>
      <w:rFonts w:asciiTheme="minorHAnsi" w:hAnsiTheme="minorHAnsi" w:eastAsiaTheme="minorEastAsia" w:cstheme="minorBidi"/>
      <w:sz w:val="18"/>
      <w:szCs w:val="18"/>
    </w:rPr>
  </w:style>
  <w:style w:type="paragraph" w:styleId="900" w:customStyle="1">
    <w:name w:val="普通正文"/>
    <w:basedOn w:val="878"/>
    <w:uiPriority w:val="0"/>
    <w:qFormat/>
    <w:pPr>
      <w:ind w:firstLine="480"/>
      <w:jc w:val="left"/>
      <w:spacing w:before="120" w:after="120" w:line="360" w:lineRule="auto"/>
    </w:pPr>
    <w:rPr>
      <w:rFonts w:ascii="Arial" w:hAnsi="Arial" w:eastAsia="等线" w:cs="Arial"/>
      <w:sz w:val="24"/>
      <w:szCs w:val="24"/>
    </w:rPr>
  </w:style>
  <w:style w:type="paragraph" w:styleId="901" w:customStyle="1">
    <w:name w:val="正文首行缩进 21"/>
    <w:basedOn w:val="902"/>
    <w:uiPriority w:val="99"/>
    <w:qFormat/>
    <w:pPr>
      <w:ind w:firstLine="420"/>
      <w:spacing w:line="360" w:lineRule="auto"/>
    </w:pPr>
    <w:rPr>
      <w:rFonts w:ascii="宋体" w:hAnsi="宋体" w:eastAsia="宋体"/>
      <w:sz w:val="21"/>
      <w:szCs w:val="20"/>
    </w:rPr>
  </w:style>
  <w:style w:type="paragraph" w:styleId="902" w:customStyle="1">
    <w:name w:val="正文文本缩进1"/>
    <w:basedOn w:val="878"/>
    <w:uiPriority w:val="99"/>
    <w:qFormat/>
    <w:pPr>
      <w:ind w:firstLine="645"/>
    </w:pPr>
    <w:rPr>
      <w:rFonts w:ascii="楷体_GB2312" w:eastAsia="楷体_GB2312"/>
      <w:sz w:val="32"/>
      <w:szCs w:val="32"/>
    </w:rPr>
  </w:style>
  <w:style w:type="paragraph" w:styleId="903" w:customStyle="1">
    <w:name w:val="普通(网站)112"/>
    <w:basedOn w:val="878"/>
    <w:uiPriority w:val="0"/>
    <w:qFormat/>
    <w:pPr>
      <w:jc w:val="left"/>
      <w:spacing w:beforeAutospacing="1" w:afterAutospacing="1"/>
    </w:pPr>
    <w:rPr>
      <w:rFonts w:cs="Times New Roman"/>
      <w:sz w:val="24"/>
    </w:rPr>
  </w:style>
  <w:style w:type="paragraph" w:styleId="904" w:customStyle="1">
    <w:name w:val="纯文本1"/>
    <w:basedOn w:val="878"/>
    <w:uiPriority w:val="0"/>
    <w:qFormat/>
    <w:rPr>
      <w:rFonts w:ascii="宋体" w:hAnsi="Courier New" w:eastAsia="宋体" w:cs="Times New Roman"/>
      <w:szCs w:val="21"/>
    </w:rPr>
  </w:style>
  <w:style w:type="paragraph" w:styleId="905" w:customStyle="1">
    <w:name w:val="正文文本11"/>
    <w:basedOn w:val="878"/>
    <w:uiPriority w:val="0"/>
    <w:qFormat/>
    <w:rPr>
      <w:rFonts w:ascii="仿宋_GB2312" w:eastAsia="仿宋_GB2312"/>
      <w:sz w:val="28"/>
      <w:szCs w:val="20"/>
    </w:rPr>
  </w:style>
  <w:style w:type="paragraph" w:styleId="906" w:customStyle="1">
    <w:name w:val="段"/>
    <w:next w:val="878"/>
    <w:uiPriority w:val="0"/>
    <w:qFormat/>
    <w:pPr>
      <w:ind w:firstLine="200"/>
      <w:jc w:val="both"/>
      <w:widowControl w:val="off"/>
    </w:pPr>
    <w:rPr>
      <w:rFonts w:hint="default" w:ascii="宋体" w:hAnsi="宋体" w:eastAsia="宋体" w:cs="宋体"/>
      <w:color w:val="000000"/>
      <w:sz w:val="21"/>
      <w:szCs w:val="21"/>
      <w:lang w:val="en-US"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余小艳</cp:lastModifiedBy>
  <cp:revision>274</cp:revision>
  <dcterms:created xsi:type="dcterms:W3CDTF">2014-10-29T12:08:00Z</dcterms:created>
  <dcterms:modified xsi:type="dcterms:W3CDTF">2024-11-27T03:47:05Z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D71C25A7560A4B01B809E4CD7F8F78C6_13</vt:lpwstr>
  </property>
</Properties>
</file>