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9"/>
        <w:ind w:firstLine="0"/>
        <w:jc w:val="center"/>
        <w:rPr>
          <w:rFonts w:hint="eastAsia" w:eastAsia="黑体"/>
          <w:b/>
          <w:bCs/>
          <w:sz w:val="84"/>
        </w:rPr>
      </w:pPr>
      <w:r>
        <w:rPr>
          <w:rFonts w:hint="eastAsia" w:eastAsia="黑体"/>
          <w:b/>
          <w:bCs/>
          <w:sz w:val="84"/>
        </w:rPr>
      </w:r>
      <w:r/>
    </w:p>
    <w:p>
      <w:pPr>
        <w:pStyle w:val="759"/>
        <w:ind w:firstLine="0"/>
        <w:jc w:val="center"/>
        <w:rPr>
          <w:rFonts w:hint="eastAsia" w:eastAsia="黑体"/>
          <w:b/>
          <w:bCs/>
          <w:sz w:val="84"/>
        </w:rPr>
      </w:pPr>
      <w:r>
        <w:rPr>
          <w:rFonts w:hint="eastAsia" w:eastAsia="黑体"/>
          <w:b/>
          <w:bCs/>
          <w:sz w:val="84"/>
        </w:rPr>
      </w:r>
      <w:r/>
    </w:p>
    <w:p>
      <w:pPr>
        <w:pStyle w:val="759"/>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59"/>
        <w:ind w:left="0" w:firstLine="0"/>
        <w:jc w:val="center"/>
        <w:rPr>
          <w:rFonts w:hint="eastAsia" w:ascii="Arial" w:hAnsi="Arial" w:eastAsia="宋体" w:cs="Times New Roman"/>
          <w:b/>
          <w:bCs/>
          <w:sz w:val="32"/>
        </w:rPr>
      </w:pPr>
      <w:r>
        <w:rPr>
          <w:rFonts w:hint="eastAsia"/>
          <w:b/>
          <w:bCs/>
          <w:sz w:val="32"/>
        </w:rPr>
        <w:t xml:space="preserve">项目名称</w:t>
      </w:r>
      <w:r>
        <w:rPr>
          <w:rFonts w:hint="eastAsia" w:ascii="Arial" w:hAnsi="Arial" w:eastAsia="宋体" w:cs="Times New Roman"/>
          <w:b/>
          <w:bCs/>
          <w:sz w:val="32"/>
        </w:rPr>
        <w:t xml:space="preserve">：江苏省政府采购交易管理系统升级改造</w:t>
      </w:r>
      <w:r>
        <w:rPr>
          <w:rFonts w:hint="eastAsia" w:ascii="Arial" w:hAnsi="Arial" w:eastAsia="宋体" w:cs="Times New Roman"/>
          <w:b/>
          <w:bCs/>
          <w:sz w:val="32"/>
        </w:rPr>
      </w:r>
      <w:r/>
    </w:p>
    <w:p>
      <w:pPr>
        <w:pStyle w:val="672"/>
        <w:jc w:val="center"/>
        <w:rPr>
          <w:b/>
          <w:sz w:val="30"/>
          <w:szCs w:val="30"/>
        </w:rPr>
      </w:pPr>
      <w:r>
        <w:rPr>
          <w:rFonts w:hint="eastAsia"/>
          <w:b/>
          <w:bCs/>
          <w:sz w:val="32"/>
        </w:rPr>
        <w:t xml:space="preserve">项目编号：JSZC-320000-SCZX-G2025-0640</w:t>
      </w:r>
      <w:r>
        <w:rPr>
          <w:b/>
          <w:sz w:val="30"/>
          <w:szCs w:val="30"/>
        </w:rPr>
      </w:r>
      <w:r/>
    </w:p>
    <w:p>
      <w:pPr>
        <w:pStyle w:val="672"/>
        <w:ind w:left="2811" w:hanging="2811"/>
        <w:jc w:val="center"/>
        <w:rPr>
          <w:rFonts w:hint="eastAsia"/>
          <w:b/>
          <w:color w:val="ff0000"/>
          <w:sz w:val="28"/>
          <w:szCs w:val="28"/>
        </w:rPr>
      </w:pPr>
      <w:r>
        <w:rPr>
          <w:rFonts w:hint="eastAsia"/>
          <w:b/>
          <w:color w:val="ff0000"/>
          <w:sz w:val="28"/>
          <w:szCs w:val="28"/>
        </w:rPr>
      </w:r>
      <w:r/>
    </w:p>
    <w:p>
      <w:pPr>
        <w:pStyle w:val="759"/>
        <w:ind w:firstLine="0"/>
        <w:spacing w:before="0" w:after="0"/>
        <w:rPr>
          <w:rFonts w:hint="eastAsia" w:ascii="宋体" w:hAnsi="宋体"/>
        </w:rPr>
      </w:pPr>
      <w:r>
        <w:rPr>
          <w:rFonts w:hint="eastAsia" w:ascii="宋体" w:hAnsi="宋体"/>
        </w:rPr>
      </w:r>
      <w:r/>
    </w:p>
    <w:p>
      <w:pPr>
        <w:pStyle w:val="759"/>
        <w:ind w:firstLine="0"/>
        <w:spacing w:before="0" w:after="0"/>
        <w:rPr>
          <w:rFonts w:hint="eastAsia" w:ascii="宋体" w:hAnsi="宋体"/>
        </w:rPr>
      </w:pPr>
      <w:r>
        <w:rPr>
          <w:rFonts w:hint="eastAsia" w:ascii="宋体" w:hAnsi="宋体"/>
        </w:rPr>
      </w:r>
      <w:r/>
    </w:p>
    <w:p>
      <w:pPr>
        <w:pStyle w:val="759"/>
        <w:ind w:firstLine="0"/>
        <w:spacing w:before="0" w:after="0"/>
        <w:rPr>
          <w:rFonts w:hint="eastAsia" w:ascii="宋体" w:hAnsi="宋体"/>
        </w:rPr>
      </w:pPr>
      <w:r>
        <w:rPr>
          <w:rFonts w:hint="eastAsia" w:ascii="宋体" w:hAnsi="宋体"/>
        </w:rPr>
      </w:r>
      <w:r/>
    </w:p>
    <w:p>
      <w:pPr>
        <w:pStyle w:val="759"/>
        <w:ind w:firstLine="0"/>
        <w:spacing w:before="0" w:after="0"/>
        <w:rPr>
          <w:rFonts w:hint="eastAsia" w:ascii="宋体" w:hAnsi="宋体"/>
        </w:rPr>
      </w:pPr>
      <w:r>
        <w:rPr>
          <w:rFonts w:hint="eastAsia" w:ascii="宋体" w:hAnsi="宋体"/>
        </w:rPr>
      </w:r>
      <w:r/>
    </w:p>
    <w:p>
      <w:pPr>
        <w:pStyle w:val="759"/>
        <w:ind w:firstLine="0"/>
        <w:spacing w:before="0" w:after="0"/>
        <w:rPr>
          <w:rFonts w:hint="eastAsia" w:ascii="宋体" w:hAnsi="宋体"/>
        </w:rPr>
      </w:pPr>
      <w:r>
        <w:rPr>
          <w:rFonts w:hint="eastAsia" w:ascii="宋体" w:hAnsi="宋体"/>
        </w:rPr>
      </w:r>
      <w:r/>
    </w:p>
    <w:p>
      <w:pPr>
        <w:pStyle w:val="759"/>
        <w:ind w:firstLine="0"/>
        <w:spacing w:before="0" w:after="0"/>
        <w:rPr>
          <w:rFonts w:hint="eastAsia" w:ascii="宋体" w:hAnsi="宋体"/>
        </w:rPr>
      </w:pPr>
      <w:r>
        <w:rPr>
          <w:rFonts w:hint="eastAsia" w:ascii="宋体" w:hAnsi="宋体"/>
        </w:rPr>
      </w:r>
      <w:r/>
    </w:p>
    <w:p>
      <w:pPr>
        <w:pStyle w:val="759"/>
        <w:ind w:firstLine="0"/>
        <w:spacing w:before="0" w:after="0"/>
        <w:rPr>
          <w:rFonts w:hint="eastAsia" w:ascii="宋体" w:hAnsi="宋体"/>
        </w:rPr>
      </w:pPr>
      <w:r>
        <w:rPr>
          <w:rFonts w:hint="eastAsia" w:ascii="宋体" w:hAnsi="宋体"/>
        </w:rPr>
      </w:r>
      <w:r/>
    </w:p>
    <w:p>
      <w:pPr>
        <w:pStyle w:val="759"/>
        <w:ind w:firstLine="0"/>
        <w:spacing w:before="0" w:after="0"/>
        <w:rPr>
          <w:rFonts w:hint="eastAsia" w:ascii="宋体" w:hAnsi="宋体"/>
        </w:rPr>
      </w:pPr>
      <w:r>
        <w:rPr>
          <w:rFonts w:hint="eastAsia" w:ascii="宋体" w:hAnsi="宋体"/>
        </w:rPr>
      </w:r>
      <w:r/>
    </w:p>
    <w:p>
      <w:pPr>
        <w:pStyle w:val="759"/>
        <w:ind w:firstLine="0"/>
        <w:spacing w:before="0" w:after="0"/>
        <w:rPr>
          <w:rFonts w:hint="eastAsia" w:ascii="宋体" w:hAnsi="宋体"/>
        </w:rPr>
      </w:pPr>
      <w:r>
        <w:rPr>
          <w:rFonts w:hint="eastAsia" w:ascii="宋体" w:hAnsi="宋体"/>
        </w:rPr>
      </w:r>
      <w:r/>
    </w:p>
    <w:p>
      <w:pPr>
        <w:pStyle w:val="759"/>
        <w:ind w:firstLine="0"/>
        <w:jc w:val="center"/>
        <w:rPr>
          <w:rFonts w:hint="eastAsia"/>
          <w:b/>
          <w:bCs/>
          <w:sz w:val="32"/>
        </w:rPr>
      </w:pPr>
      <w:r>
        <w:rPr>
          <w:rFonts w:hint="eastAsia"/>
          <w:b/>
          <w:bCs/>
          <w:sz w:val="32"/>
        </w:rPr>
        <w:t xml:space="preserve">江苏省政府采购中心</w:t>
      </w:r>
      <w:r>
        <w:rPr>
          <w:rFonts w:hint="eastAsia"/>
          <w:b/>
          <w:bCs/>
          <w:sz w:val="32"/>
        </w:rPr>
      </w:r>
      <w:r/>
    </w:p>
    <w:p>
      <w:pPr>
        <w:pStyle w:val="759"/>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1</w:t>
      </w:r>
      <w:r>
        <w:rPr>
          <w:rFonts w:hint="eastAsia"/>
          <w:b/>
          <w:bCs/>
          <w:sz w:val="32"/>
        </w:rPr>
        <w:t xml:space="preserve">月</w:t>
      </w:r>
      <w:r>
        <w:rPr>
          <w:rFonts w:hint="eastAsia"/>
          <w:b/>
          <w:bCs/>
          <w:sz w:val="32"/>
          <w:lang w:val="en-US" w:eastAsia="zh-CN"/>
        </w:rPr>
        <w:t xml:space="preserve">7</w:t>
      </w:r>
      <w:r>
        <w:rPr>
          <w:rFonts w:hint="eastAsia"/>
          <w:b/>
          <w:bCs/>
          <w:sz w:val="32"/>
        </w:rPr>
        <w:t xml:space="preserve">日</w:t>
      </w:r>
      <w:r>
        <w:rPr>
          <w:rFonts w:hint="eastAsia"/>
          <w:b/>
          <w:bCs/>
          <w:sz w:val="32"/>
        </w:rPr>
      </w:r>
      <w:r/>
    </w:p>
    <w:p>
      <w:pPr>
        <w:pStyle w:val="759"/>
        <w:ind w:firstLine="0"/>
        <w:rPr>
          <w:rFonts w:hint="eastAsia"/>
          <w:u w:val="single"/>
        </w:rPr>
      </w:pPr>
      <w:r>
        <w:rPr>
          <w:rFonts w:hint="eastAsia"/>
        </w:rPr>
        <w:t xml:space="preserve">                        </w:t>
      </w:r>
      <w:r>
        <w:rPr>
          <w:rFonts w:hint="eastAsia"/>
          <w:u w:val="single"/>
        </w:rPr>
      </w:r>
      <w:r/>
    </w:p>
    <w:p>
      <w:pPr>
        <w:pStyle w:val="759"/>
        <w:ind w:firstLine="0"/>
        <w:jc w:val="center"/>
        <w:rPr>
          <w:rFonts w:hint="eastAsia"/>
        </w:rPr>
      </w:pPr>
      <w:r>
        <w:rPr>
          <w:rFonts w:hint="eastAsia"/>
        </w:rPr>
      </w:r>
      <w:r/>
    </w:p>
    <w:p>
      <w:pPr>
        <w:pStyle w:val="672"/>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72"/>
        <w:spacing w:line="480" w:lineRule="auto"/>
        <w:rPr>
          <w:rFonts w:hint="eastAsia" w:ascii="仿宋_GB2312" w:hAnsi="Arial" w:eastAsia="仿宋_GB2312"/>
          <w:b/>
          <w:sz w:val="28"/>
        </w:rPr>
      </w:pPr>
      <w:r>
        <w:rPr>
          <w:rFonts w:hint="eastAsia" w:ascii="仿宋_GB2312" w:hAnsi="Arial" w:eastAsia="仿宋_GB2312"/>
          <w:b/>
          <w:sz w:val="28"/>
        </w:rPr>
      </w:r>
      <w:r/>
    </w:p>
    <w:p>
      <w:pPr>
        <w:pStyle w:val="67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rPr>
          <w:rFonts w:hint="eastAsia" w:ascii="黑体" w:hAnsi="Showcard Gothic" w:eastAsia="黑体"/>
          <w:sz w:val="32"/>
        </w:rPr>
      </w:r>
      <w:r/>
    </w:p>
    <w:p>
      <w:pPr>
        <w:pStyle w:val="67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67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rPr>
          <w:rFonts w:hint="eastAsia" w:ascii="黑体" w:hAnsi="Showcard Gothic" w:eastAsia="黑体"/>
          <w:sz w:val="36"/>
        </w:rPr>
      </w:r>
      <w:r/>
    </w:p>
    <w:p>
      <w:pPr>
        <w:pStyle w:val="67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67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32</w:t>
      </w:r>
      <w:r>
        <w:rPr>
          <w:rFonts w:hint="eastAsia" w:ascii="黑体" w:hAnsi="Showcard Gothic" w:eastAsia="黑体"/>
          <w:sz w:val="36"/>
        </w:rPr>
      </w:r>
      <w:r/>
    </w:p>
    <w:p>
      <w:pPr>
        <w:pStyle w:val="67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37</w:t>
      </w:r>
      <w:r>
        <w:rPr>
          <w:rFonts w:hint="eastAsia" w:ascii="黑体" w:hAnsi="Showcard Gothic" w:eastAsia="黑体"/>
          <w:sz w:val="36"/>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72"/>
        <w:ind w:firstLine="480"/>
        <w:spacing w:line="400" w:lineRule="exact"/>
        <w:rPr>
          <w:rFonts w:ascii="宋体" w:hAnsi="宋体"/>
          <w:sz w:val="24"/>
          <w:szCs w:val="24"/>
        </w:rPr>
      </w:pPr>
      <w:r>
        <w:rPr>
          <w:rFonts w:hint="eastAsia" w:ascii="宋体" w:hAnsi="宋体"/>
          <w:sz w:val="24"/>
          <w:szCs w:val="24"/>
        </w:rPr>
        <w:t xml:space="preserve">受江苏省财政厅财政信息管理中心的委托，江苏省政府采购中心就江苏省政府采购交易管理系统升级改造(JSZC-320000-SCZX-G2025-0640)项目进行公开招标采购，欢迎符合条件的供应商投标。</w:t>
      </w:r>
      <w:r>
        <w:rPr>
          <w:rFonts w:ascii="宋体" w:hAnsi="宋体"/>
          <w:sz w:val="24"/>
          <w:szCs w:val="24"/>
        </w:rPr>
      </w:r>
      <w:r/>
    </w:p>
    <w:p>
      <w:pPr>
        <w:pStyle w:val="672"/>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72"/>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江苏省政府采购交易管理系统升级改造</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12月2日9点30分（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75"/>
        <w:ind w:firstLine="498"/>
        <w:spacing w:before="145" w:after="145" w:line="400" w:lineRule="exact"/>
      </w:pPr>
      <w:r/>
      <w:bookmarkStart w:id="6" w:name="_Toc28359002"/>
      <w:r/>
      <w:bookmarkStart w:id="7" w:name="_Toc28359079"/>
      <w:r/>
      <w:bookmarkStart w:id="8" w:name="_Toc38985263"/>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672"/>
        <w:ind w:firstLine="480"/>
        <w:spacing w:line="400" w:lineRule="exact"/>
        <w:rPr>
          <w:rFonts w:ascii="宋体" w:hAnsi="宋体"/>
          <w:sz w:val="24"/>
          <w:szCs w:val="24"/>
        </w:rPr>
      </w:pPr>
      <w:r>
        <w:rPr>
          <w:rFonts w:hint="eastAsia" w:ascii="宋体" w:hAnsi="宋体"/>
          <w:sz w:val="24"/>
          <w:szCs w:val="24"/>
        </w:rPr>
        <w:t xml:space="preserve">1.项目编号：JSZC-320000-SCZX-G2025-0640</w:t>
      </w:r>
      <w:r>
        <w:rPr>
          <w:rFonts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2.项目名称：江苏省政府采购交易管理系统升级改造</w:t>
      </w:r>
      <w:r>
        <w:rPr>
          <w:rFonts w:ascii="宋体" w:hAnsi="宋体"/>
          <w:sz w:val="24"/>
          <w:szCs w:val="24"/>
        </w:rPr>
      </w:r>
      <w:r/>
    </w:p>
    <w:p>
      <w:pPr>
        <w:pStyle w:val="672"/>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672"/>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72"/>
              <w:jc w:val="center"/>
              <w:spacing w:line="400" w:lineRule="exact"/>
              <w:rPr>
                <w:rFonts w:ascii="宋体" w:hAnsi="宋体" w:eastAsia="宋体"/>
                <w:lang w:val="en-US" w:eastAsia="zh-CN"/>
              </w:rPr>
            </w:pPr>
            <w:r>
              <w:rPr>
                <w:rFonts w:hint="eastAsia" w:ascii="宋体" w:hAnsi="宋体"/>
                <w:lang w:val="en-US" w:eastAsia="zh-CN"/>
              </w:rPr>
              <w:t xml:space="preserve">22</w:t>
            </w:r>
            <w:r>
              <w:rPr>
                <w:rFonts w:ascii="宋体" w:hAnsi="宋体" w:eastAsia="宋体"/>
                <w:lang w:val="en-US" w:eastAsia="zh-CN"/>
              </w:rPr>
            </w:r>
            <w:r/>
          </w:p>
        </w:tc>
      </w:tr>
    </w:tbl>
    <w:p>
      <w:pPr>
        <w:pStyle w:val="672"/>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672"/>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672"/>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672"/>
              <w:jc w:val="center"/>
              <w:spacing w:line="400" w:lineRule="exact"/>
              <w:rPr>
                <w:rFonts w:ascii="宋体" w:hAnsi="宋体" w:eastAsia="宋体"/>
                <w:lang w:val="en-US" w:eastAsia="zh-CN"/>
              </w:rPr>
            </w:pPr>
            <w:r>
              <w:rPr>
                <w:rFonts w:hint="eastAsia" w:ascii="宋体" w:hAnsi="宋体"/>
                <w:lang w:val="en-US" w:eastAsia="zh-CN"/>
              </w:rPr>
              <w:t xml:space="preserve">22</w:t>
            </w:r>
            <w:r>
              <w:rPr>
                <w:rFonts w:ascii="宋体" w:hAnsi="宋体" w:eastAsia="宋体"/>
                <w:lang w:val="en-US" w:eastAsia="zh-CN"/>
              </w:rPr>
            </w:r>
            <w:r/>
          </w:p>
        </w:tc>
      </w:tr>
    </w:tbl>
    <w:p>
      <w:pPr>
        <w:pStyle w:val="672"/>
        <w:ind w:firstLine="480"/>
        <w:spacing w:line="400" w:lineRule="exact"/>
        <w:rPr>
          <w:rFonts w:ascii="宋体" w:hAnsi="宋体"/>
          <w:sz w:val="24"/>
          <w:szCs w:val="24"/>
          <w:u w:val="single"/>
        </w:rPr>
      </w:pPr>
      <w:r>
        <w:rPr>
          <w:rFonts w:hint="eastAsia" w:ascii="宋体" w:hAnsi="宋体"/>
          <w:sz w:val="24"/>
          <w:szCs w:val="24"/>
        </w:rPr>
        <w:t xml:space="preserve">5.采购需求（简介）：江苏省针对 “苏采云”系统推进功能升级改造和优化，涵盖：自贸区开放单一来源成交公告理由公开功能、规范线上线下评标项目中标供应商选定流程、细化合同备案并强化资金支付监测等内容，以提升政府采购规范性与监管效能。</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72"/>
        <w:ind w:firstLine="480"/>
        <w:spacing w:line="400" w:lineRule="exact"/>
        <w:rPr>
          <w:rFonts w:ascii="宋体" w:hAnsi="宋体"/>
          <w:sz w:val="24"/>
          <w:szCs w:val="24"/>
          <w:u w:val="single"/>
        </w:rPr>
      </w:pPr>
      <w:r>
        <w:rPr>
          <w:rFonts w:hint="eastAsia" w:ascii="宋体" w:hAnsi="宋体"/>
          <w:sz w:val="24"/>
          <w:szCs w:val="24"/>
        </w:rPr>
        <w:t xml:space="preserve">6.合同履行期限：合同签订后两个月内完成系统上线运行。</w:t>
      </w:r>
      <w:r>
        <w:rPr>
          <w:rFonts w:ascii="宋体" w:hAnsi="宋体"/>
          <w:sz w:val="24"/>
          <w:szCs w:val="24"/>
          <w:u w:val="single"/>
        </w:rPr>
      </w:r>
      <w:r/>
    </w:p>
    <w:p>
      <w:pPr>
        <w:pStyle w:val="675"/>
        <w:ind w:firstLine="498"/>
        <w:spacing w:before="145" w:after="145" w:line="400" w:lineRule="exact"/>
      </w:pPr>
      <w:r/>
      <w:bookmarkStart w:id="12" w:name="_Toc38985264"/>
      <w:r/>
      <w:bookmarkStart w:id="13" w:name="_Toc35393622"/>
      <w:r/>
      <w:bookmarkStart w:id="14" w:name="_Toc35393791"/>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pStyle w:val="672"/>
        <w:ind w:firstLine="480"/>
        <w:spacing w:line="400" w:lineRule="exact"/>
        <w:rPr>
          <w:rFonts w:hint="eastAsia" w:ascii="宋体" w:hAnsi="宋体"/>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72"/>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72"/>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672"/>
              <w:jc w:val="center"/>
              <w:spacing w:line="400" w:lineRule="exact"/>
              <w:rPr>
                <w:rFonts w:hint="eastAsia" w:ascii="宋体" w:hAnsi="宋体" w:eastAsia="宋体"/>
                <w:lang w:eastAsia="zh-CN"/>
              </w:rPr>
            </w:pPr>
            <w:r>
              <w:rPr>
                <w:rFonts w:hint="eastAsia" w:ascii="宋体" w:hAnsi="宋体"/>
                <w:lang w:val="en-US" w:eastAsia="zh-CN"/>
              </w:rPr>
              <w:t xml:space="preserve">1</w:t>
            </w:r>
            <w:r>
              <w:rPr>
                <w:rFonts w:hint="eastAsia" w:ascii="宋体" w:hAnsi="宋体" w:eastAsia="宋体"/>
                <w:lang w:eastAsia="zh-CN"/>
              </w:rPr>
            </w:r>
            <w:r/>
          </w:p>
        </w:tc>
        <w:tc>
          <w:tcPr>
            <w:tcW w:w="2968" w:type="dxa"/>
            <w:vAlign w:val="top"/>
            <w:textDirection w:val="lrTb"/>
            <w:noWrap w:val="false"/>
          </w:tcPr>
          <w:p>
            <w:pPr>
              <w:pStyle w:val="672"/>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672"/>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672"/>
              <w:jc w:val="center"/>
              <w:spacing w:line="400" w:lineRule="exact"/>
              <w:rPr>
                <w:rFonts w:hint="eastAsia" w:ascii="宋体" w:hAnsi="宋体" w:eastAsia="宋体"/>
                <w:lang w:eastAsia="zh-CN"/>
              </w:rPr>
            </w:pPr>
            <w:r>
              <w:rPr>
                <w:rFonts w:hint="eastAsia" w:ascii="宋体" w:hAnsi="宋体"/>
                <w:lang w:val="en-US" w:eastAsia="zh-CN"/>
              </w:rPr>
              <w:t xml:space="preserve">1</w:t>
            </w:r>
            <w:r>
              <w:rPr>
                <w:rFonts w:hint="eastAsia" w:ascii="宋体" w:hAnsi="宋体" w:eastAsia="宋体"/>
                <w:lang w:eastAsia="zh-CN"/>
              </w:rPr>
            </w:r>
            <w:r/>
          </w:p>
        </w:tc>
        <w:tc>
          <w:tcPr>
            <w:tcW w:w="6145" w:type="dxa"/>
            <w:vAlign w:val="top"/>
            <w:textDirection w:val="lrTb"/>
            <w:noWrap w:val="false"/>
          </w:tcPr>
          <w:p>
            <w:pPr>
              <w:pStyle w:val="672"/>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672"/>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72"/>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72"/>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672"/>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675"/>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72"/>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sz w:val="24"/>
          <w:szCs w:val="24"/>
        </w:rPr>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12月2日9点30分</w:t>
      </w:r>
      <w:r/>
      <w:r>
        <w:rPr>
          <w:rFonts w:hint="eastAsia" w:ascii="宋体" w:hAnsi="宋体"/>
          <w:bCs/>
          <w:sz w:val="24"/>
          <w:szCs w:val="24"/>
          <w:u w:val="single"/>
        </w:rPr>
      </w:r>
      <w:r>
        <w:rPr>
          <w:rFonts w:hint="eastAsia" w:ascii="宋体" w:hAnsi="宋体"/>
          <w:bCs/>
          <w:sz w:val="24"/>
          <w:szCs w:val="24"/>
        </w:rPr>
        <w:t xml:space="preserve">（北京时间）</w:t>
      </w:r>
      <w:r>
        <w:rPr>
          <w:rFonts w:ascii="宋体" w:hAnsi="宋体"/>
          <w:bCs/>
          <w:sz w:val="24"/>
          <w:szCs w:val="24"/>
          <w:u w:val="single"/>
        </w:rPr>
      </w:r>
      <w:r/>
    </w:p>
    <w:p>
      <w:pPr>
        <w:pStyle w:val="672"/>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72"/>
        <w:ind w:firstLine="498"/>
        <w:keepLines/>
        <w:keepNext/>
        <w:spacing w:before="145" w:after="145" w:line="360" w:lineRule="auto"/>
        <w:rPr>
          <w:b/>
          <w:bCs/>
          <w:color w:val="000000"/>
          <w:sz w:val="32"/>
          <w:szCs w:val="32"/>
        </w:rPr>
        <w:outlineLvl w:val="2"/>
      </w:pPr>
      <w:r/>
      <w:bookmarkStart w:id="27" w:name="_Toc28359007"/>
      <w:r/>
      <w:bookmarkStart w:id="28" w:name="_Toc35393625"/>
      <w:r/>
      <w:bookmarkStart w:id="29" w:name="_Toc28359084"/>
      <w:r/>
      <w:bookmarkStart w:id="30" w:name="_Toc38985267"/>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672"/>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75"/>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pStyle w:val="672"/>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5"/>
        <w:ind w:firstLine="498"/>
        <w:spacing w:before="145" w:after="145" w:line="400" w:lineRule="exact"/>
      </w:pPr>
      <w:r/>
      <w:bookmarkStart w:id="35" w:name="_Toc38985269"/>
      <w:r/>
      <w:bookmarkStart w:id="36" w:name="_Toc35393627"/>
      <w:r/>
      <w:bookmarkStart w:id="37" w:name="_Toc35393796"/>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pStyle w:val="672"/>
        <w:jc w:val="left"/>
        <w:spacing w:line="400" w:lineRule="exact"/>
        <w:widowControl/>
        <w:rPr>
          <w:rFonts w:ascii="宋体" w:hAnsi="宋体"/>
          <w:sz w:val="24"/>
          <w:szCs w:val="24"/>
        </w:rPr>
      </w:pPr>
      <w:r>
        <w:rPr>
          <w:rFonts w:hint="eastAsia" w:ascii="仿宋" w:hAnsi="仿宋" w:eastAsia="仿宋" w:cs="宋体"/>
          <w:sz w:val="28"/>
          <w:szCs w:val="28"/>
        </w:rPr>
        <w:t xml:space="preserve">　　</w:t>
      </w:r>
      <w:bookmarkStart w:id="40" w:name="_Toc28359009"/>
      <w:r/>
      <w:bookmarkStart w:id="41" w:name="_Toc28359086"/>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72"/>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江苏省财政厅财政信息管理中心</w:t>
      </w:r>
      <w:r>
        <w:rPr>
          <w:rFonts w:ascii="宋体" w:hAnsi="宋体"/>
          <w:sz w:val="24"/>
          <w:szCs w:val="24"/>
        </w:rPr>
      </w:r>
      <w:r/>
    </w:p>
    <w:p>
      <w:pPr>
        <w:pStyle w:val="672"/>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南京市鼓楼区北京西路6</w:t>
      </w:r>
      <w:r>
        <w:rPr>
          <w:rFonts w:ascii="宋体" w:hAnsi="宋体"/>
          <w:sz w:val="24"/>
          <w:szCs w:val="24"/>
          <w:u w:val="single"/>
        </w:rPr>
        <w:t xml:space="preserve">3号</w:t>
      </w:r>
      <w:r>
        <w:rPr>
          <w:rFonts w:ascii="宋体" w:hAnsi="宋体"/>
          <w:sz w:val="24"/>
          <w:szCs w:val="24"/>
        </w:rPr>
      </w:r>
      <w:r/>
    </w:p>
    <w:p>
      <w:pPr>
        <w:pStyle w:val="672"/>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陈杰</w:t>
      </w:r>
      <w:r>
        <w:rPr>
          <w:rFonts w:ascii="宋体" w:hAnsi="宋体"/>
          <w:sz w:val="24"/>
          <w:szCs w:val="24"/>
        </w:rPr>
      </w:r>
      <w:r/>
    </w:p>
    <w:p>
      <w:pPr>
        <w:pStyle w:val="672"/>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25-83633281</w:t>
      </w:r>
      <w:r>
        <w:rPr>
          <w:rFonts w:ascii="宋体" w:hAnsi="宋体"/>
          <w:sz w:val="24"/>
          <w:szCs w:val="24"/>
          <w:u w:val="single"/>
        </w:rPr>
      </w:r>
      <w:r/>
    </w:p>
    <w:p>
      <w:pPr>
        <w:pStyle w:val="672"/>
        <w:ind w:left="1079" w:hanging="300"/>
        <w:jc w:val="left"/>
        <w:spacing w:line="400" w:lineRule="exact"/>
        <w:rPr>
          <w:rFonts w:ascii="宋体" w:hAnsi="宋体"/>
          <w:sz w:val="24"/>
          <w:szCs w:val="24"/>
          <w:u w:val="single"/>
        </w:rPr>
      </w:pPr>
      <w:r>
        <w:rPr>
          <w:rFonts w:ascii="宋体" w:hAnsi="宋体"/>
          <w:sz w:val="24"/>
          <w:szCs w:val="24"/>
          <w:u w:val="single"/>
        </w:rPr>
      </w:r>
      <w:r/>
    </w:p>
    <w:p>
      <w:pPr>
        <w:pStyle w:val="672"/>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672"/>
        <w:ind w:firstLine="720"/>
        <w:spacing w:line="400" w:lineRule="exact"/>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u w:val="single"/>
          <w:lang w:eastAsia="zh-CN"/>
        </w:rPr>
        <w:t xml:space="preserve">南京市汉中门大街</w:t>
      </w:r>
      <w:r>
        <w:rPr>
          <w:rFonts w:hint="eastAsia" w:ascii="宋体" w:hAnsi="宋体"/>
          <w:sz w:val="24"/>
          <w:szCs w:val="24"/>
          <w:u w:val="single"/>
          <w:lang w:val="en-US" w:eastAsia="zh-CN"/>
        </w:rPr>
        <w:t xml:space="preserve">145号省政务服务中心二期3楼南区</w:t>
      </w:r>
      <w:r>
        <w:rPr>
          <w:rFonts w:ascii="宋体" w:hAnsi="宋体" w:eastAsia="宋体"/>
          <w:sz w:val="24"/>
          <w:szCs w:val="24"/>
          <w:lang w:val="en-US" w:eastAsia="zh-CN"/>
        </w:rPr>
      </w:r>
      <w:r/>
    </w:p>
    <w:p>
      <w:pPr>
        <w:pStyle w:val="672"/>
        <w:ind w:firstLine="720"/>
        <w:spacing w:line="400" w:lineRule="exact"/>
        <w:rPr>
          <w:rFonts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u w:val="single"/>
          <w:lang w:eastAsia="zh-CN"/>
        </w:rPr>
        <w:t xml:space="preserve">郑荔</w:t>
      </w:r>
      <w:r>
        <w:rPr>
          <w:rFonts w:hint="eastAsia" w:ascii="宋体" w:hAnsi="宋体"/>
          <w:sz w:val="24"/>
          <w:szCs w:val="24"/>
          <w:u w:val="single"/>
          <w:lang w:val="en-US" w:eastAsia="zh-CN"/>
        </w:rPr>
        <w:t xml:space="preserve"> 唐雪菲</w:t>
      </w:r>
      <w:r>
        <w:rPr>
          <w:rFonts w:ascii="宋体" w:hAnsi="宋体" w:eastAsia="宋体"/>
          <w:sz w:val="24"/>
          <w:szCs w:val="24"/>
          <w:lang w:val="en-US" w:eastAsia="zh-CN"/>
        </w:rPr>
      </w:r>
      <w:r/>
    </w:p>
    <w:p>
      <w:pPr>
        <w:pStyle w:val="672"/>
        <w:ind w:firstLine="720"/>
        <w:spacing w:line="400" w:lineRule="exact"/>
        <w:rPr>
          <w:rFonts w:ascii="宋体" w:hAnsi="宋体" w:eastAsia="宋体"/>
          <w:sz w:val="24"/>
          <w:szCs w:val="24"/>
          <w:lang w:val="en-US" w:eastAsia="zh-CN"/>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lang w:val="en-US" w:eastAsia="zh-CN"/>
        </w:rPr>
        <w:t xml:space="preserve">025-83668535 83668562</w:t>
      </w:r>
      <w:r>
        <w:rPr>
          <w:rFonts w:ascii="宋体" w:hAnsi="宋体" w:eastAsia="宋体"/>
          <w:sz w:val="24"/>
          <w:szCs w:val="24"/>
          <w:lang w:val="en-US" w:eastAsia="zh-CN"/>
        </w:rPr>
      </w:r>
      <w:r/>
    </w:p>
    <w:p>
      <w:pPr>
        <w:pStyle w:val="675"/>
        <w:ind w:firstLine="498"/>
        <w:spacing w:before="145" w:after="145" w:line="400" w:lineRule="exact"/>
      </w:pPr>
      <w:r/>
      <w:bookmarkEnd w:id="42"/>
      <w:r/>
      <w:bookmarkEnd w:id="43"/>
      <w:r>
        <w:rPr>
          <w:rFonts w:hint="eastAsia"/>
        </w:rPr>
        <w:t xml:space="preserve">八、其他</w:t>
      </w:r>
      <w:r/>
    </w:p>
    <w:p>
      <w:pPr>
        <w:pStyle w:val="672"/>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746"/>
          <w:bCs/>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672"/>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672"/>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672"/>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672"/>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67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674"/>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75"/>
        <w:ind w:firstLine="498"/>
        <w:spacing w:before="145" w:after="145" w:line="400" w:lineRule="exact"/>
        <w:rPr>
          <w:rFonts w:hint="eastAsia"/>
        </w:rPr>
      </w:pPr>
      <w:r/>
      <w:bookmarkStart w:id="49" w:name="_Toc20823275"/>
      <w:r/>
      <w:bookmarkStart w:id="50" w:name="_Toc16938519"/>
      <w:r/>
      <w:bookmarkStart w:id="51" w:name="_Toc120614214"/>
      <w:r/>
      <w:bookmarkStart w:id="52" w:name="_Toc513029203"/>
      <w:r>
        <w:rPr>
          <w:rFonts w:hint="eastAsia"/>
        </w:rPr>
        <w:t xml:space="preserve">一、总则</w:t>
      </w:r>
      <w:bookmarkEnd w:id="49"/>
      <w:r/>
      <w:bookmarkEnd w:id="50"/>
      <w:r/>
      <w:bookmarkEnd w:id="51"/>
      <w:r/>
      <w:bookmarkEnd w:id="52"/>
      <w:r>
        <w:rPr>
          <w:rFonts w:hint="eastAsia"/>
        </w:rPr>
      </w:r>
      <w:r/>
    </w:p>
    <w:p>
      <w:pPr>
        <w:pStyle w:val="676"/>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72"/>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76"/>
        <w:ind w:firstLine="420"/>
        <w:spacing w:before="0" w:after="0" w:line="400" w:lineRule="exact"/>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676"/>
        <w:ind w:firstLine="420"/>
        <w:spacing w:before="0" w:after="0" w:line="400" w:lineRule="exact"/>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67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76"/>
        <w:ind w:firstLine="420"/>
        <w:spacing w:before="0" w:after="0" w:line="400" w:lineRule="exact"/>
        <w:rPr>
          <w:rFonts w:hint="eastAsia"/>
          <w:b w:val="0"/>
          <w:bCs w:val="0"/>
        </w:rPr>
      </w:pPr>
      <w:r/>
      <w:bookmarkStart w:id="64" w:name="_Toc20823279"/>
      <w:r/>
      <w:bookmarkStart w:id="65" w:name="_Toc462564067"/>
      <w:r/>
      <w:bookmarkStart w:id="66" w:name="_Toc16938523"/>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672"/>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672"/>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676"/>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72"/>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75"/>
        <w:ind w:firstLine="321"/>
        <w:spacing w:before="145" w:after="145" w:line="400" w:lineRule="exact"/>
        <w:rPr>
          <w:rFonts w:hint="eastAsia"/>
        </w:rPr>
      </w:pPr>
      <w:r/>
      <w:bookmarkStart w:id="68" w:name="_Toc16938525"/>
      <w:r/>
      <w:bookmarkStart w:id="69" w:name="_Toc20823281"/>
      <w:r/>
      <w:bookmarkStart w:id="70" w:name="_Toc120614215"/>
      <w:r/>
      <w:bookmarkStart w:id="71" w:name="_Toc513029209"/>
      <w:r>
        <w:rPr>
          <w:rFonts w:hint="eastAsia"/>
        </w:rPr>
        <w:t xml:space="preserve">二、招标文件</w:t>
      </w:r>
      <w:bookmarkEnd w:id="68"/>
      <w:r/>
      <w:bookmarkEnd w:id="69"/>
      <w:r/>
      <w:bookmarkEnd w:id="70"/>
      <w:r/>
      <w:bookmarkEnd w:id="71"/>
      <w:r>
        <w:rPr>
          <w:rFonts w:hint="eastAsia"/>
        </w:rPr>
      </w:r>
      <w:r/>
    </w:p>
    <w:p>
      <w:pPr>
        <w:pStyle w:val="676"/>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672"/>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7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2"/>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2"/>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2"/>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2"/>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672"/>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72"/>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72"/>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6"/>
        <w:ind w:firstLine="560"/>
        <w:spacing w:before="0" w:after="0" w:line="400" w:lineRule="exact"/>
        <w:rPr>
          <w:rFonts w:hint="eastAsia"/>
          <w:b w:val="0"/>
          <w:bCs w:val="0"/>
        </w:rPr>
      </w:pPr>
      <w:r/>
      <w:bookmarkStart w:id="75" w:name="_Toc20823284"/>
      <w:r/>
      <w:bookmarkStart w:id="76" w:name="_Toc16938528"/>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672"/>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72"/>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72"/>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75"/>
        <w:ind w:firstLine="482"/>
        <w:spacing w:before="145" w:after="145" w:line="400" w:lineRule="exact"/>
        <w:rPr>
          <w:rFonts w:hint="eastAsia"/>
        </w:rPr>
      </w:pPr>
      <w:r/>
      <w:bookmarkStart w:id="79" w:name="_Toc20823285"/>
      <w:r/>
      <w:bookmarkStart w:id="80" w:name="_Toc16938529"/>
      <w:r/>
      <w:bookmarkStart w:id="81" w:name="_Toc120614216"/>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Pr>
          <w:rFonts w:hint="eastAsia"/>
        </w:rPr>
      </w:r>
      <w:r/>
    </w:p>
    <w:p>
      <w:pPr>
        <w:pStyle w:val="676"/>
        <w:ind w:firstLine="560"/>
        <w:spacing w:before="0" w:after="0" w:line="400" w:lineRule="exact"/>
        <w:rPr>
          <w:rFonts w:hint="eastAsia"/>
          <w:bCs w:val="0"/>
        </w:rPr>
      </w:pPr>
      <w:r/>
      <w:bookmarkStart w:id="84" w:name="_Toc16938530"/>
      <w:r/>
      <w:bookmarkStart w:id="85" w:name="_Toc513029214"/>
      <w:r/>
      <w:bookmarkStart w:id="86" w:name="_Toc462564073"/>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672"/>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72"/>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676"/>
        <w:ind w:firstLine="420"/>
        <w:spacing w:before="0" w:after="0" w:line="400" w:lineRule="exact"/>
        <w:rPr>
          <w:rFonts w:hint="eastAsia"/>
          <w:b w:val="0"/>
          <w:bCs w:val="0"/>
        </w:rPr>
      </w:pPr>
      <w:r/>
      <w:bookmarkStart w:id="88" w:name="_Toc20823287"/>
      <w:r/>
      <w:bookmarkStart w:id="89" w:name="_Toc513029215"/>
      <w:r/>
      <w:bookmarkStart w:id="90" w:name="_Toc16938531"/>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672"/>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672"/>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676"/>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49090509"/>
      <w:r/>
      <w:bookmarkStart w:id="96" w:name="_Toc14577357"/>
      <w:r/>
      <w:bookmarkStart w:id="97" w:name="_Toc513029219"/>
      <w:r/>
      <w:bookmarkStart w:id="98" w:name="_Toc49090507"/>
      <w:r/>
      <w:bookmarkStart w:id="99" w:name="_Toc513029216"/>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672"/>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676"/>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672"/>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6"/>
        <w:ind w:firstLine="420"/>
        <w:spacing w:before="0" w:after="0" w:line="400" w:lineRule="exact"/>
        <w:rPr>
          <w:rFonts w:hint="eastAsia"/>
          <w:b w:val="0"/>
          <w:bCs w:val="0"/>
        </w:rPr>
      </w:pPr>
      <w:r/>
      <w:bookmarkStart w:id="106" w:name="_Hlt26954848"/>
      <w:r/>
      <w:bookmarkEnd w:id="106"/>
      <w:r/>
      <w:bookmarkStart w:id="107" w:name="_Hlt26668983"/>
      <w:r/>
      <w:bookmarkEnd w:id="107"/>
      <w:r/>
      <w:bookmarkStart w:id="108" w:name="_Hlt26954731"/>
      <w:r/>
      <w:bookmarkEnd w:id="108"/>
      <w:r/>
      <w:bookmarkStart w:id="109" w:name="_Hlt26954842"/>
      <w:r/>
      <w:bookmarkEnd w:id="109"/>
      <w:r/>
      <w:bookmarkStart w:id="110" w:name="_Hlt26670403"/>
      <w:r/>
      <w:bookmarkEnd w:id="110"/>
      <w:r/>
      <w:bookmarkStart w:id="111" w:name="_Hlt26670482"/>
      <w:r/>
      <w:bookmarkEnd w:id="111"/>
      <w:r/>
      <w:bookmarkStart w:id="112" w:name="_Hlt26670486"/>
      <w:r/>
      <w:bookmarkEnd w:id="112"/>
      <w:r/>
      <w:bookmarkStart w:id="113" w:name="_Hlt26954844"/>
      <w:r/>
      <w:bookmarkEnd w:id="113"/>
      <w:r/>
      <w:bookmarkStart w:id="114" w:name="_Hlt26954846"/>
      <w:r/>
      <w:bookmarkEnd w:id="114"/>
      <w:r/>
      <w:bookmarkStart w:id="115" w:name="_Hlt26670425"/>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672"/>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72"/>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676"/>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672"/>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72"/>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76"/>
        <w:ind w:firstLine="420"/>
        <w:spacing w:before="0" w:after="0" w:line="400" w:lineRule="exact"/>
        <w:rPr>
          <w:rFonts w:hint="eastAsia"/>
          <w:b w:val="0"/>
          <w:bCs w:val="0"/>
        </w:rPr>
      </w:pPr>
      <w:r/>
      <w:bookmarkEnd w:id="116"/>
      <w:r/>
      <w:bookmarkEnd w:id="117"/>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67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76"/>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67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5"/>
        <w:ind w:firstLine="482"/>
        <w:spacing w:before="145" w:after="145" w:line="400" w:lineRule="exact"/>
        <w:rPr>
          <w:rFonts w:hint="eastAsia"/>
        </w:rPr>
      </w:pPr>
      <w:r/>
      <w:bookmarkStart w:id="123" w:name="_Hlt26954739"/>
      <w:r/>
      <w:bookmarkEnd w:id="123"/>
      <w:r/>
      <w:bookmarkStart w:id="124" w:name="_Hlt26954852"/>
      <w:r/>
      <w:bookmarkEnd w:id="124"/>
      <w:r/>
      <w:bookmarkStart w:id="125" w:name="_Toc16938540"/>
      <w:r/>
      <w:bookmarkStart w:id="126" w:name="_Toc20823296"/>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676"/>
        <w:ind w:firstLine="560"/>
        <w:spacing w:before="0" w:after="0" w:line="400" w:lineRule="exact"/>
        <w:rPr>
          <w:rFonts w:hint="eastAsia" w:ascii="黑体"/>
          <w:b w:val="0"/>
          <w:bCs w:val="0"/>
        </w:rPr>
      </w:pPr>
      <w:r/>
      <w:bookmarkStart w:id="129" w:name="_Toc462564084"/>
      <w:r/>
      <w:bookmarkStart w:id="130" w:name="_Toc513029225"/>
      <w:r/>
      <w:bookmarkStart w:id="131" w:name="_Toc20823297"/>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67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784"/>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676"/>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672"/>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676"/>
        <w:ind w:firstLine="420"/>
        <w:spacing w:before="0" w:after="0" w:line="400" w:lineRule="exact"/>
        <w:rPr>
          <w:rFonts w:hint="eastAsia"/>
          <w:b w:val="0"/>
          <w:bCs w:val="0"/>
        </w:rPr>
      </w:pPr>
      <w:r/>
      <w:bookmarkStart w:id="136" w:name="_Toc16938543"/>
      <w:r/>
      <w:bookmarkStart w:id="137" w:name="_Toc513029227"/>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672"/>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676"/>
        <w:ind w:firstLine="420"/>
        <w:spacing w:before="0" w:after="0" w:line="400" w:lineRule="exact"/>
        <w:rPr>
          <w:rFonts w:hint="eastAsia"/>
          <w:b w:val="0"/>
          <w:bCs w:val="0"/>
        </w:rPr>
      </w:pPr>
      <w:r/>
      <w:bookmarkStart w:id="139" w:name="_Toc513029228"/>
      <w:r/>
      <w:bookmarkStart w:id="140" w:name="_Toc16938544"/>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672"/>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672"/>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672"/>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2"/>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672"/>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672"/>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675"/>
        <w:ind w:firstLine="482"/>
        <w:spacing w:before="145" w:after="145" w:line="400" w:lineRule="exact"/>
        <w:rPr>
          <w:rFonts w:hint="eastAsia"/>
        </w:rPr>
      </w:pPr>
      <w:r/>
      <w:bookmarkStart w:id="142" w:name="_Toc120614218"/>
      <w:r/>
      <w:bookmarkStart w:id="143" w:name="_Toc513029229"/>
      <w:r/>
      <w:bookmarkStart w:id="144" w:name="_Toc16938545"/>
      <w:r/>
      <w:bookmarkStart w:id="145" w:name="_Toc20823301"/>
      <w:r>
        <w:rPr>
          <w:rFonts w:hint="eastAsia"/>
        </w:rPr>
        <w:t xml:space="preserve">五、开标与评标</w:t>
      </w:r>
      <w:bookmarkEnd w:id="142"/>
      <w:r/>
      <w:bookmarkEnd w:id="143"/>
      <w:r/>
      <w:bookmarkEnd w:id="144"/>
      <w:r/>
      <w:bookmarkEnd w:id="145"/>
      <w:r>
        <w:rPr>
          <w:rFonts w:hint="eastAsia"/>
        </w:rPr>
      </w:r>
      <w:r/>
    </w:p>
    <w:p>
      <w:pPr>
        <w:pStyle w:val="676"/>
        <w:ind w:firstLine="420"/>
        <w:spacing w:before="0" w:after="0" w:line="400" w:lineRule="exact"/>
        <w:rPr>
          <w:rFonts w:hint="eastAsia"/>
          <w:b w:val="0"/>
          <w:bCs w:val="0"/>
        </w:rPr>
      </w:pPr>
      <w:r/>
      <w:bookmarkStart w:id="146" w:name="_Toc16938546"/>
      <w:r/>
      <w:bookmarkStart w:id="147" w:name="_Toc20823302"/>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672"/>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672"/>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676"/>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672"/>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72"/>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672"/>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676"/>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672"/>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72"/>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676"/>
        <w:ind w:firstLine="420"/>
        <w:spacing w:before="0" w:after="0" w:line="400" w:lineRule="exact"/>
        <w:rPr>
          <w:rFonts w:hint="eastAsia"/>
          <w:b w:val="0"/>
          <w:bCs w:val="0"/>
        </w:rPr>
      </w:pPr>
      <w:r/>
      <w:bookmarkStart w:id="152" w:name="_Toc513029232"/>
      <w:r/>
      <w:bookmarkStart w:id="153" w:name="_Toc20823304"/>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672"/>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672"/>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676"/>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672"/>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2"/>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2"/>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2"/>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72"/>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2"/>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2"/>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2"/>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2"/>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72"/>
        <w:ind w:firstLine="420"/>
        <w:spacing w:line="400" w:lineRule="exact"/>
        <w:rPr>
          <w:rFonts w:ascii="宋体" w:hAnsi="宋体"/>
          <w:sz w:val="24"/>
        </w:rPr>
      </w:pPr>
      <w:r/>
      <w:bookmarkStart w:id="158" w:name="_Toc513029234"/>
      <w:r/>
      <w:bookmarkStart w:id="159" w:name="_Toc16938550"/>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672"/>
        <w:ind w:firstLine="420"/>
        <w:spacing w:line="400" w:lineRule="exact"/>
        <w:rPr>
          <w:rFonts w:hint="eastAsia" w:ascii="宋体" w:hAnsi="宋体" w:eastAsia="宋体" w:cs="Times New Roman"/>
          <w:sz w:val="24"/>
        </w:rPr>
      </w:pPr>
      <w:r>
        <w:rPr>
          <w:rFonts w:hint="eastAsia" w:ascii="宋体" w:hAnsi="宋体" w:eastAsia="宋体" w:cs="Times New Roman"/>
          <w:sz w:val="24"/>
        </w:rPr>
        <w:t xml:space="preserve">24.7 异常低价投标审查</w:t>
      </w:r>
      <w:r>
        <w:rPr>
          <w:rFonts w:hint="eastAsia" w:ascii="宋体" w:hAnsi="宋体" w:eastAsia="宋体" w:cs="Times New Roman"/>
          <w:sz w:val="24"/>
        </w:rPr>
      </w:r>
      <w:r/>
    </w:p>
    <w:p>
      <w:pPr>
        <w:pStyle w:val="672"/>
        <w:ind w:firstLine="420"/>
        <w:spacing w:line="400" w:lineRule="exact"/>
        <w:rPr>
          <w:rFonts w:hint="eastAsia" w:ascii="宋体" w:hAnsi="宋体" w:eastAsia="宋体" w:cs="Times New Roman"/>
          <w:sz w:val="24"/>
        </w:rPr>
      </w:pPr>
      <w:r>
        <w:rPr>
          <w:rFonts w:hint="eastAsia" w:ascii="宋体" w:hAnsi="宋体" w:eastAsia="宋体" w:cs="Times New Roman"/>
          <w:sz w:val="24"/>
        </w:rPr>
        <w:t xml:space="preserve">24.7.1 评标过程中出现下列情形之一的，评标委员会应当启动异常低价投标审查程序：</w:t>
      </w:r>
      <w:r>
        <w:rPr>
          <w:rFonts w:hint="eastAsia" w:ascii="宋体" w:hAnsi="宋体" w:eastAsia="宋体" w:cs="Times New Roman"/>
          <w:sz w:val="24"/>
        </w:rPr>
      </w:r>
      <w:r/>
    </w:p>
    <w:p>
      <w:pPr>
        <w:pStyle w:val="672"/>
        <w:ind w:firstLine="420"/>
        <w:spacing w:line="400" w:lineRule="exact"/>
        <w:rPr>
          <w:rFonts w:hint="eastAsia" w:ascii="宋体" w:hAnsi="宋体" w:eastAsia="宋体" w:cs="Times New Roman"/>
          <w:sz w:val="24"/>
        </w:rPr>
      </w:pPr>
      <w:r>
        <w:rPr>
          <w:rFonts w:hint="eastAsia" w:ascii="宋体" w:hAnsi="宋体" w:eastAsia="宋体" w:cs="Times New Roman"/>
          <w:sz w:val="24"/>
        </w:rPr>
        <w:t xml:space="preserve">（1）投标报价低于采购项目预算50%的，即投标报价＜采购项目预算×50%；</w:t>
      </w:r>
      <w:r>
        <w:rPr>
          <w:rFonts w:hint="eastAsia" w:ascii="宋体" w:hAnsi="宋体" w:eastAsia="宋体" w:cs="Times New Roman"/>
          <w:sz w:val="24"/>
        </w:rPr>
      </w:r>
      <w:r/>
    </w:p>
    <w:p>
      <w:pPr>
        <w:pStyle w:val="672"/>
        <w:ind w:firstLine="420"/>
        <w:spacing w:line="400" w:lineRule="exact"/>
        <w:rPr>
          <w:rFonts w:hint="eastAsia" w:ascii="宋体" w:hAnsi="宋体" w:eastAsia="宋体" w:cs="Times New Roman"/>
          <w:sz w:val="24"/>
        </w:rPr>
      </w:pPr>
      <w:r>
        <w:rPr>
          <w:rFonts w:hint="eastAsia" w:ascii="宋体" w:hAnsi="宋体" w:eastAsia="宋体" w:cs="Times New Roman"/>
          <w:sz w:val="24"/>
        </w:rPr>
        <w:t xml:space="preserve">（2）投标报价低于采购项目最高限价45%的，即投标报价＜采购项目最高限价×45%；</w:t>
      </w:r>
      <w:r>
        <w:rPr>
          <w:rFonts w:hint="eastAsia" w:ascii="宋体" w:hAnsi="宋体" w:eastAsia="宋体" w:cs="Times New Roman"/>
          <w:sz w:val="24"/>
        </w:rPr>
      </w:r>
      <w:r/>
    </w:p>
    <w:p>
      <w:pPr>
        <w:pStyle w:val="672"/>
        <w:ind w:firstLine="420"/>
        <w:spacing w:line="400" w:lineRule="exact"/>
        <w:rPr>
          <w:rFonts w:hint="eastAsia" w:ascii="宋体" w:hAnsi="宋体" w:eastAsia="宋体" w:cs="Times New Roman"/>
          <w:sz w:val="24"/>
        </w:rPr>
      </w:pPr>
      <w:r>
        <w:rPr>
          <w:rFonts w:hint="eastAsia" w:ascii="宋体" w:hAnsi="宋体" w:eastAsia="宋体" w:cs="Times New Roman"/>
          <w:sz w:val="24"/>
        </w:rPr>
        <w:t xml:space="preserve">（3）评标委员会认定的供应商报价过低、有可能影响产品质量或者不能诚信履约的其他情形。</w:t>
      </w:r>
      <w:r>
        <w:rPr>
          <w:rFonts w:hint="eastAsia" w:ascii="宋体" w:hAnsi="宋体" w:eastAsia="宋体" w:cs="Times New Roman"/>
          <w:sz w:val="24"/>
        </w:rPr>
      </w:r>
      <w:r/>
    </w:p>
    <w:p>
      <w:pPr>
        <w:pStyle w:val="672"/>
        <w:ind w:firstLine="420"/>
        <w:spacing w:line="400" w:lineRule="exact"/>
        <w:rPr>
          <w:rFonts w:hint="eastAsia" w:ascii="宋体" w:hAnsi="宋体" w:eastAsia="宋体" w:cs="Times New Roman"/>
          <w:sz w:val="24"/>
        </w:rPr>
      </w:pPr>
      <w:r>
        <w:rPr>
          <w:rFonts w:hint="eastAsia" w:ascii="宋体" w:hAnsi="宋体" w:eastAsia="宋体" w:cs="Times New Roman"/>
          <w:sz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Times New Roman"/>
          <w:sz w:val="24"/>
        </w:rPr>
      </w:r>
      <w:r/>
    </w:p>
    <w:p>
      <w:pPr>
        <w:pStyle w:val="676"/>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672"/>
        <w:ind w:left="479"/>
        <w:spacing w:line="4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25.1无效投标条款</w:t>
      </w:r>
      <w:r>
        <w:rPr>
          <w:rFonts w:hint="eastAsia" w:ascii="宋体" w:hAnsi="宋体"/>
          <w:bCs/>
          <w:sz w:val="24"/>
        </w:rPr>
      </w:r>
      <w:r/>
    </w:p>
    <w:p>
      <w:pPr>
        <w:pStyle w:val="672"/>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672"/>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672"/>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672"/>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672"/>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672"/>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672"/>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672"/>
        <w:ind w:left="479"/>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25.1.10评标委员会按照本招标文件规定对投标人进行异常低价投标审查后，认为投标人不能证明其报价合理性的。</w:t>
      </w:r>
      <w:r>
        <w:rPr>
          <w:rFonts w:hint="eastAsia" w:ascii="宋体" w:hAnsi="宋体" w:eastAsia="宋体" w:cs="Times New Roman"/>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rPr>
          <w:rFonts w:hint="eastAsia" w:ascii="宋体" w:hAnsi="宋体"/>
          <w:bCs/>
          <w:sz w:val="24"/>
        </w:rPr>
      </w:r>
      <w:r/>
    </w:p>
    <w:p>
      <w:pPr>
        <w:pStyle w:val="672"/>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672"/>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672"/>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672"/>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672"/>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72"/>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5"/>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676"/>
        <w:ind w:firstLine="600"/>
        <w:spacing w:before="0" w:after="0" w:line="400" w:lineRule="exact"/>
        <w:rPr>
          <w:rFonts w:hint="eastAsia" w:ascii="黑体" w:hAnsi="宋体" w:cs="Times New Roman"/>
          <w:b w:val="0"/>
          <w:sz w:val="30"/>
          <w:szCs w:val="30"/>
        </w:rPr>
      </w:pPr>
      <w:r/>
      <w:bookmarkStart w:id="165" w:name="_Toc513029238"/>
      <w:r/>
      <w:bookmarkStart w:id="166" w:name="_Toc20823310"/>
      <w:r/>
      <w:bookmarkStart w:id="16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72"/>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672"/>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672"/>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672"/>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67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672"/>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72"/>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72"/>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72"/>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72"/>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672"/>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7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672"/>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672"/>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675"/>
        <w:spacing w:before="145" w:after="145" w:line="400" w:lineRule="exact"/>
        <w:rPr>
          <w:rFonts w:hint="eastAsia"/>
        </w:rPr>
      </w:pPr>
      <w:r/>
      <w:bookmarkStart w:id="169" w:name="_Toc120614220"/>
      <w:r/>
      <w:bookmarkStart w:id="170" w:name="_Toc16938552"/>
      <w:r/>
      <w:bookmarkStart w:id="171" w:name="_Toc20823308"/>
      <w:r/>
      <w:bookmarkStart w:id="172" w:name="_Toc513029236"/>
      <w:r>
        <w:rPr>
          <w:rFonts w:hint="eastAsia"/>
        </w:rPr>
        <w:t xml:space="preserve">七、授予合同</w:t>
      </w:r>
      <w:bookmarkEnd w:id="169"/>
      <w:r>
        <w:rPr>
          <w:rFonts w:hint="eastAsia"/>
        </w:rPr>
      </w:r>
      <w:r/>
    </w:p>
    <w:p>
      <w:pPr>
        <w:pStyle w:val="676"/>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20823309"/>
      <w:r/>
      <w:bookmarkStart w:id="174" w:name="_Toc16938553"/>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672"/>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672"/>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672"/>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676"/>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676"/>
        <w:ind w:firstLine="600"/>
        <w:spacing w:before="0" w:after="0" w:line="400" w:lineRule="exact"/>
        <w:rPr>
          <w:rFonts w:ascii="黑体" w:hAnsi="宋体" w:cs="Times New Roman"/>
          <w:b w:val="0"/>
          <w:sz w:val="30"/>
          <w:szCs w:val="30"/>
        </w:rPr>
      </w:pPr>
      <w:r/>
      <w:bookmarkEnd w:id="173"/>
      <w:r/>
      <w:bookmarkEnd w:id="174"/>
      <w:r/>
      <w:bookmarkEnd w:id="175"/>
      <w:r/>
      <w:bookmarkStart w:id="176" w:name="_Toc16938558"/>
      <w:r/>
      <w:bookmarkStart w:id="177" w:name="_Toc120614221"/>
      <w:r/>
      <w:bookmarkStart w:id="178" w:name="_Toc513029242"/>
      <w:r/>
      <w:bookmarkStart w:id="179" w:name="_Toc479757207"/>
      <w:r/>
      <w:bookmarkStart w:id="180"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686"/>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686"/>
        <w:spacing w:line="400" w:lineRule="exact"/>
        <w:rPr>
          <w:rFonts w:hint="eastAsia" w:ascii="宋体" w:hAnsi="宋体"/>
          <w:bCs/>
          <w:sz w:val="24"/>
        </w:rPr>
      </w:pPr>
      <w:r>
        <w:rPr>
          <w:rFonts w:hint="eastAsia" w:ascii="宋体" w:hAnsi="宋体"/>
          <w:bCs/>
          <w:sz w:val="24"/>
        </w:rPr>
      </w:r>
      <w:r/>
    </w:p>
    <w:p>
      <w:pPr>
        <w:pStyle w:val="686"/>
        <w:spacing w:line="400" w:lineRule="exact"/>
        <w:rPr>
          <w:rFonts w:hint="eastAsia" w:ascii="宋体" w:hAnsi="宋体"/>
          <w:bCs/>
          <w:sz w:val="24"/>
        </w:rPr>
      </w:pPr>
      <w:r>
        <w:rPr>
          <w:rFonts w:hint="eastAsia" w:ascii="宋体" w:hAnsi="宋体"/>
          <w:bCs/>
          <w:sz w:val="24"/>
        </w:rPr>
      </w:r>
      <w:r/>
    </w:p>
    <w:p>
      <w:pPr>
        <w:pStyle w:val="686"/>
        <w:spacing w:line="400" w:lineRule="exact"/>
        <w:rPr>
          <w:rFonts w:hint="eastAsia" w:ascii="宋体" w:hAnsi="宋体"/>
          <w:bCs/>
          <w:sz w:val="24"/>
        </w:rPr>
      </w:pPr>
      <w:r>
        <w:rPr>
          <w:rFonts w:hint="eastAsia" w:ascii="宋体" w:hAnsi="宋体"/>
          <w:bCs/>
          <w:sz w:val="24"/>
        </w:rPr>
      </w:r>
      <w:r/>
    </w:p>
    <w:p>
      <w:pPr>
        <w:pStyle w:val="686"/>
        <w:spacing w:line="400" w:lineRule="exact"/>
        <w:rPr>
          <w:rFonts w:hint="eastAsia" w:ascii="宋体" w:hAnsi="宋体"/>
          <w:bCs/>
          <w:sz w:val="24"/>
        </w:rPr>
      </w:pPr>
      <w:r>
        <w:rPr>
          <w:rFonts w:hint="eastAsia" w:ascii="宋体" w:hAnsi="宋体"/>
          <w:bCs/>
          <w:sz w:val="24"/>
        </w:rPr>
      </w:r>
      <w:r/>
    </w:p>
    <w:p>
      <w:pPr>
        <w:pStyle w:val="686"/>
        <w:spacing w:line="400" w:lineRule="exact"/>
        <w:rPr>
          <w:rFonts w:hint="eastAsia" w:ascii="宋体" w:hAnsi="宋体"/>
          <w:bCs/>
          <w:sz w:val="24"/>
        </w:rPr>
      </w:pPr>
      <w:r>
        <w:rPr>
          <w:rFonts w:hint="eastAsia" w:ascii="宋体" w:hAnsi="宋体"/>
          <w:bCs/>
          <w:sz w:val="24"/>
        </w:rPr>
      </w:r>
      <w:r/>
    </w:p>
    <w:p>
      <w:pPr>
        <w:pStyle w:val="686"/>
        <w:spacing w:line="400" w:lineRule="exact"/>
        <w:rPr>
          <w:rFonts w:hint="eastAsia" w:ascii="宋体" w:hAnsi="宋体"/>
          <w:bCs/>
          <w:sz w:val="24"/>
        </w:rPr>
      </w:pPr>
      <w:r>
        <w:rPr>
          <w:rFonts w:hint="eastAsia" w:ascii="宋体" w:hAnsi="宋体"/>
          <w:bCs/>
          <w:sz w:val="24"/>
        </w:rPr>
      </w:r>
      <w:r/>
    </w:p>
    <w:p>
      <w:pPr>
        <w:pStyle w:val="686"/>
        <w:spacing w:line="400" w:lineRule="exact"/>
        <w:rPr>
          <w:rFonts w:hint="eastAsia" w:ascii="宋体" w:hAnsi="宋体"/>
          <w:bCs/>
          <w:sz w:val="24"/>
        </w:rPr>
      </w:pPr>
      <w:r>
        <w:rPr>
          <w:rFonts w:hint="eastAsia" w:ascii="宋体" w:hAnsi="宋体"/>
          <w:bCs/>
          <w:sz w:val="24"/>
        </w:rPr>
      </w:r>
      <w:r/>
    </w:p>
    <w:p>
      <w:pPr>
        <w:pStyle w:val="686"/>
        <w:spacing w:line="400" w:lineRule="exact"/>
        <w:rPr>
          <w:rFonts w:hint="eastAsia" w:ascii="宋体" w:hAnsi="宋体"/>
          <w:bCs/>
          <w:sz w:val="24"/>
        </w:rPr>
      </w:pPr>
      <w:r>
        <w:rPr>
          <w:rFonts w:hint="eastAsia" w:ascii="宋体" w:hAnsi="宋体"/>
          <w:bCs/>
          <w:sz w:val="24"/>
        </w:rPr>
      </w:r>
      <w:r/>
    </w:p>
    <w:p>
      <w:pPr>
        <w:pStyle w:val="673"/>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672"/>
        <w:jc w:val="center"/>
        <w:spacing w:before="145" w:after="145"/>
        <w:rPr>
          <w:rFonts w:hint="eastAsia" w:ascii="宋体" w:hAnsi="宋体"/>
          <w:b/>
          <w:sz w:val="30"/>
        </w:rPr>
        <w:outlineLvl w:val="0"/>
      </w:pPr>
      <w:r/>
      <w:bookmarkStart w:id="181" w:name="_Toc16938559"/>
      <w:r/>
      <w:bookmarkStart w:id="182" w:name="_Toc513029243"/>
      <w:r/>
      <w:bookmarkStart w:id="183" w:name="_Toc20823315"/>
      <w:r>
        <w:rPr>
          <w:rFonts w:hint="eastAsia" w:ascii="宋体" w:hAnsi="宋体"/>
          <w:b/>
          <w:sz w:val="30"/>
        </w:rPr>
      </w:r>
      <w:r/>
    </w:p>
    <w:p>
      <w:pPr>
        <w:pStyle w:val="672"/>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672"/>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672"/>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672"/>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71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710"/>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71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1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1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1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10"/>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10"/>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1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1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710"/>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10"/>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10"/>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71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1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10"/>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1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1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1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10"/>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710"/>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710"/>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10"/>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710"/>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710"/>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710"/>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672"/>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72"/>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72"/>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72"/>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1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672"/>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672"/>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672"/>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672"/>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72"/>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1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10"/>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1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1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1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1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1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71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1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1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1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1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1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1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1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1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1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71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10"/>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1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1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1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10"/>
        <w:jc w:val="center"/>
        <w:spacing w:before="120" w:after="120" w:line="0" w:lineRule="atLeast"/>
      </w:pPr>
      <w:r>
        <w:rPr>
          <w:rFonts w:hint="eastAsia"/>
        </w:rPr>
        <w:t xml:space="preserve">                                         </w:t>
      </w:r>
      <w:r/>
    </w:p>
    <w:p>
      <w:pPr>
        <w:pStyle w:val="710"/>
        <w:jc w:val="right"/>
        <w:spacing w:before="120" w:after="120" w:line="0" w:lineRule="atLeast"/>
        <w:rPr>
          <w:sz w:val="24"/>
          <w:szCs w:val="24"/>
        </w:rPr>
      </w:pPr>
      <w:r>
        <w:rPr>
          <w:rFonts w:hint="eastAsia"/>
          <w:sz w:val="24"/>
          <w:szCs w:val="24"/>
        </w:rPr>
        <w:t xml:space="preserve"> </w:t>
      </w:r>
      <w:r>
        <w:rPr>
          <w:sz w:val="24"/>
          <w:szCs w:val="24"/>
        </w:rPr>
      </w:r>
      <w:r/>
    </w:p>
    <w:p>
      <w:pPr>
        <w:pStyle w:val="710"/>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785"/>
        <w:jc w:val="left"/>
        <w:rPr>
          <w:rFonts w:hint="eastAsia" w:cs="Times New Roman"/>
        </w:rPr>
      </w:pPr>
      <w:r/>
      <w:bookmarkStart w:id="191" w:name="_Toc26554093"/>
      <w:r/>
      <w:bookmarkStart w:id="192" w:name="_Toc49090575"/>
      <w:r>
        <w:rPr>
          <w:rFonts w:hint="eastAsia" w:cs="Times New Roman"/>
        </w:rPr>
        <w:t xml:space="preserve">采购标的清单</w:t>
      </w:r>
      <w:r>
        <w:rPr>
          <w:rFonts w:hint="eastAsia" w:cs="Times New Roma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7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72"/>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672"/>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center"/>
            <w:textDirection w:val="lrTb"/>
            <w:noWrap w:val="false"/>
          </w:tcPr>
          <w:p>
            <w:pPr>
              <w:pStyle w:val="672"/>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672"/>
              <w:jc w:val="center"/>
              <w:spacing w:line="0" w:lineRule="atLeast"/>
              <w:tabs>
                <w:tab w:val="left" w:pos="2020" w:leader="none"/>
              </w:tabs>
              <w:rPr>
                <w:rFonts w:ascii="宋体" w:hAnsi="宋体"/>
                <w:sz w:val="24"/>
                <w:szCs w:val="24"/>
              </w:rPr>
            </w:pPr>
            <w:r>
              <w:rPr>
                <w:rFonts w:hint="eastAsia" w:ascii="宋体" w:hAnsi="宋体"/>
                <w:sz w:val="24"/>
                <w:szCs w:val="24"/>
              </w:rPr>
              <w:t xml:space="preserve">江苏省政府采购交易管理系统升级改造</w:t>
            </w:r>
            <w:r>
              <w:rPr>
                <w:rFonts w:ascii="宋体" w:hAnsi="宋体"/>
                <w:sz w:val="24"/>
                <w:szCs w:val="24"/>
              </w:rPr>
            </w:r>
            <w:r/>
          </w:p>
        </w:tc>
        <w:tc>
          <w:tcPr>
            <w:tcW w:w="2852" w:type="dxa"/>
            <w:vAlign w:val="center"/>
            <w:textDirection w:val="lrTb"/>
            <w:noWrap w:val="false"/>
          </w:tcPr>
          <w:p>
            <w:pPr>
              <w:pStyle w:val="672"/>
              <w:jc w:val="center"/>
              <w:spacing w:line="0" w:lineRule="atLeast"/>
              <w:rPr>
                <w:rFonts w:ascii="宋体" w:hAnsi="宋体"/>
                <w:sz w:val="24"/>
                <w:szCs w:val="24"/>
              </w:rPr>
            </w:pPr>
            <w:r>
              <w:rPr>
                <w:rFonts w:hint="eastAsia"/>
              </w:rPr>
              <w:t xml:space="preserve">软件和信息技术服务业</w:t>
            </w:r>
            <w:r>
              <w:rPr>
                <w:rFonts w:ascii="宋体" w:hAnsi="宋体"/>
                <w:sz w:val="24"/>
                <w:szCs w:val="24"/>
              </w:rPr>
            </w:r>
            <w:r/>
          </w:p>
        </w:tc>
      </w:tr>
    </w:tbl>
    <w:p>
      <w:pPr>
        <w:pStyle w:val="672"/>
        <w:spacing w:line="0" w:lineRule="atLeast"/>
        <w:rPr>
          <w:rFonts w:hint="eastAsia" w:ascii="宋体" w:hAnsi="宋体"/>
          <w:sz w:val="24"/>
          <w:szCs w:val="24"/>
          <w:highlight w:val="yellow"/>
        </w:rPr>
      </w:pPr>
      <w:r>
        <w:rPr>
          <w:rFonts w:hint="eastAsia" w:ascii="宋体" w:hAnsi="宋体"/>
          <w:sz w:val="24"/>
          <w:szCs w:val="24"/>
          <w:highlight w:val="yellow"/>
        </w:rPr>
      </w:r>
      <w:r/>
    </w:p>
    <w:p>
      <w:pPr>
        <w:pStyle w:val="672"/>
        <w:spacing w:line="0" w:lineRule="atLeast"/>
        <w:rPr>
          <w:rFonts w:ascii="宋体" w:hAnsi="宋体"/>
          <w:b/>
          <w:color w:val="000000"/>
          <w:sz w:val="24"/>
          <w:szCs w:val="24"/>
        </w:rPr>
      </w:pPr>
      <w:r>
        <w:rPr>
          <w:rFonts w:ascii="宋体" w:hAnsi="宋体"/>
          <w:b/>
          <w:color w:val="000000"/>
          <w:sz w:val="24"/>
          <w:szCs w:val="24"/>
        </w:rPr>
      </w:r>
      <w:r/>
    </w:p>
    <w:p>
      <w:pPr>
        <w:pStyle w:val="785"/>
        <w:jc w:val="left"/>
      </w:pPr>
      <w:r/>
      <w:bookmarkStart w:id="193" w:name="_Toc20207"/>
      <w:r/>
      <w:bookmarkStart w:id="194" w:name="_Toc1661796523"/>
      <w:r>
        <w:rPr>
          <w:rFonts w:hint="eastAsia"/>
        </w:rPr>
        <w:t xml:space="preserve">一、项目概况</w:t>
      </w:r>
      <w:bookmarkEnd w:id="193"/>
      <w:r/>
      <w:bookmarkEnd w:id="194"/>
      <w:r/>
      <w:r/>
    </w:p>
    <w:p>
      <w:pPr>
        <w:pStyle w:val="672"/>
        <w:ind w:firstLine="480"/>
        <w:spacing w:line="360" w:lineRule="auto"/>
        <w:rPr>
          <w:rFonts w:ascii="宋体" w:hAnsi="宋体"/>
          <w:sz w:val="24"/>
        </w:rPr>
      </w:pPr>
      <w:r>
        <w:rPr>
          <w:rFonts w:hint="eastAsia" w:ascii="宋体" w:hAnsi="宋体"/>
          <w:sz w:val="24"/>
        </w:rPr>
        <w:t xml:space="preserve">江苏省财政厅针对江苏省政府采购交易管理系统（“苏采云”系统）进行功能升级改造和优化，涵盖：</w:t>
      </w:r>
      <w:bookmarkStart w:id="195" w:name="_Hlk212651395"/>
      <w:r>
        <w:rPr>
          <w:rFonts w:hint="eastAsia" w:ascii="宋体" w:hAnsi="宋体"/>
          <w:sz w:val="24"/>
        </w:rPr>
        <w:t xml:space="preserve">自贸区开放单一来源成交公告理由公开功能</w:t>
      </w:r>
      <w:bookmarkEnd w:id="195"/>
      <w:r>
        <w:rPr>
          <w:rFonts w:hint="eastAsia" w:ascii="宋体" w:hAnsi="宋体"/>
          <w:sz w:val="24"/>
        </w:rPr>
        <w:t xml:space="preserve">、规范线上线下评标项目中标供应商选定流程、细化合同备案并强化资金支付监测等内容，以提升政府采购规范性与监管效能。</w:t>
      </w:r>
      <w:r>
        <w:rPr>
          <w:rFonts w:ascii="宋体" w:hAnsi="宋体"/>
          <w:sz w:val="24"/>
        </w:rPr>
      </w:r>
      <w:r/>
    </w:p>
    <w:p>
      <w:pPr>
        <w:pStyle w:val="785"/>
        <w:jc w:val="left"/>
      </w:pPr>
      <w:r>
        <w:rPr>
          <w:rFonts w:hint="eastAsia"/>
        </w:rPr>
        <w:t xml:space="preserve">二、项目建设周期</w:t>
      </w:r>
      <w:r/>
    </w:p>
    <w:p>
      <w:pPr>
        <w:pStyle w:val="672"/>
        <w:ind w:firstLine="480"/>
        <w:spacing w:line="360" w:lineRule="auto"/>
        <w:rPr>
          <w:rFonts w:ascii="宋体" w:hAnsi="宋体"/>
          <w:sz w:val="24"/>
        </w:rPr>
      </w:pPr>
      <w:r/>
      <w:bookmarkStart w:id="196" w:name="OLE_LINK2"/>
      <w:r>
        <w:rPr>
          <w:rFonts w:hint="eastAsia" w:ascii="宋体" w:hAnsi="宋体"/>
          <w:sz w:val="24"/>
        </w:rPr>
        <w:t xml:space="preserve">1、项目建设周期：合同签订后两个月内完成系统上线运行</w:t>
      </w:r>
      <w:bookmarkStart w:id="197" w:name="_Hlk212651336"/>
      <w:r>
        <w:rPr>
          <w:rFonts w:hint="eastAsia" w:ascii="宋体" w:hAnsi="宋体"/>
          <w:sz w:val="24"/>
        </w:rPr>
        <w:t xml:space="preserve">。</w:t>
      </w:r>
      <w:bookmarkEnd w:id="197"/>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2、项目建设期内完成全部建设内容的开发、部署、测试、实施、上线、培训等工作。</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3、完成系统上线并通过项目验收后，提供一年免费运维。</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4、完成系统上线并通过项目验收后，提供两年质保期。</w:t>
      </w:r>
      <w:bookmarkEnd w:id="196"/>
      <w:r>
        <w:rPr>
          <w:rFonts w:ascii="宋体" w:hAnsi="宋体"/>
          <w:sz w:val="24"/>
        </w:rPr>
      </w:r>
      <w:r/>
    </w:p>
    <w:p>
      <w:pPr>
        <w:pStyle w:val="785"/>
        <w:jc w:val="left"/>
      </w:pPr>
      <w:r>
        <w:rPr>
          <w:rFonts w:hint="eastAsia"/>
        </w:rPr>
        <w:t xml:space="preserve">三、预算</w:t>
      </w:r>
      <w:r/>
    </w:p>
    <w:p>
      <w:pPr>
        <w:pStyle w:val="672"/>
        <w:ind w:firstLine="480"/>
        <w:spacing w:line="360" w:lineRule="auto"/>
        <w:rPr>
          <w:rFonts w:ascii="宋体" w:hAnsi="宋体"/>
          <w:sz w:val="24"/>
        </w:rPr>
      </w:pPr>
      <w:r>
        <w:rPr>
          <w:rFonts w:hint="eastAsia" w:ascii="宋体" w:hAnsi="宋体"/>
          <w:sz w:val="24"/>
        </w:rPr>
        <w:t xml:space="preserve">预算：22万元。</w:t>
      </w:r>
      <w:r>
        <w:rPr>
          <w:rFonts w:ascii="宋体" w:hAnsi="宋体"/>
          <w:sz w:val="24"/>
        </w:rPr>
      </w:r>
      <w:r/>
    </w:p>
    <w:p>
      <w:pPr>
        <w:pStyle w:val="785"/>
        <w:jc w:val="left"/>
      </w:pPr>
      <w:r>
        <w:rPr>
          <w:rFonts w:hint="eastAsia"/>
        </w:rPr>
        <w:t xml:space="preserve">四、项目建设内容</w:t>
      </w:r>
      <w:r/>
    </w:p>
    <w:p>
      <w:pPr>
        <w:pStyle w:val="786"/>
        <w:jc w:val="left"/>
      </w:pPr>
      <w:r>
        <w:rPr>
          <w:rFonts w:hint="eastAsia"/>
        </w:rPr>
        <w:t xml:space="preserve">（一）业务功能要求</w:t>
      </w:r>
      <w:r/>
    </w:p>
    <w:p>
      <w:pPr>
        <w:pStyle w:val="787"/>
        <w:ind w:firstLine="480"/>
        <w:jc w:val="left"/>
        <w:rPr>
          <w:i w:val="0"/>
          <w:iCs w:val="0"/>
          <w:color w:val="000000"/>
        </w:rPr>
        <w:outlineLvl w:val="2"/>
      </w:pPr>
      <w:r>
        <w:rPr>
          <w:rFonts w:hint="eastAsia"/>
          <w:i w:val="0"/>
          <w:iCs w:val="0"/>
          <w:color w:val="000000"/>
        </w:rPr>
        <w:t xml:space="preserve">1、自贸区开放单一来源成交公告理由公开功能</w:t>
      </w:r>
      <w:r>
        <w:rPr>
          <w:i w:val="0"/>
          <w:iCs w:val="0"/>
          <w:color w:val="000000"/>
        </w:rPr>
      </w:r>
      <w:r/>
    </w:p>
    <w:p>
      <w:pPr>
        <w:pStyle w:val="672"/>
        <w:ind w:firstLine="420"/>
        <w:jc w:val="left"/>
        <w:spacing w:line="360" w:lineRule="auto"/>
        <w:shd w:val="clear" w:color="auto" w:fill="ffffff"/>
        <w:widowControl/>
        <w:rPr>
          <w:rFonts w:ascii="宋体" w:hAnsi="宋体"/>
          <w:sz w:val="24"/>
          <w:szCs w:val="20"/>
        </w:rPr>
      </w:pPr>
      <w:r/>
      <w:bookmarkStart w:id="198" w:name="_Toc166950487"/>
      <w:r>
        <w:rPr>
          <w:rFonts w:hint="eastAsia" w:ascii="宋体" w:hAnsi="宋体"/>
          <w:sz w:val="24"/>
          <w:szCs w:val="20"/>
        </w:rPr>
        <w:t xml:space="preserve">根据国务院《关于做好自由贸易试验区对接国际高标准推进制度型开放试点措施复制推广工作的通知》(国函(2024]156号)和《省自贸办印发复制推广制度型开放试点措施工作指引的函》(苏自贸办函〔2025〕6号)“关于完善政府采购单一来源方式成交结果公告”的要求：对采用单一来源方式的采购项目，采购人在“苏采云”系统中公告成交结果时，应说明采用该方式的理由，并同中标(成交)公告一并公开。</w:t>
      </w:r>
      <w:bookmarkEnd w:id="198"/>
      <w:r>
        <w:rPr>
          <w:rFonts w:ascii="宋体" w:hAnsi="宋体"/>
          <w:sz w:val="24"/>
          <w:szCs w:val="20"/>
        </w:rPr>
      </w:r>
      <w:r/>
    </w:p>
    <w:p>
      <w:pPr>
        <w:pStyle w:val="672"/>
        <w:ind w:firstLine="480"/>
        <w:jc w:val="left"/>
        <w:spacing w:line="360" w:lineRule="auto"/>
        <w:shd w:val="clear" w:color="auto" w:fill="ffffff"/>
        <w:widowControl/>
        <w:rPr>
          <w:rFonts w:ascii="宋体" w:hAnsi="宋体"/>
          <w:sz w:val="24"/>
          <w:szCs w:val="20"/>
        </w:rPr>
      </w:pPr>
      <w:r>
        <w:rPr>
          <w:rFonts w:hint="eastAsia" w:ascii="宋体" w:hAnsi="宋体"/>
          <w:sz w:val="24"/>
          <w:szCs w:val="20"/>
        </w:rPr>
        <w:t xml:space="preserve">（1）单一来源理由选择：</w:t>
      </w:r>
      <w:r>
        <w:rPr>
          <w:rFonts w:ascii="宋体" w:hAnsi="宋体"/>
          <w:sz w:val="24"/>
          <w:szCs w:val="20"/>
        </w:rPr>
      </w:r>
      <w:r/>
    </w:p>
    <w:p>
      <w:pPr>
        <w:pStyle w:val="672"/>
        <w:ind w:firstLine="480"/>
        <w:jc w:val="left"/>
        <w:spacing w:line="360" w:lineRule="auto"/>
        <w:shd w:val="clear" w:color="auto" w:fill="ffffff"/>
        <w:widowControl/>
        <w:rPr>
          <w:rFonts w:ascii="宋体" w:hAnsi="宋体"/>
          <w:sz w:val="24"/>
          <w:szCs w:val="20"/>
        </w:rPr>
      </w:pPr>
      <w:r>
        <w:rPr>
          <w:rFonts w:ascii="宋体" w:hAnsi="宋体"/>
          <w:sz w:val="24"/>
          <w:szCs w:val="20"/>
        </w:rPr>
        <w:t xml:space="preserve">采购人</w:t>
      </w:r>
      <w:r>
        <w:rPr>
          <w:rFonts w:hint="eastAsia" w:ascii="宋体" w:hAnsi="宋体"/>
          <w:sz w:val="24"/>
          <w:szCs w:val="20"/>
        </w:rPr>
        <w:t xml:space="preserve">在成交公告发布前，应当按《中华人民共和国政府采购法》相关规定，在“苏采云”系统中填写使用单一来源采购方式的理由，并提供相关证明材料。</w:t>
      </w:r>
      <w:r>
        <w:rPr>
          <w:rFonts w:ascii="宋体" w:hAnsi="宋体"/>
          <w:sz w:val="24"/>
          <w:szCs w:val="20"/>
        </w:rPr>
      </w:r>
      <w:r/>
    </w:p>
    <w:p>
      <w:pPr>
        <w:pStyle w:val="672"/>
        <w:ind w:firstLine="480"/>
        <w:jc w:val="left"/>
        <w:spacing w:line="360" w:lineRule="auto"/>
        <w:shd w:val="clear" w:color="auto" w:fill="ffffff"/>
        <w:widowControl/>
        <w:rPr>
          <w:rFonts w:ascii="宋体" w:hAnsi="宋体"/>
          <w:sz w:val="24"/>
          <w:szCs w:val="20"/>
        </w:rPr>
      </w:pPr>
      <w:r>
        <w:rPr>
          <w:rFonts w:hint="eastAsia" w:ascii="宋体" w:hAnsi="宋体"/>
          <w:sz w:val="24"/>
          <w:szCs w:val="20"/>
        </w:rPr>
        <w:t xml:space="preserve">（2）</w:t>
      </w:r>
      <w:r>
        <w:rPr>
          <w:rFonts w:ascii="宋体" w:hAnsi="宋体"/>
          <w:sz w:val="24"/>
          <w:szCs w:val="20"/>
        </w:rPr>
        <w:t xml:space="preserve">成交公告编制</w:t>
      </w:r>
      <w:r>
        <w:rPr>
          <w:rFonts w:hint="eastAsia" w:ascii="宋体" w:hAnsi="宋体"/>
          <w:sz w:val="24"/>
          <w:szCs w:val="20"/>
        </w:rPr>
        <w:t xml:space="preserve">：</w:t>
      </w:r>
      <w:r>
        <w:rPr>
          <w:rFonts w:ascii="宋体" w:hAnsi="宋体"/>
          <w:sz w:val="24"/>
          <w:szCs w:val="20"/>
        </w:rPr>
      </w:r>
      <w:r/>
    </w:p>
    <w:p>
      <w:pPr>
        <w:pStyle w:val="672"/>
        <w:ind w:firstLine="480"/>
        <w:jc w:val="left"/>
        <w:spacing w:line="360" w:lineRule="auto"/>
        <w:shd w:val="clear" w:color="auto" w:fill="ffffff"/>
        <w:widowControl/>
        <w:rPr>
          <w:rFonts w:ascii="宋体" w:hAnsi="宋体"/>
          <w:sz w:val="24"/>
          <w:szCs w:val="20"/>
        </w:rPr>
      </w:pPr>
      <w:r>
        <w:rPr>
          <w:rFonts w:hint="eastAsia" w:ascii="宋体" w:hAnsi="宋体"/>
          <w:sz w:val="24"/>
          <w:szCs w:val="20"/>
        </w:rPr>
        <w:t xml:space="preserve">单</w:t>
      </w:r>
      <w:r>
        <w:rPr>
          <w:rFonts w:ascii="宋体" w:hAnsi="宋体"/>
          <w:sz w:val="24"/>
          <w:szCs w:val="20"/>
        </w:rPr>
        <w:t xml:space="preserve">一来源成交公告</w:t>
      </w:r>
      <w:r>
        <w:rPr>
          <w:rFonts w:hint="eastAsia" w:ascii="宋体" w:hAnsi="宋体"/>
          <w:sz w:val="24"/>
          <w:szCs w:val="20"/>
        </w:rPr>
        <w:t xml:space="preserve">中，增加</w:t>
      </w:r>
      <w:r>
        <w:rPr>
          <w:rFonts w:ascii="宋体" w:hAnsi="宋体"/>
          <w:sz w:val="24"/>
          <w:szCs w:val="20"/>
        </w:rPr>
        <w:t xml:space="preserve">采用单一来源采购方式的理由</w:t>
      </w:r>
      <w:r>
        <w:rPr>
          <w:rFonts w:hint="eastAsia" w:ascii="宋体" w:hAnsi="宋体"/>
          <w:sz w:val="24"/>
          <w:szCs w:val="20"/>
        </w:rPr>
        <w:t xml:space="preserve">显示，自动获取采购人填写内容，生成成交公告正文</w:t>
      </w:r>
      <w:r>
        <w:rPr>
          <w:rFonts w:ascii="宋体" w:hAnsi="宋体"/>
          <w:sz w:val="24"/>
          <w:szCs w:val="20"/>
        </w:rPr>
        <w:t xml:space="preserve">，</w:t>
      </w:r>
      <w:r>
        <w:rPr>
          <w:rFonts w:hint="eastAsia" w:ascii="宋体" w:hAnsi="宋体"/>
          <w:sz w:val="24"/>
          <w:szCs w:val="20"/>
        </w:rPr>
        <w:t xml:space="preserve">向社会公开。</w:t>
      </w:r>
      <w:r>
        <w:rPr>
          <w:rFonts w:ascii="宋体" w:hAnsi="宋体"/>
          <w:sz w:val="24"/>
          <w:szCs w:val="20"/>
        </w:rPr>
      </w:r>
      <w:r/>
    </w:p>
    <w:p>
      <w:pPr>
        <w:pStyle w:val="672"/>
        <w:ind w:left="480"/>
        <w:jc w:val="left"/>
        <w:spacing w:line="360" w:lineRule="auto"/>
        <w:shd w:val="clear" w:color="auto" w:fill="ffffff"/>
        <w:widowControl/>
        <w:rPr>
          <w:rFonts w:ascii="宋体" w:hAnsi="宋体"/>
          <w:sz w:val="24"/>
          <w:szCs w:val="20"/>
        </w:rPr>
      </w:pPr>
      <w:r>
        <w:rPr>
          <w:rFonts w:hint="eastAsia" w:ascii="宋体" w:hAnsi="宋体"/>
          <w:sz w:val="24"/>
          <w:szCs w:val="20"/>
        </w:rPr>
        <w:t xml:space="preserve">（3）</w:t>
      </w:r>
      <w:r>
        <w:rPr>
          <w:rFonts w:ascii="宋体" w:hAnsi="宋体"/>
          <w:sz w:val="24"/>
          <w:szCs w:val="20"/>
        </w:rPr>
        <w:t xml:space="preserve">系统配置</w:t>
      </w:r>
      <w:r>
        <w:rPr>
          <w:rFonts w:hint="eastAsia" w:ascii="宋体" w:hAnsi="宋体"/>
          <w:sz w:val="24"/>
          <w:szCs w:val="20"/>
        </w:rPr>
        <w:t xml:space="preserve">：</w:t>
      </w:r>
      <w:r>
        <w:rPr>
          <w:rFonts w:ascii="宋体" w:hAnsi="宋体"/>
          <w:sz w:val="24"/>
          <w:szCs w:val="20"/>
        </w:rPr>
      </w:r>
      <w:r/>
    </w:p>
    <w:p>
      <w:pPr>
        <w:pStyle w:val="672"/>
        <w:ind w:left="480"/>
        <w:jc w:val="left"/>
        <w:spacing w:line="360" w:lineRule="auto"/>
        <w:shd w:val="clear" w:color="auto" w:fill="ffffff"/>
        <w:widowControl/>
        <w:rPr>
          <w:rFonts w:ascii="宋体" w:hAnsi="宋体"/>
          <w:sz w:val="24"/>
          <w:szCs w:val="20"/>
        </w:rPr>
      </w:pPr>
      <w:r>
        <w:rPr>
          <w:rFonts w:hint="eastAsia" w:ascii="宋体" w:hAnsi="宋体"/>
          <w:sz w:val="24"/>
          <w:szCs w:val="20"/>
        </w:rPr>
        <w:t xml:space="preserve">该</w:t>
      </w:r>
      <w:r>
        <w:rPr>
          <w:rFonts w:ascii="宋体" w:hAnsi="宋体"/>
          <w:sz w:val="24"/>
          <w:szCs w:val="20"/>
        </w:rPr>
        <w:t xml:space="preserve">功能只面向江苏省自贸区开通，其他地区</w:t>
      </w:r>
      <w:r>
        <w:rPr>
          <w:rFonts w:hint="eastAsia" w:ascii="宋体" w:hAnsi="宋体"/>
          <w:sz w:val="24"/>
          <w:szCs w:val="20"/>
        </w:rPr>
        <w:t xml:space="preserve">暂不</w:t>
      </w:r>
      <w:r>
        <w:rPr>
          <w:rFonts w:ascii="宋体" w:hAnsi="宋体"/>
          <w:sz w:val="24"/>
          <w:szCs w:val="20"/>
        </w:rPr>
        <w:t xml:space="preserve">开通。</w:t>
      </w:r>
      <w:r>
        <w:rPr>
          <w:rFonts w:ascii="宋体" w:hAnsi="宋体"/>
          <w:sz w:val="24"/>
          <w:szCs w:val="20"/>
        </w:rPr>
      </w:r>
      <w:r/>
    </w:p>
    <w:p>
      <w:pPr>
        <w:pStyle w:val="787"/>
        <w:ind w:firstLine="480"/>
        <w:jc w:val="left"/>
        <w:rPr>
          <w:i w:val="0"/>
          <w:iCs w:val="0"/>
          <w:color w:val="000000"/>
        </w:rPr>
        <w:outlineLvl w:val="2"/>
      </w:pPr>
      <w:r>
        <w:rPr>
          <w:rFonts w:hint="eastAsia"/>
          <w:i w:val="0"/>
          <w:iCs w:val="0"/>
          <w:color w:val="000000"/>
        </w:rPr>
        <w:t xml:space="preserve">2、中标供应商选定</w:t>
      </w:r>
      <w:r>
        <w:rPr>
          <w:i w:val="0"/>
          <w:iCs w:val="0"/>
          <w:color w:val="000000"/>
        </w:rPr>
      </w:r>
      <w:r/>
    </w:p>
    <w:p>
      <w:pPr>
        <w:pStyle w:val="672"/>
        <w:ind w:firstLine="480"/>
        <w:jc w:val="left"/>
        <w:spacing w:line="360" w:lineRule="auto"/>
        <w:shd w:val="clear" w:color="auto" w:fill="ffffff"/>
        <w:widowControl/>
        <w:rPr>
          <w:rFonts w:ascii="宋体" w:hAnsi="宋体"/>
          <w:sz w:val="24"/>
          <w:szCs w:val="20"/>
        </w:rPr>
      </w:pPr>
      <w:r>
        <w:rPr>
          <w:rFonts w:ascii="宋体" w:hAnsi="宋体"/>
          <w:sz w:val="24"/>
          <w:szCs w:val="20"/>
        </w:rPr>
        <w:t xml:space="preserve">根据《政府采购货物和服务招标投标管理办法》第五章第六十八条的要求：“采购人应当在评标报告确定的中标候选人名单中按顺序确定中标人。”</w:t>
      </w:r>
      <w:r>
        <w:rPr>
          <w:rFonts w:hint="eastAsia" w:ascii="宋体" w:hAnsi="宋体"/>
          <w:sz w:val="24"/>
          <w:szCs w:val="20"/>
        </w:rPr>
        <w:t xml:space="preserve">按文件要求：由评标委员会选中至多3名候选人提交给采购人，由采购人确定中标供应商。</w:t>
      </w:r>
      <w:r>
        <w:rPr>
          <w:rFonts w:ascii="宋体" w:hAnsi="宋体"/>
          <w:sz w:val="24"/>
          <w:szCs w:val="20"/>
        </w:rPr>
      </w:r>
      <w:r/>
    </w:p>
    <w:p>
      <w:pPr>
        <w:pStyle w:val="672"/>
        <w:ind w:firstLine="480"/>
        <w:jc w:val="left"/>
        <w:spacing w:line="360" w:lineRule="auto"/>
        <w:shd w:val="clear" w:color="auto" w:fill="ffffff"/>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线上评标项目</w:t>
      </w:r>
      <w:r>
        <w:rPr>
          <w:rFonts w:hint="eastAsia" w:ascii="宋体" w:hAnsi="宋体"/>
          <w:sz w:val="24"/>
          <w:szCs w:val="20"/>
        </w:rPr>
        <w:t xml:space="preserve">：</w:t>
      </w:r>
      <w:r>
        <w:rPr>
          <w:rFonts w:ascii="宋体" w:hAnsi="宋体"/>
          <w:sz w:val="24"/>
          <w:szCs w:val="20"/>
        </w:rPr>
      </w:r>
      <w:r/>
    </w:p>
    <w:p>
      <w:pPr>
        <w:pStyle w:val="672"/>
        <w:ind w:firstLine="480"/>
        <w:jc w:val="left"/>
        <w:spacing w:line="360" w:lineRule="auto"/>
        <w:shd w:val="clear" w:color="auto" w:fill="ffffff"/>
        <w:widowControl/>
        <w:rPr>
          <w:rFonts w:ascii="宋体" w:hAnsi="宋体"/>
          <w:sz w:val="24"/>
          <w:szCs w:val="20"/>
        </w:rPr>
      </w:pPr>
      <w:r>
        <w:rPr>
          <w:rFonts w:ascii="宋体" w:hAnsi="宋体"/>
          <w:sz w:val="24"/>
          <w:szCs w:val="20"/>
        </w:rPr>
        <w:t xml:space="preserve">在评标流程中，由组长或经办人</w:t>
      </w:r>
      <w:r>
        <w:rPr>
          <w:rFonts w:hint="eastAsia" w:ascii="宋体" w:hAnsi="宋体"/>
          <w:sz w:val="24"/>
          <w:szCs w:val="20"/>
        </w:rPr>
        <w:t xml:space="preserve">按评审结果确定</w:t>
      </w:r>
      <w:r>
        <w:rPr>
          <w:rFonts w:ascii="宋体" w:hAnsi="宋体"/>
          <w:sz w:val="24"/>
          <w:szCs w:val="20"/>
        </w:rPr>
        <w:t xml:space="preserve">中标候选人，</w:t>
      </w:r>
      <w:r>
        <w:rPr>
          <w:rFonts w:hint="eastAsia" w:ascii="宋体" w:hAnsi="宋体"/>
          <w:sz w:val="24"/>
          <w:szCs w:val="20"/>
        </w:rPr>
        <w:t xml:space="preserve">待</w:t>
      </w:r>
      <w:r>
        <w:rPr>
          <w:rFonts w:ascii="宋体" w:hAnsi="宋体"/>
          <w:sz w:val="24"/>
          <w:szCs w:val="20"/>
        </w:rPr>
        <w:t xml:space="preserve">结束评审后，候选人名单自动推送至采购单位，由采购单位选定中标人</w:t>
      </w:r>
      <w:r>
        <w:rPr>
          <w:rFonts w:hint="eastAsia" w:ascii="宋体" w:hAnsi="宋体"/>
          <w:sz w:val="24"/>
          <w:szCs w:val="20"/>
        </w:rPr>
        <w:t xml:space="preserve">并确认</w:t>
      </w:r>
      <w:r>
        <w:rPr>
          <w:rFonts w:ascii="宋体" w:hAnsi="宋体"/>
          <w:sz w:val="24"/>
          <w:szCs w:val="20"/>
        </w:rPr>
        <w:t xml:space="preserve">采购结果</w:t>
      </w:r>
      <w:r>
        <w:rPr>
          <w:rFonts w:hint="eastAsia" w:ascii="宋体" w:hAnsi="宋体"/>
          <w:sz w:val="24"/>
          <w:szCs w:val="20"/>
        </w:rPr>
        <w:t xml:space="preserve">。</w:t>
      </w:r>
      <w:r>
        <w:rPr>
          <w:rFonts w:ascii="宋体" w:hAnsi="宋体"/>
          <w:sz w:val="24"/>
          <w:szCs w:val="20"/>
        </w:rPr>
      </w:r>
      <w:r/>
    </w:p>
    <w:p>
      <w:pPr>
        <w:pStyle w:val="672"/>
        <w:ind w:firstLine="480"/>
        <w:jc w:val="left"/>
        <w:spacing w:line="360" w:lineRule="auto"/>
        <w:shd w:val="clear" w:color="auto" w:fill="ffffff"/>
        <w:widowControl/>
        <w:rPr>
          <w:rFonts w:ascii="宋体" w:hAnsi="宋体"/>
          <w:sz w:val="24"/>
          <w:szCs w:val="20"/>
        </w:rPr>
      </w:pPr>
      <w:r>
        <w:rPr>
          <w:rFonts w:ascii="宋体" w:hAnsi="宋体"/>
          <w:sz w:val="24"/>
          <w:szCs w:val="20"/>
        </w:rPr>
        <w:t xml:space="preserve">采购单位提交确认结果后</w:t>
      </w:r>
      <w:r>
        <w:rPr>
          <w:rFonts w:hint="eastAsia" w:ascii="宋体" w:hAnsi="宋体"/>
          <w:sz w:val="24"/>
          <w:szCs w:val="20"/>
        </w:rPr>
        <w:t xml:space="preserve">，</w:t>
      </w:r>
      <w:r>
        <w:rPr>
          <w:rFonts w:ascii="宋体" w:hAnsi="宋体"/>
          <w:sz w:val="24"/>
          <w:szCs w:val="20"/>
        </w:rPr>
        <w:t xml:space="preserve">代理机构经办人</w:t>
      </w:r>
      <w:r>
        <w:rPr>
          <w:rFonts w:hint="eastAsia" w:ascii="宋体" w:hAnsi="宋体"/>
          <w:sz w:val="24"/>
          <w:szCs w:val="20"/>
        </w:rPr>
        <w:t xml:space="preserve">不可</w:t>
      </w:r>
      <w:r>
        <w:rPr>
          <w:rFonts w:ascii="宋体" w:hAnsi="宋体"/>
          <w:sz w:val="24"/>
          <w:szCs w:val="20"/>
        </w:rPr>
        <w:t xml:space="preserve">修改中标供应商名单，仅可对供应商信息进行维护</w:t>
      </w:r>
      <w:r>
        <w:rPr>
          <w:rFonts w:hint="eastAsia" w:ascii="宋体" w:hAnsi="宋体"/>
          <w:sz w:val="24"/>
          <w:szCs w:val="20"/>
        </w:rPr>
        <w:t xml:space="preserve">，完成后进行</w:t>
      </w:r>
      <w:r>
        <w:rPr>
          <w:rFonts w:ascii="宋体" w:hAnsi="宋体"/>
          <w:sz w:val="24"/>
          <w:szCs w:val="20"/>
        </w:rPr>
        <w:t xml:space="preserve">【结果公告编制】。</w:t>
      </w:r>
      <w:r>
        <w:rPr>
          <w:rFonts w:ascii="宋体" w:hAnsi="宋体"/>
          <w:sz w:val="24"/>
          <w:szCs w:val="20"/>
        </w:rPr>
      </w:r>
      <w:r/>
    </w:p>
    <w:p>
      <w:pPr>
        <w:pStyle w:val="672"/>
        <w:ind w:firstLine="480"/>
        <w:jc w:val="left"/>
        <w:spacing w:line="360" w:lineRule="auto"/>
        <w:shd w:val="clear" w:color="auto" w:fill="ffffff"/>
        <w:widowControl/>
        <w:rPr>
          <w:rFonts w:ascii="宋体" w:hAnsi="宋体"/>
          <w:sz w:val="24"/>
          <w:szCs w:val="20"/>
        </w:rPr>
      </w:pPr>
      <w:r>
        <w:rPr>
          <w:rFonts w:hint="eastAsia" w:ascii="宋体" w:hAnsi="宋体"/>
          <w:sz w:val="24"/>
          <w:szCs w:val="20"/>
        </w:rPr>
        <w:t xml:space="preserve">（2）</w:t>
      </w:r>
      <w:r>
        <w:rPr>
          <w:rFonts w:ascii="宋体" w:hAnsi="宋体"/>
          <w:sz w:val="24"/>
          <w:szCs w:val="20"/>
        </w:rPr>
        <w:t xml:space="preserve">线下评审项目</w:t>
      </w:r>
      <w:r>
        <w:rPr>
          <w:rFonts w:hint="eastAsia" w:ascii="宋体" w:hAnsi="宋体"/>
          <w:sz w:val="24"/>
          <w:szCs w:val="20"/>
        </w:rPr>
        <w:t xml:space="preserve">：</w:t>
      </w:r>
      <w:r>
        <w:rPr>
          <w:rFonts w:ascii="宋体" w:hAnsi="宋体"/>
          <w:sz w:val="24"/>
          <w:szCs w:val="20"/>
        </w:rPr>
      </w:r>
      <w:r/>
    </w:p>
    <w:p>
      <w:pPr>
        <w:pStyle w:val="672"/>
        <w:ind w:firstLine="480"/>
        <w:jc w:val="left"/>
        <w:spacing w:line="360" w:lineRule="auto"/>
        <w:shd w:val="clear" w:color="auto" w:fill="ffffff"/>
        <w:widowControl/>
        <w:rPr>
          <w:rFonts w:ascii="宋体" w:hAnsi="宋体"/>
          <w:sz w:val="24"/>
          <w:szCs w:val="20"/>
        </w:rPr>
      </w:pPr>
      <w:r>
        <w:rPr>
          <w:rFonts w:ascii="宋体" w:hAnsi="宋体"/>
          <w:sz w:val="24"/>
          <w:szCs w:val="20"/>
        </w:rPr>
        <w:t xml:space="preserve">针对线下评标项目，</w:t>
      </w:r>
      <w:r>
        <w:rPr>
          <w:rFonts w:hint="eastAsia" w:ascii="宋体" w:hAnsi="宋体"/>
          <w:sz w:val="24"/>
          <w:szCs w:val="20"/>
        </w:rPr>
        <w:t xml:space="preserve">由代理机构</w:t>
      </w:r>
      <w:r>
        <w:rPr>
          <w:rFonts w:ascii="宋体" w:hAnsi="宋体"/>
          <w:sz w:val="24"/>
          <w:szCs w:val="20"/>
        </w:rPr>
        <w:t xml:space="preserve">经办人</w:t>
      </w:r>
      <w:r>
        <w:rPr>
          <w:rFonts w:hint="eastAsia" w:ascii="宋体" w:hAnsi="宋体"/>
          <w:sz w:val="24"/>
          <w:szCs w:val="20"/>
        </w:rPr>
        <w:t xml:space="preserve">维护</w:t>
      </w:r>
      <w:r>
        <w:rPr>
          <w:rFonts w:ascii="宋体" w:hAnsi="宋体"/>
          <w:sz w:val="24"/>
          <w:szCs w:val="20"/>
        </w:rPr>
        <w:t xml:space="preserve">中标候选人清单</w:t>
      </w:r>
      <w:r>
        <w:rPr>
          <w:rFonts w:hint="eastAsia" w:ascii="宋体" w:hAnsi="宋体"/>
          <w:sz w:val="24"/>
          <w:szCs w:val="20"/>
        </w:rPr>
        <w:t xml:space="preserve">，提交</w:t>
      </w:r>
      <w:r>
        <w:rPr>
          <w:rFonts w:ascii="宋体" w:hAnsi="宋体"/>
          <w:sz w:val="24"/>
          <w:szCs w:val="20"/>
        </w:rPr>
        <w:t xml:space="preserve">采购单位进行中标人选定，选定完成后</w:t>
      </w:r>
      <w:r>
        <w:rPr>
          <w:rFonts w:hint="eastAsia" w:ascii="宋体" w:hAnsi="宋体"/>
          <w:sz w:val="24"/>
          <w:szCs w:val="20"/>
        </w:rPr>
        <w:t xml:space="preserve">提交给代理机构</w:t>
      </w:r>
      <w:r>
        <w:rPr>
          <w:rFonts w:ascii="宋体" w:hAnsi="宋体"/>
          <w:sz w:val="24"/>
          <w:szCs w:val="20"/>
        </w:rPr>
        <w:t xml:space="preserve">经办人进行【结果公告编制】。</w:t>
      </w:r>
      <w:r>
        <w:rPr>
          <w:rFonts w:ascii="宋体" w:hAnsi="宋体"/>
          <w:sz w:val="24"/>
          <w:szCs w:val="20"/>
        </w:rPr>
      </w:r>
      <w:r/>
    </w:p>
    <w:p>
      <w:pPr>
        <w:pStyle w:val="787"/>
        <w:ind w:firstLine="480"/>
        <w:jc w:val="left"/>
        <w:rPr>
          <w:i w:val="0"/>
          <w:iCs w:val="0"/>
          <w:color w:val="000000"/>
        </w:rPr>
        <w:outlineLvl w:val="2"/>
      </w:pPr>
      <w:r>
        <w:rPr>
          <w:rFonts w:hint="eastAsia"/>
          <w:i w:val="0"/>
          <w:iCs w:val="0"/>
          <w:color w:val="000000"/>
        </w:rPr>
        <w:t xml:space="preserve">3、</w:t>
      </w:r>
      <w:r>
        <w:rPr>
          <w:i w:val="0"/>
          <w:iCs w:val="0"/>
          <w:color w:val="000000"/>
        </w:rPr>
        <w:t xml:space="preserve">完善政府采购项目资金支付监测</w:t>
      </w:r>
      <w:r>
        <w:rPr>
          <w:i w:val="0"/>
          <w:iCs w:val="0"/>
          <w:color w:val="000000"/>
        </w:rPr>
      </w:r>
      <w:r/>
    </w:p>
    <w:p>
      <w:pPr>
        <w:pStyle w:val="672"/>
        <w:ind w:firstLine="480"/>
        <w:jc w:val="left"/>
        <w:spacing w:line="360" w:lineRule="auto"/>
        <w:shd w:val="clear" w:color="auto" w:fill="ffffff"/>
        <w:widowControl/>
        <w:rPr>
          <w:rFonts w:ascii="宋体" w:hAnsi="宋体"/>
          <w:sz w:val="24"/>
          <w:szCs w:val="20"/>
        </w:rPr>
      </w:pPr>
      <w:r>
        <w:rPr>
          <w:rFonts w:ascii="宋体" w:hAnsi="宋体"/>
          <w:sz w:val="24"/>
          <w:szCs w:val="20"/>
        </w:rPr>
        <w:t xml:space="preserve">根据财政部要求，为预防拖欠企业账款问题发生，</w:t>
      </w:r>
      <w:r>
        <w:rPr>
          <w:rFonts w:hint="eastAsia" w:ascii="宋体" w:hAnsi="宋体"/>
          <w:sz w:val="24"/>
          <w:szCs w:val="20"/>
        </w:rPr>
        <w:t xml:space="preserve">需</w:t>
      </w:r>
      <w:r>
        <w:rPr>
          <w:rFonts w:ascii="宋体" w:hAnsi="宋体"/>
          <w:sz w:val="24"/>
          <w:szCs w:val="20"/>
        </w:rPr>
        <w:t xml:space="preserve">完善</w:t>
      </w:r>
      <w:r>
        <w:rPr>
          <w:rFonts w:hint="eastAsia" w:ascii="宋体" w:hAnsi="宋体"/>
          <w:sz w:val="24"/>
          <w:szCs w:val="20"/>
        </w:rPr>
        <w:t xml:space="preserve">预算管理一体化系统和</w:t>
      </w:r>
      <w:r>
        <w:rPr>
          <w:rFonts w:ascii="宋体" w:hAnsi="宋体"/>
          <w:sz w:val="24"/>
          <w:szCs w:val="20"/>
        </w:rPr>
        <w:t xml:space="preserve">“苏采云”系统相关功能，提升对政府采购项目资金支付的监测能力。</w:t>
      </w:r>
      <w:r>
        <w:rPr>
          <w:rFonts w:ascii="宋体" w:hAnsi="宋体"/>
          <w:sz w:val="24"/>
          <w:szCs w:val="20"/>
        </w:rPr>
      </w:r>
      <w:r/>
    </w:p>
    <w:p>
      <w:pPr>
        <w:pStyle w:val="672"/>
        <w:ind w:firstLine="480"/>
        <w:jc w:val="left"/>
        <w:spacing w:line="360" w:lineRule="auto"/>
        <w:shd w:val="clear" w:color="auto" w:fill="ffffff"/>
        <w:widowControl/>
        <w:rPr>
          <w:rFonts w:ascii="宋体" w:hAnsi="宋体"/>
          <w:sz w:val="24"/>
          <w:szCs w:val="20"/>
        </w:rPr>
      </w:pPr>
      <w:r>
        <w:rPr>
          <w:rFonts w:ascii="宋体" w:hAnsi="宋体"/>
          <w:sz w:val="24"/>
          <w:szCs w:val="20"/>
        </w:rPr>
        <w:t xml:space="preserve">具体需求如下：</w:t>
      </w:r>
      <w:r>
        <w:rPr>
          <w:rFonts w:ascii="宋体" w:hAnsi="宋体"/>
          <w:sz w:val="24"/>
          <w:szCs w:val="20"/>
        </w:rPr>
      </w:r>
      <w:r/>
    </w:p>
    <w:p>
      <w:pPr>
        <w:pStyle w:val="672"/>
        <w:ind w:firstLine="420"/>
        <w:jc w:val="left"/>
        <w:spacing w:line="360" w:lineRule="auto"/>
        <w:shd w:val="clear" w:color="auto" w:fill="ffffff"/>
        <w:widowControl/>
        <w:rPr>
          <w:rFonts w:ascii="宋体" w:hAnsi="宋体"/>
          <w:sz w:val="24"/>
          <w:szCs w:val="20"/>
        </w:rPr>
      </w:pPr>
      <w:r>
        <w:rPr>
          <w:rFonts w:hint="eastAsia" w:ascii="宋体" w:hAnsi="宋体"/>
          <w:sz w:val="24"/>
          <w:szCs w:val="20"/>
        </w:rPr>
        <w:t xml:space="preserve">（1）细化采购合同备案：</w:t>
      </w:r>
      <w:r>
        <w:rPr>
          <w:rFonts w:ascii="宋体" w:hAnsi="宋体"/>
          <w:sz w:val="24"/>
          <w:szCs w:val="20"/>
        </w:rPr>
      </w:r>
      <w:r/>
    </w:p>
    <w:p>
      <w:pPr>
        <w:pStyle w:val="672"/>
        <w:ind w:firstLine="420"/>
        <w:jc w:val="left"/>
        <w:spacing w:line="360" w:lineRule="auto"/>
        <w:shd w:val="clear" w:color="auto" w:fill="ffffff"/>
        <w:widowControl/>
        <w:rPr>
          <w:rFonts w:ascii="宋体" w:hAnsi="宋体"/>
          <w:sz w:val="24"/>
          <w:szCs w:val="20"/>
        </w:rPr>
      </w:pPr>
      <w:r>
        <w:rPr>
          <w:rFonts w:ascii="宋体" w:hAnsi="宋体"/>
          <w:sz w:val="24"/>
          <w:szCs w:val="20"/>
        </w:rPr>
        <w:t xml:space="preserve">在“苏采云”系统政府</w:t>
      </w:r>
      <w:r>
        <w:rPr>
          <w:rFonts w:hint="eastAsia" w:ascii="宋体" w:hAnsi="宋体"/>
          <w:sz w:val="24"/>
          <w:szCs w:val="20"/>
        </w:rPr>
        <w:t xml:space="preserve">采购</w:t>
      </w:r>
      <w:r>
        <w:rPr>
          <w:rFonts w:ascii="宋体" w:hAnsi="宋体"/>
          <w:sz w:val="24"/>
          <w:szCs w:val="20"/>
        </w:rPr>
        <w:t xml:space="preserve">合同备案界面，增加采购人录入供应商名称及规模、约定付款时间(条件)等涉及资金支付的关键信息。</w:t>
      </w:r>
      <w:r>
        <w:rPr>
          <w:rFonts w:ascii="宋体" w:hAnsi="宋体"/>
          <w:sz w:val="24"/>
          <w:szCs w:val="20"/>
        </w:rPr>
      </w:r>
      <w:r/>
    </w:p>
    <w:p>
      <w:pPr>
        <w:pStyle w:val="672"/>
        <w:ind w:firstLine="420"/>
        <w:jc w:val="left"/>
        <w:spacing w:line="360" w:lineRule="auto"/>
        <w:shd w:val="clear" w:color="auto" w:fill="ffffff"/>
        <w:widowControl/>
        <w:rPr>
          <w:rFonts w:ascii="宋体" w:hAnsi="宋体"/>
          <w:sz w:val="24"/>
          <w:szCs w:val="20"/>
        </w:rPr>
      </w:pPr>
      <w:r>
        <w:rPr>
          <w:rFonts w:hint="eastAsia" w:ascii="宋体" w:hAnsi="宋体"/>
          <w:sz w:val="24"/>
          <w:szCs w:val="20"/>
        </w:rPr>
        <w:t xml:space="preserve">（2）全量推送政府采购支付信息：</w:t>
      </w:r>
      <w:r>
        <w:rPr>
          <w:rFonts w:ascii="宋体" w:hAnsi="宋体"/>
          <w:sz w:val="24"/>
          <w:szCs w:val="20"/>
        </w:rPr>
      </w:r>
      <w:r/>
    </w:p>
    <w:p>
      <w:pPr>
        <w:pStyle w:val="672"/>
        <w:ind w:firstLine="420"/>
        <w:jc w:val="left"/>
        <w:spacing w:line="360" w:lineRule="auto"/>
        <w:shd w:val="clear" w:color="auto" w:fill="ffffff"/>
        <w:widowControl/>
        <w:rPr>
          <w:rFonts w:ascii="宋体" w:hAnsi="宋体"/>
          <w:sz w:val="24"/>
          <w:szCs w:val="20"/>
        </w:rPr>
      </w:pPr>
      <w:r>
        <w:rPr>
          <w:rFonts w:ascii="宋体" w:hAnsi="宋体"/>
          <w:sz w:val="24"/>
          <w:szCs w:val="20"/>
        </w:rPr>
        <w:t xml:space="preserve">采购人在预算管理一体化系统执行板块完成支付后，系统即时将相关支付信息推送“苏采云”系统。</w:t>
      </w:r>
      <w:r>
        <w:rPr>
          <w:rFonts w:ascii="宋体" w:hAnsi="宋体"/>
          <w:sz w:val="24"/>
          <w:szCs w:val="20"/>
        </w:rPr>
      </w:r>
      <w:r/>
    </w:p>
    <w:p>
      <w:pPr>
        <w:pStyle w:val="672"/>
        <w:ind w:firstLine="420"/>
        <w:jc w:val="left"/>
        <w:spacing w:line="360" w:lineRule="auto"/>
        <w:shd w:val="clear" w:color="auto" w:fill="ffffff"/>
        <w:widowControl/>
        <w:rPr>
          <w:rFonts w:ascii="宋体" w:hAnsi="宋体"/>
          <w:sz w:val="24"/>
          <w:szCs w:val="20"/>
        </w:rPr>
      </w:pPr>
      <w:r>
        <w:rPr>
          <w:rFonts w:hint="eastAsia" w:ascii="宋体" w:hAnsi="宋体"/>
          <w:sz w:val="24"/>
          <w:szCs w:val="20"/>
        </w:rPr>
        <w:t xml:space="preserve">（3）增加未按时支付提示功能：</w:t>
      </w:r>
      <w:r>
        <w:rPr>
          <w:rFonts w:ascii="宋体" w:hAnsi="宋体"/>
          <w:sz w:val="24"/>
          <w:szCs w:val="20"/>
        </w:rPr>
      </w:r>
      <w:r/>
    </w:p>
    <w:p>
      <w:pPr>
        <w:pStyle w:val="672"/>
        <w:ind w:firstLine="420"/>
        <w:jc w:val="left"/>
        <w:spacing w:line="360" w:lineRule="auto"/>
        <w:shd w:val="clear" w:color="auto" w:fill="ffffff"/>
        <w:widowControl/>
        <w:rPr>
          <w:rFonts w:ascii="宋体" w:hAnsi="宋体"/>
          <w:sz w:val="24"/>
          <w:szCs w:val="20"/>
        </w:rPr>
      </w:pPr>
      <w:r>
        <w:rPr>
          <w:rFonts w:ascii="宋体" w:hAnsi="宋体"/>
          <w:sz w:val="24"/>
          <w:szCs w:val="20"/>
        </w:rPr>
        <w:t xml:space="preserve">预算管理一体化系统执行板块对采购合同约定付款时间与采购人实际支付情况进行比对，如已到约定付款时间但采购人未按时付款，系统自动进行标识并向采购人进行提示，并将相关比对结果推送“苏采云”系统，后者同步对采购人进行提示。</w:t>
      </w:r>
      <w:r>
        <w:rPr>
          <w:rFonts w:ascii="宋体" w:hAnsi="宋体"/>
          <w:sz w:val="24"/>
          <w:szCs w:val="20"/>
        </w:rPr>
      </w:r>
      <w:r/>
    </w:p>
    <w:p>
      <w:pPr>
        <w:pStyle w:val="672"/>
        <w:ind w:firstLine="420"/>
        <w:jc w:val="left"/>
        <w:spacing w:line="360" w:lineRule="auto"/>
        <w:shd w:val="clear" w:color="auto" w:fill="ffffff"/>
        <w:widowControl/>
        <w:rPr>
          <w:rFonts w:ascii="宋体" w:hAnsi="宋体"/>
          <w:sz w:val="24"/>
          <w:szCs w:val="20"/>
        </w:rPr>
      </w:pPr>
      <w:r>
        <w:rPr>
          <w:rFonts w:hint="eastAsia" w:ascii="宋体" w:hAnsi="宋体"/>
          <w:sz w:val="24"/>
          <w:szCs w:val="20"/>
        </w:rPr>
        <w:t xml:space="preserve">（4）增加统计拖欠中小企业账款项目信息：</w:t>
      </w:r>
      <w:r>
        <w:rPr>
          <w:rFonts w:ascii="宋体" w:hAnsi="宋体"/>
          <w:sz w:val="24"/>
          <w:szCs w:val="20"/>
        </w:rPr>
      </w:r>
      <w:r/>
    </w:p>
    <w:p>
      <w:pPr>
        <w:pStyle w:val="672"/>
        <w:ind w:firstLine="420"/>
        <w:jc w:val="left"/>
        <w:spacing w:line="360" w:lineRule="auto"/>
        <w:shd w:val="clear" w:color="auto" w:fill="ffffff"/>
        <w:widowControl/>
        <w:rPr>
          <w:rFonts w:ascii="宋体" w:hAnsi="宋体"/>
          <w:sz w:val="24"/>
          <w:szCs w:val="20"/>
        </w:rPr>
      </w:pPr>
      <w:r>
        <w:rPr>
          <w:rFonts w:ascii="宋体" w:hAnsi="宋体"/>
          <w:sz w:val="24"/>
          <w:szCs w:val="20"/>
        </w:rPr>
        <w:t xml:space="preserve">系统对中标/成交供应商为中小企业且未按约定支付的政府采购项目信息，供各级财政部门定期生成表格导出。</w:t>
      </w:r>
      <w:r>
        <w:rPr>
          <w:rFonts w:ascii="宋体" w:hAnsi="宋体"/>
          <w:sz w:val="24"/>
          <w:szCs w:val="20"/>
        </w:rPr>
      </w:r>
      <w:r/>
    </w:p>
    <w:p>
      <w:pPr>
        <w:pStyle w:val="786"/>
        <w:jc w:val="left"/>
      </w:pPr>
      <w:r>
        <w:rPr>
          <w:rFonts w:hint="eastAsia"/>
        </w:rPr>
        <w:t xml:space="preserve">（二）非功能性要求</w:t>
      </w:r>
      <w:r/>
    </w:p>
    <w:p>
      <w:pPr>
        <w:pStyle w:val="672"/>
        <w:ind w:firstLine="480"/>
        <w:spacing w:line="360" w:lineRule="auto"/>
        <w:rPr>
          <w:rFonts w:ascii="宋体" w:hAnsi="宋体"/>
          <w:sz w:val="24"/>
        </w:rPr>
      </w:pPr>
      <w:r>
        <w:rPr>
          <w:rFonts w:hint="eastAsia" w:ascii="宋体" w:hAnsi="宋体"/>
          <w:sz w:val="24"/>
        </w:rPr>
        <w:t xml:space="preserve">系统性能应满足用户的要求，稳定、可靠、实用。人机界面友好，输出、输入方便，图表生成美观，检索、查询简单快捷，能够发挥基础数据的辅助决策作用。</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（1）系统总体可用率大于99.8%，数据库应用可用率不小于99.8%，WEB应用可用率不小于99.8%。</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（2）在网络稳定的环境下，系统登录时间在1秒以内；系统查看页面平均响应时间在1秒以内；进行增、删、改业务（不含大对象数据类型）响应时间在1秒以内；复杂查询页面响应时间小于3秒。</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2、可靠性要求</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充分考虑系统的可靠性，尽可能保证系统在极端情况下的正常运行，避免由于模块故障或系统升级影响系统的正常运行。系统应满足以下性能要求。</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（1）系统提供7*24小时的连续运行保障，平均年故障时间&lt;1天，平均故障修复时间&lt;30分钟。</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（2）系统具备较强的信息安全性和灾难恢复能力。</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3、灵活性要求</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系统需具有快速适应业务变化的能力，应采用灵活的架构和技术手段，支持功能模块及系统处理能力的灵活整合和运用。</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4、可维护性要求</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系统应支持制定应急、异常快速处理方案，实现系统的统一监控、告警、日志等。同时，实现系统维护权限与业务权限分离，实现系统的可维护性。</w:t>
      </w:r>
      <w:r>
        <w:rPr>
          <w:rFonts w:ascii="宋体" w:hAnsi="宋体"/>
          <w:sz w:val="24"/>
        </w:rPr>
      </w:r>
      <w:r/>
    </w:p>
    <w:p>
      <w:pPr>
        <w:pStyle w:val="786"/>
        <w:jc w:val="left"/>
      </w:pPr>
      <w:r>
        <w:rPr>
          <w:rFonts w:hint="eastAsia"/>
        </w:rPr>
        <w:t xml:space="preserve">（三）数据及信息共享要求</w:t>
      </w:r>
      <w:r/>
    </w:p>
    <w:p>
      <w:pPr>
        <w:pStyle w:val="672"/>
        <w:ind w:firstLine="480"/>
        <w:spacing w:line="360" w:lineRule="auto"/>
        <w:rPr>
          <w:rFonts w:ascii="宋体" w:hAnsi="宋体"/>
          <w:sz w:val="24"/>
        </w:rPr>
      </w:pPr>
      <w:r>
        <w:rPr>
          <w:rFonts w:hint="eastAsia" w:ascii="宋体" w:hAnsi="宋体"/>
          <w:sz w:val="24"/>
        </w:rPr>
        <w:t xml:space="preserve">1、外部数据需求</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建立与预算管理一体化系统预算执行模块</w:t>
      </w:r>
      <w:r>
        <w:rPr>
          <w:rFonts w:hint="eastAsia" w:ascii="宋体" w:hAnsi="宋体"/>
          <w:sz w:val="24"/>
          <w:szCs w:val="20"/>
        </w:rPr>
        <w:t xml:space="preserve">的</w:t>
      </w:r>
      <w:r>
        <w:rPr>
          <w:rFonts w:hint="eastAsia" w:ascii="宋体" w:hAnsi="宋体"/>
          <w:sz w:val="24"/>
        </w:rPr>
        <w:t xml:space="preserve">衔接接口。</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2、信息共享要求</w:t>
      </w:r>
      <w:r>
        <w:rPr>
          <w:rFonts w:ascii="宋体" w:hAnsi="宋体"/>
          <w:sz w:val="24"/>
        </w:rPr>
      </w:r>
      <w:r/>
    </w:p>
    <w:p>
      <w:pPr>
        <w:pStyle w:val="672"/>
        <w:ind w:firstLine="480"/>
        <w:spacing w:line="360" w:lineRule="auto"/>
      </w:pPr>
      <w:r>
        <w:rPr>
          <w:rFonts w:hint="eastAsia" w:ascii="宋体" w:hAnsi="宋体"/>
          <w:sz w:val="24"/>
        </w:rPr>
        <w:t xml:space="preserve">本项目需在江苏省财政厅的管理要求下，编制信息资源目录，为江苏财政信息资源的开放、共享提供基础。</w:t>
      </w:r>
      <w:r/>
    </w:p>
    <w:p>
      <w:pPr>
        <w:pStyle w:val="786"/>
        <w:jc w:val="left"/>
      </w:pPr>
      <w:r>
        <w:rPr>
          <w:rFonts w:hint="eastAsia"/>
        </w:rPr>
        <w:t xml:space="preserve">（四）国产化建设/适配要求</w:t>
      </w:r>
      <w:r/>
    </w:p>
    <w:p>
      <w:pPr>
        <w:pStyle w:val="672"/>
        <w:ind w:firstLine="480"/>
        <w:spacing w:line="360" w:lineRule="auto"/>
        <w:rPr>
          <w:rFonts w:ascii="宋体" w:hAnsi="宋体"/>
          <w:sz w:val="24"/>
        </w:rPr>
      </w:pPr>
      <w:r>
        <w:rPr>
          <w:rFonts w:hint="eastAsia" w:ascii="宋体" w:hAnsi="宋体"/>
          <w:sz w:val="24"/>
        </w:rPr>
        <w:t xml:space="preserve">基于采购人提供的国产化环境及相关产品，本次升级改造的内容，适配云环境中的国产化云主机、操作系统、数据库、中间件等，客户端适配主流国产终端、国产操作系统、浏览器。</w:t>
      </w:r>
      <w:r>
        <w:rPr>
          <w:rFonts w:ascii="宋体" w:hAnsi="宋体"/>
          <w:sz w:val="24"/>
        </w:rPr>
      </w:r>
      <w:r/>
    </w:p>
    <w:p>
      <w:pPr>
        <w:pStyle w:val="786"/>
        <w:jc w:val="left"/>
      </w:pPr>
      <w:r>
        <w:rPr>
          <w:rFonts w:hint="eastAsia"/>
        </w:rPr>
        <w:t xml:space="preserve">（五）安全要求</w:t>
      </w:r>
      <w:r/>
    </w:p>
    <w:p>
      <w:pPr>
        <w:pStyle w:val="788"/>
        <w:jc w:val="left"/>
      </w:pPr>
      <w:r>
        <w:rPr>
          <w:rFonts w:hint="eastAsia"/>
        </w:rPr>
        <w:t xml:space="preserve">本项目应按照《信息安全技术网络安全等级保护基本要求》第三级安全要求进行建设。</w:t>
      </w:r>
      <w:r/>
    </w:p>
    <w:p>
      <w:pPr>
        <w:pStyle w:val="785"/>
        <w:jc w:val="left"/>
      </w:pPr>
      <w:r>
        <w:rPr>
          <w:rFonts w:hint="eastAsia"/>
        </w:rPr>
        <w:t xml:space="preserve">五、应用架构要求</w:t>
      </w:r>
      <w:r/>
    </w:p>
    <w:p>
      <w:pPr>
        <w:pStyle w:val="672"/>
        <w:ind w:firstLine="480"/>
        <w:spacing w:line="360" w:lineRule="auto"/>
        <w:rPr>
          <w:rFonts w:ascii="宋体" w:hAnsi="宋体"/>
          <w:sz w:val="24"/>
        </w:rPr>
      </w:pPr>
      <w:r>
        <w:rPr>
          <w:rFonts w:hint="eastAsia" w:ascii="宋体" w:hAnsi="宋体"/>
          <w:sz w:val="24"/>
        </w:rPr>
        <w:t xml:space="preserve">本项目建设应遵循江苏财政信息化顶层设计应用架构。</w:t>
      </w:r>
      <w:r>
        <w:rPr>
          <w:rFonts w:ascii="宋体" w:hAnsi="宋体"/>
          <w:sz w:val="24"/>
        </w:rPr>
      </w:r>
      <w:r/>
    </w:p>
    <w:p>
      <w:pPr>
        <w:pStyle w:val="785"/>
        <w:jc w:val="left"/>
      </w:pPr>
      <w:r>
        <w:rPr>
          <w:rFonts w:hint="eastAsia"/>
        </w:rPr>
        <w:t xml:space="preserve">六、技术架构要求</w:t>
      </w:r>
      <w:r/>
    </w:p>
    <w:p>
      <w:pPr>
        <w:pStyle w:val="672"/>
        <w:ind w:firstLine="480"/>
        <w:spacing w:line="360" w:lineRule="auto"/>
        <w:rPr>
          <w:rFonts w:ascii="宋体" w:hAnsi="宋体"/>
          <w:sz w:val="24"/>
        </w:rPr>
      </w:pPr>
      <w:r>
        <w:rPr>
          <w:rFonts w:hint="eastAsia" w:ascii="宋体" w:hAnsi="宋体"/>
          <w:sz w:val="24"/>
        </w:rPr>
        <w:t xml:space="preserve">本项目建设应遵循江苏财政信息化顶层设计技术架构，基于采购人提供的云资源情况，实现应用的分层分级、全面解耦。</w:t>
      </w:r>
      <w:r>
        <w:rPr>
          <w:rFonts w:ascii="宋体" w:hAnsi="宋体"/>
          <w:sz w:val="24"/>
        </w:rPr>
      </w:r>
      <w:r/>
    </w:p>
    <w:p>
      <w:pPr>
        <w:pStyle w:val="785"/>
      </w:pPr>
      <w:r/>
      <w:bookmarkStart w:id="199" w:name="_Toc16431"/>
      <w:r/>
      <w:bookmarkStart w:id="200" w:name="_Toc1442080697"/>
      <w:r>
        <w:rPr>
          <w:rFonts w:hint="eastAsia"/>
        </w:rPr>
        <w:t xml:space="preserve">七、项目实施要求</w:t>
      </w:r>
      <w:r/>
    </w:p>
    <w:p>
      <w:pPr>
        <w:pStyle w:val="788"/>
        <w:rPr>
          <w:b/>
          <w:bCs/>
        </w:rPr>
      </w:pPr>
      <w:r>
        <w:rPr>
          <w:rFonts w:hint="eastAsia"/>
          <w:b/>
          <w:bCs/>
        </w:rPr>
        <w:t xml:space="preserve">项目团队要求：</w:t>
      </w:r>
      <w:r>
        <w:rPr>
          <w:b/>
          <w:bCs/>
        </w:rPr>
      </w:r>
      <w:r/>
    </w:p>
    <w:p>
      <w:pPr>
        <w:pStyle w:val="788"/>
      </w:pPr>
      <w:r>
        <w:rPr>
          <w:rFonts w:hint="eastAsia"/>
        </w:rPr>
        <w:t xml:space="preserve">在配置项目人员时，应充分考虑项目人员的稳定性因素，在保证项目人员的技术能力、业务水平、项目工作经验满足项目要求的前提下，通过选派连续工作多年的技术骨干参与项目实施服务工作。同时需保证项目团队人员稳定，未经采购人同意，不得随意变更项目人员。</w:t>
      </w:r>
      <w:r/>
    </w:p>
    <w:p>
      <w:pPr>
        <w:pStyle w:val="788"/>
      </w:pPr>
      <w:r>
        <w:rPr>
          <w:rFonts w:hint="eastAsia"/>
        </w:rPr>
        <w:t xml:space="preserve">（1）供应商应根据本项目需求提供相应的服务力量，需要为本项目配置项目经理，负责整体协调、联络和进度把控，确保服务对象能实时联系到服务人员并解决问题。</w:t>
      </w:r>
      <w:r/>
    </w:p>
    <w:p>
      <w:pPr>
        <w:pStyle w:val="788"/>
      </w:pPr>
      <w:r>
        <w:rPr>
          <w:rFonts w:hint="eastAsia"/>
        </w:rPr>
        <w:t xml:space="preserve">（2）供应商提供不少于5人的项目团队负责项目建设与实施。</w:t>
      </w:r>
      <w:r/>
    </w:p>
    <w:p>
      <w:pPr>
        <w:pStyle w:val="788"/>
      </w:pPr>
      <w:r>
        <w:rPr>
          <w:rFonts w:hint="eastAsia"/>
        </w:rPr>
        <w:t xml:space="preserve">（3）免费运维期内，供应商需提供不少于1人的运维服务人员，提供运维服务。供应商需提供相关承诺。</w:t>
      </w:r>
      <w:r/>
    </w:p>
    <w:p>
      <w:pPr>
        <w:pStyle w:val="788"/>
      </w:pPr>
      <w:r>
        <w:rPr>
          <w:rFonts w:hint="eastAsia"/>
        </w:rPr>
        <w:t xml:space="preserve">（</w:t>
      </w:r>
      <w:r>
        <w:t xml:space="preserve">4</w:t>
      </w:r>
      <w:r>
        <w:rPr>
          <w:rFonts w:hint="eastAsia"/>
        </w:rPr>
        <w:t xml:space="preserve">）供应商提供的项目团队人员，应具备较强的系统建设、实施、运维等能力，能够及时高效地完成相关建设与服务内容。</w:t>
      </w:r>
      <w:r/>
    </w:p>
    <w:p>
      <w:pPr>
        <w:pStyle w:val="788"/>
      </w:pPr>
      <w:r>
        <w:rPr>
          <w:rFonts w:hint="eastAsia"/>
        </w:rPr>
        <w:t xml:space="preserve">（</w:t>
      </w:r>
      <w:r>
        <w:t xml:space="preserve">5</w:t>
      </w:r>
      <w:r>
        <w:rPr>
          <w:rFonts w:hint="eastAsia"/>
        </w:rPr>
        <w:t xml:space="preserve">）供应商确保7*24小时电话快速响应，及时处理相关问题；需提供应急服务支持人员电话，在非工作日或非上班时间对紧急事宜响应和处理。</w:t>
      </w:r>
      <w:r/>
    </w:p>
    <w:p>
      <w:pPr>
        <w:pStyle w:val="788"/>
      </w:pPr>
      <w:r>
        <w:rPr>
          <w:rFonts w:hint="eastAsia"/>
        </w:rPr>
        <w:t xml:space="preserve">（</w:t>
      </w:r>
      <w:r>
        <w:t xml:space="preserve">6</w:t>
      </w:r>
      <w:r>
        <w:rPr>
          <w:rFonts w:hint="eastAsia"/>
        </w:rPr>
        <w:t xml:space="preserve">）供应商更换项目经理、需求负责人、研发负责人、实施负责人时，需至少提前一个月书面通知采购人，征得采购人书面同意后方可更换，更换前必须做好相关工作交接，及时更新项目团队组织架构。</w:t>
      </w:r>
      <w:r/>
    </w:p>
    <w:p>
      <w:pPr>
        <w:pStyle w:val="788"/>
      </w:pPr>
      <w:r>
        <w:rPr>
          <w:rFonts w:hint="eastAsia"/>
        </w:rPr>
        <w:t xml:space="preserve">（7）更换项目团队其他人员（除项目经理、需求负责人、研发负责人、实施负责人）时，项目经理必须至少提前2</w:t>
      </w:r>
      <w:r>
        <w:t xml:space="preserve">0</w:t>
      </w:r>
      <w:r>
        <w:rPr>
          <w:rFonts w:hint="eastAsia"/>
        </w:rPr>
        <w:t xml:space="preserve">天通知采购人，征得采购人同意后方可更换，更换前必须做好相关工作交接，及时更新项目团队组织架构。</w:t>
      </w:r>
      <w:r/>
    </w:p>
    <w:p>
      <w:pPr>
        <w:pStyle w:val="788"/>
      </w:pPr>
      <w:r>
        <w:rPr>
          <w:rFonts w:hint="eastAsia"/>
        </w:rPr>
        <w:t xml:space="preserve">（</w:t>
      </w:r>
      <w:r>
        <w:t xml:space="preserve">8</w:t>
      </w:r>
      <w:r>
        <w:rPr>
          <w:rFonts w:hint="eastAsia"/>
        </w:rPr>
        <w:t xml:space="preserve">）如采购人对项目团队人员不满意，供应商必须在收到采购人更换人员需求后10个工作日内完成更换，直至采购人满意，更换前必须做好相关工作交接，及时更新项目团队组织架构。</w:t>
      </w:r>
      <w:r/>
    </w:p>
    <w:p>
      <w:pPr>
        <w:pStyle w:val="788"/>
        <w:rPr>
          <w:rFonts w:hint="eastAsia"/>
          <w:highlight w:val="none"/>
        </w:rPr>
      </w:pPr>
      <w:r>
        <w:rPr>
          <w:rFonts w:hint="eastAsia" w:ascii="宋体" w:hAnsi="宋体"/>
          <w:szCs w:val="24"/>
          <w:highlight w:val="none"/>
        </w:rPr>
        <w:t xml:space="preserve">上述要求，供应商需提供《承诺函》并加盖公章。</w:t>
      </w:r>
      <w:r>
        <w:rPr>
          <w:rFonts w:hint="eastAsia"/>
          <w:highlight w:val="none"/>
        </w:rPr>
      </w:r>
      <w:r/>
    </w:p>
    <w:p>
      <w:pPr>
        <w:pStyle w:val="788"/>
        <w:rPr>
          <w:b/>
          <w:bCs/>
        </w:rPr>
      </w:pPr>
      <w:r>
        <w:rPr>
          <w:rFonts w:hint="eastAsia"/>
          <w:b/>
          <w:bCs/>
        </w:rPr>
        <w:t xml:space="preserve">项目管理要求：</w:t>
      </w:r>
      <w:r>
        <w:rPr>
          <w:b/>
          <w:bCs/>
        </w:rPr>
      </w:r>
      <w:r/>
    </w:p>
    <w:p>
      <w:pPr>
        <w:pStyle w:val="788"/>
      </w:pPr>
      <w:r>
        <w:rPr>
          <w:rFonts w:hint="eastAsia"/>
        </w:rPr>
        <w:t xml:space="preserve">（1）供应商应建立规范、完整的项目管理体系，规范开展项目实施工作，完整记录项目实施过程和结果。定期与采购人组织会议，沟通阶段实施成果、工作中存在的问题和后续的改进计划。</w:t>
      </w:r>
      <w:r/>
    </w:p>
    <w:p>
      <w:pPr>
        <w:pStyle w:val="788"/>
      </w:pPr>
      <w:r>
        <w:rPr>
          <w:rFonts w:hint="eastAsia"/>
        </w:rPr>
        <w:t xml:space="preserve">（2）供应商在项目实施期间必须遵守采购人的规章制度。</w:t>
      </w:r>
      <w:r/>
    </w:p>
    <w:p>
      <w:pPr>
        <w:pStyle w:val="788"/>
      </w:pPr>
      <w:r>
        <w:rPr>
          <w:rFonts w:hint="eastAsia"/>
        </w:rPr>
        <w:t xml:space="preserve">（3）供应商应接受工程监理及项目管理要求。</w:t>
      </w:r>
      <w:r/>
    </w:p>
    <w:p>
      <w:pPr>
        <w:pStyle w:val="788"/>
      </w:pPr>
      <w:r>
        <w:rPr>
          <w:rFonts w:hint="eastAsia"/>
        </w:rPr>
        <w:t xml:space="preserve">（4）本项目合同不得转让，不得分包。</w:t>
      </w:r>
      <w:r/>
    </w:p>
    <w:p>
      <w:pPr>
        <w:pStyle w:val="788"/>
        <w:rPr>
          <w:b/>
          <w:bCs/>
        </w:rPr>
      </w:pPr>
      <w:r>
        <w:rPr>
          <w:rFonts w:hint="eastAsia"/>
          <w:b/>
          <w:bCs/>
        </w:rPr>
        <w:t xml:space="preserve">质量要求：</w:t>
      </w:r>
      <w:r>
        <w:rPr>
          <w:b/>
          <w:bCs/>
        </w:rPr>
        <w:t xml:space="preserve"> </w:t>
      </w:r>
      <w:r>
        <w:rPr>
          <w:b/>
          <w:bCs/>
        </w:rPr>
      </w:r>
      <w:r/>
    </w:p>
    <w:p>
      <w:pPr>
        <w:pStyle w:val="672"/>
        <w:ind w:firstLine="480"/>
        <w:spacing w:line="360" w:lineRule="auto"/>
        <w:rPr>
          <w:rFonts w:ascii="宋体" w:hAnsi="宋体"/>
          <w:sz w:val="24"/>
        </w:rPr>
      </w:pPr>
      <w:r>
        <w:rPr>
          <w:rFonts w:hint="eastAsia" w:ascii="宋体" w:hAnsi="宋体"/>
          <w:sz w:val="24"/>
        </w:rPr>
        <w:t xml:space="preserve">（1）供应商应根据项目的工作计划，对阶段性实施成果进行审核。通过保证各阶段性成果的质量，最终保证整体服务的质量。如因供应商原因造成项目质量不合格、处理问题不及时等问题，采购人有权依据合同对供应商进行经济处罚。</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（2）供应商应建立质量保证体系，制定项目实施的质量控制方案和实施措施，并督促完成各环节质量控制内容和目标；保证项目实施满足采购人对质量的要求。</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（3）供应商需制定明确的质量管理办法，确保团队全体人员了解和遵守，同时设定可测量的质量目标，以便评估和改进绩效，同时需要确保产出文档的准确性和可访问性。</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（4）供应商应遵循《江苏省财政厅信息化建设管理办法（试行）》的项目建设质量要求，以及采购人有关服务厂商、信息化项目的服务质量管理要求，并接受采购人定期对服务进行绩效考核。</w:t>
      </w:r>
      <w:r>
        <w:rPr>
          <w:rFonts w:ascii="宋体" w:hAnsi="宋体"/>
          <w:sz w:val="24"/>
        </w:rPr>
      </w:r>
      <w:r/>
    </w:p>
    <w:p>
      <w:pPr>
        <w:pStyle w:val="672"/>
        <w:keepLines/>
        <w:keepNext/>
        <w:spacing w:line="360" w:lineRule="auto"/>
        <w:rPr>
          <w:rFonts w:ascii="Calibri" w:hAnsi="Calibri" w:eastAsia="黑体"/>
          <w:b/>
          <w:bCs/>
          <w:sz w:val="32"/>
          <w:szCs w:val="44"/>
        </w:rPr>
        <w:outlineLvl w:val="0"/>
      </w:pPr>
      <w:r/>
      <w:bookmarkStart w:id="201" w:name="_Toc181109962"/>
      <w:r/>
      <w:bookmarkStart w:id="202" w:name="_Toc24026"/>
      <w:r>
        <w:rPr>
          <w:rFonts w:hint="eastAsia" w:ascii="Calibri" w:hAnsi="Calibri" w:eastAsia="黑体"/>
          <w:b/>
          <w:bCs/>
          <w:sz w:val="32"/>
          <w:szCs w:val="44"/>
        </w:rPr>
        <w:t xml:space="preserve">八、培训要求</w:t>
      </w:r>
      <w:bookmarkEnd w:id="201"/>
      <w:r/>
      <w:bookmarkEnd w:id="202"/>
      <w:r>
        <w:rPr>
          <w:rFonts w:ascii="Calibri" w:hAnsi="Calibri" w:eastAsia="黑体"/>
          <w:b/>
          <w:bCs/>
          <w:sz w:val="32"/>
          <w:szCs w:val="44"/>
        </w:rPr>
      </w:r>
      <w:r/>
    </w:p>
    <w:p>
      <w:pPr>
        <w:pStyle w:val="788"/>
        <w:rPr>
          <w:rFonts w:ascii="Verdana" w:hAnsi="Verdana" w:cs="宋体"/>
          <w:szCs w:val="20"/>
        </w:rPr>
      </w:pPr>
      <w:r>
        <w:rPr>
          <w:rFonts w:hint="eastAsia"/>
        </w:rPr>
        <w:t xml:space="preserve">保障业务顺利开展，供应商应配合服务对象做好相关的系统操作培训，</w:t>
      </w:r>
      <w:r>
        <w:rPr>
          <w:rFonts w:hint="eastAsia" w:ascii="Verdana" w:hAnsi="Verdana" w:cs="宋体"/>
          <w:szCs w:val="20"/>
        </w:rPr>
        <w:t xml:space="preserve">培训对象为系统用户。</w:t>
      </w:r>
      <w:r>
        <w:rPr>
          <w:rFonts w:ascii="Verdana" w:hAnsi="Verdana" w:cs="宋体"/>
          <w:szCs w:val="20"/>
        </w:rPr>
      </w:r>
      <w:r/>
    </w:p>
    <w:p>
      <w:pPr>
        <w:pStyle w:val="788"/>
      </w:pPr>
      <w:r>
        <w:rPr>
          <w:rFonts w:hint="eastAsia"/>
        </w:rPr>
        <w:t xml:space="preserve">培训由供应商负责师资及教材，由财政部门提供场地和培训设备并负责受训人员召集，组织实施。供应商必须指派省财政厅认可的具有相关专业资格和实际工作经验的教师及辅导人员进行培训，主要培训教员应具有三年以上的培训经验。</w:t>
      </w:r>
      <w:r/>
    </w:p>
    <w:p>
      <w:pPr>
        <w:pStyle w:val="672"/>
        <w:keepLines/>
        <w:keepNext/>
        <w:spacing w:line="360" w:lineRule="auto"/>
        <w:rPr>
          <w:rFonts w:ascii="Calibri" w:hAnsi="Calibri" w:eastAsia="黑体"/>
          <w:b/>
          <w:bCs/>
          <w:sz w:val="32"/>
          <w:szCs w:val="44"/>
        </w:rPr>
        <w:outlineLvl w:val="0"/>
      </w:pPr>
      <w:r/>
      <w:bookmarkStart w:id="203" w:name="_Toc186413240"/>
      <w:r/>
      <w:bookmarkStart w:id="204" w:name="_Toc14139"/>
      <w:r>
        <w:rPr>
          <w:rFonts w:hint="eastAsia" w:ascii="Calibri" w:hAnsi="Calibri" w:eastAsia="黑体"/>
          <w:b/>
          <w:bCs/>
          <w:sz w:val="32"/>
          <w:szCs w:val="44"/>
        </w:rPr>
        <w:t xml:space="preserve">九、</w:t>
      </w:r>
      <w:bookmarkEnd w:id="203"/>
      <w:r/>
      <w:bookmarkEnd w:id="204"/>
      <w:r>
        <w:rPr>
          <w:rFonts w:hint="eastAsia" w:ascii="Calibri" w:hAnsi="Calibri" w:eastAsia="黑体"/>
          <w:b/>
          <w:bCs/>
          <w:sz w:val="32"/>
          <w:szCs w:val="44"/>
        </w:rPr>
        <w:t xml:space="preserve">知识产权及保密要求</w:t>
      </w:r>
      <w:r>
        <w:rPr>
          <w:rFonts w:ascii="Calibri" w:hAnsi="Calibri" w:eastAsia="黑体"/>
          <w:b/>
          <w:bCs/>
          <w:sz w:val="32"/>
          <w:szCs w:val="44"/>
        </w:rPr>
      </w:r>
      <w:r/>
    </w:p>
    <w:p>
      <w:pPr>
        <w:pStyle w:val="788"/>
      </w:pPr>
      <w:r>
        <w:rPr>
          <w:rFonts w:hint="eastAsia"/>
        </w:rPr>
        <w:t xml:space="preserve">（一）知识产权</w:t>
      </w:r>
      <w:r/>
    </w:p>
    <w:p>
      <w:pPr>
        <w:pStyle w:val="788"/>
        <w:rPr>
          <w:rFonts w:ascii="Verdana" w:hAnsi="Verdana" w:cs="宋体"/>
          <w:szCs w:val="24"/>
        </w:rPr>
      </w:pPr>
      <w:r>
        <w:rPr>
          <w:rFonts w:hint="eastAsia" w:ascii="Verdana" w:hAnsi="Verdana" w:cs="宋体"/>
          <w:szCs w:val="24"/>
        </w:rPr>
        <w:t xml:space="preserve">1、供应商使用或提供的第三方支撑软件要确保为正版合法软件，一切因供应商使用或提供第三方支撑软件引起的经济和法律纠纷由供应商负责，采购人不承担任何责任。</w:t>
      </w:r>
      <w:r>
        <w:rPr>
          <w:rFonts w:ascii="Verdana" w:hAnsi="Verdana" w:cs="宋体"/>
          <w:szCs w:val="24"/>
        </w:rPr>
      </w:r>
      <w:r/>
    </w:p>
    <w:p>
      <w:pPr>
        <w:pStyle w:val="788"/>
        <w:rPr>
          <w:rFonts w:ascii="Verdana" w:hAnsi="Verdana" w:cs="宋体"/>
          <w:szCs w:val="24"/>
        </w:rPr>
      </w:pPr>
      <w:r>
        <w:rPr>
          <w:rFonts w:hint="eastAsia" w:ascii="Verdana" w:hAnsi="Verdana" w:cs="宋体"/>
          <w:szCs w:val="24"/>
        </w:rPr>
        <w:t xml:space="preserve">2、本项目形成的知识产权归采购人所有。</w:t>
      </w:r>
      <w:r>
        <w:rPr>
          <w:rFonts w:ascii="Verdana" w:hAnsi="Verdana" w:cs="宋体"/>
          <w:szCs w:val="24"/>
        </w:rPr>
      </w:r>
      <w:r/>
    </w:p>
    <w:p>
      <w:pPr>
        <w:pStyle w:val="788"/>
      </w:pPr>
      <w:r>
        <w:rPr>
          <w:rFonts w:hint="eastAsia"/>
        </w:rPr>
        <w:t xml:space="preserve">（二）保密要求</w:t>
      </w:r>
      <w:r/>
    </w:p>
    <w:p>
      <w:pPr>
        <w:pStyle w:val="788"/>
        <w:rPr>
          <w:rFonts w:ascii="Verdana" w:hAnsi="Verdana" w:cs="宋体"/>
          <w:szCs w:val="24"/>
        </w:rPr>
      </w:pPr>
      <w:r>
        <w:rPr>
          <w:rFonts w:hint="eastAsia" w:ascii="Verdana" w:hAnsi="Verdana" w:cs="宋体"/>
          <w:szCs w:val="24"/>
        </w:rPr>
        <w:t xml:space="preserve">严格遵循国家法律法规规定及政策要求、主管部门及采购人要求。</w:t>
      </w:r>
      <w:r>
        <w:rPr>
          <w:rFonts w:ascii="Verdana" w:hAnsi="Verdana" w:cs="宋体"/>
          <w:szCs w:val="24"/>
        </w:rPr>
      </w:r>
      <w:r/>
    </w:p>
    <w:p>
      <w:pPr>
        <w:pStyle w:val="788"/>
      </w:pPr>
      <w:r>
        <w:rPr>
          <w:rFonts w:hint="eastAsia" w:ascii="宋体" w:hAnsi="宋体" w:cs="Arial"/>
          <w:szCs w:val="24"/>
        </w:rPr>
        <w:t xml:space="preserve">1、供应商需与采购人签署保密协议书。供应商</w:t>
      </w:r>
      <w:r>
        <w:rPr>
          <w:rFonts w:hint="eastAsia"/>
        </w:rPr>
        <w:t xml:space="preserve">对本项目中涉及的所有信息有保密义务，未经采购人及所服务的各级财政部门书面认可，不得向任何第三方提供，不得用于本项目之外的任何其他用途。</w:t>
      </w:r>
      <w:r/>
    </w:p>
    <w:p>
      <w:pPr>
        <w:pStyle w:val="788"/>
        <w:rPr>
          <w:rFonts w:ascii="宋体" w:hAnsi="宋体" w:cs="Arial"/>
          <w:szCs w:val="24"/>
        </w:rPr>
      </w:pPr>
      <w:r>
        <w:rPr>
          <w:rFonts w:hint="eastAsia"/>
        </w:rPr>
        <w:t xml:space="preserve">2、供应商服务人员需签署保密承诺后方可上岗工作，</w:t>
      </w:r>
      <w:r>
        <w:rPr>
          <w:rFonts w:hint="eastAsia" w:ascii="宋体" w:hAnsi="宋体" w:cs="Arial"/>
          <w:szCs w:val="24"/>
        </w:rPr>
        <w:t xml:space="preserve">并必须遵守保密义务,不得泄露、篡改、私自留存或删除项目相关信息。因供应商（或其员工）原因引起信息泄露，</w:t>
      </w:r>
      <w:r>
        <w:rPr>
          <w:rFonts w:hint="eastAsia" w:ascii="Verdana" w:hAnsi="Verdana" w:cs="宋体"/>
          <w:szCs w:val="20"/>
        </w:rPr>
        <w:t xml:space="preserve">供应商</w:t>
      </w:r>
      <w:r>
        <w:rPr>
          <w:rFonts w:hint="eastAsia" w:ascii="宋体" w:hAnsi="宋体" w:cs="Arial"/>
          <w:szCs w:val="24"/>
        </w:rPr>
        <w:t xml:space="preserve">承担相应的法律责任。</w:t>
      </w:r>
      <w:r>
        <w:rPr>
          <w:rFonts w:ascii="宋体" w:hAnsi="宋体" w:cs="Arial"/>
          <w:szCs w:val="24"/>
        </w:rPr>
      </w:r>
      <w:r/>
    </w:p>
    <w:p>
      <w:pPr>
        <w:pStyle w:val="672"/>
        <w:keepLines/>
        <w:keepNext/>
        <w:spacing w:line="360" w:lineRule="auto"/>
        <w:rPr>
          <w:rFonts w:ascii="Calibri" w:hAnsi="Calibri" w:eastAsia="黑体"/>
          <w:b/>
          <w:bCs/>
          <w:sz w:val="32"/>
          <w:szCs w:val="44"/>
        </w:rPr>
        <w:outlineLvl w:val="0"/>
      </w:pPr>
      <w:r/>
      <w:bookmarkStart w:id="205" w:name="_Toc1013210220"/>
      <w:r/>
      <w:bookmarkStart w:id="206" w:name="_Toc19324"/>
      <w:r>
        <w:rPr>
          <w:rFonts w:hint="eastAsia" w:ascii="Calibri" w:hAnsi="Calibri" w:eastAsia="黑体"/>
          <w:b/>
          <w:bCs/>
          <w:sz w:val="32"/>
          <w:szCs w:val="44"/>
        </w:rPr>
        <w:t xml:space="preserve">十、验收要求</w:t>
      </w:r>
      <w:bookmarkEnd w:id="205"/>
      <w:r/>
      <w:bookmarkEnd w:id="206"/>
      <w:r>
        <w:rPr>
          <w:rFonts w:ascii="Calibri" w:hAnsi="Calibri" w:eastAsia="黑体"/>
          <w:b/>
          <w:bCs/>
          <w:sz w:val="32"/>
          <w:szCs w:val="44"/>
        </w:rPr>
      </w:r>
      <w:r/>
    </w:p>
    <w:p>
      <w:pPr>
        <w:pStyle w:val="672"/>
        <w:ind w:firstLine="480"/>
        <w:spacing w:line="360" w:lineRule="auto"/>
        <w:rPr>
          <w:rFonts w:ascii="Calibri" w:hAnsi="Calibri"/>
          <w:sz w:val="24"/>
          <w:szCs w:val="22"/>
        </w:rPr>
      </w:pPr>
      <w:r>
        <w:rPr>
          <w:rFonts w:hint="eastAsia" w:ascii="Calibri" w:hAnsi="Calibri"/>
          <w:sz w:val="24"/>
          <w:szCs w:val="22"/>
        </w:rPr>
        <w:t xml:space="preserve">供应商应配合采购人根据国家及江苏省电子政务项目验收有关要求及规范，完成项目验收，将成果资料交付采购人。</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1、启动验收的基本条件：业务应用已完成代码开发及集成测试，系统功能、性能均达设计要求，相关问题均已整改完成。</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3、本项目的成果资料要求如下。</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（1）源代码：供应商应提供本项目软件的全部源代码文件，以光盘的形式提交给采购人。</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2）文档：供应商应提供本项目的需求规格说明书、概要设计说明书、详细设计说明书、数据库设计说明书、系统测试报告、软件部署手册、系统使用手册、系统运维操作手册、培训手册、项目总结报告、项目验收报告等。</w:t>
      </w:r>
      <w:r>
        <w:rPr>
          <w:rFonts w:ascii="Calibri" w:hAnsi="Calibri"/>
          <w:sz w:val="24"/>
          <w:szCs w:val="22"/>
        </w:rPr>
      </w:r>
      <w:r/>
    </w:p>
    <w:p>
      <w:pPr>
        <w:pStyle w:val="672"/>
        <w:keepLines/>
        <w:keepNext/>
        <w:spacing w:line="360" w:lineRule="auto"/>
        <w:rPr>
          <w:rFonts w:ascii="Calibri" w:hAnsi="Calibri" w:eastAsia="黑体"/>
          <w:b/>
          <w:bCs/>
          <w:sz w:val="32"/>
          <w:szCs w:val="44"/>
        </w:rPr>
        <w:outlineLvl w:val="0"/>
      </w:pPr>
      <w:r/>
      <w:bookmarkStart w:id="207" w:name="_Toc4346"/>
      <w:r/>
      <w:bookmarkStart w:id="208" w:name="_Toc548509417"/>
      <w:r>
        <w:rPr>
          <w:rFonts w:hint="eastAsia" w:ascii="Calibri" w:hAnsi="Calibri" w:eastAsia="黑体"/>
          <w:b/>
          <w:bCs/>
          <w:sz w:val="32"/>
          <w:szCs w:val="44"/>
        </w:rPr>
        <w:t xml:space="preserve">十一、运维服务要求</w:t>
      </w:r>
      <w:bookmarkEnd w:id="207"/>
      <w:r/>
      <w:bookmarkEnd w:id="208"/>
      <w:r>
        <w:rPr>
          <w:rFonts w:ascii="Calibri" w:hAnsi="Calibri" w:eastAsia="黑体"/>
          <w:b/>
          <w:bCs/>
          <w:sz w:val="32"/>
          <w:szCs w:val="44"/>
        </w:rPr>
      </w:r>
      <w:r/>
    </w:p>
    <w:p>
      <w:pPr>
        <w:pStyle w:val="672"/>
        <w:ind w:firstLine="480"/>
        <w:spacing w:line="360" w:lineRule="auto"/>
        <w:rPr>
          <w:rFonts w:ascii="Calibri" w:hAnsi="Calibri"/>
          <w:sz w:val="24"/>
          <w:szCs w:val="22"/>
        </w:rPr>
      </w:pPr>
      <w:r>
        <w:rPr>
          <w:rFonts w:hint="eastAsia" w:ascii="Calibri" w:hAnsi="Calibri"/>
          <w:sz w:val="24"/>
          <w:szCs w:val="22"/>
        </w:rPr>
        <w:t xml:space="preserve">供应商负责苏采云系统的运维工作。运维团队成员应具备财政信息化项目相关工作经验。</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供应商应遵循《江苏财政省级统建信息系统运行维护工作制度（试行）》的运维管理要求，为本项目的实施和运维提供专业化、规范化、高品质的服务，并承诺系统能够正常、稳定、可靠、安全地运行。相关售后服务要求如下：</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1、提供系统巡检服务，并同步输出巡检报告。</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2、提供系统缺陷修复、软件升级、性能优化等服务。</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3、提供系统日常应用操作指导服务。</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4、提供系统操作手册、配置升级手册、培训材料等文档的更新服务。</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5、提供派遣技术服务人员到用户现场支撑的服务，包括软件日常使用咨询、软件异常情况处理、业务数据异常处理等。</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6、项目验收合格后，供应商承诺提供1年免费运维服务。</w:t>
      </w:r>
      <w:r>
        <w:rPr>
          <w:rFonts w:ascii="Calibri" w:hAnsi="Calibri"/>
          <w:sz w:val="24"/>
          <w:szCs w:val="22"/>
        </w:rPr>
      </w:r>
      <w:r/>
    </w:p>
    <w:p>
      <w:pPr>
        <w:pStyle w:val="672"/>
        <w:ind w:firstLine="480"/>
        <w:spacing w:line="360" w:lineRule="auto"/>
        <w:rPr>
          <w:rFonts w:ascii="Calibri" w:hAnsi="Calibri"/>
          <w:sz w:val="24"/>
          <w:szCs w:val="22"/>
        </w:rPr>
      </w:pPr>
      <w:r>
        <w:rPr>
          <w:rFonts w:hint="eastAsia" w:ascii="Calibri" w:hAnsi="Calibri"/>
          <w:sz w:val="24"/>
          <w:szCs w:val="22"/>
        </w:rPr>
        <w:t xml:space="preserve">7、本项目已明确的服务内容，供应商不得以任何理由再向系统用户收取任何服务费用。</w:t>
      </w:r>
      <w:r>
        <w:rPr>
          <w:rFonts w:ascii="Calibri" w:hAnsi="Calibri"/>
          <w:sz w:val="24"/>
          <w:szCs w:val="22"/>
        </w:rPr>
      </w:r>
      <w:r/>
    </w:p>
    <w:p>
      <w:pPr>
        <w:pStyle w:val="672"/>
        <w:keepLines/>
        <w:keepNext/>
        <w:spacing w:line="360" w:lineRule="auto"/>
        <w:rPr>
          <w:rFonts w:ascii="Calibri" w:hAnsi="Calibri" w:eastAsia="黑体"/>
          <w:b/>
          <w:bCs/>
          <w:sz w:val="32"/>
          <w:szCs w:val="44"/>
        </w:rPr>
        <w:outlineLvl w:val="0"/>
      </w:pPr>
      <w:r/>
      <w:bookmarkStart w:id="209" w:name="_Toc1813483618"/>
      <w:r>
        <w:rPr>
          <w:rFonts w:hint="eastAsia" w:ascii="Calibri" w:hAnsi="Calibri" w:eastAsia="黑体"/>
          <w:b/>
          <w:bCs/>
          <w:sz w:val="32"/>
          <w:szCs w:val="44"/>
        </w:rPr>
        <w:t xml:space="preserve">十二、资质证书要求</w:t>
      </w:r>
      <w:bookmarkEnd w:id="209"/>
      <w:r>
        <w:rPr>
          <w:rFonts w:ascii="Calibri" w:hAnsi="Calibri" w:eastAsia="黑体"/>
          <w:b/>
          <w:bCs/>
          <w:sz w:val="32"/>
          <w:szCs w:val="44"/>
        </w:rPr>
      </w:r>
      <w:r/>
    </w:p>
    <w:p>
      <w:pPr>
        <w:pStyle w:val="788"/>
      </w:pPr>
      <w:r>
        <w:rPr>
          <w:rFonts w:hint="eastAsia"/>
        </w:rPr>
        <w:t xml:space="preserve">供应商应具有较高的</w:t>
      </w:r>
      <w:r>
        <w:t xml:space="preserve">IT</w:t>
      </w:r>
      <w:r>
        <w:rPr>
          <w:rFonts w:hint="eastAsia"/>
        </w:rPr>
        <w:t xml:space="preserve">服务能力水平，具有与本项目软件相关的技术实力和经验，需提供以下有效期内资质证书复印件或合同复印件并加盖公章：</w:t>
      </w:r>
      <w:r/>
    </w:p>
    <w:p>
      <w:pPr>
        <w:pStyle w:val="672"/>
        <w:ind w:firstLine="480"/>
        <w:spacing w:line="360" w:lineRule="auto"/>
        <w:rPr>
          <w:rFonts w:ascii="宋体" w:hAnsi="宋体"/>
          <w:sz w:val="24"/>
        </w:rPr>
      </w:pPr>
      <w:r/>
      <w:bookmarkStart w:id="210" w:name="_Toc17455"/>
      <w:r/>
      <w:bookmarkStart w:id="211" w:name="_Toc1947647348"/>
      <w:r/>
      <w:bookmarkStart w:id="212" w:name="_Hlk185203274"/>
      <w:r>
        <w:rPr>
          <w:rFonts w:hint="eastAsia" w:ascii="宋体" w:hAnsi="宋体"/>
          <w:sz w:val="24"/>
        </w:rPr>
        <w:t xml:space="preserve">1、供应商具有信息技术服务管理体系认证证书ISO20000。</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2、供应商具有信息安全管理体系认证证书ISO27001。</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3、供应商具有质量管理体系认证证书ISO9001。</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4、供应商具有采购交易管理信息系统软件著作权登记证书。</w:t>
      </w:r>
      <w:bookmarkEnd w:id="212"/>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5、供应商具有采购交易管理云平台软件著作权登记证书。</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6、供应商提供自2022年1月1日以来承接的类似财政信息化项目的业绩，同一个采购人的合同只作为一个业绩。</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7、项目经理（1人）资质要求：</w:t>
      </w:r>
      <w:r>
        <w:rPr>
          <w:rFonts w:ascii="宋体" w:hAnsi="宋体"/>
          <w:sz w:val="24"/>
        </w:rPr>
      </w:r>
      <w:r/>
    </w:p>
    <w:p>
      <w:pPr>
        <w:pStyle w:val="672"/>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具有“人力资源和社会保障部”和“工业和信息化部”联合颁发的系统集成项目管理工程师证书。</w:t>
      </w:r>
      <w:r>
        <w:rPr>
          <w:rFonts w:ascii="宋体" w:hAnsi="宋体"/>
          <w:sz w:val="24"/>
          <w:szCs w:val="24"/>
        </w:rPr>
      </w:r>
      <w:r/>
    </w:p>
    <w:p>
      <w:pPr>
        <w:pStyle w:val="672"/>
        <w:ind w:firstLine="480"/>
        <w:spacing w:line="360" w:lineRule="auto"/>
        <w:rPr>
          <w:rFonts w:ascii="宋体" w:hAnsi="宋体"/>
          <w:sz w:val="24"/>
          <w:szCs w:val="24"/>
        </w:rPr>
      </w:pPr>
      <w:r>
        <w:rPr>
          <w:rFonts w:hint="eastAsia" w:ascii="宋体" w:hAnsi="宋体"/>
          <w:sz w:val="24"/>
          <w:szCs w:val="24"/>
        </w:rPr>
        <w:t xml:space="preserve">8、项目团队成员（不含项目经理）资质要求：</w:t>
      </w:r>
      <w:r>
        <w:rPr>
          <w:rFonts w:ascii="宋体" w:hAnsi="宋体"/>
          <w:sz w:val="24"/>
          <w:szCs w:val="24"/>
        </w:rPr>
      </w:r>
      <w:r/>
    </w:p>
    <w:p>
      <w:pPr>
        <w:pStyle w:val="672"/>
        <w:ind w:firstLine="480"/>
        <w:spacing w:line="360" w:lineRule="auto"/>
        <w:rPr>
          <w:rFonts w:ascii="宋体" w:hAnsi="宋体"/>
          <w:sz w:val="24"/>
          <w:szCs w:val="24"/>
        </w:rPr>
      </w:pPr>
      <w:r/>
      <w:bookmarkStart w:id="213" w:name="_Hlk185203522"/>
      <w:r>
        <w:rPr>
          <w:rFonts w:hint="eastAsia" w:ascii="宋体" w:hAnsi="宋体"/>
          <w:sz w:val="24"/>
          <w:szCs w:val="24"/>
        </w:rPr>
        <w:t xml:space="preserve">（1）</w:t>
      </w:r>
      <w:r>
        <w:rPr>
          <w:rFonts w:hint="eastAsia" w:ascii="宋体" w:hAnsi="宋体" w:cs="宋体"/>
          <w:sz w:val="24"/>
          <w:szCs w:val="24"/>
        </w:rPr>
        <w:t xml:space="preserve">至少有1名具有中国信息安全测评中心的注册信息安全专业人员（CISP）证书</w:t>
      </w:r>
      <w:r>
        <w:rPr>
          <w:rFonts w:hint="eastAsia" w:ascii="宋体" w:hAnsi="宋体"/>
          <w:sz w:val="24"/>
          <w:szCs w:val="24"/>
        </w:rPr>
        <w:t xml:space="preserve">。</w:t>
      </w:r>
      <w:r>
        <w:rPr>
          <w:rFonts w:ascii="宋体" w:hAnsi="宋体"/>
          <w:sz w:val="24"/>
          <w:szCs w:val="24"/>
        </w:rPr>
      </w:r>
      <w:r/>
    </w:p>
    <w:p>
      <w:pPr>
        <w:pStyle w:val="672"/>
        <w:ind w:firstLine="480"/>
        <w:spacing w:line="360" w:lineRule="auto"/>
        <w:rPr>
          <w:rFonts w:ascii="宋体" w:hAnsi="宋体"/>
          <w:sz w:val="24"/>
          <w:szCs w:val="24"/>
        </w:rPr>
      </w:pPr>
      <w:r>
        <w:rPr>
          <w:rFonts w:hint="eastAsia" w:ascii="宋体" w:hAnsi="宋体"/>
          <w:sz w:val="24"/>
          <w:szCs w:val="24"/>
        </w:rPr>
        <w:t xml:space="preserve">（2）至少有1名具有“人力资源和社会保障部”和“工业和信息化部”联合颁发的数据库系统工程师证书。</w:t>
      </w:r>
      <w:r>
        <w:rPr>
          <w:rFonts w:ascii="宋体" w:hAnsi="宋体"/>
          <w:sz w:val="24"/>
          <w:szCs w:val="24"/>
        </w:rPr>
      </w:r>
      <w:r/>
    </w:p>
    <w:p>
      <w:pPr>
        <w:pStyle w:val="672"/>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cs="宋体"/>
          <w:sz w:val="24"/>
          <w:szCs w:val="24"/>
        </w:rPr>
        <w:t xml:space="preserve">至少有1名具有“中国网络安全审查认证和市场监管大数据中心”颁发的信息安全保障人员认证（CISAW）证书，认证方向：安全软件。</w:t>
      </w:r>
      <w:r>
        <w:rPr>
          <w:rFonts w:ascii="宋体" w:hAnsi="宋体"/>
          <w:sz w:val="24"/>
          <w:szCs w:val="24"/>
        </w:rPr>
      </w:r>
      <w:r/>
    </w:p>
    <w:p>
      <w:pPr>
        <w:pStyle w:val="672"/>
        <w:ind w:firstLine="480"/>
        <w:spacing w:line="360" w:lineRule="auto"/>
        <w:rPr>
          <w:rFonts w:ascii="宋体" w:hAnsi="宋体" w:cs="宋体"/>
          <w:sz w:val="24"/>
          <w:szCs w:val="24"/>
        </w:rPr>
      </w:pPr>
      <w:r>
        <w:rPr>
          <w:rFonts w:hint="eastAsia" w:ascii="宋体" w:hAnsi="宋体"/>
          <w:sz w:val="24"/>
          <w:szCs w:val="24"/>
        </w:rPr>
        <w:t xml:space="preserve">（4）</w:t>
      </w:r>
      <w:bookmarkEnd w:id="213"/>
      <w:r>
        <w:rPr>
          <w:rFonts w:hint="eastAsia" w:ascii="宋体" w:hAnsi="宋体" w:cs="宋体"/>
          <w:sz w:val="24"/>
          <w:szCs w:val="24"/>
        </w:rPr>
        <w:t xml:space="preserve">至少有1名具有“中国网络安全审查认证和市场监管大数据中心”颁发的信息安全保障人员认证（CISAW）证书，认证方向：安全运维。</w:t>
      </w:r>
      <w:r>
        <w:rPr>
          <w:rFonts w:ascii="宋体" w:hAnsi="宋体" w:cs="宋体"/>
          <w:sz w:val="24"/>
          <w:szCs w:val="24"/>
        </w:rPr>
      </w:r>
      <w:r/>
    </w:p>
    <w:p>
      <w:pPr>
        <w:pStyle w:val="672"/>
        <w:keepLines/>
        <w:keepNext/>
        <w:spacing w:line="360" w:lineRule="auto"/>
        <w:rPr>
          <w:rFonts w:ascii="Calibri" w:hAnsi="Calibri" w:eastAsia="黑体"/>
          <w:b/>
          <w:bCs/>
          <w:sz w:val="32"/>
          <w:szCs w:val="44"/>
        </w:rPr>
        <w:outlineLvl w:val="0"/>
      </w:pPr>
      <w:r>
        <w:rPr>
          <w:rFonts w:hint="eastAsia" w:ascii="Calibri" w:hAnsi="Calibri" w:eastAsia="黑体"/>
          <w:b/>
          <w:bCs/>
          <w:sz w:val="32"/>
          <w:szCs w:val="44"/>
        </w:rPr>
        <w:t xml:space="preserve">十三、技术方案要求</w:t>
      </w:r>
      <w:bookmarkEnd w:id="210"/>
      <w:r/>
      <w:bookmarkEnd w:id="211"/>
      <w:r>
        <w:rPr>
          <w:rFonts w:ascii="Calibri" w:hAnsi="Calibri" w:eastAsia="黑体"/>
          <w:b/>
          <w:bCs/>
          <w:sz w:val="32"/>
          <w:szCs w:val="44"/>
        </w:rPr>
      </w:r>
      <w:r/>
    </w:p>
    <w:p>
      <w:pPr>
        <w:pStyle w:val="788"/>
      </w:pPr>
      <w:r>
        <w:rPr>
          <w:rFonts w:hint="eastAsia"/>
        </w:rPr>
        <w:t xml:space="preserve">供应商应具有较高的</w:t>
      </w:r>
      <w:r>
        <w:t xml:space="preserve">IT</w:t>
      </w:r>
      <w:r>
        <w:rPr>
          <w:rFonts w:hint="eastAsia"/>
        </w:rPr>
        <w:t xml:space="preserve">服务能力水平，具有与本项目软件相关的经验，提供技术方案支撑。</w:t>
      </w:r>
      <w:r/>
    </w:p>
    <w:p>
      <w:pPr>
        <w:pStyle w:val="672"/>
        <w:ind w:firstLine="480"/>
        <w:spacing w:line="360" w:lineRule="auto"/>
        <w:rPr>
          <w:rFonts w:ascii="宋体" w:hAnsi="宋体"/>
          <w:sz w:val="24"/>
          <w:szCs w:val="24"/>
        </w:rPr>
      </w:pPr>
      <w:r>
        <w:rPr>
          <w:rFonts w:hint="eastAsia" w:ascii="宋体" w:hAnsi="宋体"/>
          <w:sz w:val="24"/>
          <w:szCs w:val="24"/>
        </w:rPr>
        <w:t xml:space="preserve">1、项目重难点分析</w:t>
      </w:r>
      <w:r>
        <w:rPr>
          <w:rFonts w:ascii="宋体" w:hAnsi="宋体"/>
          <w:sz w:val="24"/>
          <w:szCs w:val="24"/>
        </w:rPr>
      </w:r>
      <w:r/>
    </w:p>
    <w:p>
      <w:pPr>
        <w:pStyle w:val="672"/>
        <w:ind w:firstLine="480"/>
        <w:spacing w:line="360" w:lineRule="auto"/>
        <w:rPr>
          <w:rFonts w:hint="eastAsia" w:ascii="宋体" w:hAnsi="宋体" w:cs="宋体"/>
          <w:sz w:val="24"/>
          <w:szCs w:val="24"/>
          <w:highlight w:val="none"/>
        </w:rPr>
      </w:pPr>
      <w:r>
        <w:rPr>
          <w:rFonts w:hint="eastAsia" w:ascii="宋体" w:hAnsi="宋体" w:cs="宋体"/>
          <w:sz w:val="24"/>
          <w:szCs w:val="24"/>
        </w:rPr>
        <w:t xml:space="preserve">结合江苏省实际业务需求，对本项目建设过程中的重点、难点进行分析，提供分析方</w:t>
      </w:r>
      <w:r>
        <w:rPr>
          <w:rFonts w:hint="eastAsia" w:ascii="宋体" w:hAnsi="宋体" w:cs="宋体"/>
          <w:sz w:val="24"/>
          <w:szCs w:val="24"/>
          <w:highlight w:val="none"/>
        </w:rPr>
        <w:t xml:space="preserve">案。方案内容包括但不限于应对措施和解决方案等。</w:t>
      </w:r>
      <w:r>
        <w:rPr>
          <w:rFonts w:hint="eastAsia" w:ascii="宋体" w:hAnsi="宋体" w:cs="宋体"/>
          <w:sz w:val="24"/>
          <w:szCs w:val="24"/>
          <w:highlight w:val="none"/>
        </w:rPr>
      </w:r>
      <w:r/>
    </w:p>
    <w:p>
      <w:pPr>
        <w:pStyle w:val="67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结合江苏省政府采购业务实际需求，针对本项目三项核心业务相关功能及政策要求，全面梳理项目建设过程中的核心重点、难点。针对每个重难点，详细分析重、难点成因、潜在影响，提供具体的应对措施，形成可执行、可落地的具体方案。同时需结合江苏省财政信息化建设以及政府采购业务，说明方案的可行性与实施步骤。</w:t>
      </w:r>
      <w:r>
        <w:rPr>
          <w:rFonts w:hint="eastAsia" w:ascii="宋体" w:hAnsi="宋体" w:cs="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sz w:val="24"/>
          <w:szCs w:val="24"/>
          <w:highlight w:val="none"/>
        </w:rPr>
        <w:t xml:space="preserve">2、总体设计方案</w:t>
      </w:r>
      <w:r>
        <w:rPr>
          <w:rFonts w:ascii="宋体" w:hAnsi="宋体"/>
          <w:sz w:val="24"/>
          <w:szCs w:val="24"/>
          <w:highlight w:val="none"/>
        </w:rPr>
      </w:r>
      <w:r/>
    </w:p>
    <w:p>
      <w:pPr>
        <w:pStyle w:val="672"/>
        <w:ind w:firstLine="480"/>
        <w:spacing w:line="360" w:lineRule="auto"/>
        <w:rPr>
          <w:rFonts w:hint="eastAsia" w:ascii="宋体" w:hAnsi="宋体"/>
          <w:sz w:val="24"/>
          <w:szCs w:val="24"/>
          <w:highlight w:val="none"/>
        </w:rPr>
      </w:pPr>
      <w:r>
        <w:rPr>
          <w:rFonts w:hint="eastAsia" w:ascii="宋体" w:hAnsi="宋体" w:cs="宋体"/>
          <w:sz w:val="24"/>
          <w:szCs w:val="24"/>
          <w:highlight w:val="none"/>
        </w:rPr>
        <w:t xml:space="preserve">结合江苏省财政信息化建设顶层设计，提出总体设计方案。方案内容包括但不限于应用架构、技术架构、部署方式等</w:t>
      </w:r>
      <w:r>
        <w:rPr>
          <w:rFonts w:hint="eastAsia" w:ascii="宋体" w:hAnsi="宋体"/>
          <w:sz w:val="24"/>
          <w:szCs w:val="24"/>
          <w:highlight w:val="none"/>
        </w:rPr>
        <w:t xml:space="preserve">。</w:t>
      </w:r>
      <w:r>
        <w:rPr>
          <w:rFonts w:hint="eastAsia" w:ascii="宋体" w:hAnsi="宋体"/>
          <w:sz w:val="24"/>
          <w:szCs w:val="24"/>
          <w:highlight w:val="none"/>
        </w:rPr>
      </w:r>
      <w:r/>
    </w:p>
    <w:p>
      <w:pPr>
        <w:pStyle w:val="67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总体设计方案需严格遵循江苏省财政信息化建设顶层设计框架，确保与现有 “苏采云” 系统、预算管理一体化系统等平台的技术架构兼容。方案内容包含但不限于对应用架构、技术架构、部署方式等方面进行详细设计与阐述，同时确保系统性能满足江苏省政府采购业务及信息系统建设要求。同时需说明总体设计的可扩展性，预留未来江苏省政府采购业务需求发展的功能性接口和模块接入点。</w:t>
      </w:r>
      <w:r>
        <w:rPr>
          <w:rFonts w:hint="eastAsia" w:ascii="宋体" w:hAnsi="宋体" w:cs="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sz w:val="24"/>
          <w:szCs w:val="24"/>
          <w:highlight w:val="none"/>
        </w:rPr>
        <w:t xml:space="preserve">3、功能设计方案-功能1</w:t>
      </w:r>
      <w:r>
        <w:rPr>
          <w:rFonts w:ascii="宋体" w:hAnsi="宋体"/>
          <w:sz w:val="24"/>
          <w:szCs w:val="24"/>
          <w:highlight w:val="none"/>
        </w:rPr>
      </w:r>
      <w:r/>
    </w:p>
    <w:p>
      <w:pPr>
        <w:pStyle w:val="672"/>
        <w:ind w:firstLine="480"/>
        <w:spacing w:line="360" w:lineRule="auto"/>
        <w:rPr>
          <w:rFonts w:hint="eastAsia" w:ascii="宋体" w:hAnsi="宋体"/>
          <w:sz w:val="24"/>
          <w:szCs w:val="24"/>
          <w:highlight w:val="none"/>
        </w:rPr>
      </w:pPr>
      <w:r>
        <w:rPr>
          <w:rFonts w:hint="eastAsia" w:ascii="宋体" w:hAnsi="宋体" w:cs="宋体"/>
          <w:sz w:val="24"/>
          <w:szCs w:val="24"/>
          <w:highlight w:val="none"/>
        </w:rPr>
        <w:t xml:space="preserve">根据项目需求，进行功能设计，提供自贸区单一来源项目成交公告增加采用单一来源采购方式理由功能设计方案。方案内容包括但不限于业务功能设计、业务流程图、功能界面等</w:t>
      </w:r>
      <w:r>
        <w:rPr>
          <w:rFonts w:hint="eastAsia" w:ascii="宋体" w:hAnsi="宋体"/>
          <w:sz w:val="24"/>
          <w:szCs w:val="24"/>
          <w:highlight w:val="none"/>
        </w:rPr>
        <w:t xml:space="preserve">。</w:t>
      </w:r>
      <w:r>
        <w:rPr>
          <w:rFonts w:hint="eastAsia" w:ascii="宋体" w:hAnsi="宋体"/>
          <w:sz w:val="24"/>
          <w:szCs w:val="24"/>
          <w:highlight w:val="none"/>
        </w:rPr>
      </w:r>
      <w:r/>
    </w:p>
    <w:p>
      <w:pPr>
        <w:pStyle w:val="67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根据项目需求，</w:t>
      </w:r>
      <w:r>
        <w:rPr>
          <w:rFonts w:ascii="宋体" w:hAnsi="宋体" w:cs="宋体"/>
          <w:sz w:val="24"/>
          <w:szCs w:val="24"/>
          <w:highlight w:val="none"/>
        </w:rPr>
        <w:t xml:space="preserve">严格对标国务院及江苏省</w:t>
      </w:r>
      <w:r>
        <w:rPr>
          <w:rFonts w:hint="eastAsia" w:ascii="宋体" w:hAnsi="宋体" w:cs="宋体"/>
          <w:sz w:val="24"/>
          <w:szCs w:val="24"/>
          <w:highlight w:val="none"/>
        </w:rPr>
        <w:t xml:space="preserve">对于自贸区单一来源项目成交公告增加采用单一来源采购方式理由的</w:t>
      </w:r>
      <w:r>
        <w:rPr>
          <w:rFonts w:ascii="宋体" w:hAnsi="宋体" w:cs="宋体"/>
          <w:sz w:val="24"/>
          <w:szCs w:val="24"/>
          <w:highlight w:val="none"/>
        </w:rPr>
        <w:t xml:space="preserve">相关政策要求，</w:t>
      </w:r>
      <w:r>
        <w:rPr>
          <w:rFonts w:hint="eastAsia" w:ascii="宋体" w:hAnsi="宋体" w:cs="宋体"/>
          <w:sz w:val="24"/>
          <w:szCs w:val="24"/>
          <w:highlight w:val="none"/>
        </w:rPr>
        <w:t xml:space="preserve">形成功能设计方案。方案内容包括但不限于功能设计、业务流程图、</w:t>
      </w:r>
      <w:r>
        <w:rPr>
          <w:rFonts w:ascii="宋体" w:hAnsi="宋体" w:cs="宋体"/>
          <w:sz w:val="24"/>
          <w:szCs w:val="24"/>
          <w:highlight w:val="none"/>
        </w:rPr>
        <w:t xml:space="preserve">功能界面</w:t>
      </w:r>
      <w:r>
        <w:rPr>
          <w:rFonts w:hint="eastAsia" w:ascii="宋体" w:hAnsi="宋体" w:cs="宋体"/>
          <w:sz w:val="24"/>
          <w:szCs w:val="24"/>
          <w:highlight w:val="none"/>
        </w:rPr>
        <w:t xml:space="preserve">等，并确保应用时保障自贸区、代理机构、采购人、监管部门等采购主体获得对应权限并可按全省政府采购业务要求扩展，数据流转及异常处理路径清晰，功能界面及响应逻辑与现有系统保持一致。</w:t>
      </w:r>
      <w:r>
        <w:rPr>
          <w:rFonts w:ascii="宋体" w:hAnsi="宋体" w:cs="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sz w:val="24"/>
          <w:szCs w:val="24"/>
          <w:highlight w:val="none"/>
        </w:rPr>
        <w:t xml:space="preserve">4、功能设计方案-功能2</w:t>
      </w:r>
      <w:r>
        <w:rPr>
          <w:rFonts w:ascii="宋体" w:hAnsi="宋体"/>
          <w:sz w:val="24"/>
          <w:szCs w:val="24"/>
          <w:highlight w:val="none"/>
        </w:rPr>
      </w:r>
      <w:r/>
    </w:p>
    <w:p>
      <w:pPr>
        <w:pStyle w:val="672"/>
        <w:ind w:firstLine="480"/>
        <w:spacing w:line="360" w:lineRule="auto"/>
        <w:rPr>
          <w:rFonts w:hint="eastAsia" w:ascii="宋体" w:hAnsi="宋体"/>
          <w:sz w:val="24"/>
          <w:szCs w:val="24"/>
          <w:highlight w:val="none"/>
        </w:rPr>
      </w:pPr>
      <w:r>
        <w:rPr>
          <w:rFonts w:hint="eastAsia" w:ascii="宋体" w:hAnsi="宋体" w:cs="宋体"/>
          <w:sz w:val="24"/>
          <w:szCs w:val="24"/>
          <w:highlight w:val="none"/>
        </w:rPr>
        <w:t xml:space="preserve">根据项目需求，进行功能设计，提供中标供应商选定功能设计方案。方案内容包括但不限于业务功能设计、业务流程图、功能界面等</w:t>
      </w:r>
      <w:r>
        <w:rPr>
          <w:rFonts w:hint="eastAsia" w:ascii="宋体" w:hAnsi="宋体"/>
          <w:sz w:val="24"/>
          <w:szCs w:val="24"/>
          <w:highlight w:val="none"/>
        </w:rPr>
        <w:t xml:space="preserve">。</w:t>
      </w:r>
      <w:r>
        <w:rPr>
          <w:rFonts w:hint="eastAsia" w:ascii="宋体" w:hAnsi="宋体"/>
          <w:sz w:val="24"/>
          <w:szCs w:val="24"/>
          <w:highlight w:val="none"/>
        </w:rPr>
      </w:r>
      <w:r/>
    </w:p>
    <w:p>
      <w:pPr>
        <w:pStyle w:val="672"/>
        <w:ind w:firstLine="480"/>
        <w:spacing w:line="360" w:lineRule="auto"/>
        <w:rPr>
          <w:rFonts w:ascii="宋体" w:hAnsi="宋体" w:cs="宋体"/>
          <w:sz w:val="24"/>
          <w:szCs w:val="24"/>
          <w:highlight w:val="none"/>
        </w:rPr>
      </w:pPr>
      <w:r>
        <w:rPr>
          <w:rFonts w:hint="eastAsia" w:ascii="宋体" w:hAnsi="宋体"/>
          <w:sz w:val="24"/>
          <w:szCs w:val="24"/>
          <w:highlight w:val="none"/>
        </w:rPr>
        <w:t xml:space="preserve">方案</w:t>
      </w:r>
      <w:r>
        <w:rPr>
          <w:rFonts w:ascii="宋体" w:hAnsi="宋体" w:cs="宋体"/>
          <w:sz w:val="24"/>
          <w:szCs w:val="24"/>
          <w:highlight w:val="none"/>
        </w:rPr>
        <w:t xml:space="preserve">需</w:t>
      </w:r>
      <w:r>
        <w:rPr>
          <w:rFonts w:hint="eastAsia" w:ascii="宋体" w:hAnsi="宋体" w:cs="宋体"/>
          <w:sz w:val="24"/>
          <w:szCs w:val="24"/>
          <w:highlight w:val="none"/>
        </w:rPr>
        <w:t xml:space="preserve">依据相关政策要求，</w:t>
      </w:r>
      <w:r>
        <w:rPr>
          <w:rFonts w:ascii="宋体" w:hAnsi="宋体" w:cs="宋体"/>
          <w:sz w:val="24"/>
          <w:szCs w:val="24"/>
          <w:highlight w:val="none"/>
        </w:rPr>
        <w:t xml:space="preserve">严格区分</w:t>
      </w:r>
      <w:r>
        <w:rPr>
          <w:rFonts w:hint="eastAsia" w:ascii="宋体" w:hAnsi="宋体" w:cs="宋体"/>
          <w:sz w:val="24"/>
          <w:szCs w:val="24"/>
          <w:highlight w:val="none"/>
        </w:rPr>
        <w:t xml:space="preserve">并明确江苏省政府采购业务的</w:t>
      </w:r>
      <w:r>
        <w:rPr>
          <w:rFonts w:ascii="宋体" w:hAnsi="宋体" w:cs="宋体"/>
          <w:sz w:val="24"/>
          <w:szCs w:val="24"/>
          <w:highlight w:val="none"/>
        </w:rPr>
        <w:t xml:space="preserve">评审</w:t>
      </w:r>
      <w:r>
        <w:rPr>
          <w:rFonts w:hint="eastAsia" w:ascii="宋体" w:hAnsi="宋体" w:cs="宋体"/>
          <w:sz w:val="24"/>
          <w:szCs w:val="24"/>
          <w:highlight w:val="none"/>
        </w:rPr>
        <w:t xml:space="preserve">、候选人名单锁定、中标供应商锁定等业务</w:t>
      </w:r>
      <w:r>
        <w:rPr>
          <w:rFonts w:ascii="宋体" w:hAnsi="宋体" w:cs="宋体"/>
          <w:sz w:val="24"/>
          <w:szCs w:val="24"/>
          <w:highlight w:val="none"/>
        </w:rPr>
        <w:t xml:space="preserve">场景</w:t>
      </w:r>
      <w:r>
        <w:rPr>
          <w:rFonts w:hint="eastAsia" w:ascii="宋体" w:hAnsi="宋体" w:cs="宋体"/>
          <w:sz w:val="24"/>
          <w:szCs w:val="24"/>
          <w:highlight w:val="none"/>
        </w:rPr>
        <w:t xml:space="preserve">设置</w:t>
      </w:r>
      <w:r>
        <w:rPr>
          <w:rFonts w:ascii="宋体" w:hAnsi="宋体" w:cs="宋体"/>
          <w:sz w:val="24"/>
          <w:szCs w:val="24"/>
          <w:highlight w:val="none"/>
        </w:rPr>
        <w:t xml:space="preserve">操作流程与权限边界</w:t>
      </w:r>
      <w:r>
        <w:rPr>
          <w:rFonts w:hint="eastAsia" w:ascii="宋体" w:hAnsi="宋体" w:cs="宋体"/>
          <w:sz w:val="24"/>
          <w:szCs w:val="24"/>
          <w:highlight w:val="none"/>
        </w:rPr>
        <w:t xml:space="preserve">，</w:t>
      </w:r>
      <w:r>
        <w:rPr>
          <w:rFonts w:ascii="宋体" w:hAnsi="宋体" w:cs="宋体"/>
          <w:sz w:val="24"/>
          <w:szCs w:val="24"/>
          <w:highlight w:val="none"/>
        </w:rPr>
        <w:t xml:space="preserve">明确关键节点的规则</w:t>
      </w:r>
      <w:r>
        <w:rPr>
          <w:rFonts w:hint="eastAsia" w:ascii="宋体" w:hAnsi="宋体" w:cs="宋体"/>
          <w:sz w:val="24"/>
          <w:szCs w:val="24"/>
          <w:highlight w:val="none"/>
        </w:rPr>
        <w:t xml:space="preserve">，</w:t>
      </w:r>
      <w:r>
        <w:rPr>
          <w:rFonts w:ascii="宋体" w:hAnsi="宋体" w:cs="宋体"/>
          <w:sz w:val="24"/>
          <w:szCs w:val="24"/>
          <w:highlight w:val="none"/>
        </w:rPr>
        <w:t xml:space="preserve">界面需设置必填项标识、操作提示信息，确保用户操作清晰。</w:t>
      </w:r>
      <w:r>
        <w:rPr>
          <w:rFonts w:ascii="宋体" w:hAnsi="宋体" w:cs="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sz w:val="24"/>
          <w:szCs w:val="24"/>
          <w:highlight w:val="none"/>
        </w:rPr>
        <w:t xml:space="preserve">5、功能设计方案-功能3</w:t>
      </w:r>
      <w:r>
        <w:rPr>
          <w:rFonts w:ascii="宋体" w:hAnsi="宋体"/>
          <w:sz w:val="24"/>
          <w:szCs w:val="24"/>
          <w:highlight w:val="none"/>
        </w:rPr>
      </w:r>
      <w:r/>
    </w:p>
    <w:p>
      <w:pPr>
        <w:pStyle w:val="672"/>
        <w:ind w:firstLine="480"/>
        <w:spacing w:line="360" w:lineRule="auto"/>
        <w:rPr>
          <w:rFonts w:hint="eastAsia" w:ascii="宋体" w:hAnsi="宋体"/>
          <w:sz w:val="24"/>
          <w:szCs w:val="24"/>
          <w:highlight w:val="none"/>
        </w:rPr>
      </w:pPr>
      <w:r>
        <w:rPr>
          <w:rFonts w:hint="eastAsia" w:ascii="宋体" w:hAnsi="宋体" w:cs="宋体"/>
          <w:sz w:val="24"/>
          <w:szCs w:val="24"/>
          <w:highlight w:val="none"/>
        </w:rPr>
        <w:t xml:space="preserve">根据项目需求，进行功能设计，提供政府采购资金支付监测等功能设计方案。方案内容包括但不限于业务功能设计、业务流程图、功能界面等</w:t>
      </w:r>
      <w:r>
        <w:rPr>
          <w:rFonts w:hint="eastAsia" w:ascii="宋体" w:hAnsi="宋体"/>
          <w:sz w:val="24"/>
          <w:szCs w:val="24"/>
          <w:highlight w:val="none"/>
        </w:rPr>
        <w:t xml:space="preserve">。</w:t>
      </w:r>
      <w:r>
        <w:rPr>
          <w:rFonts w:hint="eastAsia" w:ascii="宋体" w:hAnsi="宋体"/>
          <w:sz w:val="24"/>
          <w:szCs w:val="24"/>
          <w:highlight w:val="none"/>
        </w:rPr>
      </w:r>
      <w:r/>
    </w:p>
    <w:p>
      <w:pPr>
        <w:pStyle w:val="672"/>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业务功能设计需围绕</w:t>
      </w:r>
      <w:r>
        <w:rPr>
          <w:rFonts w:hint="eastAsia" w:ascii="宋体" w:hAnsi="宋体" w:cs="宋体"/>
          <w:sz w:val="24"/>
          <w:szCs w:val="24"/>
          <w:highlight w:val="none"/>
        </w:rPr>
        <w:t xml:space="preserve">四</w:t>
      </w:r>
      <w:r>
        <w:rPr>
          <w:rFonts w:ascii="宋体" w:hAnsi="宋体" w:cs="宋体"/>
          <w:sz w:val="24"/>
          <w:szCs w:val="24"/>
          <w:highlight w:val="none"/>
        </w:rPr>
        <w:t xml:space="preserve">项具体需求展开，</w:t>
      </w:r>
      <w:r>
        <w:rPr>
          <w:rFonts w:hint="eastAsia" w:ascii="宋体" w:hAnsi="宋体" w:cs="宋体"/>
          <w:sz w:val="24"/>
          <w:szCs w:val="24"/>
          <w:highlight w:val="none"/>
        </w:rPr>
        <w:t xml:space="preserve">并结合江苏省政府采购项目采购、合同签订、合同支付、支付监测闭环流程，</w:t>
      </w:r>
      <w:r>
        <w:rPr>
          <w:rFonts w:ascii="宋体" w:hAnsi="宋体" w:cs="宋体"/>
          <w:sz w:val="24"/>
          <w:szCs w:val="24"/>
          <w:highlight w:val="none"/>
        </w:rPr>
        <w:t xml:space="preserve">确保</w:t>
      </w:r>
      <w:r>
        <w:rPr>
          <w:rFonts w:hint="eastAsia" w:ascii="宋体" w:hAnsi="宋体" w:cs="宋体"/>
          <w:sz w:val="24"/>
          <w:szCs w:val="24"/>
          <w:highlight w:val="none"/>
        </w:rPr>
        <w:t xml:space="preserve">流程</w:t>
      </w:r>
      <w:r>
        <w:rPr>
          <w:rFonts w:ascii="宋体" w:hAnsi="宋体" w:cs="宋体"/>
          <w:sz w:val="24"/>
          <w:szCs w:val="24"/>
          <w:highlight w:val="none"/>
        </w:rPr>
        <w:t xml:space="preserve">环节的可操作性与数据准确</w:t>
      </w:r>
      <w:r>
        <w:rPr>
          <w:rFonts w:hint="eastAsia" w:ascii="宋体" w:hAnsi="宋体" w:cs="宋体"/>
          <w:sz w:val="24"/>
          <w:szCs w:val="24"/>
          <w:highlight w:val="none"/>
        </w:rPr>
        <w:t xml:space="preserve">；相关统计功能</w:t>
      </w:r>
      <w:r>
        <w:rPr>
          <w:rFonts w:ascii="宋体" w:hAnsi="宋体" w:cs="宋体"/>
          <w:sz w:val="24"/>
          <w:szCs w:val="24"/>
          <w:highlight w:val="none"/>
        </w:rPr>
        <w:t xml:space="preserve">需支持模糊查询、批量</w:t>
      </w:r>
      <w:r>
        <w:rPr>
          <w:rFonts w:hint="eastAsia" w:ascii="宋体" w:hAnsi="宋体" w:cs="宋体"/>
          <w:sz w:val="24"/>
          <w:szCs w:val="24"/>
          <w:highlight w:val="none"/>
        </w:rPr>
        <w:t xml:space="preserve">导出。</w:t>
      </w:r>
      <w:r>
        <w:rPr>
          <w:rFonts w:hint="eastAsia" w:ascii="宋体" w:hAnsi="宋体" w:cs="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sz w:val="24"/>
          <w:szCs w:val="24"/>
          <w:highlight w:val="none"/>
        </w:rPr>
        <w:t xml:space="preserve">6、与外部系统衔接方案</w:t>
      </w:r>
      <w:r>
        <w:rPr>
          <w:rFonts w:ascii="宋体" w:hAnsi="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cs="宋体"/>
          <w:sz w:val="24"/>
          <w:szCs w:val="24"/>
          <w:highlight w:val="none"/>
        </w:rPr>
        <w:t xml:space="preserve">根据项目需求，提供与预算管理一体化系统（预算执行子系统）的衔接方案。方案内容包括但不限于对接规范、对接内容、对接流程、接口开放性和可扩展性等</w:t>
      </w:r>
      <w:r>
        <w:rPr>
          <w:rFonts w:hint="eastAsia" w:ascii="宋体" w:hAnsi="宋体"/>
          <w:sz w:val="24"/>
          <w:szCs w:val="24"/>
          <w:highlight w:val="none"/>
        </w:rPr>
        <w:t xml:space="preserve">。</w:t>
      </w:r>
      <w:r>
        <w:rPr>
          <w:rFonts w:ascii="宋体" w:hAnsi="宋体"/>
          <w:sz w:val="24"/>
          <w:szCs w:val="24"/>
          <w:highlight w:val="none"/>
        </w:rPr>
      </w:r>
      <w:r/>
    </w:p>
    <w:p>
      <w:pPr>
        <w:pStyle w:val="67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目前，预算管理一体化系统（预算执行子系统）与“苏采云”系统在“采购支付”环节的接口现状是：采购人通过“苏采云”系统获取采购合同信息；根据采购合同信息在预算管理一体化系统（预算执行子系统）开展合同支付。支付后将支付信息回传给“苏采云”系统，用于展示合同支付情况。两系统之间的</w:t>
      </w:r>
      <w:r>
        <w:rPr>
          <w:rFonts w:hint="eastAsia" w:ascii="宋体" w:hAnsi="宋体"/>
          <w:sz w:val="24"/>
          <w:szCs w:val="20"/>
          <w:highlight w:val="none"/>
        </w:rPr>
        <w:t xml:space="preserve">接口报文是通过网闸模式实现数据对接和内外网数据交互，遵循《江苏省预算管理一体化数据标准》和《江苏省预算管理一体化业务规范》。</w:t>
      </w:r>
      <w:r>
        <w:rPr>
          <w:rFonts w:ascii="宋体" w:hAnsi="宋体" w:cs="宋体"/>
          <w:sz w:val="24"/>
          <w:szCs w:val="24"/>
          <w:highlight w:val="none"/>
        </w:rPr>
      </w:r>
      <w:r/>
    </w:p>
    <w:p>
      <w:pPr>
        <w:pStyle w:val="672"/>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系统交互要求：</w:t>
      </w:r>
      <w:r>
        <w:rPr>
          <w:rFonts w:hint="eastAsia" w:ascii="宋体" w:hAnsi="宋体"/>
          <w:sz w:val="24"/>
          <w:szCs w:val="24"/>
          <w:highlight w:val="none"/>
        </w:rPr>
      </w:r>
      <w:r/>
    </w:p>
    <w:p>
      <w:pPr>
        <w:pStyle w:val="672"/>
        <w:ind w:firstLine="420"/>
        <w:jc w:val="left"/>
        <w:spacing w:line="360" w:lineRule="auto"/>
        <w:shd w:val="clear" w:color="auto" w:fill="ffffff"/>
        <w:widowControl/>
        <w:rPr>
          <w:rFonts w:ascii="宋体" w:hAnsi="宋体"/>
          <w:sz w:val="24"/>
          <w:szCs w:val="20"/>
          <w:highlight w:val="none"/>
        </w:rPr>
      </w:pPr>
      <w:r>
        <w:rPr>
          <w:rFonts w:hint="eastAsia" w:ascii="宋体" w:hAnsi="宋体"/>
          <w:sz w:val="24"/>
          <w:szCs w:val="20"/>
          <w:highlight w:val="none"/>
        </w:rPr>
        <w:t xml:space="preserve">①全量推送政府采购支付信息：</w:t>
      </w:r>
      <w:r>
        <w:rPr>
          <w:rFonts w:ascii="宋体" w:hAnsi="宋体"/>
          <w:sz w:val="24"/>
          <w:szCs w:val="20"/>
          <w:highlight w:val="none"/>
        </w:rPr>
        <w:t xml:space="preserve">采购人在预算管理一体化系统执行板块完成支付后，预算管理一体化系统即时将相关支付信息推送“苏采云”系统。</w:t>
      </w:r>
      <w:r>
        <w:rPr>
          <w:rFonts w:ascii="宋体" w:hAnsi="宋体"/>
          <w:sz w:val="24"/>
          <w:szCs w:val="20"/>
          <w:highlight w:val="none"/>
        </w:rPr>
      </w:r>
      <w:r/>
    </w:p>
    <w:p>
      <w:pPr>
        <w:pStyle w:val="672"/>
        <w:ind w:firstLine="420"/>
        <w:jc w:val="left"/>
        <w:spacing w:line="360" w:lineRule="auto"/>
        <w:shd w:val="clear" w:color="auto" w:fill="ffffff"/>
        <w:widowControl/>
        <w:rPr>
          <w:rFonts w:ascii="宋体" w:hAnsi="宋体"/>
          <w:sz w:val="24"/>
          <w:szCs w:val="20"/>
          <w:highlight w:val="none"/>
        </w:rPr>
      </w:pPr>
      <w:r>
        <w:rPr>
          <w:rFonts w:hint="eastAsia" w:ascii="宋体" w:hAnsi="宋体"/>
          <w:sz w:val="24"/>
          <w:szCs w:val="20"/>
          <w:highlight w:val="none"/>
        </w:rPr>
        <w:t xml:space="preserve">②增加未按时支付提示功能：</w:t>
      </w:r>
      <w:r>
        <w:rPr>
          <w:rFonts w:ascii="宋体" w:hAnsi="宋体"/>
          <w:sz w:val="24"/>
          <w:szCs w:val="20"/>
          <w:highlight w:val="none"/>
        </w:rPr>
        <w:t xml:space="preserve">预算管理一体化系统执行板块对采购合同约定付款时间与采购人实际支付情况进行比对，如已到约定付款时间但采购人未按时付款，系统自动进行标识并向采购人进行提示，并将相关比对结果推送“苏采云”系统，后者同步对采购人进行提示。</w:t>
      </w:r>
      <w:r>
        <w:rPr>
          <w:rFonts w:ascii="宋体" w:hAnsi="宋体"/>
          <w:sz w:val="24"/>
          <w:szCs w:val="20"/>
          <w:highlight w:val="none"/>
        </w:rPr>
      </w:r>
      <w:r/>
    </w:p>
    <w:p>
      <w:pPr>
        <w:pStyle w:val="67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（1）对接规范：采用通用、开放且符合国家标准的技术规范与接口协议进行系统对接，遵循国家财政信息化相关数据交换标准、XML数据格式规范等。</w:t>
      </w:r>
      <w:r>
        <w:rPr>
          <w:rFonts w:hint="eastAsia" w:ascii="宋体" w:hAnsi="宋体" w:cs="宋体"/>
          <w:sz w:val="24"/>
          <w:szCs w:val="24"/>
          <w:highlight w:val="none"/>
        </w:rPr>
      </w:r>
      <w:r/>
    </w:p>
    <w:p>
      <w:pPr>
        <w:pStyle w:val="67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（2）对接内容：详细梳理业务需求中细化采购合同备案、</w:t>
      </w:r>
      <w:r>
        <w:rPr>
          <w:rFonts w:hint="eastAsia" w:ascii="宋体" w:hAnsi="宋体"/>
          <w:sz w:val="24"/>
          <w:szCs w:val="20"/>
          <w:highlight w:val="none"/>
        </w:rPr>
        <w:t xml:space="preserve">未按时支付提示、合同支付异常以及历史合同支付处理等业务场景涉及的对接需求并进行扩展，构建政府采购合同未及时支付数据对接闭环处理流程。</w:t>
      </w:r>
      <w:r>
        <w:rPr>
          <w:rFonts w:hint="eastAsia" w:ascii="宋体" w:hAnsi="宋体" w:cs="宋体"/>
          <w:sz w:val="24"/>
          <w:szCs w:val="24"/>
          <w:highlight w:val="none"/>
        </w:rPr>
        <w:t xml:space="preserve">提供详细的数据对接方案，确保数据传输的准确性、完整性与及时性，避免因数据传输问题影响业务流程的正常进行</w:t>
      </w:r>
      <w:r>
        <w:rPr>
          <w:rFonts w:ascii="宋体" w:hAnsi="宋体" w:cs="宋体"/>
          <w:sz w:val="24"/>
          <w:szCs w:val="24"/>
          <w:highlight w:val="none"/>
        </w:rPr>
      </w:r>
      <w:r/>
    </w:p>
    <w:p>
      <w:pPr>
        <w:pStyle w:val="672"/>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（3）对接流程：制定清晰的对接流程文档，涵盖数据交互的触发条件、数据传输频率、异常情况处理机制等内容，保证对接流程的高效与稳定。</w:t>
      </w:r>
      <w:r>
        <w:rPr>
          <w:rFonts w:ascii="宋体" w:hAnsi="宋体" w:cs="宋体"/>
          <w:sz w:val="24"/>
          <w:szCs w:val="24"/>
          <w:highlight w:val="none"/>
        </w:rPr>
      </w:r>
      <w:r/>
    </w:p>
    <w:p>
      <w:pPr>
        <w:pStyle w:val="67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（4）接口开放性和可扩展性：方案需体现良好的开放性和可扩展性，便于未来系统升级及与其他新系统对接。</w:t>
      </w:r>
      <w:r>
        <w:rPr>
          <w:rFonts w:hint="eastAsia" w:ascii="宋体" w:hAnsi="宋体" w:cs="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sz w:val="24"/>
          <w:szCs w:val="24"/>
          <w:highlight w:val="none"/>
        </w:rPr>
        <w:t xml:space="preserve">7、数据安全方案</w:t>
      </w:r>
      <w:r>
        <w:rPr>
          <w:rFonts w:ascii="宋体" w:hAnsi="宋体"/>
          <w:sz w:val="24"/>
          <w:szCs w:val="24"/>
          <w:highlight w:val="none"/>
        </w:rPr>
      </w:r>
      <w:r/>
    </w:p>
    <w:p>
      <w:pPr>
        <w:pStyle w:val="672"/>
        <w:ind w:firstLine="480"/>
        <w:spacing w:line="360" w:lineRule="auto"/>
        <w:rPr>
          <w:rFonts w:hint="eastAsia" w:ascii="宋体" w:hAnsi="宋体"/>
          <w:sz w:val="24"/>
          <w:szCs w:val="24"/>
          <w:highlight w:val="none"/>
        </w:rPr>
      </w:pPr>
      <w:r>
        <w:rPr>
          <w:rFonts w:hint="eastAsia" w:ascii="宋体" w:hAnsi="宋体" w:cs="宋体"/>
          <w:sz w:val="24"/>
          <w:szCs w:val="24"/>
          <w:highlight w:val="none"/>
        </w:rPr>
        <w:t xml:space="preserve">根据项目需求，提供数据安全方案。方案内容包括但不限于从数据分类分级、数据加密、数据脱敏等方面对数据传输、存储、使用的安全分析等</w:t>
      </w:r>
      <w:r>
        <w:rPr>
          <w:rFonts w:hint="eastAsia" w:ascii="宋体" w:hAnsi="宋体"/>
          <w:sz w:val="24"/>
          <w:szCs w:val="24"/>
          <w:highlight w:val="none"/>
        </w:rPr>
        <w:t xml:space="preserve">。</w:t>
      </w:r>
      <w:r>
        <w:rPr>
          <w:rFonts w:hint="eastAsia" w:ascii="宋体" w:hAnsi="宋体"/>
          <w:sz w:val="24"/>
          <w:szCs w:val="24"/>
          <w:highlight w:val="none"/>
        </w:rPr>
      </w:r>
      <w:r/>
    </w:p>
    <w:p>
      <w:pPr>
        <w:pStyle w:val="67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包括明确数据分类分级各级安全保护要求与存储期限，传输认证方式，数据存储加密，主从架构与异地备份等。建立数据访问权限体系，核心数据审批，敏感信息脱敏展示，操作日志管理等安全审计机制。</w:t>
      </w:r>
      <w:r>
        <w:rPr>
          <w:rFonts w:hint="eastAsia" w:ascii="宋体" w:hAnsi="宋体" w:cs="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sz w:val="24"/>
          <w:szCs w:val="24"/>
          <w:highlight w:val="none"/>
        </w:rPr>
        <w:t xml:space="preserve">8、应急方案</w:t>
      </w:r>
      <w:r>
        <w:rPr>
          <w:rFonts w:ascii="宋体" w:hAnsi="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cs="宋体"/>
          <w:sz w:val="24"/>
          <w:szCs w:val="24"/>
          <w:highlight w:val="none"/>
        </w:rPr>
        <w:t xml:space="preserve">根据项目需求，提供应急处理方案。方案内容包括但不限于应急处理机制、应急处理思路、应急处理组织、应急响应预案、具体应急响应方案、应急保障措施和工作流程等</w:t>
      </w:r>
      <w:r>
        <w:rPr>
          <w:rFonts w:hint="eastAsia" w:ascii="宋体" w:hAnsi="宋体"/>
          <w:sz w:val="24"/>
          <w:szCs w:val="24"/>
          <w:highlight w:val="none"/>
        </w:rPr>
        <w:t xml:space="preserve">。</w:t>
      </w:r>
      <w:r>
        <w:rPr>
          <w:rFonts w:ascii="宋体" w:hAnsi="宋体"/>
          <w:sz w:val="24"/>
          <w:szCs w:val="24"/>
          <w:highlight w:val="none"/>
        </w:rPr>
      </w:r>
      <w:r/>
    </w:p>
    <w:p>
      <w:pPr>
        <w:pStyle w:val="67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供应商确保7*24小时电话快速响应，及时处理相关问题；需提供应急服务支持人员电话，在非工作日或非上班时间对紧急事宜响应和处理。</w:t>
      </w:r>
      <w:r>
        <w:rPr>
          <w:rFonts w:hint="eastAsia" w:ascii="宋体" w:hAnsi="宋体" w:cs="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sz w:val="24"/>
          <w:szCs w:val="24"/>
          <w:highlight w:val="none"/>
        </w:rPr>
        <w:t xml:space="preserve">9、项目实施方案</w:t>
      </w:r>
      <w:r>
        <w:rPr>
          <w:rFonts w:ascii="宋体" w:hAnsi="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cs="宋体"/>
          <w:sz w:val="24"/>
          <w:szCs w:val="24"/>
          <w:highlight w:val="none"/>
        </w:rPr>
        <w:t xml:space="preserve">根据项目需求，提供项目实施方案。方案内容包括但不限于质量管理、进度管理、风险管理、沟通管理、文档管理等</w:t>
      </w:r>
      <w:r>
        <w:rPr>
          <w:rFonts w:hint="eastAsia" w:ascii="宋体" w:hAnsi="宋体"/>
          <w:sz w:val="24"/>
          <w:szCs w:val="24"/>
          <w:highlight w:val="none"/>
        </w:rPr>
        <w:t xml:space="preserve">。</w:t>
      </w:r>
      <w:r>
        <w:rPr>
          <w:rFonts w:ascii="宋体" w:hAnsi="宋体"/>
          <w:sz w:val="24"/>
          <w:szCs w:val="24"/>
          <w:highlight w:val="none"/>
        </w:rPr>
      </w:r>
      <w:r/>
    </w:p>
    <w:p>
      <w:pPr>
        <w:pStyle w:val="788"/>
        <w:rPr>
          <w:rFonts w:hint="eastAsia"/>
          <w:highlight w:val="none"/>
        </w:rPr>
      </w:pPr>
      <w:r>
        <w:rPr>
          <w:rFonts w:hint="eastAsia"/>
          <w:highlight w:val="none"/>
        </w:rPr>
        <w:t xml:space="preserve">在配置项目人员时，应充分考虑项目人员的稳定性因素，在保证项目人员的技术能力、业务水平、项目工作经验满足项目要求的前提下，通过选派连续工作多年的技术骨干参与项目实施服务工作。同时需保证项目团队人员稳定，未经采购人同意，不得随意变更项目人员。</w:t>
      </w:r>
      <w:r>
        <w:rPr>
          <w:rFonts w:hint="eastAsia"/>
          <w:highlight w:val="none"/>
        </w:rPr>
      </w:r>
      <w:r/>
    </w:p>
    <w:p>
      <w:pPr>
        <w:pStyle w:val="672"/>
        <w:ind w:firstLine="480"/>
        <w:spacing w:line="360" w:lineRule="auto"/>
        <w:rPr>
          <w:rFonts w:ascii="宋体" w:hAnsi="宋体"/>
          <w:sz w:val="24"/>
          <w:szCs w:val="24"/>
          <w:highlight w:val="none"/>
        </w:rPr>
      </w:pPr>
      <w:r>
        <w:rPr>
          <w:rFonts w:hint="eastAsia" w:ascii="宋体" w:hAnsi="宋体"/>
          <w:sz w:val="24"/>
          <w:szCs w:val="24"/>
          <w:highlight w:val="none"/>
        </w:rPr>
        <w:t xml:space="preserve">10、培训方案</w:t>
      </w:r>
      <w:r>
        <w:rPr>
          <w:rFonts w:ascii="宋体" w:hAnsi="宋体"/>
          <w:sz w:val="24"/>
          <w:szCs w:val="24"/>
          <w:highlight w:val="none"/>
        </w:rPr>
      </w:r>
      <w:r/>
    </w:p>
    <w:p>
      <w:pPr>
        <w:pStyle w:val="672"/>
        <w:ind w:firstLine="480"/>
        <w:spacing w:line="360" w:lineRule="auto"/>
        <w:rPr>
          <w:rFonts w:ascii="宋体" w:hAnsi="宋体"/>
          <w:sz w:val="24"/>
          <w:szCs w:val="24"/>
          <w:highlight w:val="none"/>
        </w:rPr>
      </w:pPr>
      <w:r>
        <w:rPr>
          <w:rFonts w:hint="eastAsia" w:ascii="宋体" w:hAnsi="宋体" w:cs="宋体"/>
          <w:sz w:val="24"/>
          <w:szCs w:val="24"/>
          <w:highlight w:val="none"/>
        </w:rPr>
        <w:t xml:space="preserve">根据项目需求，提供培训方案。方案内容</w:t>
      </w:r>
      <w:r>
        <w:rPr>
          <w:rFonts w:hint="eastAsia"/>
          <w:sz w:val="24"/>
          <w:szCs w:val="24"/>
          <w:highlight w:val="none"/>
        </w:rPr>
        <w:t xml:space="preserve">包括但不限于培训目的、培训时间安排、人数、次数、教材编写、培训课程、培训师资情况、培训组织方式等</w:t>
      </w:r>
      <w:r>
        <w:rPr>
          <w:rFonts w:hint="eastAsia" w:ascii="宋体" w:hAnsi="宋体"/>
          <w:sz w:val="24"/>
          <w:szCs w:val="24"/>
          <w:highlight w:val="none"/>
        </w:rPr>
        <w:t xml:space="preserve">。</w:t>
      </w:r>
      <w:r>
        <w:rPr>
          <w:rFonts w:hint="eastAsia" w:ascii="宋体" w:hAnsi="宋体" w:cs="宋体"/>
          <w:sz w:val="24"/>
          <w:szCs w:val="24"/>
          <w:highlight w:val="none"/>
        </w:rPr>
        <w:t xml:space="preserve">要求：</w:t>
      </w:r>
      <w:r>
        <w:rPr>
          <w:rFonts w:hint="eastAsia" w:cs="宋体"/>
          <w:color w:val="000000"/>
          <w:sz w:val="24"/>
          <w:szCs w:val="24"/>
          <w:highlight w:val="none"/>
        </w:rPr>
        <w:t xml:space="preserve">培训形式灵活多样，培训计划安排合理。</w:t>
      </w:r>
      <w:r>
        <w:rPr>
          <w:rFonts w:ascii="宋体" w:hAnsi="宋体"/>
          <w:sz w:val="24"/>
          <w:szCs w:val="24"/>
          <w:highlight w:val="none"/>
        </w:rPr>
      </w:r>
      <w:r/>
    </w:p>
    <w:p>
      <w:pPr>
        <w:pStyle w:val="67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培训由供应商负责师资及教材，由财政部门提供场地和培训设备并负责受训人员召集，组织实施。供应商必须指派省财政厅认可的具有相关专业资格和实际工作经验的教师及辅导人员进行培训，主要培训教员应具有三年以上的培训经验。</w:t>
      </w:r>
      <w:r>
        <w:rPr>
          <w:rFonts w:hint="eastAsia" w:ascii="宋体" w:hAnsi="宋体" w:cs="宋体"/>
          <w:sz w:val="24"/>
          <w:szCs w:val="24"/>
          <w:highlight w:val="none"/>
        </w:rPr>
      </w:r>
      <w:r/>
    </w:p>
    <w:p>
      <w:pPr>
        <w:pStyle w:val="748"/>
        <w:spacing w:line="360" w:lineRule="auto"/>
        <w:rPr>
          <w:rFonts w:hint="eastAsia" w:ascii="宋体" w:hAnsi="宋体"/>
          <w:sz w:val="24"/>
          <w:szCs w:val="24"/>
          <w:highlight w:val="none"/>
        </w:rPr>
      </w:pPr>
      <w:r>
        <w:rPr>
          <w:rFonts w:hint="eastAsia" w:ascii="宋体" w:hAnsi="宋体"/>
          <w:sz w:val="24"/>
          <w:szCs w:val="24"/>
          <w:highlight w:val="none"/>
        </w:rPr>
        <w:t xml:space="preserve">11、运行维护方案</w:t>
      </w:r>
      <w:r>
        <w:rPr>
          <w:rFonts w:hint="eastAsia" w:ascii="宋体" w:hAnsi="宋体"/>
          <w:sz w:val="24"/>
          <w:szCs w:val="24"/>
          <w:highlight w:val="none"/>
        </w:rPr>
      </w:r>
      <w:r/>
    </w:p>
    <w:p>
      <w:pPr>
        <w:pStyle w:val="748"/>
        <w:spacing w:line="360" w:lineRule="auto"/>
        <w:rPr>
          <w:rFonts w:ascii="宋体" w:hAnsi="宋体" w:cs="宋体"/>
          <w:sz w:val="24"/>
          <w:szCs w:val="24"/>
          <w:highlight w:val="none"/>
        </w:rPr>
      </w:pPr>
      <w:r>
        <w:rPr>
          <w:rFonts w:hint="eastAsia" w:ascii="宋体" w:hAnsi="宋体" w:cs="宋体"/>
          <w:sz w:val="24"/>
          <w:szCs w:val="24"/>
          <w:highlight w:val="none"/>
        </w:rPr>
        <w:t xml:space="preserve">针对本项目需求，提供运行维护方案。方案内容应包含运维服务人员安排、服务方式、服务内容、服务标准等。</w:t>
      </w:r>
      <w:r>
        <w:rPr>
          <w:rFonts w:ascii="宋体" w:hAnsi="宋体" w:cs="宋体"/>
          <w:sz w:val="24"/>
          <w:szCs w:val="24"/>
          <w:highlight w:val="none"/>
        </w:rPr>
      </w:r>
      <w:r/>
    </w:p>
    <w:p>
      <w:pPr>
        <w:pStyle w:val="672"/>
        <w:ind w:firstLine="480"/>
        <w:spacing w:line="360" w:lineRule="auto"/>
        <w:rPr>
          <w:rFonts w:hint="eastAsia" w:ascii="Calibri" w:hAnsi="Calibri"/>
          <w:sz w:val="24"/>
          <w:szCs w:val="22"/>
          <w:highlight w:val="none"/>
        </w:rPr>
      </w:pPr>
      <w:r>
        <w:rPr>
          <w:rFonts w:hint="eastAsia" w:ascii="Calibri" w:hAnsi="Calibri"/>
          <w:sz w:val="24"/>
          <w:szCs w:val="22"/>
          <w:highlight w:val="none"/>
        </w:rPr>
        <w:t xml:space="preserve">供应商负责苏采云系统的运维工作。运维团队成员应具备财政信息化项目相关工作经验。供应商应遵循《江苏财政省级统建信息系统运行维护工作制度（试行）》的运维管理要求，为本项目的实施和运维提供专业化、规范化、高品质的服务，并承诺系统能够正常、稳定、可靠、安全地运行。</w:t>
      </w:r>
      <w:r>
        <w:rPr>
          <w:rFonts w:hint="eastAsia" w:ascii="Calibri" w:hAnsi="Calibri"/>
          <w:sz w:val="24"/>
          <w:szCs w:val="22"/>
          <w:highlight w:val="none"/>
        </w:rPr>
      </w:r>
      <w:r/>
    </w:p>
    <w:p>
      <w:pPr>
        <w:pStyle w:val="672"/>
        <w:keepLines/>
        <w:keepNext/>
        <w:spacing w:line="360" w:lineRule="auto"/>
        <w:rPr>
          <w:rFonts w:ascii="Calibri" w:hAnsi="Calibri" w:eastAsia="黑体"/>
          <w:b/>
          <w:bCs/>
          <w:sz w:val="32"/>
          <w:szCs w:val="44"/>
          <w:highlight w:val="none"/>
        </w:rPr>
        <w:outlineLvl w:val="0"/>
      </w:pPr>
      <w:r/>
      <w:bookmarkStart w:id="214" w:name="_Toc1141830597"/>
      <w:r>
        <w:rPr>
          <w:rFonts w:hint="eastAsia" w:ascii="Calibri" w:hAnsi="Calibri" w:eastAsia="黑体"/>
          <w:b/>
          <w:bCs/>
          <w:sz w:val="32"/>
          <w:szCs w:val="44"/>
          <w:highlight w:val="none"/>
        </w:rPr>
        <w:t xml:space="preserve">十四、其他要求</w:t>
      </w:r>
      <w:bookmarkEnd w:id="214"/>
      <w:r>
        <w:rPr>
          <w:rFonts w:ascii="Calibri" w:hAnsi="Calibri" w:eastAsia="黑体"/>
          <w:b/>
          <w:bCs/>
          <w:sz w:val="32"/>
          <w:szCs w:val="44"/>
          <w:highlight w:val="none"/>
        </w:rPr>
      </w:r>
      <w:r/>
    </w:p>
    <w:p>
      <w:pPr>
        <w:pStyle w:val="672"/>
        <w:ind w:firstLine="480"/>
        <w:spacing w:line="360" w:lineRule="auto"/>
        <w:rPr>
          <w:rFonts w:ascii="Calibri" w:hAnsi="Calibri"/>
          <w:sz w:val="24"/>
          <w:szCs w:val="22"/>
          <w:highlight w:val="none"/>
        </w:rPr>
      </w:pPr>
      <w:r>
        <w:rPr>
          <w:rFonts w:hint="eastAsia" w:ascii="Calibri" w:hAnsi="Calibri"/>
          <w:sz w:val="24"/>
          <w:szCs w:val="22"/>
          <w:highlight w:val="none"/>
        </w:rPr>
        <w:t xml:space="preserve">1、供应商应配合采购人完成数据安全风险评估工作，对系统存在数据安全风险的内容进行整改。</w:t>
      </w:r>
      <w:r>
        <w:rPr>
          <w:rFonts w:ascii="Calibri" w:hAnsi="Calibri"/>
          <w:sz w:val="24"/>
          <w:szCs w:val="22"/>
          <w:highlight w:val="none"/>
        </w:rPr>
      </w:r>
      <w:r/>
    </w:p>
    <w:p>
      <w:pPr>
        <w:pStyle w:val="672"/>
        <w:ind w:firstLine="480"/>
        <w:spacing w:line="360" w:lineRule="auto"/>
        <w:rPr>
          <w:rFonts w:ascii="Calibri" w:hAnsi="Calibri"/>
          <w:sz w:val="24"/>
          <w:szCs w:val="22"/>
          <w:highlight w:val="none"/>
        </w:rPr>
      </w:pPr>
      <w:r>
        <w:rPr>
          <w:rFonts w:hint="eastAsia" w:ascii="Calibri" w:hAnsi="Calibri"/>
          <w:sz w:val="24"/>
          <w:szCs w:val="22"/>
          <w:highlight w:val="none"/>
        </w:rPr>
        <w:t xml:space="preserve">2、在免费运维期内，供应商有义务负责软件的后期维护，对所有不符合规范或江苏省业务特殊性的部分予以修正，及时提供相应的软件升级服务，并持续跟进系统运行情况，及时解决运行中的问题，供应商不得索取额外费用。</w:t>
      </w:r>
      <w:r>
        <w:rPr>
          <w:rFonts w:ascii="Calibri" w:hAnsi="Calibri"/>
          <w:sz w:val="24"/>
          <w:szCs w:val="22"/>
          <w:highlight w:val="none"/>
        </w:rPr>
      </w:r>
      <w:r/>
    </w:p>
    <w:p>
      <w:pPr>
        <w:pStyle w:val="672"/>
        <w:jc w:val="left"/>
        <w:keepLines/>
        <w:keepNext/>
        <w:spacing w:line="360" w:lineRule="auto"/>
        <w:rPr>
          <w:rFonts w:ascii="Calibri" w:hAnsi="Calibri" w:eastAsia="黑体"/>
          <w:b/>
          <w:bCs/>
          <w:sz w:val="32"/>
          <w:szCs w:val="44"/>
        </w:rPr>
        <w:outlineLvl w:val="0"/>
      </w:pPr>
      <w:r>
        <w:rPr>
          <w:rFonts w:hint="eastAsia" w:ascii="Calibri" w:hAnsi="Calibri" w:eastAsia="黑体"/>
          <w:b/>
          <w:bCs/>
          <w:sz w:val="32"/>
          <w:szCs w:val="44"/>
        </w:rPr>
        <w:t xml:space="preserve">十五、商务条款</w:t>
      </w:r>
      <w:bookmarkEnd w:id="199"/>
      <w:r/>
      <w:bookmarkEnd w:id="200"/>
      <w:r>
        <w:rPr>
          <w:rFonts w:ascii="Calibri" w:hAnsi="Calibri" w:eastAsia="黑体"/>
          <w:b/>
          <w:bCs/>
          <w:sz w:val="32"/>
          <w:szCs w:val="44"/>
        </w:rPr>
      </w:r>
      <w:r/>
    </w:p>
    <w:p>
      <w:pPr>
        <w:pStyle w:val="788"/>
        <w:jc w:val="left"/>
      </w:pPr>
      <w:r>
        <w:rPr>
          <w:rFonts w:hint="eastAsia"/>
        </w:rPr>
        <w:t xml:space="preserve">下列款项以人民币方式按照以下进度由采购人办理支付。</w:t>
      </w:r>
      <w:r/>
    </w:p>
    <w:p>
      <w:pPr>
        <w:pStyle w:val="672"/>
        <w:ind w:firstLine="480"/>
        <w:spacing w:line="360" w:lineRule="auto"/>
        <w:rPr>
          <w:rFonts w:ascii="宋体" w:hAnsi="宋体"/>
          <w:sz w:val="24"/>
        </w:rPr>
      </w:pPr>
      <w:r>
        <w:rPr>
          <w:rFonts w:hint="eastAsia" w:ascii="宋体" w:hAnsi="宋体"/>
          <w:sz w:val="24"/>
        </w:rPr>
        <w:t xml:space="preserve">按照项目执行进度分三次付款：</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1.合同签订完成且收到供应商提供的发票后，采购人十五个工作日内支付合同总金额的40%；</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2.项目验收通过且收到供应商提供的发票后，采购人十五个工作日内支付合同总金额的50%；</w:t>
      </w:r>
      <w:r>
        <w:rPr>
          <w:rFonts w:ascii="宋体" w:hAnsi="宋体"/>
          <w:sz w:val="24"/>
        </w:rPr>
      </w:r>
      <w:r/>
    </w:p>
    <w:p>
      <w:pPr>
        <w:pStyle w:val="672"/>
        <w:ind w:firstLine="480"/>
        <w:spacing w:line="360" w:lineRule="auto"/>
        <w:rPr>
          <w:rFonts w:ascii="宋体" w:hAnsi="宋体"/>
          <w:sz w:val="24"/>
        </w:rPr>
      </w:pPr>
      <w:r>
        <w:rPr>
          <w:rFonts w:hint="eastAsia" w:ascii="宋体" w:hAnsi="宋体"/>
          <w:sz w:val="24"/>
        </w:rPr>
        <w:t xml:space="preserve">3.验收通过后满一年且收到供应商提供的发票后，采购人十五个工作日内支付合同总金额的10%。</w:t>
      </w:r>
      <w:r>
        <w:rPr>
          <w:rFonts w:ascii="宋体" w:hAnsi="宋体"/>
          <w:sz w:val="24"/>
        </w:rPr>
      </w:r>
      <w:r/>
    </w:p>
    <w:p>
      <w:pPr>
        <w:pStyle w:val="672"/>
        <w:spacing w:line="0" w:lineRule="atLeast"/>
        <w:rPr>
          <w:rFonts w:hint="eastAsia" w:ascii="宋体" w:hAnsi="宋体"/>
          <w:color w:val="000000"/>
          <w:sz w:val="24"/>
          <w:szCs w:val="24"/>
        </w:rPr>
      </w:pPr>
      <w:r>
        <w:rPr>
          <w:rFonts w:hint="eastAsia" w:ascii="宋体" w:hAnsi="宋体"/>
          <w:color w:val="000000"/>
          <w:sz w:val="24"/>
          <w:szCs w:val="24"/>
        </w:rPr>
      </w:r>
      <w:r/>
    </w:p>
    <w:p>
      <w:pPr>
        <w:pStyle w:val="672"/>
        <w:jc w:val="left"/>
        <w:keepLines/>
        <w:keepNext/>
        <w:spacing w:line="360" w:lineRule="auto"/>
        <w:rPr>
          <w:rFonts w:hint="eastAsia" w:ascii="Calibri" w:hAnsi="Calibri" w:eastAsia="黑体"/>
          <w:b/>
          <w:bCs/>
          <w:sz w:val="32"/>
          <w:szCs w:val="44"/>
        </w:rPr>
        <w:outlineLvl w:val="0"/>
      </w:pPr>
      <w:r>
        <w:rPr>
          <w:rFonts w:hint="eastAsia" w:ascii="Calibri" w:hAnsi="Calibri" w:eastAsia="黑体"/>
          <w:b/>
          <w:bCs/>
          <w:sz w:val="32"/>
          <w:szCs w:val="44"/>
        </w:rPr>
        <w:t xml:space="preserve">十六、其他要求</w:t>
      </w:r>
      <w:r>
        <w:rPr>
          <w:rFonts w:hint="eastAsia" w:ascii="Calibri" w:hAnsi="Calibri" w:eastAsia="黑体"/>
          <w:b/>
          <w:bCs/>
          <w:sz w:val="32"/>
          <w:szCs w:val="44"/>
        </w:rPr>
      </w:r>
      <w:r/>
    </w:p>
    <w:p>
      <w:pPr>
        <w:pStyle w:val="672"/>
        <w:ind w:firstLine="480"/>
        <w:spacing w:line="360" w:lineRule="auto"/>
        <w:rPr>
          <w:rFonts w:hint="eastAsia" w:ascii="宋体" w:hAnsi="宋体"/>
          <w:sz w:val="24"/>
        </w:rPr>
      </w:pPr>
      <w:r>
        <w:rPr>
          <w:rFonts w:hint="eastAsia" w:ascii="宋体" w:hAnsi="宋体"/>
          <w:sz w:val="24"/>
        </w:rPr>
        <w:t xml:space="preserve">1.项目属性：服务类项目。</w:t>
      </w:r>
      <w:r>
        <w:rPr>
          <w:rFonts w:hint="eastAsia" w:ascii="宋体" w:hAnsi="宋体"/>
          <w:sz w:val="24"/>
        </w:rPr>
      </w:r>
      <w:r/>
    </w:p>
    <w:p>
      <w:pPr>
        <w:pStyle w:val="672"/>
        <w:ind w:firstLine="480"/>
        <w:spacing w:line="360" w:lineRule="auto"/>
        <w:rPr>
          <w:rFonts w:hint="eastAsia" w:ascii="宋体" w:hAnsi="宋体"/>
          <w:sz w:val="24"/>
        </w:rPr>
      </w:pPr>
      <w:r>
        <w:rPr>
          <w:rFonts w:hint="eastAsia" w:ascii="宋体" w:hAnsi="宋体"/>
          <w:sz w:val="24"/>
        </w:rPr>
        <w:t xml:space="preserve">2.进口产品投标</w:t>
      </w:r>
      <w:r>
        <w:rPr>
          <w:rFonts w:hint="eastAsia" w:ascii="宋体" w:hAnsi="宋体"/>
          <w:sz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9"/>
        <w:gridCol w:w="4170"/>
      </w:tblGrid>
      <w:tr>
        <w:trPr/>
        <w:tc>
          <w:tcPr>
            <w:tcW w:w="1759" w:type="dxa"/>
            <w:vAlign w:val="top"/>
            <w:textDirection w:val="lrTb"/>
            <w:noWrap w:val="false"/>
          </w:tcPr>
          <w:p>
            <w:pPr>
              <w:pStyle w:val="672"/>
              <w:ind w:firstLine="480"/>
              <w:spacing w:line="360" w:lineRule="auto"/>
              <w:rPr>
                <w:rFonts w:hint="eastAsia" w:ascii="宋体" w:hAnsi="宋体"/>
                <w:sz w:val="24"/>
              </w:rPr>
            </w:pPr>
            <w:r>
              <w:rPr>
                <w:rFonts w:hint="eastAsia" w:ascii="宋体" w:hAnsi="宋体"/>
                <w:sz w:val="24"/>
              </w:rPr>
              <w:t xml:space="preserve">采购包号</w:t>
            </w:r>
            <w:r>
              <w:rPr>
                <w:rFonts w:hint="eastAsia" w:ascii="宋体" w:hAnsi="宋体"/>
                <w:sz w:val="24"/>
              </w:rPr>
            </w:r>
            <w:r/>
          </w:p>
        </w:tc>
        <w:tc>
          <w:tcPr>
            <w:tcW w:w="4170" w:type="dxa"/>
            <w:vAlign w:val="top"/>
            <w:textDirection w:val="lrTb"/>
            <w:noWrap w:val="false"/>
          </w:tcPr>
          <w:p>
            <w:pPr>
              <w:pStyle w:val="672"/>
              <w:ind w:firstLine="480"/>
              <w:spacing w:line="360" w:lineRule="auto"/>
              <w:rPr>
                <w:rFonts w:hint="eastAsia" w:ascii="宋体" w:hAnsi="宋体"/>
                <w:sz w:val="24"/>
              </w:rPr>
            </w:pPr>
            <w:r>
              <w:rPr>
                <w:rFonts w:hint="eastAsia" w:ascii="宋体" w:hAnsi="宋体"/>
                <w:sz w:val="24"/>
              </w:rPr>
              <w:t xml:space="preserve">是否接受进口产品投标（是/否）</w:t>
            </w:r>
            <w:r>
              <w:rPr>
                <w:rFonts w:hint="eastAsia" w:ascii="宋体" w:hAnsi="宋体"/>
                <w:sz w:val="24"/>
              </w:rPr>
            </w:r>
            <w:r/>
          </w:p>
        </w:tc>
      </w:tr>
      <w:tr>
        <w:trPr/>
        <w:tc>
          <w:tcPr>
            <w:tcW w:w="1759" w:type="dxa"/>
            <w:vAlign w:val="top"/>
            <w:textDirection w:val="lrTb"/>
            <w:noWrap w:val="false"/>
          </w:tcPr>
          <w:p>
            <w:pPr>
              <w:pStyle w:val="672"/>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r>
            <w:r/>
          </w:p>
        </w:tc>
        <w:tc>
          <w:tcPr>
            <w:tcW w:w="4170" w:type="dxa"/>
            <w:vAlign w:val="top"/>
            <w:textDirection w:val="lrTb"/>
            <w:noWrap w:val="false"/>
          </w:tcPr>
          <w:p>
            <w:pPr>
              <w:pStyle w:val="672"/>
              <w:ind w:firstLine="480"/>
              <w:spacing w:line="360" w:lineRule="auto"/>
              <w:rPr>
                <w:rFonts w:hint="eastAsia" w:ascii="宋体" w:hAnsi="宋体"/>
                <w:sz w:val="24"/>
              </w:rPr>
            </w:pPr>
            <w:r>
              <w:rPr>
                <w:rFonts w:hint="eastAsia" w:ascii="宋体" w:hAnsi="宋体"/>
                <w:sz w:val="24"/>
              </w:rPr>
              <w:t xml:space="preserve">否</w:t>
            </w:r>
            <w:r>
              <w:rPr>
                <w:rFonts w:hint="eastAsia" w:ascii="宋体" w:hAnsi="宋体"/>
                <w:sz w:val="24"/>
              </w:rPr>
            </w:r>
            <w:r/>
          </w:p>
        </w:tc>
      </w:tr>
    </w:tbl>
    <w:p>
      <w:pPr>
        <w:pStyle w:val="672"/>
        <w:rPr>
          <w:rFonts w:hint="eastAsia" w:ascii="宋体" w:hAnsi="宋体"/>
          <w:sz w:val="24"/>
          <w:szCs w:val="24"/>
        </w:rPr>
      </w:pPr>
      <w:r>
        <w:rPr>
          <w:rFonts w:hint="eastAsia" w:ascii="宋体" w:hAnsi="宋体"/>
          <w:sz w:val="24"/>
          <w:szCs w:val="24"/>
        </w:rPr>
      </w:r>
      <w:r/>
    </w:p>
    <w:p>
      <w:pPr>
        <w:pStyle w:val="672"/>
        <w:ind w:firstLine="480"/>
        <w:spacing w:line="560" w:lineRule="exact"/>
        <w:rPr>
          <w:rFonts w:hint="eastAsia" w:ascii="宋体" w:hAnsi="宋体"/>
          <w:sz w:val="24"/>
        </w:rPr>
      </w:pPr>
      <w:r>
        <w:rPr>
          <w:rFonts w:hint="eastAsia" w:ascii="宋体" w:hAnsi="宋体"/>
          <w:sz w:val="24"/>
        </w:rPr>
      </w:r>
      <w:r/>
    </w:p>
    <w:p>
      <w:pPr>
        <w:pStyle w:val="672"/>
      </w:pPr>
      <w:r/>
      <w:bookmarkStart w:id="215" w:name="_Toc120614281"/>
      <w:r/>
      <w:r/>
    </w:p>
    <w:p>
      <w:pPr>
        <w:pStyle w:val="672"/>
        <w:rPr>
          <w:rFonts w:hint="eastAsia"/>
        </w:rPr>
      </w:pPr>
      <w:r>
        <w:rPr>
          <w:rFonts w:hint="eastAsia"/>
        </w:rPr>
      </w:r>
      <w:r/>
    </w:p>
    <w:p>
      <w:pPr>
        <w:pStyle w:val="67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72"/>
        <w:rPr>
          <w:rFonts w:hint="eastAsia"/>
        </w:rPr>
      </w:pPr>
      <w:r>
        <w:rPr>
          <w:rFonts w:hint="eastAsia"/>
        </w:rPr>
      </w:r>
      <w:r/>
    </w:p>
    <w:p>
      <w:pPr>
        <w:pStyle w:val="759"/>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672"/>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center"/>
            <w:textDirection w:val="lrTb"/>
            <w:noWrap w:val="false"/>
          </w:tcPr>
          <w:p>
            <w:pPr>
              <w:pStyle w:val="672"/>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center"/>
            <w:textDirection w:val="lrTb"/>
            <w:noWrap w:val="false"/>
          </w:tcPr>
          <w:p>
            <w:pPr>
              <w:pStyle w:val="672"/>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center"/>
            <w:textDirection w:val="lrTb"/>
            <w:noWrap w:val="false"/>
          </w:tcPr>
          <w:p>
            <w:pPr>
              <w:pStyle w:val="672"/>
              <w:jc w:val="center"/>
              <w:rPr>
                <w:rFonts w:ascii="宋体" w:hAnsi="宋体"/>
              </w:rPr>
            </w:pPr>
            <w:r>
              <w:rPr>
                <w:rFonts w:hint="eastAsia" w:ascii="宋体" w:hAnsi="宋体"/>
              </w:rPr>
              <w:t xml:space="preserve">1</w:t>
            </w:r>
            <w:r>
              <w:rPr>
                <w:rFonts w:ascii="宋体" w:hAnsi="宋体"/>
              </w:rPr>
            </w:r>
            <w:r/>
          </w:p>
        </w:tc>
        <w:tc>
          <w:tcPr>
            <w:tcW w:w="1610" w:type="dxa"/>
            <w:vAlign w:val="center"/>
            <w:textDirection w:val="lrTb"/>
            <w:noWrap w:val="false"/>
          </w:tcPr>
          <w:p>
            <w:pPr>
              <w:pStyle w:val="672"/>
              <w:jc w:val="center"/>
              <w:rPr>
                <w:rFonts w:ascii="宋体" w:hAnsi="宋体"/>
              </w:rPr>
            </w:pPr>
            <w:r>
              <w:rPr>
                <w:rFonts w:hint="eastAsia" w:ascii="宋体" w:hAnsi="宋体"/>
              </w:rPr>
              <w:t xml:space="preserve">1</w:t>
            </w:r>
            <w:r>
              <w:rPr>
                <w:rFonts w:ascii="宋体" w:hAnsi="宋体"/>
              </w:rPr>
            </w:r>
            <w:r/>
          </w:p>
        </w:tc>
        <w:tc>
          <w:tcPr>
            <w:tcW w:w="4325" w:type="dxa"/>
            <w:vAlign w:val="center"/>
            <w:textDirection w:val="lrTb"/>
            <w:noWrap w:val="false"/>
          </w:tcPr>
          <w:p>
            <w:pPr>
              <w:pStyle w:val="672"/>
              <w:jc w:val="center"/>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759"/>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59"/>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75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759"/>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759"/>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75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75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75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59"/>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75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75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5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759"/>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759"/>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759"/>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759"/>
        <w:ind w:firstLine="482"/>
        <w:spacing w:line="0" w:lineRule="atLeast"/>
        <w:rPr>
          <w:rFonts w:hint="eastAsia" w:ascii="宋体" w:hAnsi="宋体"/>
          <w:b/>
          <w:sz w:val="36"/>
          <w:szCs w:val="36"/>
        </w:rPr>
      </w:pPr>
      <w:r>
        <w:rPr>
          <w:rFonts w:hint="eastAsia" w:ascii="宋体" w:hAnsi="宋体"/>
          <w:b/>
        </w:rPr>
        <w:t xml:space="preserve">评标方法与评标标准</w:t>
      </w:r>
      <w:r>
        <w:rPr>
          <w:rFonts w:hint="eastAsia"/>
        </w:rPr>
        <w:t xml:space="preserve">  </w:t>
      </w:r>
      <w:r>
        <w:rPr>
          <w:rFonts w:hint="eastAsia" w:ascii="宋体" w:hAnsi="宋体"/>
          <w:b/>
          <w:sz w:val="36"/>
          <w:szCs w:val="36"/>
        </w:rPr>
      </w:r>
      <w:r/>
    </w:p>
    <w:tbl>
      <w:tblPr>
        <w:tblW w:w="8495" w:type="dxa"/>
        <w:tblInd w:w="-108" w:type="dxa"/>
        <w:tblLayout w:type="autofit"/>
        <w:tblCellMar>
          <w:left w:w="108" w:type="dxa"/>
          <w:top w:w="0" w:type="dxa"/>
          <w:right w:w="108" w:type="dxa"/>
          <w:bottom w:w="0" w:type="dxa"/>
        </w:tblCellMar>
        <w:tblLook w:val="04A0" w:firstRow="1" w:lastRow="0" w:firstColumn="1" w:lastColumn="0" w:noHBand="0" w:noVBand="1"/>
      </w:tblPr>
      <w:tblGrid>
        <w:gridCol w:w="1124"/>
        <w:gridCol w:w="6379"/>
        <w:gridCol w:w="992"/>
      </w:tblGrid>
      <w:tr>
        <w:trPr>
          <w:trHeight w:val="600"/>
        </w:trPr>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672"/>
              <w:jc w:val="left"/>
              <w:widowControl/>
              <w:rPr>
                <w:rFonts w:ascii="宋体" w:hAnsi="宋体" w:cs="宋体"/>
                <w:b/>
                <w:bCs/>
                <w:highlight w:val="none"/>
              </w:rPr>
            </w:pPr>
            <w:r>
              <w:rPr>
                <w:rFonts w:hint="eastAsia" w:ascii="宋体" w:hAnsi="宋体" w:cs="宋体"/>
                <w:b/>
                <w:bCs/>
                <w:highlight w:val="none"/>
              </w:rPr>
              <w:t xml:space="preserve">评分项</w:t>
            </w:r>
            <w:r>
              <w:rPr>
                <w:rFonts w:ascii="宋体" w:hAnsi="宋体" w:cs="宋体"/>
                <w:b/>
                <w:bCs/>
                <w:highlight w:val="none"/>
              </w:rPr>
            </w:r>
            <w:r/>
          </w:p>
        </w:tc>
        <w:tc>
          <w:tcPr>
            <w:tcBorders>
              <w:top w:val="single" w:color="000000" w:sz="8" w:space="0"/>
              <w:left w:val="none" w:color="000000" w:sz="4" w:space="0"/>
              <w:bottom w:val="single" w:color="000000" w:sz="8" w:space="0"/>
              <w:right w:val="single" w:color="000000" w:sz="8" w:space="0"/>
            </w:tcBorders>
            <w:tcW w:w="6379" w:type="dxa"/>
            <w:vAlign w:val="center"/>
            <w:textDirection w:val="lrTb"/>
            <w:noWrap w:val="false"/>
          </w:tcPr>
          <w:p>
            <w:pPr>
              <w:pStyle w:val="672"/>
              <w:jc w:val="center"/>
              <w:widowControl/>
              <w:rPr>
                <w:rFonts w:ascii="宋体" w:hAnsi="宋体" w:cs="宋体"/>
                <w:b/>
                <w:bCs/>
                <w:highlight w:val="none"/>
              </w:rPr>
            </w:pPr>
            <w:r>
              <w:rPr>
                <w:rFonts w:hint="eastAsia" w:ascii="宋体" w:hAnsi="宋体" w:cs="宋体"/>
                <w:b/>
                <w:bCs/>
                <w:highlight w:val="none"/>
              </w:rPr>
              <w:t xml:space="preserve">评分内容</w:t>
            </w:r>
            <w:r>
              <w:rPr>
                <w:rFonts w:ascii="宋体" w:hAnsi="宋体" w:cs="宋体"/>
                <w:b/>
                <w:bCs/>
                <w:highlight w:val="none"/>
              </w:rPr>
            </w:r>
            <w:r/>
          </w:p>
        </w:tc>
        <w:tc>
          <w:tcPr>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b/>
                <w:bCs/>
                <w:highlight w:val="none"/>
              </w:rPr>
            </w:pPr>
            <w:r>
              <w:rPr>
                <w:rFonts w:hint="eastAsia" w:ascii="宋体" w:hAnsi="宋体" w:cs="宋体"/>
                <w:b/>
                <w:bCs/>
                <w:highlight w:val="none"/>
              </w:rPr>
              <w:t xml:space="preserve">分值</w:t>
            </w:r>
            <w:r>
              <w:rPr>
                <w:rFonts w:ascii="宋体" w:hAnsi="宋体" w:cs="宋体"/>
                <w:b/>
                <w:bCs/>
                <w:highlight w:val="none"/>
              </w:rPr>
            </w:r>
            <w:r/>
          </w:p>
        </w:tc>
      </w:tr>
      <w:tr>
        <w:trPr>
          <w:trHeight w:val="600"/>
        </w:trPr>
        <w:tc>
          <w:tcPr>
            <w:gridSpan w:val="2"/>
            <w:shd w:val="clear" w:color="auto" w:fill="f1f1f1"/>
            <w:tcBorders>
              <w:top w:val="single" w:color="000000" w:sz="8" w:space="0"/>
              <w:left w:val="single" w:color="000000" w:sz="8" w:space="0"/>
              <w:bottom w:val="single" w:color="000000" w:sz="8" w:space="0"/>
              <w:right w:val="single" w:color="000000" w:sz="8" w:space="0"/>
            </w:tcBorders>
            <w:tcW w:w="7503" w:type="dxa"/>
            <w:vAlign w:val="center"/>
            <w:textDirection w:val="lrTb"/>
            <w:noWrap w:val="false"/>
          </w:tcPr>
          <w:p>
            <w:pPr>
              <w:pStyle w:val="672"/>
              <w:jc w:val="center"/>
              <w:widowControl/>
              <w:rPr>
                <w:rFonts w:ascii="宋体" w:hAnsi="宋体" w:cs="宋体"/>
                <w:b/>
                <w:bCs/>
                <w:highlight w:val="none"/>
              </w:rPr>
            </w:pPr>
            <w:r>
              <w:rPr>
                <w:rFonts w:hint="eastAsia" w:ascii="宋体" w:hAnsi="宋体" w:cs="宋体"/>
                <w:b/>
                <w:bCs/>
                <w:highlight w:val="none"/>
              </w:rPr>
              <w:t xml:space="preserve">报价部分</w:t>
            </w:r>
            <w:r>
              <w:rPr>
                <w:rFonts w:ascii="宋体" w:hAnsi="宋体" w:cs="宋体"/>
                <w:b/>
                <w:bCs/>
                <w:highlight w:val="none"/>
              </w:rPr>
            </w:r>
            <w:r/>
          </w:p>
        </w:tc>
        <w:tc>
          <w:tcPr>
            <w:shd w:val="clear" w:color="auto" w:fill="f1f1f1"/>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b/>
                <w:bCs/>
                <w:highlight w:val="none"/>
              </w:rPr>
            </w:pPr>
            <w:r>
              <w:rPr>
                <w:rFonts w:hint="eastAsia" w:ascii="宋体" w:hAnsi="宋体" w:cs="宋体"/>
                <w:b/>
                <w:bCs/>
                <w:highlight w:val="none"/>
              </w:rPr>
              <w:t xml:space="preserve">10</w:t>
            </w:r>
            <w:r>
              <w:rPr>
                <w:rFonts w:ascii="宋体" w:hAnsi="宋体" w:cs="宋体"/>
                <w:b/>
                <w:bCs/>
                <w:highlight w:val="none"/>
              </w:rPr>
            </w:r>
            <w:r/>
          </w:p>
        </w:tc>
      </w:tr>
      <w:tr>
        <w:trPr>
          <w:trHeight w:val="1010"/>
        </w:trPr>
        <w:tc>
          <w:tcPr>
            <w:tcBorders>
              <w:top w:val="none" w:color="000000" w:sz="4" w:space="0"/>
              <w:left w:val="single" w:color="000000" w:sz="8" w:space="0"/>
              <w:bottom w:val="single" w:color="000000" w:sz="8" w:space="0"/>
              <w:right w:val="single" w:color="000000" w:sz="8" w:space="0"/>
            </w:tcBorders>
            <w:tcW w:w="1124" w:type="dxa"/>
            <w:vAlign w:val="center"/>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一、价格</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采用低价优先法计算，即满足采购文件要求且投标价格最低的投标报价为评标基准价，其价格分为满分。其他供应商的价格分统一按照下列公式计算：投标报价得分=(评标基准价/投标报价)×10</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10</w:t>
            </w:r>
            <w:r>
              <w:rPr>
                <w:rFonts w:ascii="宋体" w:hAnsi="宋体" w:cs="宋体"/>
                <w:highlight w:val="none"/>
              </w:rPr>
            </w:r>
            <w:r/>
          </w:p>
        </w:tc>
      </w:tr>
      <w:tr>
        <w:trPr>
          <w:trHeight w:val="630"/>
        </w:trPr>
        <w:tc>
          <w:tcPr>
            <w:gridSpan w:val="2"/>
            <w:shd w:val="clear" w:color="auto" w:fill="f1f1f1"/>
            <w:tcBorders>
              <w:top w:val="none" w:color="000000" w:sz="4" w:space="0"/>
              <w:left w:val="single" w:color="000000" w:sz="8" w:space="0"/>
              <w:bottom w:val="single" w:color="000000" w:sz="8" w:space="0"/>
              <w:right w:val="single" w:color="000000" w:sz="8" w:space="0"/>
            </w:tcBorders>
            <w:tcW w:w="7503" w:type="dxa"/>
            <w:vAlign w:val="center"/>
            <w:textDirection w:val="lrTb"/>
            <w:noWrap w:val="false"/>
          </w:tcPr>
          <w:p>
            <w:pPr>
              <w:pStyle w:val="672"/>
              <w:jc w:val="center"/>
              <w:widowControl/>
              <w:rPr>
                <w:rFonts w:ascii="宋体" w:hAnsi="宋体" w:cs="宋体"/>
                <w:b/>
                <w:bCs/>
                <w:highlight w:val="none"/>
              </w:rPr>
            </w:pPr>
            <w:r>
              <w:rPr>
                <w:rFonts w:hint="eastAsia" w:ascii="宋体" w:hAnsi="宋体" w:cs="宋体"/>
                <w:b/>
                <w:bCs/>
                <w:highlight w:val="none"/>
              </w:rPr>
              <w:t xml:space="preserve">商务部分</w:t>
            </w:r>
            <w:r>
              <w:rPr>
                <w:rFonts w:ascii="宋体" w:hAnsi="宋体" w:cs="宋体"/>
                <w:b/>
                <w:bCs/>
                <w:highlight w:val="none"/>
              </w:rPr>
            </w:r>
            <w:r/>
          </w:p>
        </w:tc>
        <w:tc>
          <w:tcPr>
            <w:shd w:val="clear" w:color="auto" w:fill="f1f1f1"/>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b/>
                <w:bCs/>
                <w:highlight w:val="none"/>
              </w:rPr>
            </w:pPr>
            <w:r>
              <w:rPr>
                <w:rFonts w:hint="eastAsia" w:ascii="宋体" w:hAnsi="宋体" w:cs="宋体"/>
                <w:b/>
                <w:bCs/>
                <w:highlight w:val="none"/>
              </w:rPr>
              <w:t xml:space="preserve">19</w:t>
            </w:r>
            <w:r>
              <w:rPr>
                <w:rFonts w:ascii="宋体" w:hAnsi="宋体" w:cs="宋体"/>
                <w:b/>
                <w:bCs/>
                <w:highlight w:val="none"/>
              </w:rPr>
            </w:r>
            <w:r/>
          </w:p>
        </w:tc>
      </w:tr>
      <w:tr>
        <w:trPr>
          <w:trHeight w:val="600"/>
        </w:trPr>
        <w:tc>
          <w:tcPr>
            <w:tcBorders>
              <w:top w:val="none" w:color="000000" w:sz="4" w:space="0"/>
              <w:left w:val="single" w:color="000000" w:sz="8" w:space="0"/>
              <w:bottom w:val="none" w:color="000000" w:sz="0" w:space="0"/>
              <w:right w:val="single" w:color="000000" w:sz="8" w:space="0"/>
            </w:tcBorders>
            <w:tcW w:w="1124" w:type="dxa"/>
            <w:vAlign w:val="center"/>
            <w:vMerge w:val="restart"/>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二、企业相关资质</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2.1供应商具有有效期内的信息技术服务管理体系认证证书ISO20000，得2分，其他不得分。（提供证书复印件并加盖公章，否则不得分。）</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2</w:t>
            </w:r>
            <w:r>
              <w:rPr>
                <w:rFonts w:ascii="宋体" w:hAnsi="宋体" w:cs="宋体"/>
                <w:highlight w:val="none"/>
              </w:rPr>
            </w:r>
            <w:r/>
          </w:p>
        </w:tc>
      </w:tr>
      <w:tr>
        <w:trPr>
          <w:trHeight w:val="600"/>
        </w:trPr>
        <w:tc>
          <w:tcPr>
            <w:tcBorders>
              <w:top w:val="none" w:color="000000" w:sz="0" w:space="0"/>
              <w:left w:val="single" w:color="000000" w:sz="8" w:space="0"/>
              <w:bottom w:val="none" w:color="000000" w:sz="0"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2.2供应商具有有效期内的信息安全管理体系认证证书ISO27001，得2分，其他不得分。（提供证书复印件并加盖公章，否则不得分。）</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2</w:t>
            </w:r>
            <w:r>
              <w:rPr>
                <w:rFonts w:ascii="宋体" w:hAnsi="宋体" w:cs="宋体"/>
                <w:highlight w:val="none"/>
              </w:rPr>
            </w:r>
            <w:r/>
          </w:p>
        </w:tc>
      </w:tr>
      <w:tr>
        <w:trPr>
          <w:trHeight w:val="600"/>
        </w:trPr>
        <w:tc>
          <w:tcPr>
            <w:tcBorders>
              <w:top w:val="none" w:color="000000" w:sz="0" w:space="0"/>
              <w:left w:val="single" w:color="000000" w:sz="8" w:space="0"/>
              <w:bottom w:val="none" w:color="000000" w:sz="0"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2.3供应商具有有效期内的质量管理体系认证证书ISO9001，得2分，其他不得分。（提供证书复印件并加盖公章，否则不得分。）</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2</w:t>
            </w:r>
            <w:r>
              <w:rPr>
                <w:rFonts w:ascii="宋体" w:hAnsi="宋体" w:cs="宋体"/>
                <w:highlight w:val="none"/>
              </w:rPr>
            </w:r>
            <w:r/>
          </w:p>
        </w:tc>
      </w:tr>
      <w:tr>
        <w:trPr>
          <w:trHeight w:val="600"/>
        </w:trPr>
        <w:tc>
          <w:tcPr>
            <w:tcBorders>
              <w:top w:val="none" w:color="000000" w:sz="0" w:space="0"/>
              <w:left w:val="single" w:color="000000" w:sz="8" w:space="0"/>
              <w:bottom w:val="none" w:color="000000" w:sz="0"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hint="eastAsia" w:ascii="宋体" w:hAnsi="宋体" w:cs="宋体"/>
                <w:highlight w:val="none"/>
              </w:rPr>
            </w:pPr>
            <w:r>
              <w:rPr>
                <w:rFonts w:hint="eastAsia" w:ascii="宋体" w:hAnsi="宋体" w:cs="宋体"/>
                <w:highlight w:val="none"/>
              </w:rPr>
              <w:t xml:space="preserve">2.4供应商具有采购交易管理信息系统软件著作权登记证书（关键字需包含“采购交易”相关内容，得2分，其他不得分。（提供证书复印件并加盖公章，否则不得分。）</w:t>
            </w:r>
            <w:r>
              <w:rPr>
                <w:rFonts w:hint="eastAsia" w:ascii="宋体" w:hAnsi="宋体"/>
                <w:sz w:val="22"/>
                <w:highlight w:val="none"/>
              </w:rPr>
              <w:t xml:space="preserve">（如投标文件中提供的著作权名称表述与招标文件描述的关键字样不一致，而该投标文件中能证明投标人拥有的软件著作权具有相同或相似功能和效果，且评标委员会认可的，视同符合要求。）</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r>
      <w:tr>
        <w:trPr>
          <w:trHeight w:val="600"/>
        </w:trPr>
        <w:tc>
          <w:tcPr>
            <w:tcBorders>
              <w:top w:val="none" w:color="000000" w:sz="0" w:space="0"/>
              <w:left w:val="single" w:color="000000" w:sz="8" w:space="0"/>
              <w:bottom w:val="none" w:color="000000" w:sz="0"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2.5供应商具有采购交易管理云平台软件著作权登记证书（关键字需包含“采购交易”相关内容，得1分，其他不得分。（提供证书复印件并加盖公章，否则不得分。）</w:t>
            </w:r>
            <w:r>
              <w:rPr>
                <w:rFonts w:hint="eastAsia" w:ascii="宋体" w:hAnsi="宋体"/>
                <w:sz w:val="22"/>
                <w:highlight w:val="none"/>
              </w:rPr>
              <w:t xml:space="preserve">（如投标文件中提供的著作权名称表述与招标文件描述的关键字样不一致，而该投标文件中能证明投标人拥有的软件著作权具有相同或相似功能和效果，且评标委员会认可的，视同符合要求。）</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r>
      <w:tr>
        <w:trPr>
          <w:trHeight w:val="960"/>
        </w:trPr>
        <w:tc>
          <w:tcPr>
            <w:tcBorders>
              <w:top w:val="single" w:color="000000" w:sz="8" w:space="0"/>
              <w:left w:val="single" w:color="000000" w:sz="8" w:space="0"/>
              <w:bottom w:val="single" w:color="000000" w:sz="8" w:space="0"/>
              <w:right w:val="single" w:color="000000" w:sz="8" w:space="0"/>
            </w:tcBorders>
            <w:tcW w:w="1124" w:type="dxa"/>
            <w:vAlign w:val="center"/>
            <w:vMerge w:val="restart"/>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三、类似业绩</w:t>
            </w: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3.1供应商提供近三年以来（自2022年1月1日至投标截止时间）承接的财政信息化项目类似的项目业绩，每提供一个业绩得2分，最多得10分。同一个采购人的合同只作为一个案例。</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10</w:t>
            </w:r>
            <w:r>
              <w:rPr>
                <w:rFonts w:ascii="宋体" w:hAnsi="宋体" w:cs="宋体"/>
                <w:highlight w:val="none"/>
              </w:rPr>
            </w:r>
            <w:r/>
          </w:p>
        </w:tc>
      </w:tr>
      <w:tr>
        <w:trPr>
          <w:trHeight w:val="600"/>
        </w:trPr>
        <w:tc>
          <w:tcPr>
            <w:tcBorders>
              <w:top w:val="single" w:color="000000" w:sz="8"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注：供应商需提供相关业绩的合同扫描件或复印件并加盖供应商公章，否则不得分。</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gridSpan w:val="2"/>
            <w:shd w:val="clear" w:color="auto" w:fill="f1f1f1"/>
            <w:tcBorders>
              <w:top w:val="single" w:color="000000" w:sz="8" w:space="0"/>
              <w:left w:val="single" w:color="000000" w:sz="8" w:space="0"/>
              <w:bottom w:val="single" w:color="000000" w:sz="8" w:space="0"/>
              <w:right w:val="single" w:color="000000" w:sz="8" w:space="0"/>
            </w:tcBorders>
            <w:tcW w:w="7503" w:type="dxa"/>
            <w:vAlign w:val="center"/>
            <w:textDirection w:val="lrTb"/>
            <w:noWrap w:val="false"/>
          </w:tcPr>
          <w:p>
            <w:pPr>
              <w:pStyle w:val="672"/>
              <w:jc w:val="center"/>
              <w:widowControl/>
              <w:rPr>
                <w:rFonts w:ascii="宋体" w:hAnsi="宋体" w:cs="宋体"/>
                <w:b/>
                <w:bCs/>
                <w:highlight w:val="none"/>
              </w:rPr>
            </w:pPr>
            <w:r>
              <w:rPr>
                <w:rFonts w:hint="eastAsia" w:ascii="宋体" w:hAnsi="宋体" w:cs="宋体"/>
                <w:b/>
                <w:bCs/>
                <w:highlight w:val="none"/>
              </w:rPr>
              <w:t xml:space="preserve">技术部分</w:t>
            </w:r>
            <w:r>
              <w:rPr>
                <w:rFonts w:ascii="宋体" w:hAnsi="宋体" w:cs="宋体"/>
                <w:b/>
                <w:bCs/>
                <w:highlight w:val="none"/>
              </w:rPr>
            </w:r>
            <w:r/>
          </w:p>
        </w:tc>
        <w:tc>
          <w:tcPr>
            <w:shd w:val="clear" w:color="auto" w:fill="f1f1f1"/>
            <w:tcBorders>
              <w:top w:val="none" w:color="000000" w:sz="4" w:space="0"/>
              <w:left w:val="single" w:color="000000" w:sz="8"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b/>
                <w:bCs/>
                <w:highlight w:val="none"/>
              </w:rPr>
            </w:pPr>
            <w:r>
              <w:rPr>
                <w:rFonts w:hint="eastAsia" w:ascii="宋体" w:hAnsi="宋体" w:cs="宋体"/>
                <w:b/>
                <w:bCs/>
                <w:highlight w:val="none"/>
              </w:rPr>
              <w:t xml:space="preserve">71</w:t>
            </w:r>
            <w:r>
              <w:rPr>
                <w:rFonts w:ascii="宋体" w:hAnsi="宋体" w:cs="宋体"/>
                <w:b/>
                <w:bCs/>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restart"/>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四、技术方案</w:t>
            </w: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4.1项目重难点分析</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5</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结合江苏省实际业务需求，对本项目建设过程中的重点、难点进行分析，提供分析方案。方案内容包括但不限于应对措施和解决方案等。</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highlight w:val="none"/>
              </w:rPr>
              <w:t xml:space="preserve">方案优于项目需求的得5分，符合项目需求的得3分，不符合项目需求或未提供不得分。</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4.2总体设计方案</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5</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结合江苏省财政信息化建设顶层设计，提出总体设计方案。方案内容包括但不限于应用架构、技术架构、部署方式等。</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highlight w:val="none"/>
              </w:rPr>
              <w:t xml:space="preserve">方案优于项目需求的得5分，符合项目需求的得3分，不符合项目需求或未提供不得分。</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4.3功能设计方案-功能1</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5</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根据项目需求，进行功能设计，提供自贸区单一来源项目成交公告增加采用单一来源采购方式理由功能设计方案。方案内容包括但不限于业务功能设计、业务流程图、功能界面等。</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highlight w:val="none"/>
              </w:rPr>
              <w:t xml:space="preserve">方案优于项目需求的得5分，符合项目需求的得3分，不符合项目需求或未提供不得分。</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4.4功能设计方案-功能2</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5</w:t>
            </w:r>
            <w:r>
              <w:rPr>
                <w:rFonts w:ascii="宋体" w:hAnsi="宋体" w:cs="宋体"/>
                <w:highlight w:val="none"/>
              </w:rPr>
            </w:r>
            <w:r/>
          </w:p>
        </w:tc>
      </w:tr>
      <w:tr>
        <w:trPr>
          <w:trHeight w:val="666"/>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highlight w:val="none"/>
              </w:rPr>
            </w:pPr>
            <w:r>
              <w:rPr>
                <w:rFonts w:hint="eastAsia" w:ascii="宋体" w:hAnsi="宋体" w:cs="宋体"/>
                <w:highlight w:val="none"/>
              </w:rPr>
              <w:t xml:space="preserve">根据项目需求，进行功能设计，提供中标供应商选定功能设计方案。方案内容包括但不限于业务功能设计、业务流程图、功能界面等。</w:t>
            </w:r>
            <w:r>
              <w:rPr>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highlight w:val="none"/>
              </w:rPr>
              <w:t xml:space="preserve">方案优于项目需求的得5分，符合项目需求的得3分，不符合项目需求或未提供不得分。</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4.5功能设计方案-功能3</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5</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根据项目需求，进行功能设计，提供政府采购资金支付监测等功能设计方案。方案内容包括但不限于业务功能设计、业务流程图、功能界面等。</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highlight w:val="none"/>
              </w:rPr>
              <w:t xml:space="preserve">方案优于项目需求的得5分，符合项目需求的得3分，不符合项目需求或未提供不得分。</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4.6与外部系统衔接方案</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5</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根据项目需求，提供与预算管理一体化系统的衔接方案。方案内容包括但不限于对接规范、对接内容、对接流程、接口开放性和可扩展性等。</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highlight w:val="none"/>
              </w:rPr>
              <w:t xml:space="preserve">方案优于项目需求的得5分，符合项目需求的得3分，不符合项目需求或未提供不得分。</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4.7数据安全方案</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r>
      <w:tr>
        <w:trPr>
          <w:trHeight w:val="96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根据项目需求，提供数据安全方案。方案内容包括但不限于从数据分类分级、数据加密、数据脱敏等方面对数据传输、存储、使用的安全分析等。</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highlight w:val="none"/>
              </w:rPr>
              <w:t xml:space="preserve">方案优于项目需求的得5分，符合项目需求的得3分，不符合项目需求或未提供不得分。</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4.8应急方案</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5</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根据项目需求，提供应急处理方案。方案内容包括但不限于应急处理机制、应急处理思路、应急处理组织、应急响应预案、具体应急响应方案、应急保障措施和工作流程等。</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highlight w:val="none"/>
              </w:rPr>
              <w:t xml:space="preserve">方案优于项目需求的得5分，符合项目需求的得3分，不符合项目需求或未提供不得分。</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4.9项目实施方案</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5</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根据项目需求，提供项目实施方案。方案内容包括但不限于质量管理、进度管理、风险管理、沟通管理、文档管理等。</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6379" w:type="dxa"/>
            <w:vAlign w:val="center"/>
            <w:textDirection w:val="lrTb"/>
            <w:noWrap w:val="false"/>
          </w:tcPr>
          <w:p>
            <w:pPr>
              <w:pStyle w:val="748"/>
              <w:ind w:firstLine="0"/>
              <w:rPr>
                <w:rFonts w:hint="eastAsia"/>
                <w:highlight w:val="none"/>
              </w:rPr>
            </w:pPr>
            <w:r>
              <w:rPr>
                <w:rFonts w:hint="eastAsia"/>
                <w:highlight w:val="none"/>
              </w:rPr>
              <w:t xml:space="preserve">方案优于项目需求的得5分，符合项目需求的得3分，不符合项目需求或未提供不得分。</w:t>
            </w:r>
            <w:r>
              <w:rPr>
                <w:rFonts w:hint="eastAsia"/>
                <w:highlight w:val="none"/>
              </w:rPr>
            </w:r>
            <w:r/>
          </w:p>
        </w:tc>
        <w:tc>
          <w:tcPr>
            <w:tcBorders>
              <w:top w:val="none" w:color="000000" w:sz="4" w:space="0"/>
              <w:left w:val="single" w:color="000000" w:sz="8" w:space="0"/>
              <w:bottom w:val="single" w:color="000000" w:sz="4"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4.10培训方案</w:t>
            </w:r>
            <w:r>
              <w:rPr>
                <w:rFonts w:ascii="宋体" w:hAnsi="宋体" w:cs="宋体"/>
                <w:highlight w:val="none"/>
              </w:rPr>
            </w:r>
            <w:r/>
          </w:p>
        </w:tc>
        <w:tc>
          <w:tcPr>
            <w:tcBorders>
              <w:top w:val="singl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rPr>
                <w:rFonts w:ascii="宋体" w:hAnsi="宋体" w:cs="宋体"/>
                <w:highlight w:val="none"/>
              </w:rPr>
            </w:pPr>
            <w:r>
              <w:rPr>
                <w:rFonts w:hint="eastAsia" w:ascii="宋体" w:hAnsi="宋体" w:cs="宋体"/>
                <w:highlight w:val="none"/>
              </w:rPr>
              <w:t xml:space="preserve">5</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根据项目需求，提供培训方案。方案内容</w:t>
            </w:r>
            <w:r>
              <w:rPr>
                <w:rFonts w:hint="eastAsia"/>
                <w:highlight w:val="none"/>
              </w:rPr>
              <w:t xml:space="preserve">包括但不限于培训目的、培训时间安排、人数、次数、教材编写、培训课程、培训师资情况、培训组织方式等。</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center"/>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4" w:space="0"/>
              <w:right w:val="single" w:color="000000" w:sz="8" w:space="0"/>
            </w:tcBorders>
            <w:tcW w:w="6379" w:type="dxa"/>
            <w:vAlign w:val="center"/>
            <w:textDirection w:val="lrTb"/>
            <w:noWrap w:val="false"/>
          </w:tcPr>
          <w:p>
            <w:pPr>
              <w:pStyle w:val="672"/>
              <w:jc w:val="left"/>
              <w:widowControl/>
              <w:rPr>
                <w:rFonts w:ascii="宋体" w:hAnsi="宋体" w:cs="宋体"/>
                <w:highlight w:val="none"/>
              </w:rPr>
            </w:pPr>
            <w:r>
              <w:rPr>
                <w:rFonts w:hint="eastAsia"/>
                <w:highlight w:val="none"/>
              </w:rPr>
              <w:t xml:space="preserve">方案优于项目需求的得5分，符合项目需求的得3分，不符合项目需求或未提供不得分。</w:t>
            </w:r>
            <w:r>
              <w:rPr>
                <w:rFonts w:ascii="宋体" w:hAnsi="宋体" w:cs="宋体"/>
                <w:highlight w:val="none"/>
              </w:rPr>
            </w:r>
            <w:r/>
          </w:p>
        </w:tc>
        <w:tc>
          <w:tcPr>
            <w:tcBorders>
              <w:top w:val="none" w:color="000000" w:sz="4" w:space="0"/>
              <w:left w:val="single" w:color="000000" w:sz="8" w:space="0"/>
              <w:bottom w:val="single" w:color="000000" w:sz="4" w:space="0"/>
              <w:right w:val="single" w:color="000000" w:sz="8" w:space="0"/>
            </w:tcBorders>
            <w:tcW w:w="992" w:type="dxa"/>
            <w:vAlign w:val="center"/>
            <w:vMerge w:val="continue"/>
            <w:textDirection w:val="lrTb"/>
            <w:noWrap w:val="false"/>
          </w:tcPr>
          <w:p>
            <w:pPr>
              <w:pStyle w:val="672"/>
              <w:jc w:val="center"/>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singl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jc w:val="left"/>
              <w:widowControl/>
              <w:rPr>
                <w:rFonts w:hint="eastAsia" w:ascii="宋体" w:hAnsi="宋体" w:cs="宋体"/>
                <w:highlight w:val="none"/>
              </w:rPr>
            </w:pPr>
            <w:r>
              <w:rPr>
                <w:rFonts w:hint="eastAsia" w:ascii="宋体" w:hAnsi="宋体" w:cs="宋体"/>
                <w:highlight w:val="none"/>
              </w:rPr>
              <w:t xml:space="preserve">4.11运行维护方案</w:t>
            </w:r>
            <w:r>
              <w:rPr>
                <w:rFonts w:hint="eastAsia" w:ascii="宋体" w:hAnsi="宋体" w:cs="宋体"/>
                <w:highlight w:val="none"/>
              </w:rPr>
            </w:r>
            <w:r/>
          </w:p>
        </w:tc>
        <w:tc>
          <w:tcPr>
            <w:tcBorders>
              <w:top w:val="singl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5</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针对本项目需求，提供运行维护方案。方案内容应包含运维服务人员安排、服务方式、服务内容、服务标准等。</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highlight w:val="none"/>
              </w:rPr>
              <w:t xml:space="preserve">方案优于项目需求的得5分，符合项目需求的得3分，不符合项目需求或未提供不得分。</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restart"/>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（5五、项目团队人员</w:t>
            </w: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为保障项目顺利实施，考核供应商团队成员应具备相关专业能力：</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restart"/>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3</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none" w:color="000000" w:sz="4" w:space="0"/>
              <w:right w:val="single" w:color="000000" w:sz="8" w:space="0"/>
            </w:tcBorders>
            <w:tcW w:w="6379" w:type="dxa"/>
            <w:vAlign w:val="center"/>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5.1项目团队项目经理（1人）需具备以下能力：</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（1）具有“人力资源和社会保障部”和“工业和信息化部”联合颁发的系统集成项目管理工程师证书，得3分，其他不得分。</w:t>
            </w:r>
            <w:r>
              <w:rPr>
                <w:rFonts w:ascii="宋体" w:hAnsi="宋体" w:cs="宋体"/>
                <w:highlight w:val="none"/>
              </w:rPr>
            </w:r>
            <w:r/>
          </w:p>
        </w:tc>
        <w:tc>
          <w:tcPr>
            <w:tcBorders>
              <w:top w:val="none" w:color="000000" w:sz="4" w:space="0"/>
              <w:left w:val="single" w:color="000000" w:sz="8" w:space="0"/>
              <w:bottom w:val="single" w:color="000000" w:sz="8" w:space="0"/>
              <w:right w:val="single" w:color="000000" w:sz="8" w:space="0"/>
            </w:tcBorders>
            <w:tcW w:w="992"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5.2项目团队人员要求（除项目经理以外的项目成员）：</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（1）至少有1名具有中国信息安全测评中心的注册信息安全专业人员（CISP）证书，得3分，其他不得分。</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3</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（2）至少有1名具有“人力资源和社会保障部”和“工业和信息化部”联合颁发的数据库系统工程师证书，得3分，其他不得分。</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3</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（3）至少有1名具有“中国网络安全审查认证和市场监管大数据中心”颁发的信息安全保障人员认证（CISAW）证书，认证方向：安全软件，得3分，其他不得分。</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3</w:t>
            </w:r>
            <w:r>
              <w:rPr>
                <w:rFonts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hint="eastAsia" w:ascii="宋体" w:hAnsi="宋体" w:cs="宋体"/>
                <w:highlight w:val="none"/>
              </w:rPr>
            </w:pPr>
            <w:r>
              <w:rPr>
                <w:rFonts w:hint="eastAsia" w:ascii="宋体" w:hAnsi="宋体" w:cs="宋体"/>
                <w:highlight w:val="none"/>
              </w:rPr>
              <w:t xml:space="preserve">（4）至少有1名具有“中国网络安全审查认证和市场监管大数据中心”颁发的信息安全保障人员认证（CISAW）证书，认证方向：安全运维，得3分，其他不得分。</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hint="eastAsia" w:ascii="宋体" w:hAnsi="宋体" w:cs="宋体"/>
                <w:highlight w:val="none"/>
              </w:rPr>
            </w:pPr>
            <w:r>
              <w:rPr>
                <w:rFonts w:hint="eastAsia" w:ascii="宋体" w:hAnsi="宋体" w:cs="宋体"/>
                <w:highlight w:val="none"/>
              </w:rPr>
              <w:t xml:space="preserve">（5）项目实施要求中关于“项目团队要求”，供应商提供《承诺函》并加盖公章，得1分，其他不得分。</w:t>
            </w:r>
            <w:r>
              <w:rPr>
                <w:rFonts w:hint="eastAsia"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r>
      <w:tr>
        <w:trPr>
          <w:trHeight w:val="1380"/>
        </w:trPr>
        <w:tc>
          <w:tcPr>
            <w:tcBorders>
              <w:top w:val="none" w:color="000000" w:sz="4" w:space="0"/>
              <w:left w:val="single" w:color="000000" w:sz="8" w:space="0"/>
              <w:bottom w:val="single" w:color="000000" w:sz="8" w:space="0"/>
              <w:right w:val="single" w:color="000000" w:sz="8" w:space="0"/>
            </w:tcBorders>
            <w:tcW w:w="1124" w:type="dxa"/>
            <w:vAlign w:val="center"/>
            <w:vMerge w:val="continue"/>
            <w:textDirection w:val="lrTb"/>
            <w:noWrap w:val="false"/>
          </w:tcPr>
          <w:p>
            <w:pPr>
              <w:pStyle w:val="672"/>
              <w:jc w:val="left"/>
              <w:widowControl/>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6379" w:type="dxa"/>
            <w:vAlign w:val="center"/>
            <w:textDirection w:val="lrTb"/>
            <w:noWrap w:val="false"/>
          </w:tcPr>
          <w:p>
            <w:pPr>
              <w:pStyle w:val="672"/>
              <w:widowControl/>
              <w:rPr>
                <w:rFonts w:ascii="宋体" w:hAnsi="宋体" w:cs="宋体"/>
                <w:highlight w:val="none"/>
              </w:rPr>
            </w:pPr>
            <w:r>
              <w:rPr>
                <w:rFonts w:hint="eastAsia" w:ascii="宋体" w:hAnsi="宋体" w:cs="宋体"/>
                <w:highlight w:val="none"/>
              </w:rPr>
              <w:t xml:space="preserve">  </w:t>
            </w:r>
            <w:r>
              <w:rPr>
                <w:rFonts w:hint="eastAsia" w:ascii="宋体" w:hAnsi="宋体" w:cs="宋体"/>
                <w:b/>
                <w:bCs/>
                <w:highlight w:val="none"/>
              </w:rPr>
              <w:t xml:space="preserve">注：①供应商需提供在有效期内的证书扫描件或复印件或官方查询证明，加盖供应商公章，并同时提交该人员在投标截止日期前3个月内任意一个月通过供应商缴纳的社保证明，否则视为无效。②同一人员有多项证书不重复使用，即不重复得分。</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　</w:t>
            </w:r>
            <w:r>
              <w:rPr>
                <w:rFonts w:ascii="宋体" w:hAnsi="宋体" w:cs="宋体"/>
                <w:highlight w:val="none"/>
              </w:rPr>
            </w:r>
            <w:r/>
          </w:p>
        </w:tc>
      </w:tr>
      <w:tr>
        <w:trPr>
          <w:trHeight w:val="600"/>
        </w:trPr>
        <w:tc>
          <w:tcPr>
            <w:gridSpan w:val="2"/>
            <w:tcBorders>
              <w:top w:val="single" w:color="000000" w:sz="8" w:space="0"/>
              <w:left w:val="single" w:color="000000" w:sz="8" w:space="0"/>
              <w:bottom w:val="single" w:color="000000" w:sz="8" w:space="0"/>
              <w:right w:val="single" w:color="000000" w:sz="8" w:space="0"/>
            </w:tcBorders>
            <w:tcW w:w="7503" w:type="dxa"/>
            <w:vAlign w:val="center"/>
            <w:textDirection w:val="lrTb"/>
            <w:noWrap w:val="false"/>
          </w:tcPr>
          <w:p>
            <w:pPr>
              <w:pStyle w:val="672"/>
              <w:jc w:val="left"/>
              <w:widowControl/>
              <w:rPr>
                <w:rFonts w:ascii="宋体" w:hAnsi="宋体" w:cs="宋体"/>
                <w:highlight w:val="none"/>
              </w:rPr>
            </w:pPr>
            <w:r>
              <w:rPr>
                <w:rFonts w:hint="eastAsia" w:ascii="宋体" w:hAnsi="宋体" w:cs="宋体"/>
                <w:highlight w:val="none"/>
              </w:rPr>
              <w:t xml:space="preserve">合计</w:t>
            </w:r>
            <w:r>
              <w:rPr>
                <w:rFonts w:ascii="宋体" w:hAnsi="宋体" w:cs="宋体"/>
                <w:highlight w:val="none"/>
              </w:rPr>
            </w:r>
            <w:r/>
          </w:p>
        </w:tc>
        <w:tc>
          <w:tcPr>
            <w:tcBorders>
              <w:top w:val="none" w:color="000000" w:sz="4" w:space="0"/>
              <w:left w:val="none" w:color="000000" w:sz="4" w:space="0"/>
              <w:bottom w:val="single" w:color="000000" w:sz="8" w:space="0"/>
              <w:right w:val="single" w:color="000000" w:sz="8" w:space="0"/>
            </w:tcBorders>
            <w:tcW w:w="992" w:type="dxa"/>
            <w:vAlign w:val="center"/>
            <w:textDirection w:val="lrTb"/>
            <w:noWrap w:val="false"/>
          </w:tcPr>
          <w:p>
            <w:pPr>
              <w:pStyle w:val="672"/>
              <w:jc w:val="center"/>
              <w:widowControl/>
              <w:rPr>
                <w:rFonts w:ascii="宋体" w:hAnsi="宋体" w:cs="宋体"/>
                <w:highlight w:val="none"/>
              </w:rPr>
            </w:pPr>
            <w:r>
              <w:rPr>
                <w:rFonts w:hint="eastAsia" w:ascii="宋体" w:hAnsi="宋体" w:cs="宋体"/>
                <w:highlight w:val="none"/>
              </w:rPr>
              <w:t xml:space="preserve">100</w:t>
            </w:r>
            <w:r>
              <w:rPr>
                <w:rFonts w:ascii="宋体" w:hAnsi="宋体" w:cs="宋体"/>
                <w:highlight w:val="none"/>
              </w:rPr>
            </w:r>
            <w:r/>
          </w:p>
        </w:tc>
      </w:tr>
    </w:tbl>
    <w:p>
      <w:pPr>
        <w:pStyle w:val="759"/>
        <w:ind w:firstLine="2331"/>
        <w:rPr>
          <w:rFonts w:hint="eastAsia" w:ascii="宋体" w:hAnsi="宋体"/>
          <w:b/>
          <w:sz w:val="36"/>
          <w:szCs w:val="36"/>
        </w:rPr>
      </w:pPr>
      <w:r>
        <w:rPr>
          <w:rFonts w:hint="eastAsia" w:ascii="宋体" w:hAnsi="宋体"/>
          <w:b/>
          <w:sz w:val="36"/>
          <w:szCs w:val="36"/>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2"/>
        <w:rPr>
          <w:rFonts w:hint="eastAsia"/>
        </w:rPr>
      </w:pPr>
      <w:r>
        <w:rPr>
          <w:rFonts w:hint="eastAsia"/>
        </w:rPr>
      </w:r>
      <w:r/>
    </w:p>
    <w:p>
      <w:pPr>
        <w:pStyle w:val="673"/>
        <w:rPr>
          <w:rFonts w:ascii="黑体" w:eastAsia="黑体"/>
          <w:bCs/>
          <w:sz w:val="44"/>
        </w:rPr>
      </w:pPr>
      <w:r>
        <w:rPr>
          <w:rFonts w:ascii="黑体" w:eastAsia="黑体"/>
          <w:bCs/>
          <w:sz w:val="44"/>
        </w:rPr>
      </w:r>
      <w:r/>
    </w:p>
    <w:p>
      <w:pPr>
        <w:pStyle w:val="672"/>
        <w:rPr>
          <w:rFonts w:ascii="黑体" w:eastAsia="黑体"/>
          <w:bCs/>
          <w:sz w:val="44"/>
        </w:rPr>
      </w:pPr>
      <w:r>
        <w:rPr>
          <w:rFonts w:ascii="黑体" w:eastAsia="黑体"/>
          <w:bCs/>
          <w:sz w:val="44"/>
        </w:rPr>
      </w:r>
      <w:r/>
    </w:p>
    <w:p>
      <w:pPr>
        <w:pStyle w:val="672"/>
        <w:rPr>
          <w:rFonts w:ascii="黑体" w:eastAsia="黑体"/>
          <w:bCs/>
          <w:sz w:val="44"/>
        </w:rPr>
      </w:pPr>
      <w:r>
        <w:rPr>
          <w:rFonts w:ascii="黑体" w:eastAsia="黑体"/>
          <w:bCs/>
          <w:sz w:val="44"/>
        </w:rPr>
      </w:r>
      <w:r/>
    </w:p>
    <w:p>
      <w:pPr>
        <w:pStyle w:val="672"/>
        <w:rPr>
          <w:rFonts w:ascii="黑体" w:eastAsia="黑体"/>
          <w:bCs/>
          <w:sz w:val="44"/>
        </w:rPr>
      </w:pPr>
      <w:r>
        <w:rPr>
          <w:rFonts w:ascii="黑体" w:eastAsia="黑体"/>
          <w:bCs/>
          <w:sz w:val="44"/>
        </w:rPr>
      </w:r>
      <w:r/>
    </w:p>
    <w:p>
      <w:pPr>
        <w:pStyle w:val="672"/>
        <w:rPr>
          <w:rFonts w:ascii="黑体" w:eastAsia="黑体"/>
          <w:bCs/>
          <w:sz w:val="44"/>
        </w:rPr>
      </w:pPr>
      <w:r>
        <w:rPr>
          <w:rFonts w:ascii="黑体" w:eastAsia="黑体"/>
          <w:bCs/>
          <w:sz w:val="44"/>
        </w:rPr>
      </w:r>
      <w:r/>
    </w:p>
    <w:p>
      <w:pPr>
        <w:pStyle w:val="672"/>
        <w:rPr>
          <w:rFonts w:ascii="黑体" w:eastAsia="黑体"/>
          <w:bCs/>
          <w:sz w:val="44"/>
        </w:rPr>
      </w:pPr>
      <w:r>
        <w:rPr>
          <w:rFonts w:ascii="黑体" w:eastAsia="黑体"/>
          <w:bCs/>
          <w:sz w:val="44"/>
        </w:rPr>
      </w:r>
      <w:r/>
    </w:p>
    <w:p>
      <w:pPr>
        <w:pStyle w:val="673"/>
        <w:rPr>
          <w:rFonts w:ascii="黑体" w:eastAsia="黑体"/>
          <w:bCs/>
          <w:sz w:val="44"/>
        </w:rPr>
      </w:pPr>
      <w:r>
        <w:rPr>
          <w:rFonts w:ascii="黑体" w:eastAsia="黑体"/>
          <w:bCs/>
          <w:sz w:val="44"/>
        </w:rPr>
      </w:r>
      <w:r/>
    </w:p>
    <w:p>
      <w:pPr>
        <w:pStyle w:val="673"/>
        <w:rPr>
          <w:rFonts w:hint="eastAsia" w:ascii="黑体" w:eastAsia="黑体"/>
          <w:bCs/>
          <w:sz w:val="44"/>
        </w:rPr>
      </w:pPr>
      <w:r>
        <w:rPr>
          <w:rFonts w:hint="eastAsia" w:ascii="黑体" w:eastAsia="黑体"/>
          <w:bCs/>
          <w:sz w:val="44"/>
        </w:rPr>
        <w:t xml:space="preserve">第六章  投标</w:t>
      </w:r>
      <w:bookmarkEnd w:id="191"/>
      <w:r/>
      <w:bookmarkEnd w:id="192"/>
      <w:r/>
      <w:bookmarkEnd w:id="215"/>
      <w:r>
        <w:rPr>
          <w:rFonts w:hint="eastAsia" w:ascii="黑体" w:eastAsia="黑体"/>
          <w:bCs/>
          <w:sz w:val="44"/>
        </w:rPr>
        <w:t xml:space="preserve">文件格式 </w:t>
      </w:r>
      <w:r>
        <w:rPr>
          <w:rFonts w:hint="eastAsia" w:ascii="黑体" w:eastAsia="黑体"/>
          <w:bCs/>
          <w:sz w:val="44"/>
        </w:rPr>
      </w:r>
      <w:r/>
    </w:p>
    <w:p>
      <w:pPr>
        <w:pStyle w:val="672"/>
        <w:jc w:val="center"/>
        <w:rPr>
          <w:rFonts w:hint="eastAsia" w:ascii="宋体" w:hAnsi="宋体"/>
          <w:b/>
          <w:sz w:val="72"/>
        </w:rPr>
      </w:pPr>
      <w:r/>
      <w:bookmarkStart w:id="216" w:name="_Hlt26955039"/>
      <w:r/>
      <w:bookmarkEnd w:id="216"/>
      <w:r/>
      <w:bookmarkStart w:id="217" w:name="_Hlt26671244"/>
      <w:r/>
      <w:bookmarkEnd w:id="217"/>
      <w:r/>
      <w:bookmarkStart w:id="218" w:name="_Toc26554094"/>
      <w:r/>
      <w:bookmarkStart w:id="219" w:name="_Toc49090576"/>
      <w:r/>
      <w:bookmarkStart w:id="220" w:name="_Toc120614282"/>
      <w:r>
        <w:rPr>
          <w:rFonts w:hint="eastAsia" w:ascii="宋体" w:hAnsi="宋体"/>
          <w:b/>
          <w:sz w:val="72"/>
        </w:rPr>
      </w:r>
      <w:r/>
    </w:p>
    <w:p>
      <w:pPr>
        <w:pStyle w:val="67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72"/>
        <w:jc w:val="center"/>
        <w:rPr>
          <w:rFonts w:hint="eastAsia" w:ascii="宋体" w:hAnsi="宋体"/>
          <w:b/>
          <w:sz w:val="72"/>
        </w:rPr>
      </w:pPr>
      <w:r>
        <w:rPr>
          <w:rFonts w:hint="eastAsia" w:ascii="宋体" w:hAnsi="宋体"/>
          <w:b/>
          <w:sz w:val="72"/>
        </w:rPr>
      </w:r>
      <w:r/>
    </w:p>
    <w:p>
      <w:pPr>
        <w:pStyle w:val="672"/>
        <w:jc w:val="center"/>
        <w:rPr>
          <w:rFonts w:hint="eastAsia" w:ascii="宋体" w:hAnsi="宋体"/>
          <w:b/>
          <w:sz w:val="72"/>
        </w:rPr>
      </w:pPr>
      <w:r>
        <w:rPr>
          <w:rFonts w:hint="eastAsia" w:ascii="宋体" w:hAnsi="宋体"/>
          <w:b/>
          <w:sz w:val="72"/>
        </w:rPr>
      </w:r>
      <w:r/>
    </w:p>
    <w:p>
      <w:pPr>
        <w:pStyle w:val="672"/>
        <w:jc w:val="center"/>
        <w:rPr>
          <w:rFonts w:hint="eastAsia" w:ascii="宋体" w:hAnsi="宋体"/>
          <w:b/>
          <w:sz w:val="36"/>
        </w:rPr>
      </w:pPr>
      <w:r>
        <w:rPr>
          <w:rFonts w:hint="eastAsia" w:ascii="宋体" w:hAnsi="宋体"/>
          <w:b/>
          <w:sz w:val="36"/>
        </w:rPr>
      </w:r>
      <w:r/>
    </w:p>
    <w:p>
      <w:pPr>
        <w:pStyle w:val="672"/>
        <w:jc w:val="center"/>
        <w:rPr>
          <w:rFonts w:hint="eastAsia" w:ascii="宋体" w:hAnsi="宋体"/>
          <w:b/>
          <w:sz w:val="36"/>
        </w:rPr>
      </w:pPr>
      <w:r>
        <w:rPr>
          <w:rFonts w:hint="eastAsia" w:ascii="宋体" w:hAnsi="宋体"/>
          <w:b/>
          <w:sz w:val="36"/>
        </w:rPr>
      </w:r>
      <w:r/>
    </w:p>
    <w:p>
      <w:pPr>
        <w:pStyle w:val="672"/>
        <w:jc w:val="center"/>
        <w:rPr>
          <w:rFonts w:hint="eastAsia" w:ascii="宋体" w:hAnsi="宋体"/>
          <w:b/>
          <w:sz w:val="36"/>
        </w:rPr>
      </w:pPr>
      <w:r>
        <w:rPr>
          <w:rFonts w:hint="eastAsia" w:ascii="宋体" w:hAnsi="宋体"/>
          <w:b/>
          <w:sz w:val="36"/>
        </w:rPr>
      </w:r>
      <w:r/>
    </w:p>
    <w:p>
      <w:pPr>
        <w:pStyle w:val="67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7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67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7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72"/>
        <w:jc w:val="center"/>
        <w:spacing w:line="440" w:lineRule="exact"/>
        <w:rPr>
          <w:rFonts w:hint="eastAsia" w:ascii="宋体" w:hAnsi="宋体"/>
          <w:b/>
          <w:bCs/>
          <w:sz w:val="32"/>
          <w:szCs w:val="32"/>
        </w:rPr>
      </w:pPr>
      <w:r>
        <w:rPr>
          <w:rFonts w:hint="eastAsia" w:ascii="宋体" w:hAnsi="宋体"/>
          <w:b/>
          <w:bCs/>
          <w:sz w:val="32"/>
          <w:szCs w:val="32"/>
        </w:rPr>
      </w:r>
      <w:r/>
    </w:p>
    <w:p>
      <w:pPr>
        <w:pStyle w:val="672"/>
        <w:spacing w:line="440" w:lineRule="exact"/>
        <w:rPr>
          <w:rFonts w:ascii="宋体" w:hAnsi="宋体"/>
        </w:rPr>
      </w:pPr>
      <w:r>
        <w:rPr>
          <w:rFonts w:ascii="宋体" w:hAnsi="宋体"/>
        </w:rPr>
      </w:r>
      <w:r/>
    </w:p>
    <w:p>
      <w:pPr>
        <w:pStyle w:val="67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72"/>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72"/>
        <w:jc w:val="center"/>
        <w:spacing w:line="440" w:lineRule="exact"/>
        <w:rPr>
          <w:rFonts w:hint="eastAsia" w:ascii="宋体" w:hAnsi="宋体"/>
          <w:b/>
          <w:bCs/>
          <w:sz w:val="32"/>
          <w:szCs w:val="32"/>
        </w:rPr>
      </w:pPr>
      <w:r>
        <w:rPr>
          <w:rFonts w:hint="eastAsia" w:ascii="宋体" w:hAnsi="宋体"/>
          <w:b/>
          <w:bCs/>
          <w:sz w:val="32"/>
          <w:szCs w:val="32"/>
        </w:rPr>
      </w:r>
      <w:r/>
    </w:p>
    <w:p>
      <w:pPr>
        <w:pStyle w:val="672"/>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672"/>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672"/>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672"/>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672"/>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672"/>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72"/>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672"/>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672"/>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672"/>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672"/>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672"/>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672"/>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672"/>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672"/>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672"/>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672"/>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672"/>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672"/>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672"/>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672"/>
        <w:spacing w:line="400" w:lineRule="exact"/>
        <w:rPr>
          <w:rFonts w:ascii="宋体" w:hAnsi="宋体"/>
          <w:sz w:val="24"/>
          <w:szCs w:val="24"/>
        </w:rPr>
      </w:pPr>
      <w:r>
        <w:rPr>
          <w:rFonts w:hint="eastAsia" w:ascii="宋体" w:hAnsi="宋体"/>
          <w:sz w:val="24"/>
          <w:szCs w:val="24"/>
        </w:rPr>
        <w:t xml:space="preserve">供相关材料，否则作无效投标处理；6、10、11条如招标文件要求必须提供相关材料而未提供的，作无效投标处理。</w:t>
      </w:r>
      <w:r>
        <w:rPr>
          <w:rFonts w:ascii="宋体" w:hAnsi="宋体"/>
          <w:sz w:val="24"/>
          <w:szCs w:val="24"/>
        </w:rPr>
      </w:r>
      <w:r/>
    </w:p>
    <w:p>
      <w:pPr>
        <w:pStyle w:val="672"/>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72"/>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w:t>
      </w:r>
      <w:r>
        <w:rPr>
          <w:rFonts w:hint="eastAsia" w:ascii="宋体" w:hAnsi="宋体"/>
          <w:color w:val="000000"/>
          <w:sz w:val="24"/>
          <w:lang w:val="en-US" w:eastAsia="zh-CN"/>
        </w:rPr>
        <w:t xml:space="preserve">1</w:t>
      </w:r>
      <w:r>
        <w:rPr>
          <w:rFonts w:hint="eastAsia" w:ascii="宋体" w:hAnsi="宋体"/>
          <w:color w:val="000000"/>
          <w:sz w:val="24"/>
        </w:rPr>
        <w:t xml:space="preserve">）</w:t>
      </w:r>
      <w:r>
        <w:rPr>
          <w:rFonts w:hint="eastAsia" w:ascii="宋体" w:hAnsi="宋体"/>
          <w:color w:val="000000"/>
          <w:sz w:val="24"/>
        </w:rPr>
      </w:r>
      <w:r/>
    </w:p>
    <w:p>
      <w:pPr>
        <w:pStyle w:val="672"/>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672"/>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672"/>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672"/>
        <w:ind w:firstLine="480"/>
        <w:spacing w:line="440" w:lineRule="exact"/>
        <w:rPr>
          <w:rFonts w:ascii="宋体" w:hAnsi="宋体"/>
          <w:sz w:val="24"/>
        </w:rPr>
      </w:pPr>
      <w:r>
        <w:rPr>
          <w:rFonts w:ascii="宋体" w:hAnsi="宋体"/>
          <w:sz w:val="24"/>
        </w:rPr>
      </w:r>
      <w:r/>
    </w:p>
    <w:p>
      <w:pPr>
        <w:pStyle w:val="672"/>
        <w:rPr>
          <w:rFonts w:ascii="宋体" w:hAnsi="宋体"/>
          <w:b/>
          <w:color w:val="ff0000"/>
          <w:sz w:val="24"/>
          <w:szCs w:val="24"/>
        </w:rPr>
      </w:pPr>
      <w:r>
        <w:rPr>
          <w:rFonts w:ascii="宋体" w:hAnsi="宋体"/>
          <w:b/>
          <w:color w:val="ff0000"/>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ascii="宋体" w:hAnsi="宋体"/>
          <w:b/>
          <w:sz w:val="24"/>
          <w:szCs w:val="24"/>
        </w:rPr>
      </w:pPr>
      <w:r>
        <w:rPr>
          <w:rFonts w:hint="eastAsia" w:ascii="宋体" w:hAnsi="宋体"/>
          <w:b/>
          <w:sz w:val="24"/>
          <w:szCs w:val="24"/>
        </w:rPr>
      </w:r>
      <w:r/>
    </w:p>
    <w:p>
      <w:pPr>
        <w:pStyle w:val="672"/>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672"/>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72"/>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72"/>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672"/>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5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72"/>
        <w:ind w:firstLine="480"/>
        <w:rPr>
          <w:rFonts w:hint="eastAsia" w:ascii="宋体" w:hAnsi="宋体"/>
          <w:sz w:val="24"/>
          <w:szCs w:val="24"/>
        </w:rPr>
      </w:pPr>
      <w:r>
        <w:rPr>
          <w:rFonts w:hint="eastAsia" w:ascii="宋体" w:hAnsi="宋体"/>
          <w:sz w:val="24"/>
          <w:szCs w:val="24"/>
        </w:rPr>
      </w:r>
      <w:r/>
    </w:p>
    <w:p>
      <w:pPr>
        <w:pStyle w:val="672"/>
        <w:rPr>
          <w:rFonts w:ascii="宋体" w:hAnsi="宋体"/>
          <w:sz w:val="24"/>
          <w:szCs w:val="24"/>
        </w:rPr>
      </w:pPr>
      <w:r>
        <w:rPr>
          <w:rFonts w:ascii="宋体" w:hAnsi="宋体"/>
          <w:sz w:val="24"/>
          <w:szCs w:val="24"/>
        </w:rPr>
      </w:r>
      <w:r/>
    </w:p>
    <w:p>
      <w:pPr>
        <w:pStyle w:val="672"/>
        <w:jc w:val="center"/>
        <w:rPr>
          <w:rFonts w:ascii="宋体" w:hAnsi="宋体"/>
          <w:b/>
          <w:sz w:val="24"/>
          <w:szCs w:val="24"/>
        </w:rPr>
      </w:pPr>
      <w:r>
        <w:rPr>
          <w:rFonts w:ascii="宋体" w:hAnsi="宋体"/>
          <w:b/>
          <w:sz w:val="24"/>
          <w:szCs w:val="24"/>
        </w:rPr>
      </w:r>
      <w:r/>
    </w:p>
    <w:p>
      <w:pPr>
        <w:pStyle w:val="672"/>
        <w:jc w:val="center"/>
        <w:rPr>
          <w:rFonts w:hint="eastAsia" w:ascii="宋体" w:hAnsi="宋体"/>
          <w:b/>
          <w:sz w:val="24"/>
          <w:szCs w:val="24"/>
        </w:rPr>
      </w:pPr>
      <w:r>
        <w:rPr>
          <w:rFonts w:hint="eastAsia" w:ascii="宋体" w:hAnsi="宋体"/>
          <w:b/>
          <w:sz w:val="24"/>
          <w:szCs w:val="24"/>
        </w:rPr>
        <w:t xml:space="preserve">附件2 投标分项报价表</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1267"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72"/>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72"/>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2"/>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672"/>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672"/>
              <w:spacing w:line="0" w:lineRule="atLeast"/>
              <w:rPr>
                <w:rFonts w:hint="eastAsia" w:ascii="宋体" w:hAnsi="宋体"/>
                <w:sz w:val="24"/>
                <w:szCs w:val="24"/>
              </w:rPr>
            </w:pPr>
            <w:r>
              <w:rPr>
                <w:rFonts w:hint="eastAsia" w:ascii="宋体" w:hAnsi="宋体"/>
                <w:sz w:val="24"/>
                <w:szCs w:val="24"/>
              </w:rPr>
            </w:r>
            <w:r/>
          </w:p>
        </w:tc>
      </w:tr>
    </w:tbl>
    <w:p>
      <w:pPr>
        <w:pStyle w:val="672"/>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2"/>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672"/>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672"/>
        <w:spacing w:line="0" w:lineRule="atLeast"/>
        <w:rPr>
          <w:rFonts w:ascii="宋体" w:hAnsi="宋体"/>
          <w:sz w:val="24"/>
          <w:szCs w:val="24"/>
        </w:rPr>
      </w:pPr>
      <w:r>
        <w:rPr>
          <w:rFonts w:ascii="宋体" w:hAnsi="宋体"/>
          <w:sz w:val="24"/>
          <w:szCs w:val="24"/>
        </w:rPr>
      </w:r>
      <w:r/>
    </w:p>
    <w:p>
      <w:pPr>
        <w:pStyle w:val="672"/>
        <w:jc w:val="center"/>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t xml:space="preserve">人员工资、社会保险和公积金三项费用报价表（采购包号：**）</w:t>
      </w:r>
      <w:r>
        <w:rPr>
          <w:rFonts w:hint="eastAsia" w:ascii="方正魏碑_GBK" w:hAnsi="方正魏碑_GBK" w:eastAsia="方正魏碑_GBK" w:cs="方正魏碑_GBK"/>
          <w:b/>
          <w:color w:val="ff0000"/>
          <w:sz w:val="24"/>
          <w:szCs w:val="24"/>
        </w:rPr>
      </w: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2879"/>
      </w:tblGrid>
      <w:tr>
        <w:trPr>
          <w:trHeight w:val="369"/>
        </w:trPr>
        <w:tc>
          <w:tcPr>
            <w:tcW w:w="34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序号</w:t>
            </w:r>
            <w:r>
              <w:rPr>
                <w:rFonts w:hint="eastAsia" w:ascii="方正魏碑_GBK" w:hAnsi="方正魏碑_GBK" w:eastAsia="方正魏碑_GBK" w:cs="方正魏碑_GBK"/>
                <w:b/>
                <w:bCs/>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分项名称</w:t>
            </w:r>
            <w:r>
              <w:rPr>
                <w:rFonts w:hint="eastAsia" w:ascii="方正魏碑_GBK" w:hAnsi="方正魏碑_GBK" w:eastAsia="方正魏碑_GBK" w:cs="方正魏碑_GBK"/>
                <w:b/>
                <w:bCs/>
                <w:color w:val="ff0000"/>
                <w:sz w:val="18"/>
                <w:szCs w:val="18"/>
              </w:rPr>
            </w:r>
            <w:r/>
          </w:p>
        </w:tc>
        <w:tc>
          <w:tcPr>
            <w:tcW w:w="40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数量</w:t>
            </w:r>
            <w:r>
              <w:rPr>
                <w:rFonts w:hint="eastAsia" w:ascii="方正魏碑_GBK" w:hAnsi="方正魏碑_GBK" w:eastAsia="方正魏碑_GBK" w:cs="方正魏碑_GBK"/>
                <w:b/>
                <w:bCs/>
                <w:color w:val="ff0000"/>
                <w:sz w:val="18"/>
                <w:szCs w:val="18"/>
              </w:rPr>
            </w:r>
            <w:r/>
          </w:p>
        </w:tc>
        <w:tc>
          <w:tcPr>
            <w:tcW w:w="538"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分项</w:t>
            </w:r>
            <w:r>
              <w:rPr>
                <w:rFonts w:hint="eastAsia" w:ascii="方正魏碑_GBK" w:hAnsi="方正魏碑_GBK" w:eastAsia="方正魏碑_GBK" w:cs="方正魏碑_GBK"/>
                <w:b/>
                <w:bCs/>
                <w:color w:val="ff0000"/>
                <w:sz w:val="18"/>
                <w:szCs w:val="18"/>
              </w:rPr>
            </w:r>
            <w:r/>
          </w:p>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单价</w:t>
            </w:r>
            <w:r>
              <w:rPr>
                <w:rFonts w:hint="eastAsia" w:ascii="方正魏碑_GBK" w:hAnsi="方正魏碑_GBK" w:eastAsia="方正魏碑_GBK" w:cs="方正魏碑_GBK"/>
                <w:b/>
                <w:bCs/>
                <w:color w:val="ff0000"/>
                <w:sz w:val="18"/>
                <w:szCs w:val="18"/>
              </w:rPr>
            </w:r>
            <w:r/>
          </w:p>
        </w:tc>
        <w:tc>
          <w:tcPr>
            <w:tcW w:w="626"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期 限</w:t>
            </w:r>
            <w:r>
              <w:rPr>
                <w:rFonts w:hint="eastAsia" w:ascii="方正魏碑_GBK" w:hAnsi="方正魏碑_GBK" w:eastAsia="方正魏碑_GBK" w:cs="方正魏碑_GBK"/>
                <w:b/>
                <w:bCs/>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分项</w:t>
            </w:r>
            <w:r>
              <w:rPr>
                <w:rFonts w:hint="eastAsia" w:ascii="方正魏碑_GBK" w:hAnsi="方正魏碑_GBK" w:eastAsia="方正魏碑_GBK" w:cs="方正魏碑_GBK"/>
                <w:b/>
                <w:bCs/>
                <w:color w:val="ff0000"/>
                <w:sz w:val="18"/>
                <w:szCs w:val="18"/>
              </w:rPr>
            </w:r>
            <w:r/>
          </w:p>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总价1</w:t>
            </w:r>
            <w:r>
              <w:rPr>
                <w:rFonts w:hint="eastAsia" w:ascii="方正魏碑_GBK" w:hAnsi="方正魏碑_GBK" w:eastAsia="方正魏碑_GBK" w:cs="方正魏碑_GBK"/>
                <w:b/>
                <w:bCs/>
                <w:color w:val="ff0000"/>
                <w:sz w:val="18"/>
                <w:szCs w:val="18"/>
              </w:rPr>
            </w:r>
            <w:r/>
          </w:p>
        </w:tc>
        <w:tc>
          <w:tcPr>
            <w:tcW w:w="1605" w:type="dxa"/>
            <w:vAlign w:val="center"/>
            <w:vMerge w:val="restart"/>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要求说明</w:t>
            </w:r>
            <w:r>
              <w:rPr>
                <w:rFonts w:hint="eastAsia" w:ascii="方正魏碑_GBK" w:hAnsi="方正魏碑_GBK" w:eastAsia="方正魏碑_GBK" w:cs="方正魏碑_GBK"/>
                <w:b/>
                <w:bCs/>
                <w:color w:val="ff0000"/>
                <w:sz w:val="18"/>
                <w:szCs w:val="18"/>
              </w:rPr>
            </w:r>
            <w:r/>
          </w:p>
        </w:tc>
      </w:tr>
      <w:tr>
        <w:trPr>
          <w:trHeight w:val="369"/>
        </w:trPr>
        <w:tc>
          <w:tcPr>
            <w:tcW w:w="34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1</w:t>
            </w:r>
            <w:r>
              <w:rPr>
                <w:rFonts w:hint="eastAsia" w:ascii="方正魏碑_GBK" w:hAnsi="方正魏碑_GBK" w:eastAsia="方正魏碑_GBK" w:cs="方正魏碑_GBK"/>
                <w:b/>
                <w:bCs/>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人员工资</w:t>
            </w:r>
            <w:r>
              <w:rPr>
                <w:rFonts w:hint="eastAsia" w:ascii="方正魏碑_GBK" w:hAnsi="方正魏碑_GBK" w:eastAsia="方正魏碑_GBK" w:cs="方正魏碑_GBK"/>
                <w:b/>
                <w:bCs/>
                <w:color w:val="ff0000"/>
                <w:sz w:val="18"/>
                <w:szCs w:val="18"/>
              </w:rPr>
            </w:r>
            <w:r/>
          </w:p>
        </w:tc>
        <w:tc>
          <w:tcPr>
            <w:tcW w:w="40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人数</w:t>
            </w:r>
            <w:r>
              <w:rPr>
                <w:rFonts w:hint="eastAsia" w:ascii="方正魏碑_GBK" w:hAnsi="方正魏碑_GBK" w:eastAsia="方正魏碑_GBK" w:cs="方正魏碑_GBK"/>
                <w:b/>
                <w:bCs/>
                <w:color w:val="ff0000"/>
                <w:sz w:val="18"/>
                <w:szCs w:val="18"/>
              </w:rPr>
            </w:r>
            <w:r/>
          </w:p>
        </w:tc>
        <w:tc>
          <w:tcPr>
            <w:tcW w:w="538"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元/月·人</w:t>
            </w:r>
            <w:r>
              <w:rPr>
                <w:rFonts w:hint="eastAsia" w:ascii="方正魏碑_GBK" w:hAnsi="方正魏碑_GBK" w:eastAsia="方正魏碑_GBK" w:cs="方正魏碑_GBK"/>
                <w:b/>
                <w:bCs/>
                <w:color w:val="ff0000"/>
                <w:sz w:val="18"/>
                <w:szCs w:val="18"/>
              </w:rPr>
            </w:r>
            <w:r/>
          </w:p>
        </w:tc>
        <w:tc>
          <w:tcPr>
            <w:tcW w:w="626"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月</w:t>
            </w:r>
            <w:r>
              <w:rPr>
                <w:rFonts w:hint="eastAsia" w:ascii="方正魏碑_GBK" w:hAnsi="方正魏碑_GBK" w:eastAsia="方正魏碑_GBK" w:cs="方正魏碑_GBK"/>
                <w:b/>
                <w:bCs/>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元</w:t>
            </w:r>
            <w:r>
              <w:rPr>
                <w:rFonts w:hint="eastAsia" w:ascii="方正魏碑_GBK" w:hAnsi="方正魏碑_GBK" w:eastAsia="方正魏碑_GBK" w:cs="方正魏碑_GBK"/>
                <w:b/>
                <w:bCs/>
                <w:color w:val="ff0000"/>
                <w:sz w:val="18"/>
                <w:szCs w:val="18"/>
              </w:rPr>
            </w:r>
            <w:r/>
          </w:p>
        </w:tc>
        <w:tc>
          <w:tcPr>
            <w:tcW w:w="1605" w:type="dxa"/>
            <w:vAlign w:val="center"/>
            <w:vMerge w:val="continue"/>
            <w:textDirection w:val="lrTb"/>
            <w:noWrap w:val="false"/>
          </w:tcPr>
          <w:p>
            <w:pPr>
              <w:pStyle w:val="672"/>
              <w:jc w:val="left"/>
              <w:widowControl/>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tc>
      </w:tr>
      <w:tr>
        <w:trPr>
          <w:trHeight w:val="369"/>
        </w:trPr>
        <w:tc>
          <w:tcPr>
            <w:tcW w:w="34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1.1</w:t>
            </w:r>
            <w:r>
              <w:rPr>
                <w:rFonts w:hint="eastAsia" w:ascii="方正魏碑_GBK" w:hAnsi="方正魏碑_GBK" w:eastAsia="方正魏碑_GBK" w:cs="方正魏碑_GBK"/>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岗位1（如：保洁员1）</w:t>
            </w:r>
            <w:r>
              <w:rPr>
                <w:rFonts w:hint="eastAsia" w:ascii="方正魏碑_GBK" w:hAnsi="方正魏碑_GBK" w:eastAsia="方正魏碑_GBK" w:cs="方正魏碑_GBK"/>
                <w:color w:val="ff0000"/>
                <w:sz w:val="18"/>
                <w:szCs w:val="18"/>
              </w:rPr>
            </w:r>
            <w:r/>
          </w:p>
        </w:tc>
        <w:tc>
          <w:tcPr>
            <w:tcW w:w="403" w:type="dxa"/>
            <w:vAlign w:val="center"/>
            <w:textDirection w:val="lrTb"/>
            <w:noWrap w:val="false"/>
          </w:tcPr>
          <w:p>
            <w:pPr>
              <w:pStyle w:val="672"/>
              <w:jc w:val="center"/>
              <w:rPr>
                <w:rFonts w:hint="eastAsia" w:ascii="方正魏碑_GBK" w:hAnsi="方正魏碑_GBK" w:eastAsia="方正魏碑_GBK" w:cs="方正魏碑_GBK"/>
                <w:bCs/>
                <w:color w:val="ff0000"/>
                <w:sz w:val="18"/>
                <w:szCs w:val="18"/>
              </w:rPr>
            </w:pPr>
            <w:r>
              <w:rPr>
                <w:rFonts w:hint="eastAsia" w:ascii="方正魏碑_GBK" w:hAnsi="方正魏碑_GBK" w:eastAsia="方正魏碑_GBK" w:cs="方正魏碑_GBK"/>
                <w:bCs/>
                <w:color w:val="ff0000"/>
                <w:sz w:val="18"/>
                <w:szCs w:val="18"/>
              </w:rPr>
            </w:r>
            <w:r/>
          </w:p>
        </w:tc>
        <w:tc>
          <w:tcPr>
            <w:tcW w:w="538" w:type="dxa"/>
            <w:vAlign w:val="center"/>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r>
            <w:r/>
          </w:p>
        </w:tc>
        <w:tc>
          <w:tcPr>
            <w:tcW w:w="626" w:type="dxa"/>
            <w:vAlign w:val="top"/>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r>
            <w:r/>
          </w:p>
        </w:tc>
        <w:tc>
          <w:tcPr>
            <w:tcW w:w="633" w:type="dxa"/>
            <w:vAlign w:val="center"/>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r>
            <w:r/>
          </w:p>
        </w:tc>
        <w:tc>
          <w:tcPr>
            <w:tcW w:w="1605" w:type="dxa"/>
            <w:vAlign w:val="center"/>
            <w:textDirection w:val="lrTb"/>
            <w:noWrap w:val="false"/>
          </w:tcPr>
          <w:p>
            <w:pPr>
              <w:pStyle w:val="672"/>
              <w:jc w:val="left"/>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r>
      <w:tr>
        <w:trPr>
          <w:trHeight w:val="369"/>
        </w:trPr>
        <w:tc>
          <w:tcPr>
            <w:tcW w:w="34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1.2</w:t>
            </w:r>
            <w:r>
              <w:rPr>
                <w:rFonts w:hint="eastAsia" w:ascii="方正魏碑_GBK" w:hAnsi="方正魏碑_GBK" w:eastAsia="方正魏碑_GBK" w:cs="方正魏碑_GBK"/>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岗位2（如：保洁员2）</w:t>
            </w:r>
            <w:r>
              <w:rPr>
                <w:rFonts w:hint="eastAsia" w:ascii="方正魏碑_GBK" w:hAnsi="方正魏碑_GBK" w:eastAsia="方正魏碑_GBK" w:cs="方正魏碑_GBK"/>
                <w:color w:val="ff0000"/>
                <w:sz w:val="18"/>
                <w:szCs w:val="18"/>
              </w:rPr>
            </w:r>
            <w:r/>
          </w:p>
        </w:tc>
        <w:tc>
          <w:tcPr>
            <w:tcW w:w="403" w:type="dxa"/>
            <w:vAlign w:val="center"/>
            <w:textDirection w:val="lrTb"/>
            <w:noWrap w:val="false"/>
          </w:tcPr>
          <w:p>
            <w:pPr>
              <w:pStyle w:val="672"/>
              <w:jc w:val="center"/>
              <w:rPr>
                <w:rFonts w:hint="eastAsia" w:ascii="方正魏碑_GBK" w:hAnsi="方正魏碑_GBK" w:eastAsia="方正魏碑_GBK" w:cs="方正魏碑_GBK"/>
                <w:bCs/>
                <w:color w:val="ff0000"/>
                <w:sz w:val="18"/>
                <w:szCs w:val="18"/>
              </w:rPr>
            </w:pPr>
            <w:r>
              <w:rPr>
                <w:rFonts w:hint="eastAsia" w:ascii="方正魏碑_GBK" w:hAnsi="方正魏碑_GBK" w:eastAsia="方正魏碑_GBK" w:cs="方正魏碑_GBK"/>
                <w:bCs/>
                <w:color w:val="ff0000"/>
                <w:sz w:val="18"/>
                <w:szCs w:val="18"/>
              </w:rPr>
            </w:r>
            <w:r/>
          </w:p>
        </w:tc>
        <w:tc>
          <w:tcPr>
            <w:tcW w:w="538" w:type="dxa"/>
            <w:vAlign w:val="center"/>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r>
            <w:r/>
          </w:p>
        </w:tc>
        <w:tc>
          <w:tcPr>
            <w:tcW w:w="626" w:type="dxa"/>
            <w:vAlign w:val="top"/>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r>
            <w:r/>
          </w:p>
        </w:tc>
        <w:tc>
          <w:tcPr>
            <w:tcW w:w="633" w:type="dxa"/>
            <w:vAlign w:val="center"/>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r>
            <w:r/>
          </w:p>
        </w:tc>
        <w:tc>
          <w:tcPr>
            <w:tcW w:w="1605" w:type="dxa"/>
            <w:vAlign w:val="center"/>
            <w:textDirection w:val="lrTb"/>
            <w:noWrap w:val="false"/>
          </w:tcPr>
          <w:p>
            <w:pPr>
              <w:pStyle w:val="672"/>
              <w:jc w:val="left"/>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r>
      <w:tr>
        <w:trPr>
          <w:trHeight w:val="369"/>
        </w:trPr>
        <w:tc>
          <w:tcPr>
            <w:tcW w:w="34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1.3</w:t>
            </w:r>
            <w:r>
              <w:rPr>
                <w:rFonts w:hint="eastAsia" w:ascii="方正魏碑_GBK" w:hAnsi="方正魏碑_GBK" w:eastAsia="方正魏碑_GBK" w:cs="方正魏碑_GBK"/>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w:t>
            </w:r>
            <w:r>
              <w:rPr>
                <w:rFonts w:hint="eastAsia" w:ascii="方正魏碑_GBK" w:hAnsi="方正魏碑_GBK" w:eastAsia="方正魏碑_GBK" w:cs="方正魏碑_GBK"/>
                <w:color w:val="ff0000"/>
                <w:sz w:val="18"/>
                <w:szCs w:val="18"/>
              </w:rPr>
            </w:r>
            <w:r/>
          </w:p>
        </w:tc>
        <w:tc>
          <w:tcPr>
            <w:tcW w:w="403" w:type="dxa"/>
            <w:vAlign w:val="center"/>
            <w:textDirection w:val="lrTb"/>
            <w:noWrap w:val="false"/>
          </w:tcPr>
          <w:p>
            <w:pPr>
              <w:pStyle w:val="672"/>
              <w:jc w:val="center"/>
              <w:rPr>
                <w:rFonts w:hint="eastAsia" w:ascii="方正魏碑_GBK" w:hAnsi="方正魏碑_GBK" w:eastAsia="方正魏碑_GBK" w:cs="方正魏碑_GBK"/>
                <w:bCs/>
                <w:color w:val="ff0000"/>
                <w:sz w:val="18"/>
                <w:szCs w:val="18"/>
              </w:rPr>
            </w:pPr>
            <w:r>
              <w:rPr>
                <w:rFonts w:hint="eastAsia" w:ascii="方正魏碑_GBK" w:hAnsi="方正魏碑_GBK" w:eastAsia="方正魏碑_GBK" w:cs="方正魏碑_GBK"/>
                <w:bCs/>
                <w:color w:val="ff0000"/>
                <w:sz w:val="18"/>
                <w:szCs w:val="18"/>
              </w:rPr>
            </w:r>
            <w:r/>
          </w:p>
        </w:tc>
        <w:tc>
          <w:tcPr>
            <w:tcW w:w="538" w:type="dxa"/>
            <w:vAlign w:val="center"/>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r>
            <w:r/>
          </w:p>
        </w:tc>
        <w:tc>
          <w:tcPr>
            <w:tcW w:w="626" w:type="dxa"/>
            <w:vAlign w:val="top"/>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r>
            <w:r/>
          </w:p>
        </w:tc>
        <w:tc>
          <w:tcPr>
            <w:tcW w:w="633" w:type="dxa"/>
            <w:vAlign w:val="center"/>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r>
            <w:r/>
          </w:p>
        </w:tc>
        <w:tc>
          <w:tcPr>
            <w:tcW w:w="1605" w:type="dxa"/>
            <w:vAlign w:val="center"/>
            <w:textDirection w:val="lrTb"/>
            <w:noWrap w:val="false"/>
          </w:tcPr>
          <w:p>
            <w:pPr>
              <w:pStyle w:val="672"/>
              <w:jc w:val="left"/>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r>
      <w:tr>
        <w:trPr>
          <w:trHeight w:val="369"/>
        </w:trPr>
        <w:tc>
          <w:tcPr>
            <w:gridSpan w:val="7"/>
            <w:tcW w:w="8964" w:type="dxa"/>
            <w:vAlign w:val="center"/>
            <w:textDirection w:val="lrTb"/>
            <w:noWrap w:val="false"/>
          </w:tcPr>
          <w:p>
            <w:pPr>
              <w:pStyle w:val="672"/>
              <w:jc w:val="left"/>
              <w:rPr>
                <w:rFonts w:hint="eastAsia" w:ascii="方正魏碑_GBK" w:hAnsi="方正魏碑_GBK" w:eastAsia="方正魏碑_GBK" w:cs="方正魏碑_GBK"/>
                <w:b/>
                <w:color w:val="ff0000"/>
                <w:sz w:val="18"/>
                <w:szCs w:val="18"/>
              </w:rPr>
            </w:pPr>
            <w:r>
              <w:rPr>
                <w:rFonts w:hint="eastAsia" w:ascii="方正魏碑_GBK" w:hAnsi="方正魏碑_GBK" w:eastAsia="方正魏碑_GBK" w:cs="方正魏碑_GBK"/>
                <w:b/>
                <w:color w:val="ff0000"/>
                <w:sz w:val="18"/>
                <w:szCs w:val="18"/>
              </w:rPr>
              <w:t xml:space="preserve">分项总价1 合计：</w:t>
            </w:r>
            <w:r>
              <w:rPr>
                <w:rFonts w:hint="eastAsia" w:ascii="方正魏碑_GBK" w:hAnsi="方正魏碑_GBK" w:eastAsia="方正魏碑_GBK" w:cs="方正魏碑_GBK"/>
                <w:b/>
                <w:color w:val="ff0000"/>
                <w:sz w:val="18"/>
                <w:szCs w:val="18"/>
                <w:u w:val="single"/>
              </w:rPr>
              <w:t xml:space="preserve">         </w:t>
            </w:r>
            <w:r>
              <w:rPr>
                <w:rFonts w:hint="eastAsia" w:ascii="方正魏碑_GBK" w:hAnsi="方正魏碑_GBK" w:eastAsia="方正魏碑_GBK" w:cs="方正魏碑_GBK"/>
                <w:b/>
                <w:color w:val="ff0000"/>
                <w:sz w:val="18"/>
                <w:szCs w:val="18"/>
              </w:rPr>
              <w:t xml:space="preserve">人民币（元）</w:t>
            </w:r>
            <w:r>
              <w:rPr>
                <w:rFonts w:hint="eastAsia" w:ascii="方正魏碑_GBK" w:hAnsi="方正魏碑_GBK" w:eastAsia="方正魏碑_GBK" w:cs="方正魏碑_GBK"/>
                <w:b/>
                <w:color w:val="ff0000"/>
                <w:sz w:val="18"/>
                <w:szCs w:val="18"/>
              </w:rPr>
            </w:r>
            <w:r/>
          </w:p>
        </w:tc>
      </w:tr>
      <w:tr>
        <w:trPr>
          <w:trHeight w:val="369"/>
        </w:trPr>
        <w:tc>
          <w:tcPr>
            <w:tcW w:w="34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序号</w:t>
            </w:r>
            <w:r>
              <w:rPr>
                <w:rFonts w:hint="eastAsia" w:ascii="方正魏碑_GBK" w:hAnsi="方正魏碑_GBK" w:eastAsia="方正魏碑_GBK" w:cs="方正魏碑_GBK"/>
                <w:b/>
                <w:bCs/>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分项名称</w:t>
            </w:r>
            <w:r>
              <w:rPr>
                <w:rFonts w:hint="eastAsia" w:ascii="方正魏碑_GBK" w:hAnsi="方正魏碑_GBK" w:eastAsia="方正魏碑_GBK" w:cs="方正魏碑_GBK"/>
                <w:b/>
                <w:bCs/>
                <w:color w:val="ff0000"/>
                <w:sz w:val="18"/>
                <w:szCs w:val="18"/>
              </w:rPr>
            </w:r>
            <w:r/>
          </w:p>
        </w:tc>
        <w:tc>
          <w:tcPr>
            <w:tcW w:w="40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数量</w:t>
            </w:r>
            <w:r>
              <w:rPr>
                <w:rFonts w:hint="eastAsia" w:ascii="方正魏碑_GBK" w:hAnsi="方正魏碑_GBK" w:eastAsia="方正魏碑_GBK" w:cs="方正魏碑_GBK"/>
                <w:b/>
                <w:bCs/>
                <w:color w:val="ff0000"/>
                <w:sz w:val="18"/>
                <w:szCs w:val="18"/>
              </w:rPr>
            </w:r>
            <w:r/>
          </w:p>
        </w:tc>
        <w:tc>
          <w:tcPr>
            <w:tcW w:w="538"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分项</w:t>
            </w:r>
            <w:r>
              <w:rPr>
                <w:rFonts w:hint="eastAsia" w:ascii="方正魏碑_GBK" w:hAnsi="方正魏碑_GBK" w:eastAsia="方正魏碑_GBK" w:cs="方正魏碑_GBK"/>
                <w:b/>
                <w:bCs/>
                <w:color w:val="ff0000"/>
                <w:sz w:val="18"/>
                <w:szCs w:val="18"/>
              </w:rPr>
            </w:r>
            <w:r/>
          </w:p>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单价</w:t>
            </w:r>
            <w:r>
              <w:rPr>
                <w:rFonts w:hint="eastAsia" w:ascii="方正魏碑_GBK" w:hAnsi="方正魏碑_GBK" w:eastAsia="方正魏碑_GBK" w:cs="方正魏碑_GBK"/>
                <w:b/>
                <w:bCs/>
                <w:color w:val="ff0000"/>
                <w:sz w:val="18"/>
                <w:szCs w:val="18"/>
              </w:rPr>
            </w:r>
            <w:r/>
          </w:p>
        </w:tc>
        <w:tc>
          <w:tcPr>
            <w:tcW w:w="626"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 期 限</w:t>
            </w:r>
            <w:r>
              <w:rPr>
                <w:rFonts w:hint="eastAsia" w:ascii="方正魏碑_GBK" w:hAnsi="方正魏碑_GBK" w:eastAsia="方正魏碑_GBK" w:cs="方正魏碑_GBK"/>
                <w:b/>
                <w:bCs/>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分项</w:t>
            </w:r>
            <w:r>
              <w:rPr>
                <w:rFonts w:hint="eastAsia" w:ascii="方正魏碑_GBK" w:hAnsi="方正魏碑_GBK" w:eastAsia="方正魏碑_GBK" w:cs="方正魏碑_GBK"/>
                <w:b/>
                <w:bCs/>
                <w:color w:val="ff0000"/>
                <w:sz w:val="18"/>
                <w:szCs w:val="18"/>
              </w:rPr>
            </w:r>
            <w:r/>
          </w:p>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总价2</w:t>
            </w:r>
            <w:r>
              <w:rPr>
                <w:rFonts w:hint="eastAsia" w:ascii="方正魏碑_GBK" w:hAnsi="方正魏碑_GBK" w:eastAsia="方正魏碑_GBK" w:cs="方正魏碑_GBK"/>
                <w:b/>
                <w:bCs/>
                <w:color w:val="ff0000"/>
                <w:sz w:val="18"/>
                <w:szCs w:val="18"/>
              </w:rPr>
            </w:r>
            <w:r/>
          </w:p>
        </w:tc>
        <w:tc>
          <w:tcPr>
            <w:tcW w:w="1605" w:type="dxa"/>
            <w:vAlign w:val="center"/>
            <w:vMerge w:val="restart"/>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要求说明</w:t>
            </w:r>
            <w:r>
              <w:rPr>
                <w:rFonts w:hint="eastAsia" w:ascii="方正魏碑_GBK" w:hAnsi="方正魏碑_GBK" w:eastAsia="方正魏碑_GBK" w:cs="方正魏碑_GBK"/>
                <w:b/>
                <w:bCs/>
                <w:color w:val="ff0000"/>
                <w:sz w:val="18"/>
                <w:szCs w:val="18"/>
              </w:rPr>
            </w:r>
            <w:r/>
          </w:p>
        </w:tc>
      </w:tr>
      <w:tr>
        <w:trPr>
          <w:trHeight w:val="628"/>
        </w:trPr>
        <w:tc>
          <w:tcPr>
            <w:tcW w:w="34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2</w:t>
            </w:r>
            <w:r>
              <w:rPr>
                <w:rFonts w:hint="eastAsia" w:ascii="方正魏碑_GBK" w:hAnsi="方正魏碑_GBK" w:eastAsia="方正魏碑_GBK" w:cs="方正魏碑_GBK"/>
                <w:b/>
                <w:bCs/>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社会保险费用</w:t>
            </w:r>
            <w:r>
              <w:rPr>
                <w:rFonts w:hint="eastAsia" w:ascii="方正魏碑_GBK" w:hAnsi="方正魏碑_GBK" w:eastAsia="方正魏碑_GBK" w:cs="方正魏碑_GBK"/>
                <w:b/>
                <w:bCs/>
                <w:color w:val="ff0000"/>
                <w:sz w:val="18"/>
                <w:szCs w:val="18"/>
              </w:rPr>
            </w:r>
            <w:r/>
          </w:p>
        </w:tc>
        <w:tc>
          <w:tcPr>
            <w:tcW w:w="403" w:type="dxa"/>
            <w:vAlign w:val="center"/>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人数</w:t>
            </w:r>
            <w:r>
              <w:rPr>
                <w:rFonts w:hint="eastAsia" w:ascii="方正魏碑_GBK" w:hAnsi="方正魏碑_GBK" w:eastAsia="方正魏碑_GBK" w:cs="方正魏碑_GBK"/>
                <w:b/>
                <w:bCs/>
                <w:color w:val="ff0000"/>
                <w:sz w:val="18"/>
                <w:szCs w:val="18"/>
              </w:rPr>
            </w:r>
            <w:r/>
          </w:p>
        </w:tc>
        <w:tc>
          <w:tcPr>
            <w:tcW w:w="538" w:type="dxa"/>
            <w:vAlign w:val="center"/>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元/月·人</w:t>
            </w:r>
            <w:r>
              <w:rPr>
                <w:rFonts w:hint="eastAsia" w:ascii="方正魏碑_GBK" w:hAnsi="方正魏碑_GBK" w:eastAsia="方正魏碑_GBK" w:cs="方正魏碑_GBK"/>
                <w:b/>
                <w:bCs/>
                <w:color w:val="ff0000"/>
                <w:sz w:val="18"/>
                <w:szCs w:val="18"/>
              </w:rPr>
            </w:r>
            <w:r/>
          </w:p>
        </w:tc>
        <w:tc>
          <w:tcPr>
            <w:tcW w:w="626"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月</w:t>
            </w:r>
            <w:r>
              <w:rPr>
                <w:rFonts w:hint="eastAsia" w:ascii="方正魏碑_GBK" w:hAnsi="方正魏碑_GBK" w:eastAsia="方正魏碑_GBK" w:cs="方正魏碑_GBK"/>
                <w:b/>
                <w:bCs/>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元</w:t>
            </w:r>
            <w:r>
              <w:rPr>
                <w:rFonts w:hint="eastAsia" w:ascii="方正魏碑_GBK" w:hAnsi="方正魏碑_GBK" w:eastAsia="方正魏碑_GBK" w:cs="方正魏碑_GBK"/>
                <w:b/>
                <w:bCs/>
                <w:color w:val="ff0000"/>
                <w:sz w:val="18"/>
                <w:szCs w:val="18"/>
              </w:rPr>
            </w:r>
            <w:r/>
          </w:p>
        </w:tc>
        <w:tc>
          <w:tcPr>
            <w:tcW w:w="1605" w:type="dxa"/>
            <w:vAlign w:val="center"/>
            <w:vMerge w:val="continue"/>
            <w:textDirection w:val="lrTb"/>
            <w:noWrap w:val="false"/>
          </w:tcPr>
          <w:p>
            <w:pPr>
              <w:pStyle w:val="672"/>
              <w:jc w:val="left"/>
              <w:rPr>
                <w:rFonts w:hint="eastAsia" w:ascii="方正魏碑_GBK" w:hAnsi="方正魏碑_GBK" w:eastAsia="方正魏碑_GBK" w:cs="方正魏碑_GBK"/>
                <w:i/>
                <w:color w:val="ff0000"/>
                <w:sz w:val="18"/>
                <w:szCs w:val="18"/>
                <w:u w:val="single"/>
              </w:rPr>
            </w:pPr>
            <w:r>
              <w:rPr>
                <w:rFonts w:hint="eastAsia" w:ascii="方正魏碑_GBK" w:hAnsi="方正魏碑_GBK" w:eastAsia="方正魏碑_GBK" w:cs="方正魏碑_GBK"/>
                <w:i/>
                <w:color w:val="ff0000"/>
                <w:sz w:val="18"/>
                <w:szCs w:val="18"/>
                <w:u w:val="single"/>
              </w:rPr>
            </w:r>
            <w:r/>
          </w:p>
        </w:tc>
      </w:tr>
      <w:tr>
        <w:trPr>
          <w:trHeight w:val="563"/>
        </w:trPr>
        <w:tc>
          <w:tcPr>
            <w:tcW w:w="34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2.1</w:t>
            </w:r>
            <w:r>
              <w:rPr>
                <w:rFonts w:hint="eastAsia" w:ascii="方正魏碑_GBK" w:hAnsi="方正魏碑_GBK" w:eastAsia="方正魏碑_GBK" w:cs="方正魏碑_GBK"/>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岗位1（如：保洁员1）</w:t>
            </w:r>
            <w:r>
              <w:rPr>
                <w:rFonts w:hint="eastAsia" w:ascii="方正魏碑_GBK" w:hAnsi="方正魏碑_GBK" w:eastAsia="方正魏碑_GBK" w:cs="方正魏碑_GBK"/>
                <w:color w:val="ff0000"/>
                <w:sz w:val="18"/>
                <w:szCs w:val="18"/>
              </w:rPr>
            </w:r>
            <w:r/>
          </w:p>
        </w:tc>
        <w:tc>
          <w:tcPr>
            <w:tcW w:w="40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53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26"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1605" w:type="dxa"/>
            <w:vAlign w:val="center"/>
            <w:vMerge w:val="restart"/>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该人员正常缴纳社会保险/</w:t>
            </w:r>
            <w:r>
              <w:rPr>
                <w:rFonts w:hint="eastAsia" w:ascii="方正魏碑_GBK" w:hAnsi="方正魏碑_GBK" w:eastAsia="方正魏碑_GBK" w:cs="方正魏碑_GBK"/>
                <w:color w:val="ff0000"/>
                <w:sz w:val="18"/>
                <w:szCs w:val="18"/>
              </w:rPr>
            </w:r>
            <w:r/>
          </w:p>
          <w:p>
            <w:pPr>
              <w:pStyle w:val="672"/>
              <w:jc w:val="left"/>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i w:val="0"/>
                <w:iCs/>
                <w:color w:val="ff0000"/>
                <w:sz w:val="18"/>
                <w:szCs w:val="18"/>
                <w:u w:val="none"/>
              </w:rPr>
              <w:t xml:space="preserve">如该人员依法享受社会保险费用缴纳减免政策，请在此框内进行说明</w:t>
            </w:r>
            <w:r>
              <w:rPr>
                <w:rFonts w:hint="eastAsia" w:ascii="方正魏碑_GBK" w:hAnsi="方正魏碑_GBK" w:eastAsia="方正魏碑_GBK" w:cs="方正魏碑_GBK"/>
                <w:color w:val="ff0000"/>
                <w:sz w:val="18"/>
                <w:szCs w:val="18"/>
              </w:rPr>
            </w:r>
            <w:r/>
          </w:p>
        </w:tc>
      </w:tr>
      <w:tr>
        <w:trPr>
          <w:trHeight w:val="261"/>
        </w:trPr>
        <w:tc>
          <w:tcPr>
            <w:tcW w:w="34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2.2</w:t>
            </w:r>
            <w:r>
              <w:rPr>
                <w:rFonts w:hint="eastAsia" w:ascii="方正魏碑_GBK" w:hAnsi="方正魏碑_GBK" w:eastAsia="方正魏碑_GBK" w:cs="方正魏碑_GBK"/>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岗位2（如：保洁员2）</w:t>
            </w:r>
            <w:r>
              <w:rPr>
                <w:rFonts w:hint="eastAsia" w:ascii="方正魏碑_GBK" w:hAnsi="方正魏碑_GBK" w:eastAsia="方正魏碑_GBK" w:cs="方正魏碑_GBK"/>
                <w:color w:val="ff0000"/>
                <w:sz w:val="18"/>
                <w:szCs w:val="18"/>
              </w:rPr>
            </w:r>
            <w:r/>
          </w:p>
        </w:tc>
        <w:tc>
          <w:tcPr>
            <w:tcW w:w="40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53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26"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1605" w:type="dxa"/>
            <w:vAlign w:val="center"/>
            <w:vMerge w:val="continue"/>
            <w:textDirection w:val="lrTb"/>
            <w:noWrap w:val="false"/>
          </w:tcPr>
          <w:p>
            <w:pPr>
              <w:pStyle w:val="672"/>
              <w:jc w:val="left"/>
              <w:widowControl/>
              <w:rPr>
                <w:rFonts w:hint="eastAsia" w:ascii="方正魏碑_GBK" w:hAnsi="方正魏碑_GBK" w:eastAsia="方正魏碑_GBK" w:cs="方正魏碑_GBK"/>
                <w:i/>
                <w:color w:val="ff0000"/>
                <w:sz w:val="18"/>
                <w:szCs w:val="18"/>
                <w:u w:val="single"/>
              </w:rPr>
            </w:pPr>
            <w:r>
              <w:rPr>
                <w:rFonts w:hint="eastAsia" w:ascii="方正魏碑_GBK" w:hAnsi="方正魏碑_GBK" w:eastAsia="方正魏碑_GBK" w:cs="方正魏碑_GBK"/>
                <w:i/>
                <w:color w:val="ff0000"/>
                <w:sz w:val="18"/>
                <w:szCs w:val="18"/>
                <w:u w:val="single"/>
              </w:rPr>
            </w:r>
            <w:r/>
          </w:p>
        </w:tc>
      </w:tr>
      <w:tr>
        <w:trPr>
          <w:trHeight w:val="261"/>
        </w:trPr>
        <w:tc>
          <w:tcPr>
            <w:tcW w:w="34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w:t>
            </w:r>
            <w:r>
              <w:rPr>
                <w:rFonts w:hint="eastAsia" w:ascii="方正魏碑_GBK" w:hAnsi="方正魏碑_GBK" w:eastAsia="方正魏碑_GBK" w:cs="方正魏碑_GBK"/>
                <w:color w:val="ff0000"/>
                <w:sz w:val="18"/>
                <w:szCs w:val="18"/>
              </w:rPr>
            </w:r>
            <w:r/>
          </w:p>
        </w:tc>
        <w:tc>
          <w:tcPr>
            <w:tcW w:w="40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53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26"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1605" w:type="dxa"/>
            <w:vAlign w:val="center"/>
            <w:textDirection w:val="lrTb"/>
            <w:noWrap w:val="false"/>
          </w:tcPr>
          <w:p>
            <w:pPr>
              <w:pStyle w:val="672"/>
              <w:jc w:val="left"/>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r>
      <w:tr>
        <w:trPr>
          <w:trHeight w:val="261"/>
        </w:trPr>
        <w:tc>
          <w:tcPr>
            <w:gridSpan w:val="7"/>
            <w:tcW w:w="8964" w:type="dxa"/>
            <w:vAlign w:val="center"/>
            <w:textDirection w:val="lrTb"/>
            <w:noWrap w:val="false"/>
          </w:tcPr>
          <w:p>
            <w:pPr>
              <w:pStyle w:val="672"/>
              <w:jc w:val="left"/>
              <w:rPr>
                <w:rFonts w:hint="eastAsia" w:ascii="方正魏碑_GBK" w:hAnsi="方正魏碑_GBK" w:eastAsia="方正魏碑_GBK" w:cs="方正魏碑_GBK"/>
                <w:b/>
                <w:color w:val="ff0000"/>
                <w:sz w:val="18"/>
                <w:szCs w:val="18"/>
              </w:rPr>
            </w:pPr>
            <w:r>
              <w:rPr>
                <w:rFonts w:hint="eastAsia" w:ascii="方正魏碑_GBK" w:hAnsi="方正魏碑_GBK" w:eastAsia="方正魏碑_GBK" w:cs="方正魏碑_GBK"/>
                <w:b/>
                <w:color w:val="ff0000"/>
                <w:sz w:val="18"/>
                <w:szCs w:val="18"/>
              </w:rPr>
              <w:t xml:space="preserve">分项总价2 合计：</w:t>
            </w:r>
            <w:r>
              <w:rPr>
                <w:rFonts w:hint="eastAsia" w:ascii="方正魏碑_GBK" w:hAnsi="方正魏碑_GBK" w:eastAsia="方正魏碑_GBK" w:cs="方正魏碑_GBK"/>
                <w:b/>
                <w:color w:val="ff0000"/>
                <w:sz w:val="18"/>
                <w:szCs w:val="18"/>
                <w:u w:val="single"/>
              </w:rPr>
              <w:t xml:space="preserve">         </w:t>
            </w:r>
            <w:r>
              <w:rPr>
                <w:rFonts w:hint="eastAsia" w:ascii="方正魏碑_GBK" w:hAnsi="方正魏碑_GBK" w:eastAsia="方正魏碑_GBK" w:cs="方正魏碑_GBK"/>
                <w:b/>
                <w:color w:val="ff0000"/>
                <w:sz w:val="18"/>
                <w:szCs w:val="18"/>
              </w:rPr>
              <w:t xml:space="preserve">人民币（元）</w:t>
            </w:r>
            <w:r>
              <w:rPr>
                <w:rFonts w:hint="eastAsia" w:ascii="方正魏碑_GBK" w:hAnsi="方正魏碑_GBK" w:eastAsia="方正魏碑_GBK" w:cs="方正魏碑_GBK"/>
                <w:b/>
                <w:color w:val="ff0000"/>
                <w:sz w:val="18"/>
                <w:szCs w:val="18"/>
              </w:rPr>
            </w:r>
            <w:r/>
          </w:p>
        </w:tc>
      </w:tr>
      <w:tr>
        <w:trPr>
          <w:trHeight w:val="261"/>
        </w:trPr>
        <w:tc>
          <w:tcPr>
            <w:tcW w:w="34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序号</w:t>
            </w:r>
            <w:r>
              <w:rPr>
                <w:rFonts w:hint="eastAsia" w:ascii="方正魏碑_GBK" w:hAnsi="方正魏碑_GBK" w:eastAsia="方正魏碑_GBK" w:cs="方正魏碑_GBK"/>
                <w:b/>
                <w:bCs/>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分项名称</w:t>
            </w:r>
            <w:r>
              <w:rPr>
                <w:rFonts w:hint="eastAsia" w:ascii="方正魏碑_GBK" w:hAnsi="方正魏碑_GBK" w:eastAsia="方正魏碑_GBK" w:cs="方正魏碑_GBK"/>
                <w:b/>
                <w:bCs/>
                <w:color w:val="ff0000"/>
                <w:sz w:val="18"/>
                <w:szCs w:val="18"/>
              </w:rPr>
            </w:r>
            <w:r/>
          </w:p>
        </w:tc>
        <w:tc>
          <w:tcPr>
            <w:tcW w:w="40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数量</w:t>
            </w:r>
            <w:r>
              <w:rPr>
                <w:rFonts w:hint="eastAsia" w:ascii="方正魏碑_GBK" w:hAnsi="方正魏碑_GBK" w:eastAsia="方正魏碑_GBK" w:cs="方正魏碑_GBK"/>
                <w:b/>
                <w:bCs/>
                <w:color w:val="ff0000"/>
                <w:sz w:val="18"/>
                <w:szCs w:val="18"/>
              </w:rPr>
            </w:r>
            <w:r/>
          </w:p>
        </w:tc>
        <w:tc>
          <w:tcPr>
            <w:tcW w:w="538"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分项</w:t>
            </w:r>
            <w:r>
              <w:rPr>
                <w:rFonts w:hint="eastAsia" w:ascii="方正魏碑_GBK" w:hAnsi="方正魏碑_GBK" w:eastAsia="方正魏碑_GBK" w:cs="方正魏碑_GBK"/>
                <w:b/>
                <w:bCs/>
                <w:color w:val="ff0000"/>
                <w:sz w:val="18"/>
                <w:szCs w:val="18"/>
              </w:rPr>
            </w:r>
            <w:r/>
          </w:p>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单价</w:t>
            </w:r>
            <w:r>
              <w:rPr>
                <w:rFonts w:hint="eastAsia" w:ascii="方正魏碑_GBK" w:hAnsi="方正魏碑_GBK" w:eastAsia="方正魏碑_GBK" w:cs="方正魏碑_GBK"/>
                <w:b/>
                <w:bCs/>
                <w:color w:val="ff0000"/>
                <w:sz w:val="18"/>
                <w:szCs w:val="18"/>
              </w:rPr>
            </w:r>
            <w:r/>
          </w:p>
        </w:tc>
        <w:tc>
          <w:tcPr>
            <w:tcW w:w="626"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期 限</w:t>
            </w:r>
            <w:r>
              <w:rPr>
                <w:rFonts w:hint="eastAsia" w:ascii="方正魏碑_GBK" w:hAnsi="方正魏碑_GBK" w:eastAsia="方正魏碑_GBK" w:cs="方正魏碑_GBK"/>
                <w:b/>
                <w:bCs/>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分项</w:t>
            </w:r>
            <w:r>
              <w:rPr>
                <w:rFonts w:hint="eastAsia" w:ascii="方正魏碑_GBK" w:hAnsi="方正魏碑_GBK" w:eastAsia="方正魏碑_GBK" w:cs="方正魏碑_GBK"/>
                <w:b/>
                <w:bCs/>
                <w:color w:val="ff0000"/>
                <w:sz w:val="18"/>
                <w:szCs w:val="18"/>
              </w:rPr>
            </w:r>
            <w:r/>
          </w:p>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总价3</w:t>
            </w:r>
            <w:r>
              <w:rPr>
                <w:rFonts w:hint="eastAsia" w:ascii="方正魏碑_GBK" w:hAnsi="方正魏碑_GBK" w:eastAsia="方正魏碑_GBK" w:cs="方正魏碑_GBK"/>
                <w:b/>
                <w:bCs/>
                <w:color w:val="ff0000"/>
                <w:sz w:val="18"/>
                <w:szCs w:val="18"/>
              </w:rPr>
            </w:r>
            <w:r/>
          </w:p>
        </w:tc>
        <w:tc>
          <w:tcPr>
            <w:tcW w:w="1605" w:type="dxa"/>
            <w:vAlign w:val="center"/>
            <w:vMerge w:val="restart"/>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要求说明</w:t>
            </w:r>
            <w:r>
              <w:rPr>
                <w:rFonts w:hint="eastAsia" w:ascii="方正魏碑_GBK" w:hAnsi="方正魏碑_GBK" w:eastAsia="方正魏碑_GBK" w:cs="方正魏碑_GBK"/>
                <w:b/>
                <w:bCs/>
                <w:color w:val="ff0000"/>
                <w:sz w:val="18"/>
                <w:szCs w:val="18"/>
              </w:rPr>
            </w:r>
            <w:r/>
          </w:p>
        </w:tc>
      </w:tr>
      <w:tr>
        <w:trPr>
          <w:trHeight w:val="261"/>
        </w:trPr>
        <w:tc>
          <w:tcPr>
            <w:tcW w:w="343" w:type="dxa"/>
            <w:vAlign w:val="center"/>
            <w:textDirection w:val="lrTb"/>
            <w:noWrap w:val="false"/>
          </w:tcPr>
          <w:p>
            <w:pPr>
              <w:pStyle w:val="672"/>
              <w:jc w:val="center"/>
              <w:widowControl/>
              <w:rPr>
                <w:rFonts w:hint="eastAsia" w:ascii="方正魏碑_GBK" w:hAnsi="方正魏碑_GBK" w:eastAsia="方正魏碑_GBK" w:cs="方正魏碑_GBK"/>
                <w:b/>
                <w:color w:val="ff0000"/>
                <w:sz w:val="18"/>
                <w:szCs w:val="18"/>
              </w:rPr>
            </w:pPr>
            <w:r>
              <w:rPr>
                <w:rFonts w:hint="eastAsia" w:ascii="方正魏碑_GBK" w:hAnsi="方正魏碑_GBK" w:eastAsia="方正魏碑_GBK" w:cs="方正魏碑_GBK"/>
                <w:b/>
                <w:color w:val="ff0000"/>
                <w:sz w:val="18"/>
                <w:szCs w:val="18"/>
              </w:rPr>
              <w:t xml:space="preserve">3</w:t>
            </w:r>
            <w:r>
              <w:rPr>
                <w:rFonts w:hint="eastAsia" w:ascii="方正魏碑_GBK" w:hAnsi="方正魏碑_GBK" w:eastAsia="方正魏碑_GBK" w:cs="方正魏碑_GBK"/>
                <w:b/>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b/>
                <w:color w:val="ff0000"/>
                <w:sz w:val="18"/>
                <w:szCs w:val="18"/>
              </w:rPr>
            </w:pPr>
            <w:r>
              <w:rPr>
                <w:rFonts w:hint="eastAsia" w:ascii="方正魏碑_GBK" w:hAnsi="方正魏碑_GBK" w:eastAsia="方正魏碑_GBK" w:cs="方正魏碑_GBK"/>
                <w:b/>
                <w:color w:val="ff0000"/>
                <w:sz w:val="18"/>
                <w:szCs w:val="18"/>
              </w:rPr>
              <w:t xml:space="preserve">住房公积金</w:t>
            </w:r>
            <w:r>
              <w:rPr>
                <w:rFonts w:hint="eastAsia" w:ascii="方正魏碑_GBK" w:hAnsi="方正魏碑_GBK" w:eastAsia="方正魏碑_GBK" w:cs="方正魏碑_GBK"/>
                <w:b/>
                <w:color w:val="ff0000"/>
                <w:sz w:val="18"/>
                <w:szCs w:val="18"/>
              </w:rPr>
            </w:r>
            <w:r/>
          </w:p>
        </w:tc>
        <w:tc>
          <w:tcPr>
            <w:tcW w:w="403" w:type="dxa"/>
            <w:vAlign w:val="center"/>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人数</w:t>
            </w:r>
            <w:r>
              <w:rPr>
                <w:rFonts w:hint="eastAsia" w:ascii="方正魏碑_GBK" w:hAnsi="方正魏碑_GBK" w:eastAsia="方正魏碑_GBK" w:cs="方正魏碑_GBK"/>
                <w:b/>
                <w:bCs/>
                <w:color w:val="ff0000"/>
                <w:sz w:val="18"/>
                <w:szCs w:val="18"/>
              </w:rPr>
            </w:r>
            <w:r/>
          </w:p>
        </w:tc>
        <w:tc>
          <w:tcPr>
            <w:tcW w:w="538" w:type="dxa"/>
            <w:vAlign w:val="center"/>
            <w:textDirection w:val="lrTb"/>
            <w:noWrap w:val="false"/>
          </w:tcPr>
          <w:p>
            <w:pPr>
              <w:pStyle w:val="672"/>
              <w:jc w:val="center"/>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元/月·人</w:t>
            </w:r>
            <w:r>
              <w:rPr>
                <w:rFonts w:hint="eastAsia" w:ascii="方正魏碑_GBK" w:hAnsi="方正魏碑_GBK" w:eastAsia="方正魏碑_GBK" w:cs="方正魏碑_GBK"/>
                <w:b/>
                <w:bCs/>
                <w:color w:val="ff0000"/>
                <w:sz w:val="18"/>
                <w:szCs w:val="18"/>
              </w:rPr>
            </w:r>
            <w:r/>
          </w:p>
        </w:tc>
        <w:tc>
          <w:tcPr>
            <w:tcW w:w="626"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月</w:t>
            </w:r>
            <w:r>
              <w:rPr>
                <w:rFonts w:hint="eastAsia" w:ascii="方正魏碑_GBK" w:hAnsi="方正魏碑_GBK" w:eastAsia="方正魏碑_GBK" w:cs="方正魏碑_GBK"/>
                <w:b/>
                <w:bCs/>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b/>
                <w:bCs/>
                <w:color w:val="ff0000"/>
                <w:sz w:val="18"/>
                <w:szCs w:val="18"/>
              </w:rPr>
            </w:pPr>
            <w:r>
              <w:rPr>
                <w:rFonts w:hint="eastAsia" w:ascii="方正魏碑_GBK" w:hAnsi="方正魏碑_GBK" w:eastAsia="方正魏碑_GBK" w:cs="方正魏碑_GBK"/>
                <w:b/>
                <w:bCs/>
                <w:color w:val="ff0000"/>
                <w:sz w:val="18"/>
                <w:szCs w:val="18"/>
              </w:rPr>
              <w:t xml:space="preserve">元</w:t>
            </w:r>
            <w:r>
              <w:rPr>
                <w:rFonts w:hint="eastAsia" w:ascii="方正魏碑_GBK" w:hAnsi="方正魏碑_GBK" w:eastAsia="方正魏碑_GBK" w:cs="方正魏碑_GBK"/>
                <w:b/>
                <w:bCs/>
                <w:color w:val="ff0000"/>
                <w:sz w:val="18"/>
                <w:szCs w:val="18"/>
              </w:rPr>
            </w:r>
            <w:r/>
          </w:p>
        </w:tc>
        <w:tc>
          <w:tcPr>
            <w:tcW w:w="1605" w:type="dxa"/>
            <w:vAlign w:val="center"/>
            <w:vMerge w:val="continue"/>
            <w:textDirection w:val="lrTb"/>
            <w:noWrap w:val="false"/>
          </w:tcPr>
          <w:p>
            <w:pPr>
              <w:pStyle w:val="672"/>
              <w:jc w:val="left"/>
              <w:widowControl/>
              <w:rPr>
                <w:rFonts w:hint="eastAsia" w:ascii="方正魏碑_GBK" w:hAnsi="方正魏碑_GBK" w:eastAsia="方正魏碑_GBK" w:cs="方正魏碑_GBK"/>
                <w:i/>
                <w:color w:val="ff0000"/>
                <w:sz w:val="18"/>
                <w:szCs w:val="18"/>
                <w:u w:val="single"/>
              </w:rPr>
            </w:pPr>
            <w:r>
              <w:rPr>
                <w:rFonts w:hint="eastAsia" w:ascii="方正魏碑_GBK" w:hAnsi="方正魏碑_GBK" w:eastAsia="方正魏碑_GBK" w:cs="方正魏碑_GBK"/>
                <w:i/>
                <w:color w:val="ff0000"/>
                <w:sz w:val="18"/>
                <w:szCs w:val="18"/>
                <w:u w:val="single"/>
              </w:rPr>
            </w:r>
            <w:r/>
          </w:p>
        </w:tc>
      </w:tr>
      <w:tr>
        <w:trPr>
          <w:trHeight w:val="369"/>
        </w:trPr>
        <w:tc>
          <w:tcPr>
            <w:tcW w:w="34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3.1</w:t>
            </w:r>
            <w:r>
              <w:rPr>
                <w:rFonts w:hint="eastAsia" w:ascii="方正魏碑_GBK" w:hAnsi="方正魏碑_GBK" w:eastAsia="方正魏碑_GBK" w:cs="方正魏碑_GBK"/>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岗位1（如：保洁员1）</w:t>
            </w:r>
            <w:r>
              <w:rPr>
                <w:rFonts w:hint="eastAsia" w:ascii="方正魏碑_GBK" w:hAnsi="方正魏碑_GBK" w:eastAsia="方正魏碑_GBK" w:cs="方正魏碑_GBK"/>
                <w:color w:val="ff0000"/>
                <w:sz w:val="18"/>
                <w:szCs w:val="18"/>
              </w:rPr>
            </w:r>
            <w:r/>
          </w:p>
        </w:tc>
        <w:tc>
          <w:tcPr>
            <w:tcW w:w="40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53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26" w:type="dxa"/>
            <w:vAlign w:val="top"/>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1605" w:type="dxa"/>
            <w:vAlign w:val="center"/>
            <w:vMerge w:val="restart"/>
            <w:textDirection w:val="lrTb"/>
            <w:noWrap w:val="false"/>
          </w:tcPr>
          <w:p>
            <w:pPr>
              <w:pStyle w:val="672"/>
              <w:jc w:val="center"/>
              <w:widowControl/>
              <w:rPr>
                <w:rFonts w:hint="eastAsia" w:ascii="方正魏碑_GBK" w:hAnsi="方正魏碑_GBK" w:eastAsia="方正魏碑_GBK" w:cs="方正魏碑_GBK"/>
                <w:i/>
                <w:color w:val="ff0000"/>
                <w:sz w:val="18"/>
                <w:szCs w:val="18"/>
                <w:u w:val="single"/>
              </w:rPr>
            </w:pPr>
            <w:r>
              <w:rPr>
                <w:rFonts w:hint="eastAsia" w:ascii="方正魏碑_GBK" w:hAnsi="方正魏碑_GBK" w:eastAsia="方正魏碑_GBK" w:cs="方正魏碑_GBK"/>
                <w:color w:val="ff0000"/>
                <w:sz w:val="18"/>
                <w:szCs w:val="18"/>
              </w:rPr>
              <w:t xml:space="preserve">该人员正常</w:t>
            </w:r>
            <w:r>
              <w:rPr>
                <w:rFonts w:hint="eastAsia" w:ascii="方正魏碑_GBK" w:hAnsi="方正魏碑_GBK" w:eastAsia="方正魏碑_GBK" w:cs="方正魏碑_GBK"/>
                <w:color w:val="ff0000"/>
                <w:sz w:val="18"/>
                <w:szCs w:val="18"/>
                <w:lang w:eastAsia="zh-CN"/>
              </w:rPr>
              <w:t xml:space="preserve">缴存</w:t>
            </w:r>
            <w:r>
              <w:rPr>
                <w:rFonts w:hint="eastAsia" w:ascii="方正魏碑_GBK" w:hAnsi="方正魏碑_GBK" w:eastAsia="方正魏碑_GBK" w:cs="方正魏碑_GBK"/>
                <w:color w:val="ff0000"/>
                <w:sz w:val="18"/>
                <w:szCs w:val="18"/>
              </w:rPr>
              <w:t xml:space="preserve">住房公积金/</w:t>
            </w:r>
            <w:r>
              <w:rPr>
                <w:rFonts w:hint="eastAsia" w:ascii="方正魏碑_GBK" w:hAnsi="方正魏碑_GBK" w:eastAsia="方正魏碑_GBK" w:cs="方正魏碑_GBK"/>
                <w:i/>
                <w:color w:val="ff0000"/>
                <w:sz w:val="18"/>
                <w:szCs w:val="18"/>
                <w:u w:val="single"/>
              </w:rPr>
            </w:r>
            <w:r/>
          </w:p>
          <w:p>
            <w:pPr>
              <w:pStyle w:val="672"/>
              <w:jc w:val="left"/>
              <w:rPr>
                <w:rFonts w:hint="eastAsia" w:ascii="方正魏碑_GBK" w:hAnsi="方正魏碑_GBK" w:eastAsia="方正魏碑_GBK" w:cs="方正魏碑_GBK"/>
                <w:i/>
                <w:color w:val="ff0000"/>
                <w:sz w:val="18"/>
                <w:szCs w:val="18"/>
                <w:u w:val="single"/>
              </w:rPr>
            </w:pPr>
            <w:r>
              <w:rPr>
                <w:rFonts w:hint="eastAsia" w:ascii="方正魏碑_GBK" w:hAnsi="方正魏碑_GBK" w:eastAsia="方正魏碑_GBK" w:cs="方正魏碑_GBK"/>
                <w:i w:val="0"/>
                <w:iCs/>
                <w:color w:val="ff0000"/>
                <w:sz w:val="18"/>
                <w:szCs w:val="18"/>
                <w:u w:val="none"/>
              </w:rPr>
              <w:t xml:space="preserve">如该人员依法享受住房公积金</w:t>
            </w:r>
            <w:r>
              <w:rPr>
                <w:rFonts w:hint="eastAsia" w:ascii="方正魏碑_GBK" w:hAnsi="方正魏碑_GBK" w:eastAsia="方正魏碑_GBK" w:cs="方正魏碑_GBK"/>
                <w:i w:val="0"/>
                <w:iCs/>
                <w:color w:val="ff0000"/>
                <w:sz w:val="18"/>
                <w:szCs w:val="18"/>
                <w:u w:val="none"/>
                <w:lang w:eastAsia="zh-CN"/>
              </w:rPr>
              <w:t xml:space="preserve">缴存</w:t>
            </w:r>
            <w:r>
              <w:rPr>
                <w:rFonts w:hint="eastAsia" w:ascii="方正魏碑_GBK" w:hAnsi="方正魏碑_GBK" w:eastAsia="方正魏碑_GBK" w:cs="方正魏碑_GBK"/>
                <w:i w:val="0"/>
                <w:iCs/>
                <w:color w:val="ff0000"/>
                <w:sz w:val="18"/>
                <w:szCs w:val="18"/>
                <w:u w:val="none"/>
              </w:rPr>
              <w:t xml:space="preserve">减免政策，请在此框内进行说明</w:t>
            </w:r>
            <w:r>
              <w:rPr>
                <w:rFonts w:hint="eastAsia" w:ascii="方正魏碑_GBK" w:hAnsi="方正魏碑_GBK" w:eastAsia="方正魏碑_GBK" w:cs="方正魏碑_GBK"/>
                <w:i/>
                <w:color w:val="ff0000"/>
                <w:sz w:val="18"/>
                <w:szCs w:val="18"/>
                <w:u w:val="single"/>
              </w:rPr>
            </w:r>
            <w:r/>
          </w:p>
        </w:tc>
      </w:tr>
      <w:tr>
        <w:trPr>
          <w:trHeight w:val="369"/>
        </w:trPr>
        <w:tc>
          <w:tcPr>
            <w:tcW w:w="34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3.2</w:t>
            </w:r>
            <w:r>
              <w:rPr>
                <w:rFonts w:hint="eastAsia" w:ascii="方正魏碑_GBK" w:hAnsi="方正魏碑_GBK" w:eastAsia="方正魏碑_GBK" w:cs="方正魏碑_GBK"/>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岗位2（如：保洁员2）</w:t>
            </w:r>
            <w:r>
              <w:rPr>
                <w:rFonts w:hint="eastAsia" w:ascii="方正魏碑_GBK" w:hAnsi="方正魏碑_GBK" w:eastAsia="方正魏碑_GBK" w:cs="方正魏碑_GBK"/>
                <w:color w:val="ff0000"/>
                <w:sz w:val="18"/>
                <w:szCs w:val="18"/>
              </w:rPr>
            </w:r>
            <w:r/>
          </w:p>
        </w:tc>
        <w:tc>
          <w:tcPr>
            <w:tcW w:w="40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53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26" w:type="dxa"/>
            <w:vAlign w:val="top"/>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1605" w:type="dxa"/>
            <w:vAlign w:val="center"/>
            <w:vMerge w:val="continue"/>
            <w:textDirection w:val="lrTb"/>
            <w:noWrap w:val="false"/>
          </w:tcPr>
          <w:p>
            <w:pPr>
              <w:pStyle w:val="672"/>
              <w:jc w:val="left"/>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r>
      <w:tr>
        <w:trPr>
          <w:trHeight w:val="369"/>
        </w:trPr>
        <w:tc>
          <w:tcPr>
            <w:tcW w:w="34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84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t xml:space="preserve">……</w:t>
            </w:r>
            <w:r>
              <w:rPr>
                <w:rFonts w:hint="eastAsia" w:ascii="方正魏碑_GBK" w:hAnsi="方正魏碑_GBK" w:eastAsia="方正魏碑_GBK" w:cs="方正魏碑_GBK"/>
                <w:color w:val="ff0000"/>
                <w:sz w:val="18"/>
                <w:szCs w:val="18"/>
              </w:rPr>
            </w:r>
            <w:r/>
          </w:p>
        </w:tc>
        <w:tc>
          <w:tcPr>
            <w:tcW w:w="40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538"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26" w:type="dxa"/>
            <w:vAlign w:val="top"/>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633" w:type="dxa"/>
            <w:vAlign w:val="center"/>
            <w:textDirection w:val="lrTb"/>
            <w:noWrap w:val="false"/>
          </w:tcPr>
          <w:p>
            <w:pPr>
              <w:pStyle w:val="672"/>
              <w:jc w:val="center"/>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c>
          <w:tcPr>
            <w:tcW w:w="1605" w:type="dxa"/>
            <w:vAlign w:val="center"/>
            <w:textDirection w:val="lrTb"/>
            <w:noWrap w:val="false"/>
          </w:tcPr>
          <w:p>
            <w:pPr>
              <w:pStyle w:val="672"/>
              <w:jc w:val="left"/>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color w:val="ff0000"/>
                <w:sz w:val="18"/>
                <w:szCs w:val="18"/>
              </w:rPr>
            </w:r>
            <w:r/>
          </w:p>
        </w:tc>
      </w:tr>
      <w:tr>
        <w:trPr>
          <w:trHeight w:val="369"/>
        </w:trPr>
        <w:tc>
          <w:tcPr>
            <w:gridSpan w:val="7"/>
            <w:tcW w:w="8964" w:type="dxa"/>
            <w:vAlign w:val="center"/>
            <w:textDirection w:val="lrTb"/>
            <w:noWrap w:val="false"/>
          </w:tcPr>
          <w:p>
            <w:pPr>
              <w:pStyle w:val="672"/>
              <w:jc w:val="left"/>
              <w:widowControl/>
              <w:rPr>
                <w:rFonts w:hint="eastAsia" w:ascii="方正魏碑_GBK" w:hAnsi="方正魏碑_GBK" w:eastAsia="方正魏碑_GBK" w:cs="方正魏碑_GBK"/>
                <w:color w:val="ff0000"/>
                <w:sz w:val="18"/>
                <w:szCs w:val="18"/>
              </w:rPr>
            </w:pPr>
            <w:r>
              <w:rPr>
                <w:rFonts w:hint="eastAsia" w:ascii="方正魏碑_GBK" w:hAnsi="方正魏碑_GBK" w:eastAsia="方正魏碑_GBK" w:cs="方正魏碑_GBK"/>
                <w:b/>
                <w:color w:val="ff0000"/>
                <w:sz w:val="18"/>
                <w:szCs w:val="18"/>
              </w:rPr>
              <w:t xml:space="preserve">分项总价3 合计：</w:t>
            </w:r>
            <w:r>
              <w:rPr>
                <w:rFonts w:hint="eastAsia" w:ascii="方正魏碑_GBK" w:hAnsi="方正魏碑_GBK" w:eastAsia="方正魏碑_GBK" w:cs="方正魏碑_GBK"/>
                <w:b/>
                <w:color w:val="ff0000"/>
                <w:sz w:val="18"/>
                <w:szCs w:val="18"/>
                <w:u w:val="single"/>
              </w:rPr>
              <w:t xml:space="preserve">         </w:t>
            </w:r>
            <w:r>
              <w:rPr>
                <w:rFonts w:hint="eastAsia" w:ascii="方正魏碑_GBK" w:hAnsi="方正魏碑_GBK" w:eastAsia="方正魏碑_GBK" w:cs="方正魏碑_GBK"/>
                <w:b/>
                <w:color w:val="ff0000"/>
                <w:sz w:val="18"/>
                <w:szCs w:val="18"/>
              </w:rPr>
              <w:t xml:space="preserve">人民币（元）</w:t>
            </w:r>
            <w:r>
              <w:rPr>
                <w:rFonts w:hint="eastAsia" w:ascii="方正魏碑_GBK" w:hAnsi="方正魏碑_GBK" w:eastAsia="方正魏碑_GBK" w:cs="方正魏碑_GBK"/>
                <w:color w:val="ff0000"/>
                <w:sz w:val="18"/>
                <w:szCs w:val="18"/>
              </w:rPr>
            </w:r>
            <w:r/>
          </w:p>
        </w:tc>
      </w:tr>
    </w:tbl>
    <w:p>
      <w:pPr>
        <w:pStyle w:val="672"/>
        <w:spacing w:line="40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color w:val="ff0000"/>
          <w:sz w:val="24"/>
          <w:szCs w:val="24"/>
        </w:rPr>
        <w:t xml:space="preserve">备注：</w:t>
      </w:r>
      <w:r>
        <w:rPr>
          <w:rFonts w:hint="eastAsia" w:ascii="方正魏碑_GBK" w:hAnsi="方正魏碑_GBK" w:eastAsia="方正魏碑_GBK" w:cs="方正魏碑_GBK"/>
          <w:color w:val="ff0000"/>
          <w:sz w:val="24"/>
          <w:szCs w:val="24"/>
        </w:rPr>
      </w:r>
      <w:r/>
    </w:p>
    <w:p>
      <w:pPr>
        <w:pStyle w:val="672"/>
        <w:spacing w:line="400" w:lineRule="exact"/>
        <w:rPr>
          <w:rFonts w:hint="eastAsia" w:ascii="方正魏碑_GBK" w:hAnsi="方正魏碑_GBK" w:eastAsia="方正魏碑_GBK" w:cs="方正魏碑_GBK"/>
          <w:i w:val="0"/>
          <w:iCs/>
          <w:color w:val="ff0000"/>
          <w:sz w:val="24"/>
          <w:szCs w:val="24"/>
          <w:u w:val="none"/>
        </w:rPr>
      </w:pPr>
      <w:r>
        <w:rPr>
          <w:rFonts w:hint="eastAsia" w:ascii="方正魏碑_GBK" w:hAnsi="方正魏碑_GBK" w:eastAsia="方正魏碑_GBK" w:cs="方正魏碑_GBK"/>
          <w:i w:val="0"/>
          <w:iCs/>
          <w:color w:val="ff0000"/>
          <w:sz w:val="24"/>
          <w:szCs w:val="24"/>
          <w:u w:val="none"/>
        </w:rPr>
        <w:t xml:space="preserve">1.本表仅适用物业管理服务品目政府采购项目，供应商</w:t>
      </w:r>
      <w:r>
        <w:rPr>
          <w:rFonts w:hint="eastAsia" w:ascii="方正魏碑_GBK" w:hAnsi="方正魏碑_GBK" w:eastAsia="方正魏碑_GBK" w:cs="方正魏碑_GBK"/>
          <w:i w:val="0"/>
          <w:iCs/>
          <w:color w:val="ff0000"/>
          <w:sz w:val="24"/>
          <w:szCs w:val="24"/>
          <w:u w:val="none"/>
          <w:lang w:eastAsia="zh-CN"/>
        </w:rPr>
        <w:t xml:space="preserve">需</w:t>
      </w:r>
      <w:r>
        <w:rPr>
          <w:rFonts w:hint="eastAsia" w:ascii="方正魏碑_GBK" w:hAnsi="方正魏碑_GBK" w:eastAsia="方正魏碑_GBK" w:cs="方正魏碑_GBK"/>
          <w:i w:val="0"/>
          <w:iCs/>
          <w:color w:val="ff0000"/>
          <w:sz w:val="24"/>
          <w:szCs w:val="24"/>
          <w:u w:val="none"/>
        </w:rPr>
        <w:t xml:space="preserve">在投标（响应）文件中填报此表。</w:t>
      </w:r>
      <w:r>
        <w:rPr>
          <w:rFonts w:hint="eastAsia" w:ascii="方正魏碑_GBK" w:hAnsi="方正魏碑_GBK" w:eastAsia="方正魏碑_GBK" w:cs="方正魏碑_GBK"/>
          <w:i w:val="0"/>
          <w:iCs/>
          <w:color w:val="ff0000"/>
          <w:sz w:val="24"/>
          <w:szCs w:val="24"/>
          <w:u w:val="none"/>
        </w:rPr>
      </w:r>
      <w:r/>
    </w:p>
    <w:p>
      <w:pPr>
        <w:pStyle w:val="672"/>
        <w:spacing w:line="400" w:lineRule="exact"/>
        <w:rPr>
          <w:rFonts w:hint="eastAsia" w:ascii="方正魏碑_GBK" w:hAnsi="方正魏碑_GBK" w:eastAsia="方正魏碑_GBK" w:cs="方正魏碑_GBK"/>
          <w:i/>
          <w:iCs w:val="0"/>
          <w:color w:val="ff0000"/>
          <w:sz w:val="24"/>
          <w:szCs w:val="24"/>
          <w:u w:val="single"/>
        </w:rPr>
      </w:pPr>
      <w:r>
        <w:rPr>
          <w:rFonts w:hint="eastAsia" w:ascii="方正魏碑_GBK" w:hAnsi="方正魏碑_GBK" w:eastAsia="方正魏碑_GBK" w:cs="方正魏碑_GBK"/>
          <w:i/>
          <w:iCs w:val="0"/>
          <w:color w:val="ff0000"/>
          <w:sz w:val="24"/>
          <w:szCs w:val="24"/>
          <w:u w:val="single"/>
        </w:rPr>
        <w:t xml:space="preserve">2.供应商在投标（响应）文件中响应的拟投入本项目的服务人员不得是全日制在校学生。</w:t>
      </w:r>
      <w:r>
        <w:rPr>
          <w:rFonts w:hint="eastAsia" w:ascii="方正魏碑_GBK" w:hAnsi="方正魏碑_GBK" w:eastAsia="方正魏碑_GBK" w:cs="方正魏碑_GBK"/>
          <w:i/>
          <w:iCs w:val="0"/>
          <w:color w:val="ff0000"/>
          <w:sz w:val="24"/>
          <w:szCs w:val="24"/>
          <w:u w:val="single"/>
        </w:rPr>
      </w:r>
      <w:r/>
    </w:p>
    <w:p>
      <w:pPr>
        <w:pStyle w:val="672"/>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672"/>
      </w:pPr>
      <w:r/>
      <w:r/>
    </w:p>
    <w:p>
      <w:pPr>
        <w:pStyle w:val="672"/>
        <w:spacing w:line="0" w:lineRule="atLeast"/>
        <w:rPr>
          <w:rFonts w:hint="eastAsia" w:ascii="宋体" w:hAnsi="宋体"/>
          <w:sz w:val="24"/>
          <w:szCs w:val="24"/>
        </w:rPr>
      </w:pPr>
      <w:r>
        <w:rPr>
          <w:rFonts w:hint="eastAsia" w:ascii="宋体" w:hAnsi="宋体"/>
          <w:sz w:val="24"/>
          <w:szCs w:val="24"/>
        </w:rPr>
      </w:r>
      <w:r/>
    </w:p>
    <w:p>
      <w:pPr>
        <w:pStyle w:val="672"/>
        <w:spacing w:line="0" w:lineRule="atLeast"/>
        <w:rPr>
          <w:rFonts w:hint="eastAsia" w:ascii="宋体" w:hAnsi="宋体"/>
          <w:sz w:val="24"/>
          <w:szCs w:val="24"/>
        </w:rPr>
      </w:pPr>
      <w:r>
        <w:rPr>
          <w:rFonts w:hint="eastAsia" w:ascii="宋体" w:hAnsi="宋体"/>
          <w:sz w:val="24"/>
          <w:szCs w:val="24"/>
        </w:rPr>
      </w:r>
      <w:r/>
    </w:p>
    <w:p>
      <w:pPr>
        <w:pStyle w:val="672"/>
        <w:spacing w:line="0" w:lineRule="atLeast"/>
        <w:rPr>
          <w:rFonts w:hint="eastAsia" w:ascii="宋体" w:hAnsi="宋体"/>
          <w:sz w:val="24"/>
          <w:szCs w:val="24"/>
        </w:rPr>
      </w:pPr>
      <w:r>
        <w:rPr>
          <w:rFonts w:hint="eastAsia" w:ascii="宋体" w:hAnsi="宋体"/>
          <w:sz w:val="24"/>
          <w:szCs w:val="24"/>
        </w:rPr>
      </w:r>
      <w:r/>
    </w:p>
    <w:p>
      <w:pPr>
        <w:pStyle w:val="672"/>
        <w:spacing w:line="0" w:lineRule="atLeast"/>
        <w:rPr>
          <w:rFonts w:hint="eastAsia" w:ascii="宋体" w:hAnsi="宋体"/>
          <w:sz w:val="24"/>
          <w:szCs w:val="24"/>
        </w:rPr>
      </w:pPr>
      <w:r>
        <w:rPr>
          <w:rFonts w:hint="eastAsia" w:ascii="宋体" w:hAnsi="宋体"/>
          <w:sz w:val="24"/>
          <w:szCs w:val="24"/>
        </w:rPr>
      </w:r>
      <w:r/>
    </w:p>
    <w:p>
      <w:pPr>
        <w:pStyle w:val="672"/>
        <w:spacing w:line="0" w:lineRule="atLeast"/>
        <w:rPr>
          <w:rFonts w:hint="eastAsia" w:ascii="宋体" w:hAnsi="宋体"/>
          <w:sz w:val="24"/>
          <w:szCs w:val="24"/>
        </w:rPr>
      </w:pPr>
      <w:r>
        <w:rPr>
          <w:rFonts w:hint="eastAsia" w:ascii="宋体" w:hAnsi="宋体"/>
          <w:sz w:val="24"/>
          <w:szCs w:val="24"/>
        </w:rPr>
      </w:r>
      <w:r/>
    </w:p>
    <w:p>
      <w:pPr>
        <w:pStyle w:val="672"/>
        <w:spacing w:line="0" w:lineRule="atLeast"/>
        <w:rPr>
          <w:rFonts w:hint="eastAsia" w:ascii="宋体" w:hAnsi="宋体"/>
          <w:sz w:val="24"/>
          <w:szCs w:val="24"/>
        </w:rPr>
      </w:pPr>
      <w:r>
        <w:rPr>
          <w:rFonts w:hint="eastAsia" w:ascii="宋体" w:hAnsi="宋体"/>
          <w:sz w:val="24"/>
          <w:szCs w:val="24"/>
        </w:rPr>
      </w:r>
      <w:r/>
    </w:p>
    <w:p>
      <w:pPr>
        <w:pStyle w:val="672"/>
        <w:spacing w:line="0" w:lineRule="atLeast"/>
        <w:rPr>
          <w:rFonts w:hint="eastAsia" w:ascii="宋体" w:hAnsi="宋体"/>
          <w:sz w:val="24"/>
          <w:szCs w:val="24"/>
        </w:rPr>
      </w:pPr>
      <w:r>
        <w:rPr>
          <w:rFonts w:hint="eastAsia" w:ascii="宋体" w:hAnsi="宋体"/>
          <w:sz w:val="24"/>
          <w:szCs w:val="24"/>
        </w:rPr>
      </w:r>
      <w:r/>
    </w:p>
    <w:p>
      <w:pPr>
        <w:pStyle w:val="672"/>
        <w:spacing w:line="0" w:lineRule="atLeast"/>
        <w:rPr>
          <w:rFonts w:hint="eastAsia" w:ascii="宋体" w:hAnsi="宋体"/>
          <w:sz w:val="24"/>
          <w:szCs w:val="24"/>
        </w:rPr>
      </w:pPr>
      <w:r>
        <w:rPr>
          <w:rFonts w:hint="eastAsia" w:ascii="宋体" w:hAnsi="宋体"/>
          <w:sz w:val="24"/>
          <w:szCs w:val="24"/>
        </w:rPr>
      </w:r>
      <w:r/>
    </w:p>
    <w:p>
      <w:pPr>
        <w:pStyle w:val="672"/>
        <w:spacing w:line="0" w:lineRule="atLeast"/>
        <w:rPr>
          <w:rFonts w:hint="eastAsia" w:ascii="宋体" w:hAnsi="宋体"/>
          <w:sz w:val="24"/>
          <w:szCs w:val="24"/>
        </w:rPr>
      </w:pPr>
      <w:r>
        <w:rPr>
          <w:rFonts w:hint="eastAsia" w:ascii="宋体" w:hAnsi="宋体"/>
          <w:sz w:val="24"/>
          <w:szCs w:val="24"/>
        </w:rPr>
      </w:r>
      <w:r/>
    </w:p>
    <w:p>
      <w:pPr>
        <w:pStyle w:val="672"/>
        <w:spacing w:line="0" w:lineRule="atLeast"/>
        <w:rPr>
          <w:rFonts w:hint="eastAsia" w:ascii="宋体" w:hAnsi="宋体"/>
          <w:sz w:val="24"/>
          <w:szCs w:val="24"/>
        </w:rPr>
      </w:pPr>
      <w:r>
        <w:rPr>
          <w:rFonts w:hint="eastAsia" w:ascii="宋体" w:hAnsi="宋体"/>
          <w:sz w:val="24"/>
          <w:szCs w:val="24"/>
        </w:rPr>
      </w:r>
      <w:r/>
    </w:p>
    <w:p>
      <w:pPr>
        <w:pStyle w:val="672"/>
        <w:spacing w:line="0" w:lineRule="atLeast"/>
        <w:rPr>
          <w:rFonts w:hint="eastAsia" w:ascii="宋体" w:hAnsi="宋体"/>
          <w:sz w:val="24"/>
          <w:szCs w:val="24"/>
        </w:rPr>
      </w:pPr>
      <w:r>
        <w:rPr>
          <w:rFonts w:hint="eastAsia" w:ascii="宋体" w:hAnsi="宋体"/>
          <w:sz w:val="24"/>
          <w:szCs w:val="24"/>
        </w:rPr>
      </w:r>
      <w:r/>
    </w:p>
    <w:p>
      <w:pPr>
        <w:pStyle w:val="672"/>
        <w:spacing w:line="0" w:lineRule="atLeast"/>
        <w:rPr>
          <w:rFonts w:hint="eastAsia" w:ascii="宋体" w:hAnsi="宋体"/>
          <w:sz w:val="24"/>
          <w:szCs w:val="24"/>
        </w:rPr>
      </w:pPr>
      <w:r>
        <w:rPr>
          <w:rFonts w:hint="eastAsia" w:ascii="宋体" w:hAnsi="宋体"/>
          <w:sz w:val="24"/>
          <w:szCs w:val="24"/>
        </w:rPr>
      </w:r>
      <w:r/>
    </w:p>
    <w:p>
      <w:pPr>
        <w:pStyle w:val="672"/>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7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r>
    </w:tbl>
    <w:p>
      <w:pPr>
        <w:pStyle w:val="67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2"/>
        <w:spacing w:line="400" w:lineRule="exact"/>
        <w:rPr>
          <w:rFonts w:ascii="宋体" w:hAnsi="宋体"/>
          <w:sz w:val="24"/>
          <w:szCs w:val="24"/>
        </w:rPr>
      </w:pPr>
      <w:r>
        <w:rPr>
          <w:rFonts w:ascii="宋体" w:hAnsi="宋体"/>
          <w:sz w:val="24"/>
          <w:szCs w:val="24"/>
        </w:rPr>
      </w:r>
      <w:r/>
    </w:p>
    <w:p>
      <w:pPr>
        <w:pStyle w:val="67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72"/>
        <w:spacing w:line="400" w:lineRule="exact"/>
        <w:rPr>
          <w:rFonts w:ascii="宋体" w:hAnsi="宋体"/>
          <w:sz w:val="24"/>
          <w:szCs w:val="24"/>
        </w:rPr>
      </w:pPr>
      <w:r>
        <w:rPr>
          <w:rFonts w:hint="eastAsia" w:ascii="方正魏碑_GBK" w:hAnsi="方正魏碑_GBK" w:eastAsia="方正魏碑_GBK" w:cs="方正魏碑_GBK"/>
          <w:color w:val="ff0000"/>
          <w:sz w:val="30"/>
          <w:szCs w:val="30"/>
        </w:rPr>
        <w:t xml:space="preserve">1.投标人需对招标文件技术要求中非实质性要求（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2"/>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72"/>
        <w:spacing w:line="400" w:lineRule="exact"/>
        <w:rPr>
          <w:rFonts w:hint="eastAsia" w:ascii="宋体" w:hAnsi="宋体"/>
          <w:sz w:val="24"/>
          <w:szCs w:val="24"/>
        </w:rPr>
      </w:pPr>
      <w:r>
        <w:rPr>
          <w:rFonts w:hint="eastAsia" w:ascii="宋体" w:hAnsi="宋体"/>
          <w:sz w:val="24"/>
          <w:szCs w:val="24"/>
        </w:rPr>
      </w:r>
      <w:r/>
    </w:p>
    <w:p>
      <w:pPr>
        <w:pStyle w:val="672"/>
        <w:spacing w:line="400" w:lineRule="exact"/>
        <w:rPr>
          <w:rFonts w:hint="eastAsia" w:ascii="宋体" w:hAnsi="宋体"/>
          <w:sz w:val="24"/>
          <w:szCs w:val="24"/>
        </w:rPr>
      </w:pPr>
      <w:r>
        <w:rPr>
          <w:rFonts w:hint="eastAsia" w:ascii="宋体" w:hAnsi="宋体"/>
          <w:sz w:val="24"/>
          <w:szCs w:val="24"/>
        </w:rPr>
      </w:r>
      <w:r/>
    </w:p>
    <w:p>
      <w:pPr>
        <w:pStyle w:val="672"/>
        <w:spacing w:line="400" w:lineRule="exact"/>
        <w:rPr>
          <w:rFonts w:hint="eastAsia" w:ascii="宋体" w:hAnsi="宋体"/>
          <w:sz w:val="24"/>
          <w:szCs w:val="24"/>
        </w:rPr>
      </w:pPr>
      <w:r>
        <w:rPr>
          <w:rFonts w:hint="eastAsia" w:ascii="宋体" w:hAnsi="宋体"/>
          <w:sz w:val="24"/>
          <w:szCs w:val="24"/>
        </w:rPr>
      </w:r>
      <w:r/>
    </w:p>
    <w:p>
      <w:pPr>
        <w:pStyle w:val="672"/>
        <w:spacing w:line="400" w:lineRule="exact"/>
        <w:rPr>
          <w:rFonts w:hint="eastAsia" w:ascii="宋体" w:hAnsi="宋体"/>
          <w:sz w:val="24"/>
          <w:szCs w:val="24"/>
        </w:rPr>
      </w:pPr>
      <w:r>
        <w:rPr>
          <w:rFonts w:hint="eastAsia" w:ascii="宋体" w:hAnsi="宋体"/>
          <w:sz w:val="24"/>
          <w:szCs w:val="24"/>
        </w:rPr>
      </w:r>
      <w:r/>
    </w:p>
    <w:p>
      <w:pPr>
        <w:pStyle w:val="672"/>
        <w:spacing w:line="400" w:lineRule="exact"/>
        <w:rPr>
          <w:rFonts w:hint="eastAsia" w:ascii="宋体" w:hAnsi="宋体"/>
          <w:sz w:val="24"/>
          <w:szCs w:val="24"/>
        </w:rPr>
      </w:pPr>
      <w:r>
        <w:rPr>
          <w:rFonts w:hint="eastAsia" w:ascii="宋体" w:hAnsi="宋体"/>
          <w:sz w:val="24"/>
          <w:szCs w:val="24"/>
        </w:rPr>
      </w:r>
      <w:r/>
    </w:p>
    <w:p>
      <w:pPr>
        <w:pStyle w:val="67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2"/>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2"/>
              <w:jc w:val="center"/>
              <w:spacing w:line="400" w:lineRule="exact"/>
              <w:rPr>
                <w:rFonts w:hint="eastAsia" w:ascii="宋体" w:hAnsi="宋体"/>
                <w:sz w:val="24"/>
                <w:szCs w:val="24"/>
              </w:rPr>
            </w:pPr>
            <w:r>
              <w:rPr>
                <w:rFonts w:hint="eastAsia" w:ascii="宋体" w:hAnsi="宋体"/>
                <w:sz w:val="24"/>
                <w:szCs w:val="24"/>
              </w:rPr>
            </w:r>
            <w:r/>
          </w:p>
        </w:tc>
      </w:tr>
    </w:tbl>
    <w:p>
      <w:pPr>
        <w:pStyle w:val="672"/>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2"/>
        <w:spacing w:line="400" w:lineRule="exact"/>
        <w:rPr>
          <w:rFonts w:ascii="宋体" w:hAnsi="宋体"/>
          <w:sz w:val="24"/>
          <w:szCs w:val="24"/>
        </w:rPr>
      </w:pPr>
      <w:r>
        <w:rPr>
          <w:rFonts w:ascii="宋体" w:hAnsi="宋体"/>
          <w:sz w:val="24"/>
          <w:szCs w:val="24"/>
        </w:rPr>
      </w:r>
      <w:r/>
    </w:p>
    <w:p>
      <w:pPr>
        <w:pStyle w:val="672"/>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72"/>
        <w:spacing w:line="400" w:lineRule="exact"/>
        <w:rPr>
          <w:rFonts w:hint="eastAsia" w:ascii="方正魏碑_GBK" w:hAnsi="方正魏碑_GBK" w:eastAsia="方正魏碑_GBK" w:cs="方正魏碑_GBK"/>
          <w:color w:val="ff0000"/>
          <w:sz w:val="30"/>
          <w:szCs w:val="30"/>
        </w:rPr>
      </w:pPr>
      <w:r>
        <w:rPr>
          <w:rFonts w:hint="eastAsia" w:ascii="方正魏碑_GBK" w:hAnsi="方正魏碑_GBK" w:eastAsia="方正魏碑_GBK" w:cs="方正魏碑_GBK"/>
          <w:color w:val="ff0000"/>
          <w:sz w:val="30"/>
          <w:szCs w:val="30"/>
        </w:rPr>
        <w:t xml:space="preserve">1.投标人需对招标文件商务要求中非实质性要求（</w:t>
      </w:r>
      <w:r>
        <w:rPr>
          <w:rFonts w:hint="eastAsia" w:ascii="方正魏碑_GBK" w:hAnsi="方正魏碑_GBK" w:eastAsia="方正魏碑_GBK" w:cs="方正魏碑_GBK"/>
          <w:b/>
          <w:color w:val="ff0000"/>
          <w:sz w:val="30"/>
          <w:szCs w:val="30"/>
        </w:rPr>
        <w:t xml:space="preserve">未加</w:t>
      </w:r>
      <w:r>
        <w:rPr>
          <w:rFonts w:hint="eastAsia" w:ascii="方正魏碑_GBK" w:hAnsi="方正魏碑_GBK" w:eastAsia="方正魏碑_GBK" w:cs="方正魏碑_GBK"/>
          <w:b/>
          <w:i/>
          <w:color w:val="ff0000"/>
          <w:sz w:val="30"/>
          <w:szCs w:val="30"/>
          <w:u w:val="single"/>
        </w:rPr>
        <w:t xml:space="preserve">斜体下划线</w:t>
      </w:r>
      <w:r>
        <w:rPr>
          <w:rFonts w:hint="eastAsia" w:ascii="方正魏碑_GBK" w:hAnsi="方正魏碑_GBK" w:eastAsia="方正魏碑_GBK" w:cs="方正魏碑_GBK"/>
          <w:b/>
          <w:iCs/>
          <w:color w:val="ff0000"/>
          <w:sz w:val="30"/>
          <w:szCs w:val="30"/>
        </w:rPr>
        <w:t xml:space="preserve">部分</w:t>
      </w:r>
      <w:r>
        <w:rPr>
          <w:rFonts w:hint="eastAsia" w:ascii="方正魏碑_GBK" w:hAnsi="方正魏碑_GBK" w:eastAsia="方正魏碑_GBK" w:cs="方正魏碑_GBK"/>
          <w:b/>
          <w:color w:val="ff0000"/>
          <w:sz w:val="30"/>
          <w:szCs w:val="30"/>
        </w:rPr>
        <w:t xml:space="preserve">或未加*号条款</w:t>
      </w:r>
      <w:r>
        <w:rPr>
          <w:rFonts w:hint="eastAsia" w:ascii="方正魏碑_GBK" w:hAnsi="方正魏碑_GBK" w:eastAsia="方正魏碑_GBK" w:cs="方正魏碑_GBK"/>
          <w:color w:val="ff0000"/>
          <w:sz w:val="30"/>
          <w:szCs w:val="30"/>
        </w:rPr>
        <w:t xml:space="preserve">）逐条做出明确响应。</w:t>
      </w:r>
      <w:r>
        <w:rPr>
          <w:rFonts w:hint="eastAsia" w:ascii="方正魏碑_GBK" w:hAnsi="方正魏碑_GBK" w:eastAsia="方正魏碑_GBK" w:cs="方正魏碑_GBK"/>
          <w:color w:val="ff0000"/>
          <w:sz w:val="30"/>
          <w:szCs w:val="30"/>
        </w:rPr>
      </w:r>
      <w:r/>
    </w:p>
    <w:p>
      <w:pPr>
        <w:pStyle w:val="672"/>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72"/>
        <w:rPr>
          <w:rFonts w:hint="eastAsia" w:ascii="宋体" w:hAnsi="宋体"/>
          <w:b/>
          <w:sz w:val="24"/>
        </w:rPr>
      </w:pPr>
      <w:r>
        <w:rPr>
          <w:rFonts w:hint="eastAsia" w:ascii="宋体" w:hAnsi="宋体"/>
          <w:b/>
          <w:sz w:val="24"/>
        </w:rPr>
      </w:r>
      <w:r/>
    </w:p>
    <w:p>
      <w:pPr>
        <w:pStyle w:val="672"/>
        <w:ind w:firstLine="480"/>
        <w:spacing w:line="440" w:lineRule="exact"/>
        <w:rPr>
          <w:rFonts w:ascii="宋体" w:hAnsi="宋体"/>
          <w:sz w:val="24"/>
        </w:rPr>
      </w:pPr>
      <w:r>
        <w:rPr>
          <w:rFonts w:ascii="宋体" w:hAnsi="宋体"/>
          <w:sz w:val="24"/>
        </w:rPr>
      </w:r>
      <w:r/>
    </w:p>
    <w:p>
      <w:pPr>
        <w:pStyle w:val="672"/>
        <w:ind w:firstLine="480"/>
        <w:spacing w:line="440" w:lineRule="exact"/>
        <w:rPr>
          <w:rFonts w:ascii="宋体" w:hAnsi="宋体"/>
          <w:sz w:val="24"/>
        </w:rPr>
      </w:pPr>
      <w:r>
        <w:rPr>
          <w:rFonts w:ascii="宋体" w:hAnsi="宋体"/>
          <w:sz w:val="24"/>
        </w:rPr>
      </w:r>
      <w:r/>
    </w:p>
    <w:p>
      <w:pPr>
        <w:pStyle w:val="672"/>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672"/>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672"/>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72"/>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72"/>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672"/>
        <w:ind w:left="480"/>
        <w:rPr>
          <w:rFonts w:ascii="宋体" w:hAnsi="宋体"/>
          <w:b/>
          <w:color w:val="000000"/>
          <w:sz w:val="24"/>
        </w:rPr>
      </w:pPr>
      <w:r>
        <w:rPr>
          <w:rFonts w:ascii="宋体" w:hAnsi="宋体"/>
          <w:b/>
          <w:color w:val="000000"/>
          <w:sz w:val="24"/>
        </w:rPr>
      </w:r>
      <w:r/>
    </w:p>
    <w:p>
      <w:pPr>
        <w:pStyle w:val="672"/>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672"/>
        <w:jc w:val="center"/>
        <w:spacing w:line="460" w:lineRule="exact"/>
        <w:rPr>
          <w:rFonts w:ascii="宋体" w:hAnsi="宋体"/>
          <w:b/>
          <w:bCs/>
          <w:color w:val="000000"/>
          <w:sz w:val="24"/>
        </w:rPr>
      </w:pPr>
      <w:r>
        <w:rPr>
          <w:rFonts w:ascii="宋体" w:hAnsi="宋体"/>
          <w:b/>
          <w:bCs/>
          <w:color w:val="000000"/>
          <w:sz w:val="24"/>
        </w:rPr>
      </w:r>
      <w:r/>
    </w:p>
    <w:p>
      <w:pPr>
        <w:pStyle w:val="672"/>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672"/>
        <w:ind w:left="480"/>
        <w:rPr>
          <w:rFonts w:ascii="宋体" w:hAnsi="宋体"/>
          <w:b/>
          <w:color w:val="ff0000"/>
          <w:sz w:val="24"/>
        </w:rPr>
      </w:pPr>
      <w:r>
        <w:rPr>
          <w:rFonts w:ascii="宋体" w:hAnsi="宋体"/>
          <w:b/>
          <w:color w:val="ff0000"/>
          <w:sz w:val="24"/>
        </w:rPr>
      </w:r>
      <w:r/>
    </w:p>
    <w:p>
      <w:pPr>
        <w:pStyle w:val="672"/>
        <w:ind w:firstLine="480"/>
        <w:spacing w:line="460" w:lineRule="exact"/>
        <w:rPr>
          <w:rFonts w:ascii="宋体" w:hAnsi="宋体"/>
          <w:b/>
          <w:color w:val="000000"/>
          <w:sz w:val="24"/>
        </w:rPr>
      </w:pPr>
      <w:r>
        <w:rPr>
          <w:rFonts w:ascii="宋体" w:hAnsi="宋体"/>
          <w:b/>
          <w:color w:val="000000"/>
          <w:sz w:val="24"/>
        </w:rPr>
      </w:r>
      <w:r/>
    </w:p>
    <w:p>
      <w:pPr>
        <w:pStyle w:val="672"/>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672"/>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672"/>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72"/>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72"/>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672"/>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672"/>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672"/>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672"/>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672"/>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672"/>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672"/>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75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75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5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5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5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5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5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5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5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5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5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5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5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5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5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59"/>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72"/>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72"/>
        <w:ind w:firstLine="480"/>
        <w:spacing w:line="440" w:lineRule="exact"/>
        <w:rPr>
          <w:rFonts w:ascii="宋体" w:hAnsi="宋体"/>
          <w:sz w:val="24"/>
        </w:rPr>
      </w:pPr>
      <w:r>
        <w:rPr>
          <w:rFonts w:ascii="宋体" w:hAnsi="宋体"/>
          <w:sz w:val="24"/>
        </w:rPr>
      </w:r>
      <w:r/>
    </w:p>
    <w:p>
      <w:pPr>
        <w:pStyle w:val="672"/>
        <w:ind w:firstLine="480"/>
        <w:spacing w:line="440" w:lineRule="exact"/>
        <w:rPr>
          <w:rFonts w:ascii="宋体" w:hAnsi="宋体"/>
          <w:sz w:val="24"/>
        </w:rPr>
      </w:pPr>
      <w:r>
        <w:rPr>
          <w:rFonts w:ascii="宋体" w:hAnsi="宋体"/>
          <w:sz w:val="24"/>
        </w:rPr>
      </w:r>
      <w:r/>
    </w:p>
    <w:p>
      <w:pPr>
        <w:pStyle w:val="672"/>
        <w:ind w:firstLine="480"/>
        <w:spacing w:line="440" w:lineRule="exact"/>
        <w:rPr>
          <w:rFonts w:ascii="宋体" w:hAnsi="宋体"/>
          <w:sz w:val="24"/>
        </w:rPr>
      </w:pPr>
      <w:r>
        <w:rPr>
          <w:rFonts w:ascii="宋体" w:hAnsi="宋体"/>
          <w:sz w:val="24"/>
        </w:rPr>
      </w:r>
      <w:r/>
    </w:p>
    <w:p>
      <w:pPr>
        <w:pStyle w:val="672"/>
        <w:ind w:firstLine="480"/>
        <w:spacing w:line="440" w:lineRule="exact"/>
        <w:rPr>
          <w:rFonts w:ascii="宋体" w:hAnsi="宋体"/>
          <w:sz w:val="24"/>
        </w:rPr>
      </w:pPr>
      <w:r>
        <w:rPr>
          <w:rFonts w:ascii="宋体" w:hAnsi="宋体"/>
          <w:sz w:val="24"/>
        </w:rPr>
      </w:r>
      <w:r/>
    </w:p>
    <w:p>
      <w:pPr>
        <w:pStyle w:val="672"/>
        <w:ind w:firstLine="480"/>
        <w:spacing w:line="440" w:lineRule="exact"/>
        <w:rPr>
          <w:rFonts w:ascii="宋体" w:hAnsi="宋体"/>
          <w:sz w:val="24"/>
        </w:rPr>
      </w:pPr>
      <w:r>
        <w:rPr>
          <w:rFonts w:ascii="宋体" w:hAnsi="宋体"/>
          <w:sz w:val="24"/>
        </w:rPr>
      </w:r>
      <w:r/>
    </w:p>
    <w:p>
      <w:pPr>
        <w:pStyle w:val="672"/>
        <w:spacing w:line="460" w:lineRule="exact"/>
        <w:rPr>
          <w:rFonts w:hint="eastAsia" w:ascii="黑体" w:hAnsi="黑体" w:eastAsia="黑体"/>
          <w:b/>
          <w:sz w:val="32"/>
          <w:szCs w:val="32"/>
        </w:rPr>
      </w:pPr>
      <w:r/>
      <w:bookmarkEnd w:id="218"/>
      <w:r/>
      <w:bookmarkEnd w:id="219"/>
      <w:r/>
      <w:bookmarkEnd w:id="220"/>
      <w:r/>
      <w:bookmarkStart w:id="221" w:name="_Toc120614284"/>
      <w:r>
        <w:rPr>
          <w:rFonts w:hint="eastAsia" w:ascii="黑体" w:hAnsi="黑体" w:eastAsia="黑体"/>
          <w:b/>
          <w:sz w:val="32"/>
          <w:szCs w:val="32"/>
        </w:rPr>
      </w:r>
      <w:r/>
    </w:p>
    <w:p>
      <w:pPr>
        <w:pStyle w:val="672"/>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672"/>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672"/>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2"/>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2"/>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72"/>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72"/>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72"/>
        <w:ind w:right="720"/>
        <w:spacing w:line="400" w:lineRule="exact"/>
        <w:rPr>
          <w:rFonts w:hint="eastAsia" w:ascii="宋体" w:hAnsi="宋体"/>
          <w:sz w:val="24"/>
          <w:szCs w:val="24"/>
        </w:rPr>
      </w:pPr>
      <w:r>
        <w:rPr>
          <w:rFonts w:hint="eastAsia" w:ascii="宋体" w:hAnsi="宋体"/>
          <w:sz w:val="24"/>
          <w:szCs w:val="24"/>
        </w:rPr>
      </w:r>
      <w:r/>
    </w:p>
    <w:p>
      <w:pPr>
        <w:pStyle w:val="672"/>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72"/>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72"/>
        <w:ind w:firstLine="240"/>
        <w:spacing w:line="400" w:lineRule="exact"/>
        <w:rPr>
          <w:rFonts w:hint="eastAsia" w:ascii="宋体" w:hAnsi="宋体"/>
          <w:sz w:val="24"/>
          <w:szCs w:val="24"/>
        </w:rPr>
      </w:pPr>
      <w:r>
        <w:rPr>
          <w:rFonts w:hint="eastAsia"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2"/>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672"/>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72"/>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672"/>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672"/>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672"/>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72"/>
        <w:ind w:firstLine="480"/>
        <w:spacing w:line="0" w:lineRule="atLeast"/>
        <w:rPr>
          <w:rFonts w:hint="eastAsia" w:ascii="宋体" w:hAnsi="宋体"/>
          <w:sz w:val="24"/>
        </w:rPr>
      </w:pPr>
      <w:r>
        <w:rPr>
          <w:rFonts w:hint="eastAsia" w:ascii="宋体" w:hAnsi="宋体"/>
          <w:sz w:val="24"/>
        </w:rPr>
      </w:r>
      <w:r/>
    </w:p>
    <w:p>
      <w:pPr>
        <w:pStyle w:val="672"/>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672"/>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672"/>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672"/>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67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72"/>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72"/>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7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2"/>
        <w:spacing w:line="560" w:lineRule="exact"/>
        <w:rPr>
          <w:rFonts w:hint="eastAsia" w:ascii="黑体" w:hAnsi="黑体" w:eastAsia="黑体"/>
          <w:b/>
          <w:sz w:val="32"/>
          <w:szCs w:val="32"/>
        </w:rPr>
      </w:pPr>
      <w:r>
        <w:rPr>
          <w:rFonts w:hint="eastAsia" w:ascii="黑体" w:hAnsi="黑体" w:eastAsia="黑体"/>
          <w:b/>
          <w:sz w:val="32"/>
          <w:szCs w:val="32"/>
        </w:rPr>
      </w:r>
      <w:r/>
    </w:p>
    <w:p>
      <w:pPr>
        <w:pStyle w:val="672"/>
        <w:ind w:firstLine="645"/>
        <w:spacing w:line="560" w:lineRule="exact"/>
        <w:rPr>
          <w:rFonts w:hint="eastAsia" w:ascii="宋体" w:hAnsi="宋体"/>
          <w:sz w:val="24"/>
        </w:rPr>
      </w:pPr>
      <w:r>
        <w:rPr>
          <w:rFonts w:hint="eastAsia" w:ascii="宋体" w:hAnsi="宋体"/>
          <w:sz w:val="24"/>
        </w:rPr>
      </w:r>
      <w:r/>
    </w:p>
    <w:p>
      <w:pPr>
        <w:pStyle w:val="672"/>
        <w:ind w:firstLine="645"/>
        <w:spacing w:line="560" w:lineRule="exact"/>
        <w:rPr>
          <w:rFonts w:hint="eastAsia" w:ascii="宋体" w:hAnsi="宋体"/>
          <w:sz w:val="24"/>
        </w:rPr>
      </w:pPr>
      <w:r>
        <w:rPr>
          <w:rFonts w:hint="eastAsia" w:ascii="宋体" w:hAnsi="宋体"/>
          <w:sz w:val="24"/>
        </w:rPr>
      </w:r>
      <w:r/>
    </w:p>
    <w:p>
      <w:pPr>
        <w:pStyle w:val="672"/>
        <w:ind w:firstLine="645"/>
        <w:spacing w:line="560" w:lineRule="exact"/>
        <w:rPr>
          <w:rFonts w:hint="eastAsia" w:ascii="宋体" w:hAnsi="宋体"/>
          <w:sz w:val="24"/>
        </w:rPr>
      </w:pPr>
      <w:r>
        <w:rPr>
          <w:rFonts w:hint="eastAsia" w:ascii="宋体" w:hAnsi="宋体"/>
          <w:sz w:val="24"/>
        </w:rPr>
      </w:r>
      <w:r/>
    </w:p>
    <w:p>
      <w:pPr>
        <w:pStyle w:val="672"/>
        <w:ind w:firstLine="645"/>
        <w:spacing w:line="560" w:lineRule="exact"/>
        <w:rPr>
          <w:rFonts w:hint="eastAsia" w:ascii="宋体" w:hAnsi="宋体"/>
          <w:sz w:val="24"/>
        </w:rPr>
      </w:pPr>
      <w:r>
        <w:rPr>
          <w:rFonts w:hint="eastAsia" w:ascii="宋体" w:hAnsi="宋体"/>
          <w:sz w:val="24"/>
        </w:rPr>
      </w:r>
      <w:r/>
    </w:p>
    <w:p>
      <w:pPr>
        <w:pStyle w:val="672"/>
        <w:ind w:firstLine="645"/>
        <w:spacing w:line="560" w:lineRule="exact"/>
        <w:rPr>
          <w:rFonts w:hint="eastAsia" w:ascii="宋体" w:hAnsi="宋体"/>
          <w:sz w:val="24"/>
        </w:rPr>
      </w:pPr>
      <w:r>
        <w:rPr>
          <w:rFonts w:hint="eastAsia" w:ascii="宋体" w:hAnsi="宋体"/>
          <w:sz w:val="24"/>
        </w:rPr>
      </w:r>
      <w:r/>
    </w:p>
    <w:p>
      <w:pPr>
        <w:pStyle w:val="672"/>
        <w:ind w:firstLine="645"/>
        <w:spacing w:line="560" w:lineRule="exact"/>
        <w:rPr>
          <w:rFonts w:hint="eastAsia" w:ascii="宋体" w:hAnsi="宋体"/>
          <w:sz w:val="24"/>
        </w:rPr>
      </w:pPr>
      <w:r>
        <w:rPr>
          <w:rFonts w:hint="eastAsia" w:ascii="宋体" w:hAnsi="宋体"/>
          <w:sz w:val="24"/>
        </w:rPr>
      </w:r>
      <w:r/>
    </w:p>
    <w:p>
      <w:pPr>
        <w:pStyle w:val="672"/>
        <w:ind w:firstLine="645"/>
        <w:spacing w:line="560" w:lineRule="exact"/>
        <w:rPr>
          <w:rFonts w:hint="eastAsia" w:ascii="宋体" w:hAnsi="宋体"/>
          <w:sz w:val="24"/>
        </w:rPr>
      </w:pPr>
      <w:r>
        <w:rPr>
          <w:rFonts w:hint="eastAsia" w:ascii="宋体" w:hAnsi="宋体"/>
          <w:sz w:val="24"/>
        </w:rPr>
      </w:r>
      <w:r/>
    </w:p>
    <w:p>
      <w:pPr>
        <w:pStyle w:val="672"/>
        <w:ind w:firstLine="645"/>
        <w:spacing w:line="560" w:lineRule="exact"/>
        <w:rPr>
          <w:rFonts w:hint="eastAsia" w:ascii="宋体" w:hAnsi="宋体"/>
          <w:sz w:val="24"/>
        </w:rPr>
      </w:pPr>
      <w:r>
        <w:rPr>
          <w:rFonts w:hint="eastAsia" w:ascii="宋体" w:hAnsi="宋体"/>
          <w:sz w:val="24"/>
        </w:rPr>
      </w:r>
      <w:r/>
    </w:p>
    <w:p>
      <w:pPr>
        <w:pStyle w:val="672"/>
        <w:ind w:firstLine="645"/>
        <w:spacing w:line="560" w:lineRule="exact"/>
        <w:rPr>
          <w:rFonts w:hint="eastAsia" w:ascii="宋体" w:hAnsi="宋体"/>
          <w:sz w:val="24"/>
        </w:rPr>
      </w:pPr>
      <w:r>
        <w:rPr>
          <w:rFonts w:hint="eastAsia" w:ascii="宋体" w:hAnsi="宋体"/>
          <w:sz w:val="24"/>
        </w:rPr>
      </w:r>
      <w:r/>
    </w:p>
    <w:p>
      <w:pPr>
        <w:pStyle w:val="672"/>
        <w:ind w:firstLine="645"/>
        <w:spacing w:line="560" w:lineRule="exact"/>
        <w:rPr>
          <w:rFonts w:hint="eastAsia" w:ascii="宋体" w:hAnsi="宋体"/>
          <w:sz w:val="24"/>
        </w:rPr>
      </w:pPr>
      <w:r>
        <w:rPr>
          <w:rFonts w:hint="eastAsia" w:ascii="宋体" w:hAnsi="宋体"/>
          <w:sz w:val="24"/>
        </w:rPr>
      </w:r>
      <w:r/>
    </w:p>
    <w:p>
      <w:pPr>
        <w:pStyle w:val="672"/>
        <w:ind w:firstLine="645"/>
        <w:spacing w:line="560" w:lineRule="exact"/>
        <w:rPr>
          <w:rFonts w:hint="eastAsia" w:ascii="宋体" w:hAnsi="宋体"/>
          <w:sz w:val="24"/>
        </w:rPr>
      </w:pPr>
      <w:r>
        <w:rPr>
          <w:rFonts w:hint="eastAsia" w:ascii="宋体" w:hAnsi="宋体"/>
          <w:sz w:val="24"/>
        </w:rPr>
      </w:r>
      <w:r/>
    </w:p>
    <w:p>
      <w:pPr>
        <w:pStyle w:val="672"/>
        <w:ind w:firstLine="645"/>
        <w:spacing w:line="560" w:lineRule="exact"/>
        <w:rPr>
          <w:rFonts w:hint="eastAsia" w:ascii="宋体" w:hAnsi="宋体"/>
          <w:sz w:val="24"/>
        </w:rPr>
      </w:pPr>
      <w:r>
        <w:rPr>
          <w:rFonts w:hint="eastAsia" w:ascii="宋体" w:hAnsi="宋体"/>
          <w:sz w:val="24"/>
        </w:rPr>
      </w:r>
      <w:r/>
    </w:p>
    <w:p>
      <w:pPr>
        <w:pStyle w:val="672"/>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1</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672"/>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2"/>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72"/>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672"/>
        <w:spacing w:line="400" w:lineRule="exact"/>
        <w:rPr>
          <w:rFonts w:ascii="宋体" w:hAnsi="宋体"/>
          <w:color w:val="000000"/>
          <w:sz w:val="24"/>
          <w:szCs w:val="24"/>
        </w:rPr>
      </w:pPr>
      <w:r>
        <w:rPr>
          <w:rFonts w:ascii="宋体" w:hAnsi="宋体"/>
          <w:color w:val="000000"/>
          <w:sz w:val="24"/>
          <w:szCs w:val="24"/>
        </w:rPr>
      </w:r>
      <w:r/>
    </w:p>
    <w:p>
      <w:pPr>
        <w:pStyle w:val="672"/>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72"/>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672"/>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72"/>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672"/>
        <w:spacing w:line="400" w:lineRule="exact"/>
        <w:rPr>
          <w:rFonts w:hint="eastAsia" w:ascii="宋体" w:hAnsi="宋体"/>
          <w:color w:val="ff0000"/>
          <w:sz w:val="24"/>
          <w:szCs w:val="24"/>
        </w:rPr>
      </w:pPr>
      <w:r>
        <w:rPr>
          <w:rFonts w:hint="eastAsia" w:ascii="宋体" w:hAnsi="宋体"/>
          <w:color w:val="ff0000"/>
          <w:sz w:val="24"/>
          <w:szCs w:val="24"/>
        </w:rPr>
      </w:r>
      <w:r/>
    </w:p>
    <w:p>
      <w:pPr>
        <w:pStyle w:val="672"/>
        <w:spacing w:line="460" w:lineRule="exact"/>
        <w:rPr>
          <w:rFonts w:hint="eastAsia" w:ascii="宋体" w:hAnsi="宋体"/>
          <w:bCs/>
          <w:sz w:val="24"/>
        </w:rPr>
      </w:pPr>
      <w:r>
        <w:rPr>
          <w:rFonts w:hint="eastAsia" w:ascii="宋体" w:hAnsi="宋体"/>
          <w:bCs/>
          <w:sz w:val="24"/>
        </w:rPr>
      </w:r>
      <w:r/>
    </w:p>
    <w:p>
      <w:pPr>
        <w:pStyle w:val="672"/>
        <w:spacing w:line="460" w:lineRule="exact"/>
        <w:rPr>
          <w:rFonts w:hint="eastAsia" w:ascii="宋体" w:hAnsi="宋体"/>
          <w:bCs/>
          <w:sz w:val="24"/>
        </w:rPr>
      </w:pPr>
      <w:r>
        <w:rPr>
          <w:rFonts w:hint="eastAsia" w:ascii="宋体" w:hAnsi="宋体"/>
          <w:bCs/>
          <w:sz w:val="24"/>
        </w:rPr>
      </w:r>
      <w:r/>
    </w:p>
    <w:p>
      <w:pPr>
        <w:pStyle w:val="672"/>
        <w:spacing w:line="460" w:lineRule="exact"/>
        <w:rPr>
          <w:rFonts w:hint="eastAsia" w:ascii="宋体" w:hAnsi="宋体"/>
          <w:bCs/>
          <w:sz w:val="24"/>
        </w:rPr>
      </w:pPr>
      <w:r>
        <w:rPr>
          <w:rFonts w:hint="eastAsia" w:ascii="宋体" w:hAnsi="宋体"/>
          <w:bCs/>
          <w:sz w:val="24"/>
        </w:rPr>
      </w:r>
      <w:r/>
    </w:p>
    <w:p>
      <w:pPr>
        <w:pStyle w:val="672"/>
        <w:spacing w:line="460" w:lineRule="exact"/>
        <w:rPr>
          <w:rFonts w:hint="eastAsia" w:ascii="宋体" w:hAnsi="宋体"/>
          <w:bCs/>
          <w:sz w:val="24"/>
        </w:rPr>
      </w:pPr>
      <w:r>
        <w:rPr>
          <w:rFonts w:hint="eastAsia" w:ascii="宋体" w:hAnsi="宋体"/>
          <w:bCs/>
          <w:sz w:val="24"/>
        </w:rPr>
      </w:r>
      <w:r/>
    </w:p>
    <w:p>
      <w:pPr>
        <w:pStyle w:val="672"/>
        <w:spacing w:line="460" w:lineRule="exact"/>
        <w:rPr>
          <w:rFonts w:hint="eastAsia" w:ascii="宋体" w:hAnsi="宋体"/>
          <w:bCs/>
          <w:sz w:val="24"/>
        </w:rPr>
      </w:pPr>
      <w:r>
        <w:rPr>
          <w:rFonts w:hint="eastAsia" w:ascii="宋体" w:hAnsi="宋体"/>
          <w:bCs/>
          <w:sz w:val="24"/>
        </w:rPr>
      </w:r>
      <w:r/>
    </w:p>
    <w:p>
      <w:pPr>
        <w:pStyle w:val="672"/>
        <w:rPr>
          <w:rFonts w:hint="eastAsia"/>
        </w:rPr>
      </w:pPr>
      <w:r>
        <w:rPr>
          <w:rFonts w:hint="eastAsia"/>
        </w:rPr>
      </w:r>
      <w:r/>
    </w:p>
    <w:p>
      <w:pPr>
        <w:pStyle w:val="672"/>
        <w:jc w:val="center"/>
        <w:rPr>
          <w:rFonts w:hint="eastAsia" w:ascii="黑体" w:hAnsi="黑体" w:eastAsia="黑体"/>
          <w:b/>
          <w:sz w:val="32"/>
          <w:szCs w:val="32"/>
        </w:rPr>
      </w:pPr>
      <w:r>
        <w:rPr>
          <w:rFonts w:hint="eastAsia" w:ascii="黑体" w:hAnsi="黑体" w:eastAsia="黑体"/>
          <w:b/>
          <w:sz w:val="32"/>
          <w:szCs w:val="32"/>
        </w:rPr>
      </w:r>
      <w:r/>
    </w:p>
    <w:p>
      <w:pPr>
        <w:pStyle w:val="672"/>
        <w:jc w:val="center"/>
        <w:rPr>
          <w:rFonts w:hint="eastAsia" w:ascii="黑体" w:hAnsi="黑体" w:eastAsia="黑体"/>
          <w:b/>
          <w:sz w:val="32"/>
          <w:szCs w:val="32"/>
        </w:rPr>
      </w:pPr>
      <w:r>
        <w:rPr>
          <w:rFonts w:hint="eastAsia" w:ascii="黑体" w:hAnsi="黑体" w:eastAsia="黑体"/>
          <w:b/>
          <w:sz w:val="32"/>
          <w:szCs w:val="32"/>
        </w:rPr>
      </w:r>
      <w:r/>
    </w:p>
    <w:p>
      <w:pPr>
        <w:pStyle w:val="672"/>
        <w:jc w:val="center"/>
        <w:rPr>
          <w:rFonts w:hint="eastAsia" w:ascii="黑体" w:hAnsi="黑体" w:eastAsia="黑体"/>
          <w:b/>
          <w:sz w:val="32"/>
          <w:szCs w:val="32"/>
        </w:rPr>
      </w:pPr>
      <w:r>
        <w:rPr>
          <w:rFonts w:hint="eastAsia" w:ascii="黑体" w:hAnsi="黑体" w:eastAsia="黑体"/>
          <w:b/>
          <w:sz w:val="32"/>
          <w:szCs w:val="32"/>
        </w:rPr>
      </w:r>
      <w:r/>
    </w:p>
    <w:p>
      <w:pPr>
        <w:pStyle w:val="672"/>
        <w:jc w:val="center"/>
        <w:rPr>
          <w:rFonts w:hint="eastAsia" w:ascii="黑体" w:hAnsi="黑体" w:eastAsia="黑体"/>
          <w:b/>
          <w:sz w:val="32"/>
          <w:szCs w:val="32"/>
        </w:rPr>
      </w:pPr>
      <w:r>
        <w:rPr>
          <w:rFonts w:hint="eastAsia" w:ascii="黑体" w:hAnsi="黑体" w:eastAsia="黑体"/>
          <w:b/>
          <w:sz w:val="32"/>
          <w:szCs w:val="32"/>
        </w:rPr>
      </w:r>
      <w:r/>
    </w:p>
    <w:p>
      <w:pPr>
        <w:pStyle w:val="672"/>
        <w:jc w:val="center"/>
        <w:rPr>
          <w:rFonts w:hint="eastAsia" w:ascii="黑体" w:hAnsi="黑体" w:eastAsia="黑体"/>
          <w:b/>
          <w:sz w:val="32"/>
          <w:szCs w:val="32"/>
        </w:rPr>
      </w:pPr>
      <w:r>
        <w:rPr>
          <w:rFonts w:hint="eastAsia" w:ascii="黑体" w:hAnsi="黑体" w:eastAsia="黑体"/>
          <w:b/>
          <w:sz w:val="32"/>
          <w:szCs w:val="32"/>
        </w:rPr>
      </w:r>
      <w:r/>
    </w:p>
    <w:p>
      <w:pPr>
        <w:pStyle w:val="672"/>
        <w:rPr>
          <w:rFonts w:hint="eastAsia" w:ascii="黑体" w:hAnsi="黑体" w:eastAsia="黑体"/>
          <w:b/>
          <w:sz w:val="32"/>
          <w:szCs w:val="32"/>
        </w:rPr>
      </w:pPr>
      <w:r>
        <w:rPr>
          <w:rFonts w:hint="eastAsia" w:ascii="黑体" w:hAnsi="黑体" w:eastAsia="黑体"/>
          <w:b/>
          <w:sz w:val="32"/>
          <w:szCs w:val="32"/>
        </w:rPr>
      </w:r>
      <w:r/>
    </w:p>
    <w:p>
      <w:pPr>
        <w:pStyle w:val="672"/>
        <w:rPr>
          <w:rFonts w:hint="eastAsia" w:ascii="宋体" w:hAnsi="宋体" w:cs="仿宋"/>
          <w:b/>
          <w:bCs/>
          <w:sz w:val="32"/>
          <w:szCs w:val="32"/>
        </w:rPr>
      </w:pPr>
      <w:r/>
      <w:bookmarkEnd w:id="189"/>
      <w:r/>
      <w:bookmarkEnd w:id="190"/>
      <w:r/>
      <w:bookmarkEnd w:id="221"/>
      <w:r>
        <w:rPr>
          <w:rFonts w:hint="eastAsia" w:ascii="宋体" w:hAnsi="宋体" w:cs="仿宋"/>
          <w:b/>
          <w:bCs/>
          <w:sz w:val="32"/>
          <w:szCs w:val="32"/>
        </w:rPr>
      </w:r>
      <w:r/>
    </w:p>
    <w:p>
      <w:pPr>
        <w:pStyle w:val="67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7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7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7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7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7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7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7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7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7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7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7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7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7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7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7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7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7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7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7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7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7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7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7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86"/>
        <w:rPr>
          <w:rFonts w:hint="eastAsia"/>
          <w:sz w:val="24"/>
          <w:szCs w:val="24"/>
        </w:rPr>
      </w:pPr>
      <w:r>
        <w:rPr>
          <w:rFonts w:hint="eastAsia"/>
          <w:sz w:val="24"/>
          <w:szCs w:val="24"/>
        </w:rPr>
      </w:r>
      <w:r/>
    </w:p>
    <w:p>
      <w:pPr>
        <w:pStyle w:val="68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魏碑_GBK">
    <w:panose1 w:val="020B0503020202020204"/>
  </w:font>
  <w:font w:name="Calibri Light">
    <w:panose1 w:val="020F0302020204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rPr>
        <w:rStyle w:val="744"/>
        <w:rFonts w:ascii="宋体" w:hAnsi="宋体"/>
      </w:rPr>
      <w:framePr w:wrap="around" w:vAnchor="text" w:hAnchor="margin" w:xAlign="center" w:y="1"/>
    </w:pPr>
    <w:r>
      <w:rPr>
        <w:rFonts w:ascii="宋体" w:hAnsi="宋体"/>
      </w:rPr>
      <w:fldChar w:fldCharType="begin"/>
    </w:r>
    <w:r>
      <w:rPr>
        <w:rStyle w:val="744"/>
        <w:rFonts w:ascii="宋体" w:hAnsi="宋体"/>
      </w:rPr>
      <w:instrText xml:space="preserve">PAGE  </w:instrText>
    </w:r>
    <w:r>
      <w:rPr>
        <w:rFonts w:ascii="宋体" w:hAnsi="宋体"/>
      </w:rPr>
      <w:fldChar w:fldCharType="separate"/>
    </w:r>
    <w:r>
      <w:rPr>
        <w:rStyle w:val="744"/>
        <w:rFonts w:ascii="宋体" w:hAnsi="宋体"/>
      </w:rPr>
      <w:t xml:space="preserve">12</w:t>
    </w:r>
    <w:r>
      <w:rPr>
        <w:rFonts w:ascii="宋体" w:hAnsi="宋体"/>
      </w:rPr>
      <w:fldChar w:fldCharType="end"/>
    </w:r>
    <w:r>
      <w:rPr>
        <w:rStyle w:val="744"/>
        <w:rFonts w:ascii="宋体" w:hAnsi="宋体"/>
      </w:rPr>
    </w:r>
    <w:r/>
  </w:p>
  <w:p>
    <w:pPr>
      <w:pStyle w:val="7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rPr>
        <w:rStyle w:val="744"/>
      </w:rPr>
      <w:framePr w:wrap="around" w:vAnchor="text" w:hAnchor="margin" w:xAlign="center" w:y="1"/>
    </w:pPr>
    <w:r>
      <w:fldChar w:fldCharType="begin"/>
    </w:r>
    <w:r>
      <w:rPr>
        <w:rStyle w:val="744"/>
      </w:rPr>
      <w:instrText xml:space="preserve">PAGE  </w:instrText>
    </w:r>
    <w:r>
      <w:fldChar w:fldCharType="separate"/>
    </w:r>
    <w:r>
      <w:rPr>
        <w:rStyle w:val="744"/>
      </w:rPr>
      <w:t xml:space="preserve">1</w:t>
    </w:r>
    <w:r>
      <w:fldChar w:fldCharType="end"/>
    </w:r>
    <w:r>
      <w:rPr>
        <w:rStyle w:val="744"/>
      </w:rPr>
    </w:r>
    <w:r/>
  </w:p>
  <w:p>
    <w:pPr>
      <w:pStyle w:val="71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7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1"/>
      <w:isLgl w:val="false"/>
      <w:suff w:val="tab"/>
      <w:lvlText w:val="附录%1."/>
      <w:lvlJc w:val="left"/>
      <w:pPr>
        <w:pStyle w:val="67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68"/>
      <w:isLgl w:val="false"/>
      <w:suff w:val="tab"/>
      <w:lvlText w:val="%1."/>
      <w:lvlJc w:val="left"/>
      <w:pPr>
        <w:pStyle w:val="672"/>
        <w:ind w:left="709" w:hanging="709"/>
        <w:tabs>
          <w:tab w:val="num" w:pos="709" w:leader="none"/>
        </w:tabs>
      </w:pPr>
      <w:rPr>
        <w:rFonts w:hint="eastAsia"/>
      </w:rPr>
    </w:lvl>
    <w:lvl w:ilvl="1">
      <w:start w:val="1"/>
      <w:numFmt w:val="decimal"/>
      <w:isLgl w:val="false"/>
      <w:suff w:val="tab"/>
      <w:lvlText w:val="%1.%2"/>
      <w:lvlJc w:val="left"/>
      <w:pPr>
        <w:pStyle w:val="672"/>
        <w:ind w:left="709" w:hanging="709"/>
        <w:tabs>
          <w:tab w:val="num" w:pos="709" w:leader="none"/>
        </w:tabs>
      </w:pPr>
      <w:rPr>
        <w:rFonts w:hint="eastAsia"/>
      </w:rPr>
    </w:lvl>
    <w:lvl w:ilvl="2">
      <w:start w:val="1"/>
      <w:numFmt w:val="decimal"/>
      <w:isLgl w:val="false"/>
      <w:suff w:val="tab"/>
      <w:lvlText w:val="%1.%2.%3."/>
      <w:lvlJc w:val="left"/>
      <w:pPr>
        <w:pStyle w:val="672"/>
        <w:ind w:left="425" w:hanging="425"/>
        <w:tabs>
          <w:tab w:val="num" w:pos="425" w:leader="none"/>
        </w:tabs>
      </w:pPr>
      <w:rPr>
        <w:rFonts w:hint="eastAsia"/>
      </w:rPr>
    </w:lvl>
    <w:lvl w:ilvl="3">
      <w:start w:val="1"/>
      <w:numFmt w:val="decimal"/>
      <w:isLgl w:val="false"/>
      <w:suff w:val="tab"/>
      <w:lvlText w:val="%1.%2.%3.%4."/>
      <w:lvlJc w:val="left"/>
      <w:pPr>
        <w:pStyle w:val="672"/>
        <w:ind w:left="851" w:hanging="851"/>
        <w:tabs>
          <w:tab w:val="num" w:pos="851" w:leader="none"/>
        </w:tabs>
      </w:pPr>
      <w:rPr>
        <w:rFonts w:hint="eastAsia"/>
      </w:rPr>
    </w:lvl>
    <w:lvl w:ilvl="4">
      <w:start w:val="1"/>
      <w:numFmt w:val="decimal"/>
      <w:isLgl w:val="false"/>
      <w:suff w:val="tab"/>
      <w:lvlText w:val="%1.%2.%3.%4.%5."/>
      <w:lvlJc w:val="left"/>
      <w:pPr>
        <w:pStyle w:val="672"/>
        <w:ind w:left="992" w:hanging="992"/>
        <w:tabs>
          <w:tab w:val="num" w:pos="992" w:leader="none"/>
        </w:tabs>
      </w:pPr>
      <w:rPr>
        <w:rFonts w:hint="eastAsia"/>
      </w:rPr>
    </w:lvl>
    <w:lvl w:ilvl="5">
      <w:start w:val="1"/>
      <w:numFmt w:val="decimal"/>
      <w:isLgl w:val="false"/>
      <w:suff w:val="tab"/>
      <w:lvlText w:val="%1.%2.%3.%4.%5.%6."/>
      <w:lvlJc w:val="left"/>
      <w:pPr>
        <w:pStyle w:val="672"/>
        <w:ind w:left="1134" w:hanging="1134"/>
        <w:tabs>
          <w:tab w:val="num" w:pos="1134" w:leader="none"/>
        </w:tabs>
      </w:pPr>
      <w:rPr>
        <w:rFonts w:hint="eastAsia"/>
      </w:rPr>
    </w:lvl>
    <w:lvl w:ilvl="6">
      <w:start w:val="1"/>
      <w:numFmt w:val="decimal"/>
      <w:isLgl w:val="false"/>
      <w:suff w:val="tab"/>
      <w:lvlText w:val="%1.%2.%3.%4.%5.%6.%7."/>
      <w:lvlJc w:val="left"/>
      <w:pPr>
        <w:pStyle w:val="672"/>
        <w:ind w:left="1276" w:hanging="1276"/>
        <w:tabs>
          <w:tab w:val="num" w:pos="1276" w:leader="none"/>
        </w:tabs>
      </w:pPr>
      <w:rPr>
        <w:rFonts w:hint="eastAsia"/>
      </w:rPr>
    </w:lvl>
    <w:lvl w:ilvl="7">
      <w:start w:val="1"/>
      <w:numFmt w:val="decimal"/>
      <w:isLgl w:val="false"/>
      <w:suff w:val="tab"/>
      <w:lvlText w:val="%1.%2.%3.%4.%5.%6.%7.%8."/>
      <w:lvlJc w:val="left"/>
      <w:pPr>
        <w:pStyle w:val="672"/>
        <w:ind w:left="1418" w:hanging="1418"/>
        <w:tabs>
          <w:tab w:val="num" w:pos="1418" w:leader="none"/>
        </w:tabs>
      </w:pPr>
      <w:rPr>
        <w:rFonts w:hint="eastAsia"/>
      </w:rPr>
    </w:lvl>
    <w:lvl w:ilvl="8">
      <w:start w:val="1"/>
      <w:numFmt w:val="decimal"/>
      <w:isLgl w:val="false"/>
      <w:suff w:val="tab"/>
      <w:lvlText w:val="%1.%2.%3.%4.%5.%6.%7.%8.%9."/>
      <w:lvlJc w:val="left"/>
      <w:pPr>
        <w:pStyle w:val="67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72"/>
        <w:ind w:left="0" w:firstLine="0"/>
      </w:pPr>
      <w:rPr>
        <w:rFonts w:hint="eastAsia"/>
      </w:rPr>
    </w:lvl>
    <w:lvl w:ilvl="1">
      <w:start w:val="1"/>
      <w:numFmt w:val="decimal"/>
      <w:isLgl w:val="false"/>
      <w:suff w:val="nothing"/>
      <w:lvlText w:val="%2、"/>
      <w:lvlJc w:val="left"/>
      <w:pPr>
        <w:pStyle w:val="672"/>
        <w:ind w:left="0" w:firstLine="0"/>
      </w:pPr>
      <w:rPr>
        <w:rFonts w:hint="eastAsia"/>
      </w:rPr>
    </w:lvl>
    <w:lvl w:ilvl="2">
      <w:start w:val="1"/>
      <w:numFmt w:val="decimal"/>
      <w:isLgl w:val="false"/>
      <w:suff w:val="nothing"/>
      <w:lvlText w:val="%2.%3 "/>
      <w:lvlJc w:val="left"/>
      <w:pPr>
        <w:pStyle w:val="672"/>
        <w:ind w:left="0" w:firstLine="0"/>
      </w:pPr>
      <w:rPr>
        <w:rFonts w:hint="eastAsia"/>
      </w:rPr>
    </w:lvl>
    <w:lvl w:ilvl="3">
      <w:start w:val="1"/>
      <w:numFmt w:val="decimal"/>
      <w:isLgl w:val="false"/>
      <w:suff w:val="nothing"/>
      <w:lvlText w:val="%2.%3.%4 "/>
      <w:lvlJc w:val="left"/>
      <w:pPr>
        <w:pStyle w:val="672"/>
        <w:ind w:left="0" w:firstLine="0"/>
      </w:pPr>
      <w:rPr>
        <w:rFonts w:hint="eastAsia"/>
      </w:rPr>
    </w:lvl>
    <w:lvl w:ilvl="4">
      <w:start w:val="1"/>
      <w:numFmt w:val="decimal"/>
      <w:isLgl w:val="false"/>
      <w:suff w:val="nothing"/>
      <w:lvlText w:val="%2.%3.%4.%5 "/>
      <w:lvlJc w:val="left"/>
      <w:pPr>
        <w:pStyle w:val="672"/>
        <w:ind w:left="0" w:firstLine="0"/>
      </w:pPr>
      <w:rPr>
        <w:rFonts w:hint="eastAsia"/>
      </w:rPr>
    </w:lvl>
    <w:lvl w:ilvl="5">
      <w:start w:val="1"/>
      <w:numFmt w:val="decimal"/>
      <w:pStyle w:val="678"/>
      <w:isLgl w:val="false"/>
      <w:suff w:val="nothing"/>
      <w:lvlText w:val=""/>
      <w:lvlJc w:val="left"/>
      <w:pPr>
        <w:pStyle w:val="672"/>
        <w:ind w:left="0" w:firstLine="0"/>
      </w:pPr>
      <w:rPr>
        <w:rFonts w:hint="eastAsia"/>
      </w:rPr>
    </w:lvl>
    <w:lvl w:ilvl="6">
      <w:start w:val="1"/>
      <w:numFmt w:val="decimal"/>
      <w:pStyle w:val="679"/>
      <w:isLgl w:val="false"/>
      <w:suff w:val="nothing"/>
      <w:lvlText w:val=""/>
      <w:lvlJc w:val="left"/>
      <w:pPr>
        <w:pStyle w:val="672"/>
        <w:ind w:left="0" w:firstLine="0"/>
      </w:pPr>
      <w:rPr>
        <w:rFonts w:hint="eastAsia"/>
      </w:rPr>
    </w:lvl>
    <w:lvl w:ilvl="7">
      <w:start w:val="1"/>
      <w:numFmt w:val="decimal"/>
      <w:pStyle w:val="680"/>
      <w:isLgl w:val="false"/>
      <w:suff w:val="nothing"/>
      <w:lvlText w:val=""/>
      <w:lvlJc w:val="left"/>
      <w:pPr>
        <w:pStyle w:val="672"/>
        <w:ind w:left="0" w:firstLine="0"/>
      </w:pPr>
      <w:rPr>
        <w:rFonts w:hint="eastAsia"/>
      </w:rPr>
    </w:lvl>
    <w:lvl w:ilvl="8">
      <w:start w:val="1"/>
      <w:numFmt w:val="decimal"/>
      <w:pStyle w:val="681"/>
      <w:isLgl w:val="false"/>
      <w:suff w:val="nothing"/>
      <w:lvlText w:val=""/>
      <w:lvlJc w:val="left"/>
      <w:pPr>
        <w:pStyle w:val="672"/>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67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2"/>
    <w:next w:val="6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2"/>
    <w:next w:val="6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72"/>
    <w:link w:val="672"/>
    <w:qFormat/>
    <w:pPr>
      <w:jc w:val="both"/>
      <w:widowControl w:val="off"/>
    </w:pPr>
    <w:rPr>
      <w:rFonts w:ascii="Times New Roman" w:hAnsi="Times New Roman"/>
      <w:sz w:val="21"/>
      <w:szCs w:val="21"/>
      <w:lang w:val="en-US" w:eastAsia="zh-CN" w:bidi="ar-SA"/>
    </w:rPr>
  </w:style>
  <w:style w:type="paragraph" w:styleId="673">
    <w:name w:val="标题 1"/>
    <w:basedOn w:val="672"/>
    <w:next w:val="672"/>
    <w:link w:val="684"/>
    <w:qFormat/>
    <w:pPr>
      <w:jc w:val="center"/>
      <w:keepNext/>
      <w:outlineLvl w:val="0"/>
    </w:pPr>
    <w:rPr>
      <w:rFonts w:ascii="楷体_GB2312" w:eastAsia="楷体_GB2312"/>
      <w:sz w:val="28"/>
      <w:szCs w:val="28"/>
    </w:rPr>
  </w:style>
  <w:style w:type="paragraph" w:styleId="674">
    <w:name w:val="标题 2"/>
    <w:basedOn w:val="672"/>
    <w:next w:val="686"/>
    <w:link w:val="685"/>
    <w:qFormat/>
    <w:pPr>
      <w:jc w:val="center"/>
      <w:keepLines/>
      <w:keepNext/>
      <w:spacing w:before="260" w:after="260" w:line="416" w:lineRule="auto"/>
      <w:outlineLvl w:val="1"/>
    </w:pPr>
    <w:rPr>
      <w:rFonts w:ascii="Arial" w:hAnsi="Arial" w:eastAsia="幼圆" w:cs="Arial"/>
      <w:b/>
      <w:bCs/>
      <w:sz w:val="44"/>
      <w:szCs w:val="44"/>
    </w:rPr>
  </w:style>
  <w:style w:type="paragraph" w:styleId="675">
    <w:name w:val="标题 3"/>
    <w:basedOn w:val="672"/>
    <w:next w:val="686"/>
    <w:link w:val="688"/>
    <w:qFormat/>
    <w:pPr>
      <w:keepLines/>
      <w:keepNext/>
      <w:spacing w:before="260" w:after="260" w:line="416" w:lineRule="auto"/>
      <w:outlineLvl w:val="2"/>
    </w:pPr>
    <w:rPr>
      <w:b/>
      <w:bCs/>
      <w:sz w:val="32"/>
      <w:szCs w:val="32"/>
    </w:rPr>
  </w:style>
  <w:style w:type="paragraph" w:styleId="676">
    <w:name w:val="标题 4"/>
    <w:basedOn w:val="672"/>
    <w:next w:val="686"/>
    <w:link w:val="689"/>
    <w:qFormat/>
    <w:pPr>
      <w:keepLines/>
      <w:keepNext/>
      <w:spacing w:before="280" w:after="290" w:line="376" w:lineRule="auto"/>
      <w:outlineLvl w:val="3"/>
    </w:pPr>
    <w:rPr>
      <w:rFonts w:ascii="Arial" w:hAnsi="Arial" w:eastAsia="黑体" w:cs="Arial"/>
      <w:b/>
      <w:bCs/>
      <w:sz w:val="28"/>
      <w:szCs w:val="28"/>
    </w:rPr>
  </w:style>
  <w:style w:type="paragraph" w:styleId="677">
    <w:name w:val="标题 5"/>
    <w:basedOn w:val="672"/>
    <w:next w:val="686"/>
    <w:link w:val="690"/>
    <w:qFormat/>
    <w:pPr>
      <w:keepNext/>
      <w:outlineLvl w:val="4"/>
    </w:pPr>
    <w:rPr>
      <w:rFonts w:ascii="宋体"/>
      <w:color w:val="000000"/>
      <w:sz w:val="28"/>
      <w:szCs w:val="28"/>
    </w:rPr>
  </w:style>
  <w:style w:type="paragraph" w:styleId="678">
    <w:name w:val="标题 6"/>
    <w:basedOn w:val="672"/>
    <w:next w:val="672"/>
    <w:link w:val="691"/>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标题 7"/>
    <w:basedOn w:val="672"/>
    <w:next w:val="672"/>
    <w:link w:val="692"/>
    <w:qFormat/>
    <w:pPr>
      <w:numPr>
        <w:ilvl w:val="6"/>
        <w:numId w:val="1"/>
      </w:numPr>
      <w:keepLines/>
      <w:keepNext/>
      <w:spacing w:before="240" w:after="64" w:line="320" w:lineRule="auto"/>
      <w:outlineLvl w:val="6"/>
    </w:pPr>
    <w:rPr>
      <w:b/>
      <w:bCs/>
      <w:sz w:val="24"/>
      <w:szCs w:val="24"/>
    </w:rPr>
  </w:style>
  <w:style w:type="paragraph" w:styleId="680">
    <w:name w:val="标题 8"/>
    <w:basedOn w:val="672"/>
    <w:next w:val="672"/>
    <w:link w:val="693"/>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标题 9"/>
    <w:basedOn w:val="672"/>
    <w:next w:val="672"/>
    <w:link w:val="694"/>
    <w:qFormat/>
    <w:pPr>
      <w:numPr>
        <w:ilvl w:val="8"/>
        <w:numId w:val="1"/>
      </w:numPr>
      <w:keepLines/>
      <w:keepNext/>
      <w:spacing w:before="240" w:after="64" w:line="320" w:lineRule="auto"/>
      <w:outlineLvl w:val="8"/>
    </w:pPr>
    <w:rPr>
      <w:rFonts w:ascii="Arial" w:hAnsi="Arial" w:eastAsia="黑体"/>
    </w:rPr>
  </w:style>
  <w:style w:type="character" w:styleId="682">
    <w:name w:val="默认段落字体"/>
    <w:next w:val="682"/>
    <w:link w:val="672"/>
    <w:uiPriority w:val="1"/>
    <w:unhideWhenUsed/>
  </w:style>
  <w:style w:type="table" w:styleId="683">
    <w:name w:val="普通表格"/>
    <w:next w:val="683"/>
    <w:link w:val="672"/>
    <w:uiPriority w:val="99"/>
    <w:unhideWhenUsed/>
    <w:tblPr/>
  </w:style>
  <w:style w:type="character" w:styleId="684">
    <w:name w:val="标题 1 Char"/>
    <w:next w:val="684"/>
    <w:link w:val="673"/>
    <w:rPr>
      <w:rFonts w:ascii="楷体_GB2312" w:hAnsi="Times New Roman" w:eastAsia="楷体_GB2312" w:cs="Times New Roman"/>
      <w:sz w:val="28"/>
      <w:szCs w:val="28"/>
    </w:rPr>
  </w:style>
  <w:style w:type="character" w:styleId="685">
    <w:name w:val="标题 2 Char"/>
    <w:next w:val="685"/>
    <w:link w:val="674"/>
    <w:rPr>
      <w:rFonts w:ascii="Arial" w:hAnsi="Arial" w:eastAsia="幼圆" w:cs="Arial"/>
      <w:b/>
      <w:bCs/>
      <w:sz w:val="44"/>
      <w:szCs w:val="44"/>
    </w:rPr>
  </w:style>
  <w:style w:type="paragraph" w:styleId="686">
    <w:name w:val="正文缩进"/>
    <w:basedOn w:val="672"/>
    <w:next w:val="686"/>
    <w:link w:val="687"/>
    <w:pPr>
      <w:ind w:firstLine="420"/>
    </w:pPr>
  </w:style>
  <w:style w:type="character" w:styleId="687">
    <w:name w:val="正文缩进 Char"/>
    <w:next w:val="687"/>
    <w:link w:val="686"/>
    <w:rPr>
      <w:rFonts w:ascii="Times New Roman" w:hAnsi="Times New Roman" w:eastAsia="宋体" w:cs="Times New Roman"/>
      <w:szCs w:val="21"/>
    </w:rPr>
  </w:style>
  <w:style w:type="character" w:styleId="688">
    <w:name w:val="标题 3 Char"/>
    <w:next w:val="688"/>
    <w:link w:val="675"/>
    <w:rPr>
      <w:rFonts w:ascii="Times New Roman" w:hAnsi="Times New Roman" w:eastAsia="宋体" w:cs="Times New Roman"/>
      <w:b/>
      <w:bCs/>
      <w:sz w:val="32"/>
      <w:szCs w:val="32"/>
    </w:rPr>
  </w:style>
  <w:style w:type="character" w:styleId="689">
    <w:name w:val="标题 4 Char"/>
    <w:next w:val="689"/>
    <w:link w:val="676"/>
    <w:rPr>
      <w:rFonts w:ascii="Arial" w:hAnsi="Arial" w:eastAsia="黑体" w:cs="Arial"/>
      <w:b/>
      <w:bCs/>
      <w:sz w:val="28"/>
      <w:szCs w:val="28"/>
    </w:rPr>
  </w:style>
  <w:style w:type="character" w:styleId="690">
    <w:name w:val="标题 5 Char"/>
    <w:next w:val="690"/>
    <w:link w:val="677"/>
    <w:rPr>
      <w:rFonts w:ascii="宋体" w:hAnsi="Times New Roman" w:eastAsia="宋体" w:cs="Times New Roman"/>
      <w:color w:val="000000"/>
      <w:sz w:val="28"/>
      <w:szCs w:val="28"/>
    </w:rPr>
  </w:style>
  <w:style w:type="character" w:styleId="691">
    <w:name w:val="标题 6 Char"/>
    <w:next w:val="691"/>
    <w:link w:val="678"/>
    <w:rPr>
      <w:rFonts w:ascii="Arial" w:hAnsi="Arial" w:eastAsia="黑体" w:cs="Times New Roman"/>
      <w:b/>
      <w:bCs/>
      <w:sz w:val="24"/>
      <w:szCs w:val="24"/>
    </w:rPr>
  </w:style>
  <w:style w:type="character" w:styleId="692">
    <w:name w:val="标题 7 Char"/>
    <w:next w:val="692"/>
    <w:link w:val="679"/>
    <w:rPr>
      <w:rFonts w:ascii="Times New Roman" w:hAnsi="Times New Roman" w:eastAsia="宋体" w:cs="Times New Roman"/>
      <w:b/>
      <w:bCs/>
      <w:sz w:val="24"/>
      <w:szCs w:val="24"/>
    </w:rPr>
  </w:style>
  <w:style w:type="character" w:styleId="693">
    <w:name w:val="标题 8 Char"/>
    <w:next w:val="693"/>
    <w:link w:val="680"/>
    <w:rPr>
      <w:rFonts w:ascii="Arial" w:hAnsi="Arial" w:eastAsia="黑体" w:cs="Times New Roman"/>
      <w:sz w:val="24"/>
      <w:szCs w:val="24"/>
    </w:rPr>
  </w:style>
  <w:style w:type="character" w:styleId="694">
    <w:name w:val="标题 9 Char"/>
    <w:next w:val="694"/>
    <w:link w:val="681"/>
    <w:rPr>
      <w:rFonts w:ascii="Arial" w:hAnsi="Arial" w:eastAsia="黑体" w:cs="Times New Roman"/>
      <w:szCs w:val="21"/>
    </w:rPr>
  </w:style>
  <w:style w:type="paragraph" w:styleId="695">
    <w:name w:val="列表 3"/>
    <w:basedOn w:val="672"/>
    <w:next w:val="695"/>
    <w:link w:val="672"/>
    <w:pPr>
      <w:ind w:left="100" w:hanging="200"/>
    </w:pPr>
  </w:style>
  <w:style w:type="paragraph" w:styleId="696">
    <w:name w:val="目录 7"/>
    <w:basedOn w:val="672"/>
    <w:next w:val="672"/>
    <w:link w:val="672"/>
    <w:semiHidden/>
    <w:pPr>
      <w:ind w:left="1260"/>
      <w:jc w:val="left"/>
    </w:pPr>
  </w:style>
  <w:style w:type="paragraph" w:styleId="697">
    <w:name w:val="文档结构图"/>
    <w:basedOn w:val="672"/>
    <w:next w:val="697"/>
    <w:link w:val="698"/>
    <w:semiHidden/>
    <w:pPr>
      <w:shd w:val="clear" w:color="auto" w:fill="000080"/>
    </w:pPr>
  </w:style>
  <w:style w:type="character" w:styleId="698">
    <w:name w:val="文档结构图 Char"/>
    <w:next w:val="698"/>
    <w:link w:val="697"/>
    <w:semiHidden/>
    <w:rPr>
      <w:rFonts w:ascii="Times New Roman" w:hAnsi="Times New Roman" w:eastAsia="宋体" w:cs="Times New Roman"/>
      <w:szCs w:val="21"/>
      <w:shd w:val="clear" w:color="auto" w:fill="000080"/>
    </w:rPr>
  </w:style>
  <w:style w:type="paragraph" w:styleId="699">
    <w:name w:val="批注文字"/>
    <w:basedOn w:val="672"/>
    <w:next w:val="699"/>
    <w:link w:val="700"/>
    <w:semiHidden/>
    <w:pPr>
      <w:jc w:val="left"/>
    </w:pPr>
  </w:style>
  <w:style w:type="character" w:styleId="700">
    <w:name w:val="批注文字 Char"/>
    <w:next w:val="700"/>
    <w:link w:val="699"/>
    <w:semiHidden/>
    <w:rPr>
      <w:rFonts w:ascii="Times New Roman" w:hAnsi="Times New Roman" w:eastAsia="宋体" w:cs="Times New Roman"/>
      <w:szCs w:val="21"/>
    </w:rPr>
  </w:style>
  <w:style w:type="paragraph" w:styleId="701">
    <w:name w:val="正文文本 3"/>
    <w:basedOn w:val="672"/>
    <w:next w:val="701"/>
    <w:link w:val="702"/>
    <w:rPr>
      <w:rFonts w:ascii="仿宋_GB2312" w:hAnsi="Arial" w:eastAsia="仿宋_GB2312"/>
      <w:sz w:val="32"/>
      <w:szCs w:val="32"/>
    </w:rPr>
  </w:style>
  <w:style w:type="character" w:styleId="702">
    <w:name w:val="正文文本 3 Char"/>
    <w:next w:val="702"/>
    <w:link w:val="701"/>
    <w:rPr>
      <w:rFonts w:ascii="仿宋_GB2312" w:hAnsi="Arial" w:eastAsia="仿宋_GB2312" w:cs="Times New Roman"/>
      <w:sz w:val="32"/>
      <w:szCs w:val="32"/>
    </w:rPr>
  </w:style>
  <w:style w:type="paragraph" w:styleId="703">
    <w:name w:val="正文文本"/>
    <w:basedOn w:val="672"/>
    <w:next w:val="703"/>
    <w:link w:val="704"/>
    <w:rPr>
      <w:rFonts w:ascii="楷体_GB2312" w:hAnsi="Arial" w:eastAsia="楷体_GB2312"/>
      <w:sz w:val="28"/>
      <w:szCs w:val="28"/>
    </w:rPr>
  </w:style>
  <w:style w:type="character" w:styleId="704">
    <w:name w:val="正文文本 Char"/>
    <w:next w:val="704"/>
    <w:link w:val="703"/>
    <w:rPr>
      <w:rFonts w:ascii="楷体_GB2312" w:hAnsi="Arial" w:eastAsia="楷体_GB2312" w:cs="Times New Roman"/>
      <w:sz w:val="28"/>
      <w:szCs w:val="28"/>
    </w:rPr>
  </w:style>
  <w:style w:type="paragraph" w:styleId="705">
    <w:name w:val="正文文本缩进"/>
    <w:basedOn w:val="672"/>
    <w:next w:val="705"/>
    <w:link w:val="706"/>
    <w:pPr>
      <w:ind w:firstLine="645"/>
    </w:pPr>
    <w:rPr>
      <w:rFonts w:ascii="楷体_GB2312" w:eastAsia="楷体_GB2312"/>
      <w:sz w:val="32"/>
      <w:szCs w:val="32"/>
    </w:rPr>
  </w:style>
  <w:style w:type="character" w:styleId="706">
    <w:name w:val="正文文本缩进 Char"/>
    <w:next w:val="706"/>
    <w:link w:val="705"/>
    <w:rPr>
      <w:rFonts w:ascii="楷体_GB2312" w:hAnsi="Times New Roman" w:eastAsia="楷体_GB2312" w:cs="Times New Roman"/>
      <w:sz w:val="32"/>
      <w:szCs w:val="32"/>
    </w:rPr>
  </w:style>
  <w:style w:type="paragraph" w:styleId="707">
    <w:name w:val="列表 2"/>
    <w:basedOn w:val="672"/>
    <w:next w:val="707"/>
    <w:link w:val="672"/>
    <w:pPr>
      <w:ind w:left="100" w:hanging="200"/>
    </w:pPr>
  </w:style>
  <w:style w:type="paragraph" w:styleId="708">
    <w:name w:val="目录 5"/>
    <w:basedOn w:val="672"/>
    <w:next w:val="672"/>
    <w:link w:val="672"/>
    <w:semiHidden/>
    <w:pPr>
      <w:ind w:left="840"/>
      <w:jc w:val="left"/>
    </w:pPr>
  </w:style>
  <w:style w:type="paragraph" w:styleId="709">
    <w:name w:val="目录 3"/>
    <w:basedOn w:val="672"/>
    <w:next w:val="672"/>
    <w:link w:val="672"/>
    <w:semiHidden/>
    <w:pPr>
      <w:ind w:left="420"/>
      <w:jc w:val="left"/>
    </w:pPr>
    <w:rPr>
      <w:i/>
      <w:iCs/>
      <w:szCs w:val="24"/>
    </w:rPr>
  </w:style>
  <w:style w:type="paragraph" w:styleId="710">
    <w:name w:val="纯文本"/>
    <w:basedOn w:val="672"/>
    <w:next w:val="710"/>
    <w:link w:val="711"/>
    <w:rPr>
      <w:rFonts w:ascii="宋体" w:hAnsi="Courier New" w:cs="Courier New"/>
    </w:rPr>
  </w:style>
  <w:style w:type="character" w:styleId="711">
    <w:name w:val="纯文本 Char"/>
    <w:next w:val="711"/>
    <w:link w:val="710"/>
    <w:rPr>
      <w:rFonts w:ascii="宋体" w:hAnsi="Courier New" w:eastAsia="宋体" w:cs="Courier New"/>
      <w:szCs w:val="21"/>
    </w:rPr>
  </w:style>
  <w:style w:type="paragraph" w:styleId="712">
    <w:name w:val="目录 8"/>
    <w:basedOn w:val="672"/>
    <w:next w:val="672"/>
    <w:link w:val="672"/>
    <w:semiHidden/>
    <w:pPr>
      <w:ind w:left="1470"/>
      <w:jc w:val="left"/>
    </w:pPr>
  </w:style>
  <w:style w:type="paragraph" w:styleId="713">
    <w:name w:val="日期"/>
    <w:basedOn w:val="672"/>
    <w:next w:val="672"/>
    <w:link w:val="714"/>
    <w:rPr>
      <w:sz w:val="24"/>
      <w:szCs w:val="24"/>
    </w:rPr>
  </w:style>
  <w:style w:type="character" w:styleId="714">
    <w:name w:val="日期 Char"/>
    <w:next w:val="714"/>
    <w:link w:val="713"/>
    <w:rPr>
      <w:rFonts w:ascii="Times New Roman" w:hAnsi="Times New Roman" w:eastAsia="宋体" w:cs="Times New Roman"/>
      <w:sz w:val="24"/>
      <w:szCs w:val="24"/>
    </w:rPr>
  </w:style>
  <w:style w:type="paragraph" w:styleId="715">
    <w:name w:val="正文文本缩进 2"/>
    <w:basedOn w:val="672"/>
    <w:next w:val="715"/>
    <w:link w:val="716"/>
    <w:pPr>
      <w:ind w:left="630" w:firstLine="645"/>
    </w:pPr>
    <w:rPr>
      <w:rFonts w:ascii="Arial" w:hAnsi="Arial" w:eastAsia="仿宋_GB2312" w:cs="Arial"/>
      <w:sz w:val="32"/>
      <w:szCs w:val="32"/>
    </w:rPr>
  </w:style>
  <w:style w:type="character" w:styleId="716">
    <w:name w:val="正文文本缩进 2 Char"/>
    <w:next w:val="716"/>
    <w:link w:val="715"/>
    <w:rPr>
      <w:rFonts w:ascii="Arial" w:hAnsi="Arial" w:eastAsia="仿宋_GB2312" w:cs="Arial"/>
      <w:sz w:val="32"/>
      <w:szCs w:val="32"/>
    </w:rPr>
  </w:style>
  <w:style w:type="paragraph" w:styleId="717">
    <w:name w:val="批注框文本"/>
    <w:basedOn w:val="672"/>
    <w:next w:val="717"/>
    <w:link w:val="718"/>
    <w:semiHidden/>
    <w:rPr>
      <w:sz w:val="18"/>
      <w:szCs w:val="18"/>
    </w:rPr>
  </w:style>
  <w:style w:type="character" w:styleId="718">
    <w:name w:val="批注框文本 Char"/>
    <w:next w:val="718"/>
    <w:link w:val="717"/>
    <w:semiHidden/>
    <w:rPr>
      <w:rFonts w:ascii="Times New Roman" w:hAnsi="Times New Roman" w:eastAsia="宋体" w:cs="Times New Roman"/>
      <w:sz w:val="18"/>
      <w:szCs w:val="18"/>
    </w:rPr>
  </w:style>
  <w:style w:type="paragraph" w:styleId="719">
    <w:name w:val="页脚"/>
    <w:basedOn w:val="672"/>
    <w:next w:val="719"/>
    <w:link w:val="720"/>
    <w:uiPriority w:val="99"/>
    <w:pPr>
      <w:jc w:val="left"/>
      <w:tabs>
        <w:tab w:val="center" w:pos="4153" w:leader="none"/>
        <w:tab w:val="right" w:pos="8306" w:leader="none"/>
      </w:tabs>
    </w:pPr>
    <w:rPr>
      <w:sz w:val="18"/>
      <w:szCs w:val="18"/>
    </w:rPr>
  </w:style>
  <w:style w:type="character" w:styleId="720">
    <w:name w:val="页脚 Char"/>
    <w:next w:val="720"/>
    <w:link w:val="719"/>
    <w:uiPriority w:val="99"/>
    <w:rPr>
      <w:rFonts w:ascii="Times New Roman" w:hAnsi="Times New Roman" w:eastAsia="宋体" w:cs="Times New Roman"/>
      <w:sz w:val="18"/>
      <w:szCs w:val="18"/>
    </w:rPr>
  </w:style>
  <w:style w:type="paragraph" w:styleId="721">
    <w:name w:val="页眉"/>
    <w:basedOn w:val="672"/>
    <w:next w:val="721"/>
    <w:link w:val="722"/>
    <w:pPr>
      <w:jc w:val="center"/>
      <w:tabs>
        <w:tab w:val="center" w:pos="4153" w:leader="none"/>
        <w:tab w:val="right" w:pos="8306" w:leader="none"/>
      </w:tabs>
      <w:pBdr>
        <w:bottom w:val="single" w:color="000000" w:sz="6" w:space="1"/>
      </w:pBdr>
    </w:pPr>
    <w:rPr>
      <w:sz w:val="18"/>
      <w:szCs w:val="18"/>
    </w:rPr>
  </w:style>
  <w:style w:type="character" w:styleId="722">
    <w:name w:val="页眉 Char"/>
    <w:next w:val="722"/>
    <w:link w:val="721"/>
    <w:rPr>
      <w:rFonts w:ascii="Times New Roman" w:hAnsi="Times New Roman" w:eastAsia="宋体" w:cs="Times New Roman"/>
      <w:sz w:val="18"/>
      <w:szCs w:val="18"/>
    </w:rPr>
  </w:style>
  <w:style w:type="paragraph" w:styleId="723">
    <w:name w:val="目录 1"/>
    <w:basedOn w:val="672"/>
    <w:next w:val="672"/>
    <w:link w:val="672"/>
    <w:semiHidden/>
    <w:pPr>
      <w:jc w:val="left"/>
      <w:spacing w:before="120" w:after="120" w:line="400" w:lineRule="exact"/>
      <w:tabs>
        <w:tab w:val="right" w:pos="8720" w:leader="dot"/>
      </w:tabs>
    </w:pPr>
    <w:rPr>
      <w:rFonts w:ascii="宋体" w:hAnsi="宋体"/>
      <w:caps/>
      <w:sz w:val="24"/>
      <w:szCs w:val="24"/>
    </w:rPr>
  </w:style>
  <w:style w:type="paragraph" w:styleId="724">
    <w:name w:val="目录 4"/>
    <w:basedOn w:val="672"/>
    <w:next w:val="672"/>
    <w:link w:val="672"/>
    <w:semiHidden/>
    <w:pPr>
      <w:ind w:left="630"/>
      <w:jc w:val="left"/>
    </w:pPr>
  </w:style>
  <w:style w:type="paragraph" w:styleId="725">
    <w:name w:val="列表"/>
    <w:basedOn w:val="672"/>
    <w:next w:val="725"/>
    <w:link w:val="672"/>
    <w:pPr>
      <w:ind w:left="200" w:hanging="200"/>
    </w:pPr>
  </w:style>
  <w:style w:type="paragraph" w:styleId="726">
    <w:name w:val="目录 6"/>
    <w:basedOn w:val="672"/>
    <w:next w:val="672"/>
    <w:link w:val="672"/>
    <w:semiHidden/>
    <w:pPr>
      <w:ind w:left="1050"/>
      <w:jc w:val="left"/>
    </w:pPr>
  </w:style>
  <w:style w:type="paragraph" w:styleId="727">
    <w:name w:val="正文文本缩进 3"/>
    <w:basedOn w:val="672"/>
    <w:next w:val="727"/>
    <w:link w:val="728"/>
    <w:pPr>
      <w:ind w:left="645" w:firstLine="645"/>
    </w:pPr>
    <w:rPr>
      <w:rFonts w:ascii="Arial" w:hAnsi="Arial" w:eastAsia="仿宋_GB2312" w:cs="Arial"/>
      <w:color w:val="ffff00"/>
      <w:sz w:val="32"/>
      <w:szCs w:val="32"/>
    </w:rPr>
  </w:style>
  <w:style w:type="character" w:styleId="728">
    <w:name w:val="正文文本缩进 3 Char"/>
    <w:next w:val="728"/>
    <w:link w:val="727"/>
    <w:rPr>
      <w:rFonts w:ascii="Arial" w:hAnsi="Arial" w:eastAsia="仿宋_GB2312" w:cs="Arial"/>
      <w:color w:val="ffff00"/>
      <w:sz w:val="32"/>
      <w:szCs w:val="32"/>
    </w:rPr>
  </w:style>
  <w:style w:type="paragraph" w:styleId="729">
    <w:name w:val="图表目录"/>
    <w:basedOn w:val="672"/>
    <w:next w:val="672"/>
    <w:link w:val="672"/>
    <w:semiHidden/>
    <w:pPr>
      <w:ind w:left="840" w:hanging="420"/>
    </w:pPr>
  </w:style>
  <w:style w:type="paragraph" w:styleId="730">
    <w:name w:val="目录 2"/>
    <w:basedOn w:val="672"/>
    <w:next w:val="672"/>
    <w:link w:val="672"/>
    <w:semiHidden/>
    <w:pPr>
      <w:ind w:left="210"/>
      <w:jc w:val="left"/>
    </w:pPr>
    <w:rPr>
      <w:smallCaps/>
      <w:szCs w:val="24"/>
    </w:rPr>
  </w:style>
  <w:style w:type="paragraph" w:styleId="731">
    <w:name w:val="目录 9"/>
    <w:basedOn w:val="672"/>
    <w:next w:val="672"/>
    <w:link w:val="672"/>
    <w:semiHidden/>
    <w:pPr>
      <w:ind w:left="1680"/>
      <w:jc w:val="left"/>
    </w:pPr>
  </w:style>
  <w:style w:type="paragraph" w:styleId="732">
    <w:name w:val="正文文本 2"/>
    <w:basedOn w:val="672"/>
    <w:next w:val="732"/>
    <w:link w:val="733"/>
    <w:pPr>
      <w:jc w:val="center"/>
      <w:widowControl/>
    </w:pPr>
    <w:rPr>
      <w:rFonts w:ascii="楷体_GB2312" w:eastAsia="楷体_GB2312"/>
      <w:sz w:val="28"/>
      <w:szCs w:val="28"/>
    </w:rPr>
  </w:style>
  <w:style w:type="character" w:styleId="733">
    <w:name w:val="正文文本 2 Char"/>
    <w:next w:val="733"/>
    <w:link w:val="732"/>
    <w:rPr>
      <w:rFonts w:ascii="楷体_GB2312" w:hAnsi="Times New Roman" w:eastAsia="楷体_GB2312" w:cs="Times New Roman"/>
      <w:sz w:val="28"/>
      <w:szCs w:val="28"/>
    </w:rPr>
  </w:style>
  <w:style w:type="paragraph" w:styleId="734">
    <w:name w:val="普通(网站)"/>
    <w:basedOn w:val="672"/>
    <w:next w:val="734"/>
    <w:link w:val="672"/>
    <w:uiPriority w:val="99"/>
    <w:pPr>
      <w:jc w:val="left"/>
      <w:spacing w:before="100" w:beforeAutospacing="1" w:after="100" w:afterAutospacing="1"/>
      <w:widowControl/>
    </w:pPr>
    <w:rPr>
      <w:rFonts w:ascii="宋体" w:hAnsi="宋体" w:cs="宋体"/>
      <w:sz w:val="24"/>
      <w:szCs w:val="24"/>
    </w:rPr>
  </w:style>
  <w:style w:type="paragraph" w:styleId="735">
    <w:name w:val="索引 1"/>
    <w:basedOn w:val="672"/>
    <w:next w:val="672"/>
    <w:link w:val="672"/>
    <w:semiHidden/>
    <w:pPr>
      <w:spacing w:line="240" w:lineRule="atLeast"/>
    </w:pPr>
    <w:rPr>
      <w:b/>
      <w:bCs/>
    </w:rPr>
  </w:style>
  <w:style w:type="paragraph" w:styleId="736">
    <w:name w:val="批注主题"/>
    <w:basedOn w:val="699"/>
    <w:next w:val="699"/>
    <w:link w:val="737"/>
    <w:semiHidden/>
    <w:rPr>
      <w:b/>
      <w:bCs/>
    </w:rPr>
  </w:style>
  <w:style w:type="character" w:styleId="737">
    <w:name w:val="批注主题 Char"/>
    <w:next w:val="737"/>
    <w:link w:val="736"/>
    <w:semiHidden/>
    <w:rPr>
      <w:rFonts w:ascii="Times New Roman" w:hAnsi="Times New Roman" w:eastAsia="宋体" w:cs="Times New Roman"/>
      <w:b/>
      <w:bCs/>
      <w:szCs w:val="21"/>
    </w:rPr>
  </w:style>
  <w:style w:type="paragraph" w:styleId="738">
    <w:name w:val="正文首行缩进"/>
    <w:basedOn w:val="672"/>
    <w:next w:val="738"/>
    <w:link w:val="739"/>
    <w:pPr>
      <w:ind w:firstLine="200"/>
      <w:spacing w:line="360" w:lineRule="auto"/>
    </w:pPr>
    <w:rPr>
      <w:rFonts w:ascii="仿宋_GB2312" w:eastAsia="仿宋_GB2312"/>
      <w:sz w:val="30"/>
      <w:szCs w:val="30"/>
    </w:rPr>
  </w:style>
  <w:style w:type="character" w:styleId="739">
    <w:name w:val="正文首行缩进 Char"/>
    <w:next w:val="739"/>
    <w:link w:val="738"/>
    <w:rPr>
      <w:rFonts w:ascii="仿宋_GB2312" w:hAnsi="Times New Roman" w:eastAsia="仿宋_GB2312" w:cs="Times New Roman"/>
      <w:sz w:val="30"/>
      <w:szCs w:val="30"/>
    </w:rPr>
  </w:style>
  <w:style w:type="paragraph" w:styleId="740">
    <w:name w:val="正文首行缩进 2"/>
    <w:basedOn w:val="705"/>
    <w:next w:val="740"/>
    <w:link w:val="741"/>
    <w:pPr>
      <w:ind w:firstLine="420"/>
      <w:spacing w:line="360" w:lineRule="auto"/>
    </w:pPr>
    <w:rPr>
      <w:rFonts w:ascii="宋体" w:hAnsi="宋体" w:eastAsia="宋体"/>
      <w:sz w:val="21"/>
      <w:szCs w:val="20"/>
    </w:rPr>
  </w:style>
  <w:style w:type="character" w:styleId="741">
    <w:name w:val="正文首行缩进 2 Char"/>
    <w:next w:val="741"/>
    <w:link w:val="740"/>
    <w:rPr>
      <w:rFonts w:ascii="宋体" w:hAnsi="宋体" w:eastAsia="宋体" w:cs="Times New Roman"/>
      <w:sz w:val="32"/>
      <w:szCs w:val="20"/>
    </w:rPr>
  </w:style>
  <w:style w:type="table" w:styleId="742">
    <w:name w:val="网格型"/>
    <w:basedOn w:val="683"/>
    <w:next w:val="742"/>
    <w:link w:val="672"/>
    <w:pPr>
      <w:jc w:val="both"/>
      <w:widowControl w:val="off"/>
    </w:pPr>
    <w:rPr>
      <w:rFonts w:ascii="Times New Roman" w:hAnsi="Times New Roman" w:eastAsia="宋体" w:cs="Times New Roman"/>
      <w:sz w:val="20"/>
      <w:szCs w:val="20"/>
    </w:rPr>
    <w:tblPr/>
  </w:style>
  <w:style w:type="character" w:styleId="743">
    <w:name w:val="要点"/>
    <w:next w:val="743"/>
    <w:link w:val="672"/>
    <w:qFormat/>
    <w:rPr>
      <w:b/>
      <w:bCs/>
    </w:rPr>
  </w:style>
  <w:style w:type="character" w:styleId="744">
    <w:name w:val="页码"/>
    <w:next w:val="744"/>
    <w:link w:val="672"/>
  </w:style>
  <w:style w:type="character" w:styleId="745">
    <w:name w:val="已访问的超链接"/>
    <w:next w:val="745"/>
    <w:link w:val="672"/>
    <w:rPr>
      <w:color w:val="800080"/>
      <w:u w:val="single"/>
    </w:rPr>
  </w:style>
  <w:style w:type="character" w:styleId="746">
    <w:name w:val="超链接"/>
    <w:next w:val="746"/>
    <w:link w:val="672"/>
    <w:rPr>
      <w:color w:val="0000ff"/>
      <w:u w:val="single"/>
    </w:rPr>
  </w:style>
  <w:style w:type="character" w:styleId="747">
    <w:name w:val="批注引用"/>
    <w:next w:val="747"/>
    <w:link w:val="672"/>
    <w:semiHidden/>
    <w:rPr>
      <w:sz w:val="21"/>
      <w:szCs w:val="21"/>
    </w:rPr>
  </w:style>
  <w:style w:type="paragraph" w:styleId="748">
    <w:name w:val="列表段落1"/>
    <w:basedOn w:val="672"/>
    <w:next w:val="748"/>
    <w:link w:val="672"/>
    <w:uiPriority w:val="99"/>
    <w:qFormat/>
    <w:pPr>
      <w:ind w:firstLine="420"/>
    </w:pPr>
  </w:style>
  <w:style w:type="character" w:styleId="749">
    <w:name w:val="font5 Char"/>
    <w:next w:val="749"/>
    <w:link w:val="672"/>
    <w:rPr>
      <w:rFonts w:ascii="宋体" w:hAnsi="宋体" w:eastAsia="宋体"/>
      <w:sz w:val="28"/>
      <w:szCs w:val="28"/>
      <w:lang w:val="en-US" w:eastAsia="zh-CN" w:bidi="ar-SA"/>
    </w:rPr>
  </w:style>
  <w:style w:type="character" w:styleId="750">
    <w:name w:val="二级目录 Char"/>
    <w:next w:val="750"/>
    <w:link w:val="751"/>
    <w:rPr>
      <w:b/>
      <w:sz w:val="30"/>
      <w:szCs w:val="28"/>
    </w:rPr>
  </w:style>
  <w:style w:type="paragraph" w:styleId="751">
    <w:name w:val="二级目录"/>
    <w:next w:val="672"/>
    <w:link w:val="750"/>
    <w:pPr>
      <w:numPr>
        <w:ilvl w:val="0"/>
        <w:numId w:val="2"/>
      </w:numPr>
      <w:tabs>
        <w:tab w:val="left" w:pos="907" w:leader="none"/>
        <w:tab w:val="left" w:pos="1145" w:leader="none"/>
      </w:tabs>
      <w:outlineLvl w:val="1"/>
    </w:pPr>
    <w:rPr>
      <w:b/>
      <w:sz w:val="30"/>
      <w:szCs w:val="28"/>
      <w:lang w:val="en-US" w:eastAsia="zh-CN" w:bidi="ar-SA"/>
    </w:rPr>
  </w:style>
  <w:style w:type="character" w:styleId="752">
    <w:name w:val="列出段落 Char,Bullet List Char,numbered Char,FooterText Char,List Paragraph1 Char,Paragraphe de liste1 Char"/>
    <w:next w:val="752"/>
    <w:link w:val="753"/>
    <w:rPr>
      <w:rFonts w:ascii="Calibri" w:hAnsi="Calibri"/>
      <w:sz w:val="24"/>
      <w:szCs w:val="24"/>
      <w:lang w:eastAsia="en-US" w:bidi="en-US"/>
    </w:rPr>
  </w:style>
  <w:style w:type="paragraph" w:styleId="753">
    <w:name w:val="列出段落1"/>
    <w:basedOn w:val="672"/>
    <w:next w:val="753"/>
    <w:link w:val="752"/>
    <w:qFormat/>
    <w:pPr>
      <w:contextualSpacing/>
      <w:ind w:left="720"/>
      <w:jc w:val="left"/>
      <w:widowControl/>
    </w:pPr>
    <w:rPr>
      <w:rFonts w:ascii="Calibri" w:hAnsi="Calibri" w:eastAsia="宋体" w:cs="Times New Roman"/>
      <w:sz w:val="24"/>
      <w:szCs w:val="24"/>
      <w:lang w:eastAsia="en-US" w:bidi="en-US"/>
    </w:rPr>
  </w:style>
  <w:style w:type="paragraph" w:styleId="754">
    <w:name w:val="Body Text(ch)"/>
    <w:basedOn w:val="672"/>
    <w:next w:val="703"/>
    <w:link w:val="672"/>
    <w:pPr>
      <w:spacing w:after="120"/>
    </w:pPr>
    <w:rPr>
      <w:rFonts w:ascii="宋体" w:hAnsi="Arial"/>
      <w:bCs/>
      <w:iCs/>
      <w:szCs w:val="24"/>
    </w:rPr>
  </w:style>
  <w:style w:type="paragraph" w:styleId="755">
    <w:name w:val="xl27"/>
    <w:basedOn w:val="672"/>
    <w:next w:val="755"/>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6">
    <w:name w:val="xl26"/>
    <w:basedOn w:val="672"/>
    <w:next w:val="756"/>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7">
    <w:name w:val="Char"/>
    <w:basedOn w:val="672"/>
    <w:next w:val="757"/>
    <w:link w:val="672"/>
    <w:pPr>
      <w:ind w:firstLine="200"/>
      <w:tabs>
        <w:tab w:val="left" w:pos="360" w:leader="none"/>
      </w:tabs>
    </w:pPr>
    <w:rPr>
      <w:sz w:val="28"/>
      <w:szCs w:val="30"/>
    </w:rPr>
  </w:style>
  <w:style w:type="paragraph" w:styleId="758">
    <w:name w:val=" Char"/>
    <w:basedOn w:val="697"/>
    <w:next w:val="758"/>
    <w:link w:val="672"/>
    <w:rPr>
      <w:rFonts w:ascii="Tahoma" w:hAnsi="Tahoma"/>
      <w:sz w:val="24"/>
      <w:szCs w:val="24"/>
    </w:rPr>
  </w:style>
  <w:style w:type="paragraph" w:styleId="759">
    <w:name w:val="普通正文"/>
    <w:basedOn w:val="672"/>
    <w:next w:val="759"/>
    <w:link w:val="672"/>
    <w:pPr>
      <w:ind w:firstLine="480"/>
      <w:jc w:val="left"/>
      <w:spacing w:before="120" w:after="120" w:line="360" w:lineRule="auto"/>
    </w:pPr>
    <w:rPr>
      <w:rFonts w:ascii="Arial" w:hAnsi="Arial"/>
      <w:sz w:val="24"/>
      <w:szCs w:val="24"/>
    </w:rPr>
  </w:style>
  <w:style w:type="paragraph" w:styleId="760">
    <w:name w:val="table_lines"/>
    <w:basedOn w:val="672"/>
    <w:next w:val="760"/>
    <w:link w:val="672"/>
    <w:pPr>
      <w:jc w:val="left"/>
      <w:widowControl/>
    </w:pPr>
    <w:rPr>
      <w:sz w:val="20"/>
      <w:szCs w:val="20"/>
      <w:lang w:val="de-DE" w:eastAsia="de-DE"/>
    </w:rPr>
  </w:style>
  <w:style w:type="paragraph" w:styleId="761">
    <w:name w:val="附录1"/>
    <w:next w:val="761"/>
    <w:link w:val="67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2">
    <w:name w:val="font7"/>
    <w:basedOn w:val="672"/>
    <w:next w:val="762"/>
    <w:link w:val="672"/>
    <w:pPr>
      <w:jc w:val="left"/>
      <w:spacing w:before="100" w:beforeAutospacing="1" w:after="100" w:afterAutospacing="1"/>
      <w:widowControl/>
    </w:pPr>
    <w:rPr>
      <w:rFonts w:hint="eastAsia" w:ascii="宋体" w:hAnsi="宋体"/>
      <w:sz w:val="18"/>
      <w:szCs w:val="18"/>
    </w:rPr>
  </w:style>
  <w:style w:type="paragraph" w:styleId="763">
    <w:name w:val=" Char Char Char Char"/>
    <w:basedOn w:val="697"/>
    <w:next w:val="763"/>
    <w:link w:val="672"/>
    <w:pPr>
      <w:spacing w:line="360" w:lineRule="auto"/>
    </w:pPr>
    <w:rPr>
      <w:rFonts w:ascii="Tahoma" w:hAnsi="Tahoma"/>
      <w:sz w:val="24"/>
      <w:szCs w:val="24"/>
    </w:rPr>
  </w:style>
  <w:style w:type="paragraph" w:styleId="764">
    <w:name w:val="列出段落"/>
    <w:basedOn w:val="672"/>
    <w:next w:val="764"/>
    <w:link w:val="672"/>
    <w:qFormat/>
    <w:pPr>
      <w:contextualSpacing/>
      <w:ind w:left="720"/>
      <w:jc w:val="left"/>
      <w:widowControl/>
    </w:pPr>
    <w:rPr>
      <w:rFonts w:ascii="Calibri" w:hAnsi="Calibri"/>
      <w:sz w:val="24"/>
      <w:szCs w:val="24"/>
      <w:lang w:eastAsia="en-US" w:bidi="en-US"/>
    </w:rPr>
  </w:style>
  <w:style w:type="paragraph" w:styleId="765">
    <w:name w:val="4"/>
    <w:basedOn w:val="672"/>
    <w:next w:val="727"/>
    <w:link w:val="672"/>
    <w:pPr>
      <w:ind w:firstLine="420"/>
      <w:spacing w:line="360" w:lineRule="auto"/>
    </w:pPr>
    <w:rPr>
      <w:color w:val="ff0000"/>
      <w:sz w:val="24"/>
      <w:szCs w:val="24"/>
    </w:rPr>
  </w:style>
  <w:style w:type="paragraph" w:styleId="766">
    <w:name w:val="普通 (Web)"/>
    <w:basedOn w:val="672"/>
    <w:next w:val="766"/>
    <w:link w:val="672"/>
    <w:pPr>
      <w:jc w:val="left"/>
      <w:spacing w:before="100" w:beforeAutospacing="1" w:after="100" w:afterAutospacing="1"/>
      <w:widowControl/>
    </w:pPr>
    <w:rPr>
      <w:rFonts w:ascii="宋体" w:hAnsi="宋体"/>
      <w:sz w:val="24"/>
      <w:szCs w:val="24"/>
    </w:rPr>
  </w:style>
  <w:style w:type="paragraph" w:styleId="767">
    <w:name w:val=" Char Char Char Char Char Char Char Char Char Char"/>
    <w:basedOn w:val="672"/>
    <w:next w:val="767"/>
    <w:link w:val="672"/>
    <w:pPr>
      <w:spacing w:line="360" w:lineRule="auto"/>
    </w:pPr>
    <w:rPr>
      <w:sz w:val="24"/>
      <w:szCs w:val="20"/>
    </w:rPr>
  </w:style>
  <w:style w:type="paragraph" w:styleId="768">
    <w:name w:val="样式1"/>
    <w:basedOn w:val="672"/>
    <w:next w:val="768"/>
    <w:link w:val="672"/>
    <w:pPr>
      <w:numPr>
        <w:ilvl w:val="0"/>
        <w:numId w:val="3"/>
      </w:numPr>
      <w:tabs>
        <w:tab w:val="left" w:pos="709" w:leader="none"/>
      </w:tabs>
    </w:pPr>
    <w:rPr>
      <w:rFonts w:ascii="宋体" w:hAnsi="宋体"/>
    </w:rPr>
  </w:style>
  <w:style w:type="paragraph" w:styleId="769">
    <w:name w:val="font6"/>
    <w:basedOn w:val="672"/>
    <w:next w:val="769"/>
    <w:link w:val="672"/>
    <w:pPr>
      <w:jc w:val="left"/>
      <w:spacing w:before="100" w:beforeAutospacing="1" w:after="100" w:afterAutospacing="1"/>
      <w:widowControl/>
    </w:pPr>
    <w:rPr>
      <w:rFonts w:hint="eastAsia" w:ascii="宋体" w:hAnsi="宋体"/>
      <w:sz w:val="28"/>
      <w:szCs w:val="28"/>
      <w:u w:val="single"/>
    </w:rPr>
  </w:style>
  <w:style w:type="paragraph" w:styleId="770">
    <w:name w:val="xl25"/>
    <w:basedOn w:val="672"/>
    <w:next w:val="770"/>
    <w:link w:val="67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1">
    <w:name w:val="图标"/>
    <w:basedOn w:val="672"/>
    <w:next w:val="672"/>
    <w:link w:val="67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2">
    <w:name w:val="标题3"/>
    <w:basedOn w:val="672"/>
    <w:next w:val="672"/>
    <w:link w:val="672"/>
    <w:pPr>
      <w:ind w:firstLine="624"/>
      <w:spacing w:line="590" w:lineRule="atLeast"/>
    </w:pPr>
    <w:rPr>
      <w:rFonts w:ascii="方正黑体_GBK" w:eastAsia="方正黑体_GBK"/>
      <w:sz w:val="32"/>
      <w:szCs w:val="32"/>
    </w:rPr>
  </w:style>
  <w:style w:type="paragraph" w:styleId="773">
    <w:name w:val="xl24"/>
    <w:basedOn w:val="672"/>
    <w:next w:val="773"/>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4">
    <w:name w:val="xl29"/>
    <w:basedOn w:val="672"/>
    <w:next w:val="774"/>
    <w:link w:val="67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5">
    <w:name w:val="Char Char Char Char Char Char Char Char"/>
    <w:basedOn w:val="672"/>
    <w:next w:val="775"/>
    <w:link w:val="672"/>
    <w:pPr>
      <w:jc w:val="left"/>
      <w:spacing w:after="160" w:line="240" w:lineRule="exact"/>
      <w:widowControl/>
    </w:pPr>
    <w:rPr>
      <w:rFonts w:ascii="Verdana" w:hAnsi="Verdana"/>
      <w:sz w:val="20"/>
      <w:szCs w:val="20"/>
      <w:lang w:eastAsia="en-US"/>
    </w:rPr>
  </w:style>
  <w:style w:type="paragraph" w:styleId="776">
    <w:name w:val="xl28"/>
    <w:basedOn w:val="672"/>
    <w:next w:val="776"/>
    <w:link w:val="6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7">
    <w:name w:val=" Char Char Char Char Char Char Char Char"/>
    <w:basedOn w:val="672"/>
    <w:next w:val="777"/>
    <w:link w:val="672"/>
    <w:pPr>
      <w:jc w:val="left"/>
      <w:spacing w:after="160" w:line="240" w:lineRule="exact"/>
      <w:widowControl/>
    </w:pPr>
    <w:rPr>
      <w:rFonts w:ascii="Verdana" w:hAnsi="Verdana"/>
      <w:sz w:val="20"/>
      <w:szCs w:val="20"/>
      <w:lang w:eastAsia="en-US"/>
    </w:rPr>
  </w:style>
  <w:style w:type="paragraph" w:styleId="778">
    <w:name w:val="xl30"/>
    <w:basedOn w:val="672"/>
    <w:next w:val="778"/>
    <w:link w:val="672"/>
    <w:pPr>
      <w:jc w:val="center"/>
      <w:spacing w:before="100" w:beforeAutospacing="1" w:after="100" w:afterAutospacing="1"/>
      <w:widowControl/>
    </w:pPr>
    <w:rPr>
      <w:rFonts w:ascii="宋体" w:hAnsi="宋体"/>
      <w:b/>
      <w:bCs/>
      <w:sz w:val="36"/>
      <w:szCs w:val="36"/>
    </w:rPr>
  </w:style>
  <w:style w:type="paragraph" w:styleId="779">
    <w:name w:val="Char Char Char Char"/>
    <w:basedOn w:val="697"/>
    <w:next w:val="779"/>
    <w:link w:val="672"/>
    <w:pPr>
      <w:spacing w:line="360" w:lineRule="auto"/>
    </w:pPr>
    <w:rPr>
      <w:rFonts w:ascii="Tahoma" w:hAnsi="Tahoma"/>
      <w:sz w:val="24"/>
      <w:szCs w:val="24"/>
    </w:rPr>
  </w:style>
  <w:style w:type="paragraph" w:styleId="780">
    <w:name w:val="table_1stline"/>
    <w:basedOn w:val="672"/>
    <w:next w:val="780"/>
    <w:link w:val="672"/>
    <w:pPr>
      <w:jc w:val="left"/>
      <w:spacing w:before="120"/>
      <w:widowControl/>
    </w:pPr>
    <w:rPr>
      <w:bCs/>
      <w:sz w:val="20"/>
      <w:szCs w:val="20"/>
      <w:lang w:val="de-DE" w:eastAsia="de-DE"/>
    </w:rPr>
  </w:style>
  <w:style w:type="paragraph" w:styleId="781">
    <w:name w:val="font5"/>
    <w:basedOn w:val="672"/>
    <w:next w:val="781"/>
    <w:link w:val="672"/>
    <w:pPr>
      <w:jc w:val="left"/>
      <w:spacing w:before="100" w:beforeAutospacing="1" w:after="100" w:afterAutospacing="1"/>
      <w:widowControl/>
    </w:pPr>
    <w:rPr>
      <w:rFonts w:hint="eastAsia" w:ascii="宋体" w:hAnsi="宋体"/>
      <w:sz w:val="28"/>
      <w:szCs w:val="28"/>
    </w:rPr>
  </w:style>
  <w:style w:type="paragraph" w:styleId="782">
    <w:name w:val="标题1"/>
    <w:basedOn w:val="672"/>
    <w:next w:val="672"/>
    <w:link w:val="672"/>
    <w:pPr>
      <w:jc w:val="center"/>
      <w:spacing w:line="700" w:lineRule="atLeast"/>
      <w:tabs>
        <w:tab w:val="left" w:pos="9193" w:leader="none"/>
        <w:tab w:val="left" w:pos="9827" w:leader="none"/>
      </w:tabs>
    </w:pPr>
    <w:rPr>
      <w:rFonts w:ascii="方正小标宋_GBK" w:eastAsia="方正小标宋_GBK"/>
      <w:sz w:val="44"/>
      <w:szCs w:val="20"/>
    </w:rPr>
  </w:style>
  <w:style w:type="paragraph" w:styleId="783">
    <w:name w:val="修订"/>
    <w:next w:val="783"/>
    <w:link w:val="672"/>
    <w:uiPriority w:val="99"/>
    <w:semiHidden/>
    <w:rPr>
      <w:rFonts w:ascii="Times New Roman" w:hAnsi="Times New Roman"/>
      <w:sz w:val="21"/>
      <w:szCs w:val="21"/>
      <w:lang w:val="en-US" w:eastAsia="zh-CN" w:bidi="ar-SA"/>
    </w:rPr>
  </w:style>
  <w:style w:type="paragraph" w:styleId="784">
    <w:name w:val="无间隔"/>
    <w:next w:val="784"/>
    <w:link w:val="672"/>
    <w:uiPriority w:val="99"/>
    <w:qFormat/>
    <w:pPr>
      <w:jc w:val="both"/>
      <w:widowControl w:val="off"/>
    </w:pPr>
    <w:rPr>
      <w:rFonts w:ascii="Times New Roman" w:hAnsi="Times New Roman"/>
      <w:sz w:val="21"/>
      <w:szCs w:val="21"/>
      <w:lang w:val="en-US" w:eastAsia="zh-CN" w:bidi="ar-SA"/>
    </w:rPr>
  </w:style>
  <w:style w:type="paragraph" w:styleId="785">
    <w:name w:val="一"/>
    <w:basedOn w:val="672"/>
    <w:next w:val="785"/>
    <w:link w:val="672"/>
    <w:qFormat/>
    <w:pPr>
      <w:keepLines/>
      <w:keepNext/>
      <w:spacing w:line="360" w:lineRule="auto"/>
      <w:outlineLvl w:val="0"/>
    </w:pPr>
    <w:rPr>
      <w:rFonts w:ascii="Calibri" w:hAnsi="Calibri" w:eastAsia="黑体"/>
      <w:b/>
      <w:bCs/>
      <w:sz w:val="32"/>
      <w:szCs w:val="44"/>
    </w:rPr>
  </w:style>
  <w:style w:type="paragraph" w:styleId="786">
    <w:name w:val="（一）"/>
    <w:basedOn w:val="672"/>
    <w:next w:val="786"/>
    <w:link w:val="672"/>
    <w:qFormat/>
    <w:pPr>
      <w:keepLines/>
      <w:keepNext/>
      <w:spacing w:line="360" w:lineRule="auto"/>
      <w:outlineLvl w:val="1"/>
    </w:pPr>
    <w:rPr>
      <w:rFonts w:ascii="Calibri Light" w:hAnsi="Calibri Light" w:eastAsia="黑体"/>
      <w:b/>
      <w:bCs/>
      <w:sz w:val="32"/>
      <w:szCs w:val="32"/>
    </w:rPr>
  </w:style>
  <w:style w:type="paragraph" w:styleId="787">
    <w:name w:val="说明"/>
    <w:basedOn w:val="672"/>
    <w:next w:val="787"/>
    <w:link w:val="672"/>
    <w:qFormat/>
    <w:pPr>
      <w:ind w:firstLine="200"/>
      <w:spacing w:line="360" w:lineRule="auto"/>
    </w:pPr>
    <w:rPr>
      <w:i/>
      <w:iCs/>
      <w:color w:val="ff0000"/>
      <w:sz w:val="24"/>
      <w:szCs w:val="24"/>
    </w:rPr>
  </w:style>
  <w:style w:type="paragraph" w:styleId="788">
    <w:name w:val="正文1"/>
    <w:basedOn w:val="672"/>
    <w:next w:val="788"/>
    <w:link w:val="672"/>
    <w:qFormat/>
    <w:pPr>
      <w:ind w:firstLine="480"/>
      <w:spacing w:line="360" w:lineRule="auto"/>
    </w:pPr>
    <w:rPr>
      <w:rFonts w:ascii="Calibri" w:hAnsi="Calibri"/>
      <w:sz w:val="24"/>
      <w:szCs w:val="22"/>
    </w:rPr>
  </w:style>
  <w:style w:type="character" w:styleId="10876" w:default="1">
    <w:name w:val="Default Paragraph Font"/>
    <w:uiPriority w:val="1"/>
    <w:semiHidden/>
    <w:unhideWhenUsed/>
  </w:style>
  <w:style w:type="numbering" w:styleId="10877" w:default="1">
    <w:name w:val="No List"/>
    <w:uiPriority w:val="99"/>
    <w:semiHidden/>
    <w:unhideWhenUsed/>
  </w:style>
  <w:style w:type="table" w:styleId="108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7</cp:revision>
  <dcterms:created xsi:type="dcterms:W3CDTF">2023-03-16T02:16:00Z</dcterms:created>
  <dcterms:modified xsi:type="dcterms:W3CDTF">2025-11-07T08:10:28Z</dcterms:modified>
</cp:coreProperties>
</file>