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项目编号：JSZC-320500-JZCG-G2025-0407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苏州工业职业技术学院智能车间装备集成与应用技术虚拟仿真资源建设（第2期）</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4"/>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rPr>
          <w:rStyle w:val="906"/>
          <w:rFonts w:ascii="宋体" w:hAnsi="宋体" w:cs="Calibri"/>
          <w:bCs/>
          <w:caps/>
          <w:color w:val="auto"/>
          <w:sz w:val="32"/>
        </w:rPr>
        <w:fldChar w:fldCharType="begin"/>
      </w:r>
      <w:r>
        <w:rPr>
          <w:rStyle w:val="906"/>
          <w:rFonts w:ascii="宋体" w:hAnsi="宋体" w:cs="Calibri"/>
          <w:bCs/>
          <w:caps/>
          <w:color w:val="auto"/>
          <w:sz w:val="32"/>
        </w:rPr>
        <w:instrText xml:space="preserve"> TOC \o "1-1" \h \z \u </w:instrText>
      </w:r>
      <w:r>
        <w:rPr>
          <w:rStyle w:val="906"/>
          <w:rFonts w:ascii="宋体" w:hAnsi="宋体" w:cs="Calibri"/>
          <w:bCs/>
          <w:caps/>
          <w:color w:val="auto"/>
          <w:sz w:val="32"/>
        </w:rPr>
        <w:fldChar w:fldCharType="separate"/>
      </w:r>
      <w:hyperlink w:tooltip="#_Toc105397776" w:anchor="_Toc105397776" w:history="1">
        <w:r>
          <w:rPr>
            <w:rStyle w:val="906"/>
            <w:rFonts w:ascii="宋体" w:hAnsi="宋体" w:cs="Calibri"/>
            <w:bCs/>
            <w:caps/>
            <w:color w:val="auto"/>
            <w:sz w:val="32"/>
            <w:szCs w:val="32"/>
          </w:rPr>
          <w:t xml:space="preserve">第一章 投标邀请函</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_Toc105397776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7" w:anchor="_Toc105397777" w:history="1">
        <w:r>
          <w:rPr>
            <w:rStyle w:val="906"/>
            <w:rFonts w:ascii="宋体" w:hAnsi="宋体" w:cs="Calibri"/>
            <w:bCs/>
            <w:caps/>
            <w:color w:val="auto"/>
            <w:sz w:val="32"/>
            <w:szCs w:val="32"/>
          </w:rPr>
          <w:t xml:space="preserve">第二章 投标人须知</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_Toc105397777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8" w:anchor="_Toc105397778" w:history="1">
        <w:r>
          <w:rPr>
            <w:rStyle w:val="906"/>
            <w:rFonts w:ascii="宋体" w:hAnsi="宋体" w:cs="Calibri"/>
            <w:bCs/>
            <w:caps/>
            <w:color w:val="auto"/>
            <w:sz w:val="32"/>
            <w:szCs w:val="32"/>
          </w:rPr>
          <w:t xml:space="preserve">第三章 投标文件格式</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_Toc105397778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20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3" w:anchor="_Toc105397793" w:history="1">
        <w:r>
          <w:rPr>
            <w:rStyle w:val="906"/>
            <w:rFonts w:ascii="宋体" w:hAnsi="宋体" w:cs="Calibri"/>
            <w:bCs/>
            <w:caps/>
            <w:color w:val="auto"/>
            <w:sz w:val="32"/>
            <w:szCs w:val="32"/>
          </w:rPr>
          <w:t xml:space="preserve">第四章 招标书</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_Toc105397793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33</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4" w:anchor="_Toc105397794" w:history="1">
        <w:r>
          <w:rPr>
            <w:rStyle w:val="906"/>
            <w:rFonts w:ascii="宋体" w:hAnsi="宋体" w:cs="Calibri"/>
            <w:bCs/>
            <w:caps/>
            <w:color w:val="auto"/>
            <w:sz w:val="32"/>
            <w:szCs w:val="32"/>
          </w:rPr>
          <w:t xml:space="preserve">第五章 合同及主要条款</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_Toc105397794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60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5" w:anchor="_Toc105397795" w:history="1">
        <w:r>
          <w:rPr>
            <w:rStyle w:val="906"/>
            <w:rFonts w:ascii="宋体" w:hAnsi="宋体" w:cs="Calibri"/>
            <w:bCs/>
            <w:caps/>
            <w:color w:val="auto"/>
            <w:sz w:val="32"/>
            <w:szCs w:val="32"/>
          </w:rPr>
          <w:t xml:space="preserve">第六章 评标办法和评分标准</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_Toc105397795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65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6" w:leader="dot"/>
        </w:tabs>
        <w:rPr>
          <w:rFonts w:ascii="宋体" w:hAnsi="宋体"/>
          <w:sz w:val="32"/>
          <w:szCs w:val="32"/>
        </w:rPr>
        <w:outlineLvl w:val="9"/>
      </w:pPr>
      <w:r>
        <w:rPr>
          <w:rStyle w:val="90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235" w:type="dxa"/>
        <w:tblInd w:w="108" w:type="dxa"/>
        <w:tblLayout w:type="fixed"/>
        <w:tblCellMar>
          <w:left w:w="0" w:type="dxa"/>
          <w:right w:w="0" w:type="dxa"/>
        </w:tblCellMar>
        <w:tblLook w:val="04A0" w:firstRow="1" w:lastRow="0" w:firstColumn="1" w:lastColumn="0" w:noHBand="0" w:noVBand="1"/>
      </w:tblPr>
      <w:tblGrid>
        <w:gridCol w:w="675"/>
        <w:gridCol w:w="1764"/>
        <w:gridCol w:w="7796"/>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JSZC-320500-JZCG-G2025-0407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苏州工业职业技术学院智能车间装备集成与应用技术虚拟仿真资源建设（第2期）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联系人：严工、谷工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联系人：吉绍山</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0512-66551285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pStyle w:val="107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1"/>
        <w:ind w:left="431" w:firstLine="17"/>
        <w:jc w:val="center"/>
        <w:spacing w:before="0" w:after="0" w:line="360" w:lineRule="auto"/>
        <w:rPr>
          <w:rStyle w:val="97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苏州工业职业技术学院智能车间装备集成与应用技术虚拟仿真资源建设（第2期）</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10月22日13点30分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JSZC-320500-JZCG-G2025-0407</w:t>
      </w:r>
      <w:r/>
    </w:p>
    <w:p>
      <w:pPr>
        <w:pStyle w:val="858"/>
        <w:ind w:left="0" w:firstLine="420"/>
        <w:spacing w:line="360" w:lineRule="auto"/>
        <w:rPr>
          <w:rFonts w:ascii="宋体" w:hAnsi="宋体"/>
          <w:sz w:val="21"/>
          <w:szCs w:val="21"/>
        </w:rPr>
      </w:pPr>
      <w:r>
        <w:rPr>
          <w:rFonts w:hint="eastAsia" w:ascii="宋体" w:hAnsi="宋体"/>
          <w:sz w:val="21"/>
          <w:szCs w:val="21"/>
        </w:rPr>
        <w:t xml:space="preserve">2.项目名称：苏州工业职业技术学院智能车间装备集成与应用技术虚拟仿真资源建设（第2期）</w:t>
      </w:r>
      <w:r/>
    </w:p>
    <w:p>
      <w:pPr>
        <w:pStyle w:val="85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8"/>
        <w:ind w:left="0" w:firstLine="420"/>
        <w:spacing w:line="360" w:lineRule="auto"/>
        <w:rPr>
          <w:rFonts w:ascii="宋体" w:hAnsi="宋体"/>
          <w:sz w:val="21"/>
          <w:szCs w:val="21"/>
        </w:rPr>
      </w:pPr>
      <w:r>
        <w:rPr>
          <w:rFonts w:hint="eastAsia" w:ascii="宋体" w:hAnsi="宋体"/>
          <w:sz w:val="21"/>
          <w:szCs w:val="21"/>
        </w:rPr>
        <w:t xml:space="preserve">4.预算金额：人民币壹佰万元整（￥1,</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pStyle w:val="858"/>
        <w:ind w:left="0" w:firstLine="420"/>
        <w:spacing w:line="360" w:lineRule="auto"/>
        <w:rPr>
          <w:rFonts w:ascii="宋体" w:hAnsi="宋体"/>
          <w:sz w:val="21"/>
          <w:szCs w:val="21"/>
        </w:rPr>
      </w:pPr>
      <w:r>
        <w:rPr>
          <w:rFonts w:hint="eastAsia" w:ascii="宋体" w:hAnsi="宋体"/>
          <w:sz w:val="21"/>
          <w:szCs w:val="21"/>
        </w:rPr>
        <w:t xml:space="preserve">5.最高限价：人民币壹佰万元整（￥1,</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hint="eastAsia" w:ascii="宋体" w:hAnsi="宋体"/>
          <w:sz w:val="21"/>
        </w:rPr>
      </w:pPr>
      <w:r>
        <w:rPr>
          <w:rFonts w:hint="eastAsia" w:ascii="宋体" w:hAnsi="宋体"/>
          <w:sz w:val="21"/>
          <w:szCs w:val="21"/>
        </w:rPr>
        <w:t xml:space="preserve">6.合同履行期</w:t>
      </w:r>
      <w:r>
        <w:rPr>
          <w:rFonts w:hint="eastAsia" w:ascii="宋体" w:hAnsi="宋体"/>
          <w:sz w:val="21"/>
          <w:szCs w:val="21"/>
        </w:rPr>
        <w:t xml:space="preserve">限：</w:t>
      </w:r>
      <w:r>
        <w:rPr>
          <w:rStyle w:val="907"/>
          <w:rFonts w:hint="eastAsia" w:ascii="宋体" w:hAnsi="宋体" w:cs="宋体"/>
          <w:sz w:val="21"/>
          <w:szCs w:val="21"/>
        </w:rPr>
        <w:t xml:space="preserve">合同签订后60日内完成基础内容的上线，并于2025年12月10日前完成所有项目内容交付。</w:t>
      </w:r>
      <w:r>
        <w:rPr>
          <w:rFonts w:hint="eastAsia" w:ascii="宋体" w:hAnsi="宋体"/>
          <w:color w:val="000000" w:themeColor="text1"/>
          <w:sz w:val="21"/>
          <w:szCs w:val="21"/>
        </w:rPr>
        <w:t xml:space="preserve">所有</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rPr>
        <w:t xml:space="preserve">提供免费质保期两年，自验收合格之日起计算。</w:t>
      </w:r>
      <w:r/>
    </w:p>
    <w:p>
      <w:pPr>
        <w:pStyle w:val="858"/>
        <w:ind w:left="0" w:firstLine="420"/>
        <w:spacing w:line="360" w:lineRule="auto"/>
        <w:rPr>
          <w:rFonts w:ascii="宋体" w:hAnsi="宋体"/>
          <w:sz w:val="21"/>
          <w:szCs w:val="21"/>
        </w:rPr>
      </w:pPr>
      <w:r>
        <w:rPr>
          <w:rFonts w:hint="eastAsia" w:ascii="宋体" w:hAnsi="宋体"/>
          <w:sz w:val="21"/>
          <w:szCs w:val="21"/>
        </w:rPr>
        <w:t xml:space="preserve">7.采购需求：苏州工业职业技术学院智能车间装备集成与应用技术虚拟仿真资源建设（第2期）（具体详见招标文件第四章）。</w:t>
      </w:r>
      <w:r/>
    </w:p>
    <w:p>
      <w:pPr>
        <w:pStyle w:val="85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8"/>
        <w:ind w:left="0" w:firstLine="420"/>
        <w:spacing w:line="360" w:lineRule="auto"/>
        <w:rPr>
          <w:rFonts w:ascii="宋体" w:hAnsi="宋体"/>
          <w:sz w:val="21"/>
          <w:szCs w:val="21"/>
        </w:rPr>
      </w:pPr>
      <w:r>
        <w:rPr>
          <w:rFonts w:hint="eastAsia" w:ascii="宋体" w:hAnsi="宋体"/>
          <w:sz w:val="21"/>
          <w:szCs w:val="21"/>
        </w:rPr>
        <w:t xml:space="preserve">2.地点：“苏采云”系统自行下载</w:t>
      </w:r>
      <w:r>
        <w:rPr>
          <w:rFonts w:hint="eastAsia" w:ascii="宋体" w:hAnsi="宋体"/>
          <w:sz w:val="21"/>
          <w:szCs w:val="21"/>
        </w:rPr>
        <w:t xml:space="preserve">招标文件</w:t>
      </w:r>
      <w:r/>
    </w:p>
    <w:p>
      <w:pPr>
        <w:pStyle w:val="858"/>
        <w:ind w:left="0" w:firstLine="420"/>
        <w:spacing w:line="360" w:lineRule="auto"/>
        <w:rPr>
          <w:rFonts w:ascii="宋体" w:hAnsi="宋体"/>
          <w:sz w:val="21"/>
          <w:szCs w:val="21"/>
        </w:rPr>
      </w:pPr>
      <w:r>
        <w:rPr>
          <w:rFonts w:hint="eastAsia" w:ascii="宋体" w:hAnsi="宋体"/>
          <w:sz w:val="21"/>
          <w:szCs w:val="21"/>
        </w:rPr>
        <w:t xml:space="preserve">3.方式：</w:t>
      </w:r>
      <w:r/>
    </w:p>
    <w:p>
      <w:pPr>
        <w:pStyle w:val="85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5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5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月22</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5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5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8"/>
        <w:ind w:left="0" w:firstLine="420"/>
        <w:spacing w:line="360" w:lineRule="auto"/>
        <w:rPr>
          <w:rFonts w:ascii="宋体" w:hAnsi="宋体"/>
          <w:sz w:val="21"/>
          <w:szCs w:val="21"/>
        </w:rPr>
      </w:pPr>
      <w:r>
        <w:rPr>
          <w:rFonts w:hint="eastAsia" w:ascii="宋体" w:hAnsi="宋体"/>
          <w:sz w:val="21"/>
          <w:szCs w:val="21"/>
        </w:rPr>
        <w:t xml:space="preserve">名称：苏州工业职业技术学院</w:t>
      </w:r>
      <w:r/>
    </w:p>
    <w:p>
      <w:pPr>
        <w:pStyle w:val="858"/>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858"/>
        <w:ind w:left="0" w:firstLine="420"/>
        <w:spacing w:line="360" w:lineRule="auto"/>
        <w:rPr>
          <w:rFonts w:ascii="宋体" w:hAnsi="宋体"/>
          <w:sz w:val="21"/>
          <w:szCs w:val="21"/>
        </w:rPr>
      </w:pPr>
      <w:r>
        <w:rPr>
          <w:rFonts w:hint="eastAsia" w:ascii="宋体" w:hAnsi="宋体"/>
          <w:sz w:val="21"/>
          <w:szCs w:val="21"/>
        </w:rPr>
        <w:t xml:space="preserve">联系人：吉绍山</w:t>
      </w:r>
      <w:r/>
    </w:p>
    <w:p>
      <w:pPr>
        <w:pStyle w:val="858"/>
        <w:ind w:left="0" w:firstLine="420"/>
        <w:spacing w:line="360" w:lineRule="auto"/>
        <w:rPr>
          <w:rFonts w:ascii="宋体" w:hAnsi="宋体"/>
          <w:sz w:val="21"/>
          <w:szCs w:val="21"/>
        </w:rPr>
      </w:pPr>
      <w:r>
        <w:rPr>
          <w:rFonts w:hint="eastAsia" w:ascii="宋体" w:hAnsi="宋体"/>
          <w:sz w:val="21"/>
          <w:szCs w:val="21"/>
        </w:rPr>
        <w:t xml:space="preserve">联系电话：0512-66551285</w:t>
      </w:r>
      <w:r/>
    </w:p>
    <w:p>
      <w:pPr>
        <w:pStyle w:val="85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p>
      <w:pPr>
        <w:pStyle w:val="85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8"/>
        <w:ind w:left="0" w:firstLine="420"/>
        <w:spacing w:line="360" w:lineRule="auto"/>
        <w:rPr>
          <w:rFonts w:ascii="宋体" w:hAnsi="宋体"/>
          <w:sz w:val="21"/>
          <w:szCs w:val="21"/>
        </w:rPr>
      </w:pPr>
      <w:r>
        <w:rPr>
          <w:rFonts w:hint="eastAsia" w:ascii="宋体" w:hAnsi="宋体"/>
          <w:sz w:val="21"/>
          <w:szCs w:val="21"/>
        </w:rPr>
        <w:t xml:space="preserve">项目联系人：严工、谷工</w:t>
      </w:r>
      <w:r/>
    </w:p>
    <w:p>
      <w:pPr>
        <w:pStyle w:val="85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0512-69820896</w:t>
      </w:r>
      <w:r>
        <w:rPr>
          <w:rFonts w:hint="eastAsia" w:ascii="宋体" w:hAnsi="宋体"/>
          <w:sz w:val="21"/>
          <w:szCs w:val="21"/>
        </w:rPr>
        <w:t xml:space="preserve">、6</w:t>
      </w:r>
      <w:r>
        <w:rPr>
          <w:rFonts w:ascii="宋体" w:hAnsi="宋体"/>
          <w:sz w:val="21"/>
          <w:szCs w:val="21"/>
        </w:rPr>
        <w:t xml:space="preserve">9820888</w:t>
      </w:r>
      <w:r/>
    </w:p>
    <w:p>
      <w:pPr>
        <w:pStyle w:val="867"/>
      </w:pPr>
      <w:r>
        <w:br w:type="page" w:clear="all"/>
      </w:r>
      <w:r/>
    </w:p>
    <w:p>
      <w:pPr>
        <w:pStyle w:val="841"/>
        <w:ind w:left="0" w:firstLine="0"/>
        <w:jc w:val="center"/>
        <w:rPr>
          <w:rFonts w:ascii="宋体" w:hAnsi="宋体"/>
          <w:b/>
          <w:sz w:val="44"/>
          <w:szCs w:val="22"/>
        </w:rPr>
      </w:pPr>
      <w:r/>
      <w:bookmarkStart w:id="6" w:name="_Toc6217"/>
      <w:r/>
      <w:bookmarkStart w:id="7" w:name="_Toc2412"/>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58"/>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58"/>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5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8"/>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5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58"/>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5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5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5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8"/>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0512-69820894</w:t>
      </w:r>
      <w:r/>
    </w:p>
    <w:p>
      <w:pPr>
        <w:pStyle w:val="85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5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5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5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2837"/>
      <w:r/>
      <w:bookmarkStart w:id="2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color w:val="000000" w:themeColor="text1"/>
          <w:sz w:val="21"/>
          <w:szCs w:val="21"/>
        </w:rPr>
      </w:pPr>
      <w:r/>
      <w:bookmarkStart w:id="24" w:name="OLE_LINK20"/>
      <w:r/>
      <w:bookmarkStart w:id="2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26" w:name="OLE_LINK6"/>
      <w:r/>
      <w:bookmarkStart w:id="27" w:name="OLE_LINK5"/>
      <w:r>
        <w:rPr>
          <w:rFonts w:hint="eastAsia" w:ascii="宋体" w:hAnsi="宋体" w:cs="宋体"/>
          <w:b/>
          <w:color w:val="000000" w:themeColor="text1"/>
          <w:sz w:val="21"/>
          <w:szCs w:val="21"/>
          <w:lang w:val="en-US"/>
        </w:rPr>
        <w:t xml:space="preserve">评标</w:t>
      </w:r>
      <w:bookmarkEnd w:id="26"/>
      <w:r/>
      <w:bookmarkEnd w:id="27"/>
      <w:r>
        <w:rPr>
          <w:rFonts w:hint="eastAsia" w:ascii="宋体" w:hAnsi="宋体" w:cs="宋体"/>
          <w:b/>
          <w:color w:val="000000" w:themeColor="text1"/>
          <w:sz w:val="21"/>
          <w:szCs w:val="21"/>
          <w:lang w:val="en-US"/>
        </w:rPr>
        <w:t xml:space="preserve">委员会应当启动异常低价投标审查程序：</w:t>
      </w:r>
      <w:r/>
    </w:p>
    <w:p>
      <w:pPr>
        <w:pStyle w:val="107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7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5"/>
        <w:ind w:left="0" w:firstLine="422"/>
        <w:spacing w:line="360" w:lineRule="auto"/>
        <w:rPr>
          <w:rFonts w:ascii="宋体" w:hAnsi="宋体" w:cs="宋体"/>
          <w:b/>
          <w:color w:val="000000" w:themeColor="text1"/>
          <w:sz w:val="21"/>
          <w:szCs w:val="21"/>
          <w:lang w:val="en-US"/>
        </w:rPr>
      </w:pPr>
      <w:r/>
      <w:bookmarkStart w:id="28" w:name="OLE_LINK4"/>
      <w:r/>
      <w:bookmarkStart w:id="29" w:name="OLE_LINK3"/>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rPr>
        <w:t xml:space="preserve">评标委员会</w:t>
      </w:r>
      <w:bookmarkEnd w:id="30"/>
      <w:r/>
      <w:bookmarkEnd w:id="31"/>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rPr>
        <w:t xml:space="preserve">，</w:t>
      </w:r>
      <w:bookmarkEnd w:id="32"/>
      <w:r/>
      <w:bookmarkEnd w:id="33"/>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4" w:name="OLE_LINK7"/>
      <w:r/>
      <w:bookmarkStart w:id="35" w:name="OLE_LINK8"/>
      <w:r>
        <w:rPr>
          <w:rFonts w:hint="eastAsia" w:ascii="宋体" w:hAnsi="宋体"/>
          <w:b/>
          <w:color w:val="000000" w:themeColor="text1"/>
          <w:sz w:val="21"/>
          <w:szCs w:val="21"/>
        </w:rPr>
        <w:t xml:space="preserve">薪资</w:t>
      </w:r>
      <w:bookmarkEnd w:id="34"/>
      <w:r/>
      <w:bookmarkEnd w:id="35"/>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7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9501"/>
      <w:r/>
      <w:bookmarkStart w:id="37" w:name="_Toc18442"/>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07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8186"/>
      <w:r/>
      <w:bookmarkStart w:id="39" w:name="_Toc21029"/>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ascii="宋体" w:hAnsi="宋体" w:cs="宋体"/>
          <w:sz w:val="21"/>
          <w:szCs w:val="21"/>
        </w:rPr>
      </w:pPr>
      <w:r>
        <w:rPr>
          <w:rFonts w:ascii="宋体" w:hAnsi="宋体" w:cs="宋体"/>
          <w:sz w:val="21"/>
          <w:szCs w:val="21"/>
        </w:rPr>
      </w:r>
      <w:r/>
    </w:p>
    <w:p>
      <w:pPr>
        <w:pStyle w:val="841"/>
        <w:ind w:left="0" w:firstLine="0"/>
        <w:jc w:val="center"/>
        <w:rPr>
          <w:rFonts w:ascii="宋体" w:hAnsi="宋体"/>
          <w:sz w:val="21"/>
          <w:szCs w:val="21"/>
          <w:lang w:val="zh-CN"/>
        </w:rPr>
      </w:pPr>
      <w:r/>
      <w:bookmarkStart w:id="40" w:name="_Toc7264"/>
      <w:r/>
      <w:bookmarkStart w:id="41" w:name="_Toc24711"/>
      <w:r/>
      <w:bookmarkStart w:id="42" w:name="_Toc105397778"/>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07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71810480"/>
      <w:r/>
      <w:bookmarkStart w:id="46" w:name="_Toc17036"/>
      <w:r/>
      <w:bookmarkStart w:id="47" w:name="_Toc3821"/>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71810481"/>
      <w:r/>
      <w:bookmarkStart w:id="4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6"/>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.公开分项报价</w:t>
      </w:r>
      <w:bookmarkEnd w:id="61"/>
      <w:r/>
      <w:bookmarkEnd w:id="62"/>
      <w:r/>
      <w:r/>
    </w:p>
    <w:p>
      <w:pPr>
        <w:pStyle w:val="867"/>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105397782"/>
      <w:r/>
      <w:bookmarkStart w:id="6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9621"/>
      <w:r/>
      <w:bookmarkStart w:id="66" w:name="_Toc71810484"/>
      <w:r/>
      <w:bookmarkStart w:id="67" w:name="_Toc21574"/>
      <w:r/>
      <w:bookmarkStart w:id="68"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（苏州工业职业技术学院）</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u w:val="single"/>
        </w:rPr>
        <w:t xml:space="preserve">苏州工业职业技术学院智能车间装备集成与应用技术虚拟仿真资源建设（第2期）</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u w:val="single"/>
        </w:rPr>
        <w:t xml:space="preserve">苏州工业职业技术学院智能车间装备集成与应用技术虚拟仿真资源建设（第2期）</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2206"/>
      <w:r/>
      <w:bookmarkStart w:id="7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0"/>
        <w:ind w:left="0" w:firstLine="0"/>
        <w:rPr>
          <w:rFonts w:ascii="宋体" w:hAnsi="宋体"/>
          <w:b/>
          <w:lang w:val="zh-CN"/>
        </w:rPr>
      </w:pPr>
      <w:r>
        <w:rPr>
          <w:rFonts w:ascii="宋体" w:hAnsi="宋体"/>
          <w:b/>
          <w:lang w:val="zh-CN"/>
        </w:rPr>
      </w:r>
      <w:r/>
    </w:p>
    <w:p>
      <w:pPr>
        <w:pStyle w:val="90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b/>
          <w:sz w:val="21"/>
          <w:szCs w:val="21"/>
        </w:rPr>
        <w:t xml:space="preserve">偏离表（技术、商务）</w:t>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6" w:name="_Toc27138"/>
      <w:r/>
      <w:bookmarkStart w:id="77" w:name="_Toc31973"/>
      <w:r>
        <w:rPr>
          <w:rFonts w:ascii="宋体" w:hAnsi="宋体"/>
          <w:sz w:val="21"/>
          <w:szCs w:val="21"/>
        </w:rPr>
        <w:t xml:space="preserve"> </w:t>
      </w:r>
      <w:r/>
    </w:p>
    <w:p>
      <w:pPr>
        <w:pStyle w:val="86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1" w:name="_Toc105397788"/>
      <w:r/>
      <w:bookmarkStart w:id="82" w:name="_Toc71810490"/>
      <w:r/>
      <w:bookmarkEnd w:id="76"/>
      <w:r/>
      <w:bookmarkEnd w:id="7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ascii="宋体" w:hAnsi="宋体"/>
        </w:rPr>
      </w:pPr>
      <w:r>
        <w:rPr>
          <w:rFonts w:ascii="宋体" w:hAnsi="宋体"/>
        </w:rPr>
      </w:r>
      <w:r/>
    </w:p>
    <w:p>
      <w:pPr>
        <w:pStyle w:val="8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4" w:name="OLE_LINK24"/>
      <w:r/>
      <w:bookmarkStart w:id="85" w:name="OLE_LINK21"/>
      <w:r/>
      <w:bookmarkStart w:id="86" w:name="OLE_LINK23"/>
      <w:r>
        <w:rPr>
          <w:rFonts w:hint="eastAsia" w:ascii="宋体" w:hAnsi="宋体"/>
          <w:b/>
          <w:color w:val="000000" w:themeColor="text1"/>
          <w:sz w:val="21"/>
          <w:szCs w:val="21"/>
          <w:lang w:val="zh-CN"/>
        </w:rPr>
        <w:t xml:space="preserve">备注:根据招标文件第二章“投标人须知”第26.4</w:t>
      </w:r>
      <w:bookmarkStart w:id="87"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7"/>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88" w:name="OLE_LINK18"/>
      <w:r/>
      <w:bookmarkStart w:id="89" w:name="OLE_LINK19"/>
      <w:r>
        <w:rPr>
          <w:rFonts w:hint="eastAsia" w:ascii="宋体" w:hAnsi="宋体"/>
          <w:b/>
          <w:color w:val="000000" w:themeColor="text1"/>
          <w:sz w:val="21"/>
          <w:szCs w:val="21"/>
          <w:lang w:val="zh-CN"/>
        </w:rPr>
        <w:t xml:space="preserve">评标委员会</w:t>
      </w:r>
      <w:bookmarkEnd w:id="88"/>
      <w:r/>
      <w:bookmarkEnd w:id="89"/>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4"/>
      <w:bookmarkEnd w:id="85"/>
      <w:bookmarkEnd w:id="8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pStyle w:val="841"/>
        <w:ind w:left="0" w:firstLine="0"/>
        <w:jc w:val="center"/>
        <w:rPr>
          <w:rFonts w:ascii="宋体" w:hAnsi="宋体"/>
          <w:b/>
          <w:sz w:val="44"/>
          <w:szCs w:val="22"/>
        </w:rPr>
      </w:pPr>
      <w:r/>
      <w:bookmarkStart w:id="90" w:name="_Toc4098"/>
      <w:r/>
      <w:bookmarkStart w:id="91" w:name="_Toc23660"/>
      <w:r/>
      <w:bookmarkStart w:id="92" w:name="_Toc105397793"/>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苏州工业职业技术学院</w:t>
      </w:r>
      <w:r>
        <w:rPr>
          <w:rFonts w:ascii="宋体" w:hAnsi="宋体"/>
          <w:sz w:val="21"/>
        </w:rPr>
        <w:t xml:space="preserve">的委托，就</w:t>
      </w:r>
      <w:r>
        <w:rPr>
          <w:rFonts w:hint="eastAsia" w:ascii="宋体" w:hAnsi="宋体"/>
          <w:sz w:val="21"/>
          <w:u w:val="single"/>
        </w:rPr>
        <w:t xml:space="preserve">苏州工业职业技术学院智能车间装备集成与应用技术虚拟仿真资源建设（第2期）</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JSZC-320500-JZCG-G2025-0407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二、项目名称：苏州工业职业技术学院智能车间装备集成与应用技术虚拟仿真资源建设（第2期）</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人民币壹佰万元整（￥1,</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人民币壹佰万元整（￥1,</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Style w:val="907"/>
          <w:rFonts w:hint="eastAsia" w:ascii="宋体" w:hAnsi="宋体" w:cs="宋体"/>
          <w:sz w:val="21"/>
          <w:szCs w:val="21"/>
        </w:rPr>
        <w:t xml:space="preserve">合同签订后60日内完成基础内容的上线，并于2025年12月10日前完成所有项目内容交付。</w:t>
      </w:r>
      <w:r>
        <w:rPr>
          <w:rFonts w:hint="eastAsia" w:ascii="宋体" w:hAnsi="宋体"/>
          <w:color w:val="000000" w:themeColor="text1"/>
          <w:sz w:val="21"/>
          <w:szCs w:val="21"/>
        </w:rPr>
        <w:t xml:space="preserve">所有</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rPr>
        <w:t xml:space="preserve">提供免费质保期两年，自验收合格之日起计算。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2"/>
        <w:gridCol w:w="5973"/>
        <w:gridCol w:w="977"/>
        <w:gridCol w:w="992"/>
      </w:tblGrid>
      <w:tr>
        <w:trPr>
          <w:jc w:val="center"/>
          <w:trHeight w:val="562"/>
        </w:trPr>
        <w:tc>
          <w:tcPr>
            <w:tcW w:w="70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序号</w:t>
            </w:r>
            <w:r/>
          </w:p>
        </w:tc>
        <w:tc>
          <w:tcPr>
            <w:tcW w:w="1272"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设备名称</w:t>
            </w:r>
            <w:r/>
          </w:p>
        </w:tc>
        <w:tc>
          <w:tcPr>
            <w:tcW w:w="597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参数及技术指标</w:t>
            </w:r>
            <w:r/>
          </w:p>
        </w:tc>
        <w:tc>
          <w:tcPr>
            <w:tcW w:w="977"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单位</w:t>
            </w:r>
            <w:r/>
          </w:p>
        </w:tc>
        <w:tc>
          <w:tcPr>
            <w:tcW w:w="992"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数量</w:t>
            </w:r>
            <w:r/>
          </w:p>
        </w:tc>
      </w:tr>
      <w:tr>
        <w:trPr>
          <w:jc w:val="center"/>
        </w:trPr>
        <w:tc>
          <w:tcPr>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01</w:t>
            </w:r>
            <w:r/>
          </w:p>
        </w:tc>
        <w:tc>
          <w:tcPr>
            <w:tcW w:w="1272" w:type="dxa"/>
            <w:vAlign w:val="center"/>
            <w:textDirection w:val="lrTb"/>
            <w:noWrap w:val="false"/>
          </w:tcPr>
          <w:p>
            <w:pPr>
              <w:ind w:left="0"/>
              <w:jc w:val="center"/>
              <w:widowControl w:val="off"/>
              <w:rPr>
                <w:rFonts w:ascii="宋体" w:hAnsi="宋体" w:cs="Times New Roman"/>
                <w:sz w:val="21"/>
                <w:szCs w:val="21"/>
              </w:rPr>
            </w:pPr>
            <w:r>
              <w:rPr>
                <w:rFonts w:ascii="宋体" w:hAnsi="宋体"/>
                <w:color w:val="000000"/>
                <w:sz w:val="21"/>
                <w:szCs w:val="21"/>
              </w:rPr>
              <w:t xml:space="preserve">《激光加工</w:t>
            </w:r>
            <w:r>
              <w:rPr>
                <w:rFonts w:hint="eastAsia" w:ascii="宋体" w:hAnsi="宋体"/>
                <w:color w:val="000000"/>
                <w:sz w:val="21"/>
                <w:szCs w:val="21"/>
              </w:rPr>
              <w:t xml:space="preserve">技术</w:t>
            </w:r>
            <w:r>
              <w:rPr>
                <w:rFonts w:ascii="宋体" w:hAnsi="宋体"/>
                <w:color w:val="000000"/>
                <w:sz w:val="21"/>
                <w:szCs w:val="21"/>
              </w:rPr>
              <w:t xml:space="preserve">虚拟仿真》</w:t>
            </w:r>
            <w:r/>
          </w:p>
        </w:tc>
        <w:tc>
          <w:tcPr>
            <w:tcW w:w="5973" w:type="dxa"/>
            <w:vAlign w:val="center"/>
            <w:textDirection w:val="lrTb"/>
            <w:noWrap w:val="false"/>
          </w:tcPr>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软件基于B/S结构设计，支持</w:t>
            </w:r>
            <w:r>
              <w:rPr>
                <w:rFonts w:hint="eastAsia" w:ascii="宋体" w:hAnsi="宋体"/>
                <w:color w:val="000000"/>
                <w:sz w:val="21"/>
                <w:szCs w:val="21"/>
              </w:rPr>
              <w:t xml:space="preserve">Win</w:t>
            </w:r>
            <w:r>
              <w:rPr>
                <w:rFonts w:hint="eastAsia" w:ascii="宋体" w:hAnsi="宋体"/>
                <w:color w:val="000000"/>
                <w:sz w:val="21"/>
                <w:szCs w:val="21"/>
              </w:rPr>
              <w:t xml:space="preserve">7 64位及以上版本Windows系统电脑端直接运行。</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一、设备模型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软件通过三维建模技术，对真实设备进行1：1建模还原，基于Substance Painter进行PBR材质贴图制作并在数字孪生引擎中进行实时渲染，进行设备结构与视觉效果的展示还原。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1.模型制作要求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虚拟环境及虚拟物体的三维模型制作要以真实设备为原型，进行高度仿真建模，对模型的比例、单位、坐标、面数、布线、法线、命名方式和格式转换都需要按照标准执行及制作。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建模单位采用毫米（mm），按实际规格及尺</w:t>
            </w:r>
            <w:r>
              <w:rPr>
                <w:rFonts w:hint="eastAsia" w:ascii="宋体" w:hAnsi="宋体"/>
                <w:color w:val="000000"/>
                <w:sz w:val="21"/>
                <w:szCs w:val="21"/>
              </w:rPr>
              <w:t xml:space="preserve">寸进行制作，模型坐标需和自身中心点重合（无特殊要求时），制作的模型既要保证模型整体相对比例正确，还需保证和实际尺寸大小一致，模型场景以软件原点为基准，即X,Y,Z坐标轴归零，方便各设计开发软件之间的转换。模型需要单独命名，格式可为“lingjianbuwei-01”，以数字序号排列。模型布线以四边形布线为主，避免出现不平滑的面。面数在符合要求的情况下要尽可能少，且不可出现重面、破面、乱面、乱点等情况。模型法线不能出现法线翻转的情况。模型导出格式为Babylon，需包含模型和贴图，摄像机灯光等其余物件不能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2.渲染效果要求：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2.1材质贴图：采用基于物理属性的PBR写实贴图。PBR写实贴图包含有纹理贴图、金属光滑度贴图、法线贴图、AO贴图等。其中纹理贴图用于表现材质的外貌特征；金属光滑度贴图则用于表现其对光做出反应的物理特性，而法线贴图丰富纹理凹凸等细节， AO进一步表现物体的立体真实感。四大核心贴图将物</w:t>
            </w:r>
            <w:r>
              <w:rPr>
                <w:rFonts w:hint="eastAsia" w:ascii="宋体" w:hAnsi="宋体"/>
                <w:color w:val="000000"/>
                <w:sz w:val="21"/>
                <w:szCs w:val="21"/>
              </w:rPr>
              <w:t xml:space="preserve">体的特性表现逼真</w:t>
            </w:r>
            <w:r>
              <w:rPr>
                <w:rFonts w:hint="eastAsia" w:ascii="宋体" w:hAnsi="宋体"/>
                <w:color w:val="000000"/>
                <w:sz w:val="21"/>
                <w:szCs w:val="21"/>
              </w:rPr>
              <w:t xml:space="preserve">。</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2.2灯光烘焙：根据项目不同选择不同的灯光形式，保证效果真实以及软件的流畅度。一张光照贴图保证在1024分辨率左右。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3.场景模型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3.1虚拟场景：通过三维建模及渲染技术营造出真实的实验室场景，场景内可见门窗、讲台等基本设施设备。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设备模型：激光纹理加工设备组件包含机床工具、手持操作盒、机床状态指示器方和玻璃、屏幕、激光和电机紧急按钮等外部结构以及机床五轴、激光头、数控单元、机床遥控器、信号灯、冷却系统、除尘系统等内部结构。</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二、软件功能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虚拟仿真采用自主研发的虚拟现实引擎进行功能开发，包括激光纹理加工设备认知、激光纹理加工设备的检查与调试、激光纹理加工设备操作、激光纹理加工设备的维护保养认知与操作四部分内容。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1.激光纹理加工设备认知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1.1工艺原理认知：通过3-5分钟典型零件加工案例视频虚拟加工视频，了解从设备开机、打开激光器、启动数控软件、机床轴返回基准点、加工到加工完成设备关机的整个工作流。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1.2设备部件认知：标记每个部件的名称和作用，提供引出线、爆炸图、透明隐藏等功能，可对单体部件进行详细结构认知。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1.3设置单独观察模式，可自主对模型进行缩放、平移、旋转等操作。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1.4需要认知的内容需包括：机床五轴轴线运动、激光头、数控单元、机床遥控器、信号灯、冷却系统、除尘系统等。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1.4.1功能认知需提供虚拟三维模型动画，配合文字、语音进行学习。如：机床五轴的运动，提供虚拟设备的X、Y、Z、A、B轴运动动作。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1.4.2激光头需包含内部详细结构：吹喷嘴、控制摄像机高清、光学/激光税退出、可伸缩探头、吸气喷嘴等。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1.4.3数控单元、机床遥控器等内含界面按钮设备，需对每个功能按钮进行功能介绍。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1.4.4信号灯认知内容包括灯的状态与对应的机床状态以及可能原因的映照学习。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1.5提供答题闯关，设置5-10道单选、多选、判断等类型题目。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2.激光纹理加工设备的检查与调试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激光纹理加工设备的检查与调试包括三部分内容：安全防护准备、校准探头、光学校准。</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2.1安全防护准备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2.1.1防护用具选择</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通过二维UI形式选择正确的防护用具，了解防护装配的重要性。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2.1.2警告符号学习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学习常见警告符号表达的安全指示信息。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2.1.3激光危险性学习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通过场景中文字面板阅读等形式，了解激光危险性相关知识。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2.1.4急停操作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通过文字、语音、高亮等提示，进行交互操作，学习遇到突发情况的急停操作。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2.2校准探头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点击模块后进入虚拟实验场景，用户根据软件提供的文字、高亮以及语音等提示进行操作，操作正确后显示操作内容动画，重复操作直至完成校准探头实训。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校准探头流程包含以下内容：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（1）校准探针长度；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（2）接触式探针球的校准；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（3）设置探头与激光束之间的距离；</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2.3光学校准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点击模块后进入虚拟实验场景，用户根据软件提供的文字、高亮以及语音等提示进行操作，操作正确后显示操作内容动画，重复操作直至完成光学校准实训。</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光学校准流程包含以下内容：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（1）准备；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（2）机床预热；</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（3）校准焦距；</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（4）几何检查；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（5）焦点移位；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（6）设置雕刻参数；</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（7）校准标记区域；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（8）校准Z标记区域；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（9）设置心轴中心；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（10）校准接触式探头；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（11）A轴线转动修正；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（12）校准摄像；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（13）机床验证工件。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3.激光纹理加工操作</w:t>
            </w:r>
            <w:r/>
          </w:p>
          <w:p>
            <w:pPr>
              <w:ind w:left="0"/>
              <w:spacing w:line="288" w:lineRule="auto"/>
              <w:widowControl w:val="off"/>
              <w:rPr>
                <w:rFonts w:ascii="宋体" w:hAnsi="宋体"/>
                <w:color w:val="000000"/>
                <w:sz w:val="21"/>
                <w:szCs w:val="21"/>
              </w:rPr>
            </w:pPr>
            <w:r>
              <w:rPr>
                <w:rFonts w:hint="eastAsia" w:ascii="宋体" w:hAnsi="宋体"/>
                <w:color w:val="ff0000"/>
                <w:sz w:val="21"/>
                <w:szCs w:val="21"/>
              </w:rPr>
              <w:t xml:space="preserve">激光纹理加工操作包括4个加工案例实训：2D加工、2.5D加工、3D加工、多轴纹理加工。</w:t>
            </w:r>
            <w:r>
              <w:rPr>
                <w:rFonts w:hint="eastAsia" w:ascii="宋体" w:hAnsi="宋体"/>
                <w:color w:val="000000"/>
                <w:sz w:val="21"/>
                <w:szCs w:val="21"/>
              </w:rPr>
              <w:t xml:space="preserve">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3.1点击模块后进入虚拟实验场景，用户根据软件提供的文字、高亮以及语音等提示进行设备以及软件操作，操作正确后显示操作内容动画，重复操作直至完成加工案例实训。</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3.2加工案例实训流程包括：常规安全防护准备、加工前的准备、加工和零件的处理、设备清洁等。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4.激光纹理加工设备的维护保养认知与操作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激光纹理加工设备的维护保养认知与操作模块内容包括日常检</w:t>
            </w:r>
            <w:r>
              <w:rPr>
                <w:rFonts w:hint="eastAsia" w:ascii="宋体" w:hAnsi="宋体"/>
                <w:color w:val="000000"/>
                <w:sz w:val="21"/>
                <w:szCs w:val="21"/>
              </w:rPr>
              <w:t xml:space="preserve">查与维护、年度检查与维护。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设置维护保养清单，用户根据操作提示，选择正确的工具，完成维护保养操作。</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4.1日常检查与维护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日常检查与维护项包括：常规设备保养、检查机床玻璃状况、清洁保护玻璃、清洁机床内部灰尘、ULT LAS 300清洁模式的控制、清空或更换排尘器集尘盒。</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4.2年度检查与维护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年度检查与维护项包括：清洁机床控制台、清洁空气干燥器、清洁激光源、清洁开关盒的空调过滤器、清洁热交换器过滤器。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5.模块化案例教学：设置不同的仿真模块，可根据教学需求选择对应模块案例进行学习，也可直接用于仿真实训。</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6.即学即练：可选择不同的实训项目，根据高亮、文字、语音等提示，一步步完成实验操作流程，同步伴随操作说明，帮助学生在学习的同时进行仿真操作练习。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7.练习模式：虚拟仿真软件提供人性化的操作方式，简便、快捷、明了，有充分的提示引导信息，如以高亮或手形图标结合说明文字提示下一步操作。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8.智能考核：考核形式包括题目考核与操作实训考核两部分内容。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其中题目考核形式包括单选题、多选题以及判断题；操作实训考核包括：安全防护准备、激光纹理加工操作以及激光纹理加工设备的维护保养认知与操作三大部分内容。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考试模式中屏蔽了操作提示，并对学生的每一步操作的正确性进行自动记录、评估、计分，并输出和提交详细的考核记录单。</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三、辅助功能</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自主开发：所有能够由用户自定义的参数均应向用户开放，如所有的说明文字、配置参数均应可通过引擎驱动，包括软件功能参数也可通过引擎驱动。用户可在工程中对自定义开放参数进行修改，保存后重新发布，修改内容立即生效。</w:t>
            </w:r>
            <w:r/>
          </w:p>
          <w:p>
            <w:pPr>
              <w:ind w:left="0"/>
              <w:spacing w:line="288" w:lineRule="auto"/>
              <w:widowControl w:val="off"/>
              <w:rPr>
                <w:rFonts w:ascii="宋体" w:hAnsi="宋体"/>
                <w:color w:val="000000"/>
                <w:sz w:val="21"/>
                <w:szCs w:val="21"/>
              </w:rPr>
            </w:pPr>
            <w:r>
              <w:rPr>
                <w:rFonts w:hint="eastAsia" w:ascii="宋体" w:hAnsi="宋体"/>
                <w:b/>
                <w:color w:val="000000"/>
                <w:sz w:val="21"/>
                <w:szCs w:val="21"/>
              </w:rPr>
              <w:t xml:space="preserve">四、虚拟仿真开发平台功能</w:t>
            </w:r>
            <w:r>
              <w:rPr>
                <w:rFonts w:hint="eastAsia" w:ascii="宋体" w:hAnsi="宋体"/>
                <w:b/>
                <w:color w:val="000000"/>
                <w:sz w:val="21"/>
                <w:szCs w:val="21"/>
              </w:rPr>
              <w:br/>
            </w:r>
            <w:r>
              <w:rPr>
                <w:rFonts w:hint="eastAsia" w:ascii="宋体" w:hAnsi="宋体"/>
                <w:sz w:val="21"/>
                <w:szCs w:val="21"/>
              </w:rPr>
              <w:t xml:space="preserve">●</w:t>
            </w:r>
            <w:r>
              <w:rPr>
                <w:rFonts w:hint="eastAsia" w:ascii="宋体" w:hAnsi="宋体"/>
                <w:color w:val="000000"/>
                <w:sz w:val="21"/>
                <w:szCs w:val="21"/>
              </w:rPr>
              <w:t xml:space="preserve">1.网页在线开发：虚拟仿真开发平台需是基于HTML5和WebGL的虚拟仿真软件开发平台，无需安装任何第三方软件，直接使用浏览器打开网页即可进行虚拟仿真软件功能开发。</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2.跨平台运行：虚拟仿真开发平台需是基于浏览器的开发平台，通过情境化教学引擎开发的作品支持跨平台跨终端运行。</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3.网页版零起点开发：虚拟仿真开发平台需摒弃计算机语言的程序代码开发，在网页版虚拟仿真开发平台中选择使用网页版可视化逻辑图、网页版可编辑表格或网页版低代码等进行功能开发，同时还支持友好的界面操作。</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五、相关软件功能</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（一）三维激光扫描虚拟仿真实验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可在windows系统电脑端浏览器直接运行，可支持的浏览器需包含：谷歌浏览器、火狐浏览器、Microsoft Edge 浏览器等。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虚拟场景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1.虚拟设备</w:t>
            </w:r>
            <w:r>
              <w:rPr>
                <w:rFonts w:hint="eastAsia" w:ascii="宋体" w:hAnsi="宋体"/>
                <w:color w:val="000000"/>
                <w:sz w:val="21"/>
                <w:szCs w:val="21"/>
              </w:rPr>
              <w:t xml:space="preserve">：</w:t>
            </w:r>
            <w:r>
              <w:rPr>
                <w:rFonts w:hint="eastAsia" w:ascii="宋体" w:hAnsi="宋体"/>
                <w:color w:val="ff0000"/>
                <w:sz w:val="21"/>
                <w:szCs w:val="21"/>
              </w:rPr>
              <w:t xml:space="preserve">三维激光扫描仪</w:t>
            </w:r>
            <w:r>
              <w:rPr>
                <w:rFonts w:hint="eastAsia" w:ascii="宋体" w:hAnsi="宋体"/>
                <w:color w:val="000000"/>
                <w:sz w:val="21"/>
                <w:szCs w:val="21"/>
              </w:rPr>
              <w:t xml:space="preserve">，设备模型外形尺寸以及显示屏幕与真实模型完全相同，并拥有高度逼真的外观。表面可见结构、零部件与真实设备一致。</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2.虚拟场景：进入教练模式后，即进入逼真的环境：如实验室环境、储油洞穴。其中实验室包含门窗、桌子、黑板等设施，储油洞穴有标靶、灯泡、石壁等，给人以身临其境之感。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交互方式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点击首页各个模块按钮进入相应的模块进行学习考核，各个模块操作过程中，根据语音、字幕以及高亮等提示，点击相应设备或者按钮完成相应操作。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功能按钮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1、考核模式：点击可进入考核模式。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2、视角切换：点击可以进行视角切换，视角切换有两种模式：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（1）焦点视角模式：在焦点视角模式下软件隐藏场景，用户可通过鼠标控制模型进行缩放、平移、旋转操作。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（2）漫游视角模式：在漫游视角模式下，用户可以通过键盘的W、S、A、D控制视角前后左右移动，通过鼠标左键拖动完成视角转动。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1.结构展示：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根据语音、字幕、右侧功能栏完成设备结构认知。设备结构包含：</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1)Lemo接口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2)电源连接端口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3)以太网端口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4)水平旋转装置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5)激光对点器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6)垂直旋转镜头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7)触摸笔</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8)usb接口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9)彩色触控屏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10)双轴倾斜补偿器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11)手柄</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12)电台天线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13)开关键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14)内置电池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2.操作演示：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根据语音、字幕、中心提示完成三维激光扫描实训操作，流程步骤参数包含：</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1)按下开关键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2)点击正在扫描选项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3)点击整平选项调平扫描仪</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4)调节扫描仪下方三个调节器，使指示球靠近中心位置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5)待调节至指示球变为绿色即可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6)随后点击校正选项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7)此时扫描仪进行自动校正</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8)自动校正完成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9)点击退出选项回到主菜单界面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10)点击扫描选项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11)设置扫描需要的分辨率与扫描质量等信息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12)设置完成后点击开始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13)扫描完成，此时可以看到二维成果预览</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14)三维成果预览需连接电脑查看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3.原理认知：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通过图文语音相互结合的形式，对三维激光扫面原理进行讲解；原理讲解过程中可按住鼠标右键进行拖动来调整视角。原理认知内容如下：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1)三维激光扫描仪原理认知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2)三维激光扫描仪采用激光测距原理来进行工作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3)激光发射器发出脉冲信号</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4)脉冲信号经被测物体后返回到激光发射器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5)通过测量每个激光脉冲从发射经被测物表面到接收所经过 的时间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6)计算目标点P与扫描仪之间的距离D</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7)控制编码器同步测量每个激光脉冲横向扫描角度值a和纵向扫描角度值b</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8)最后计算出激光点在被测物体上的三维坐标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9)三维激光扫描仪原理认知结束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4.洞穴案例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根据语音、字幕、中心提示完成三维激光扫描实训操作，流程参数包含：</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1)带好装备进入储油洞穴，对储油洞穴进行现场勘察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2)根据勘察情况，本洞穴可分两阶段测量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3)勘察完毕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4)确认虚拟标靶放置点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5)放置标靶，并且扫描哪边，标靶十字朝向哪边,需要正对着设备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6)在测量位置摆放好三脚架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7)安装好三维激光扫描仪</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8)上紧固定螺栓</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9)安装电池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10)插入内存卡</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11)开机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12)点击正在扫描选项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13)点击整平选项调平扫描仪</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14)分别旋转底座的旋钮进行调平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15)调平完成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16)点击退出选项回到主菜单界面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17)点击扫描选项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18)设置扫描需要的分辨率与扫描质量等信息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19)设置完成后点击开始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20)开始扫描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21)第一阶段测量结束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22)开始第二阶段的测量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23)将扫描仪移动到第二测量点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24)摆放好标靶位置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25)开始扫描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26)开始扫描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27)测量完毕数据自动保存</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28)大型储油洞穴案例实验结束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29)点云数据预处理和容积计算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30)插入U盘</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31)开启电脑，打开cyclone软件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32)对标靶信息进行提取</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33)进行点云去噪</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34)导出经过处理的文件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35)打开容积计量软件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36)对储油洞穴进行点云数据分析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37)导入经处理过的储油洞穴文件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38)进行切片处理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39)选择横截面积表导出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40)打开横截面积表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41)选择分米表导出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42)打开分米表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43)经过计算得出储油洞穴的容积数量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44)点云数据预处理和容积计算结束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45)三维激光扫描仪操作考核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46)扫描仪操作考核结束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47)储油洞穴案例实验考核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48)点云数据预处理和容积计算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点击右上角功能中的“考核”按钮，进入三维激光扫描考核模块。考试须知介绍考试的扣分规则。考核操作步骤与练习步骤一致，</w:t>
            </w:r>
            <w:r>
              <w:rPr>
                <w:rFonts w:hint="eastAsia" w:ascii="宋体" w:hAnsi="宋体"/>
                <w:color w:val="000000"/>
                <w:sz w:val="21"/>
                <w:szCs w:val="21"/>
              </w:rPr>
              <w:t xml:space="preserve">主要考查使用者对三维激光扫描原理及使用的掌握程度。交卷后可查看所得分数以及每一步的得分详情。</w:t>
            </w:r>
            <w:r/>
          </w:p>
          <w:p>
            <w:pPr>
              <w:ind w:left="0"/>
              <w:jc w:val="left"/>
              <w:widowControl w:val="off"/>
              <w:rPr>
                <w:rFonts w:ascii="宋体" w:hAnsi="宋体" w:cs="Times New Roman"/>
                <w:sz w:val="21"/>
                <w:szCs w:val="21"/>
              </w:rPr>
            </w:pPr>
            <w:r>
              <w:rPr>
                <w:rFonts w:hint="eastAsia" w:ascii="宋体" w:hAnsi="宋体"/>
                <w:color w:val="000000"/>
                <w:sz w:val="21"/>
                <w:szCs w:val="21"/>
              </w:rPr>
              <w:t xml:space="preserve">考核模块共计100分。每次考试点击提示扣除当前步骤一半的分数，提示次数无限制；跳过一次当前步骤不得分并且当前步骤跳过，跳过次数无限制。</w:t>
            </w:r>
            <w:r/>
          </w:p>
        </w:tc>
        <w:tc>
          <w:tcPr>
            <w:tcW w:w="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c>
          <w:tcPr>
            <w:tcW w:w="99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 </w:t>
            </w:r>
            <w:r/>
          </w:p>
        </w:tc>
      </w:tr>
      <w:tr>
        <w:trPr>
          <w:jc w:val="center"/>
          <w:trHeight w:val="2056"/>
        </w:trPr>
        <w:tc>
          <w:tcPr>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w:t>
            </w:r>
            <w:r>
              <w:rPr>
                <w:rFonts w:ascii="宋体" w:hAnsi="宋体" w:cs="Times New Roman"/>
                <w:sz w:val="21"/>
                <w:szCs w:val="21"/>
              </w:rPr>
              <w:t xml:space="preserve">2</w:t>
            </w:r>
            <w:r/>
          </w:p>
        </w:tc>
        <w:tc>
          <w:tcPr>
            <w:tcW w:w="1272" w:type="dxa"/>
            <w:vAlign w:val="center"/>
            <w:textDirection w:val="lrTb"/>
            <w:noWrap w:val="false"/>
          </w:tcPr>
          <w:p>
            <w:pPr>
              <w:ind w:left="0"/>
              <w:jc w:val="center"/>
              <w:widowControl w:val="off"/>
              <w:rPr>
                <w:rFonts w:ascii="宋体" w:hAnsi="宋体"/>
                <w:bCs/>
                <w:sz w:val="21"/>
                <w:szCs w:val="21"/>
              </w:rPr>
            </w:pPr>
            <w:r>
              <w:rPr>
                <w:rFonts w:ascii="宋体" w:hAnsi="宋体"/>
                <w:bCs/>
                <w:sz w:val="21"/>
                <w:szCs w:val="21"/>
              </w:rPr>
              <w:t xml:space="preserve">《智能产线搭建与</w:t>
            </w:r>
            <w:r>
              <w:rPr>
                <w:rFonts w:hint="eastAsia" w:ascii="宋体" w:hAnsi="宋体"/>
                <w:bCs/>
                <w:sz w:val="21"/>
                <w:szCs w:val="21"/>
              </w:rPr>
              <w:t xml:space="preserve">MES应用</w:t>
            </w:r>
            <w:r>
              <w:rPr>
                <w:rFonts w:ascii="宋体" w:hAnsi="宋体"/>
                <w:bCs/>
                <w:sz w:val="21"/>
                <w:szCs w:val="21"/>
              </w:rPr>
              <w:t xml:space="preserve">调试</w:t>
            </w:r>
            <w:r>
              <w:rPr>
                <w:rFonts w:hint="eastAsia" w:ascii="宋体" w:hAnsi="宋体"/>
                <w:bCs/>
                <w:sz w:val="21"/>
                <w:szCs w:val="21"/>
              </w:rPr>
              <w:t xml:space="preserve">虚拟仿真</w:t>
            </w:r>
            <w:r>
              <w:rPr>
                <w:rFonts w:ascii="宋体" w:hAnsi="宋体"/>
                <w:bCs/>
                <w:sz w:val="21"/>
                <w:szCs w:val="21"/>
              </w:rPr>
              <w:t xml:space="preserve">》</w:t>
            </w:r>
            <w:r/>
          </w:p>
          <w:p>
            <w:pPr>
              <w:ind w:left="0"/>
              <w:jc w:val="center"/>
              <w:widowControl w:val="off"/>
              <w:rPr>
                <w:rFonts w:ascii="宋体" w:hAnsi="宋体"/>
                <w:bCs/>
                <w:sz w:val="21"/>
                <w:szCs w:val="21"/>
              </w:rPr>
            </w:pPr>
            <w:r>
              <w:rPr>
                <w:rFonts w:ascii="宋体" w:hAnsi="宋体"/>
                <w:bCs/>
                <w:sz w:val="21"/>
                <w:szCs w:val="21"/>
              </w:rPr>
            </w:r>
            <w:r/>
          </w:p>
        </w:tc>
        <w:tc>
          <w:tcPr>
            <w:tcW w:w="5973" w:type="dxa"/>
            <w:vAlign w:val="center"/>
            <w:textDirection w:val="lrTb"/>
            <w:noWrap w:val="false"/>
          </w:tcPr>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软件基于B/S架构设计，支持Win 7 64位及以上版本Windows系统电脑端直接运行。</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一、设备模型</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软件通过三维建模技术，对真实设备进行1：1建模还原，基于Substance Painter进行PBR材质贴图制作并在数字孪生引擎中进行实时渲染，进行设备结构与视觉效果的展示还原。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1.模型制作要求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虚拟环境及虚拟物体的三维模型制作要以真实设备为原型，进行高度仿真建模，对模型的比例、单位、坐标、面数、布线、法线、命名方式和格式转换都需要按照标准执行及制作。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建模单位采用毫米（mm），按实际规格及尺</w:t>
            </w:r>
            <w:r>
              <w:rPr>
                <w:rFonts w:hint="eastAsia" w:ascii="宋体" w:hAnsi="宋体"/>
                <w:color w:val="000000"/>
                <w:sz w:val="21"/>
                <w:szCs w:val="21"/>
              </w:rPr>
              <w:t xml:space="preserve">寸进行制作，模型坐标需和自身中心点重合（无特殊要求时），制作的模型既要保证模型整体相对比例正确，还需保证和实际尺寸大小一致，模型场景以软件原点为基准，即X,Y,Z坐标轴归零，方便各设计开发软件之间的转换。模型需要单独命名，格式可为“lingjianbuwei-01”，以数字序号排列。模型布线以四边形布线为主，避免出现不平滑的面。面数在符合要求的情况下要尽可能少，且不可出现重面、破面、乱面、乱点等情况。模型法线不能出现法线翻转的情况。模型导出格式为Babylon，需包含模型和贴图，摄像机灯光等其余物件不能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2.渲染效果要求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2.1材质贴图：采用基于物理属性的PBR写实贴图。PBR写实贴图包含有纹理贴图、金属光滑度贴图、法线贴图、AO贴图等。其中纹理贴图用于表现材质的外貌特征；金属光滑度贴图则用于表现其对光做出反应的物理特性，而法线贴图丰富纹理凹凸等细节，AO进一步表现物体的立体真实感。四大核心贴图将物体的特性表现逼真，贴图尺寸一般为2048*2048。</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2.2灯光烘焙：根据项目不同选择不同的灯光形式，保证效果真实以及软件的流畅度。一张光照贴图保证在1024分辨率左右。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3.产线设备清单</w:t>
            </w:r>
            <w:r/>
          </w:p>
          <w:p>
            <w:pPr>
              <w:ind w:left="0"/>
              <w:spacing w:line="288" w:lineRule="auto"/>
              <w:widowControl w:val="off"/>
              <w:rPr>
                <w:rFonts w:ascii="宋体" w:hAnsi="宋体"/>
                <w:color w:val="ff0000"/>
                <w:sz w:val="21"/>
                <w:szCs w:val="21"/>
              </w:rPr>
            </w:pPr>
            <w:r>
              <w:rPr>
                <w:rFonts w:hint="eastAsia" w:ascii="宋体" w:hAnsi="宋体"/>
                <w:color w:val="ff0000"/>
                <w:sz w:val="21"/>
                <w:szCs w:val="21"/>
              </w:rPr>
              <w:t xml:space="preserve">3.1产线一包括线性机器人，五轴加工中心，三轴加工中心，火花机、清洗机以及仓储单元。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3.2产线二包括数控铣床、AGV小车、六轴机器人、视觉检测系统、数控车床、立体仓库、工作站、激光打码等设备。</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二、软件内容</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虚拟仿真采用自主研发的虚拟现实引擎进行功能开发，包括产线认知、产线设计搭建、产线调试运行、产线优化以及设备维</w:t>
            </w:r>
            <w:r>
              <w:rPr>
                <w:rFonts w:hint="eastAsia" w:ascii="宋体" w:hAnsi="宋体"/>
                <w:color w:val="000000"/>
                <w:sz w:val="21"/>
                <w:szCs w:val="21"/>
              </w:rPr>
              <w:t xml:space="preserve">修和保养五部分内容。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1.产线认知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智能产线整体认知：通过动画、文字、语音等形式，学习产线整体加工运行过程，包括原料出库（先进先出原则）、机械臂装夹、加工中心、五轴加工、激光打码操作、质量检测（三坐标）、成品入库（视觉检测软件）、AGV小车等环节。</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1.2单元设备认知：标记每个部件的名称和作用，提供引出线、爆炸图、透明隐藏等功能，可对单体部件进行详细结构认知。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1.3设置单独观察模式，可自主对模型进行缩放、平移、旋转等操作。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1.4需要认知的设备至少包括下列内容：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（1）立体仓库单元：仓库物料管理，配合机械臂进行原材料的拿取以及成品料的放置；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（2）数控车床：对工业机器人配送过来的物料进行车加工；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（3）三轴联动加工中心：机床开关门以及物料加工模拟；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（4）五轴加工中心：机床开关门以及物料加工模拟；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（5）六自由度机器人：抓取工件，分别放到机床设备上进行加工；抓取加工好的设备运送至立体仓库单元进行存储；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（6）AGV智能小车：配合六自由度机器人进行物料的转移；</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（7）激光打码机：激光打码操作；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（8）视觉检测系统：成品检测。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2.产线设计搭建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产线设计搭建模块包括生产工艺流程规划以及选型搭建两部分内容。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2.1生产工艺流程规划</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生产工艺包括航空叶轮、三元流体叶轮、精密塑料件三种产品加工工艺。</w:t>
            </w:r>
            <w:r>
              <w:rPr>
                <w:rFonts w:hint="eastAsia" w:ascii="宋体" w:hAnsi="宋体"/>
                <w:color w:val="000000"/>
                <w:sz w:val="21"/>
                <w:szCs w:val="21"/>
              </w:rPr>
              <w:br/>
              <w:t xml:space="preserve">用户根据生产任务需求进行工序分解，通过二维UI拖拽的方式，进行生产工艺流程规划。生产工艺流程规划正确后，方可进入下一步选型搭建。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2.2选型搭建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提供设备库，用户可在设备库中选择设备拖入场景指定位置，完成智能生产线搭建。当设备摆放至位置错误或不符合工艺逻辑的位置时，软件给出错误提示，提醒重新摆放，直至正确。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3.产线调试运行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3.1虚拟仿真软件与MES系统实时通讯，两条虚拟产线模型可根据真实MES信号运行，展现排产过程。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 MES系统将订单信息下发至产线调试运行模块，用户可根据订单信息对产线中的设备进行节拍设计并提交至MES系统。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3.3 MES系统经过计算，得出对应排产信息，反馈至虚拟仿真软件，虚拟仿真软件根据排产信息进行生产动画展示与设备对应生产效率相关信息（OEE、MTTF等）展示。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4.产线优化</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4.1设置MES数据看板，展示全局设备效率（OEE）、MTTF（平均无故障时间）、库存、多订单状态、单订单进程等信息。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4.2用户可在虚拟仿真场景中对生产节拍重置，再次进行节拍相关参数优化设计并提交至MES系统，进行参数优化结果验证。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5.设备维修和保养</w:t>
            </w:r>
            <w:r/>
          </w:p>
          <w:p>
            <w:pPr>
              <w:ind w:left="0"/>
              <w:spacing w:line="288" w:lineRule="auto"/>
              <w:widowControl w:val="off"/>
              <w:rPr>
                <w:rFonts w:ascii="宋体" w:hAnsi="宋体"/>
                <w:sz w:val="21"/>
                <w:szCs w:val="21"/>
              </w:rPr>
            </w:pPr>
            <w:r>
              <w:rPr>
                <w:rFonts w:hint="eastAsia" w:ascii="宋体" w:hAnsi="宋体"/>
                <w:color w:val="000000"/>
                <w:sz w:val="21"/>
                <w:szCs w:val="21"/>
              </w:rPr>
              <w:t xml:space="preserve">软件内置3-5个典型故障案例，用户可根据自身需求进行学习。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5.1在故障案例学习的过程中，软件提供高亮、文字、语音等操作步骤引导，帮助用户正确进行故障分析维修操作。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5.2软件提供视角切换功能，包含漫游以及固定视角两种观察模式，其中漫游模式下，可通过键盘控制自身在场景中前进、后退、左移、右移，通过鼠标按键旋转视角；固定视角在进行下一步操作时自动为用户切换最佳的固定视角。</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5.3设备维修保养流程包括：操作工发现设备故障、填写保修单；设备管理员查阅报修任务、维修派单；设备维修工维修开工、排查故障、数据库维护；设备管理员验收维修任务、查看维修记录。</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6.考核模式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考核形式包括题目考核与操作实训考核两部分内容。其中操作实训考核包括：生产工艺流程规划、产线调试运行（MES通讯）、产线优化、设备维修。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考试模式中屏蔽了操作提示，并对学生的每一步操作的正确性进行自动记录、评估、计分，并输出和提交详细的考核记录单。</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三、MES与虚拟仿真对接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1.基本功能参数</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MES需要支持不少于51台PC同时运行。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2.系统集成要求</w:t>
            </w:r>
            <w:r/>
          </w:p>
          <w:p>
            <w:pPr>
              <w:ind w:left="0"/>
              <w:spacing w:line="288" w:lineRule="auto"/>
              <w:widowControl w:val="off"/>
              <w:rPr>
                <w:rFonts w:ascii="宋体" w:hAnsi="宋体"/>
                <w:color w:val="000000"/>
                <w:sz w:val="21"/>
                <w:szCs w:val="21"/>
              </w:rPr>
            </w:pPr>
            <w:r>
              <w:rPr>
                <w:rFonts w:hint="eastAsia" w:ascii="MS Gothic" w:hAnsi="MS Gothic" w:eastAsia="MS Gothic" w:cs="MS Gothic"/>
                <w:color w:val="000000"/>
                <w:sz w:val="21"/>
                <w:szCs w:val="21"/>
              </w:rPr>
              <w:t xml:space="preserve">‌</w:t>
            </w:r>
            <w:r>
              <w:rPr>
                <w:rFonts w:hint="eastAsia" w:ascii="宋体" w:hAnsi="宋体"/>
                <w:color w:val="000000"/>
                <w:sz w:val="21"/>
                <w:szCs w:val="21"/>
              </w:rPr>
              <w:t xml:space="preserve">需实现MES系统与虚拟仿真平台的数据双向交互，包括生产工单下发、设备状态实时反馈、生产设备过程参数同步等功能。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3.虚拟生产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生产工单下发：MES创建订单，分解为工序级任务后同步至虚拟仿真平台，工序级工单信息包含工单号、产品编码、产品名称、规格型号、产品数量、生产单位、开始时间、结束时间、所属订单号、加工工序、加工单元、理论加工时长（数量*单个加工时长）、工单状态（已下达、生产中、已结束），下达后MES调用同步生产信息至虚拟仿真系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虚拟仿真系统接收到MES生产工单后进行虚拟生产，在生产过程中将设备过程数据同步至MES，包含工单号、运行时间、故障时间、待机时间、设备状态、实时完成数量；MES根据仿真系统返回节拍计算机台设备OEE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3.3在生产结束后虚拟仿真系统将工单号、加工工序、加工单元、加工完成数量、实际加工时长、合格数量、不合格数量、工单状态（已下达、生产中、已结束）同步至MES。</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4.生产参数优化</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用户在仿真系统中生产节拍优化后，通过仿真系统提供接口将机台小时产能进行反写给MES。</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5.可视化展示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实时监控：集成MES生产数据与仿真可视化，看板包括如下信息（实际展示以机台具备参数为准）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5.1工单信息：工单号、加工工序、加工单元、理论加工时长（数量*单个加工时长）、累计加工时间（实际加工时长）、完成率、运行时间、故障时间、待机时间；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5.2机台设备参数信息（以机床为例）：设备状态、设备参数（机械坐标x、机械坐标Y、机械坐标Z、甘切削速度、主轴速度、X轴负载、Y轴负载、Z轴负载、x轴温度、Y轴温度、Z轴温度）参数值、程序号、刀具号，其他设备参数信息以实际虚拟仿真系统上报为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6.系统部署</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6.1提供一套MES系统，独立部署服务，支持与虚仿设备连接。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7.MES系统功能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7.1基础配置：支持工厂建模、仓库建模、区域配置、设备建模、班组管理、班次管理、组织架构、权限管理等系统基础配置。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（1）系统应支持多车间的组织结构管理，系统对制造过程中所涉及的组织结构层次进行维护，并定义组织的职能，组织结构可以灵活调整。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（2）支持人员主数据管理，包含人员创建、Excel导入、人员信息维护、对人员的基本信息进行管理。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（3）系统提供设备主数据建模，对设备信息进行维护，包括设备编码、设备名称、设备规格、型号、状态等。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（4）系统提供用户及权限管理，系统提供用户信息管理，支持创建不同角色的用户，能够对角色进行授权，授权后每个角色及用户根据赋予的权限，可操作不同维度的业务。</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7.2工程管理：物料管理，产品工艺路线。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（1）能够定义工艺路线、工序、工时，工序所用的工装夹具、检验等要素在内的信息。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（2）系统支持工序和工步管理，能灵活定义和调整，支持工序和工步关联信息和关系的定义、维护。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7.3计划管理：主要功能是生产计划编制及下达，实现从生产计划、生产订单自上而下的逐级下达，以及生产结束后汇报统计。</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7.4生产管理：根据生产计划安排分配产线、安排每日生产订单，可以根据BOM信息内的工艺路线进行生产。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（1）系统可根据生产计划默认分配不同线别，支持产品在不同产线加工。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（2）能够根据生产订单生成产品单件号编码（条码/二维码）。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（3）支持产品按优先级进行生产订单排序，优先级可人工调整。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（4）支持根据设备产能、生产订单优先级进行排产。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7.5生产工单：支持工序级任务派工至仿真系统，支持对生产进度及执行情况查询。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（1）支持从仿真软件获取生产过程要素采集和生产过程监控数据。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7.6生产看板：按照车间级、产线级、工站级分为三级看板。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（1）根据放置地点展示不同的信息：车间级别生产进度、工单完成情况等信息，工作台看板可包含生产信息、工单执行情况等信息。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（2）建立实时的中心监视大屏，包括生产信息、质量信息、设备异常信息等。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（3）生产进度监控、生产订单状态、工序执行进度、计划完成率等。</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四、辅助功能</w:t>
            </w:r>
            <w:r/>
          </w:p>
          <w:p>
            <w:pPr>
              <w:ind w:left="0"/>
              <w:spacing w:line="288" w:lineRule="auto"/>
              <w:widowControl w:val="off"/>
              <w:rPr>
                <w:rFonts w:ascii="宋体" w:hAnsi="宋体"/>
                <w:b/>
                <w:color w:val="000000"/>
                <w:sz w:val="21"/>
                <w:szCs w:val="21"/>
              </w:rPr>
            </w:pPr>
            <w:r>
              <w:rPr>
                <w:rFonts w:hint="eastAsia" w:ascii="宋体" w:hAnsi="宋体"/>
                <w:color w:val="000000"/>
                <w:sz w:val="21"/>
                <w:szCs w:val="21"/>
              </w:rPr>
              <w:t xml:space="preserve">自主开发：所有能够由用户自定义的参数均应向用户开放，如所有的说明文字、配置参数均应可通过引擎驱动，包括软件功能参数也可通过引擎驱动。用户可在工程中对自定义开放参数进行修改，保存后重新发布，修改内容立即生效。</w:t>
            </w:r>
            <w:r/>
          </w:p>
          <w:p>
            <w:pPr>
              <w:ind w:left="0"/>
              <w:spacing w:line="288" w:lineRule="auto"/>
              <w:widowControl w:val="off"/>
              <w:rPr>
                <w:rFonts w:ascii="宋体" w:hAnsi="宋体"/>
                <w:color w:val="000000"/>
                <w:sz w:val="21"/>
                <w:szCs w:val="21"/>
              </w:rPr>
            </w:pPr>
            <w:r>
              <w:rPr>
                <w:rFonts w:hint="eastAsia" w:ascii="宋体" w:hAnsi="宋体"/>
                <w:b/>
                <w:color w:val="000000"/>
                <w:sz w:val="21"/>
                <w:szCs w:val="21"/>
              </w:rPr>
              <w:t xml:space="preserve">五、虚拟仿真开发平台功能</w:t>
            </w:r>
            <w:r>
              <w:rPr>
                <w:rFonts w:hint="eastAsia" w:ascii="宋体" w:hAnsi="宋体"/>
                <w:b/>
                <w:color w:val="000000"/>
                <w:sz w:val="21"/>
                <w:szCs w:val="21"/>
              </w:rPr>
              <w:br/>
            </w:r>
            <w:r>
              <w:rPr>
                <w:rFonts w:hint="eastAsia" w:ascii="宋体" w:hAnsi="宋体"/>
                <w:sz w:val="21"/>
                <w:szCs w:val="21"/>
              </w:rPr>
              <w:t xml:space="preserve">▲</w:t>
            </w:r>
            <w:r>
              <w:rPr>
                <w:rFonts w:hint="eastAsia" w:ascii="宋体" w:hAnsi="宋体"/>
                <w:color w:val="000000"/>
                <w:sz w:val="21"/>
                <w:szCs w:val="21"/>
              </w:rPr>
              <w:t xml:space="preserve">1.网页在线开发：虚拟仿真开发平台需是基于HTML5和WebGL的虚拟仿真软件开发平台，无需安装任何第三方软件，直接使用浏览器打开网页即可进行虚拟仿真软件功能开发。</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2.跨平台运行：虚拟仿真开发平台需是基于浏览器的开发平台，通过情境化教学引擎开发的作品支持跨平台跨终端运行。</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3.网页版零起点开发：虚拟仿真开发平台需摒弃计算机语言的程序代码开发，在网页版虚拟仿真开发平台中选择使用网页版可视化逻辑图、网页版可编辑表格或网页版低代码等进行功能开发，同时还支持友好的界面操作。</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六、相关软件功能</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（一）自动化生产线虚拟仿真软件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可在WINDOWS环境下直接运行，安装简单。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整屏展示：使用完整的屏幕显示场景，而不是将屏幕切割成若干区域。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IO配置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配置相关PLC硬件信息及相关DB数据地址。</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硬件信息包含：CPU类型、IP地址、机架号、槽位号；</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输入动作：启动、暂停、停止、导轨1正向输送到位、导轨1反正输送到位、导轨2正向输送到位、导轨2反正输送到位、导轨3正向输送到位、导轨3反正输送到位、导轨4正向输送到位、导轨4反正输送到位、KD开门到位、KD加工完成、KD关门到</w:t>
            </w:r>
            <w:r>
              <w:rPr>
                <w:rFonts w:hint="eastAsia" w:ascii="宋体" w:hAnsi="宋体"/>
                <w:color w:val="000000"/>
                <w:sz w:val="21"/>
                <w:szCs w:val="21"/>
              </w:rPr>
              <w:t xml:space="preserve">位、NVL开门</w:t>
            </w:r>
            <w:r>
              <w:rPr>
                <w:rFonts w:hint="eastAsia" w:ascii="宋体" w:hAnsi="宋体"/>
                <w:color w:val="000000"/>
                <w:sz w:val="21"/>
                <w:szCs w:val="21"/>
              </w:rPr>
              <w:t xml:space="preserve">到位、NVL加工完成、NVL关门到位、TK开门到位、TK加工完成、TK关门到位、地轨KD工位到位、地轨NVL工位到位、地轨TK工位到位、地轨导轨1工位到位、地轨导轨2工位到位、地轨导轨3工位到位、地轨导轨4工位到位、工件盘1取料完成、工件盘1放料完成、工件盘2取料完成、工件盘2放料完成、工件盘3取料完成、工件盘3放料完成、工件盘4取料完成、工件盘4放料完成、平台1放料完成、平台1取料完成、平台2放料完成、平台2取料完成、KD送料完成、KD取料完成、NVL送料完成、NVL取料完成、TK送料完成、TK取料完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输出动作：外部导轨1正转、外部导轨1反转、外部导轨2正</w:t>
            </w:r>
            <w:r>
              <w:rPr>
                <w:rFonts w:hint="eastAsia" w:ascii="宋体" w:hAnsi="宋体"/>
                <w:color w:val="000000"/>
                <w:sz w:val="21"/>
                <w:szCs w:val="21"/>
              </w:rPr>
              <w:t xml:space="preserve">转、外部导轨2反转、外部导轨3正转、外部导轨3反转、外部导轨4正转、外部导轨4反转、KD开门、KD加工、KD关门、NVL开门、NVL加工、NVL关门、TK开门、TK加工、TK关门、地轨KD工位、地轨NVL工位、地轨TK工位、地轨导轨1工位、地轨导轨2工位、地轨导轨3工位、地轨导轨4工位、工件盘1取料、工件盘1放料、工件盘2取料、工件盘2放料、工件盘3取料、工件盘3放料、工件盘4取料、工件盘4放料、平台1放料、平台1取料、平台2放料、平台2取料、KD送料、KD取料、NVL送料、NVL取料、TK送料、TK取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地址：为DB数据地址(也可使用M、IQ根据硬件情况定)，如：DB1.DBX1.0。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动作与DB地址可根据用户自由组合配置。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连接PLC</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将虚拟仿真软件与硬件连接，保证通讯畅通。</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获取PLC</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获取填写DB数据地址的信号的状态。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启动、暂停、停止按钮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设置程序中启动开关、暂停开关、停止开关为闭合状态。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断开PLC</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将仿真软件与PLC硬件断开连接。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初始化</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对场景动作进行初始化复位。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1.加密方式：提供注册文件、加密狗、网络三种可选解密方式，由用户任意选择其中一种。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2.自主开发：所有能够由用户自定义的参数均应向用户开放，如所有的说明文字、配置参数均应采用EXCEL表驱动，甚至一些软件功能参数也可用EXCEL表驱动。</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（二）自动化生产线认知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可在windows系统电脑端浏览器直接运行﹐可支持的浏览器包</w:t>
            </w:r>
            <w:r>
              <w:rPr>
                <w:rFonts w:hint="eastAsia" w:ascii="宋体" w:hAnsi="宋体"/>
                <w:color w:val="000000"/>
                <w:sz w:val="21"/>
                <w:szCs w:val="21"/>
              </w:rPr>
              <w:t xml:space="preserve">含∶谷歌浏览器、火狐浏览器、Microsoft Edge 浏览器。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虚拟场景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虚拟设备：</w:t>
            </w:r>
            <w:r>
              <w:rPr>
                <w:rFonts w:hint="eastAsia" w:ascii="宋体" w:hAnsi="宋体"/>
                <w:color w:val="ff0000"/>
                <w:sz w:val="21"/>
                <w:szCs w:val="21"/>
              </w:rPr>
              <w:t xml:space="preserve">外形尺寸与真实设备相同</w:t>
            </w:r>
            <w:r>
              <w:rPr>
                <w:rFonts w:hint="eastAsia" w:ascii="宋体" w:hAnsi="宋体"/>
                <w:color w:val="000000"/>
                <w:sz w:val="21"/>
                <w:szCs w:val="21"/>
              </w:rPr>
              <w:t xml:space="preserve">，并拥有高度逼真的外观。</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虚拟场景：进入仿真软件后，即进入逼真的实验室环境，</w:t>
            </w:r>
            <w:r>
              <w:rPr>
                <w:rFonts w:hint="eastAsia" w:ascii="宋体" w:hAnsi="宋体"/>
                <w:color w:val="ff0000"/>
                <w:sz w:val="21"/>
                <w:szCs w:val="21"/>
              </w:rPr>
              <w:t xml:space="preserve">场景包含设备</w:t>
            </w:r>
            <w:r>
              <w:rPr>
                <w:rFonts w:hint="eastAsia" w:ascii="宋体" w:hAnsi="宋体"/>
                <w:color w:val="000000"/>
                <w:sz w:val="21"/>
                <w:szCs w:val="21"/>
              </w:rPr>
              <w:t xml:space="preserve">、木桌、讲台、实验器材等，给人以身临其境之感。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交互方式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点击首页按钮进入自动化生产线认知的学习，根据语音、文字等提示对自动化生产线不同的设备模块：触摸屏、供料单元、加工单元、装配单元、分拣单元以及输送单元进行结构认知学习。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1.认知简介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阅读文字，了解该软件包含的学习内容。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2.视角切换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1）软件默认为漫游模式，WASD控制前后左右运动，鼠标控制方向。</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2）选择左侧流程栏模块名称后，点击观察按钮进入焦点模式，使用鼠标可控制模型缩放、平移、旋转观察设备结构。</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3.认知流程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1）触摸屏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2）供料单元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供料单元主要结构包括工件装料管、工件推出装置、支撑架、阀组、端子排组件、PLC、急停按钮和启动停止按钮、线槽、底板等。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3）加工单元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加工单元主要结构组成为：物料台及滑动机构、加工机构、电磁阀组、接线端口、PLC模块、急停按钮和启动停止按钮、底板等。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4）装配单元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装配单元结构组成包括简易料仓、供料机构、回转物料台、机械手、带装配工件的定位机构、气动系统及其阀组、信号采集及其自动控制系统以及用于电气连接的端子牌组件、整条生产线状态指示的信号灯和用于其他机构安装的铝型材支架及底板、传感器安装支架等其他附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5）分拣单元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分拣单元主要结构组成为：传送和分拣机构、传动带驱动机构、电瓶器模块、电磁阀组、接线端口、PLC模块、旋转编码器、底板等。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6）输送单元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输送单元有抓取机械手装置、步进或伺服电机传动组件、PLC模块、按钮指示灯模块和接线端口等部件组成。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自主开发：所有能够由用户自定义的参数均可向用户开放，如所有的说明文字、配置参数均采用EXCEL表驱动，一些软件功能参</w:t>
            </w:r>
            <w:r>
              <w:rPr>
                <w:rFonts w:hint="eastAsia" w:ascii="宋体" w:hAnsi="宋体"/>
                <w:color w:val="000000"/>
                <w:sz w:val="21"/>
                <w:szCs w:val="21"/>
              </w:rPr>
              <w:t xml:space="preserve">数也可用EXCEL表驱动。用户可在工程中对自定义开放参数进行修改，保存后重新发布，修改内容立即生效。</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（三）工业生产线安装与控制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1.可在WINDOWS环境下直接运行，安装简单。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1.隐匿式菜单或工具条：软件界面上看不到菜单、功能图标，全部用于显示场景和虚拟设备，以保持界面的纯净。</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2.整屏展示：使用完整的屏幕显示场景，而不是将屏幕切割成若干区域。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1.生产线模型：以MPS六站型生产线为依据，包括生产线的供料单元、检测单元、加工单元、安装搬运单元、安装单元、立体存储单元等六个单元完整的展现在用户面前。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1.供料单元的安装：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1）安装数控显示面板，将数控显示面板安装在工作台后部；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2）安装进料模块底座；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3）安装进料模块上的零部件；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4）安装进料双作用气缸；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5）安装转运模块；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6）安装摆臂；</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7）安装履带；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8）安装转运模块接近开关；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9）安装料仓，生产线供料单元安装完毕。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2.检测单元的安装：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1）安装液压装置；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2）安装检测单元支架；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3）安装检测传感器；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4）安装升降模块；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5）安装液压托盘；</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6）安装履带；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7）安装传送支架；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8）安装检测装置；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9）安装滑槽模块；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10）安装滑槽模块支架；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11）安装滑槽用螺钉固定，生产线检测单元安装毕。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3.加工单元的安装：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1）安装液压装置；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2）安装旋转工作台底座，用固定夹固定底座，用螺钉固定；</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3）安装两个检测接近开关；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4）安装加工装置支架，用固定夹固定支架；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5）安装挡板；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6）安装液压气缸；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7）安装加工装置；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8）安装加工装置支架，用固定夹固定支架；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9）安装钻孔模块用螺钉固定，生产线加工单元安装完毕。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4.安装搬运单元的安装：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1）安装液压装置；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2）安装托工件平台支架，用固定夹固定支架；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3）安装直线转圆周运动装置；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4）安装滑轨的接近开关；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5）安装液压气缸；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6）安装机械手；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 7）安装机械手爪，生产线安装搬运单元安装完毕。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1）安装液压装置；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2）安装转运模块支架，用固定夹固定支架；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3）安装摆臂支架；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4）安装摇臂；</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5）安装工件平台；</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6）安装料仓模块支架；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7）安装小工件平台；</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8）安装推料块；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9）安装推料缸；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10）安装换向气缸；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11）安装料仓，生产线安装单元安装完毕。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6.立体存储单元的安装：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1）安装液压装置；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2）安装立体仓库；</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3）安装丝杆驱动模块底座；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4）安装水平滑块底座；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5）安装碰撞保护开关；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6）安装另一端底座；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7）安装步进电机模块；</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8）安装垂直丝杆驱动装置；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9）安装垂直滑块；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10）安装履带，固定履带；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11）安装工件推出装置；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12）安装步进模块，生产线立体存储单元安装完成。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7.工业生产线模拟运行：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按下供料单元的开始按钮，料仓打开，推料块推料，摇臂吸盘吸住料块，摇臂将料块运送到下一单元，吸盘松开，料块落在工件台上。</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进入检测单元，按下检测单元的开始按钮，识别模块传感器识别料块材质及颜色，识别完毕，升降模块将料块升高，测量模块测量工件高度，测量完毕，推料块讲料块推至滑槽，料块通过滑槽运行到下一单元。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进入加工单元，按下加工单元的开始按钮，旋转工作台旋转，加工工件，打孔装置给工件打孔，旋转工作台旋转到下一单元。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进入安装搬运单元，按下安装搬运单元的开始按钮，机械手夹住料块，将料块夹至工作平台，将工件放下，安装单元工作，机械手夹起物块，将物块运送至立体存储单元，放下工件到下一单元。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进入立体存储单元，按下立体存储单元的开始按钮，丝杆驱动模块工作，将料块运送到仓库，推料机构将料块推进仓库。</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教学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1.即学即练：可选择不同的实训项目，一步步演示生产线安装的操作过程，并同步伴随操作说明。演示过程中，无需任何切换，就可以操作练习，即演示和操作练习可以随时转换。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2.操作方式：人性化的操作方式，简便、快捷、明了，有充分的提示引导信息。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1.智能考核：对学生的每一步操作的正确性、规范性、安全性进行自动记录、评估、计分，并输出和提交详细的考核记录单。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2.防作弊功能：自动输出考核记录表，自动加密。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1.加密方式：提供注册文件、加密狗、网络三种可选解密方式，由用户任意选择其中一种。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2.系统配置：可以对软件一些参数进行配置，例如可通过系统配置功能开关语音提示。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3.自主开发：所有能够由用户自定义的参数均应向用户开放，如所有的说明文字、配置参数均应采用EXCEL表驱动，甚至一些软件功能参数也可用EXCEL表驱动。</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（四）智能制造单元认知虚拟仿真实验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1.可在WINDOWS环境下直接运行，安装简单。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1.整屏展示：使用完整的屏幕显示场景，而不是将屏幕切割成若干区域。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一、基础知识认知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二、布局规划</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用户对相应的设备如（加工中心、电火花、雕铣机等设备），沿特定轴向拖拽设备，使设备布置于正确位置。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在进行设备布局时根据提示，用鼠标选择正确设备，设备会显示</w:t>
            </w:r>
            <w:r>
              <w:rPr>
                <w:rFonts w:hint="eastAsia" w:ascii="宋体" w:hAnsi="宋体"/>
                <w:color w:val="000000"/>
                <w:sz w:val="21"/>
                <w:szCs w:val="21"/>
              </w:rPr>
              <w:t xml:space="preserve">三个坐标轴系。鼠标拖住坐标轴使设备沿该轴移动。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三、负载平衡</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根据文字提示点选相应按钮：读取节拍表、加载节拍、运行节拍。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整个负载过程包含：机器人在中转台抓取工件、机器人将工件放于雕铣机进行粗加工、机器人将粗工件运送至五轴加工中心进行精加工、机器人将精工件运送至电火花打孔、最后机器人将工件放于料台。</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四、智能管控</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智能管控主要针对生产单元的特定工件加工过程的虚拟模拟。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本实验步骤的左侧具有隐匿式的生产智能运管监控终端的界面。包含计划执行信息与设备运行信息。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右侧是此智能单元的PLC信号控制，学生可以根据字幕提示进行PLC控制的操作，同时学生自身可以在场景中漫游浏览。</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教学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1.项目化案例教学：可直接用于教学实训。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练习</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1.操作方式：人性化的操作方式，简便、快捷、明了，有充分的提示引导信息。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1.加密方式：提供注册文件、加密狗、网络三种可选解密方式，由用户任意选择其中一种。</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（五）智能机械制造系统综合实训仿真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 智能机械制造系统综合实训仿真软件可在WINDOWS环境下直接运行，安装简单。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一、PLC程序验证</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1.对设计好的真实PLC程序进行可行性验证，模拟生产线装配单元的实际运行效果。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二、生产调度实训</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对三种不同的物料进行加工作业，各物料在加工中心加工所需的时间不同。通过切换6种上料顺序（例如：123、132、213.....），得出不同的生产总时长。可对各物料(工件)加工时长进行统计，以及生产总时长进行统计，得出生产数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 工业机器人:模拟出机器人抓取物料、移动至加工中心放料、待加工中心加工完成后从加工中心下料，机器人关节运动、机器人夹具加紧及松开等动作流畅逼真。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 简易加工中心:加工中心检测物料到位，固定滑块移动将物料固定，加工中心刀具转动、刀具架移动至合适位置。模拟出刀路运行轨迹，且自动检测物料类型，根据不同类型的工件设计出不同铣削深度和加工时长的加工过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 装配单元:装配单元会自动检测工件类型，匹配与之同类型的部件。当半成品工件移动至装配区域，装配机械臂启动、伸缩</w:t>
            </w:r>
            <w:r>
              <w:rPr>
                <w:rFonts w:hint="eastAsia" w:ascii="宋体" w:hAnsi="宋体"/>
                <w:color w:val="000000"/>
                <w:sz w:val="21"/>
                <w:szCs w:val="21"/>
              </w:rPr>
              <w:t xml:space="preserve">气缸将吸盘推出，吸盘吸住零部件，移动至装配区与半成品工件进行组装。组装完成后装配机械臂等复位。</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 提升机械臂单元及仓储单元:提升机械臂单元检测测工件到位后，机械臂移动、夹取工件、机械臂提升至仓库对应位置，将工件放入自动仓库落料区。自动仓库落料区检测到工件后，启动传送带将工件移动至仓库底部。</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 功能按钮:点击“运行”按钮使产线开始运行，产线运行结束后点击复位按钮工件恢复原位。可以点击“切换相机”按钮切换不同的观察视角，可以以第一人称视角在场景漫游。帮助菜单可以提示软件应有的操作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生产计时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1.对各个在产线加工的物料从出料到最终的入库完成，进行时间统计。并统计整条产线从开始运行到最后一个工件入库完成，产线停止运行之间的总时间。不同上料顺序情况下统计出的时间数据不一样。</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1.加密方式：提供注册文件、加密狗、网络三种可选解密方式，由用户任意选择其中一种。</w:t>
            </w:r>
            <w:r/>
          </w:p>
          <w:p>
            <w:pPr>
              <w:ind w:left="0"/>
              <w:jc w:val="left"/>
              <w:widowControl w:val="off"/>
              <w:rPr>
                <w:rFonts w:ascii="宋体" w:hAnsi="宋体" w:cs="Times New Roman"/>
                <w:sz w:val="21"/>
                <w:szCs w:val="21"/>
              </w:rPr>
            </w:pPr>
            <w:r>
              <w:rPr>
                <w:rFonts w:hint="eastAsia" w:ascii="宋体" w:hAnsi="宋体"/>
                <w:color w:val="000000"/>
                <w:sz w:val="21"/>
                <w:szCs w:val="21"/>
              </w:rPr>
              <w:t xml:space="preserve">2.自主开发：能够由用户自定义的参数均应向用户开放。</w:t>
            </w:r>
            <w:r/>
          </w:p>
        </w:tc>
        <w:tc>
          <w:tcPr>
            <w:tcW w:w="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c>
          <w:tcPr>
            <w:tcW w:w="99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 </w:t>
            </w:r>
            <w:r/>
          </w:p>
        </w:tc>
      </w:tr>
      <w:tr>
        <w:trPr>
          <w:jc w:val="center"/>
        </w:trPr>
        <w:tc>
          <w:tcPr>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w:t>
            </w:r>
            <w:r>
              <w:rPr>
                <w:rFonts w:ascii="宋体" w:hAnsi="宋体" w:cs="Times New Roman"/>
                <w:sz w:val="21"/>
                <w:szCs w:val="21"/>
              </w:rPr>
              <w:t xml:space="preserve">3</w:t>
            </w:r>
            <w:r/>
          </w:p>
        </w:tc>
        <w:tc>
          <w:tcPr>
            <w:tcW w:w="1272" w:type="dxa"/>
            <w:vAlign w:val="center"/>
            <w:textDirection w:val="lrTb"/>
            <w:noWrap w:val="false"/>
          </w:tcPr>
          <w:p>
            <w:pPr>
              <w:ind w:left="0"/>
              <w:jc w:val="center"/>
              <w:widowControl w:val="off"/>
              <w:rPr>
                <w:rFonts w:ascii="宋体" w:hAnsi="宋体" w:cs="Times New Roman"/>
                <w:sz w:val="21"/>
                <w:szCs w:val="21"/>
              </w:rPr>
            </w:pPr>
            <w:r>
              <w:rPr>
                <w:rFonts w:ascii="宋体" w:hAnsi="宋体"/>
                <w:bCs/>
                <w:sz w:val="21"/>
                <w:szCs w:val="21"/>
              </w:rPr>
              <w:t xml:space="preserve">《工业视觉检测虚拟仿真》</w:t>
            </w:r>
            <w:r/>
          </w:p>
        </w:tc>
        <w:tc>
          <w:tcPr>
            <w:tcW w:w="5973" w:type="dxa"/>
            <w:vAlign w:val="center"/>
            <w:textDirection w:val="lrTb"/>
            <w:noWrap w:val="false"/>
          </w:tcPr>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软件基于B/S结构设计，支持Win 7 64位及以上版本Windows系统电脑端网页直接运行。</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一、设备模型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软件通过三维建模技术，对真实设备进行1：1建模还原，基于Substance Painter进行PBR材质贴图制作并在引擎中进行实时渲染，展示还原设备结构与视觉效果。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1.模型制作要求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虚拟环境及虚拟物体的三维模型制作要以真实设备为原型，进行高度仿真建模，对模型的比例、单位、坐标、面数、布线、法线、命名方式和格式转换都需要按照标准执行及制作。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建模单位采用毫米（mm），按实际规格及尺</w:t>
            </w:r>
            <w:r>
              <w:rPr>
                <w:rFonts w:hint="eastAsia" w:ascii="宋体" w:hAnsi="宋体"/>
                <w:color w:val="000000"/>
                <w:sz w:val="21"/>
                <w:szCs w:val="21"/>
              </w:rPr>
              <w:t xml:space="preserve">寸进行制作，模型坐标需和自身中心点重合（无特殊要求时），制作的模型既要保证模型整体相对比例正确，还需保证和实际尺寸大小一致，模型场景以软件原点为基准，即X,Y,Z坐标轴归零，方便各设计开发软件之间的转换。模型需要单独命名，格式可为“lingjianbuwei-01”，以数字序号排列。模型布线以四边形布线为主，避免出现不平滑的面。面数在符合要求的情况下要尽可能少，且不可出现重面、破面、乱面、乱点等情况。模型法线不能出现法线翻转的情况。模型导出格式为Babylon，需包含模型和贴图，摄像机灯光等其余物件不能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2.渲染效果要求</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2.1材质贴图：采用基于物理属性的PBR写实贴图。PBR写实贴图包含有纹理贴图、金属光滑度贴图、法线贴图、AO贴图等。</w:t>
            </w:r>
            <w:r>
              <w:rPr>
                <w:rFonts w:hint="eastAsia" w:ascii="宋体" w:hAnsi="宋体"/>
                <w:color w:val="000000"/>
                <w:sz w:val="21"/>
                <w:szCs w:val="21"/>
              </w:rPr>
              <w:t xml:space="preserve">其中纹理贴图用于表现材质的外貌特征；金属光滑度贴图则用于表现其对光做出反应的物理特性，而法线贴图丰富纹理凹凸等细节， AO进一步表现物体的立体真实感。四大核心贴图将物体的特性表现逼真，贴图尺寸一般为2048*2048。</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2.2灯光烘焙：根据项目不同选择不同的灯光形式，保证效果真实以及软件的流畅度。一张光照贴图保证在1024分辨率左右。</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3.场景设备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3.1虚拟场景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通过三维建模及渲染技术营造出真实的实验室场景，场景内可见门窗、讲台等基本设施设备。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3.2虚拟设备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外形尺寸与真实设备完全相同，并拥有高度逼真的外观。表面可见结构、零部件与真实机床一致。视觉设备包含相机、支架、镜头、光源、光源控制器、工作台、吸嘴等结构。</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3.3虚拟面板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可操作的独立面板，操作方式与真实面板高度一致。经专业绘制，精美大方，与真实面板高度逼近。</w:t>
            </w:r>
            <w:r/>
          </w:p>
          <w:p>
            <w:pPr>
              <w:ind w:left="0"/>
              <w:spacing w:line="288" w:lineRule="auto"/>
              <w:widowControl w:val="off"/>
              <w:rPr>
                <w:rFonts w:ascii="宋体" w:hAnsi="宋体"/>
                <w:b/>
                <w:color w:val="000000"/>
                <w:sz w:val="21"/>
                <w:szCs w:val="21"/>
              </w:rPr>
            </w:pPr>
            <w:r>
              <w:rPr>
                <w:rFonts w:hint="eastAsia" w:ascii="宋体" w:hAnsi="宋体"/>
                <w:b/>
                <w:color w:val="000000"/>
                <w:sz w:val="21"/>
                <w:szCs w:val="21"/>
              </w:rPr>
              <w:t xml:space="preserve">二、软件内容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虚拟仿真采用自主研发的虚拟现实引擎进行功能开发，包括视觉系统硬件搭建、视觉设备的拆解与搭建、PLC控制案例、常见故障的处理及设备保养维护四部分内容。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1.视觉系统硬件搭建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1.1提供3种型号的视觉系统，用户可进行对应视觉系统的搭建训练。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1.2设置二维零件库，用户根据提示，进行相机、镜头、接圈、光源、光源控制器等部件的搭建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1.3搭建完成后，用户可通过滑动条进行参数调整，查看软件内置的不同成像效果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2.视觉设备的拆解与搭建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2.1在设备拆解与搭建、设备线路连接案例学习的过程中，软件提供高亮、文字、语音等操作步骤引导，帮助用户正确进行拆装操作。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2.2设备操作流程，包括设备上电、断电、设备整理（实验完成的后续整理工作）。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3.PLC控制案例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PLC控制案例模块包括划痕检测与识别排序两个案例。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用户可在场景中通过输入空间点坐标等方式，控制相机运动至对应检测点。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3.1划痕检测：</w:t>
            </w:r>
            <w:r/>
          </w:p>
          <w:p>
            <w:pPr>
              <w:ind w:left="0"/>
              <w:spacing w:line="288" w:lineRule="auto"/>
              <w:widowControl w:val="off"/>
              <w:rPr>
                <w:rFonts w:ascii="宋体" w:hAnsi="宋体"/>
                <w:sz w:val="21"/>
                <w:szCs w:val="21"/>
              </w:rPr>
            </w:pPr>
            <w:r>
              <w:rPr>
                <w:rFonts w:hint="eastAsia" w:ascii="宋体" w:hAnsi="宋体"/>
                <w:color w:val="000000"/>
                <w:sz w:val="21"/>
                <w:szCs w:val="21"/>
              </w:rPr>
              <w:t xml:space="preserve">将6枚书签随意摆放在原料区，通过PLC控制相机运动到原料区上方，采集图像，视觉软件判断书签表面是否有划痕，并定位，再通过吸嘴吸取书签，PLC控制吸嘴移动到成品区上方，根据软</w:t>
            </w:r>
            <w:r>
              <w:rPr>
                <w:rFonts w:hint="eastAsia" w:ascii="宋体" w:hAnsi="宋体"/>
                <w:color w:val="000000"/>
                <w:sz w:val="21"/>
                <w:szCs w:val="21"/>
              </w:rPr>
              <w:t xml:space="preserve">件判定结果，将书签放到成品OK区或NG区。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3.2识别排序：将8枚产品随意摆放在原料区，通过PLC控制相机运动到原料区上方，采集图像，视觉软件判断颜色，识别字符，并定位，再通过吸嘴吸取产品，PLC控制吸嘴移动到成品区上方，根据软件判定结果，放置到对应成品区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4.常见故障的处理及设备保养维护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以案例化形式学习常见的故障处理方式。</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4.1电脑显示屏出现故障报警信息，用户根据文字、语音、高亮等提示，一步步进行操作，故障排查完成后后，需要再次运行确认故障排除。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4.2故障报警原因不少于20种，包括：</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（1）X轴正限位报错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（2）x轴负限位报错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（3）X轴伺服报警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（4）Y轴正限位报错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（5）Y轴负限位报错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（6）Y轴伺服报警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（7）z轴正限位报错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（8）z轴负限位报错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（9）z轴伺服报警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（10）R轴负限位报错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（11）R轴伺服报警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（12）急停报警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（13）补偿值超限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（14）真空吸报警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（15）真空破报警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（16）夹爪夹紧报警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（17）夹爪松开报警</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（18）视觉软件中无法找到相机</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（19）相机连接失败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（20）光源软件无法控制光源亮灭</w:t>
            </w:r>
            <w:r/>
          </w:p>
          <w:p>
            <w:pPr>
              <w:ind w:left="0"/>
              <w:spacing w:line="288" w:lineRule="auto"/>
              <w:widowControl w:val="off"/>
              <w:rPr>
                <w:rFonts w:ascii="宋体" w:hAnsi="宋体"/>
                <w:sz w:val="21"/>
                <w:szCs w:val="21"/>
              </w:rPr>
            </w:pPr>
            <w:r>
              <w:rPr>
                <w:rFonts w:hint="eastAsia" w:ascii="宋体" w:hAnsi="宋体"/>
                <w:color w:val="000000"/>
                <w:sz w:val="21"/>
                <w:szCs w:val="21"/>
              </w:rPr>
              <w:t xml:space="preserve">5.模块化案例教学：设置不同的仿真模块，可根据教学需求选择对应模块案例进行学习，也可直接用于仿真实训。</w:t>
            </w:r>
            <w:r/>
          </w:p>
          <w:p>
            <w:pPr>
              <w:ind w:left="0"/>
              <w:spacing w:line="288" w:lineRule="auto"/>
              <w:widowControl w:val="off"/>
              <w:rPr>
                <w:rFonts w:ascii="宋体" w:hAnsi="宋体"/>
                <w:sz w:val="21"/>
                <w:szCs w:val="21"/>
              </w:rPr>
            </w:pPr>
            <w:r>
              <w:rPr>
                <w:rFonts w:hint="eastAsia" w:ascii="宋体" w:hAnsi="宋体"/>
                <w:color w:val="000000"/>
                <w:sz w:val="21"/>
                <w:szCs w:val="21"/>
              </w:rPr>
              <w:t xml:space="preserve">6.即学即练：可选择不同的实训项目，根据高亮、文字、语音等提示，一步步完成实验操作流程，同步伴随操作说明，帮助学生在学习的同时进行仿真操作练习。</w:t>
            </w:r>
            <w:r/>
          </w:p>
          <w:p>
            <w:pPr>
              <w:ind w:left="0"/>
              <w:spacing w:line="288" w:lineRule="auto"/>
              <w:widowControl w:val="off"/>
              <w:rPr>
                <w:rFonts w:ascii="宋体" w:hAnsi="宋体"/>
                <w:sz w:val="21"/>
                <w:szCs w:val="21"/>
              </w:rPr>
            </w:pPr>
            <w:r>
              <w:rPr>
                <w:rFonts w:hint="eastAsia" w:ascii="宋体" w:hAnsi="宋体"/>
                <w:color w:val="000000"/>
                <w:sz w:val="21"/>
                <w:szCs w:val="21"/>
              </w:rPr>
              <w:t xml:space="preserve">7.练习模式：虚拟仿真软件提供人性化的操作方式，简便、快捷、明了，有充分的提示引导信息，如以高亮或手形图标结合说明文字提示下一步操作。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8.智能考核：考核形式包括题目考核与操作实训考核两部分内容。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其中题目考核形式包括单选题、多选题以及判断题；操作实训考</w:t>
            </w:r>
            <w:r>
              <w:rPr>
                <w:rFonts w:hint="eastAsia" w:ascii="宋体" w:hAnsi="宋体"/>
                <w:color w:val="000000"/>
                <w:sz w:val="21"/>
                <w:szCs w:val="21"/>
              </w:rPr>
              <w:t xml:space="preserve">核包括：视觉系统硬件搭建、视觉设备的拆解与搭建、控制案例以及常见故障的处理及设备保养维护四大部分内容。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考试模式中屏蔽了操作提示，并对学生的每一步操作的正确性进行自动记录、评估、计分，并输出和提交详细的考核记录单。</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三、</w:t>
            </w:r>
            <w:r>
              <w:rPr>
                <w:rFonts w:hint="eastAsia" w:ascii="宋体" w:hAnsi="宋体"/>
                <w:b/>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自主开发：所有能够由用户自定义的参数均应向用户开放，如所有的说明文字、配置参数均应可通过引擎驱动，包括软件功能参数也可通过引擎驱动。用户可在工程中对自定义开放参数进行修改，保存后重新发布，修改内容立即生效。</w:t>
            </w:r>
            <w:r/>
          </w:p>
          <w:p>
            <w:pPr>
              <w:ind w:left="0"/>
              <w:spacing w:line="288" w:lineRule="auto"/>
              <w:widowControl w:val="off"/>
              <w:rPr>
                <w:rFonts w:ascii="宋体" w:hAnsi="宋体"/>
                <w:color w:val="000000"/>
                <w:sz w:val="21"/>
                <w:szCs w:val="21"/>
              </w:rPr>
            </w:pPr>
            <w:r>
              <w:rPr>
                <w:rFonts w:hint="eastAsia" w:ascii="宋体" w:hAnsi="宋体"/>
                <w:b/>
                <w:bCs/>
                <w:color w:val="000000"/>
                <w:sz w:val="21"/>
                <w:szCs w:val="21"/>
              </w:rPr>
              <w:t xml:space="preserve">四、虚拟仿真开发平台功能</w:t>
            </w:r>
            <w:r>
              <w:rPr>
                <w:rFonts w:hint="eastAsia" w:ascii="宋体" w:hAnsi="宋体"/>
                <w:color w:val="000000"/>
                <w:sz w:val="21"/>
                <w:szCs w:val="21"/>
              </w:rPr>
              <w:br/>
            </w:r>
            <w:r>
              <w:rPr>
                <w:rFonts w:hint="eastAsia" w:ascii="宋体" w:hAnsi="宋体"/>
                <w:sz w:val="21"/>
                <w:szCs w:val="21"/>
              </w:rPr>
              <w:t xml:space="preserve">●</w:t>
            </w:r>
            <w:r>
              <w:rPr>
                <w:rFonts w:hint="eastAsia" w:ascii="宋体" w:hAnsi="宋体"/>
                <w:color w:val="000000"/>
                <w:sz w:val="21"/>
                <w:szCs w:val="21"/>
              </w:rPr>
              <w:t xml:space="preserve">1.网页在线开发：虚拟仿真开发平台需是基于HTML5和WebGL的虚拟仿真软件开发平台，无需安装任何第三方软件，直接使用浏览器打开网页即可进行虚拟仿真软件功能开发。</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2.跨平台运行：虚拟仿真开发平台需是基于浏览器的开发平台，通过情境化教学引擎开发的作品支持跨平台跨终端运行。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网页版零起点开发：虚拟仿真开发平台需摒弃计算机语言的程序代码开发，在网页版虚拟仿真开发平台中选择使用网页版可视化逻辑图、网页版可编辑表格或网页版低代码等进行功能开发，同时还支持友好的界面操作。</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ff0000"/>
                <w:sz w:val="21"/>
                <w:szCs w:val="21"/>
              </w:rPr>
              <w:t xml:space="preserve">虚拟仿真提供PLC通讯接口，支持对接。</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五、相关软件功能</w:t>
            </w:r>
            <w:r/>
          </w:p>
          <w:p>
            <w:pPr>
              <w:ind w:left="0"/>
              <w:spacing w:line="288" w:lineRule="auto"/>
              <w:widowControl w:val="off"/>
              <w:rPr>
                <w:rFonts w:ascii="宋体" w:hAnsi="宋体"/>
                <w:b/>
                <w:bCs/>
                <w:color w:val="000000"/>
                <w:sz w:val="21"/>
                <w:szCs w:val="21"/>
              </w:rPr>
            </w:pPr>
            <w:r>
              <w:rPr>
                <w:rFonts w:hint="eastAsia" w:ascii="宋体" w:hAnsi="宋体"/>
                <w:b/>
                <w:bCs/>
                <w:color w:val="000000"/>
                <w:sz w:val="21"/>
                <w:szCs w:val="21"/>
              </w:rPr>
              <w:t xml:space="preserve">（一）电动机PLC控制线路的安装与调试仿真软件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运行环境</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可在windows系统电脑端浏览器直接运行﹐可支持的浏览器需包含：谷歌浏览器、火狐浏览器、Microsoft Edge 浏览器等。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虚拟场景</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虚拟设备：电动机、PLC、电源开关等外形尺寸与真实设备相同，并拥有高度逼真的外观和显示界面。</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虚拟场景：进入教练模式后，即进入逼真的实验室环境，如电动机、木桌、讲台、实验器材等，给人以身临其境之感。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交互方式</w:t>
            </w:r>
            <w:r/>
          </w:p>
          <w:p>
            <w:pPr>
              <w:ind w:left="0"/>
              <w:spacing w:line="288" w:lineRule="auto"/>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color w:val="000000"/>
                <w:sz w:val="21"/>
                <w:szCs w:val="21"/>
              </w:rPr>
              <w:t xml:space="preserve">通过点击首页相应模块并进入，选择学习的内容。学习内容包括电气接线、程序编制、系统运行。电气接线流程中，根据语音字幕或高亮等提示，点击触发接线的流程。程序编制流程中，根据语音字幕提示，点击相应按钮进行程序的编制。系统运行流程中。根据语音字幕或高亮提示，用户点击相应的零件或按钮即可完成系统运行的流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电气接线</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1.软件简介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阅读文字，了解该软件包含的学习内容。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阅读文字，了解该实验所需注意的安全守则。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3.连接PLC电源</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（1）连接开关电源L端与PLC的L端。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（2）连接开关电源N端与PL的M端相连。</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4.连接PLC输入部分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（1）1M端与M端相连。</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（2）连接I0.0和热继电器FR输入端。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（3）连接I0.1和启动按钮SB2输入端。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（4）连接I0.2和停止按钮SB1输入端。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（5）1M端接入开关电源V+。</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（6）L+端连接各个输入COM端。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（7）接入开关电源V-。</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（8）将L+端与已连接好的各个输入COM端连接。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5.连接PLC输出部分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（1）连接Q0.0与KM1线圈输出端。</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（2）将Q0.1与KM2线圈输出端连接。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（3）将Q0.2与KM3线圈输出端连接。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（4）将各个输出COM端相连。</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（5）输出端和开关电源V+相连。</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（6）将1L与开关电源V-连接。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程序编制</w:t>
            </w:r>
            <w:r>
              <w:rPr>
                <w:rFonts w:hint="eastAsia" w:ascii="宋体" w:hAnsi="宋体"/>
                <w:color w:val="000000"/>
                <w:sz w:val="21"/>
                <w:szCs w:val="21"/>
              </w:rPr>
              <w:tab/>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阅读文字，了解该实验所需注意的安全守则。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2.实验目标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阅读文字，了解该实验的实验目标。</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3.网络一</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（1）执行第一个操作指令“|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（2）文本框输入I0.1。</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（3）执行第二个操作指令“| /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（4）文本框输入I0.2。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（5）文本框输入I0.0。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（6）文本框输入T37。</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（7）文本框输入Q0.1。</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（8）执行第三个操作指令“（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（9）文本框输入Q0.2。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（10）点击箭头↑。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4.网络二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（1）执行第一个操作指令“|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（2）文本框输入I0.2。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（3）执行第二个操作指令“| /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（4）文本框输入I0.2。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（5）文本框输入I0.0。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（6）执行第三个操作指令“（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（7）文本框输入Q0.0。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（8）点击箭头↓。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（9）文本框输入Q0.1。</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（10）执行第三个操作指令“TON”。</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（11）文本框输入T37和50。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（12）文本框输入Q0.0。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（13）点击箭头↑。</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5.网络三</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（1）执行第一个操作指令“|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（2）文本框输入Q0.0。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（3）执行第二个操作指令“| /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（4）文本框输入I0.2。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（5）文本框输入I0.0。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（6）文本框输入Q0.2。</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（7）执行第三个操作指令“（ ）”。</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（8）文本框输入Q0.0。</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系统运行</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1.软件简介</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阅读文字，了解该软件包含的学习内容。</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阅读文字，了解该实验所需注意的安全守则。</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3.运行步骤</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（1）初始化。</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（2）加载STL。</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（3）运行RUN。</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（4）按下绿色启动按钮。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（5）急停红色停止按钮。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（6）STOP按钮。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（7）案例复位按钮。</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（8）PLC系统运行结束。</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考核</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点击右上角功能中的“考核”按钮，进入电动机PLC控制线路的安装与调试考核模块。考核模块包括电气接线考核、程序编制考核，可自由选择考试的内容。考核模式中的步骤与练习步骤一致，但去除了提示，主要考查使用者对电动机PLC控制线路的安装与调试步骤的掌握程度。交卷后可查看所得分数以及每一步的得分详情，</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辅助功能</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1.通过鼠标点击完成接线的连接；</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2.操作完成后系统自动完成打分。</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电气接线评分标准</w:t>
            </w:r>
            <w:r>
              <w:rPr>
                <w:rFonts w:hint="eastAsia" w:ascii="宋体" w:hAnsi="宋体"/>
                <w:color w:val="000000"/>
                <w:sz w:val="21"/>
                <w:szCs w:val="21"/>
              </w:rPr>
              <w:tab/>
              <w:t xml:space="preserve">电气接线考核总分42分；考核模块共21个接线步骤；每个接线步骤为2分，正确操作得2分；提示一次扣</w:t>
            </w:r>
            <w:r>
              <w:rPr>
                <w:rFonts w:hint="eastAsia" w:ascii="宋体" w:hAnsi="宋体"/>
                <w:color w:val="000000"/>
                <w:sz w:val="21"/>
                <w:szCs w:val="21"/>
              </w:rPr>
              <w:t xml:space="preserve">除当前步骤一半分数，提示次数限制三次；跳过一次当前步骤不得分并且当前步骤执行跳过，跳过次数无限制。</w:t>
            </w:r>
            <w:r/>
          </w:p>
          <w:p>
            <w:pPr>
              <w:ind w:left="0"/>
              <w:spacing w:line="288" w:lineRule="auto"/>
              <w:widowControl w:val="off"/>
              <w:rPr>
                <w:rFonts w:ascii="宋体" w:hAnsi="宋体"/>
                <w:color w:val="000000"/>
                <w:sz w:val="21"/>
                <w:szCs w:val="21"/>
              </w:rPr>
            </w:pPr>
            <w:r>
              <w:rPr>
                <w:rFonts w:hint="eastAsia" w:ascii="宋体" w:hAnsi="宋体"/>
                <w:color w:val="000000"/>
                <w:sz w:val="21"/>
                <w:szCs w:val="21"/>
              </w:rPr>
              <w:t xml:space="preserve">程序编制评分标准</w:t>
            </w:r>
            <w:r/>
          </w:p>
          <w:p>
            <w:pPr>
              <w:ind w:left="0"/>
              <w:widowControl w:val="off"/>
              <w:rPr>
                <w:rFonts w:ascii="宋体" w:hAnsi="宋体" w:cs="Times New Roman"/>
                <w:sz w:val="21"/>
                <w:szCs w:val="21"/>
              </w:rPr>
            </w:pPr>
            <w:r>
              <w:rPr>
                <w:rFonts w:hint="eastAsia" w:ascii="宋体" w:hAnsi="宋体"/>
                <w:color w:val="000000"/>
                <w:sz w:val="21"/>
                <w:szCs w:val="21"/>
              </w:rPr>
              <w:t xml:space="preserve">程序编制考核总分58分；考核模块共44个编制步骤；前14个编制步骤每个为2分，后30个编制步骤每个1分，正确操作得当前步骤满分；提示一次扣除当前步骤一半分数，提示次数限制三次；跳过一次当前步骤不得分并且当前步骤执行跳过，跳过次数无限制。</w:t>
            </w:r>
            <w:r/>
          </w:p>
        </w:tc>
        <w:tc>
          <w:tcPr>
            <w:tcW w:w="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w:t>
            </w:r>
            <w:r/>
          </w:p>
        </w:tc>
        <w:tc>
          <w:tcPr>
            <w:tcW w:w="99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w:t>
            </w:r>
            <w:r>
              <w:rPr>
                <w:rFonts w:ascii="宋体" w:hAnsi="宋体" w:cs="Times New Roman"/>
                <w:sz w:val="21"/>
                <w:szCs w:val="21"/>
              </w:rPr>
              <w:t xml:space="preserve">4</w:t>
            </w:r>
            <w:r/>
          </w:p>
        </w:tc>
        <w:tc>
          <w:tcPr>
            <w:tcW w:w="12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5G DTU/CPE</w:t>
            </w:r>
            <w:r/>
          </w:p>
        </w:tc>
        <w:tc>
          <w:tcPr>
            <w:tcW w:w="597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（1）支持频段：5G NR：N1/N28/N41 /N77/N78/N79</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FDD LEE，TDD LTE</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（2）无线：2*5G模组，Nano卡，支持GPS/GLONASS/Beidou/ Galileo</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（3）网口：2*GE 10/100/ 1000Mbit/s自适应口</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（4）工业接口：2*RS485, 1*RS232</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（5）工业功耗：&lt;30W</w:t>
            </w:r>
            <w:r/>
          </w:p>
        </w:tc>
        <w:tc>
          <w:tcPr>
            <w:tcW w:w="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W w:w="99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 </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七、履约验收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ascii="Times New Roman" w:hAnsi="Times New Roman"/>
          <w:sz w:val="21"/>
        </w:rPr>
        <w:t xml:space="preserve">采购人将根据《江苏省财政厅关于印发</w:t>
      </w:r>
      <w:r>
        <w:rPr>
          <w:rFonts w:ascii="Times New Roman" w:hAnsi="Times New Roman"/>
          <w:sz w:val="21"/>
        </w:rPr>
        <w:t xml:space="preserve">&lt;</w:t>
      </w:r>
      <w:r>
        <w:rPr>
          <w:rFonts w:ascii="Times New Roman" w:hAnsi="Times New Roman"/>
          <w:sz w:val="21"/>
        </w:rPr>
        <w:t xml:space="preserve">江苏省政府采购履约验收管理办法</w:t>
      </w:r>
      <w:r>
        <w:rPr>
          <w:rFonts w:ascii="Times New Roman" w:hAnsi="Times New Roman"/>
          <w:sz w:val="21"/>
        </w:rPr>
        <w:t xml:space="preserve">&gt;</w:t>
      </w:r>
      <w:r>
        <w:rPr>
          <w:rFonts w:ascii="Times New Roman" w:hAnsi="Times New Roman"/>
          <w:sz w:val="21"/>
        </w:rPr>
        <w:t xml:space="preserve">的通知》（苏财规〔</w:t>
      </w:r>
      <w:r>
        <w:rPr>
          <w:rFonts w:ascii="Times New Roman" w:hAnsi="Times New Roman"/>
          <w:sz w:val="21"/>
        </w:rPr>
        <w:t xml:space="preserve">2024</w:t>
      </w: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ascii="Times New Roman" w:hAnsi="Times New Roman"/>
          <w:sz w:val="21"/>
        </w:rPr>
        <w:t xml:space="preserve">招标文件</w:t>
      </w:r>
      <w:r>
        <w:rPr>
          <w:rFonts w:ascii="Times New Roman" w:hAnsi="Times New Roman"/>
          <w:sz w:val="21"/>
        </w:rPr>
        <w:t xml:space="preserve">、响应文件、政府采购合同等是履约验收工作的重要依据。在政府采购合同约定的履行验收条件达到时，成交供应商可以主动联系采购人启动履约验收工作。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ascii="Times New Roman" w:hAnsi="Times New Roman"/>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ascii="Times New Roman" w:hAnsi="Times New Roman"/>
          <w:sz w:val="21"/>
        </w:rPr>
        <w:t xml:space="preserve">采购人将按照验收标准要求组织验收，验收内容和标准至少包括服务质量、用户满意度、服务过程文档资料、数据准确性等内容。</w:t>
      </w:r>
      <w:r/>
    </w:p>
    <w:p>
      <w:pPr>
        <w:pStyle w:val="866"/>
      </w:pPr>
      <w:r/>
      <w:r/>
    </w:p>
    <w:p>
      <w:pPr>
        <w:ind w:left="0" w:firstLine="420"/>
        <w:spacing w:line="360" w:lineRule="auto"/>
        <w:tabs>
          <w:tab w:val="left" w:pos="420" w:leader="none"/>
        </w:tabs>
        <w:rPr>
          <w:rFonts w:ascii="宋体" w:hAnsi="宋体"/>
          <w:sz w:val="21"/>
        </w:rPr>
      </w:pPr>
      <w:r>
        <w:rPr>
          <w:rFonts w:hint="eastAsia" w:ascii="宋体" w:hAnsi="宋体"/>
          <w:sz w:val="21"/>
        </w:rPr>
        <w:t xml:space="preserve">八、综合说明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九、政府采购政策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十、关于对参与供应商信用记录的政府采购要求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十一、</w:t>
      </w:r>
      <w:r>
        <w:rPr>
          <w:rFonts w:ascii="宋体" w:hAnsi="宋体"/>
          <w:sz w:val="21"/>
        </w:rPr>
        <w:t xml:space="preserve">凡涉及招标文件的补充说明和修改，均以网上发布的通知为准。</w:t>
      </w:r>
      <w:r/>
    </w:p>
    <w:p>
      <w:pPr>
        <w:ind w:left="0"/>
        <w:jc w:val="center"/>
        <w:spacing w:line="360" w:lineRule="auto"/>
        <w:widowControl w:val="off"/>
        <w:rPr>
          <w:rFonts w:ascii="宋体" w:hAnsi="宋体"/>
          <w:b/>
          <w:sz w:val="44"/>
          <w:szCs w:val="22"/>
        </w:rPr>
      </w:pPr>
      <w:r/>
      <w:bookmarkStart w:id="94" w:name="_Toc5111"/>
      <w:r/>
      <w:bookmarkStart w:id="95" w:name="_Toc11789"/>
      <w:r/>
      <w:bookmarkStart w:id="96" w:name="_Hlk55741158"/>
      <w:r>
        <w:rPr>
          <w:rFonts w:hint="eastAsia" w:ascii="宋体" w:hAnsi="宋体"/>
          <w:b/>
          <w:sz w:val="44"/>
          <w:szCs w:val="22"/>
        </w:rPr>
        <w:br w:type="page" w:clear="all"/>
      </w:r>
      <w:bookmarkStart w:id="97" w:name="_Toc27667"/>
      <w:r/>
      <w:bookmarkStart w:id="98" w:name="_Toc8564"/>
      <w:r/>
      <w:bookmarkStart w:id="99" w:name="_Toc57376410"/>
      <w:r/>
      <w:bookmarkEnd w:id="94"/>
      <w:r/>
      <w:bookmarkEnd w:id="95"/>
      <w:r/>
      <w:bookmarkEnd w:id="96"/>
      <w:r/>
      <w:r/>
    </w:p>
    <w:p>
      <w:pPr>
        <w:ind w:left="0"/>
        <w:jc w:val="center"/>
        <w:spacing w:line="360" w:lineRule="auto"/>
        <w:widowControl w:val="off"/>
        <w:rPr>
          <w:rFonts w:ascii="宋体" w:hAnsi="宋体"/>
          <w:b/>
          <w:sz w:val="44"/>
          <w:szCs w:val="22"/>
        </w:rPr>
        <w:outlineLvl w:val="0"/>
      </w:pPr>
      <w:r/>
      <w:bookmarkStart w:id="100" w:name="_Toc105397794"/>
      <w:r/>
      <w:bookmarkStart w:id="101" w:name="_GoBack"/>
      <w:r/>
      <w:bookmarkEnd w:id="101"/>
      <w:r>
        <w:rPr>
          <w:rFonts w:hint="eastAsia" w:ascii="宋体" w:hAnsi="宋体"/>
          <w:b/>
          <w:sz w:val="44"/>
          <w:szCs w:val="22"/>
        </w:rPr>
        <w:t xml:space="preserve">第五章 </w:t>
      </w:r>
      <w:bookmarkStart w:id="102" w:name="合同的特殊条款"/>
      <w:r/>
      <w:bookmarkEnd w:id="102"/>
      <w:r>
        <w:rPr>
          <w:rFonts w:hint="eastAsia" w:ascii="宋体" w:hAnsi="宋体"/>
          <w:b/>
          <w:sz w:val="44"/>
          <w:szCs w:val="22"/>
        </w:rPr>
        <w:t xml:space="preserve">合同及主要条款</w:t>
      </w:r>
      <w:bookmarkEnd w:id="100"/>
      <w:r/>
      <w:r/>
    </w:p>
    <w:p>
      <w:pPr>
        <w:ind w:left="0"/>
        <w:jc w:val="center"/>
        <w:spacing w:line="360" w:lineRule="auto"/>
        <w:widowControl w:val="off"/>
        <w:rPr>
          <w:rFonts w:ascii="宋体" w:hAnsi="宋体"/>
          <w:b/>
          <w:color w:val="000000"/>
          <w:sz w:val="34"/>
        </w:rPr>
      </w:pPr>
      <w:r>
        <w:rPr>
          <w:rFonts w:ascii="宋体" w:hAnsi="宋体"/>
          <w:b/>
          <w:color w:val="000000"/>
          <w:sz w:val="34"/>
        </w:rPr>
      </w:r>
      <w:r/>
    </w:p>
    <w:tbl>
      <w:tblPr>
        <w:tblW w:w="0" w:type="auto"/>
        <w:jc w:val="center"/>
        <w:tblLook w:val="04A0" w:firstRow="1" w:lastRow="0" w:firstColumn="1" w:lastColumn="0" w:noHBand="0" w:noVBand="1"/>
      </w:tblPr>
      <w:tblGrid>
        <w:gridCol w:w="4592"/>
        <w:gridCol w:w="4464"/>
      </w:tblGrid>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甲</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方：苏州工业职业技术学院</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乙  方：</w:t>
            </w:r>
            <w:r/>
          </w:p>
        </w:tc>
      </w:tr>
      <w:tr>
        <w:trPr>
          <w:jc w:val="center"/>
          <w:trHeight w:val="988"/>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送达地址：苏州吴中越溪国际教育园致能大道1号</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送达地址：</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联系人：</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联系人：</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联系方式：</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联系方式:</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传  真：</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传  真：</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开户行：中国银行苏州分行营业部</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开户行: </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账  号：504058193068</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帐  号：</w:t>
            </w:r>
            <w:r/>
          </w:p>
        </w:tc>
      </w:tr>
      <w:tr>
        <w:trPr>
          <w:jc w:val="center"/>
          <w:trHeight w:val="494"/>
        </w:trPr>
        <w:tc>
          <w:tcPr>
            <w:shd w:val="clear" w:color="auto" w:fill="auto"/>
            <w:tcBorders>
              <w:top w:val="none" w:color="000000" w:sz="4" w:space="0"/>
              <w:left w:val="none" w:color="000000" w:sz="4" w:space="0"/>
              <w:bottom w:val="none" w:color="000000" w:sz="4" w:space="0"/>
              <w:right w:val="none" w:color="000000" w:sz="4" w:space="0"/>
            </w:tcBorders>
            <w:tcW w:w="4592" w:type="dxa"/>
            <w:textDirection w:val="lrTb"/>
            <w:noWrap w:val="false"/>
          </w:tcPr>
          <w:p>
            <w:pPr>
              <w:ind w:left="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税  号：12320500466949074Q</w:t>
            </w:r>
            <w:r/>
          </w:p>
        </w:tc>
        <w:tc>
          <w:tcPr>
            <w:shd w:val="clear" w:color="auto" w:fill="auto"/>
            <w:tcBorders>
              <w:top w:val="none" w:color="000000" w:sz="4" w:space="0"/>
              <w:left w:val="none" w:color="000000" w:sz="4" w:space="0"/>
              <w:bottom w:val="none" w:color="000000" w:sz="4" w:space="0"/>
              <w:right w:val="none" w:color="000000" w:sz="4" w:space="0"/>
            </w:tcBorders>
            <w:tcW w:w="4464" w:type="dxa"/>
            <w:textDirection w:val="lrTb"/>
            <w:noWrap w:val="false"/>
          </w:tcPr>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税  号：</w:t>
            </w:r>
            <w:r/>
          </w:p>
        </w:tc>
      </w:tr>
    </w:tbl>
    <w:p>
      <w:pPr>
        <w:ind w:left="0" w:firstLine="480"/>
        <w:jc w:val="left"/>
        <w:spacing w:line="360" w:lineRule="auto"/>
        <w:widowControl w:val="off"/>
        <w:rPr>
          <w:rFonts w:ascii="宋体" w:hAnsi="宋体"/>
          <w:bCs/>
          <w:color w:val="000000"/>
          <w:sz w:val="24"/>
          <w:szCs w:val="24"/>
        </w:rPr>
      </w:pPr>
      <w:r>
        <w:rPr>
          <w:rFonts w:ascii="宋体" w:hAnsi="宋体"/>
          <w:bCs/>
          <w:color w:val="000000"/>
          <w:sz w:val="24"/>
          <w:szCs w:val="24"/>
        </w:rPr>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根据苏州市政府采购招标编号：</w:t>
      </w:r>
      <w:r>
        <w:rPr>
          <w:rFonts w:ascii="宋体" w:hAnsi="宋体" w:cs="Times New Roman"/>
          <w:b/>
          <w:bCs/>
          <w:sz w:val="21"/>
          <w:szCs w:val="21"/>
          <w:u w:val="single"/>
        </w:rPr>
        <w:t xml:space="preserve">JSZC-320500-JZCG-G2025-0407</w:t>
      </w:r>
      <w:r>
        <w:rPr>
          <w:rFonts w:hint="eastAsia" w:ascii="宋体" w:hAnsi="宋体"/>
          <w:color w:val="000000" w:themeColor="text1"/>
          <w:sz w:val="21"/>
          <w:szCs w:val="21"/>
        </w:rPr>
        <w:t xml:space="preserve">号的招标文件、乙方的投标报价文件及中标结果，依照《中华人民共和国民法典》及其他有关法律、行政法规，遵循平等、自愿、公平和诚实信用的原则，双方就</w:t>
      </w:r>
      <w:r>
        <w:rPr>
          <w:rFonts w:hint="eastAsia" w:ascii="宋体" w:hAnsi="宋体"/>
          <w:b/>
          <w:bCs/>
          <w:sz w:val="21"/>
          <w:szCs w:val="21"/>
          <w:u w:val="single"/>
        </w:rPr>
        <w:t xml:space="preserve">苏州工业职业技术学院智能车间装备集成与应用技术虚拟仿真资源建设（第2期）</w:t>
      </w:r>
      <w:r>
        <w:rPr>
          <w:rFonts w:hint="eastAsia" w:ascii="宋体" w:hAnsi="宋体"/>
          <w:bCs/>
          <w:sz w:val="21"/>
          <w:szCs w:val="21"/>
        </w:rPr>
        <w:t xml:space="preserve">项目</w:t>
      </w:r>
      <w:r>
        <w:rPr>
          <w:rFonts w:hint="eastAsia" w:ascii="宋体" w:hAnsi="宋体"/>
          <w:color w:val="000000" w:themeColor="text1"/>
          <w:sz w:val="21"/>
          <w:szCs w:val="21"/>
        </w:rPr>
        <w:t xml:space="preserve">的相关事项协商一致，签订本合同书。</w:t>
      </w:r>
      <w:r/>
    </w:p>
    <w:p>
      <w:pPr>
        <w:ind w:left="0" w:firstLine="422"/>
        <w:spacing w:line="360" w:lineRule="auto"/>
        <w:rPr>
          <w:rFonts w:ascii="宋体" w:hAnsi="宋体"/>
          <w:b/>
          <w:sz w:val="21"/>
          <w:szCs w:val="21"/>
        </w:rPr>
      </w:pPr>
      <w:r>
        <w:rPr>
          <w:rFonts w:hint="eastAsia" w:ascii="宋体" w:hAnsi="宋体"/>
          <w:b/>
          <w:sz w:val="21"/>
          <w:szCs w:val="21"/>
        </w:rPr>
        <w:t xml:space="preserve">一、</w:t>
      </w:r>
      <w:r>
        <w:rPr>
          <w:rFonts w:hint="eastAsia" w:ascii="宋体" w:hAnsi="宋体"/>
          <w:b/>
          <w:sz w:val="21"/>
          <w:szCs w:val="21"/>
          <w:lang w:eastAsia="zh-Hans"/>
        </w:rPr>
        <w:t xml:space="preserve">采购内容、总金额、交付期限及交付地点</w:t>
      </w:r>
      <w:r>
        <w:rPr>
          <w:rFonts w:hint="eastAsia" w:ascii="宋体" w:hAnsi="宋体"/>
          <w:b/>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1、采购内容：详见招标文件第四章。</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2、合同总金额：￥</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rPr>
        <w:t xml:space="preserve">元（大写：</w:t>
      </w:r>
      <w:r>
        <w:rPr>
          <w:rFonts w:hint="eastAsia" w:ascii="宋体" w:hAnsi="宋体"/>
          <w:color w:val="000000" w:themeColor="text1"/>
          <w:sz w:val="21"/>
          <w:szCs w:val="21"/>
          <w:u w:val="single"/>
        </w:rPr>
        <w:t xml:space="preserve"> </w:t>
      </w:r>
      <w:r>
        <w:rPr>
          <w:rFonts w:ascii="宋体" w:hAnsi="宋体"/>
          <w:color w:val="000000" w:themeColor="text1"/>
          <w:sz w:val="21"/>
          <w:szCs w:val="21"/>
          <w:u w:val="single"/>
        </w:rPr>
        <w:t xml:space="preserve">                </w:t>
      </w:r>
      <w:r>
        <w:rPr>
          <w:rFonts w:hint="eastAsia" w:ascii="宋体" w:hAnsi="宋体"/>
          <w:color w:val="000000" w:themeColor="text1"/>
          <w:sz w:val="21"/>
          <w:szCs w:val="21"/>
        </w:rPr>
        <w:t xml:space="preserve">）。合同总价包括全部设备及其安装所需的辅材、备品、备件、专用工具、包装、运输、吊装、安装、损耗、调试、系统的设计、与相关硬件配套的软件系统和集成、检测、验收、试运行、人工、机械、仓储、保险、劳保、各种税费、专利技术、技术支持与培训、质保、售后服务与维护及相关劳务支出等所发生的全部费用以及乙方企业利润和政策性文件规定及合同包含的所有风险、责任等各项应有费用以及其它乙方认为应纳入的一切费用。项目只有通过所有相关部门验收后，方可视为项目完工。</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3、交付期限：</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4、交付地点：</w:t>
      </w:r>
      <w:r/>
    </w:p>
    <w:p>
      <w:pPr>
        <w:ind w:left="0" w:firstLine="422"/>
        <w:spacing w:line="360" w:lineRule="auto"/>
        <w:rPr>
          <w:rFonts w:ascii="宋体" w:hAnsi="宋体"/>
          <w:b/>
          <w:sz w:val="21"/>
          <w:szCs w:val="21"/>
        </w:rPr>
      </w:pPr>
      <w:r>
        <w:rPr>
          <w:rFonts w:hint="eastAsia" w:ascii="宋体" w:hAnsi="宋体"/>
          <w:b/>
          <w:sz w:val="21"/>
          <w:szCs w:val="21"/>
        </w:rPr>
        <w:t xml:space="preserve">二、付款步骤：</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1、履约保证金</w:t>
      </w:r>
      <w:r>
        <w:rPr>
          <w:rFonts w:hint="eastAsia" w:ascii="宋体" w:hAnsi="宋体"/>
          <w:color w:val="000000" w:themeColor="text1"/>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1.1合同签订生效后，乙方收到甲方缴款通知单后的五个工作日内，乙方应向甲方交纳成交金额的5%作为履约保证金，待乙方履行完合同义务后，由乙方凭甲方的收款收据自行申请履约保证金无息退还</w:t>
      </w:r>
      <w:r>
        <w:rPr>
          <w:rFonts w:hint="eastAsia" w:ascii="宋体" w:hAnsi="宋体"/>
          <w:color w:val="000000" w:themeColor="text1"/>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1.2履约保证金递交方式：以支票、转账、汇票、本票或金融机构、担保机构出具的保函等非现金形式提交。</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2、付款</w:t>
      </w:r>
      <w:r>
        <w:rPr>
          <w:rFonts w:hint="eastAsia" w:ascii="宋体" w:hAnsi="宋体"/>
          <w:color w:val="000000" w:themeColor="text1"/>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合同签订生效后的一个月内，甲方向乙方支付合同总金额的30%作为预付款，待整个项目完成并经甲方验收合格后的</w:t>
      </w:r>
      <w:r>
        <w:rPr>
          <w:rFonts w:ascii="宋体" w:hAnsi="宋体"/>
          <w:color w:val="000000" w:themeColor="text1"/>
          <w:sz w:val="21"/>
          <w:szCs w:val="21"/>
        </w:rPr>
        <w:t xml:space="preserve">15</w:t>
      </w:r>
      <w:r>
        <w:rPr>
          <w:rFonts w:hint="eastAsia" w:ascii="宋体" w:hAnsi="宋体"/>
          <w:color w:val="000000" w:themeColor="text1"/>
          <w:sz w:val="21"/>
          <w:szCs w:val="21"/>
        </w:rPr>
        <w:t xml:space="preserve">个工作日</w:t>
      </w:r>
      <w:r>
        <w:rPr>
          <w:rFonts w:hint="eastAsia" w:ascii="宋体" w:hAnsi="宋体"/>
          <w:color w:val="000000" w:themeColor="text1"/>
          <w:sz w:val="21"/>
          <w:szCs w:val="21"/>
        </w:rPr>
        <w:t xml:space="preserve">内，乙方向甲方提供下列(A、B、C)单据后，甲方支付剩余合同总金额。</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A、送货回单、</w:t>
      </w:r>
      <w:r>
        <w:rPr>
          <w:rFonts w:hint="eastAsia" w:ascii="宋体" w:hAnsi="宋体"/>
          <w:color w:val="000000" w:themeColor="text1"/>
          <w:sz w:val="21"/>
          <w:szCs w:val="21"/>
          <w:lang w:eastAsia="zh-Hans"/>
        </w:rPr>
        <w:t xml:space="preserve">结算清单</w:t>
      </w:r>
      <w:r>
        <w:rPr>
          <w:rFonts w:hint="eastAsia" w:ascii="宋体" w:hAnsi="宋体"/>
          <w:color w:val="000000" w:themeColor="text1"/>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B、合法有效</w:t>
      </w:r>
      <w:r>
        <w:rPr>
          <w:rFonts w:hint="eastAsia" w:ascii="宋体" w:hAnsi="宋体"/>
          <w:color w:val="000000" w:themeColor="text1"/>
          <w:sz w:val="21"/>
          <w:szCs w:val="21"/>
          <w:lang w:eastAsia="zh-Hans"/>
        </w:rPr>
        <w:t xml:space="preserve">的增值税普通</w:t>
      </w:r>
      <w:r>
        <w:rPr>
          <w:rFonts w:hint="eastAsia" w:ascii="宋体" w:hAnsi="宋体"/>
          <w:color w:val="000000" w:themeColor="text1"/>
          <w:sz w:val="21"/>
          <w:szCs w:val="21"/>
        </w:rPr>
        <w:t xml:space="preserve">发票；</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C、验收合格的书面证明及质保单。</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3、付款方式：银行转帐。</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在签订合同时，乙方明确表示无需预付款或者主动要求降低预付款比例的，甲方可不适用上述关于预付款的规定。</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三、质量：</w:t>
      </w:r>
      <w:r/>
    </w:p>
    <w:p>
      <w:pPr>
        <w:ind w:left="0" w:firstLine="420"/>
        <w:spacing w:line="360" w:lineRule="auto"/>
        <w:tabs>
          <w:tab w:val="left" w:pos="567" w:leader="none"/>
        </w:tabs>
        <w:rPr>
          <w:rFonts w:ascii="宋体" w:hAnsi="宋体"/>
          <w:color w:val="000000" w:themeColor="text1"/>
          <w:sz w:val="21"/>
          <w:szCs w:val="21"/>
          <w:lang w:val="zh-CN"/>
        </w:rPr>
      </w:pPr>
      <w:r>
        <w:rPr>
          <w:rFonts w:hint="eastAsia" w:ascii="宋体" w:hAnsi="宋体"/>
          <w:color w:val="000000" w:themeColor="text1"/>
          <w:sz w:val="21"/>
          <w:szCs w:val="21"/>
        </w:rPr>
        <w:t xml:space="preserve">1、</w:t>
      </w:r>
      <w:r>
        <w:rPr>
          <w:rFonts w:hint="eastAsia" w:ascii="宋体" w:hAnsi="宋体"/>
          <w:color w:val="000000" w:themeColor="text1"/>
          <w:sz w:val="21"/>
          <w:szCs w:val="21"/>
          <w:lang w:val="zh-CN"/>
        </w:rPr>
        <w:t xml:space="preserve">乙方应按照</w:t>
      </w:r>
      <w:r>
        <w:rPr>
          <w:rFonts w:hint="eastAsia" w:ascii="宋体" w:hAnsi="宋体"/>
          <w:color w:val="000000" w:themeColor="text1"/>
          <w:sz w:val="21"/>
          <w:szCs w:val="21"/>
          <w:lang w:val="zh-CN"/>
        </w:rPr>
        <w:t xml:space="preserve">招标文件</w:t>
      </w:r>
      <w:r>
        <w:rPr>
          <w:rFonts w:hint="eastAsia" w:ascii="宋体" w:hAnsi="宋体"/>
          <w:color w:val="000000" w:themeColor="text1"/>
          <w:sz w:val="21"/>
          <w:szCs w:val="21"/>
          <w:lang w:val="zh-CN"/>
        </w:rPr>
        <w:t xml:space="preserve">的有关规定提供合格的</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lang w:val="zh-CN"/>
        </w:rPr>
        <w:t xml:space="preserve">；</w:t>
      </w:r>
      <w:r/>
    </w:p>
    <w:p>
      <w:pPr>
        <w:ind w:left="0" w:firstLine="420"/>
        <w:spacing w:line="360" w:lineRule="auto"/>
        <w:tabs>
          <w:tab w:val="left" w:pos="567" w:leader="none"/>
        </w:tabs>
        <w:rPr>
          <w:rFonts w:ascii="宋体" w:hAnsi="宋体"/>
          <w:color w:val="000000" w:themeColor="text1"/>
          <w:sz w:val="21"/>
          <w:szCs w:val="21"/>
          <w:lang w:val="zh-CN"/>
        </w:rPr>
      </w:pPr>
      <w:r>
        <w:rPr>
          <w:rFonts w:hint="eastAsia" w:ascii="宋体" w:hAnsi="宋体"/>
          <w:color w:val="000000" w:themeColor="text1"/>
          <w:sz w:val="21"/>
          <w:szCs w:val="21"/>
        </w:rPr>
        <w:t xml:space="preserve">2、</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lang w:val="zh-CN"/>
        </w:rPr>
        <w:t xml:space="preserve">质量出现问题，乙方负责包修、包退、包换，费用由乙方承担；</w:t>
      </w:r>
      <w:r/>
    </w:p>
    <w:p>
      <w:pPr>
        <w:ind w:left="0" w:firstLine="420"/>
        <w:spacing w:line="360" w:lineRule="auto"/>
        <w:tabs>
          <w:tab w:val="left" w:pos="567" w:leader="none"/>
        </w:tabs>
        <w:rPr>
          <w:rFonts w:ascii="宋体" w:hAnsi="宋体"/>
          <w:color w:val="000000" w:themeColor="text1"/>
          <w:sz w:val="21"/>
          <w:szCs w:val="21"/>
          <w:lang w:val="zh-CN"/>
        </w:rPr>
      </w:pPr>
      <w:r>
        <w:rPr>
          <w:rFonts w:hint="eastAsia" w:ascii="宋体" w:hAnsi="宋体"/>
          <w:color w:val="000000" w:themeColor="text1"/>
          <w:sz w:val="21"/>
          <w:szCs w:val="21"/>
        </w:rPr>
        <w:t xml:space="preserve">3、</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lang w:val="zh-CN"/>
        </w:rPr>
        <w:t xml:space="preserve">验收包括；数量、质量、性能和乙方承诺的其它指标。</w:t>
      </w:r>
      <w:r/>
    </w:p>
    <w:p>
      <w:pPr>
        <w:ind w:left="0" w:firstLine="422"/>
        <w:spacing w:line="360" w:lineRule="auto"/>
        <w:rPr>
          <w:rFonts w:ascii="宋体" w:hAnsi="宋体"/>
          <w:b/>
          <w:sz w:val="21"/>
          <w:szCs w:val="21"/>
        </w:rPr>
      </w:pPr>
      <w:r>
        <w:rPr>
          <w:rFonts w:hint="eastAsia" w:ascii="宋体" w:hAnsi="宋体"/>
          <w:b/>
          <w:sz w:val="21"/>
          <w:szCs w:val="21"/>
        </w:rPr>
        <w:t xml:space="preserve">四、检测、验收要求（根据</w:t>
      </w:r>
      <w:r>
        <w:rPr>
          <w:rFonts w:hint="eastAsia" w:ascii="宋体" w:hAnsi="宋体"/>
          <w:b/>
          <w:sz w:val="21"/>
          <w:szCs w:val="21"/>
        </w:rPr>
        <w:t xml:space="preserve">招标文件</w:t>
      </w:r>
      <w:r>
        <w:rPr>
          <w:rFonts w:hint="eastAsia" w:ascii="宋体" w:hAnsi="宋体"/>
          <w:b/>
          <w:sz w:val="21"/>
          <w:szCs w:val="21"/>
        </w:rPr>
        <w:t xml:space="preserve">要求、乙方的投标文件及国家有关规定验收通过）：</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2、验收步骤：</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第一步：对所有材料、设备验收：</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所有材料、设备进场前须提前通知甲方，由甲方或委托第三方对其进行检测验收合格后方可进行实施，验收内容包括但不限于标的物的品牌、型号、规格、性能、数量、外观、随机资料、包装及技术资料、文件（如装箱单、保修单、随箱介质等）。</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第二步：待项目所有产品安装调试完毕、整体建设完成后，对整个项目的验收。</w:t>
      </w:r>
      <w:r/>
    </w:p>
    <w:p>
      <w:pPr>
        <w:ind w:left="0" w:firstLine="422"/>
        <w:spacing w:line="360" w:lineRule="auto"/>
        <w:rPr>
          <w:rFonts w:ascii="宋体" w:hAnsi="宋体"/>
          <w:b/>
          <w:sz w:val="21"/>
          <w:szCs w:val="21"/>
        </w:rPr>
      </w:pPr>
      <w:r>
        <w:rPr>
          <w:rFonts w:hint="eastAsia" w:ascii="宋体" w:hAnsi="宋体"/>
          <w:b/>
          <w:sz w:val="21"/>
          <w:szCs w:val="21"/>
        </w:rPr>
        <w:t xml:space="preserve">乙方所供产品必须与投标文件中承诺的技术规格、品牌、型号、配置及质量标准完全一致，若出现验收不合格的情况时，则甲方以书面形式通知乙方在规定的时间内更换符合要求的产品；逾期未更换的，甲方可解除合同并追究赔偿责任，并不予结算相关费用，相关损失和责任由乙方承担。</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3、如双方对验收结果有分歧，则以苏州市技术监督局的检验结果为准，检验费由有过失的一方支付。</w:t>
      </w:r>
      <w:r/>
    </w:p>
    <w:p>
      <w:pPr>
        <w:ind w:left="0" w:firstLine="422"/>
        <w:spacing w:line="360" w:lineRule="auto"/>
        <w:rPr>
          <w:rFonts w:ascii="宋体" w:hAnsi="宋体"/>
          <w:b/>
          <w:sz w:val="21"/>
          <w:szCs w:val="21"/>
        </w:rPr>
      </w:pPr>
      <w:r>
        <w:rPr>
          <w:rFonts w:hint="eastAsia" w:ascii="宋体" w:hAnsi="宋体"/>
          <w:b/>
          <w:sz w:val="21"/>
          <w:szCs w:val="21"/>
        </w:rPr>
        <w:t xml:space="preserve">五、质量保证和售后服务要求：详见乙方投标文件。</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1、质量保证</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1.1所有报价产品应是全新的、未使用过的、原包装未拆封的商品，完全符合采购规定的质量、规格和性能的要求并符合国家质量标准；其质量及各项技术标准应当符合国家相关产品标准或行业标准，并符合出厂检验标准；非标准设备按招标文件约定的技术要求和规范。</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1.2如乙方提供的产品质量不能符合相应的中国国家标准及行业标准, 甲方有权要求降价/换货/退货/拒收部分甚至整批货物，乙方对此承担全部责任并应赔偿甲方因此所遭受的损失。</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2、售后服务</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2.1免费质保期：所有</w:t>
      </w:r>
      <w:r>
        <w:rPr>
          <w:rFonts w:hint="eastAsia" w:ascii="宋体" w:hAnsi="宋体"/>
          <w:color w:val="000000" w:themeColor="text1"/>
          <w:sz w:val="21"/>
          <w:szCs w:val="21"/>
          <w:lang w:val="zh-CN"/>
        </w:rPr>
        <w:t xml:space="preserve">虚仿资源</w:t>
      </w:r>
      <w:r>
        <w:rPr>
          <w:rFonts w:hint="eastAsia" w:ascii="宋体" w:hAnsi="宋体"/>
          <w:color w:val="000000" w:themeColor="text1"/>
          <w:sz w:val="21"/>
          <w:szCs w:val="21"/>
        </w:rPr>
        <w:t xml:space="preserve">提供免费质保期</w:t>
      </w:r>
      <w:r>
        <w:rPr>
          <w:rFonts w:hint="eastAsia" w:ascii="宋体" w:hAnsi="宋体"/>
          <w:color w:val="000000" w:themeColor="text1"/>
          <w:sz w:val="21"/>
          <w:szCs w:val="21"/>
        </w:rPr>
        <w:t xml:space="preserve">两</w:t>
      </w:r>
      <w:r>
        <w:rPr>
          <w:rFonts w:hint="eastAsia" w:ascii="宋体" w:hAnsi="宋体"/>
          <w:color w:val="000000" w:themeColor="text1"/>
          <w:sz w:val="21"/>
          <w:szCs w:val="21"/>
        </w:rPr>
        <w:t xml:space="preserve">年，自验收合格之日起计算。在质保期内发生的任何技术和机械上的问题，设备提供商全权负责，并是免费和无偿的，包括零部件的更换。提供7*24小时运维服务，乙方应以优良的服务态度，便利、快捷的方式在1小时内响应需方提出的维修服务要求，在8小时内赶到现场，24小时内处理完毕，以确保用户正常工作。乙方应严格遵守服务合约，项目完成以后，如甲方有需要乙方配合的服务，乙方必须予以配合，协助甲方完善项目内容。</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2.2在质量保证期间出现同一故障三次发生/故障原因不明/故障不能排除等产品不能正常使用或乙方未及时提供售后服务的情况，甲方有权要求延长质量保证期/更换设备/更换零部件/退货，乙方应承担违约责任并赔偿由此给甲方造成的直接和间接损失。</w:t>
      </w:r>
      <w:r/>
    </w:p>
    <w:p>
      <w:pPr>
        <w:ind w:left="0" w:firstLine="422"/>
        <w:spacing w:line="360" w:lineRule="auto"/>
        <w:rPr>
          <w:rFonts w:ascii="宋体" w:hAnsi="宋体"/>
          <w:b/>
          <w:sz w:val="21"/>
          <w:szCs w:val="21"/>
        </w:rPr>
      </w:pPr>
      <w:r>
        <w:rPr>
          <w:rFonts w:hint="eastAsia" w:ascii="宋体" w:hAnsi="宋体"/>
          <w:b/>
          <w:sz w:val="21"/>
          <w:szCs w:val="21"/>
        </w:rPr>
        <w:t xml:space="preserve">六、</w:t>
      </w:r>
      <w:r>
        <w:rPr>
          <w:rFonts w:hint="eastAsia" w:ascii="宋体" w:hAnsi="宋体"/>
          <w:b/>
          <w:sz w:val="21"/>
          <w:szCs w:val="21"/>
          <w:lang w:eastAsia="zh-Hans"/>
        </w:rPr>
        <w:t xml:space="preserve">所有权及</w:t>
      </w:r>
      <w:r>
        <w:rPr>
          <w:rFonts w:hint="eastAsia" w:ascii="宋体" w:hAnsi="宋体"/>
          <w:b/>
          <w:sz w:val="21"/>
          <w:szCs w:val="21"/>
        </w:rPr>
        <w:t xml:space="preserve">知识产权</w:t>
      </w:r>
      <w:r/>
    </w:p>
    <w:p>
      <w:pPr>
        <w:ind w:left="0" w:firstLine="420"/>
        <w:spacing w:line="360" w:lineRule="auto"/>
        <w:tabs>
          <w:tab w:val="left" w:pos="567" w:leader="none"/>
        </w:tabs>
        <w:rPr>
          <w:rFonts w:ascii="宋体" w:hAnsi="宋体"/>
          <w:sz w:val="24"/>
          <w:szCs w:val="24"/>
        </w:rPr>
      </w:pPr>
      <w:r>
        <w:rPr>
          <w:rFonts w:hint="eastAsia" w:ascii="宋体" w:hAnsi="宋体"/>
          <w:color w:val="000000" w:themeColor="text1"/>
          <w:sz w:val="21"/>
          <w:szCs w:val="21"/>
          <w:lang w:eastAsia="zh-Han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left="0" w:firstLine="422"/>
        <w:spacing w:line="360" w:lineRule="auto"/>
        <w:rPr>
          <w:rFonts w:ascii="宋体" w:hAnsi="宋体"/>
          <w:b/>
          <w:sz w:val="21"/>
          <w:szCs w:val="21"/>
        </w:rPr>
      </w:pPr>
      <w:r>
        <w:rPr>
          <w:rFonts w:hint="eastAsia" w:ascii="宋体" w:hAnsi="宋体"/>
          <w:b/>
          <w:sz w:val="21"/>
          <w:szCs w:val="21"/>
        </w:rPr>
        <w:t xml:space="preserve">七</w:t>
      </w:r>
      <w:r>
        <w:rPr>
          <w:rFonts w:hint="eastAsia" w:ascii="宋体" w:hAnsi="宋体"/>
          <w:b/>
          <w:sz w:val="21"/>
          <w:szCs w:val="21"/>
          <w:lang w:eastAsia="zh-Hans"/>
        </w:rPr>
        <w:t xml:space="preserve">、</w:t>
      </w:r>
      <w:r>
        <w:rPr>
          <w:rFonts w:hint="eastAsia" w:ascii="宋体" w:hAnsi="宋体"/>
          <w:b/>
          <w:sz w:val="21"/>
          <w:szCs w:val="21"/>
        </w:rPr>
        <w:t xml:space="preserve">违约责任 </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1.甲方违约责任及违约金支付：</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1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①</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在合同生效后，甲方无正当理由要求终止</w:t>
      </w:r>
      <w:r>
        <w:rPr>
          <w:rFonts w:hint="eastAsia" w:ascii="宋体" w:hAnsi="宋体"/>
          <w:color w:val="000000" w:themeColor="text1"/>
          <w:sz w:val="21"/>
          <w:szCs w:val="21"/>
        </w:rPr>
        <w:t xml:space="preserve">项目</w:t>
      </w:r>
      <w:r>
        <w:rPr>
          <w:rFonts w:hint="eastAsia" w:ascii="宋体" w:hAnsi="宋体"/>
          <w:color w:val="000000" w:themeColor="text1"/>
          <w:sz w:val="21"/>
          <w:szCs w:val="21"/>
          <w:lang w:eastAsia="zh-Hans"/>
        </w:rPr>
        <w:t xml:space="preserve">的，应向乙方偿付合同总价款的5%作为违约金，违约金不足以赔偿损失的，乙方有权要求甲方补足。</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2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②</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甲方无正当理由逾期付款的应按照合同总价金额的每天万分之四支付合同总价违约金。</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2.乙方违约责任及违约金支付：</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1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①</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乙方不能提供货物的，或货物不合格从而影响甲方按期正常使用的，应向甲方偿付合同总价款5%的违约金，违约金不足以赔偿损失的，甲方有权要求乙方补足。</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2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②</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乙方逾期提供货物的，应与甲方部门协商，甲方仍需求的，乙方应立即提供货物按照合同总价的每天万分之四支付逾期违约金，同时承担甲方因此遭受的损失费用。</w:t>
      </w:r>
      <w:r/>
    </w:p>
    <w:p>
      <w:pPr>
        <w:ind w:left="0" w:firstLine="420"/>
        <w:spacing w:line="360" w:lineRule="auto"/>
        <w:tabs>
          <w:tab w:val="left" w:pos="567" w:leader="none"/>
        </w:tabs>
        <w:rPr>
          <w:rFonts w:ascii="宋体" w:hAnsi="宋体"/>
          <w:sz w:val="24"/>
          <w:szCs w:val="24"/>
          <w:lang w:eastAsia="zh-Hans"/>
        </w:rPr>
      </w:pPr>
      <w:r>
        <w:rPr>
          <w:rFonts w:hint="eastAsia" w:ascii="宋体" w:hAnsi="宋体"/>
          <w:color w:val="000000" w:themeColor="text1"/>
          <w:sz w:val="21"/>
          <w:szCs w:val="21"/>
          <w:lang w:eastAsia="zh-Hans"/>
        </w:rPr>
        <w:t xml:space="preserve">3.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left="0" w:firstLine="422"/>
        <w:spacing w:line="360" w:lineRule="auto"/>
        <w:rPr>
          <w:rFonts w:ascii="宋体" w:hAnsi="宋体"/>
          <w:b/>
          <w:sz w:val="21"/>
          <w:szCs w:val="21"/>
          <w:lang w:eastAsia="zh-Hans"/>
        </w:rPr>
      </w:pPr>
      <w:r>
        <w:rPr>
          <w:rFonts w:hint="eastAsia" w:ascii="宋体" w:hAnsi="宋体"/>
          <w:b/>
          <w:sz w:val="21"/>
          <w:szCs w:val="21"/>
        </w:rPr>
        <w:t xml:space="preserve">八</w:t>
      </w:r>
      <w:r>
        <w:rPr>
          <w:rFonts w:hint="eastAsia" w:ascii="宋体" w:hAnsi="宋体"/>
          <w:b/>
          <w:sz w:val="21"/>
          <w:szCs w:val="21"/>
          <w:lang w:eastAsia="zh-Hans"/>
        </w:rPr>
        <w:t xml:space="preserve">、不可抗力</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1、因不可抗力不能履行合同的，根据不可抗力的影响，部分或者全部免除责任。但合同一方迟延履行后发生不可抗力的，不能免除责任。</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2、合同一方因不可抗力不能履行合同的，应当及时通知对方，以减轻可能给对方造成的损失，并应当在合理期限内提供证明。</w:t>
      </w:r>
      <w:r/>
    </w:p>
    <w:p>
      <w:pPr>
        <w:ind w:left="0" w:firstLine="422"/>
        <w:spacing w:line="360" w:lineRule="auto"/>
        <w:rPr>
          <w:rFonts w:ascii="宋体" w:hAnsi="宋体"/>
          <w:b/>
          <w:sz w:val="21"/>
          <w:szCs w:val="21"/>
          <w:lang w:eastAsia="zh-Hans"/>
        </w:rPr>
      </w:pPr>
      <w:r>
        <w:rPr>
          <w:rFonts w:hint="eastAsia" w:ascii="宋体" w:hAnsi="宋体"/>
          <w:b/>
          <w:sz w:val="21"/>
          <w:szCs w:val="21"/>
        </w:rPr>
        <w:t xml:space="preserve">九</w:t>
      </w:r>
      <w:r>
        <w:rPr>
          <w:rFonts w:hint="eastAsia" w:ascii="宋体" w:hAnsi="宋体"/>
          <w:b/>
          <w:sz w:val="21"/>
          <w:szCs w:val="21"/>
          <w:lang w:eastAsia="zh-Hans"/>
        </w:rPr>
        <w:t xml:space="preserve">、合同的解除和转让</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1.甲方和乙方协商一致，可以解除合同。</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2.有下列情形之一，合同一方可以解除合同：</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1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①</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因不可抗力致使不能实现合同目的，未受不可抗力影响的一方有权解除合同；</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fldChar w:fldCharType="begin"/>
      </w:r>
      <w:r>
        <w:rPr>
          <w:rFonts w:hint="eastAsia" w:ascii="宋体" w:hAnsi="宋体"/>
          <w:color w:val="000000" w:themeColor="text1"/>
          <w:sz w:val="21"/>
          <w:szCs w:val="21"/>
          <w:lang w:eastAsia="zh-Hans"/>
        </w:rPr>
        <w:instrText xml:space="preserve"> = 2 \* GB3 </w:instrText>
      </w:r>
      <w:r>
        <w:rPr>
          <w:rFonts w:hint="eastAsia" w:ascii="宋体" w:hAnsi="宋体"/>
          <w:color w:val="000000" w:themeColor="text1"/>
          <w:sz w:val="21"/>
          <w:szCs w:val="21"/>
          <w:lang w:eastAsia="zh-Hans"/>
        </w:rPr>
        <w:fldChar w:fldCharType="separate"/>
      </w:r>
      <w:r>
        <w:rPr>
          <w:rFonts w:hint="eastAsia" w:ascii="宋体" w:hAnsi="宋体"/>
          <w:color w:val="000000" w:themeColor="text1"/>
          <w:sz w:val="21"/>
          <w:szCs w:val="21"/>
          <w:lang w:eastAsia="zh-Hans"/>
        </w:rPr>
        <w:t xml:space="preserve">②</w:t>
      </w:r>
      <w:r>
        <w:rPr>
          <w:rFonts w:hint="eastAsia" w:ascii="宋体" w:hAnsi="宋体"/>
          <w:color w:val="000000" w:themeColor="text1"/>
          <w:sz w:val="21"/>
          <w:szCs w:val="21"/>
          <w:lang w:eastAsia="zh-Hans"/>
        </w:rPr>
        <w:fldChar w:fldCharType="end"/>
      </w:r>
      <w:r>
        <w:rPr>
          <w:rFonts w:hint="eastAsia" w:ascii="宋体" w:hAnsi="宋体"/>
          <w:color w:val="000000" w:themeColor="text1"/>
          <w:sz w:val="21"/>
          <w:szCs w:val="21"/>
          <w:lang w:eastAsia="zh-Hans"/>
        </w:rPr>
        <w:t xml:space="preserve">因合同一方违约导致合同不能履行，另一方有权解除合同。</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③经甲方【2】次验收不合格的，甲方有权解除合同。</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3.有权解除合同的一方，应当在违约事实或不可抗力发生之后三十天内书面通知对方提出解除合同，合同在书面通知到达对方时解除。</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4.合同的部分和全部都不得转让。</w:t>
      </w:r>
      <w:r/>
    </w:p>
    <w:p>
      <w:pPr>
        <w:ind w:left="0" w:firstLine="422"/>
        <w:spacing w:line="360" w:lineRule="auto"/>
        <w:rPr>
          <w:rFonts w:ascii="宋体" w:hAnsi="宋体"/>
          <w:b/>
          <w:sz w:val="21"/>
          <w:szCs w:val="21"/>
          <w:lang w:eastAsia="zh-Hans"/>
        </w:rPr>
      </w:pPr>
      <w:r>
        <w:rPr>
          <w:rFonts w:hint="eastAsia" w:ascii="宋体" w:hAnsi="宋体"/>
          <w:b/>
          <w:sz w:val="21"/>
          <w:szCs w:val="21"/>
        </w:rPr>
        <w:t xml:space="preserve">十</w:t>
      </w:r>
      <w:r>
        <w:rPr>
          <w:rFonts w:hint="eastAsia" w:ascii="宋体" w:hAnsi="宋体"/>
          <w:b/>
          <w:sz w:val="21"/>
          <w:szCs w:val="21"/>
          <w:lang w:eastAsia="zh-Hans"/>
        </w:rPr>
        <w:t xml:space="preserve">、争议解决方法</w:t>
      </w:r>
      <w:bookmarkStart w:id="103" w:name="_Hlk31709859"/>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1、</w:t>
      </w:r>
      <w:bookmarkEnd w:id="103"/>
      <w:r>
        <w:rPr>
          <w:rFonts w:hint="eastAsia" w:ascii="宋体" w:hAnsi="宋体"/>
          <w:color w:val="000000" w:themeColor="text1"/>
          <w:sz w:val="21"/>
          <w:szCs w:val="21"/>
          <w:lang w:eastAsia="zh-Hans"/>
        </w:rPr>
        <w:t xml:space="preserve">因本合同产生的或与其有关的任何争议或分歧，包括本合同的成立、解释、效力、终止或履行等有关的任何问题，均适用中国法律。</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p>
    <w:p>
      <w:pPr>
        <w:ind w:left="0" w:firstLine="422"/>
        <w:spacing w:line="360" w:lineRule="auto"/>
        <w:rPr>
          <w:rFonts w:ascii="宋体" w:hAnsi="宋体"/>
          <w:b/>
          <w:sz w:val="21"/>
          <w:szCs w:val="21"/>
          <w:lang w:eastAsia="zh-Hans"/>
        </w:rPr>
      </w:pPr>
      <w:r>
        <w:rPr>
          <w:rFonts w:hint="eastAsia" w:ascii="宋体" w:hAnsi="宋体"/>
          <w:b/>
          <w:sz w:val="21"/>
          <w:szCs w:val="21"/>
          <w:lang w:eastAsia="zh-Hans"/>
        </w:rPr>
        <w:t xml:space="preserve">十</w:t>
      </w:r>
      <w:r>
        <w:rPr>
          <w:rFonts w:hint="eastAsia" w:ascii="宋体" w:hAnsi="宋体"/>
          <w:b/>
          <w:sz w:val="21"/>
          <w:szCs w:val="21"/>
        </w:rPr>
        <w:t xml:space="preserve">一</w:t>
      </w:r>
      <w:r>
        <w:rPr>
          <w:rFonts w:hint="eastAsia" w:ascii="宋体" w:hAnsi="宋体"/>
          <w:b/>
          <w:sz w:val="21"/>
          <w:szCs w:val="21"/>
          <w:lang w:eastAsia="zh-Hans"/>
        </w:rPr>
        <w:t xml:space="preserve">、其他</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1、合同经甲乙双方代表签字盖章可生效。合同壹式   份，甲方执   份，乙方执   份，具有同等的法律效力。</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2、双方文首所确认的送达地址、联系人、联系方式为双方平时函件和法律文书的送达地址、联系人和联系方式，如发生变更的，应当于变更之日起3日内书面通知另一方，否则自行承担由此引起的不利后果。</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3、下列文件为本合同不可分割部分：</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① 成交通知书；              ② 乙方的响应文件；</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③ 乙方在响应过程中所作的其它承诺、声明、书面澄清等；</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④ </w:t>
      </w:r>
      <w:r>
        <w:rPr>
          <w:rFonts w:hint="eastAsia" w:ascii="宋体" w:hAnsi="宋体"/>
          <w:color w:val="000000" w:themeColor="text1"/>
          <w:sz w:val="21"/>
          <w:szCs w:val="21"/>
          <w:lang w:eastAsia="zh-Hans"/>
        </w:rPr>
        <w:t xml:space="preserve">招标文件</w:t>
      </w:r>
      <w:r>
        <w:rPr>
          <w:rFonts w:hint="eastAsia" w:ascii="宋体" w:hAnsi="宋体"/>
          <w:color w:val="000000" w:themeColor="text1"/>
          <w:sz w:val="21"/>
          <w:szCs w:val="21"/>
          <w:lang w:eastAsia="zh-Hans"/>
        </w:rPr>
        <w:t xml:space="preserve">及其附件；        ⑤ 合同附件；       ⑥补充协议</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lang w:eastAsia="zh-Hans"/>
        </w:rPr>
        <w:t xml:space="preserve">以上与本合同具有同等法律效力。 </w:t>
      </w:r>
      <w:r/>
    </w:p>
    <w:p>
      <w:pPr>
        <w:ind w:left="0" w:firstLine="420"/>
        <w:spacing w:line="360" w:lineRule="auto"/>
        <w:tabs>
          <w:tab w:val="left" w:pos="567" w:leader="none"/>
        </w:tabs>
        <w:rPr>
          <w:rFonts w:ascii="宋体" w:hAnsi="宋体"/>
          <w:color w:val="000000" w:themeColor="text1"/>
          <w:sz w:val="21"/>
          <w:szCs w:val="21"/>
          <w:lang w:eastAsia="zh-Hans"/>
        </w:rPr>
      </w:pPr>
      <w:r>
        <w:rPr>
          <w:rFonts w:hint="eastAsia" w:ascii="宋体" w:hAnsi="宋体"/>
          <w:color w:val="000000" w:themeColor="text1"/>
          <w:sz w:val="21"/>
          <w:szCs w:val="21"/>
        </w:rPr>
        <w:t xml:space="preserve">（</w:t>
      </w:r>
      <w:r>
        <w:rPr>
          <w:rFonts w:hint="eastAsia" w:ascii="宋体" w:hAnsi="宋体"/>
          <w:color w:val="000000" w:themeColor="text1"/>
          <w:sz w:val="21"/>
          <w:szCs w:val="21"/>
          <w:lang w:eastAsia="zh-Hans"/>
        </w:rPr>
        <w:t xml:space="preserve">以下无正文）</w:t>
      </w:r>
      <w:r/>
    </w:p>
    <w:p>
      <w:pPr>
        <w:ind w:left="0"/>
        <w:spacing w:line="360" w:lineRule="auto"/>
        <w:tabs>
          <w:tab w:val="left" w:pos="567" w:leader="none"/>
        </w:tabs>
        <w:rPr>
          <w:rFonts w:ascii="宋体" w:hAnsi="宋体"/>
          <w:color w:val="000000" w:themeColor="text1"/>
          <w:sz w:val="21"/>
          <w:szCs w:val="21"/>
        </w:rPr>
      </w:pPr>
      <w:r>
        <w:rPr>
          <w:rFonts w:ascii="宋体" w:hAnsi="宋体"/>
          <w:color w:val="000000" w:themeColor="text1"/>
          <w:sz w:val="21"/>
          <w:szCs w:val="21"/>
        </w:rPr>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甲方（盖章）：                            乙方（盖章）：</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甲方代表人（</w:t>
      </w:r>
      <w:r>
        <w:rPr>
          <w:rFonts w:hint="eastAsia" w:ascii="宋体" w:hAnsi="宋体"/>
          <w:color w:val="000000" w:themeColor="text1"/>
          <w:sz w:val="21"/>
          <w:szCs w:val="21"/>
          <w:lang w:eastAsia="zh-Hans"/>
        </w:rPr>
        <w:t xml:space="preserve">签字）</w:t>
      </w:r>
      <w:r>
        <w:rPr>
          <w:rFonts w:hint="eastAsia" w:ascii="宋体" w:hAnsi="宋体"/>
          <w:color w:val="000000" w:themeColor="text1"/>
          <w:sz w:val="21"/>
          <w:szCs w:val="21"/>
        </w:rPr>
        <w:t xml:space="preserve">：                      乙方代表人（</w:t>
      </w:r>
      <w:r>
        <w:rPr>
          <w:rFonts w:hint="eastAsia" w:ascii="宋体" w:hAnsi="宋体"/>
          <w:color w:val="000000" w:themeColor="text1"/>
          <w:sz w:val="21"/>
          <w:szCs w:val="21"/>
          <w:lang w:eastAsia="zh-Hans"/>
        </w:rPr>
        <w:t xml:space="preserve">签字）</w:t>
      </w:r>
      <w:r>
        <w:rPr>
          <w:rFonts w:hint="eastAsia" w:ascii="宋体" w:hAnsi="宋体"/>
          <w:color w:val="000000" w:themeColor="text1"/>
          <w:sz w:val="21"/>
          <w:szCs w:val="21"/>
        </w:rPr>
        <w:t xml:space="preserve">：</w:t>
      </w:r>
      <w:r/>
    </w:p>
    <w:p>
      <w:pPr>
        <w:ind w:left="0" w:firstLine="420"/>
        <w:spacing w:line="360" w:lineRule="auto"/>
        <w:tabs>
          <w:tab w:val="left" w:pos="567" w:leader="none"/>
        </w:tabs>
        <w:rPr>
          <w:rFonts w:ascii="宋体" w:hAnsi="宋体"/>
          <w:color w:val="000000" w:themeColor="text1"/>
          <w:sz w:val="21"/>
          <w:szCs w:val="21"/>
        </w:rPr>
      </w:pPr>
      <w:r>
        <w:rPr>
          <w:rFonts w:hint="eastAsia" w:ascii="宋体" w:hAnsi="宋体"/>
          <w:color w:val="000000" w:themeColor="text1"/>
          <w:sz w:val="21"/>
          <w:szCs w:val="21"/>
        </w:rPr>
        <w:t xml:space="preserve">年    月    日</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年    月    日</w:t>
      </w:r>
      <w:bookmarkStart w:id="104" w:name="_Toc105397795"/>
      <w:r/>
      <w:r/>
    </w:p>
    <w:p>
      <w:pPr>
        <w:pStyle w:val="841"/>
        <w:ind w:left="0" w:firstLine="0"/>
        <w:jc w:val="center"/>
        <w:rPr>
          <w:rFonts w:ascii="宋体" w:hAnsi="宋体"/>
          <w:b/>
          <w:sz w:val="44"/>
          <w:szCs w:val="22"/>
        </w:rPr>
      </w:pPr>
      <w:r>
        <w:rPr>
          <w:rFonts w:hint="eastAsia" w:ascii="宋体" w:hAnsi="宋体"/>
          <w:b/>
          <w:sz w:val="44"/>
          <w:szCs w:val="22"/>
        </w:rPr>
        <w:t xml:space="preserve">第六章 </w:t>
      </w:r>
      <w:bookmarkStart w:id="105" w:name="评分要点"/>
      <w:r/>
      <w:bookmarkEnd w:id="105"/>
      <w:r>
        <w:rPr>
          <w:rFonts w:hint="eastAsia" w:ascii="宋体" w:hAnsi="宋体"/>
          <w:b/>
          <w:sz w:val="44"/>
          <w:szCs w:val="22"/>
        </w:rPr>
        <w:t xml:space="preserve"> 评标办法和评分标准</w:t>
      </w:r>
      <w:bookmarkEnd w:id="97"/>
      <w:r/>
      <w:bookmarkEnd w:id="98"/>
      <w:r/>
      <w:bookmarkEnd w:id="99"/>
      <w:r/>
      <w:bookmarkEnd w:id="104"/>
      <w:r/>
      <w:r/>
    </w:p>
    <w:p>
      <w:pPr>
        <w:ind w:left="0" w:firstLine="422"/>
        <w:spacing w:line="360" w:lineRule="auto"/>
        <w:rPr>
          <w:rFonts w:ascii="宋体" w:hAnsi="宋体"/>
          <w:b/>
          <w:sz w:val="21"/>
          <w:szCs w:val="21"/>
        </w:rPr>
      </w:pPr>
      <w:r/>
      <w:bookmarkStart w:id="106" w:name="_Toc16264"/>
      <w:r/>
      <w:bookmarkStart w:id="107" w:name="_Toc17476"/>
      <w:r/>
      <w:bookmarkStart w:id="108" w:name="_Toc698"/>
      <w:r>
        <w:rPr>
          <w:rFonts w:hint="eastAsia" w:ascii="宋体" w:hAnsi="宋体"/>
          <w:b/>
          <w:sz w:val="21"/>
          <w:szCs w:val="21"/>
        </w:rPr>
        <w:t xml:space="preserve">一、评标办法：</w:t>
      </w:r>
      <w:bookmarkEnd w:id="106"/>
      <w:r/>
      <w:bookmarkEnd w:id="107"/>
      <w:r/>
      <w:bookmarkEnd w:id="10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10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（二）技术响应情况（30分）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根据招标文件要求酌情打分，所有技术指标均满足或优于采购需求的得30分。</w:t>
      </w:r>
      <w:r/>
    </w:p>
    <w:p>
      <w:pPr>
        <w:ind w:left="0" w:firstLine="420"/>
        <w:spacing w:line="360" w:lineRule="auto"/>
        <w:widowControl w:val="off"/>
        <w:rPr>
          <w:rFonts w:ascii="宋体" w:hAnsi="宋体"/>
          <w:bCs/>
          <w:sz w:val="21"/>
          <w:szCs w:val="22"/>
        </w:rPr>
      </w:pPr>
      <w:r>
        <w:rPr>
          <w:rFonts w:hint="eastAsia" w:ascii="宋体" w:hAnsi="宋体"/>
          <w:sz w:val="21"/>
          <w:szCs w:val="22"/>
        </w:rPr>
        <w:t xml:space="preserve">标注“▲”的为重要技术指标，每有一处负偏离扣2分</w:t>
      </w:r>
      <w:r>
        <w:rPr>
          <w:rFonts w:hint="eastAsia" w:ascii="宋体" w:hAnsi="宋体"/>
          <w:sz w:val="21"/>
          <w:szCs w:val="22"/>
        </w:rPr>
        <w:t xml:space="preserve">，投标文件中需提供软件功能截图作为证明材料加盖投标单位公章，</w:t>
      </w:r>
      <w:r>
        <w:rPr>
          <w:rFonts w:hint="eastAsia" w:ascii="宋体" w:hAnsi="宋体"/>
          <w:bCs/>
          <w:sz w:val="21"/>
          <w:szCs w:val="22"/>
        </w:rPr>
        <w:t xml:space="preserve">未提供的视为负偏离。（1</w:t>
      </w:r>
      <w:r>
        <w:rPr>
          <w:rFonts w:ascii="宋体" w:hAnsi="宋体"/>
          <w:bCs/>
          <w:sz w:val="21"/>
          <w:szCs w:val="22"/>
        </w:rPr>
        <w:t xml:space="preserve">0</w:t>
      </w:r>
      <w:r>
        <w:rPr>
          <w:rFonts w:hint="eastAsia" w:ascii="宋体" w:hAnsi="宋体"/>
          <w:bCs/>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标注“●”的为次要技术指标，每有一处负偏离扣</w:t>
      </w:r>
      <w:r>
        <w:rPr>
          <w:rFonts w:ascii="宋体" w:hAnsi="宋体"/>
          <w:sz w:val="21"/>
          <w:szCs w:val="22"/>
        </w:rPr>
        <w:t xml:space="preserve">1</w:t>
      </w:r>
      <w:r>
        <w:rPr>
          <w:rFonts w:hint="eastAsia" w:ascii="宋体" w:hAnsi="宋体"/>
          <w:sz w:val="21"/>
          <w:szCs w:val="22"/>
        </w:rPr>
        <w:t xml:space="preserve">分</w:t>
      </w:r>
      <w:r>
        <w:rPr>
          <w:rFonts w:hint="eastAsia" w:ascii="宋体" w:hAnsi="宋体"/>
          <w:sz w:val="21"/>
          <w:szCs w:val="22"/>
        </w:rPr>
        <w:t xml:space="preserve">，投标文件中</w:t>
      </w:r>
      <w:r>
        <w:rPr>
          <w:rFonts w:hint="eastAsia" w:ascii="宋体" w:hAnsi="宋体"/>
          <w:sz w:val="21"/>
          <w:szCs w:val="22"/>
        </w:rPr>
        <w:t xml:space="preserve">需在偏离表</w:t>
      </w:r>
      <w:r>
        <w:rPr>
          <w:rFonts w:hint="eastAsia" w:ascii="宋体" w:hAnsi="宋体"/>
          <w:sz w:val="21"/>
          <w:szCs w:val="22"/>
        </w:rPr>
        <w:t xml:space="preserve">（</w:t>
      </w:r>
      <w:r>
        <w:rPr>
          <w:rFonts w:hint="eastAsia" w:ascii="宋体" w:hAnsi="宋体"/>
          <w:sz w:val="21"/>
          <w:szCs w:val="22"/>
        </w:rPr>
        <w:t xml:space="preserve">技术、商务</w:t>
      </w:r>
      <w:r>
        <w:rPr>
          <w:rFonts w:hint="eastAsia" w:ascii="宋体" w:hAnsi="宋体"/>
          <w:sz w:val="21"/>
          <w:szCs w:val="22"/>
        </w:rPr>
        <w:t xml:space="preserve">）</w:t>
      </w:r>
      <w:r>
        <w:rPr>
          <w:rFonts w:hint="eastAsia" w:ascii="宋体" w:hAnsi="宋体"/>
          <w:sz w:val="21"/>
          <w:szCs w:val="22"/>
        </w:rPr>
        <w:t xml:space="preserve">中逐条响应</w:t>
      </w:r>
      <w:r>
        <w:rPr>
          <w:rFonts w:hint="eastAsia" w:ascii="宋体" w:hAnsi="宋体"/>
          <w:bCs/>
          <w:sz w:val="21"/>
          <w:szCs w:val="22"/>
        </w:rPr>
        <w:t xml:space="preserve">。</w:t>
      </w:r>
      <w:r>
        <w:rPr>
          <w:rFonts w:hint="eastAsia" w:ascii="宋体" w:hAnsi="宋体"/>
          <w:bCs/>
          <w:sz w:val="21"/>
          <w:szCs w:val="22"/>
        </w:rPr>
        <w:t xml:space="preserve">（2</w:t>
      </w:r>
      <w:r>
        <w:rPr>
          <w:rFonts w:ascii="宋体" w:hAnsi="宋体"/>
          <w:bCs/>
          <w:sz w:val="21"/>
          <w:szCs w:val="22"/>
        </w:rPr>
        <w:t xml:space="preserve">0</w:t>
      </w:r>
      <w:r>
        <w:rPr>
          <w:rFonts w:hint="eastAsia" w:ascii="宋体" w:hAnsi="宋体"/>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w:t>
      </w:r>
      <w:r>
        <w:rPr>
          <w:rFonts w:hint="eastAsia" w:ascii="宋体" w:hAnsi="宋体"/>
          <w:b/>
          <w:bCs/>
          <w:sz w:val="21"/>
          <w:szCs w:val="21"/>
        </w:rPr>
        <w:t xml:space="preserve">技术方案（30分）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1.项目管理和实施方案（12分）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根据供应商对本项目整体管理方案和实施的科学性、可行性、先进性、合理性、完善程度进行整体评价，包括但不限于：</w:t>
      </w:r>
      <w:r/>
    </w:p>
    <w:p>
      <w:pPr>
        <w:ind w:left="0" w:firstLine="420"/>
        <w:spacing w:line="360" w:lineRule="auto"/>
        <w:widowControl w:val="off"/>
        <w:rPr>
          <w:rFonts w:ascii="宋体" w:hAnsi="宋体"/>
          <w:sz w:val="21"/>
          <w:szCs w:val="22"/>
        </w:rPr>
      </w:pPr>
      <w:r>
        <w:rPr>
          <w:rFonts w:hint="eastAsia" w:ascii="宋体" w:hAnsi="宋体"/>
          <w:sz w:val="21"/>
          <w:szCs w:val="22"/>
        </w:rPr>
        <w:t xml:space="preserve">（1）项目实施计划；</w:t>
      </w:r>
      <w:r/>
    </w:p>
    <w:p>
      <w:pPr>
        <w:ind w:left="0" w:firstLine="420"/>
        <w:spacing w:line="360" w:lineRule="auto"/>
        <w:widowControl w:val="off"/>
        <w:rPr>
          <w:rFonts w:ascii="宋体" w:hAnsi="宋体"/>
          <w:sz w:val="21"/>
          <w:szCs w:val="22"/>
        </w:rPr>
      </w:pPr>
      <w:r>
        <w:rPr>
          <w:rFonts w:hint="eastAsia" w:ascii="宋体" w:hAnsi="宋体"/>
          <w:sz w:val="21"/>
          <w:szCs w:val="22"/>
        </w:rPr>
        <w:t xml:space="preserve">（2）项目组织方式；</w:t>
      </w:r>
      <w:r/>
    </w:p>
    <w:p>
      <w:pPr>
        <w:ind w:left="0" w:firstLine="420"/>
        <w:spacing w:line="360" w:lineRule="auto"/>
        <w:widowControl w:val="off"/>
        <w:rPr>
          <w:rFonts w:ascii="宋体" w:hAnsi="宋体"/>
          <w:sz w:val="21"/>
          <w:szCs w:val="22"/>
        </w:rPr>
      </w:pPr>
      <w:r>
        <w:rPr>
          <w:rFonts w:hint="eastAsia" w:ascii="宋体" w:hAnsi="宋体"/>
          <w:sz w:val="21"/>
          <w:szCs w:val="22"/>
        </w:rPr>
        <w:t xml:space="preserve">（3）项目进度控制；</w:t>
      </w:r>
      <w:r/>
    </w:p>
    <w:p>
      <w:pPr>
        <w:ind w:left="0" w:firstLine="420"/>
        <w:spacing w:line="360" w:lineRule="auto"/>
        <w:widowControl w:val="off"/>
        <w:rPr>
          <w:rFonts w:ascii="宋体" w:hAnsi="宋体"/>
          <w:sz w:val="21"/>
          <w:szCs w:val="22"/>
        </w:rPr>
      </w:pPr>
      <w:r>
        <w:rPr>
          <w:rFonts w:hint="eastAsia" w:ascii="宋体" w:hAnsi="宋体"/>
          <w:sz w:val="21"/>
          <w:szCs w:val="22"/>
        </w:rPr>
        <w:t xml:space="preserve">（4）项目汇报沟通机制。</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上述每项应逐条叙述，方案内容完整、条理清晰的得3分；内容基本完整，条理较为清晰的得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分；每项叙述内容完全脱离采购需求或未作完整叙述的不得分。本项最高得12分。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2.培训方案（6分）</w:t>
      </w:r>
      <w:r>
        <w:rPr>
          <w:rFonts w:hint="eastAsia" w:ascii="宋体" w:hAnsi="宋体"/>
          <w:sz w:val="21"/>
          <w:szCs w:val="22"/>
        </w:rPr>
        <w:tab/>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针对本项目提供详细的培训方案，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（1）培训策略；</w:t>
      </w:r>
      <w:r/>
    </w:p>
    <w:p>
      <w:pPr>
        <w:ind w:left="0" w:firstLine="420"/>
        <w:spacing w:line="360" w:lineRule="auto"/>
        <w:widowControl w:val="off"/>
        <w:rPr>
          <w:rFonts w:ascii="宋体" w:hAnsi="宋体"/>
          <w:sz w:val="21"/>
          <w:szCs w:val="21"/>
        </w:rPr>
      </w:pPr>
      <w:r>
        <w:rPr>
          <w:rFonts w:hint="eastAsia" w:ascii="宋体" w:hAnsi="宋体"/>
          <w:sz w:val="21"/>
          <w:szCs w:val="21"/>
        </w:rPr>
        <w:t xml:space="preserve">（2）培训内容；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（3）培训日程</w:t>
      </w:r>
      <w:r>
        <w:rPr>
          <w:rFonts w:hint="eastAsia" w:ascii="宋体" w:hAnsi="宋体"/>
          <w:sz w:val="21"/>
          <w:szCs w:val="21"/>
        </w:rPr>
        <w:t xml:space="preserve">。</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3.售后服务方案（6分）</w:t>
      </w:r>
      <w:r>
        <w:rPr>
          <w:rFonts w:hint="eastAsia" w:ascii="宋体" w:hAnsi="宋体"/>
          <w:sz w:val="21"/>
          <w:szCs w:val="22"/>
        </w:rPr>
        <w:tab/>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针对本项目提供详细的售后服务方案，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2"/>
        </w:rPr>
      </w:pPr>
      <w:r>
        <w:rPr>
          <w:rFonts w:hint="eastAsia" w:ascii="宋体" w:hAnsi="宋体"/>
          <w:sz w:val="21"/>
          <w:szCs w:val="21"/>
        </w:rPr>
        <w:t xml:space="preserve">（1）质保期内</w:t>
      </w:r>
      <w:r>
        <w:rPr>
          <w:rFonts w:hint="eastAsia" w:ascii="宋体" w:hAnsi="宋体"/>
          <w:sz w:val="21"/>
          <w:szCs w:val="22"/>
        </w:rPr>
        <w:t xml:space="preserve">服务方式；</w:t>
      </w:r>
      <w:r/>
    </w:p>
    <w:p>
      <w:pPr>
        <w:ind w:left="0" w:firstLine="420"/>
        <w:spacing w:line="360" w:lineRule="auto"/>
        <w:widowControl w:val="off"/>
        <w:rPr>
          <w:rFonts w:ascii="宋体" w:hAnsi="宋体"/>
          <w:sz w:val="21"/>
          <w:szCs w:val="22"/>
        </w:rPr>
      </w:pPr>
      <w:r>
        <w:rPr>
          <w:rFonts w:hint="eastAsia" w:ascii="宋体" w:hAnsi="宋体"/>
          <w:sz w:val="21"/>
          <w:szCs w:val="22"/>
        </w:rPr>
        <w:t xml:space="preserve">（2）质保期外服务标准；</w:t>
      </w:r>
      <w:r/>
    </w:p>
    <w:p>
      <w:pPr>
        <w:ind w:left="0" w:firstLine="420"/>
        <w:spacing w:line="360" w:lineRule="auto"/>
        <w:widowControl w:val="off"/>
        <w:rPr>
          <w:rFonts w:ascii="宋体" w:hAnsi="宋体"/>
          <w:sz w:val="21"/>
          <w:szCs w:val="22"/>
        </w:rPr>
      </w:pPr>
      <w:r>
        <w:rPr>
          <w:rFonts w:hint="eastAsia" w:ascii="宋体" w:hAnsi="宋体"/>
          <w:sz w:val="21"/>
          <w:szCs w:val="22"/>
        </w:rPr>
        <w:t xml:space="preserve">（3）质量保证措施。</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上述每项应逐条叙述，方案内容完整、条理清晰的得2分；内容基本完整，条理较为清晰的得1分；每项叙述内容完全脱离采购需求或未作完整叙述的不得分。本项最高得6分。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4.故障及应急处理方案（6分）</w:t>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针对本项目提供详细的故障及应急处理方案，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2"/>
        </w:rPr>
      </w:pPr>
      <w:r>
        <w:rPr>
          <w:rFonts w:hint="eastAsia" w:ascii="宋体" w:hAnsi="宋体"/>
          <w:sz w:val="21"/>
          <w:szCs w:val="22"/>
        </w:rPr>
        <w:t xml:space="preserve">（1）故障应急响应小组设置；</w:t>
      </w:r>
      <w:r/>
    </w:p>
    <w:p>
      <w:pPr>
        <w:ind w:left="0" w:firstLine="420"/>
        <w:spacing w:line="360" w:lineRule="auto"/>
        <w:widowControl w:val="off"/>
        <w:rPr>
          <w:rFonts w:ascii="宋体" w:hAnsi="宋体"/>
          <w:sz w:val="21"/>
          <w:szCs w:val="22"/>
        </w:rPr>
      </w:pPr>
      <w:r>
        <w:rPr>
          <w:rFonts w:hint="eastAsia" w:ascii="宋体" w:hAnsi="宋体"/>
          <w:sz w:val="21"/>
          <w:szCs w:val="22"/>
        </w:rPr>
        <w:t xml:space="preserve">（2）故障处理响应时间；</w:t>
      </w:r>
      <w:r/>
    </w:p>
    <w:p>
      <w:pPr>
        <w:ind w:left="0" w:firstLine="420"/>
        <w:spacing w:line="360" w:lineRule="auto"/>
        <w:widowControl w:val="off"/>
        <w:rPr>
          <w:rFonts w:ascii="宋体" w:hAnsi="宋体"/>
          <w:sz w:val="21"/>
          <w:szCs w:val="22"/>
        </w:rPr>
      </w:pPr>
      <w:r>
        <w:rPr>
          <w:rFonts w:hint="eastAsia" w:ascii="宋体" w:hAnsi="宋体"/>
          <w:sz w:val="21"/>
          <w:szCs w:val="22"/>
        </w:rPr>
        <w:t xml:space="preserve">（3）故障处理方式。</w:t>
      </w:r>
      <w:r/>
    </w:p>
    <w:p>
      <w:pPr>
        <w:ind w:left="0" w:firstLine="420"/>
        <w:spacing w:line="360" w:lineRule="auto"/>
        <w:widowControl w:val="off"/>
        <w:rPr>
          <w:rFonts w:ascii="宋体" w:hAnsi="宋体"/>
          <w:sz w:val="21"/>
          <w:szCs w:val="22"/>
        </w:rPr>
      </w:pPr>
      <w:r>
        <w:rPr>
          <w:rFonts w:hint="eastAsia" w:ascii="宋体" w:hAnsi="宋体"/>
          <w:sz w:val="21"/>
          <w:szCs w:val="21"/>
          <w:lang w:bidi="ar"/>
        </w:rPr>
        <w:t xml:space="preserve">上述每项应逐条叙述，方案内容完整、条理清晰的得2分；内容基本完整，条理较为清晰的得1分；每项叙述内容完全脱离采购需求或未作完整叙述的不得分。本项最高得6分。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 </w:t>
      </w:r>
      <w:r>
        <w:rPr>
          <w:rFonts w:hint="eastAsia" w:ascii="宋体" w:hAnsi="宋体"/>
          <w:b/>
          <w:bCs/>
          <w:sz w:val="21"/>
          <w:szCs w:val="21"/>
        </w:rPr>
        <w:t xml:space="preserve">功能演示（18分）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投标</w:t>
      </w:r>
      <w:r>
        <w:rPr>
          <w:rFonts w:hint="eastAsia" w:ascii="宋体" w:hAnsi="宋体"/>
          <w:sz w:val="21"/>
          <w:szCs w:val="22"/>
        </w:rPr>
        <w:t xml:space="preserve">单位需提供下述功能的系统形式演示，演示时间为15分钟，满分18分。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1.演示智能产线搭建与MES应用调试虚拟仿真的“智能产线整体认知”功能</w:t>
      </w:r>
      <w:r>
        <w:rPr>
          <w:rFonts w:hint="eastAsia" w:ascii="宋体" w:hAnsi="宋体"/>
          <w:sz w:val="21"/>
          <w:szCs w:val="22"/>
        </w:rPr>
        <w:t xml:space="preserve">（</w:t>
      </w:r>
      <w:r>
        <w:rPr>
          <w:rFonts w:ascii="宋体" w:hAnsi="宋体"/>
          <w:sz w:val="21"/>
          <w:szCs w:val="22"/>
        </w:rPr>
        <w:t xml:space="preserve">6</w:t>
      </w:r>
      <w:r>
        <w:rPr>
          <w:rFonts w:hint="eastAsia"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（1）通过动画、文字、语音等形式，学习产线整体加工运行过程；（2分）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（2）包括原料出库（先进先出原则）、机械臂装夹、加工中心、五轴加工、激光打码操作、质量检测（三坐标）、成品入库（视觉检测软件）、AGV小车等环节。（每演示一个装备得0.5分，共4分）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演示全部满足上述功能要求，得6分；功能不满足要求或未提供演示或未采用系统形式演示的不得分。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2.演示智能产线搭建与MES应用调试虚拟仿真的“设备维修和保养”功能</w:t>
      </w:r>
      <w:r>
        <w:rPr>
          <w:rFonts w:hint="eastAsia" w:ascii="宋体" w:hAnsi="宋体"/>
          <w:sz w:val="21"/>
          <w:szCs w:val="22"/>
        </w:rPr>
        <w:t xml:space="preserve">（</w:t>
      </w:r>
      <w:r>
        <w:rPr>
          <w:rFonts w:ascii="宋体" w:hAnsi="宋体"/>
          <w:sz w:val="21"/>
          <w:szCs w:val="22"/>
        </w:rPr>
        <w:t xml:space="preserve">6</w:t>
      </w:r>
      <w:r>
        <w:rPr>
          <w:rFonts w:hint="eastAsia"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软件内置3-5个典型故障案例，用户可根据自身需求进行学习。</w:t>
      </w:r>
      <w:r>
        <w:rPr>
          <w:rFonts w:hint="eastAsia" w:ascii="宋体" w:hAnsi="宋体"/>
          <w:b/>
          <w:bCs/>
          <w:sz w:val="21"/>
          <w:szCs w:val="22"/>
        </w:rPr>
        <w:t xml:space="preserve">（选择其中1个案例进行演示）</w:t>
      </w:r>
      <w:r>
        <w:rPr>
          <w:rFonts w:hint="eastAsia" w:ascii="宋体" w:hAnsi="宋体"/>
          <w:sz w:val="21"/>
          <w:szCs w:val="22"/>
        </w:rPr>
        <w:t xml:space="preserve">要求：</w:t>
      </w:r>
      <w:r/>
    </w:p>
    <w:p>
      <w:pPr>
        <w:ind w:left="0" w:firstLine="420"/>
        <w:spacing w:line="360" w:lineRule="auto"/>
        <w:widowControl w:val="off"/>
        <w:rPr>
          <w:rFonts w:ascii="宋体" w:hAnsi="宋体"/>
          <w:sz w:val="21"/>
          <w:szCs w:val="22"/>
        </w:rPr>
      </w:pPr>
      <w:r>
        <w:rPr>
          <w:rFonts w:hint="eastAsia" w:ascii="宋体" w:hAnsi="宋体"/>
          <w:sz w:val="21"/>
          <w:szCs w:val="22"/>
        </w:rPr>
        <w:t xml:space="preserve">（1）在故障案例学习的过程中，软件提供高亮、文字、语音等操作步骤引导；（3分）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（2）帮助用户正确进行故障分析维修操作。（3分）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演示全部满足上述功能要求，得6分；功能不满足要求或未提供演示或未采用系统形式演示的不得分。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3.演示智能产线搭建与MES应用调试虚拟仿真的“自主开发”功能</w:t>
      </w:r>
      <w:r>
        <w:rPr>
          <w:rFonts w:hint="eastAsia" w:ascii="宋体" w:hAnsi="宋体"/>
          <w:sz w:val="21"/>
          <w:szCs w:val="22"/>
        </w:rPr>
        <w:t xml:space="preserve">（</w:t>
      </w:r>
      <w:r>
        <w:rPr>
          <w:rFonts w:ascii="宋体" w:hAnsi="宋体"/>
          <w:sz w:val="21"/>
          <w:szCs w:val="22"/>
        </w:rPr>
        <w:t xml:space="preserve">6</w:t>
      </w:r>
      <w:r>
        <w:rPr>
          <w:rFonts w:hint="eastAsia"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（1）所有能够由用户自定义的参数均应向用户开放，如所有的说明文字、配置参数均应可通过引擎驱动，包括软件功能参数也可通过引擎驱动。（3分）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（2）用户可在工程中对自定义开放参数进行修改，保存后重新发布，修改内容立即生效。（3分）</w:t>
      </w:r>
      <w:r/>
    </w:p>
    <w:p>
      <w:pPr>
        <w:ind w:left="0" w:firstLine="420"/>
        <w:spacing w:line="360" w:lineRule="auto"/>
        <w:widowControl w:val="off"/>
        <w:rPr>
          <w:rFonts w:ascii="宋体" w:hAnsi="宋体"/>
          <w:b/>
          <w:bCs/>
          <w:sz w:val="21"/>
          <w:szCs w:val="22"/>
        </w:rPr>
      </w:pPr>
      <w:r>
        <w:rPr>
          <w:rFonts w:hint="eastAsia" w:ascii="宋体" w:hAnsi="宋体"/>
          <w:sz w:val="21"/>
          <w:szCs w:val="22"/>
        </w:rPr>
        <w:t xml:space="preserve">演示全部满足上述功能要求，得6分；功能不满足要求或未提供演示或未采用系统形式演示的不得分。</w:t>
      </w:r>
      <w:r/>
    </w:p>
    <w:p>
      <w:pPr>
        <w:ind w:left="0" w:firstLine="422"/>
        <w:spacing w:line="360" w:lineRule="auto"/>
        <w:widowControl w:val="off"/>
        <w:rPr>
          <w:rFonts w:ascii="宋体" w:hAnsi="宋体"/>
          <w:b/>
          <w:bCs/>
          <w:sz w:val="21"/>
        </w:rPr>
      </w:pPr>
      <w:r>
        <w:rPr>
          <w:rFonts w:hint="eastAsia" w:ascii="宋体" w:hAnsi="宋体"/>
          <w:b/>
          <w:bCs/>
          <w:sz w:val="21"/>
        </w:rPr>
        <w:t xml:space="preserve">（注：1.供应商根据</w:t>
      </w:r>
      <w:r>
        <w:rPr>
          <w:rFonts w:hint="eastAsia" w:ascii="宋体" w:hAnsi="宋体"/>
          <w:b/>
          <w:bCs/>
          <w:sz w:val="21"/>
        </w:rPr>
        <w:t xml:space="preserve">招标文件</w:t>
      </w:r>
      <w:r>
        <w:rPr>
          <w:rFonts w:hint="eastAsia" w:ascii="宋体" w:hAnsi="宋体"/>
          <w:b/>
          <w:bCs/>
          <w:sz w:val="21"/>
        </w:rPr>
        <w:t xml:space="preserve">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（五）供应商实力证明（6分）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hint="eastAsia" w:ascii="宋体" w:hAnsi="宋体"/>
          <w:sz w:val="21"/>
          <w:szCs w:val="22"/>
        </w:rPr>
        <w:t xml:space="preserve">投标</w:t>
      </w:r>
      <w:r>
        <w:rPr>
          <w:rFonts w:hint="eastAsia" w:ascii="宋体" w:hAnsi="宋体"/>
          <w:sz w:val="21"/>
          <w:szCs w:val="22"/>
        </w:rPr>
        <w:t xml:space="preserve">单位具有智能制造或工业机器人相关虚拟仿真软件的软件著作权登记证书，每提供一个得1分，最高得3分。（3分）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hint="eastAsia" w:ascii="宋体" w:hAnsi="宋体"/>
          <w:sz w:val="21"/>
          <w:szCs w:val="22"/>
        </w:rPr>
        <w:t xml:space="preserve">投标</w:t>
      </w:r>
      <w:r>
        <w:rPr>
          <w:rFonts w:hint="eastAsia" w:ascii="宋体" w:hAnsi="宋体"/>
          <w:sz w:val="21"/>
          <w:szCs w:val="22"/>
        </w:rPr>
        <w:t xml:space="preserve">单位具有虚拟仿真开发平台的软件著作权登记证书。（</w:t>
      </w:r>
      <w:r>
        <w:rPr>
          <w:rFonts w:ascii="宋体" w:hAnsi="宋体"/>
          <w:sz w:val="21"/>
          <w:szCs w:val="22"/>
        </w:rPr>
        <w:t xml:space="preserve">3</w:t>
      </w:r>
      <w:r>
        <w:rPr>
          <w:rFonts w:hint="eastAsia" w:ascii="宋体" w:hAnsi="宋体"/>
          <w:sz w:val="21"/>
          <w:szCs w:val="22"/>
        </w:rPr>
        <w:t xml:space="preserve">分）</w:t>
      </w:r>
      <w:r/>
    </w:p>
    <w:p>
      <w:pPr>
        <w:ind w:left="0" w:firstLine="422"/>
        <w:spacing w:line="360" w:lineRule="auto"/>
        <w:widowControl w:val="off"/>
        <w:rPr>
          <w:rFonts w:ascii="宋体" w:hAnsi="宋体"/>
          <w:b/>
          <w:color w:val="000000" w:themeColor="text1"/>
          <w:sz w:val="21"/>
          <w:szCs w:val="21"/>
        </w:rPr>
      </w:pPr>
      <w:r>
        <w:rPr>
          <w:rFonts w:hint="eastAsia" w:ascii="宋体" w:hAnsi="宋体"/>
          <w:b/>
          <w:color w:val="000000" w:themeColor="text1"/>
          <w:sz w:val="21"/>
          <w:szCs w:val="21"/>
        </w:rPr>
        <w:t xml:space="preserve">（注：投标文件中需提供以上证书复印件并加盖投标单位公章或网络查询截图并加盖投标单位公章，未提供不得分。）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w:t>
      </w:r>
      <w:r>
        <w:rPr>
          <w:rFonts w:hint="eastAsia" w:ascii="宋体" w:hAnsi="宋体"/>
          <w:b/>
          <w:bCs/>
          <w:sz w:val="21"/>
          <w:szCs w:val="21"/>
        </w:rPr>
        <w:t xml:space="preserve">业绩（6分）</w:t>
      </w:r>
      <w:r/>
    </w:p>
    <w:p>
      <w:pPr>
        <w:ind w:left="0" w:firstLine="420"/>
        <w:spacing w:line="360" w:lineRule="auto"/>
        <w:rPr>
          <w:rFonts w:ascii="宋体" w:hAnsi="宋体"/>
          <w:sz w:val="21"/>
          <w:szCs w:val="21"/>
        </w:rPr>
      </w:pPr>
      <w:r>
        <w:rPr>
          <w:rFonts w:hint="eastAsia" w:ascii="宋体" w:hAnsi="宋体"/>
          <w:sz w:val="21"/>
          <w:szCs w:val="21"/>
        </w:rPr>
        <w:t xml:space="preserve">投标单位自202</w:t>
      </w:r>
      <w:r>
        <w:rPr>
          <w:rFonts w:ascii="宋体" w:hAnsi="宋体"/>
          <w:sz w:val="21"/>
          <w:szCs w:val="21"/>
        </w:rPr>
        <w:t xml:space="preserve">2</w:t>
      </w:r>
      <w:r>
        <w:rPr>
          <w:rFonts w:hint="eastAsia" w:ascii="宋体" w:hAnsi="宋体"/>
          <w:sz w:val="21"/>
          <w:szCs w:val="21"/>
        </w:rPr>
        <w:t xml:space="preserve">年1月1日至今完成过类似项目业绩： 每提供一份合同得2分，最高6分。</w:t>
      </w:r>
      <w:r/>
    </w:p>
    <w:p>
      <w:pPr>
        <w:ind w:left="0" w:firstLine="422"/>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rPr>
        <w:t xml:space="preserve">注：投标文件中需提供合同复印件并加盖投标单位公章，不提供不得分。类似业绩日期认定：以签订合同日期为准）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5"/>
    <w:uiPriority w:val="99"/>
  </w:style>
  <w:style w:type="character" w:styleId="44">
    <w:name w:val="Footer Char"/>
    <w:basedOn w:val="850"/>
    <w:link w:val="883"/>
    <w:uiPriority w:val="99"/>
  </w:style>
  <w:style w:type="character" w:styleId="46">
    <w:name w:val="Caption Char"/>
    <w:basedOn w:val="859"/>
    <w:link w:val="883"/>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qFormat/>
    <w:pPr>
      <w:ind w:left="1024"/>
      <w:jc w:val="both"/>
    </w:pPr>
    <w:rPr>
      <w:rFonts w:ascii="Calibri" w:hAnsi="Calibri" w:cs="宋体"/>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3"/>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customStyle="1">
    <w:name w:val="正文2"/>
    <w:basedOn w:val="840"/>
    <w:next w:val="840"/>
    <w:qFormat/>
    <w:pPr>
      <w:ind w:left="0" w:hanging="2155"/>
      <w:spacing w:line="360" w:lineRule="auto"/>
      <w:shd w:val="clear" w:color="auto" w:fill="ffffff"/>
    </w:pPr>
    <w:rPr>
      <w:rFonts w:ascii="宋体" w:hAnsi="宋体"/>
    </w:rPr>
  </w:style>
  <w:style w:type="paragraph" w:styleId="854">
    <w:name w:val="toc 7"/>
    <w:basedOn w:val="841"/>
    <w:next w:val="840"/>
    <w:qFormat/>
    <w:pPr>
      <w:ind w:left="1640" w:firstLine="3784"/>
      <w:spacing w:before="0" w:after="0" w:line="360" w:lineRule="auto"/>
    </w:pPr>
    <w:rPr>
      <w:rFonts w:ascii="Times New Roman" w:hAnsi="Times New Roman" w:cs="Times New Roman"/>
    </w:rPr>
  </w:style>
  <w:style w:type="paragraph" w:styleId="855">
    <w:name w:val="List Bullet 4"/>
    <w:basedOn w:val="841"/>
    <w:next w:val="856"/>
    <w:qFormat/>
    <w:pPr>
      <w:ind w:left="1620" w:firstLine="2652"/>
      <w:spacing w:before="0" w:after="0" w:line="360" w:lineRule="auto"/>
    </w:pPr>
    <w:rPr>
      <w:rFonts w:ascii="Times New Roman" w:hAnsi="Times New Roman" w:cs="Times New Roman"/>
    </w:rPr>
  </w:style>
  <w:style w:type="paragraph" w:styleId="856">
    <w:name w:val="List Bullet 2"/>
    <w:basedOn w:val="841"/>
    <w:next w:val="840"/>
    <w:qFormat/>
    <w:pPr>
      <w:ind w:left="900" w:firstLine="2652"/>
      <w:spacing w:before="0" w:after="0" w:line="360" w:lineRule="auto"/>
    </w:pPr>
    <w:rPr>
      <w:rFonts w:ascii="Times New Roman" w:hAnsi="Times New Roman" w:cs="Times New Roman"/>
    </w:rPr>
  </w:style>
  <w:style w:type="paragraph" w:styleId="857">
    <w:name w:val="List Number"/>
    <w:basedOn w:val="841"/>
    <w:next w:val="840"/>
    <w:qFormat/>
    <w:pPr>
      <w:ind w:left="454" w:firstLine="2788"/>
      <w:spacing w:before="0" w:after="0" w:line="240" w:lineRule="auto"/>
    </w:pPr>
    <w:rPr>
      <w:rFonts w:ascii="Times New Roman" w:hAnsi="Times New Roman" w:cs="Times New Roman"/>
    </w:rPr>
  </w:style>
  <w:style w:type="paragraph" w:styleId="858">
    <w:name w:val="Normal Indent"/>
    <w:basedOn w:val="840"/>
    <w:next w:val="840"/>
    <w:link w:val="909"/>
    <w:qFormat/>
    <w:pPr>
      <w:ind w:left="420" w:firstLine="4772"/>
    </w:pPr>
  </w:style>
  <w:style w:type="paragraph" w:styleId="859">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0">
    <w:name w:val="List Bullet"/>
    <w:basedOn w:val="841"/>
    <w:next w:val="840"/>
    <w:qFormat/>
    <w:pPr>
      <w:ind w:left="900" w:firstLine="2652"/>
      <w:spacing w:before="0" w:after="0" w:line="360" w:lineRule="auto"/>
    </w:pPr>
    <w:rPr>
      <w:rFonts w:ascii="Times New Roman" w:hAnsi="Times New Roman" w:cs="Times New Roman"/>
    </w:rPr>
  </w:style>
  <w:style w:type="paragraph" w:styleId="861">
    <w:name w:val="Document Map"/>
    <w:basedOn w:val="841"/>
    <w:next w:val="862"/>
    <w:qFormat/>
    <w:pPr>
      <w:ind w:left="0" w:firstLine="4"/>
      <w:spacing w:before="0" w:after="0" w:line="240" w:lineRule="auto"/>
      <w:shd w:val="clear" w:color="000000" w:fill="000080"/>
    </w:pPr>
    <w:rPr>
      <w:rFonts w:ascii="Times New Roman" w:hAnsi="Times New Roman" w:cs="Times New Roman"/>
    </w:rPr>
  </w:style>
  <w:style w:type="paragraph" w:styleId="862">
    <w:name w:val="annotation subject"/>
    <w:next w:val="840"/>
    <w:qFormat/>
    <w:pPr>
      <w:ind w:firstLine="4608"/>
      <w:spacing w:line="360" w:lineRule="auto"/>
    </w:pPr>
    <w:rPr>
      <w:rFonts w:ascii="Calibri" w:hAnsi="Calibri" w:cs="宋体"/>
    </w:rPr>
  </w:style>
  <w:style w:type="paragraph" w:styleId="863">
    <w:name w:val="annotation text"/>
    <w:basedOn w:val="841"/>
    <w:next w:val="840"/>
    <w:qFormat/>
    <w:pPr>
      <w:ind w:left="0" w:firstLine="3584"/>
      <w:spacing w:before="0" w:after="0" w:line="360" w:lineRule="auto"/>
    </w:pPr>
    <w:rPr>
      <w:rFonts w:ascii="Times New Roman" w:hAnsi="Times New Roman" w:cs="Times New Roman"/>
    </w:rPr>
  </w:style>
  <w:style w:type="paragraph" w:styleId="864">
    <w:name w:val="Body Text 3"/>
    <w:basedOn w:val="841"/>
    <w:next w:val="840"/>
    <w:qFormat/>
    <w:pPr>
      <w:ind w:left="0" w:firstLine="2048"/>
      <w:spacing w:before="0" w:after="0" w:line="500" w:lineRule="exact"/>
    </w:pPr>
    <w:rPr>
      <w:rFonts w:ascii="Times New Roman" w:hAnsi="Times New Roman" w:cs="Times New Roman"/>
    </w:rPr>
  </w:style>
  <w:style w:type="paragraph" w:styleId="865">
    <w:name w:val="List Bullet 3"/>
    <w:basedOn w:val="841"/>
    <w:next w:val="840"/>
    <w:qFormat/>
    <w:pPr>
      <w:ind w:left="900" w:firstLine="2652"/>
      <w:spacing w:before="0" w:after="0" w:line="360" w:lineRule="auto"/>
    </w:pPr>
    <w:rPr>
      <w:rFonts w:ascii="Times New Roman" w:hAnsi="Times New Roman" w:cs="Times New Roman"/>
    </w:rPr>
  </w:style>
  <w:style w:type="paragraph" w:styleId="866">
    <w:name w:val="Body Text"/>
    <w:basedOn w:val="840"/>
    <w:next w:val="840"/>
    <w:qFormat/>
    <w:pPr>
      <w:ind w:left="0" w:firstLine="2560"/>
    </w:pPr>
    <w:rPr>
      <w:rFonts w:ascii="Times New Roman" w:hAnsi="Times New Roman" w:cs="Times New Roman"/>
    </w:rPr>
  </w:style>
  <w:style w:type="paragraph" w:styleId="867">
    <w:name w:val="Body Text Indent"/>
    <w:basedOn w:val="840"/>
    <w:next w:val="840"/>
    <w:qFormat/>
    <w:pPr>
      <w:ind w:left="420" w:firstLine="1188"/>
      <w:spacing w:line="360" w:lineRule="exact"/>
    </w:pPr>
    <w:rPr>
      <w:rFonts w:ascii="Times New Roman" w:hAnsi="Times New Roman" w:cs="Times New Roman"/>
    </w:rPr>
  </w:style>
  <w:style w:type="paragraph" w:styleId="868">
    <w:name w:val="List Number 3"/>
    <w:basedOn w:val="841"/>
    <w:next w:val="840"/>
    <w:qFormat/>
    <w:pPr>
      <w:ind w:left="420" w:firstLine="3584"/>
      <w:spacing w:before="0" w:after="0" w:line="240" w:lineRule="auto"/>
    </w:pPr>
    <w:rPr>
      <w:rFonts w:ascii="Times New Roman" w:hAnsi="Times New Roman" w:cs="Times New Roman"/>
    </w:rPr>
  </w:style>
  <w:style w:type="paragraph" w:styleId="869">
    <w:name w:val="List 2"/>
    <w:basedOn w:val="841"/>
    <w:next w:val="854"/>
    <w:qFormat/>
    <w:pPr>
      <w:ind w:left="100" w:firstLine="3640"/>
      <w:spacing w:before="0" w:after="0" w:line="240" w:lineRule="auto"/>
    </w:pPr>
    <w:rPr>
      <w:rFonts w:ascii="Times New Roman" w:hAnsi="Times New Roman" w:cs="Times New Roman"/>
    </w:rPr>
  </w:style>
  <w:style w:type="paragraph" w:styleId="870">
    <w:name w:val="Block Text"/>
    <w:basedOn w:val="841"/>
    <w:next w:val="840"/>
    <w:qFormat/>
    <w:pPr>
      <w:ind w:left="420" w:right="33" w:firstLine="2560"/>
      <w:spacing w:before="0" w:after="0" w:line="240" w:lineRule="auto"/>
    </w:pPr>
    <w:rPr>
      <w:rFonts w:ascii="Times New Roman" w:hAnsi="Times New Roman" w:cs="Times New Roman"/>
    </w:rPr>
  </w:style>
  <w:style w:type="paragraph" w:styleId="871">
    <w:name w:val="toc 5"/>
    <w:basedOn w:val="841"/>
    <w:next w:val="840"/>
    <w:qFormat/>
    <w:pPr>
      <w:ind w:left="1160" w:firstLine="3784"/>
      <w:spacing w:before="0" w:after="0" w:line="360" w:lineRule="auto"/>
    </w:pPr>
    <w:rPr>
      <w:rFonts w:ascii="Times New Roman" w:hAnsi="Times New Roman" w:cs="Times New Roman"/>
    </w:rPr>
  </w:style>
  <w:style w:type="paragraph" w:styleId="872">
    <w:name w:val="toc 3"/>
    <w:basedOn w:val="841"/>
    <w:next w:val="840"/>
    <w:qFormat/>
    <w:pPr>
      <w:ind w:left="0" w:firstLine="1024"/>
      <w:spacing w:before="0" w:after="0" w:line="360" w:lineRule="auto"/>
    </w:pPr>
    <w:rPr>
      <w:rFonts w:ascii="Times New Roman" w:hAnsi="Times New Roman" w:cs="Times New Roman"/>
    </w:rPr>
  </w:style>
  <w:style w:type="paragraph" w:styleId="873">
    <w:name w:val="Plain Text"/>
    <w:basedOn w:val="841"/>
    <w:next w:val="874"/>
    <w:qFormat/>
    <w:pPr>
      <w:ind w:left="0" w:firstLine="2048"/>
      <w:spacing w:before="0" w:after="0" w:line="240" w:lineRule="auto"/>
    </w:pPr>
    <w:rPr>
      <w:rFonts w:ascii="Times New Roman" w:hAnsi="Times New Roman" w:cs="Times New Roman"/>
    </w:rPr>
  </w:style>
  <w:style w:type="paragraph" w:styleId="874">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5">
    <w:name w:val="List Bullet 5"/>
    <w:basedOn w:val="841"/>
    <w:next w:val="876"/>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qFormat/>
    <w:pPr>
      <w:ind w:left="420" w:firstLine="2724"/>
      <w:spacing w:after="120" w:line="360" w:lineRule="auto"/>
    </w:pPr>
    <w:rPr>
      <w:rFonts w:ascii="Calibri" w:hAnsi="Calibri" w:cs="宋体"/>
    </w:rPr>
  </w:style>
  <w:style w:type="paragraph" w:styleId="877">
    <w:name w:val="toc 8"/>
    <w:basedOn w:val="841"/>
    <w:next w:val="840"/>
    <w:qFormat/>
    <w:pPr>
      <w:ind w:left="1880" w:firstLine="3784"/>
      <w:spacing w:before="0" w:after="0" w:line="360" w:lineRule="auto"/>
    </w:pPr>
    <w:rPr>
      <w:rFonts w:ascii="Times New Roman" w:hAnsi="Times New Roman" w:cs="Times New Roman"/>
    </w:rPr>
  </w:style>
  <w:style w:type="paragraph" w:styleId="878">
    <w:name w:val="Date"/>
    <w:basedOn w:val="841"/>
    <w:next w:val="840"/>
    <w:qFormat/>
    <w:pPr>
      <w:ind w:left="0" w:firstLine="2560"/>
      <w:spacing w:before="0" w:after="0" w:line="240" w:lineRule="auto"/>
    </w:pPr>
    <w:rPr>
      <w:rFonts w:ascii="Times New Roman" w:hAnsi="Times New Roman" w:cs="Times New Roman"/>
    </w:rPr>
  </w:style>
  <w:style w:type="paragraph" w:styleId="879">
    <w:name w:val="Body Text Indent 2"/>
    <w:basedOn w:val="841"/>
    <w:next w:val="867"/>
    <w:qFormat/>
    <w:pPr>
      <w:ind w:left="481" w:firstLine="2784"/>
      <w:spacing w:before="0" w:after="0" w:line="400" w:lineRule="exact"/>
    </w:pPr>
    <w:rPr>
      <w:rFonts w:ascii="Times New Roman" w:hAnsi="Times New Roman" w:cs="Times New Roman"/>
    </w:rPr>
  </w:style>
  <w:style w:type="paragraph" w:styleId="880">
    <w:name w:val="endnote text"/>
    <w:basedOn w:val="841"/>
    <w:next w:val="881"/>
    <w:qFormat/>
    <w:pPr>
      <w:ind w:left="0" w:firstLine="2560"/>
      <w:spacing w:before="0" w:after="0" w:line="360" w:lineRule="auto"/>
    </w:pPr>
    <w:rPr>
      <w:rFonts w:ascii="Times New Roman" w:hAnsi="Times New Roman" w:cs="Times New Roman"/>
    </w:rPr>
  </w:style>
  <w:style w:type="paragraph" w:styleId="881" w:customStyle="1">
    <w:name w:val="Char11"/>
    <w:basedOn w:val="841"/>
    <w:next w:val="840"/>
    <w:qFormat/>
    <w:pPr>
      <w:ind w:left="0" w:firstLine="3584"/>
      <w:spacing w:before="0" w:after="0" w:line="240" w:lineRule="auto"/>
    </w:pPr>
    <w:rPr>
      <w:rFonts w:ascii="Times New Roman" w:hAnsi="Times New Roman" w:cs="Times New Roman"/>
    </w:rPr>
  </w:style>
  <w:style w:type="paragraph" w:styleId="882">
    <w:name w:val="Balloon Text"/>
    <w:basedOn w:val="841"/>
    <w:next w:val="857"/>
    <w:qFormat/>
    <w:pPr>
      <w:ind w:left="0" w:firstLine="2048"/>
      <w:spacing w:before="0" w:after="0" w:line="240" w:lineRule="auto"/>
    </w:pPr>
    <w:rPr>
      <w:rFonts w:ascii="Times New Roman" w:hAnsi="Times New Roman" w:cs="Times New Roman"/>
    </w:rPr>
  </w:style>
  <w:style w:type="paragraph" w:styleId="883">
    <w:name w:val="Footer"/>
    <w:basedOn w:val="840"/>
    <w:next w:val="884"/>
    <w:link w:val="910"/>
    <w:qFormat/>
    <w:pPr>
      <w:ind w:left="0" w:firstLine="3584"/>
    </w:pPr>
  </w:style>
  <w:style w:type="paragraph" w:styleId="884"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5">
    <w:name w:val="Header"/>
    <w:basedOn w:val="841"/>
    <w:next w:val="878"/>
    <w:link w:val="911"/>
    <w:qFormat/>
    <w:pPr>
      <w:ind w:left="0" w:firstLine="3584"/>
      <w:jc w:val="center"/>
      <w:spacing w:before="0" w:after="0" w:line="240" w:lineRule="auto"/>
    </w:pPr>
  </w:style>
  <w:style w:type="paragraph" w:styleId="886">
    <w:name w:val="toc 4"/>
    <w:basedOn w:val="841"/>
    <w:next w:val="840"/>
    <w:qFormat/>
    <w:pPr>
      <w:ind w:left="1260" w:firstLine="1024"/>
      <w:spacing w:before="0" w:after="0" w:line="240" w:lineRule="auto"/>
    </w:pPr>
    <w:rPr>
      <w:rFonts w:ascii="Times New Roman" w:hAnsi="Times New Roman" w:cs="Times New Roman"/>
    </w:rPr>
  </w:style>
  <w:style w:type="paragraph" w:styleId="887">
    <w:name w:val="Subtitle"/>
    <w:next w:val="840"/>
    <w:qFormat/>
    <w:pPr>
      <w:ind w:left="1024"/>
      <w:jc w:val="center"/>
      <w:spacing w:after="60"/>
    </w:pPr>
    <w:rPr>
      <w:rFonts w:ascii="Calibri" w:hAnsi="Calibri" w:cs="宋体"/>
    </w:rPr>
  </w:style>
  <w:style w:type="paragraph" w:styleId="888">
    <w:name w:val="List"/>
    <w:basedOn w:val="841"/>
    <w:next w:val="889"/>
    <w:qFormat/>
    <w:pPr>
      <w:ind w:left="200" w:firstLine="3640"/>
      <w:spacing w:before="0" w:after="0" w:line="240" w:lineRule="auto"/>
    </w:pPr>
    <w:rPr>
      <w:rFonts w:ascii="Times New Roman" w:hAnsi="Times New Roman" w:cs="Times New Roman"/>
    </w:rPr>
  </w:style>
  <w:style w:type="paragraph" w:styleId="889">
    <w:name w:val="Body Text First Indent"/>
    <w:next w:val="840"/>
    <w:qFormat/>
    <w:pPr>
      <w:ind w:left="420" w:firstLine="3748"/>
      <w:spacing w:after="120"/>
    </w:pPr>
    <w:rPr>
      <w:rFonts w:ascii="Calibri" w:hAnsi="Calibri" w:cs="宋体"/>
    </w:rPr>
  </w:style>
  <w:style w:type="paragraph" w:styleId="890">
    <w:name w:val="footnote text"/>
    <w:basedOn w:val="841"/>
    <w:next w:val="870"/>
    <w:qFormat/>
    <w:pPr>
      <w:ind w:left="0" w:firstLine="3584"/>
      <w:spacing w:before="0" w:after="0" w:line="360" w:lineRule="auto"/>
    </w:pPr>
    <w:rPr>
      <w:rFonts w:ascii="Times New Roman" w:hAnsi="Times New Roman" w:cs="Times New Roman"/>
    </w:rPr>
  </w:style>
  <w:style w:type="paragraph" w:styleId="891">
    <w:name w:val="toc 6"/>
    <w:basedOn w:val="841"/>
    <w:next w:val="840"/>
    <w:qFormat/>
    <w:pPr>
      <w:ind w:left="1400" w:firstLine="3784"/>
      <w:spacing w:before="0" w:after="0" w:line="360" w:lineRule="auto"/>
    </w:pPr>
    <w:rPr>
      <w:rFonts w:ascii="Times New Roman" w:hAnsi="Times New Roman" w:cs="Times New Roman"/>
    </w:rPr>
  </w:style>
  <w:style w:type="paragraph" w:styleId="892">
    <w:name w:val="List 5"/>
    <w:basedOn w:val="841"/>
    <w:next w:val="866"/>
    <w:qFormat/>
    <w:pPr>
      <w:ind w:left="2100" w:firstLine="3676"/>
      <w:spacing w:before="0" w:after="0" w:line="240" w:lineRule="auto"/>
    </w:pPr>
    <w:rPr>
      <w:rFonts w:ascii="Times New Roman" w:hAnsi="Times New Roman" w:cs="Times New Roman"/>
    </w:rPr>
  </w:style>
  <w:style w:type="paragraph" w:styleId="893">
    <w:name w:val="Body Text Indent 3"/>
    <w:basedOn w:val="841"/>
    <w:next w:val="891"/>
    <w:qFormat/>
    <w:pPr>
      <w:ind w:left="480" w:firstLine="2784"/>
      <w:spacing w:before="0" w:after="0" w:line="400" w:lineRule="exact"/>
    </w:pPr>
    <w:rPr>
      <w:rFonts w:ascii="Times New Roman" w:hAnsi="Times New Roman" w:cs="Times New Roman"/>
    </w:rPr>
  </w:style>
  <w:style w:type="paragraph" w:styleId="894">
    <w:name w:val="toc 2"/>
    <w:basedOn w:val="841"/>
    <w:next w:val="840"/>
    <w:qFormat/>
    <w:pPr>
      <w:ind w:left="0" w:firstLine="1024"/>
      <w:spacing w:before="0" w:after="0" w:line="360" w:lineRule="auto"/>
    </w:pPr>
    <w:rPr>
      <w:rFonts w:ascii="Times New Roman" w:hAnsi="Times New Roman" w:cs="Times New Roman"/>
    </w:rPr>
  </w:style>
  <w:style w:type="paragraph" w:styleId="895">
    <w:name w:val="toc 9"/>
    <w:basedOn w:val="841"/>
    <w:next w:val="840"/>
    <w:qFormat/>
    <w:pPr>
      <w:ind w:left="2120" w:firstLine="3784"/>
      <w:spacing w:before="0" w:after="0" w:line="360" w:lineRule="auto"/>
    </w:pPr>
    <w:rPr>
      <w:rFonts w:ascii="Times New Roman" w:hAnsi="Times New Roman" w:cs="Times New Roman"/>
    </w:rPr>
  </w:style>
  <w:style w:type="paragraph" w:styleId="896">
    <w:name w:val="Body Text 2"/>
    <w:basedOn w:val="841"/>
    <w:next w:val="860"/>
    <w:qFormat/>
    <w:pPr>
      <w:ind w:left="0" w:firstLine="1024"/>
      <w:spacing w:before="0" w:after="120" w:line="480" w:lineRule="auto"/>
    </w:pPr>
    <w:rPr>
      <w:rFonts w:ascii="Times New Roman" w:hAnsi="Times New Roman" w:cs="Times New Roman"/>
    </w:rPr>
  </w:style>
  <w:style w:type="paragraph" w:styleId="897">
    <w:name w:val="HTML Preformatted"/>
    <w:basedOn w:val="841"/>
    <w:next w:val="859"/>
    <w:qFormat/>
    <w:pPr>
      <w:ind w:left="0" w:firstLine="2048"/>
      <w:spacing w:before="0" w:after="0" w:line="253" w:lineRule="atLeast"/>
    </w:pPr>
    <w:rPr>
      <w:rFonts w:ascii="Times New Roman" w:hAnsi="Times New Roman" w:cs="Times New Roman"/>
    </w:rPr>
  </w:style>
  <w:style w:type="paragraph" w:styleId="898">
    <w:name w:val="Normal (Web)"/>
    <w:basedOn w:val="840"/>
    <w:next w:val="869"/>
    <w:qFormat/>
    <w:pPr>
      <w:ind w:left="15" w:right="15" w:firstLine="4608"/>
      <w:spacing w:before="60" w:after="60" w:line="312" w:lineRule="auto"/>
    </w:pPr>
    <w:rPr>
      <w:rFonts w:ascii="Times New Roman" w:hAnsi="Times New Roman" w:cs="Times New Roman"/>
    </w:rPr>
  </w:style>
  <w:style w:type="paragraph" w:styleId="899">
    <w:name w:val="index 1"/>
    <w:basedOn w:val="841"/>
    <w:next w:val="840"/>
    <w:qFormat/>
    <w:pPr>
      <w:ind w:left="0" w:firstLine="3584"/>
      <w:spacing w:before="0" w:after="0" w:line="240" w:lineRule="auto"/>
    </w:pPr>
    <w:rPr>
      <w:rFonts w:ascii="Times New Roman" w:hAnsi="Times New Roman" w:cs="Times New Roman"/>
    </w:rPr>
  </w:style>
  <w:style w:type="paragraph" w:styleId="900">
    <w:name w:val="Body Text First Indent 2"/>
    <w:basedOn w:val="867"/>
    <w:link w:val="1259"/>
    <w:unhideWhenUsed/>
    <w:qFormat/>
    <w:pPr>
      <w:ind w:firstLine="420"/>
    </w:pPr>
  </w:style>
  <w:style w:type="table" w:styleId="90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character" w:styleId="909" w:customStyle="1">
    <w:name w:val="正文缩进 字符"/>
    <w:link w:val="858"/>
    <w:qFormat/>
    <w:rPr>
      <w:rFonts w:ascii="Calibri" w:hAnsi="Calibri" w:eastAsia="宋体" w:cs="Times New Roman"/>
    </w:rPr>
  </w:style>
  <w:style w:type="character" w:styleId="910" w:customStyle="1">
    <w:name w:val="页脚 字符"/>
    <w:link w:val="883"/>
    <w:qFormat/>
    <w:rPr>
      <w:rFonts w:ascii="Calibri" w:hAnsi="Calibri" w:eastAsia="宋体" w:cs="Times New Roman"/>
    </w:rPr>
  </w:style>
  <w:style w:type="character" w:styleId="911" w:customStyle="1">
    <w:name w:val="页眉 字符"/>
    <w:link w:val="885"/>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qFormat/>
    <w:pPr>
      <w:ind w:left="1134" w:firstLine="20"/>
      <w:spacing w:before="280" w:after="280" w:line="360" w:lineRule="auto"/>
      <w:outlineLvl w:val="5"/>
    </w:pPr>
  </w:style>
  <w:style w:type="paragraph" w:styleId="1023" w:customStyle="1">
    <w:name w:val="正文段"/>
    <w:basedOn w:val="841"/>
    <w:next w:val="1024"/>
    <w:qFormat/>
    <w:pPr>
      <w:ind w:left="454" w:firstLine="1222"/>
      <w:spacing w:before="0" w:after="240" w:line="240" w:lineRule="atLeast"/>
    </w:pPr>
    <w:rPr>
      <w:rFonts w:ascii="Times New Roman" w:hAnsi="Times New Roman" w:cs="Times New Roman"/>
    </w:rPr>
  </w:style>
  <w:style w:type="paragraph" w:styleId="1024" w:customStyle="1">
    <w:name w:val="批注主题1"/>
    <w:next w:val="840"/>
    <w:qFormat/>
    <w:pPr>
      <w:ind w:left="200" w:firstLine="4808"/>
      <w:spacing w:line="360" w:lineRule="auto"/>
    </w:pPr>
    <w:rPr>
      <w:rFonts w:ascii="Calibri" w:hAnsi="Calibri" w:cs="宋体"/>
    </w:rPr>
  </w:style>
  <w:style w:type="paragraph" w:styleId="1025" w:customStyle="1">
    <w:name w:val="_Style 224"/>
    <w:next w:val="1026"/>
    <w:qFormat/>
    <w:pPr>
      <w:ind w:firstLine="3584"/>
    </w:pPr>
    <w:rPr>
      <w:rFonts w:ascii="Calibri" w:hAnsi="Calibri" w:cs="宋体"/>
    </w:rPr>
  </w:style>
  <w:style w:type="paragraph" w:styleId="1026" w:customStyle="1">
    <w:name w:val="编号1"/>
    <w:basedOn w:val="841"/>
    <w:next w:val="1027"/>
    <w:qFormat/>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qFormat/>
    <w:pPr>
      <w:ind w:left="400" w:firstLine="5120"/>
      <w:spacing w:line="360" w:lineRule="auto"/>
      <w:widowControl w:val="off"/>
    </w:pPr>
    <w:rPr>
      <w:rFonts w:ascii="Calibri" w:hAnsi="Calibri" w:cs="宋体"/>
    </w:rPr>
  </w:style>
  <w:style w:type="paragraph" w:styleId="1029" w:customStyle="1">
    <w:name w:val="图注"/>
    <w:next w:val="1030"/>
    <w:qFormat/>
    <w:pPr>
      <w:ind w:left="360" w:firstLine="2152"/>
      <w:jc w:val="center"/>
    </w:pPr>
    <w:rPr>
      <w:rFonts w:ascii="Calibri" w:hAnsi="Calibri" w:cs="宋体"/>
    </w:rPr>
  </w:style>
  <w:style w:type="paragraph" w:styleId="1030" w:customStyle="1">
    <w:name w:val="列表编号 41"/>
    <w:basedOn w:val="841"/>
    <w:next w:val="1031"/>
    <w:qFormat/>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qFormat/>
    <w:pPr>
      <w:ind w:firstLine="5632"/>
      <w:widowControl w:val="off"/>
    </w:pPr>
    <w:rPr>
      <w:rFonts w:ascii="Calibri" w:hAnsi="Calibri" w:cs="宋体"/>
    </w:rPr>
  </w:style>
  <w:style w:type="paragraph" w:styleId="1033" w:customStyle="1">
    <w:name w:val="Item Step in Table"/>
    <w:next w:val="1034"/>
    <w:qFormat/>
    <w:pPr>
      <w:ind w:left="397" w:firstLine="3699"/>
      <w:jc w:val="both"/>
      <w:spacing w:before="40" w:after="40"/>
    </w:pPr>
    <w:rPr>
      <w:rFonts w:ascii="Calibri" w:hAnsi="Calibri" w:cs="宋体"/>
    </w:rPr>
  </w:style>
  <w:style w:type="paragraph" w:styleId="1034" w:customStyle="1">
    <w:name w:val="Char Char Char Char Char Char1 Char Char Char Char Char Char"/>
    <w:basedOn w:val="841"/>
    <w:next w:val="1035"/>
    <w:qFormat/>
    <w:pPr>
      <w:ind w:left="0" w:firstLine="2560"/>
      <w:spacing w:before="0" w:after="0" w:line="240" w:lineRule="auto"/>
    </w:pPr>
    <w:rPr>
      <w:rFonts w:ascii="Times New Roman" w:hAnsi="Times New Roman" w:cs="Times New Roman"/>
    </w:rPr>
  </w:style>
  <w:style w:type="paragraph" w:styleId="1035" w:customStyle="1">
    <w:name w:val="Char Char1"/>
    <w:basedOn w:val="841"/>
    <w:next w:val="1036"/>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899"/>
    <w:qFormat/>
    <w:pPr>
      <w:ind w:left="200" w:firstLine="18"/>
      <w:spacing w:before="0" w:after="0" w:line="360" w:lineRule="auto"/>
      <w:outlineLvl w:val="2"/>
    </w:pPr>
  </w:style>
  <w:style w:type="paragraph" w:styleId="1037" w:customStyle="1">
    <w:name w:val="xl76"/>
    <w:basedOn w:val="841"/>
    <w:next w:val="896"/>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79"/>
    <w:qFormat/>
    <w:pPr>
      <w:ind w:left="0" w:firstLine="2560"/>
      <w:spacing w:before="0" w:after="0" w:line="240" w:lineRule="auto"/>
    </w:pPr>
    <w:rPr>
      <w:rFonts w:ascii="Times New Roman" w:hAnsi="Times New Roman" w:cs="Times New Roman"/>
    </w:rPr>
  </w:style>
  <w:style w:type="paragraph" w:styleId="1040" w:customStyle="1">
    <w:name w:val="纯文本2"/>
    <w:basedOn w:val="841"/>
    <w:next w:val="1041"/>
    <w:qFormat/>
    <w:pPr>
      <w:ind w:left="0" w:firstLine="3584"/>
      <w:spacing w:before="0" w:after="0" w:line="240" w:lineRule="auto"/>
    </w:pPr>
    <w:rPr>
      <w:rFonts w:ascii="Times New Roman" w:hAnsi="Times New Roman" w:cs="Times New Roman"/>
    </w:rPr>
  </w:style>
  <w:style w:type="paragraph" w:styleId="1041" w:customStyle="1">
    <w:name w:val="xl69"/>
    <w:basedOn w:val="841"/>
    <w:next w:val="1042"/>
    <w:qFormat/>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qFormat/>
    <w:pPr>
      <w:ind w:left="0" w:firstLine="2560"/>
      <w:spacing w:before="0" w:after="0" w:line="240" w:lineRule="auto"/>
    </w:pPr>
    <w:rPr>
      <w:rFonts w:ascii="Times New Roman" w:hAnsi="Times New Roman" w:cs="Times New Roman"/>
    </w:rPr>
  </w:style>
  <w:style w:type="paragraph" w:styleId="1043" w:customStyle="1">
    <w:name w:val="表格"/>
    <w:basedOn w:val="841"/>
    <w:next w:val="1038"/>
    <w:qFormat/>
    <w:pPr>
      <w:ind w:left="0" w:firstLine="2560"/>
      <w:spacing w:before="0" w:after="0" w:line="360" w:lineRule="auto"/>
    </w:pPr>
    <w:rPr>
      <w:rFonts w:ascii="Times New Roman" w:hAnsi="Times New Roman" w:cs="Times New Roman"/>
    </w:rPr>
  </w:style>
  <w:style w:type="paragraph" w:styleId="1044" w:customStyle="1">
    <w:name w:val="xl68"/>
    <w:basedOn w:val="841"/>
    <w:next w:val="1045"/>
    <w:qFormat/>
    <w:pPr>
      <w:ind w:left="100" w:firstLine="5220"/>
      <w:spacing w:before="280" w:after="280" w:line="240" w:lineRule="auto"/>
    </w:pPr>
    <w:rPr>
      <w:rFonts w:ascii="Times New Roman" w:hAnsi="Times New Roman" w:cs="Times New Roman"/>
    </w:rPr>
  </w:style>
  <w:style w:type="paragraph" w:styleId="1045" w:customStyle="1">
    <w:name w:val="Char1"/>
    <w:basedOn w:val="841"/>
    <w:next w:val="1046"/>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qFormat/>
    <w:pPr>
      <w:ind w:left="437" w:firstLine="2741"/>
      <w:spacing w:before="0" w:after="0" w:line="360" w:lineRule="auto"/>
    </w:pPr>
    <w:rPr>
      <w:rFonts w:ascii="Times New Roman" w:hAnsi="Times New Roman" w:cs="Times New Roman"/>
    </w:rPr>
  </w:style>
  <w:style w:type="paragraph" w:styleId="1047" w:customStyle="1">
    <w:name w:val="xl74"/>
    <w:basedOn w:val="841"/>
    <w:next w:val="1048"/>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qFormat/>
    <w:pPr>
      <w:ind w:left="0" w:firstLine="5120"/>
      <w:spacing w:before="280" w:after="280" w:line="240" w:lineRule="auto"/>
    </w:pPr>
    <w:rPr>
      <w:rFonts w:ascii="Times New Roman" w:hAnsi="Times New Roman" w:cs="Times New Roman"/>
    </w:rPr>
  </w:style>
  <w:style w:type="paragraph" w:styleId="1049" w:customStyle="1">
    <w:name w:val="xl70"/>
    <w:basedOn w:val="841"/>
    <w:next w:val="895"/>
    <w:qFormat/>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qFormat/>
    <w:pPr>
      <w:ind w:left="992" w:firstLine="18"/>
      <w:spacing w:before="280" w:after="280" w:line="360" w:lineRule="auto"/>
      <w:outlineLvl w:val="4"/>
    </w:pPr>
  </w:style>
  <w:style w:type="paragraph" w:styleId="1051" w:customStyle="1">
    <w:name w:val="样式 加粗 居中"/>
    <w:basedOn w:val="841"/>
    <w:next w:val="1052"/>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qFormat/>
    <w:pPr>
      <w:ind w:firstLine="14"/>
      <w:spacing w:line="360" w:lineRule="auto"/>
      <w:shd w:val="clear" w:color="000000" w:fill="000080"/>
    </w:pPr>
    <w:rPr>
      <w:rFonts w:ascii="Calibri" w:hAnsi="Calibri" w:cs="宋体"/>
    </w:rPr>
  </w:style>
  <w:style w:type="paragraph" w:styleId="1053" w:customStyle="1">
    <w:name w:val="正文文本缩进1"/>
    <w:basedOn w:val="841"/>
    <w:next w:val="1054"/>
    <w:qFormat/>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7"/>
    <w:qFormat/>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cs="宋体"/>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rPr>
      <w:rFonts w:ascii="宋体" w:hAnsi="宋体" w:cs="宋体"/>
    </w:r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qFormat/>
    <w:pPr>
      <w:ind w:left="900" w:firstLine="2096"/>
      <w:spacing w:before="0" w:after="0" w:line="240" w:lineRule="auto"/>
    </w:pPr>
    <w:rPr>
      <w:rFonts w:ascii="Times New Roman" w:hAnsi="Times New Roman" w:cs="Times New Roman"/>
    </w:rPr>
  </w:style>
  <w:style w:type="paragraph" w:styleId="1065" w:customStyle="1">
    <w:name w:val="索引 21"/>
    <w:basedOn w:val="841"/>
    <w:next w:val="84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cs="宋体"/>
    </w:rPr>
  </w:style>
  <w:style w:type="paragraph" w:styleId="1067" w:customStyle="1">
    <w:name w:val="xl28"/>
    <w:basedOn w:val="841"/>
    <w:next w:val="1068"/>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5"/>
    <w:qFormat/>
    <w:pPr>
      <w:ind w:firstLine="5120"/>
      <w:widowControl w:val="off"/>
    </w:pPr>
    <w:rPr>
      <w:rFonts w:ascii="Calibri" w:hAnsi="Calibri" w:cs="宋体"/>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qFormat/>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qFormat/>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cs="宋体"/>
    </w:rPr>
  </w:style>
  <w:style w:type="paragraph" w:styleId="1084" w:customStyle="1">
    <w:name w:val="1ji"/>
    <w:basedOn w:val="842"/>
    <w:next w:val="1063"/>
    <w:qFormat/>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qFormat/>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qFormat/>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qFormat/>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cs="宋体"/>
      <w:i/>
    </w:rPr>
  </w:style>
  <w:style w:type="paragraph" w:styleId="1093" w:customStyle="1">
    <w:name w:val="Default Paragraph Font Para Char Char Char Char Char Char"/>
    <w:basedOn w:val="841"/>
    <w:next w:val="1094"/>
    <w:qFormat/>
    <w:pPr>
      <w:ind w:left="0" w:firstLine="3584"/>
      <w:spacing w:before="0" w:after="160" w:line="240" w:lineRule="exact"/>
    </w:pPr>
    <w:rPr>
      <w:rFonts w:ascii="Times New Roman" w:hAnsi="Times New Roman" w:cs="Times New Roman"/>
    </w:rPr>
  </w:style>
  <w:style w:type="paragraph" w:styleId="1094" w:customStyle="1">
    <w:name w:val="xl23"/>
    <w:basedOn w:val="841"/>
    <w:next w:val="877"/>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qFormat/>
    <w:pPr>
      <w:ind w:left="0" w:firstLine="24"/>
      <w:jc w:val="center"/>
      <w:spacing w:line="412" w:lineRule="auto"/>
      <w:outlineLvl w:val="1"/>
    </w:pPr>
  </w:style>
  <w:style w:type="paragraph" w:styleId="1097" w:customStyle="1">
    <w:name w:val="页脚 Char Char"/>
    <w:basedOn w:val="841"/>
    <w:next w:val="1098"/>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qFormat/>
    <w:pPr>
      <w:ind w:left="0" w:firstLine="18"/>
      <w:jc w:val="center"/>
      <w:spacing w:before="120" w:after="0" w:line="360" w:lineRule="auto"/>
      <w:outlineLvl w:val="0"/>
    </w:pPr>
  </w:style>
  <w:style w:type="paragraph" w:styleId="1099" w:customStyle="1">
    <w:name w:val="Char1 Char Char Char Char Char Char"/>
    <w:basedOn w:val="841"/>
    <w:next w:val="1100"/>
    <w:qFormat/>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qFormat/>
    <w:pPr>
      <w:ind w:left="851" w:firstLine="30"/>
      <w:spacing w:after="280" w:line="360" w:lineRule="auto"/>
      <w:outlineLvl w:val="3"/>
    </w:pPr>
  </w:style>
  <w:style w:type="paragraph" w:styleId="1101" w:customStyle="1">
    <w:name w:val="font0"/>
    <w:basedOn w:val="841"/>
    <w:next w:val="1076"/>
    <w:qFormat/>
    <w:pPr>
      <w:ind w:left="0" w:firstLine="1024"/>
      <w:spacing w:before="280" w:after="280" w:line="240" w:lineRule="auto"/>
    </w:pPr>
    <w:rPr>
      <w:rFonts w:ascii="Times New Roman" w:hAnsi="Times New Roman" w:cs="Times New Roman"/>
    </w:rPr>
  </w:style>
  <w:style w:type="paragraph" w:styleId="1102" w:customStyle="1">
    <w:name w:val="CM5"/>
    <w:basedOn w:val="841"/>
    <w:next w:val="840"/>
    <w:qFormat/>
    <w:pPr>
      <w:ind w:left="200" w:firstLine="2760"/>
      <w:spacing w:before="0" w:after="0" w:line="400" w:lineRule="atLeast"/>
    </w:pPr>
    <w:rPr>
      <w:rFonts w:ascii="Times New Roman" w:hAnsi="Times New Roman" w:cs="Times New Roman"/>
    </w:rPr>
  </w:style>
  <w:style w:type="paragraph" w:styleId="1103" w:customStyle="1">
    <w:name w:val="Pa0"/>
    <w:basedOn w:val="841"/>
    <w:next w:val="840"/>
    <w:qFormat/>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qFormat/>
    <w:pPr>
      <w:ind w:left="420" w:firstLine="2140"/>
      <w:spacing w:before="120" w:after="120" w:line="300" w:lineRule="auto"/>
    </w:pPr>
    <w:rPr>
      <w:rFonts w:ascii="Times New Roman" w:hAnsi="Times New Roman" w:cs="Times New Roman"/>
    </w:rPr>
  </w:style>
  <w:style w:type="paragraph" w:styleId="1105" w:customStyle="1">
    <w:name w:val="段"/>
    <w:next w:val="840"/>
    <w:qFormat/>
    <w:pPr>
      <w:ind w:firstLine="200"/>
      <w:jc w:val="both"/>
      <w:spacing w:line="360" w:lineRule="auto"/>
    </w:pPr>
    <w:rPr>
      <w:rFonts w:ascii="宋体" w:hAnsi="宋体" w:cs="宋体"/>
      <w:sz w:val="24"/>
      <w:szCs w:val="22"/>
    </w:rPr>
  </w:style>
  <w:style w:type="paragraph" w:styleId="1106" w:customStyle="1">
    <w:name w:val="标书_正文"/>
    <w:basedOn w:val="841"/>
    <w:next w:val="1107"/>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qFormat/>
    <w:pPr>
      <w:ind w:left="0" w:firstLine="24"/>
      <w:spacing w:before="100" w:after="0" w:line="400" w:lineRule="exact"/>
      <w:outlineLvl w:val="1"/>
    </w:pPr>
  </w:style>
  <w:style w:type="paragraph" w:styleId="1108" w:customStyle="1">
    <w:name w:val="图片0"/>
    <w:basedOn w:val="841"/>
    <w:next w:val="888"/>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qFormat/>
    <w:pPr>
      <w:ind w:firstLine="10"/>
      <w:spacing w:line="360" w:lineRule="auto"/>
      <w:shd w:val="clear" w:color="000000" w:fill="000080"/>
    </w:pPr>
    <w:rPr>
      <w:rFonts w:ascii="Calibri" w:hAnsi="Calibri" w:cs="宋体"/>
    </w:rPr>
  </w:style>
  <w:style w:type="paragraph" w:styleId="1111" w:customStyle="1">
    <w:name w:val="杨昂超式样黑体主"/>
    <w:basedOn w:val="841"/>
    <w:next w:val="1112"/>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qFormat/>
    <w:pPr>
      <w:ind w:left="0" w:firstLine="2560"/>
      <w:spacing w:before="0" w:after="0" w:line="240" w:lineRule="auto"/>
    </w:pPr>
    <w:rPr>
      <w:rFonts w:ascii="Times New Roman" w:hAnsi="Times New Roman" w:cs="Times New Roman"/>
    </w:rPr>
  </w:style>
  <w:style w:type="paragraph" w:styleId="1113" w:customStyle="1">
    <w:name w:val="目录1"/>
    <w:basedOn w:val="841"/>
    <w:next w:val="84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qFormat/>
    <w:pPr>
      <w:ind w:left="200" w:firstLine="2248"/>
      <w:spacing w:before="0" w:after="0" w:line="360" w:lineRule="auto"/>
    </w:pPr>
    <w:rPr>
      <w:rFonts w:ascii="Times New Roman" w:hAnsi="Times New Roman" w:cs="Times New Roman"/>
    </w:rPr>
  </w:style>
  <w:style w:type="paragraph" w:styleId="1115" w:customStyle="1">
    <w:name w:val="2ji"/>
    <w:basedOn w:val="843"/>
    <w:next w:val="883"/>
    <w:qFormat/>
    <w:pPr>
      <w:ind w:left="0" w:firstLine="24"/>
      <w:spacing w:before="0" w:after="0" w:line="360" w:lineRule="auto"/>
      <w:outlineLvl w:val="1"/>
    </w:pPr>
  </w:style>
  <w:style w:type="paragraph" w:styleId="1116" w:customStyle="1">
    <w:name w:val="xl91"/>
    <w:basedOn w:val="841"/>
    <w:next w:val="1037"/>
    <w:qFormat/>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qFormat/>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qFormat/>
    <w:pPr>
      <w:ind w:left="1429" w:firstLine="18"/>
      <w:spacing w:before="100" w:after="100" w:line="360" w:lineRule="auto"/>
      <w:outlineLvl w:val="2"/>
    </w:pPr>
  </w:style>
  <w:style w:type="paragraph" w:styleId="1121" w:customStyle="1">
    <w:name w:val="xl22"/>
    <w:basedOn w:val="841"/>
    <w:next w:val="1122"/>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qFormat/>
    <w:pPr>
      <w:ind w:left="0"/>
      <w:spacing w:before="0" w:after="0" w:line="360" w:lineRule="auto"/>
    </w:pPr>
    <w:rPr>
      <w:rFonts w:ascii="Times New Roman" w:hAnsi="Times New Roman" w:cs="Times New Roman"/>
    </w:rPr>
  </w:style>
  <w:style w:type="paragraph" w:styleId="1123" w:customStyle="1">
    <w:name w:val="xl78"/>
    <w:basedOn w:val="841"/>
    <w:next w:val="1124"/>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qFormat/>
    <w:pPr>
      <w:ind w:firstLine="4608"/>
      <w:jc w:val="center"/>
      <w:spacing w:line="360" w:lineRule="auto"/>
    </w:pPr>
    <w:rPr>
      <w:rFonts w:ascii="Calibri" w:hAnsi="Calibri" w:cs="宋体"/>
    </w:rPr>
  </w:style>
  <w:style w:type="paragraph" w:styleId="1125" w:customStyle="1">
    <w:name w:val="_Style 169"/>
    <w:next w:val="840"/>
    <w:qFormat/>
    <w:pPr>
      <w:ind w:left="2560"/>
    </w:pPr>
    <w:rPr>
      <w:rFonts w:ascii="Calibri" w:hAnsi="Calibri" w:cs="宋体"/>
    </w:rPr>
  </w:style>
  <w:style w:type="paragraph" w:styleId="1126" w:customStyle="1">
    <w:name w:val="样式 小四 行距: 1.5 倍行距 首行缩进:  2 字符"/>
    <w:basedOn w:val="841"/>
    <w:next w:val="1071"/>
    <w:qFormat/>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qFormat/>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qFormat/>
    <w:pPr>
      <w:ind w:left="0" w:firstLine="3584"/>
      <w:spacing w:before="0" w:after="0" w:line="240" w:lineRule="auto"/>
    </w:pPr>
    <w:rPr>
      <w:rFonts w:ascii="Times New Roman" w:hAnsi="Times New Roman" w:cs="Times New Roman"/>
    </w:rPr>
  </w:style>
  <w:style w:type="paragraph" w:styleId="1130" w:customStyle="1">
    <w:name w:val="Char"/>
    <w:basedOn w:val="841"/>
    <w:next w:val="1109"/>
    <w:qFormat/>
    <w:pPr>
      <w:ind w:left="900" w:firstLine="2608"/>
      <w:spacing w:before="0" w:after="0" w:line="240" w:lineRule="auto"/>
    </w:pPr>
    <w:rPr>
      <w:rFonts w:ascii="Times New Roman" w:hAnsi="Times New Roman" w:cs="Times New Roman"/>
    </w:rPr>
  </w:style>
  <w:style w:type="paragraph" w:styleId="1131" w:customStyle="1">
    <w:name w:val="xl86"/>
    <w:basedOn w:val="841"/>
    <w:next w:val="1132"/>
    <w:qFormat/>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qFormat/>
    <w:pPr>
      <w:ind w:left="480" w:firstLine="4320"/>
      <w:spacing w:line="440" w:lineRule="exact"/>
    </w:pPr>
    <w:rPr>
      <w:rFonts w:ascii="Calibri" w:hAnsi="Calibri" w:cs="宋体"/>
    </w:rPr>
  </w:style>
  <w:style w:type="paragraph" w:styleId="1134" w:customStyle="1">
    <w:name w:val="4"/>
    <w:basedOn w:val="841"/>
    <w:next w:val="867"/>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qFormat/>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qFormat/>
    <w:pPr>
      <w:ind w:left="987" w:firstLine="5724"/>
      <w:spacing w:before="0" w:after="0" w:line="240" w:lineRule="auto"/>
    </w:pPr>
    <w:rPr>
      <w:rFonts w:ascii="Times New Roman" w:hAnsi="Times New Roman" w:cs="Times New Roman"/>
    </w:rPr>
  </w:style>
  <w:style w:type="paragraph" w:styleId="1138" w:customStyle="1">
    <w:name w:val="索引 31"/>
    <w:basedOn w:val="841"/>
    <w:next w:val="84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qFormat/>
    <w:pPr>
      <w:ind w:left="629" w:firstLine="5237"/>
      <w:spacing w:before="0" w:after="0" w:line="317" w:lineRule="atLeast"/>
    </w:pPr>
    <w:rPr>
      <w:rFonts w:ascii="Times New Roman" w:hAnsi="Times New Roman" w:cs="Times New Roman"/>
    </w:rPr>
  </w:style>
  <w:style w:type="paragraph" w:styleId="1140" w:customStyle="1">
    <w:name w:val="p15"/>
    <w:basedOn w:val="840"/>
    <w:qFormat/>
    <w:pPr>
      <w:ind w:left="0"/>
    </w:pPr>
    <w:rPr>
      <w:rFonts w:ascii="宋体" w:hAnsi="宋体"/>
      <w:sz w:val="28"/>
      <w:szCs w:val="28"/>
    </w:rPr>
  </w:style>
  <w:style w:type="paragraph" w:styleId="1141" w:customStyle="1">
    <w:name w:val="四号 居中"/>
    <w:basedOn w:val="841"/>
    <w:next w:val="1135"/>
    <w:qFormat/>
    <w:pPr>
      <w:ind w:left="0" w:firstLine="6144"/>
      <w:jc w:val="center"/>
      <w:spacing w:before="0" w:after="0" w:line="360" w:lineRule="auto"/>
    </w:pPr>
    <w:rPr>
      <w:rFonts w:ascii="Times New Roman" w:hAnsi="Times New Roman" w:cs="Times New Roman"/>
    </w:rPr>
  </w:style>
  <w:style w:type="paragraph" w:styleId="1142" w:customStyle="1">
    <w:name w:val="p0"/>
    <w:next w:val="840"/>
    <w:qFormat/>
    <w:pPr>
      <w:ind w:firstLine="2048"/>
      <w:spacing w:line="360" w:lineRule="auto"/>
    </w:pPr>
    <w:rPr>
      <w:rFonts w:ascii="Calibri" w:hAnsi="Calibri" w:cs="宋体"/>
    </w:rPr>
  </w:style>
  <w:style w:type="paragraph" w:styleId="1143" w:customStyle="1">
    <w:name w:val="列表编号 21"/>
    <w:basedOn w:val="841"/>
    <w:next w:val="1144"/>
    <w:qFormat/>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qFormat/>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0"/>
    <w:qFormat/>
    <w:pPr>
      <w:ind w:left="0" w:firstLine="1024"/>
      <w:spacing w:before="280" w:after="280" w:line="240" w:lineRule="auto"/>
    </w:pPr>
    <w:rPr>
      <w:rFonts w:ascii="Times New Roman" w:hAnsi="Times New Roman" w:cs="Times New Roman"/>
    </w:rPr>
  </w:style>
  <w:style w:type="paragraph" w:styleId="1146" w:customStyle="1">
    <w:name w:val="font8"/>
    <w:basedOn w:val="841"/>
    <w:next w:val="107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1"/>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cs="宋体"/>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cs="宋体"/>
    </w:rPr>
  </w:style>
  <w:style w:type="paragraph" w:styleId="1154" w:customStyle="1">
    <w:name w:val="font10"/>
    <w:basedOn w:val="841"/>
    <w:next w:val="873"/>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5"/>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cs="宋体"/>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6"/>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cs="宋体"/>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cs="宋体"/>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cs="宋体"/>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qFormat/>
    <w:rPr>
      <w:rFonts w:ascii="宋体" w:hAnsi="宋体" w:cs="宋体"/>
    </w:rPr>
  </w:style>
  <w:style w:type="paragraph" w:styleId="1180" w:customStyle="1">
    <w:name w:val="纯文本4"/>
    <w:basedOn w:val="84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qFormat/>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qFormat/>
    <w:pPr>
      <w:ind w:left="432" w:firstLine="18"/>
      <w:spacing w:before="40" w:after="40" w:line="360" w:lineRule="auto"/>
      <w:outlineLvl w:val="0"/>
    </w:pPr>
  </w:style>
  <w:style w:type="paragraph" w:styleId="1184" w:customStyle="1">
    <w:name w:val="表格用"/>
    <w:basedOn w:val="841"/>
    <w:next w:val="1141"/>
    <w:qFormat/>
    <w:pPr>
      <w:ind w:left="0" w:firstLine="1024"/>
      <w:spacing w:before="0" w:after="0" w:line="360" w:lineRule="auto"/>
    </w:pPr>
    <w:rPr>
      <w:rFonts w:ascii="Times New Roman" w:hAnsi="Times New Roman" w:cs="Times New Roman"/>
    </w:rPr>
  </w:style>
  <w:style w:type="paragraph" w:styleId="1185" w:customStyle="1">
    <w:name w:val="xl71"/>
    <w:basedOn w:val="841"/>
    <w:next w:val="1186"/>
    <w:qFormat/>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qFormat/>
    <w:pPr>
      <w:ind w:left="420" w:firstLine="3748"/>
      <w:spacing w:before="0" w:after="0" w:line="240" w:lineRule="auto"/>
    </w:pPr>
    <w:rPr>
      <w:rFonts w:ascii="Times New Roman" w:hAnsi="Times New Roman" w:cs="Times New Roman"/>
    </w:rPr>
  </w:style>
  <w:style w:type="paragraph" w:styleId="1188" w:customStyle="1">
    <w:name w:val="修订1"/>
    <w:qFormat/>
    <w:rPr>
      <w:rFonts w:ascii="Calibri" w:hAnsi="Calibri" w:cs="宋体"/>
    </w:rPr>
  </w:style>
  <w:style w:type="paragraph" w:styleId="1189" w:customStyle="1">
    <w:name w:val="正文文本缩进 21"/>
    <w:basedOn w:val="841"/>
    <w:next w:val="1129"/>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qFormat/>
    <w:pPr>
      <w:ind w:left="0" w:firstLine="2560"/>
      <w:spacing w:before="0" w:after="0" w:line="240" w:lineRule="auto"/>
    </w:pPr>
    <w:rPr>
      <w:rFonts w:ascii="Times New Roman" w:hAnsi="Times New Roman" w:cs="Times New Roman"/>
    </w:rPr>
  </w:style>
  <w:style w:type="paragraph" w:styleId="1191" w:customStyle="1">
    <w:name w:val="样式"/>
    <w:next w:val="840"/>
    <w:qFormat/>
    <w:pPr>
      <w:ind w:firstLine="3584"/>
      <w:widowControl w:val="off"/>
    </w:pPr>
    <w:rPr>
      <w:rFonts w:ascii="Calibri" w:hAnsi="Calibri" w:cs="宋体"/>
    </w:rPr>
  </w:style>
  <w:style w:type="paragraph" w:styleId="1192" w:customStyle="1">
    <w:name w:val="TOC 标题1"/>
    <w:basedOn w:val="842"/>
    <w:next w:val="840"/>
    <w:qFormat/>
    <w:pPr>
      <w:ind w:left="0" w:firstLine="6144"/>
      <w:spacing w:before="480" w:after="0" w:line="276" w:lineRule="auto"/>
    </w:pPr>
    <w:rPr>
      <w:b/>
      <w:sz w:val="30"/>
    </w:rPr>
  </w:style>
  <w:style w:type="paragraph" w:styleId="1193" w:customStyle="1">
    <w:name w:val="纯文本3"/>
    <w:basedOn w:val="840"/>
    <w:qFormat/>
    <w:rPr>
      <w:rFonts w:ascii="宋体" w:hAnsi="Courier New" w:cs="Times New Roman"/>
    </w:rPr>
  </w:style>
  <w:style w:type="paragraph" w:styleId="1194" w:customStyle="1">
    <w:name w:val="afont"/>
    <w:basedOn w:val="841"/>
    <w:next w:val="865"/>
    <w:qFormat/>
    <w:pPr>
      <w:ind w:left="0" w:firstLine="2048"/>
      <w:spacing w:before="100" w:after="100" w:line="285" w:lineRule="atLeast"/>
    </w:pPr>
    <w:rPr>
      <w:rFonts w:ascii="Times New Roman" w:hAnsi="Times New Roman" w:cs="Times New Roman"/>
    </w:rPr>
  </w:style>
  <w:style w:type="paragraph" w:styleId="1195" w:customStyle="1">
    <w:name w:val="xl85"/>
    <w:basedOn w:val="841"/>
    <w:next w:val="1196"/>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qFormat/>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0"/>
    <w:qFormat/>
    <w:pPr>
      <w:ind w:left="0"/>
      <w:jc w:val="left"/>
    </w:pPr>
    <w:rPr>
      <w:rFonts w:ascii="宋体" w:hAnsi="宋体" w:eastAsia="楷体_GB2312" w:cs="Courier New"/>
      <w:sz w:val="26"/>
      <w:lang w:val="zh-CN"/>
    </w:rPr>
  </w:style>
  <w:style w:type="paragraph" w:styleId="1200" w:customStyle="1">
    <w:name w:val="样式 加粗 居中2"/>
    <w:basedOn w:val="841"/>
    <w:next w:val="1052"/>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qFormat/>
    <w:pPr>
      <w:ind w:left="480" w:firstLine="2784"/>
      <w:spacing w:before="0" w:after="0" w:line="360" w:lineRule="auto"/>
    </w:pPr>
    <w:rPr>
      <w:rFonts w:ascii="Times New Roman" w:hAnsi="Times New Roman" w:cs="Times New Roman"/>
    </w:rPr>
  </w:style>
  <w:style w:type="paragraph" w:styleId="1202" w:customStyle="1">
    <w:name w:val="font5"/>
    <w:basedOn w:val="841"/>
    <w:next w:val="1203"/>
    <w:qFormat/>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qFormat/>
    <w:pPr>
      <w:ind w:left="0" w:firstLine="2560"/>
      <w:spacing w:before="0" w:after="0" w:line="240" w:lineRule="auto"/>
    </w:pPr>
    <w:rPr>
      <w:rFonts w:ascii="Times New Roman" w:hAnsi="Times New Roman" w:cs="Times New Roman"/>
    </w:rPr>
  </w:style>
  <w:style w:type="paragraph" w:styleId="1205" w:customStyle="1">
    <w:name w:val="1正文"/>
    <w:basedOn w:val="841"/>
    <w:next w:val="1206"/>
    <w:qFormat/>
    <w:pPr>
      <w:ind w:left="480" w:firstLine="2784"/>
      <w:spacing w:before="0" w:after="0" w:line="300" w:lineRule="auto"/>
    </w:pPr>
    <w:rPr>
      <w:rFonts w:ascii="Times New Roman" w:hAnsi="Times New Roman" w:cs="Times New Roman"/>
    </w:rPr>
  </w:style>
  <w:style w:type="paragraph" w:styleId="1206" w:customStyle="1">
    <w:name w:val="目录2"/>
    <w:basedOn w:val="841"/>
    <w:next w:val="840"/>
    <w:qFormat/>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qFormat/>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qFormat/>
    <w:pPr>
      <w:ind w:left="0" w:firstLine="3584"/>
      <w:spacing w:before="280" w:after="280" w:line="240" w:lineRule="auto"/>
    </w:pPr>
    <w:rPr>
      <w:rFonts w:ascii="Times New Roman" w:hAnsi="Times New Roman" w:cs="Times New Roman"/>
    </w:rPr>
  </w:style>
  <w:style w:type="paragraph" w:styleId="1211" w:customStyle="1">
    <w:name w:val="xl80"/>
    <w:basedOn w:val="841"/>
    <w:next w:val="1212"/>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qFormat/>
    <w:pPr>
      <w:ind w:left="1134" w:firstLine="18"/>
      <w:spacing w:before="0" w:after="0" w:line="360" w:lineRule="auto"/>
      <w:outlineLvl w:val="4"/>
    </w:pPr>
  </w:style>
  <w:style w:type="paragraph" w:styleId="1213" w:customStyle="1">
    <w:name w:val="日期1"/>
    <w:basedOn w:val="841"/>
    <w:next w:val="840"/>
    <w:qFormat/>
    <w:pPr>
      <w:ind w:left="100" w:firstLine="6144"/>
      <w:spacing w:before="0" w:after="0" w:line="240" w:lineRule="auto"/>
    </w:pPr>
    <w:rPr>
      <w:rFonts w:ascii="Times New Roman" w:hAnsi="Times New Roman" w:cs="Times New Roman"/>
    </w:rPr>
  </w:style>
  <w:style w:type="paragraph" w:styleId="1214" w:customStyle="1">
    <w:name w:val="图1"/>
    <w:basedOn w:val="841"/>
    <w:next w:val="84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qFormat/>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cs="宋体"/>
      <w:i/>
    </w:rPr>
  </w:style>
  <w:style w:type="paragraph" w:styleId="1219" w:customStyle="1">
    <w:name w:val="索引 51"/>
    <w:basedOn w:val="841"/>
    <w:next w:val="84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qFormat/>
    <w:pPr>
      <w:ind w:firstLine="2560"/>
      <w:jc w:val="center"/>
    </w:pPr>
    <w:rPr>
      <w:rFonts w:ascii="Calibri" w:hAnsi="Calibri" w:cs="宋体"/>
    </w:rPr>
  </w:style>
  <w:style w:type="paragraph" w:styleId="1223" w:customStyle="1">
    <w:name w:val="修订2"/>
    <w:qFormat/>
    <w:rPr>
      <w:rFonts w:ascii="Calibri" w:hAnsi="Calibri" w:cs="宋体"/>
    </w:rPr>
  </w:style>
  <w:style w:type="paragraph" w:styleId="1224" w:customStyle="1">
    <w:name w:val="Body"/>
    <w:next w:val="1156"/>
    <w:qFormat/>
    <w:pPr>
      <w:ind w:left="567" w:right="2835" w:firstLine="3584"/>
      <w:spacing w:after="60"/>
    </w:pPr>
    <w:rPr>
      <w:rFonts w:ascii="Calibri" w:hAnsi="Calibri" w:cs="宋体"/>
    </w:rPr>
  </w:style>
  <w:style w:type="paragraph" w:styleId="1225" w:customStyle="1">
    <w:name w:val="font6"/>
    <w:basedOn w:val="841"/>
    <w:next w:val="1226"/>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67"/>
    <w:next w:val="1224"/>
    <w:qFormat/>
    <w:pPr>
      <w:ind w:left="200" w:firstLine="3784"/>
      <w:jc w:val="center"/>
      <w:spacing w:after="120" w:line="360" w:lineRule="auto"/>
    </w:pPr>
    <w:rPr>
      <w:rFonts w:ascii="Calibri" w:hAnsi="Calibri"/>
    </w:rPr>
  </w:style>
  <w:style w:type="paragraph" w:styleId="1227" w:customStyle="1">
    <w:name w:val="Char Char"/>
    <w:next w:val="1220"/>
    <w:qFormat/>
    <w:pPr>
      <w:ind w:firstLine="14"/>
      <w:spacing w:line="360" w:lineRule="auto"/>
      <w:shd w:val="clear" w:color="000000" w:fill="000080"/>
    </w:pPr>
    <w:rPr>
      <w:rFonts w:ascii="Calibri" w:hAnsi="Calibri" w:cs="宋体"/>
    </w:rPr>
  </w:style>
  <w:style w:type="paragraph" w:styleId="1228" w:customStyle="1">
    <w:name w:val="正文_0_0"/>
    <w:next w:val="1060"/>
    <w:qFormat/>
    <w:pPr>
      <w:ind w:firstLine="3584"/>
      <w:jc w:val="both"/>
      <w:widowControl w:val="off"/>
    </w:pPr>
    <w:rPr>
      <w:rFonts w:ascii="Calibri" w:hAnsi="Calibri" w:cs="宋体"/>
    </w:rPr>
  </w:style>
  <w:style w:type="paragraph" w:styleId="1229" w:customStyle="1">
    <w:name w:val="font7"/>
    <w:basedOn w:val="841"/>
    <w:next w:val="123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qFormat/>
    <w:pPr>
      <w:ind w:left="0" w:firstLine="2560"/>
      <w:spacing w:before="0" w:after="0" w:line="240" w:lineRule="auto"/>
    </w:pPr>
    <w:rPr>
      <w:rFonts w:ascii="Times New Roman" w:hAnsi="Times New Roman" w:cs="Times New Roman"/>
    </w:rPr>
  </w:style>
  <w:style w:type="paragraph" w:styleId="1231" w:customStyle="1">
    <w:name w:val="xl64"/>
    <w:basedOn w:val="841"/>
    <w:next w:val="1198"/>
    <w:qFormat/>
    <w:pPr>
      <w:ind w:left="0" w:firstLine="3584"/>
      <w:spacing w:before="280" w:after="280" w:line="240" w:lineRule="auto"/>
    </w:pPr>
    <w:rPr>
      <w:rFonts w:ascii="Times New Roman" w:hAnsi="Times New Roman" w:cs="Times New Roman"/>
    </w:rPr>
  </w:style>
  <w:style w:type="paragraph" w:styleId="1232" w:customStyle="1">
    <w:name w:val="style16"/>
    <w:basedOn w:val="841"/>
    <w:next w:val="1225"/>
    <w:qFormat/>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qFormat/>
    <w:pPr>
      <w:ind w:left="0" w:firstLine="3584"/>
      <w:spacing w:before="0" w:after="0" w:line="240" w:lineRule="auto"/>
    </w:pPr>
    <w:rPr>
      <w:rFonts w:ascii="Times New Roman" w:hAnsi="Times New Roman" w:cs="Times New Roman"/>
    </w:rPr>
  </w:style>
  <w:style w:type="paragraph" w:styleId="1234" w:customStyle="1">
    <w:name w:val="H 3"/>
    <w:basedOn w:val="844"/>
    <w:next w:val="1235"/>
    <w:qFormat/>
    <w:pPr>
      <w:ind w:left="1429" w:firstLine="18"/>
      <w:spacing w:before="0" w:after="0" w:line="360" w:lineRule="auto"/>
      <w:outlineLvl w:val="2"/>
    </w:pPr>
  </w:style>
  <w:style w:type="paragraph" w:styleId="1235" w:customStyle="1">
    <w:name w:val="xl83"/>
    <w:basedOn w:val="841"/>
    <w:next w:val="1216"/>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qFormat/>
    <w:pPr>
      <w:ind w:left="200" w:firstLine="3784"/>
      <w:spacing w:before="0" w:after="0" w:line="360" w:lineRule="auto"/>
    </w:pPr>
    <w:rPr>
      <w:rFonts w:ascii="Times New Roman" w:hAnsi="Times New Roman" w:cs="Times New Roman"/>
    </w:rPr>
  </w:style>
  <w:style w:type="paragraph" w:styleId="1238" w:customStyle="1">
    <w:name w:val="1"/>
    <w:basedOn w:val="841"/>
    <w:next w:val="874"/>
    <w:qFormat/>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qFormat/>
    <w:rPr>
      <w:rFonts w:ascii="Calibri" w:hAnsi="Calibri" w:cs="宋体"/>
    </w:rPr>
  </w:style>
  <w:style w:type="paragraph" w:styleId="1242" w:customStyle="1">
    <w:name w:val="Style1"/>
    <w:basedOn w:val="84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qFormat/>
    <w:pPr>
      <w:ind w:left="0" w:firstLine="2560"/>
      <w:spacing w:before="0" w:after="0" w:line="240" w:lineRule="auto"/>
    </w:pPr>
    <w:rPr>
      <w:rFonts w:ascii="Times New Roman" w:hAnsi="Times New Roman" w:cs="Times New Roman"/>
    </w:rPr>
  </w:style>
  <w:style w:type="paragraph" w:styleId="1245" w:customStyle="1">
    <w:name w:val="xl24"/>
    <w:basedOn w:val="84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qFormat/>
    <w:pPr>
      <w:ind w:firstLine="3584"/>
    </w:pPr>
    <w:rPr>
      <w:rFonts w:ascii="Calibri" w:hAnsi="Calibri" w:cs="宋体"/>
    </w:rPr>
  </w:style>
  <w:style w:type="paragraph" w:styleId="1247" w:customStyle="1">
    <w:name w:val="xl72"/>
    <w:basedOn w:val="841"/>
    <w:next w:val="1103"/>
    <w:qFormat/>
    <w:pPr>
      <w:ind w:left="0" w:firstLine="3584"/>
      <w:spacing w:before="280" w:after="280" w:line="240" w:lineRule="auto"/>
    </w:pPr>
    <w:rPr>
      <w:rFonts w:ascii="Times New Roman" w:hAnsi="Times New Roman" w:cs="Times New Roman"/>
    </w:rPr>
  </w:style>
  <w:style w:type="paragraph" w:styleId="1248" w:customStyle="1">
    <w:name w:val="插图"/>
    <w:next w:val="840"/>
    <w:qFormat/>
    <w:pPr>
      <w:ind w:firstLine="4608"/>
      <w:jc w:val="center"/>
    </w:pPr>
    <w:rPr>
      <w:rFonts w:ascii="Calibri" w:hAnsi="Calibri" w:cs="宋体"/>
    </w:rPr>
  </w:style>
  <w:style w:type="paragraph" w:styleId="1249" w:customStyle="1">
    <w:name w:val="列出段落3"/>
    <w:basedOn w:val="841"/>
    <w:next w:val="1143"/>
    <w:qFormat/>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qFormat/>
    <w:pPr>
      <w:ind w:left="0" w:firstLine="2560"/>
      <w:spacing w:before="0" w:after="0" w:line="240" w:lineRule="auto"/>
    </w:pPr>
    <w:rPr>
      <w:rFonts w:ascii="Times New Roman" w:hAnsi="Times New Roman" w:cs="Times New Roman"/>
    </w:rPr>
  </w:style>
  <w:style w:type="paragraph" w:styleId="1252" w:customStyle="1">
    <w:name w:val="WPSOffice手动目录 2"/>
    <w:qFormat/>
    <w:pPr>
      <w:ind w:left="200"/>
    </w:pPr>
    <w:rPr>
      <w:rFonts w:ascii="宋体" w:hAnsi="宋体" w:cs="宋体"/>
    </w:rPr>
  </w:style>
  <w:style w:type="paragraph" w:styleId="1253" w:customStyle="1">
    <w:name w:val="表内文字"/>
    <w:basedOn w:val="841"/>
    <w:next w:val="882"/>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qFormat/>
    <w:pPr>
      <w:ind w:left="0" w:firstLine="3584"/>
      <w:spacing w:before="280" w:after="280" w:line="240" w:lineRule="auto"/>
    </w:pPr>
    <w:rPr>
      <w:rFonts w:ascii="Times New Roman" w:hAnsi="Times New Roman" w:cs="Times New Roman"/>
    </w:rPr>
  </w:style>
  <w:style w:type="paragraph" w:styleId="1255" w:customStyle="1">
    <w:name w:val="*正文"/>
    <w:basedOn w:val="84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qFormat/>
    <w:pPr>
      <w:ind w:left="0" w:firstLine="2815"/>
      <w:spacing w:before="0" w:after="0" w:line="360" w:lineRule="auto"/>
    </w:pPr>
    <w:rPr>
      <w:rFonts w:ascii="Times New Roman" w:hAnsi="Times New Roman" w:cs="Times New Roman"/>
    </w:rPr>
  </w:style>
  <w:style w:type="table" w:styleId="1257" w:customStyle="1">
    <w:name w:val="网格型1"/>
    <w:basedOn w:val="8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 w:type="character" w:styleId="1259" w:customStyle="1">
    <w:name w:val="正文首行缩进 2 字符"/>
    <w:basedOn w:val="850"/>
    <w:link w:val="900"/>
    <w:qFormat/>
    <w:rPr>
      <w:rFonts w:ascii="Times New Roman" w:hAnsi="Times New Roman" w:cs="Times New Roman"/>
    </w:rPr>
  </w:style>
  <w:style w:type="character" w:styleId="1260" w:customStyle="1">
    <w:name w:val="cosd-markdown-research"/>
    <w:basedOn w:val="85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651D16E-6DD7-409B-AC78-FE31D531E58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14</cp:revision>
  <dcterms:created xsi:type="dcterms:W3CDTF">2025-09-17T03:01:00Z</dcterms:created>
  <dcterms:modified xsi:type="dcterms:W3CDTF">2025-09-25T07:16:38Z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5F68CD200D764A4691E2F43C9EC22076_13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