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03C78E">
      <w:pPr>
        <w:rPr>
          <w:rFonts w:ascii="宋体" w:hAnsi="宋体" w:cs="宋体"/>
          <w:b/>
          <w:bCs/>
          <w:color w:val="auto"/>
          <w:sz w:val="56"/>
          <w:szCs w:val="56"/>
          <w:highlight w:val="none"/>
        </w:rPr>
      </w:pPr>
      <w:r>
        <w:rPr>
          <w:rFonts w:hint="eastAsia" w:ascii="宋体" w:hAnsi="宋体" w:cs="宋体"/>
          <w:b/>
          <w:bCs/>
          <w:color w:val="auto"/>
          <w:sz w:val="56"/>
          <w:szCs w:val="56"/>
          <w:highlight w:val="none"/>
        </w:rPr>
        <w:t xml:space="preserve"> </w:t>
      </w:r>
    </w:p>
    <w:p w14:paraId="093151B5">
      <w:pPr>
        <w:rPr>
          <w:rFonts w:ascii="宋体" w:hAnsi="宋体" w:cs="宋体"/>
          <w:b/>
          <w:bCs/>
          <w:color w:val="auto"/>
          <w:sz w:val="56"/>
          <w:szCs w:val="56"/>
          <w:highlight w:val="none"/>
        </w:rPr>
      </w:pPr>
    </w:p>
    <w:p w14:paraId="44DACB9E">
      <w:pPr>
        <w:pStyle w:val="111"/>
        <w:ind w:firstLine="0" w:firstLineChars="0"/>
        <w:jc w:val="both"/>
        <w:textAlignment w:val="auto"/>
        <w:rPr>
          <w:rFonts w:ascii="宋体" w:hAnsi="宋体" w:cs="宋体"/>
          <w:b/>
          <w:bCs/>
          <w:color w:val="auto"/>
          <w:sz w:val="56"/>
          <w:szCs w:val="22"/>
          <w:highlight w:val="none"/>
        </w:rPr>
      </w:pPr>
    </w:p>
    <w:p w14:paraId="12F55998">
      <w:pPr>
        <w:pStyle w:val="111"/>
        <w:ind w:firstLine="0" w:firstLineChars="0"/>
        <w:jc w:val="center"/>
        <w:textAlignment w:val="auto"/>
        <w:rPr>
          <w:rFonts w:ascii="宋体" w:hAnsi="宋体" w:cs="宋体"/>
          <w:b/>
          <w:bCs/>
          <w:color w:val="auto"/>
          <w:sz w:val="84"/>
          <w:highlight w:val="none"/>
        </w:rPr>
      </w:pPr>
      <w:r>
        <w:rPr>
          <w:rFonts w:hint="eastAsia" w:ascii="宋体" w:hAnsi="宋体" w:cs="宋体"/>
          <w:b/>
          <w:bCs/>
          <w:color w:val="auto"/>
          <w:sz w:val="56"/>
          <w:szCs w:val="22"/>
          <w:highlight w:val="none"/>
        </w:rPr>
        <w:t>单 一 来 源 采 购 文 件</w:t>
      </w:r>
    </w:p>
    <w:p w14:paraId="62457E99">
      <w:pPr>
        <w:spacing w:line="640" w:lineRule="exact"/>
        <w:jc w:val="center"/>
        <w:rPr>
          <w:rFonts w:ascii="宋体" w:hAnsi="宋体" w:cs="宋体"/>
          <w:b/>
          <w:bCs/>
          <w:color w:val="auto"/>
          <w:sz w:val="36"/>
          <w:szCs w:val="36"/>
          <w:highlight w:val="none"/>
        </w:rPr>
      </w:pPr>
    </w:p>
    <w:p w14:paraId="6E855FD7">
      <w:pPr>
        <w:spacing w:line="640" w:lineRule="exact"/>
        <w:jc w:val="center"/>
        <w:rPr>
          <w:rFonts w:ascii="宋体" w:hAnsi="宋体" w:cs="宋体"/>
          <w:b/>
          <w:bCs/>
          <w:color w:val="auto"/>
          <w:sz w:val="36"/>
          <w:szCs w:val="36"/>
          <w:highlight w:val="none"/>
        </w:rPr>
      </w:pPr>
    </w:p>
    <w:p w14:paraId="4022E9A8">
      <w:pPr>
        <w:spacing w:line="640" w:lineRule="exact"/>
        <w:jc w:val="center"/>
        <w:rPr>
          <w:rFonts w:ascii="宋体" w:hAnsi="宋体" w:cs="宋体"/>
          <w:b/>
          <w:bCs/>
          <w:color w:val="auto"/>
          <w:sz w:val="36"/>
          <w:szCs w:val="36"/>
          <w:highlight w:val="none"/>
        </w:rPr>
      </w:pPr>
    </w:p>
    <w:p w14:paraId="2471F8D5">
      <w:pPr>
        <w:spacing w:line="640" w:lineRule="exact"/>
        <w:jc w:val="center"/>
        <w:rPr>
          <w:rFonts w:ascii="宋体" w:hAnsi="宋体" w:cs="宋体"/>
          <w:b/>
          <w:bCs/>
          <w:color w:val="auto"/>
          <w:sz w:val="36"/>
          <w:szCs w:val="36"/>
          <w:highlight w:val="none"/>
        </w:rPr>
      </w:pPr>
    </w:p>
    <w:p w14:paraId="1FDE9089">
      <w:pPr>
        <w:jc w:val="center"/>
        <w:rPr>
          <w:rFonts w:hint="eastAsia" w:ascii="宋体" w:hAnsi="宋体" w:eastAsia="宋体" w:cs="宋体"/>
          <w:b/>
          <w:bCs/>
          <w:color w:val="auto"/>
          <w:kern w:val="0"/>
          <w:sz w:val="32"/>
          <w:szCs w:val="32"/>
          <w:highlight w:val="none"/>
          <w:lang w:eastAsia="zh-CN"/>
        </w:rPr>
      </w:pPr>
      <w:r>
        <w:rPr>
          <w:rFonts w:hint="eastAsia" w:ascii="宋体" w:hAnsi="宋体" w:cs="宋体"/>
          <w:b/>
          <w:bCs/>
          <w:color w:val="auto"/>
          <w:kern w:val="0"/>
          <w:sz w:val="32"/>
          <w:szCs w:val="32"/>
          <w:highlight w:val="none"/>
        </w:rPr>
        <w:t>项目名称：</w:t>
      </w:r>
      <w:r>
        <w:rPr>
          <w:rFonts w:hint="eastAsia" w:ascii="宋体" w:hAnsi="宋体" w:cs="等线"/>
          <w:b/>
          <w:bCs/>
          <w:kern w:val="2"/>
          <w:sz w:val="32"/>
          <w:szCs w:val="32"/>
          <w:lang w:eastAsia="zh-CN"/>
        </w:rPr>
        <w:t>“信大优学”教学云平台项目</w:t>
      </w:r>
    </w:p>
    <w:p w14:paraId="1A6FA45F">
      <w:pPr>
        <w:jc w:val="center"/>
        <w:rPr>
          <w:rFonts w:hint="default" w:ascii="宋体" w:hAnsi="宋体" w:eastAsia="宋体" w:cs="宋体"/>
          <w:b/>
          <w:bCs/>
          <w:color w:val="auto"/>
          <w:sz w:val="32"/>
          <w:szCs w:val="32"/>
          <w:highlight w:val="none"/>
          <w:lang w:val="en-US" w:eastAsia="zh-CN"/>
        </w:rPr>
      </w:pPr>
      <w:r>
        <w:rPr>
          <w:rFonts w:hint="eastAsia" w:ascii="宋体" w:hAnsi="宋体" w:cs="宋体"/>
          <w:b/>
          <w:bCs/>
          <w:color w:val="auto"/>
          <w:sz w:val="32"/>
          <w:szCs w:val="32"/>
          <w:highlight w:val="none"/>
        </w:rPr>
        <w:t>项目编号：JSSYJC-ZB-2024</w:t>
      </w:r>
      <w:r>
        <w:rPr>
          <w:rFonts w:hint="eastAsia" w:ascii="宋体" w:hAnsi="宋体" w:cs="宋体"/>
          <w:b/>
          <w:bCs/>
          <w:color w:val="auto"/>
          <w:sz w:val="32"/>
          <w:szCs w:val="32"/>
          <w:highlight w:val="none"/>
          <w:lang w:val="en-US" w:eastAsia="zh-CN"/>
        </w:rPr>
        <w:t>0929</w:t>
      </w:r>
    </w:p>
    <w:p w14:paraId="2B8D8D9A">
      <w:pPr>
        <w:jc w:val="center"/>
        <w:rPr>
          <w:rFonts w:ascii="宋体" w:hAnsi="宋体" w:cs="宋体"/>
          <w:b/>
          <w:bCs/>
          <w:color w:val="auto"/>
          <w:sz w:val="32"/>
          <w:szCs w:val="32"/>
          <w:highlight w:val="none"/>
        </w:rPr>
      </w:pPr>
    </w:p>
    <w:p w14:paraId="0ACECCD3">
      <w:pPr>
        <w:rPr>
          <w:rFonts w:ascii="宋体" w:hAnsi="宋体" w:cs="宋体"/>
          <w:b/>
          <w:bCs/>
          <w:color w:val="auto"/>
          <w:sz w:val="32"/>
          <w:szCs w:val="32"/>
          <w:highlight w:val="none"/>
        </w:rPr>
      </w:pPr>
    </w:p>
    <w:p w14:paraId="79E12129">
      <w:pPr>
        <w:jc w:val="center"/>
        <w:rPr>
          <w:rFonts w:ascii="宋体" w:hAnsi="宋体" w:cs="宋体"/>
          <w:b/>
          <w:bCs/>
          <w:color w:val="auto"/>
          <w:sz w:val="32"/>
          <w:szCs w:val="32"/>
          <w:highlight w:val="none"/>
        </w:rPr>
      </w:pPr>
    </w:p>
    <w:p w14:paraId="20D958E6">
      <w:pPr>
        <w:jc w:val="center"/>
        <w:rPr>
          <w:rFonts w:ascii="宋体" w:hAnsi="宋体" w:cs="宋体"/>
          <w:b/>
          <w:bCs/>
          <w:color w:val="auto"/>
          <w:sz w:val="32"/>
          <w:szCs w:val="32"/>
          <w:highlight w:val="none"/>
        </w:rPr>
      </w:pPr>
    </w:p>
    <w:p w14:paraId="7819E8A4">
      <w:pPr>
        <w:pStyle w:val="13"/>
      </w:pPr>
    </w:p>
    <w:p w14:paraId="703F1CF5">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采 购 人：南京信息工程大学</w:t>
      </w:r>
    </w:p>
    <w:p w14:paraId="012E95B7">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代理机构：江苏苏亚金诚工程管理咨询有限公司</w:t>
      </w:r>
    </w:p>
    <w:p w14:paraId="096627D0">
      <w:pPr>
        <w:ind w:firstLine="2249" w:firstLineChars="800"/>
        <w:jc w:val="left"/>
        <w:rPr>
          <w:rFonts w:ascii="宋体" w:hAnsi="宋体" w:cs="宋体"/>
          <w:b/>
          <w:bCs/>
          <w:color w:val="auto"/>
          <w:sz w:val="28"/>
          <w:szCs w:val="28"/>
          <w:highlight w:val="none"/>
        </w:rPr>
      </w:pPr>
    </w:p>
    <w:p w14:paraId="4E83BB0B">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 xml:space="preserve">二 〇 二 四 年 </w:t>
      </w:r>
      <w:r>
        <w:rPr>
          <w:rFonts w:hint="eastAsia" w:ascii="宋体" w:hAnsi="宋体" w:cs="宋体"/>
          <w:b/>
          <w:bCs/>
          <w:color w:val="auto"/>
          <w:sz w:val="28"/>
          <w:szCs w:val="28"/>
          <w:highlight w:val="none"/>
          <w:lang w:val="en-US" w:eastAsia="zh-CN"/>
        </w:rPr>
        <w:t>十</w:t>
      </w:r>
      <w:r>
        <w:rPr>
          <w:rFonts w:hint="eastAsia" w:ascii="宋体" w:hAnsi="宋体" w:cs="宋体"/>
          <w:b/>
          <w:bCs/>
          <w:color w:val="auto"/>
          <w:sz w:val="28"/>
          <w:szCs w:val="28"/>
          <w:highlight w:val="none"/>
        </w:rPr>
        <w:t xml:space="preserve"> 月</w:t>
      </w:r>
    </w:p>
    <w:p w14:paraId="01908C0C">
      <w:pPr>
        <w:rPr>
          <w:rFonts w:ascii="宋体" w:hAnsi="宋体" w:cs="宋体"/>
          <w:color w:val="auto"/>
          <w:highlight w:val="none"/>
        </w:rPr>
        <w:sectPr>
          <w:headerReference r:id="rId4" w:type="first"/>
          <w:headerReference r:id="rId3" w:type="default"/>
          <w:pgSz w:w="11906" w:h="16838"/>
          <w:pgMar w:top="1440" w:right="1800" w:bottom="1440" w:left="1800" w:header="851" w:footer="992" w:gutter="0"/>
          <w:pgNumType w:start="1"/>
          <w:cols w:space="720" w:num="1"/>
          <w:titlePg/>
          <w:docGrid w:type="lines" w:linePitch="312" w:charSpace="0"/>
        </w:sectPr>
      </w:pPr>
    </w:p>
    <w:p w14:paraId="17057771">
      <w:pPr>
        <w:spacing w:line="360" w:lineRule="auto"/>
        <w:jc w:val="center"/>
        <w:rPr>
          <w:rFonts w:ascii="宋体" w:hAnsi="宋体" w:cs="宋体"/>
          <w:color w:val="auto"/>
          <w:sz w:val="30"/>
          <w:szCs w:val="30"/>
          <w:highlight w:val="none"/>
        </w:rPr>
      </w:pPr>
      <w:r>
        <w:rPr>
          <w:rFonts w:hint="eastAsia" w:ascii="宋体" w:hAnsi="宋体" w:cs="宋体"/>
          <w:b/>
          <w:bCs/>
          <w:color w:val="auto"/>
          <w:sz w:val="30"/>
          <w:szCs w:val="30"/>
          <w:highlight w:val="none"/>
        </w:rPr>
        <w:t>目 录</w:t>
      </w:r>
    </w:p>
    <w:p w14:paraId="528877E0">
      <w:pPr>
        <w:pStyle w:val="2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b/>
          <w:bCs/>
          <w:color w:val="auto"/>
          <w:sz w:val="24"/>
          <w:szCs w:val="24"/>
          <w:highlight w:val="none"/>
        </w:rPr>
        <w:fldChar w:fldCharType="begin"/>
      </w:r>
      <w:r>
        <w:rPr>
          <w:rFonts w:hint="eastAsia" w:ascii="宋体" w:hAnsi="宋体" w:eastAsia="宋体" w:cs="宋体"/>
          <w:b/>
          <w:bCs/>
          <w:sz w:val="24"/>
          <w:szCs w:val="24"/>
          <w:highlight w:val="none"/>
        </w:rPr>
        <w:instrText xml:space="preserve"> HYPERLINK \l _Toc2018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第一章</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rPr>
        <w:t>单一来源采购邀请</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_Toc2018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color w:val="auto"/>
          <w:sz w:val="24"/>
          <w:szCs w:val="24"/>
          <w:highlight w:val="none"/>
        </w:rPr>
        <w:fldChar w:fldCharType="end"/>
      </w:r>
    </w:p>
    <w:p w14:paraId="3BDA006D">
      <w:pPr>
        <w:pStyle w:val="2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sz w:val="24"/>
          <w:szCs w:val="24"/>
          <w:highlight w:val="none"/>
        </w:rPr>
        <w:instrText xml:space="preserve"> HYPERLINK \l _Toc7891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第二章</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rPr>
        <w:t>供应商须知</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_Toc7891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color w:val="auto"/>
          <w:sz w:val="24"/>
          <w:szCs w:val="24"/>
          <w:highlight w:val="none"/>
        </w:rPr>
        <w:fldChar w:fldCharType="end"/>
      </w:r>
    </w:p>
    <w:p w14:paraId="53EA494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_Toc10416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采购方式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_Toc10416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091F736">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_Toc8953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合格的供应商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_Toc8953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3BDCA5C">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_Toc8370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适用法律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_Toc8370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722716C">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_Toc1344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采购文件的约束力</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_Toc1344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D9FB9E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_Toc5143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采购文件构成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_Toc5143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52D9CB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_Toc28923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协商语言及度量衡单位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_Toc28923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51C1EDA">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_Toc16713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协商响应文件编制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_Toc16713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0CEA26D">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_Toc20959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报价表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_Toc20959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AC5C1C1">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_Toc9822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证明供应商资格的文件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_Toc9822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678339B">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_Toc31308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10</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协商有效期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_Toc31308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D970B7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_Toc23954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协商响应文件签署</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_Toc23954 \h </w:instrText>
      </w:r>
      <w:r>
        <w:rPr>
          <w:rFonts w:hint="eastAsia" w:ascii="宋体" w:hAnsi="宋体" w:eastAsia="宋体" w:cs="宋体"/>
          <w:sz w:val="24"/>
          <w:szCs w:val="24"/>
        </w:rPr>
        <w:fldChar w:fldCharType="separate"/>
      </w:r>
      <w:r>
        <w:rPr>
          <w:rFonts w:hint="eastAsia" w:ascii="宋体" w:hAnsi="宋体" w:eastAsia="宋体" w:cs="宋体"/>
          <w:sz w:val="24"/>
          <w:szCs w:val="24"/>
        </w:rPr>
        <w:t>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3BE111F">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_Toc10812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协商响应文件的密封和标记</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_Toc10812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E69C5FA">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_Toc26041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谈判协商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_Toc26041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CEC9819">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14</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协商小组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3333F8E">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_Toc30543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15</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谈判协商过程的保密与公正</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_Toc30543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EAA5C98">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_Toc31122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评审过程的澄清</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_Toc31122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DC6976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_Toc19024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17</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对协商响应文件的评审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_Toc19024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4634302">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_Toc25011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谈判协商及成交原则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_Toc25011 \h </w:instrText>
      </w:r>
      <w:r>
        <w:rPr>
          <w:rFonts w:hint="eastAsia" w:ascii="宋体" w:hAnsi="宋体" w:eastAsia="宋体" w:cs="宋体"/>
          <w:sz w:val="24"/>
          <w:szCs w:val="24"/>
        </w:rPr>
        <w:fldChar w:fldCharType="separate"/>
      </w:r>
      <w:r>
        <w:rPr>
          <w:rFonts w:hint="eastAsia" w:ascii="宋体" w:hAnsi="宋体" w:eastAsia="宋体" w:cs="宋体"/>
          <w:sz w:val="24"/>
          <w:szCs w:val="24"/>
        </w:rPr>
        <w:t>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C80B87B">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_Toc3620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19</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确定成交单位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_Toc3620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402D5B1">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_Toc17079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20</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中标、成交通知书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_Toc17079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718A6E6">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_Toc571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签订合同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_Toc571 \h </w:instrText>
      </w:r>
      <w:r>
        <w:rPr>
          <w:rFonts w:hint="eastAsia" w:ascii="宋体" w:hAnsi="宋体" w:eastAsia="宋体" w:cs="宋体"/>
          <w:sz w:val="24"/>
          <w:szCs w:val="24"/>
        </w:rPr>
        <w:fldChar w:fldCharType="separate"/>
      </w:r>
      <w:r>
        <w:rPr>
          <w:rFonts w:hint="eastAsia" w:ascii="宋体" w:hAnsi="宋体" w:eastAsia="宋体" w:cs="宋体"/>
          <w:sz w:val="24"/>
          <w:szCs w:val="24"/>
        </w:rPr>
        <w:t>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55331838">
      <w:pPr>
        <w:pStyle w:val="2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sz w:val="24"/>
          <w:szCs w:val="24"/>
          <w:highlight w:val="none"/>
        </w:rPr>
        <w:instrText xml:space="preserve"> HYPERLINK \l _Toc19236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第三章</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rPr>
        <w:t>合同条款及格式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_Toc19236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9</w:t>
      </w:r>
      <w:r>
        <w:rPr>
          <w:rFonts w:hint="eastAsia" w:ascii="宋体" w:hAnsi="宋体" w:eastAsia="宋体" w:cs="宋体"/>
          <w:b/>
          <w:bCs/>
          <w:sz w:val="24"/>
          <w:szCs w:val="24"/>
        </w:rPr>
        <w:fldChar w:fldCharType="end"/>
      </w:r>
      <w:r>
        <w:rPr>
          <w:rFonts w:hint="eastAsia" w:ascii="宋体" w:hAnsi="宋体" w:eastAsia="宋体" w:cs="宋体"/>
          <w:b/>
          <w:bCs/>
          <w:color w:val="auto"/>
          <w:sz w:val="24"/>
          <w:szCs w:val="24"/>
          <w:highlight w:val="none"/>
        </w:rPr>
        <w:fldChar w:fldCharType="end"/>
      </w:r>
    </w:p>
    <w:p w14:paraId="371F0044">
      <w:pPr>
        <w:pStyle w:val="2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sz w:val="24"/>
          <w:szCs w:val="24"/>
          <w:highlight w:val="none"/>
        </w:rPr>
        <w:instrText xml:space="preserve"> HYPERLINK \l _Toc15480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lang w:val="zh-CN"/>
        </w:rPr>
        <w:t>第</w:t>
      </w:r>
      <w:r>
        <w:rPr>
          <w:rFonts w:hint="eastAsia" w:ascii="宋体" w:hAnsi="宋体" w:eastAsia="宋体" w:cs="宋体"/>
          <w:b/>
          <w:bCs/>
          <w:sz w:val="24"/>
          <w:szCs w:val="24"/>
          <w:highlight w:val="none"/>
        </w:rPr>
        <w:t>四</w:t>
      </w:r>
      <w:r>
        <w:rPr>
          <w:rFonts w:hint="eastAsia" w:ascii="宋体" w:hAnsi="宋体" w:eastAsia="宋体" w:cs="宋体"/>
          <w:b/>
          <w:bCs/>
          <w:sz w:val="24"/>
          <w:szCs w:val="24"/>
          <w:highlight w:val="none"/>
          <w:lang w:val="zh-CN"/>
        </w:rPr>
        <w:t>章</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lang w:val="zh-CN"/>
        </w:rPr>
        <w:t>项目采购需求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_Toc15480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15</w:t>
      </w:r>
      <w:r>
        <w:rPr>
          <w:rFonts w:hint="eastAsia" w:ascii="宋体" w:hAnsi="宋体" w:eastAsia="宋体" w:cs="宋体"/>
          <w:b/>
          <w:bCs/>
          <w:sz w:val="24"/>
          <w:szCs w:val="24"/>
        </w:rPr>
        <w:fldChar w:fldCharType="end"/>
      </w:r>
      <w:r>
        <w:rPr>
          <w:rFonts w:hint="eastAsia" w:ascii="宋体" w:hAnsi="宋体" w:eastAsia="宋体" w:cs="宋体"/>
          <w:b/>
          <w:bCs/>
          <w:color w:val="auto"/>
          <w:sz w:val="24"/>
          <w:szCs w:val="24"/>
          <w:highlight w:val="none"/>
        </w:rPr>
        <w:fldChar w:fldCharType="end"/>
      </w:r>
    </w:p>
    <w:p w14:paraId="1B2D3CA3">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_Toc7426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一、项目概况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_Toc7426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A9FF2F1">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_Toc21445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二、基本要求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_Toc21445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370B24F">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_Toc1158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总体架构要求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_Toc1158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17F6F32D">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_Toc6291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统一身份认证要求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_Toc6291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66AA434">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_Toc14636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数据集成要求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_Toc14636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21EE8E3">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_Toc4627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平台安全要求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_Toc4627 \h </w:instrText>
      </w:r>
      <w:r>
        <w:rPr>
          <w:rFonts w:hint="eastAsia" w:ascii="宋体" w:hAnsi="宋体" w:eastAsia="宋体" w:cs="宋体"/>
          <w:sz w:val="24"/>
          <w:szCs w:val="24"/>
        </w:rPr>
        <w:fldChar w:fldCharType="separate"/>
      </w:r>
      <w:r>
        <w:rPr>
          <w:rFonts w:hint="eastAsia" w:ascii="宋体" w:hAnsi="宋体" w:eastAsia="宋体" w:cs="宋体"/>
          <w:sz w:val="24"/>
          <w:szCs w:val="24"/>
        </w:rPr>
        <w:t>16</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FF6EDD1">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_Toc9339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平台性能要求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_Toc9339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6E430A3B">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_Toc28257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平台运维要求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_Toc28257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03980D23">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_Toc17413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培训答疑服务要求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_Toc17413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8DA7F99">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_Toc17670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8</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付款方式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_Toc17670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DBB691E">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_Toc10347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服务要求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_Toc10347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3057419">
      <w:pPr>
        <w:pStyle w:val="3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_Toc18034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三、详细要求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_Toc18034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356EFFEF">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_Toc24933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1.智慧教学系统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_Toc24933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43673877">
      <w:pPr>
        <w:pStyle w:val="15"/>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color w:val="auto"/>
          <w:sz w:val="24"/>
          <w:szCs w:val="24"/>
          <w:highlight w:val="none"/>
        </w:rPr>
        <w:fldChar w:fldCharType="begin"/>
      </w:r>
      <w:r>
        <w:rPr>
          <w:rFonts w:hint="eastAsia" w:ascii="宋体" w:hAnsi="宋体" w:eastAsia="宋体" w:cs="宋体"/>
          <w:sz w:val="24"/>
          <w:szCs w:val="24"/>
          <w:highlight w:val="none"/>
        </w:rPr>
        <w:instrText xml:space="preserve"> HYPERLINK \l _Toc24134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教学评价系统</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_Toc24134 \h </w:instrText>
      </w:r>
      <w:r>
        <w:rPr>
          <w:rFonts w:hint="eastAsia" w:ascii="宋体" w:hAnsi="宋体" w:eastAsia="宋体" w:cs="宋体"/>
          <w:sz w:val="24"/>
          <w:szCs w:val="24"/>
        </w:rPr>
        <w:fldChar w:fldCharType="separate"/>
      </w:r>
      <w:r>
        <w:rPr>
          <w:rFonts w:hint="eastAsia" w:ascii="宋体" w:hAnsi="宋体" w:eastAsia="宋体" w:cs="宋体"/>
          <w:sz w:val="24"/>
          <w:szCs w:val="24"/>
        </w:rPr>
        <w:t>49</w:t>
      </w:r>
      <w:r>
        <w:rPr>
          <w:rFonts w:hint="eastAsia" w:ascii="宋体" w:hAnsi="宋体" w:eastAsia="宋体" w:cs="宋体"/>
          <w:sz w:val="24"/>
          <w:szCs w:val="24"/>
        </w:rPr>
        <w:fldChar w:fldCharType="end"/>
      </w:r>
      <w:r>
        <w:rPr>
          <w:rFonts w:hint="eastAsia" w:ascii="宋体" w:hAnsi="宋体" w:eastAsia="宋体" w:cs="宋体"/>
          <w:color w:val="auto"/>
          <w:sz w:val="24"/>
          <w:szCs w:val="24"/>
          <w:highlight w:val="none"/>
        </w:rPr>
        <w:fldChar w:fldCharType="end"/>
      </w:r>
    </w:p>
    <w:p w14:paraId="258FBD82">
      <w:pPr>
        <w:pStyle w:val="2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rPr>
      </w:pPr>
      <w:r>
        <w:rPr>
          <w:rFonts w:hint="eastAsia" w:ascii="宋体" w:hAnsi="宋体" w:eastAsia="宋体" w:cs="宋体"/>
          <w:b/>
          <w:bCs/>
          <w:color w:val="auto"/>
          <w:sz w:val="24"/>
          <w:szCs w:val="24"/>
          <w:highlight w:val="none"/>
        </w:rPr>
        <w:fldChar w:fldCharType="begin"/>
      </w:r>
      <w:r>
        <w:rPr>
          <w:rFonts w:hint="eastAsia" w:ascii="宋体" w:hAnsi="宋体" w:eastAsia="宋体" w:cs="宋体"/>
          <w:b/>
          <w:bCs/>
          <w:sz w:val="24"/>
          <w:szCs w:val="24"/>
          <w:highlight w:val="none"/>
        </w:rPr>
        <w:instrText xml:space="preserve"> HYPERLINK \l _Toc13709 </w:instrText>
      </w:r>
      <w:r>
        <w:rPr>
          <w:rFonts w:hint="eastAsia" w:ascii="宋体" w:hAnsi="宋体" w:eastAsia="宋体" w:cs="宋体"/>
          <w:b/>
          <w:bCs/>
          <w:sz w:val="24"/>
          <w:szCs w:val="24"/>
          <w:highlight w:val="none"/>
        </w:rPr>
        <w:fldChar w:fldCharType="separate"/>
      </w:r>
      <w:r>
        <w:rPr>
          <w:rFonts w:hint="eastAsia" w:ascii="宋体" w:hAnsi="宋体" w:eastAsia="宋体" w:cs="宋体"/>
          <w:b/>
          <w:bCs/>
          <w:sz w:val="24"/>
          <w:szCs w:val="24"/>
          <w:highlight w:val="none"/>
        </w:rPr>
        <w:t>第</w:t>
      </w:r>
      <w:r>
        <w:rPr>
          <w:rFonts w:hint="eastAsia" w:ascii="宋体" w:hAnsi="宋体" w:eastAsia="宋体" w:cs="宋体"/>
          <w:b/>
          <w:bCs/>
          <w:sz w:val="24"/>
          <w:szCs w:val="24"/>
          <w:highlight w:val="none"/>
          <w:lang w:val="zh-CN"/>
        </w:rPr>
        <w:t>五</w:t>
      </w:r>
      <w:r>
        <w:rPr>
          <w:rFonts w:hint="eastAsia" w:ascii="宋体" w:hAnsi="宋体" w:eastAsia="宋体" w:cs="宋体"/>
          <w:b/>
          <w:bCs/>
          <w:sz w:val="24"/>
          <w:szCs w:val="24"/>
          <w:highlight w:val="none"/>
        </w:rPr>
        <w:t>章</w:t>
      </w:r>
      <w:r>
        <w:rPr>
          <w:rFonts w:hint="eastAsia" w:ascii="宋体" w:hAnsi="宋体" w:cs="宋体"/>
          <w:b/>
          <w:bCs/>
          <w:sz w:val="24"/>
          <w:szCs w:val="24"/>
          <w:highlight w:val="none"/>
          <w:lang w:val="en-US" w:eastAsia="zh-CN"/>
        </w:rPr>
        <w:t xml:space="preserve">  </w:t>
      </w:r>
      <w:r>
        <w:rPr>
          <w:rFonts w:hint="eastAsia" w:ascii="宋体" w:hAnsi="宋体" w:eastAsia="宋体" w:cs="宋体"/>
          <w:b/>
          <w:bCs/>
          <w:sz w:val="24"/>
          <w:szCs w:val="24"/>
          <w:highlight w:val="none"/>
        </w:rPr>
        <w:t>响应文件格式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_Toc13709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64</w:t>
      </w:r>
      <w:r>
        <w:rPr>
          <w:rFonts w:hint="eastAsia" w:ascii="宋体" w:hAnsi="宋体" w:eastAsia="宋体" w:cs="宋体"/>
          <w:b/>
          <w:bCs/>
          <w:sz w:val="24"/>
          <w:szCs w:val="24"/>
        </w:rPr>
        <w:fldChar w:fldCharType="end"/>
      </w:r>
      <w:r>
        <w:rPr>
          <w:rFonts w:hint="eastAsia" w:ascii="宋体" w:hAnsi="宋体" w:eastAsia="宋体" w:cs="宋体"/>
          <w:b/>
          <w:bCs/>
          <w:color w:val="auto"/>
          <w:sz w:val="24"/>
          <w:szCs w:val="24"/>
          <w:highlight w:val="none"/>
        </w:rPr>
        <w:fldChar w:fldCharType="end"/>
      </w:r>
    </w:p>
    <w:p w14:paraId="75DE0363">
      <w:pPr>
        <w:pStyle w:val="28"/>
        <w:keepNext w:val="0"/>
        <w:keepLines w:val="0"/>
        <w:pageBreakBefore w:val="0"/>
        <w:widowControl w:val="0"/>
        <w:tabs>
          <w:tab w:val="right" w:leader="dot" w:pos="8296"/>
        </w:tabs>
        <w:kinsoku/>
        <w:wordWrap/>
        <w:overflowPunct/>
        <w:topLinePunct w:val="0"/>
        <w:autoSpaceDE/>
        <w:autoSpaceDN/>
        <w:bidi w:val="0"/>
        <w:adjustRightInd/>
        <w:snapToGrid/>
        <w:spacing w:line="360" w:lineRule="auto"/>
        <w:jc w:val="left"/>
        <w:textAlignment w:val="auto"/>
        <w:rPr>
          <w:rFonts w:ascii="宋体" w:hAnsi="宋体" w:cs="宋体"/>
          <w:color w:val="auto"/>
          <w:sz w:val="24"/>
          <w:szCs w:val="24"/>
          <w:highlight w:val="none"/>
        </w:rPr>
        <w:sectPr>
          <w:footerReference r:id="rId5" w:type="default"/>
          <w:pgSz w:w="11906" w:h="16838"/>
          <w:pgMar w:top="1440" w:right="1800" w:bottom="1440" w:left="1800" w:header="1020" w:footer="1191" w:gutter="0"/>
          <w:pgNumType w:start="1"/>
          <w:cols w:space="720" w:num="1"/>
          <w:docGrid w:type="lines" w:linePitch="312" w:charSpace="0"/>
        </w:sectPr>
      </w:pPr>
      <w:r>
        <w:rPr>
          <w:rFonts w:hint="eastAsia" w:ascii="宋体" w:hAnsi="宋体" w:eastAsia="宋体" w:cs="宋体"/>
          <w:color w:val="auto"/>
          <w:sz w:val="24"/>
          <w:szCs w:val="24"/>
          <w:highlight w:val="none"/>
        </w:rPr>
        <w:fldChar w:fldCharType="end"/>
      </w:r>
    </w:p>
    <w:p w14:paraId="224B1896">
      <w:pPr>
        <w:pStyle w:val="4"/>
        <w:spacing w:before="20" w:after="20" w:line="360" w:lineRule="auto"/>
        <w:jc w:val="center"/>
        <w:rPr>
          <w:rFonts w:ascii="宋体" w:hAnsi="宋体" w:cs="宋体"/>
          <w:color w:val="auto"/>
          <w:sz w:val="28"/>
          <w:szCs w:val="28"/>
          <w:highlight w:val="none"/>
        </w:rPr>
      </w:pPr>
      <w:bookmarkStart w:id="0" w:name="_Toc2018"/>
      <w:bookmarkStart w:id="1" w:name="_Toc13030"/>
      <w:bookmarkStart w:id="2" w:name="_Toc13260"/>
      <w:bookmarkStart w:id="3" w:name="_Toc5380"/>
      <w:bookmarkStart w:id="4" w:name="_Toc447724705"/>
      <w:bookmarkStart w:id="5" w:name="_Toc497401656"/>
      <w:r>
        <w:rPr>
          <w:rFonts w:hint="eastAsia" w:ascii="宋体" w:hAnsi="宋体" w:cs="宋体"/>
          <w:color w:val="auto"/>
          <w:sz w:val="28"/>
          <w:szCs w:val="28"/>
          <w:highlight w:val="none"/>
        </w:rPr>
        <w:t>第一章 单一来源采购邀请</w:t>
      </w:r>
      <w:bookmarkEnd w:id="0"/>
      <w:bookmarkEnd w:id="1"/>
    </w:p>
    <w:p w14:paraId="4020AC6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北京世纪超星信息技术发展有限责任公司：</w:t>
      </w:r>
    </w:p>
    <w:p w14:paraId="586F31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江苏苏亚金诚工程管理咨询有限公司受南京信息工程大学的委托，就</w:t>
      </w:r>
      <w:r>
        <w:rPr>
          <w:rFonts w:hint="eastAsia" w:ascii="宋体" w:hAnsi="宋体" w:cs="宋体"/>
          <w:color w:val="auto"/>
          <w:sz w:val="24"/>
          <w:szCs w:val="24"/>
          <w:highlight w:val="none"/>
          <w:lang w:eastAsia="zh-CN"/>
        </w:rPr>
        <w:t>“信大优学”教学云平台项目</w:t>
      </w:r>
      <w:r>
        <w:rPr>
          <w:rFonts w:hint="eastAsia" w:ascii="宋体" w:hAnsi="宋体" w:cs="宋体"/>
          <w:color w:val="auto"/>
          <w:sz w:val="24"/>
          <w:szCs w:val="24"/>
          <w:highlight w:val="none"/>
        </w:rPr>
        <w:t>进行单一来源采购，欢迎贵单位参加，并提请注意以下事项：</w:t>
      </w:r>
    </w:p>
    <w:p w14:paraId="54A679D5">
      <w:pPr>
        <w:pStyle w:val="47"/>
        <w:spacing w:line="360" w:lineRule="auto"/>
        <w:ind w:firstLine="0" w:firstLineChars="0"/>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rPr>
        <w:t>一、项目名称：</w:t>
      </w:r>
      <w:r>
        <w:rPr>
          <w:rFonts w:hint="eastAsia" w:ascii="宋体" w:hAnsi="宋体" w:cs="宋体"/>
          <w:b/>
          <w:bCs/>
          <w:color w:val="auto"/>
          <w:sz w:val="24"/>
          <w:szCs w:val="24"/>
          <w:highlight w:val="none"/>
          <w:lang w:val="en-US" w:eastAsia="zh-CN"/>
        </w:rPr>
        <w:t>“信大优学”教学云平台项目</w:t>
      </w:r>
    </w:p>
    <w:p w14:paraId="1A9A0778">
      <w:pPr>
        <w:pStyle w:val="47"/>
        <w:spacing w:line="360" w:lineRule="auto"/>
        <w:ind w:firstLine="0" w:firstLineChars="0"/>
        <w:rPr>
          <w:rFonts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rPr>
        <w:t>二、招标编号：JSSYJC-ZB-2024</w:t>
      </w:r>
      <w:r>
        <w:rPr>
          <w:rFonts w:hint="eastAsia" w:ascii="宋体" w:hAnsi="宋体" w:cs="宋体"/>
          <w:b/>
          <w:bCs/>
          <w:color w:val="auto"/>
          <w:sz w:val="24"/>
          <w:szCs w:val="24"/>
          <w:highlight w:val="none"/>
          <w:lang w:val="en-US" w:eastAsia="zh-CN"/>
        </w:rPr>
        <w:t>0929</w:t>
      </w:r>
    </w:p>
    <w:p w14:paraId="766F1D81">
      <w:pPr>
        <w:spacing w:line="360" w:lineRule="auto"/>
        <w:rPr>
          <w:rFonts w:ascii="宋体" w:hAnsi="宋体" w:cs="宋体"/>
          <w:b/>
          <w:bCs/>
          <w:color w:val="auto"/>
          <w:sz w:val="24"/>
          <w:szCs w:val="24"/>
          <w:highlight w:val="none"/>
        </w:rPr>
      </w:pPr>
      <w:bookmarkStart w:id="6" w:name="_Toc13501"/>
      <w:bookmarkStart w:id="7" w:name="_Toc85783846"/>
      <w:r>
        <w:rPr>
          <w:rFonts w:hint="eastAsia" w:ascii="宋体" w:hAnsi="宋体" w:cs="宋体"/>
          <w:b/>
          <w:bCs/>
          <w:color w:val="auto"/>
          <w:sz w:val="24"/>
          <w:szCs w:val="24"/>
          <w:highlight w:val="none"/>
        </w:rPr>
        <w:t>三、最高限价：</w:t>
      </w:r>
      <w:r>
        <w:rPr>
          <w:rFonts w:hint="eastAsia" w:ascii="宋体" w:hAnsi="宋体" w:cs="宋体"/>
          <w:b/>
          <w:bCs/>
          <w:color w:val="auto"/>
          <w:sz w:val="24"/>
          <w:szCs w:val="24"/>
          <w:highlight w:val="none"/>
          <w:lang w:val="en-US" w:eastAsia="zh-CN"/>
        </w:rPr>
        <w:t>两年服务期共计130</w:t>
      </w:r>
      <w:r>
        <w:rPr>
          <w:rFonts w:hint="eastAsia" w:ascii="宋体" w:hAnsi="宋体" w:cs="宋体"/>
          <w:b/>
          <w:bCs/>
          <w:color w:val="auto"/>
          <w:sz w:val="24"/>
          <w:szCs w:val="24"/>
          <w:highlight w:val="none"/>
        </w:rPr>
        <w:t>万元</w:t>
      </w:r>
    </w:p>
    <w:p w14:paraId="66657CCC">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四、合格响应供应商资质要求</w:t>
      </w:r>
      <w:bookmarkEnd w:id="6"/>
      <w:bookmarkEnd w:id="7"/>
    </w:p>
    <w:p w14:paraId="486B542E">
      <w:pPr>
        <w:spacing w:line="360" w:lineRule="auto"/>
        <w:ind w:firstLine="480" w:firstLineChars="200"/>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1、满足《中华人民共和国政府采购法》第二十二条规定，并依照</w:t>
      </w:r>
      <w:r>
        <w:rPr>
          <w:rFonts w:ascii="宋体" w:hAnsi="宋体"/>
          <w:color w:val="auto"/>
          <w:kern w:val="0"/>
          <w:sz w:val="24"/>
          <w:highlight w:val="none"/>
        </w:rPr>
        <w:t>《中华人民共和国政府采购法实施条例》</w:t>
      </w:r>
      <w:r>
        <w:rPr>
          <w:rFonts w:hint="eastAsia" w:ascii="宋体" w:hAnsi="宋体" w:cs="宋体"/>
          <w:color w:val="auto"/>
          <w:kern w:val="0"/>
          <w:sz w:val="24"/>
          <w:szCs w:val="24"/>
          <w:highlight w:val="none"/>
        </w:rPr>
        <w:t>第十七条规定提供材料：</w:t>
      </w:r>
    </w:p>
    <w:p w14:paraId="6336472C">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（1）具有独立承担民事责任的能力，依法注册登记、具有独立法人资格，提供法人或其他组织的营业执照等证明文件，复印件加盖公章。 </w:t>
      </w:r>
    </w:p>
    <w:p w14:paraId="2B7D0C6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2）具有良好的商业信誉和健全的财务会计制度，提供距开标时间六个月内任意一月份的财务状况报告（至少包括资产负债表和利润表）（法人或者其他组织成立未满三个月的可以不提供），或其银行出具的资信证书（复印件）（开标前六个月内），或其上一年度经审计的财务报告复印件加盖公章。 </w:t>
      </w:r>
    </w:p>
    <w:p w14:paraId="37329D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（3）具有履行合同所必需的设备和专业技术能力（根据项目需求提供履行合同所必需的设备和专业技术能力的书面声明。） </w:t>
      </w:r>
    </w:p>
    <w:p w14:paraId="67291E1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（4）承诺在近三年经营活动中没有违法记录：需提供参加本次投标活动前3年内在经营活动中没有重大违法记录的书面声明。 </w:t>
      </w:r>
    </w:p>
    <w:p w14:paraId="648F8ED1">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（5）有依法缴纳税收的良好记录，提供距开标时间六个月内任意一月份的纳税凭据复印件加盖公章（依法免税的应提供相应文件说明）</w:t>
      </w:r>
      <w:r>
        <w:rPr>
          <w:rFonts w:hint="eastAsia" w:ascii="宋体" w:hAnsi="宋体" w:cs="宋体"/>
          <w:color w:val="auto"/>
          <w:sz w:val="24"/>
          <w:szCs w:val="24"/>
          <w:highlight w:val="none"/>
          <w:lang w:eastAsia="zh-CN"/>
        </w:rPr>
        <w:t>。</w:t>
      </w:r>
    </w:p>
    <w:p w14:paraId="7BA4565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（6）有依法缴纳社会保障资金的良好记录，提供距开标时间六个月内任意一月份的依法缴纳社会保障资金的凭据复印件加盖公章。</w:t>
      </w:r>
    </w:p>
    <w:p w14:paraId="58E91D10">
      <w:pPr>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sz w:val="24"/>
          <w:szCs w:val="24"/>
          <w:highlight w:val="none"/>
        </w:rPr>
        <w:t>（7）法律、行政法规规定的其他条件（提供项目实施所必须的许可资质证明材料）：无。</w:t>
      </w:r>
    </w:p>
    <w:p w14:paraId="6C6926ED">
      <w:pPr>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2、落实政府采购政策需满足的资格要求：无</w:t>
      </w:r>
    </w:p>
    <w:p w14:paraId="4CCB1A1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3、本项目的特定资格要求：</w:t>
      </w:r>
      <w:r>
        <w:rPr>
          <w:rFonts w:hint="eastAsia" w:ascii="宋体" w:hAnsi="宋体" w:cs="宋体"/>
          <w:color w:val="auto"/>
          <w:sz w:val="24"/>
          <w:szCs w:val="24"/>
          <w:highlight w:val="none"/>
          <w:lang w:val="en-US" w:eastAsia="zh-CN"/>
        </w:rPr>
        <w:t>无</w:t>
      </w:r>
    </w:p>
    <w:p w14:paraId="4A167728">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4、本项目拒绝下述供应商参加本次投标活动的情形：</w:t>
      </w:r>
    </w:p>
    <w:p w14:paraId="3CCA465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（1）投标人单位负责人为同一人或者存在直接控股、管理关系的不同投标人，不得参加同一合同项下的投标活动。</w:t>
      </w:r>
    </w:p>
    <w:p w14:paraId="68BAF6D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（2）凡为招标项目提供整体设计、规范编制或者项目管理、监理、检测等服务的投标人，不得再参加本项目的投标活动。</w:t>
      </w:r>
    </w:p>
    <w:p w14:paraId="4C21BE6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（3）投标人被“信用中国”网站（www.creditchina.gov.cn）、“中国政府采购网”(www.ccgp.gov.cn)列入失信被执行人、重大税收违法案件当事人名单、政府采购严重违法失信行为记录名单。</w:t>
      </w:r>
    </w:p>
    <w:p w14:paraId="5721B1A5">
      <w:pPr>
        <w:pStyle w:val="47"/>
        <w:spacing w:line="360" w:lineRule="auto"/>
        <w:rPr>
          <w:rFonts w:ascii="宋体" w:hAnsi="宋体"/>
          <w:color w:val="auto"/>
          <w:sz w:val="24"/>
          <w:highlight w:val="none"/>
        </w:rPr>
      </w:pP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lang w:val="en-US"/>
        </w:rPr>
        <w:t>、</w:t>
      </w:r>
      <w:r>
        <w:rPr>
          <w:rFonts w:hint="eastAsia" w:ascii="宋体" w:hAnsi="宋体" w:cs="宋体"/>
          <w:color w:val="auto"/>
          <w:kern w:val="0"/>
          <w:sz w:val="24"/>
          <w:szCs w:val="24"/>
          <w:highlight w:val="none"/>
        </w:rPr>
        <w:t>本项目不接受联合体投标。</w:t>
      </w:r>
      <w:r>
        <w:rPr>
          <w:rFonts w:hint="eastAsia" w:ascii="宋体" w:hAnsi="宋体"/>
          <w:color w:val="auto"/>
          <w:sz w:val="24"/>
          <w:highlight w:val="none"/>
        </w:rPr>
        <w:t xml:space="preserve">  </w:t>
      </w:r>
    </w:p>
    <w:p w14:paraId="79673653">
      <w:pPr>
        <w:pStyle w:val="47"/>
        <w:spacing w:line="360" w:lineRule="auto"/>
        <w:ind w:firstLine="0" w:firstLineChars="0"/>
        <w:rPr>
          <w:rFonts w:ascii="宋体" w:hAnsi="宋体" w:cs="宋体"/>
          <w:b/>
          <w:bCs/>
          <w:color w:val="auto"/>
          <w:sz w:val="24"/>
          <w:szCs w:val="24"/>
          <w:highlight w:val="none"/>
        </w:rPr>
      </w:pPr>
      <w:r>
        <w:rPr>
          <w:rFonts w:hint="eastAsia" w:ascii="宋体" w:hAnsi="宋体" w:cs="宋体"/>
          <w:b/>
          <w:bCs/>
          <w:color w:val="auto"/>
          <w:sz w:val="24"/>
          <w:szCs w:val="24"/>
          <w:highlight w:val="none"/>
          <w:lang w:val="en-US"/>
        </w:rPr>
        <w:t>五</w:t>
      </w:r>
      <w:r>
        <w:rPr>
          <w:rFonts w:hint="eastAsia" w:ascii="宋体" w:hAnsi="宋体" w:cs="宋体"/>
          <w:b/>
          <w:bCs/>
          <w:color w:val="auto"/>
          <w:sz w:val="24"/>
          <w:szCs w:val="24"/>
          <w:highlight w:val="none"/>
        </w:rPr>
        <w:t>、采购文件获取及报名要求</w:t>
      </w:r>
    </w:p>
    <w:p w14:paraId="7DA371C6">
      <w:pPr>
        <w:snapToGrid w:val="0"/>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1、获取时间：2024-</w:t>
      </w: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18 14</w:t>
      </w:r>
      <w:r>
        <w:rPr>
          <w:rFonts w:hint="eastAsia" w:ascii="宋体" w:hAnsi="宋体" w:cs="宋体"/>
          <w:color w:val="auto"/>
          <w:kern w:val="0"/>
          <w:sz w:val="24"/>
          <w:szCs w:val="24"/>
          <w:highlight w:val="none"/>
        </w:rPr>
        <w:t>:00到2024-</w:t>
      </w:r>
      <w:r>
        <w:rPr>
          <w:rFonts w:hint="eastAsia" w:ascii="宋体" w:hAnsi="宋体" w:cs="宋体"/>
          <w:color w:val="auto"/>
          <w:kern w:val="0"/>
          <w:sz w:val="24"/>
          <w:szCs w:val="24"/>
          <w:highlight w:val="none"/>
          <w:lang w:val="en-US" w:eastAsia="zh-CN"/>
        </w:rPr>
        <w:t>10</w:t>
      </w:r>
      <w:r>
        <w:rPr>
          <w:rFonts w:hint="eastAsia" w:ascii="宋体" w:hAnsi="宋体" w:cs="宋体"/>
          <w:color w:val="auto"/>
          <w:kern w:val="0"/>
          <w:sz w:val="24"/>
          <w:szCs w:val="24"/>
          <w:highlight w:val="none"/>
        </w:rPr>
        <w:t>-</w:t>
      </w:r>
      <w:r>
        <w:rPr>
          <w:rFonts w:hint="eastAsia" w:ascii="宋体" w:hAnsi="宋体" w:cs="宋体"/>
          <w:color w:val="auto"/>
          <w:kern w:val="0"/>
          <w:sz w:val="24"/>
          <w:szCs w:val="24"/>
          <w:highlight w:val="none"/>
          <w:lang w:val="en-US" w:eastAsia="zh-CN"/>
        </w:rPr>
        <w:t xml:space="preserve">23 </w:t>
      </w:r>
      <w:r>
        <w:rPr>
          <w:rFonts w:hint="eastAsia" w:ascii="宋体" w:hAnsi="宋体" w:cs="宋体"/>
          <w:color w:val="auto"/>
          <w:kern w:val="0"/>
          <w:sz w:val="24"/>
          <w:szCs w:val="24"/>
          <w:highlight w:val="none"/>
        </w:rPr>
        <w:t xml:space="preserve">17:00 </w:t>
      </w:r>
    </w:p>
    <w:p w14:paraId="4C49F64B">
      <w:pPr>
        <w:snapToGrid w:val="0"/>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获取方式：本项目文件获取采用邮件方式。有意参加投标的投标人须在上述规定时间内将单位介绍信原件扫描件或法人授权委托书原件扫描件（无固定格式，但须载明项目名称、经办人姓名并加盖投标人公章）、经办人身份证原件扫描件</w:t>
      </w:r>
      <w:r>
        <w:rPr>
          <w:rFonts w:hint="eastAsia" w:ascii="宋体" w:hAnsi="宋体" w:cs="宋体"/>
          <w:color w:val="auto"/>
          <w:kern w:val="0"/>
          <w:sz w:val="24"/>
          <w:szCs w:val="24"/>
          <w:highlight w:val="none"/>
          <w:lang w:val="en-US" w:eastAsia="zh-CN"/>
        </w:rPr>
        <w:t>和</w:t>
      </w:r>
      <w:r>
        <w:rPr>
          <w:rFonts w:hint="eastAsia" w:ascii="宋体" w:hAnsi="宋体" w:cs="宋体"/>
          <w:color w:val="auto"/>
          <w:kern w:val="0"/>
          <w:sz w:val="24"/>
          <w:szCs w:val="24"/>
          <w:highlight w:val="none"/>
        </w:rPr>
        <w:t>报名登记表扫描件材料发送至1032686102@qq.com（注：发送材料时邮件主题须为“项目名称+单位名称+经办人手机号”），并电话提醒代理机构。 所有资料经代理机构收到并确认无误后发放单一来源采购文件（word版）。未在上述规定时间内发送上述规定材料至指定邮箱的投标人递交的响应文件，采购人将拒绝接受其响应文件。</w:t>
      </w:r>
    </w:p>
    <w:p w14:paraId="7C5D4017">
      <w:pPr>
        <w:snapToGrid w:val="0"/>
        <w:spacing w:line="360" w:lineRule="auto"/>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3、对项目需求部分的询问、质疑请与采购人联系；其他部分的询问、质疑由采购代理负责答复。</w:t>
      </w:r>
    </w:p>
    <w:p w14:paraId="52E56AC0">
      <w:pPr>
        <w:snapToGrid w:val="0"/>
        <w:spacing w:line="360" w:lineRule="auto"/>
        <w:ind w:firstLine="480" w:firstLineChars="200"/>
        <w:jc w:val="left"/>
        <w:rPr>
          <w:rFonts w:ascii="宋体" w:hAnsi="宋体" w:cs="宋体"/>
          <w:color w:val="auto"/>
          <w:sz w:val="24"/>
          <w:szCs w:val="24"/>
          <w:highlight w:val="none"/>
        </w:rPr>
      </w:pPr>
      <w:r>
        <w:rPr>
          <w:rFonts w:hint="eastAsia" w:ascii="宋体" w:hAnsi="宋体" w:cs="宋体"/>
          <w:color w:val="auto"/>
          <w:kern w:val="0"/>
          <w:sz w:val="24"/>
          <w:szCs w:val="24"/>
          <w:highlight w:val="none"/>
        </w:rPr>
        <w:t>有关本次采购的事项若存在变动或修改，敬请及时关注邮件。</w:t>
      </w:r>
    </w:p>
    <w:p w14:paraId="294F30E5">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六、响应文件递交开始时间、截止时间、地点</w:t>
      </w:r>
    </w:p>
    <w:p w14:paraId="06C03097">
      <w:pPr>
        <w:spacing w:line="360" w:lineRule="auto"/>
        <w:ind w:firstLine="561" w:firstLineChars="234"/>
        <w:rPr>
          <w:rFonts w:ascii="宋体" w:hAnsi="宋体" w:cs="宋体"/>
          <w:color w:val="auto"/>
          <w:sz w:val="24"/>
          <w:szCs w:val="24"/>
          <w:highlight w:val="none"/>
        </w:rPr>
      </w:pPr>
      <w:r>
        <w:rPr>
          <w:rFonts w:hint="eastAsia" w:ascii="宋体" w:hAnsi="宋体" w:cs="宋体"/>
          <w:color w:val="auto"/>
          <w:sz w:val="24"/>
          <w:szCs w:val="24"/>
          <w:highlight w:val="none"/>
        </w:rPr>
        <w:t>1、开始时间：2024年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24日</w:t>
      </w:r>
      <w:r>
        <w:rPr>
          <w:rFonts w:hint="eastAsia" w:ascii="宋体" w:hAnsi="宋体" w:cs="宋体"/>
          <w:color w:val="auto"/>
          <w:sz w:val="24"/>
          <w:szCs w:val="24"/>
          <w:highlight w:val="none"/>
        </w:rPr>
        <w:t>下午14时00分</w:t>
      </w:r>
    </w:p>
    <w:p w14:paraId="29774C4E">
      <w:pPr>
        <w:spacing w:line="360" w:lineRule="auto"/>
        <w:ind w:firstLine="561" w:firstLineChars="234"/>
        <w:rPr>
          <w:rFonts w:ascii="宋体" w:hAnsi="宋体" w:cs="宋体"/>
          <w:color w:val="auto"/>
          <w:sz w:val="24"/>
          <w:szCs w:val="24"/>
          <w:highlight w:val="none"/>
        </w:rPr>
      </w:pPr>
      <w:r>
        <w:rPr>
          <w:rFonts w:hint="eastAsia" w:ascii="宋体" w:hAnsi="宋体" w:cs="宋体"/>
          <w:color w:val="auto"/>
          <w:sz w:val="24"/>
          <w:szCs w:val="24"/>
          <w:highlight w:val="none"/>
        </w:rPr>
        <w:t>2、截止时间：2024年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24日</w:t>
      </w:r>
      <w:r>
        <w:rPr>
          <w:rFonts w:hint="eastAsia" w:ascii="宋体" w:hAnsi="宋体" w:cs="宋体"/>
          <w:color w:val="auto"/>
          <w:sz w:val="24"/>
          <w:szCs w:val="24"/>
          <w:highlight w:val="none"/>
        </w:rPr>
        <w:t>下午14时30分</w:t>
      </w:r>
    </w:p>
    <w:p w14:paraId="72E98497">
      <w:pPr>
        <w:spacing w:line="360" w:lineRule="auto"/>
        <w:ind w:firstLine="561" w:firstLineChars="234"/>
        <w:rPr>
          <w:rFonts w:ascii="宋体" w:hAnsi="宋体" w:cs="宋体"/>
          <w:color w:val="auto"/>
          <w:sz w:val="24"/>
          <w:szCs w:val="24"/>
          <w:highlight w:val="none"/>
        </w:rPr>
      </w:pPr>
      <w:r>
        <w:rPr>
          <w:rFonts w:hint="eastAsia" w:ascii="宋体" w:hAnsi="宋体" w:cs="宋体"/>
          <w:color w:val="auto"/>
          <w:sz w:val="24"/>
          <w:szCs w:val="24"/>
          <w:highlight w:val="none"/>
        </w:rPr>
        <w:t>3、地点：南京市鼓楼区中山北路105-6号中环国际广场22楼江苏苏亚金诚工程管理咨询有限公司2217会议室</w:t>
      </w:r>
    </w:p>
    <w:p w14:paraId="47CB77A1">
      <w:pPr>
        <w:widowControl/>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4、响应文件递交方式：现场纸质递交</w:t>
      </w:r>
    </w:p>
    <w:p w14:paraId="1B244000">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七、谈判时间及地点</w:t>
      </w:r>
    </w:p>
    <w:p w14:paraId="7907B3F6">
      <w:pPr>
        <w:spacing w:line="360" w:lineRule="auto"/>
        <w:ind w:firstLine="561" w:firstLineChars="234"/>
        <w:rPr>
          <w:rFonts w:hint="eastAsia" w:ascii="宋体" w:hAnsi="宋体" w:cs="宋体"/>
          <w:color w:val="auto"/>
          <w:sz w:val="24"/>
          <w:szCs w:val="24"/>
          <w:highlight w:val="none"/>
        </w:rPr>
      </w:pPr>
      <w:r>
        <w:rPr>
          <w:rFonts w:hint="eastAsia" w:ascii="宋体" w:hAnsi="宋体" w:cs="宋体"/>
          <w:color w:val="auto"/>
          <w:sz w:val="24"/>
          <w:szCs w:val="24"/>
          <w:highlight w:val="none"/>
        </w:rPr>
        <w:t>1、时间：22024年</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24日</w:t>
      </w:r>
      <w:r>
        <w:rPr>
          <w:rFonts w:hint="eastAsia" w:ascii="宋体" w:hAnsi="宋体" w:cs="宋体"/>
          <w:color w:val="auto"/>
          <w:sz w:val="24"/>
          <w:szCs w:val="24"/>
          <w:highlight w:val="none"/>
        </w:rPr>
        <w:t>下午14时30分</w:t>
      </w:r>
    </w:p>
    <w:p w14:paraId="067DB990">
      <w:pPr>
        <w:spacing w:line="360" w:lineRule="auto"/>
        <w:ind w:firstLine="561" w:firstLineChars="234"/>
        <w:rPr>
          <w:rFonts w:hint="eastAsia" w:ascii="宋体" w:hAnsi="宋体" w:cs="宋体"/>
          <w:color w:val="auto"/>
          <w:sz w:val="24"/>
          <w:szCs w:val="24"/>
          <w:highlight w:val="none"/>
        </w:rPr>
      </w:pPr>
      <w:r>
        <w:rPr>
          <w:rFonts w:hint="eastAsia" w:ascii="宋体" w:hAnsi="宋体" w:cs="宋体"/>
          <w:color w:val="auto"/>
          <w:sz w:val="24"/>
          <w:szCs w:val="24"/>
          <w:highlight w:val="none"/>
        </w:rPr>
        <w:t>2、地点：南京市鼓楼区中山北路105-6号中环国际广场22楼江苏苏亚金诚工程管理咨询有限公司2217会议室</w:t>
      </w:r>
    </w:p>
    <w:p w14:paraId="2484DC30">
      <w:pPr>
        <w:widowControl/>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八、递交标书注意事项</w:t>
      </w:r>
    </w:p>
    <w:p w14:paraId="3979180B">
      <w:pPr>
        <w:widowControl/>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请供应商提前安排好时间，按单一来源采购文件要求的时间和地址提前抵达谈判现场，因大楼相关管理要求，请供应商至少提前15分钟到达单一来源采购文件指定的递交地点并与代理工作人员联系（联系电话：15951948121），由工作人员带领至谈判现场，若因供应商预留时间不足，未能在谈判截止时间前抵达谈判现场或未签到的，代理机构将不接收该供应商的响应文件，由供应商自行承担相关后果。</w:t>
      </w:r>
    </w:p>
    <w:p w14:paraId="6DECAAC9">
      <w:pPr>
        <w:pStyle w:val="47"/>
        <w:spacing w:line="360" w:lineRule="auto"/>
        <w:ind w:firstLine="0" w:firstLineChars="0"/>
        <w:rPr>
          <w:rFonts w:ascii="宋体" w:hAnsi="宋体" w:cs="宋体"/>
          <w:b/>
          <w:bCs/>
          <w:color w:val="auto"/>
          <w:sz w:val="24"/>
          <w:szCs w:val="24"/>
          <w:highlight w:val="none"/>
          <w:lang w:val="en-US"/>
        </w:rPr>
      </w:pPr>
      <w:r>
        <w:rPr>
          <w:rFonts w:hint="eastAsia" w:ascii="宋体" w:hAnsi="宋体" w:cs="宋体"/>
          <w:b/>
          <w:bCs/>
          <w:color w:val="auto"/>
          <w:sz w:val="24"/>
          <w:szCs w:val="24"/>
          <w:highlight w:val="none"/>
          <w:lang w:val="en-US"/>
        </w:rPr>
        <w:t>九、响应文件数量</w:t>
      </w:r>
    </w:p>
    <w:p w14:paraId="07CE3CD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正本份数：1份</w:t>
      </w:r>
    </w:p>
    <w:p w14:paraId="1A222BC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副本份数：3份</w:t>
      </w:r>
    </w:p>
    <w:p w14:paraId="17FCCF6C">
      <w:pPr>
        <w:pStyle w:val="47"/>
        <w:spacing w:line="360" w:lineRule="auto"/>
        <w:rPr>
          <w:rFonts w:ascii="宋体" w:hAnsi="宋体" w:cs="宋体"/>
          <w:color w:val="auto"/>
          <w:sz w:val="24"/>
          <w:szCs w:val="24"/>
          <w:highlight w:val="none"/>
        </w:rPr>
      </w:pPr>
      <w:r>
        <w:rPr>
          <w:rFonts w:hint="eastAsia" w:ascii="宋体" w:hAnsi="宋体" w:cs="宋体"/>
          <w:color w:val="auto"/>
          <w:sz w:val="24"/>
          <w:szCs w:val="24"/>
          <w:highlight w:val="none"/>
          <w:lang w:val="en-US"/>
        </w:rPr>
        <w:t>电子版</w:t>
      </w:r>
      <w:r>
        <w:rPr>
          <w:rFonts w:hint="eastAsia" w:ascii="宋体" w:hAnsi="宋体" w:cs="宋体"/>
          <w:color w:val="auto"/>
          <w:sz w:val="24"/>
          <w:szCs w:val="24"/>
          <w:highlight w:val="none"/>
        </w:rPr>
        <w:t>：1份</w:t>
      </w:r>
      <w:r>
        <w:rPr>
          <w:rFonts w:hint="eastAsia" w:ascii="宋体" w:hAnsi="宋体" w:cs="宋体"/>
          <w:color w:val="auto"/>
          <w:sz w:val="24"/>
          <w:szCs w:val="24"/>
          <w:highlight w:val="none"/>
          <w:lang w:val="en-US"/>
        </w:rPr>
        <w:t xml:space="preserve"> </w:t>
      </w:r>
      <w:r>
        <w:rPr>
          <w:rFonts w:hint="eastAsia" w:ascii="宋体" w:hAnsi="宋体" w:cs="宋体"/>
          <w:color w:val="auto"/>
          <w:sz w:val="24"/>
          <w:szCs w:val="24"/>
          <w:highlight w:val="none"/>
        </w:rPr>
        <w:t>（电子版须为</w:t>
      </w:r>
      <w:r>
        <w:rPr>
          <w:rFonts w:hint="eastAsia" w:ascii="宋体" w:hAnsi="宋体" w:cs="宋体"/>
          <w:color w:val="auto"/>
          <w:kern w:val="0"/>
          <w:sz w:val="24"/>
          <w:szCs w:val="24"/>
          <w:highlight w:val="none"/>
          <w:lang w:val="en-US"/>
        </w:rPr>
        <w:t>响应文件</w:t>
      </w:r>
      <w:r>
        <w:rPr>
          <w:rFonts w:hint="eastAsia" w:ascii="宋体" w:hAnsi="宋体" w:cs="宋体"/>
          <w:color w:val="auto"/>
          <w:sz w:val="24"/>
          <w:szCs w:val="24"/>
          <w:highlight w:val="none"/>
        </w:rPr>
        <w:t>正本加盖公章的PDF扫描件，扫描件内容应与纸质文件完全一致。文件名建议修改为公司名+项目编号简写。电子文档用于存档，以U盘（请勿提交刻录光盘）形式递交，U盘不予退还。）</w:t>
      </w:r>
    </w:p>
    <w:p w14:paraId="4B71A116">
      <w:pPr>
        <w:pStyle w:val="47"/>
        <w:spacing w:line="360" w:lineRule="auto"/>
        <w:ind w:firstLine="0" w:firstLineChars="0"/>
        <w:rPr>
          <w:rFonts w:ascii="宋体" w:hAnsi="宋体" w:cs="宋体"/>
          <w:color w:val="auto"/>
          <w:sz w:val="24"/>
          <w:highlight w:val="none"/>
          <w:lang w:val="en-US"/>
        </w:rPr>
      </w:pPr>
    </w:p>
    <w:p w14:paraId="1C1AD2AB">
      <w:pPr>
        <w:pStyle w:val="47"/>
        <w:spacing w:line="360" w:lineRule="auto"/>
        <w:ind w:firstLine="0" w:firstLineChars="0"/>
        <w:rPr>
          <w:rFonts w:ascii="宋体" w:hAnsi="宋体" w:cs="宋体"/>
          <w:b/>
          <w:bCs/>
          <w:color w:val="auto"/>
          <w:kern w:val="0"/>
          <w:sz w:val="24"/>
          <w:szCs w:val="24"/>
          <w:highlight w:val="none"/>
        </w:rPr>
      </w:pPr>
      <w:r>
        <w:rPr>
          <w:rFonts w:hint="eastAsia" w:ascii="宋体" w:hAnsi="宋体" w:cs="宋体"/>
          <w:b/>
          <w:bCs/>
          <w:color w:val="auto"/>
          <w:sz w:val="24"/>
          <w:highlight w:val="none"/>
          <w:lang w:val="en-US"/>
        </w:rPr>
        <w:t>十</w:t>
      </w:r>
      <w:r>
        <w:rPr>
          <w:rFonts w:hint="eastAsia" w:ascii="宋体" w:hAnsi="宋体" w:cs="宋体"/>
          <w:b/>
          <w:bCs/>
          <w:color w:val="auto"/>
          <w:kern w:val="0"/>
          <w:sz w:val="24"/>
          <w:szCs w:val="24"/>
          <w:highlight w:val="none"/>
        </w:rPr>
        <w:t>、联系方式</w:t>
      </w:r>
    </w:p>
    <w:p w14:paraId="59FC5715">
      <w:pPr>
        <w:spacing w:line="360" w:lineRule="auto"/>
        <w:jc w:val="left"/>
        <w:rPr>
          <w:rFonts w:ascii="宋体" w:hAnsi="宋体"/>
          <w:color w:val="auto"/>
          <w:sz w:val="24"/>
          <w:highlight w:val="none"/>
        </w:rPr>
      </w:pPr>
      <w:r>
        <w:rPr>
          <w:rFonts w:hint="eastAsia" w:ascii="宋体" w:hAnsi="宋体"/>
          <w:color w:val="auto"/>
          <w:sz w:val="24"/>
          <w:highlight w:val="none"/>
        </w:rPr>
        <w:t>采购单位：</w:t>
      </w:r>
      <w:r>
        <w:rPr>
          <w:rFonts w:hint="eastAsia" w:ascii="宋体" w:hAnsi="宋体" w:cs="宋体"/>
          <w:color w:val="auto"/>
          <w:kern w:val="0"/>
          <w:sz w:val="24"/>
          <w:szCs w:val="24"/>
          <w:highlight w:val="none"/>
        </w:rPr>
        <w:t>南京信息工程大学</w:t>
      </w:r>
    </w:p>
    <w:p w14:paraId="797AA639">
      <w:pPr>
        <w:spacing w:line="360" w:lineRule="auto"/>
        <w:jc w:val="left"/>
        <w:rPr>
          <w:rFonts w:ascii="宋体" w:hAnsi="宋体" w:cs="宋体"/>
          <w:color w:val="auto"/>
          <w:kern w:val="0"/>
          <w:sz w:val="24"/>
          <w:szCs w:val="24"/>
          <w:highlight w:val="none"/>
        </w:rPr>
      </w:pPr>
      <w:r>
        <w:rPr>
          <w:rFonts w:hint="eastAsia" w:ascii="宋体" w:hAnsi="宋体"/>
          <w:color w:val="auto"/>
          <w:sz w:val="24"/>
          <w:highlight w:val="none"/>
        </w:rPr>
        <w:t xml:space="preserve">地    址：南京市浦口区宁六路219号 </w:t>
      </w:r>
    </w:p>
    <w:p w14:paraId="37842995">
      <w:pPr>
        <w:spacing w:line="360" w:lineRule="auto"/>
        <w:jc w:val="left"/>
        <w:rPr>
          <w:rFonts w:hint="eastAsia" w:ascii="宋体" w:hAnsi="宋体" w:eastAsia="宋体"/>
          <w:color w:val="auto"/>
          <w:sz w:val="24"/>
          <w:highlight w:val="none"/>
          <w:lang w:val="en-US" w:eastAsia="zh-CN"/>
        </w:rPr>
      </w:pPr>
      <w:r>
        <w:rPr>
          <w:rFonts w:hint="eastAsia" w:ascii="宋体" w:hAnsi="宋体"/>
          <w:color w:val="auto"/>
          <w:sz w:val="24"/>
          <w:highlight w:val="none"/>
        </w:rPr>
        <w:t>联系人：</w:t>
      </w:r>
      <w:r>
        <w:rPr>
          <w:rFonts w:hint="eastAsia" w:ascii="宋体" w:hAnsi="宋体"/>
          <w:color w:val="auto"/>
          <w:sz w:val="24"/>
          <w:highlight w:val="none"/>
          <w:lang w:val="en-US" w:eastAsia="zh-CN"/>
        </w:rPr>
        <w:t>王老师</w:t>
      </w:r>
    </w:p>
    <w:p w14:paraId="1DCADA1C">
      <w:pPr>
        <w:widowControl/>
        <w:jc w:val="left"/>
        <w:rPr>
          <w:rFonts w:hint="eastAsia" w:eastAsia="宋体"/>
          <w:color w:val="auto"/>
          <w:highlight w:val="none"/>
          <w:lang w:val="en-US" w:eastAsia="zh-CN"/>
        </w:rPr>
      </w:pPr>
      <w:r>
        <w:rPr>
          <w:rFonts w:hint="eastAsia" w:ascii="宋体" w:hAnsi="宋体"/>
          <w:color w:val="auto"/>
          <w:sz w:val="24"/>
          <w:highlight w:val="none"/>
        </w:rPr>
        <w:t>联系方式：</w:t>
      </w:r>
      <w:r>
        <w:rPr>
          <w:rFonts w:hint="eastAsia" w:ascii="宋体" w:hAnsi="宋体"/>
          <w:color w:val="auto"/>
          <w:sz w:val="24"/>
          <w:highlight w:val="none"/>
          <w:lang w:val="en-US" w:eastAsia="zh-CN"/>
        </w:rPr>
        <w:t xml:space="preserve">025-58695664 </w:t>
      </w:r>
    </w:p>
    <w:p w14:paraId="4C4DE910">
      <w:pPr>
        <w:spacing w:line="360" w:lineRule="auto"/>
        <w:jc w:val="left"/>
        <w:rPr>
          <w:rFonts w:ascii="宋体" w:hAnsi="宋体"/>
          <w:color w:val="auto"/>
          <w:sz w:val="24"/>
          <w:highlight w:val="none"/>
        </w:rPr>
      </w:pPr>
    </w:p>
    <w:p w14:paraId="6B98C70D">
      <w:pPr>
        <w:spacing w:line="360" w:lineRule="auto"/>
        <w:ind w:left="233" w:leftChars="54" w:hanging="120" w:hangingChars="50"/>
        <w:jc w:val="left"/>
        <w:rPr>
          <w:rFonts w:ascii="宋体" w:hAnsi="宋体"/>
          <w:color w:val="auto"/>
          <w:sz w:val="24"/>
          <w:highlight w:val="none"/>
        </w:rPr>
      </w:pPr>
    </w:p>
    <w:p w14:paraId="00F31016">
      <w:pPr>
        <w:autoSpaceDE w:val="0"/>
        <w:autoSpaceDN w:val="0"/>
        <w:adjustRightInd w:val="0"/>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代理机构：江苏苏亚金诚工程管理咨询有限公司</w:t>
      </w:r>
    </w:p>
    <w:p w14:paraId="71313EDD">
      <w:pPr>
        <w:autoSpaceDE w:val="0"/>
        <w:autoSpaceDN w:val="0"/>
        <w:adjustRightInd w:val="0"/>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地</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 xml:space="preserve">   址：</w:t>
      </w:r>
      <w:r>
        <w:rPr>
          <w:rFonts w:hint="eastAsia" w:ascii="宋体" w:hAnsi="宋体" w:cs="宋体"/>
          <w:color w:val="auto"/>
          <w:sz w:val="24"/>
          <w:szCs w:val="24"/>
          <w:highlight w:val="none"/>
        </w:rPr>
        <w:t>南京市鼓楼区中山北路105-6号中环国际广场22楼</w:t>
      </w:r>
    </w:p>
    <w:p w14:paraId="62FC8344">
      <w:pPr>
        <w:autoSpaceDE w:val="0"/>
        <w:autoSpaceDN w:val="0"/>
        <w:adjustRightInd w:val="0"/>
        <w:spacing w:line="360" w:lineRule="auto"/>
        <w:jc w:val="left"/>
        <w:rPr>
          <w:rFonts w:ascii="宋体" w:hAnsi="宋体" w:cs="宋体"/>
          <w:color w:val="auto"/>
          <w:kern w:val="0"/>
          <w:sz w:val="24"/>
          <w:szCs w:val="24"/>
          <w:highlight w:val="none"/>
        </w:rPr>
      </w:pPr>
      <w:r>
        <w:rPr>
          <w:rFonts w:hint="eastAsia" w:ascii="宋体" w:hAnsi="宋体" w:cs="宋体"/>
          <w:color w:val="auto"/>
          <w:kern w:val="0"/>
          <w:sz w:val="24"/>
          <w:szCs w:val="24"/>
          <w:highlight w:val="none"/>
        </w:rPr>
        <w:t>联</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系</w:t>
      </w:r>
      <w:r>
        <w:rPr>
          <w:rFonts w:ascii="宋体" w:hAnsi="宋体" w:cs="宋体"/>
          <w:color w:val="auto"/>
          <w:kern w:val="0"/>
          <w:sz w:val="24"/>
          <w:szCs w:val="24"/>
          <w:highlight w:val="none"/>
        </w:rPr>
        <w:t xml:space="preserve"> </w:t>
      </w:r>
      <w:r>
        <w:rPr>
          <w:rFonts w:hint="eastAsia" w:ascii="宋体" w:hAnsi="宋体" w:cs="宋体"/>
          <w:color w:val="auto"/>
          <w:kern w:val="0"/>
          <w:sz w:val="24"/>
          <w:szCs w:val="24"/>
          <w:highlight w:val="none"/>
        </w:rPr>
        <w:t>人：张明月</w:t>
      </w:r>
    </w:p>
    <w:p w14:paraId="6071A71A">
      <w:pPr>
        <w:autoSpaceDE w:val="0"/>
        <w:autoSpaceDN w:val="0"/>
        <w:adjustRightInd w:val="0"/>
        <w:spacing w:line="360" w:lineRule="auto"/>
        <w:jc w:val="left"/>
        <w:rPr>
          <w:rFonts w:ascii="宋体" w:hAnsi="宋体" w:cs="Calibri"/>
          <w:color w:val="auto"/>
          <w:kern w:val="0"/>
          <w:sz w:val="24"/>
          <w:szCs w:val="24"/>
          <w:highlight w:val="none"/>
        </w:rPr>
      </w:pPr>
      <w:r>
        <w:rPr>
          <w:rFonts w:hint="eastAsia" w:ascii="宋体" w:hAnsi="宋体"/>
          <w:color w:val="auto"/>
          <w:sz w:val="24"/>
          <w:highlight w:val="none"/>
        </w:rPr>
        <w:t>联系方式</w:t>
      </w:r>
      <w:r>
        <w:rPr>
          <w:rFonts w:hint="eastAsia" w:ascii="宋体" w:hAnsi="宋体" w:cs="宋体"/>
          <w:color w:val="auto"/>
          <w:kern w:val="0"/>
          <w:sz w:val="24"/>
          <w:szCs w:val="24"/>
          <w:highlight w:val="none"/>
        </w:rPr>
        <w:t>：15951948121</w:t>
      </w:r>
    </w:p>
    <w:p w14:paraId="17E49A99">
      <w:pPr>
        <w:pStyle w:val="4"/>
        <w:spacing w:before="0" w:after="0" w:line="360" w:lineRule="auto"/>
        <w:jc w:val="center"/>
        <w:rPr>
          <w:rFonts w:ascii="宋体" w:hAnsi="宋体" w:cs="宋体"/>
          <w:color w:val="auto"/>
          <w:sz w:val="28"/>
          <w:szCs w:val="28"/>
          <w:highlight w:val="none"/>
        </w:rPr>
      </w:pPr>
      <w:r>
        <w:rPr>
          <w:rFonts w:hint="eastAsia" w:ascii="宋体" w:hAnsi="宋体" w:cs="宋体"/>
          <w:color w:val="auto"/>
          <w:highlight w:val="none"/>
        </w:rPr>
        <w:br w:type="page"/>
      </w:r>
      <w:bookmarkStart w:id="8" w:name="_Toc7891"/>
      <w:bookmarkStart w:id="9" w:name="_Toc32592"/>
      <w:r>
        <w:rPr>
          <w:rFonts w:hint="eastAsia" w:ascii="宋体" w:hAnsi="宋体" w:cs="宋体"/>
          <w:color w:val="auto"/>
          <w:sz w:val="28"/>
          <w:szCs w:val="28"/>
          <w:highlight w:val="none"/>
        </w:rPr>
        <w:t xml:space="preserve">第二章 </w:t>
      </w:r>
      <w:bookmarkEnd w:id="2"/>
      <w:bookmarkEnd w:id="3"/>
      <w:bookmarkEnd w:id="4"/>
      <w:r>
        <w:rPr>
          <w:rFonts w:hint="eastAsia" w:ascii="宋体" w:hAnsi="宋体" w:cs="宋体"/>
          <w:color w:val="auto"/>
          <w:sz w:val="28"/>
          <w:szCs w:val="28"/>
          <w:highlight w:val="none"/>
        </w:rPr>
        <w:t>供应商须知</w:t>
      </w:r>
      <w:bookmarkEnd w:id="5"/>
      <w:bookmarkEnd w:id="8"/>
      <w:bookmarkEnd w:id="9"/>
    </w:p>
    <w:p w14:paraId="5AE5414C">
      <w:pPr>
        <w:pStyle w:val="5"/>
        <w:spacing w:before="0" w:after="0" w:line="348" w:lineRule="auto"/>
        <w:rPr>
          <w:rFonts w:ascii="宋体" w:hAnsi="宋体" w:cs="宋体"/>
          <w:color w:val="auto"/>
          <w:sz w:val="24"/>
          <w:szCs w:val="24"/>
          <w:highlight w:val="none"/>
        </w:rPr>
      </w:pPr>
      <w:bookmarkStart w:id="10" w:name="_Toc447724707"/>
      <w:bookmarkStart w:id="11" w:name="_Toc31362"/>
      <w:bookmarkStart w:id="12" w:name="_Toc7130"/>
      <w:bookmarkStart w:id="13" w:name="_Toc497401658"/>
      <w:bookmarkStart w:id="14" w:name="_Toc15939"/>
      <w:bookmarkStart w:id="15" w:name="_Toc10416"/>
      <w:r>
        <w:rPr>
          <w:rFonts w:hint="eastAsia" w:ascii="宋体" w:hAnsi="宋体" w:cs="宋体"/>
          <w:color w:val="auto"/>
          <w:sz w:val="24"/>
          <w:szCs w:val="24"/>
          <w:highlight w:val="none"/>
        </w:rPr>
        <w:t>1</w:t>
      </w:r>
      <w:bookmarkEnd w:id="10"/>
      <w:bookmarkEnd w:id="11"/>
      <w:bookmarkEnd w:id="12"/>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采购方式</w:t>
      </w:r>
      <w:bookmarkEnd w:id="13"/>
      <w:bookmarkEnd w:id="14"/>
      <w:bookmarkEnd w:id="15"/>
    </w:p>
    <w:p w14:paraId="14D2E5FC">
      <w:pPr>
        <w:spacing w:line="348" w:lineRule="auto"/>
        <w:ind w:firstLine="560"/>
        <w:rPr>
          <w:rFonts w:ascii="宋体" w:hAnsi="宋体" w:cs="宋体"/>
          <w:color w:val="auto"/>
          <w:sz w:val="24"/>
          <w:szCs w:val="24"/>
          <w:highlight w:val="none"/>
        </w:rPr>
      </w:pPr>
      <w:bookmarkStart w:id="16" w:name="_Toc447724740"/>
      <w:bookmarkStart w:id="17" w:name="_Toc11454"/>
      <w:bookmarkStart w:id="18" w:name="_Toc497401691"/>
      <w:bookmarkStart w:id="19" w:name="_Toc10660"/>
      <w:r>
        <w:rPr>
          <w:rFonts w:hint="eastAsia" w:ascii="宋体" w:hAnsi="宋体" w:cs="宋体"/>
          <w:color w:val="auto"/>
          <w:sz w:val="24"/>
          <w:szCs w:val="24"/>
          <w:highlight w:val="none"/>
        </w:rPr>
        <w:t>1.1本次采购采取单一来源方式。本采购文件仅适用于单一来源采购邀请中所述采购项目。</w:t>
      </w:r>
    </w:p>
    <w:p w14:paraId="54914F0E">
      <w:pPr>
        <w:pStyle w:val="5"/>
        <w:spacing w:before="0" w:after="0" w:line="348" w:lineRule="auto"/>
        <w:rPr>
          <w:rFonts w:ascii="宋体" w:hAnsi="宋体" w:cs="宋体"/>
          <w:color w:val="auto"/>
          <w:sz w:val="24"/>
          <w:szCs w:val="24"/>
          <w:highlight w:val="none"/>
        </w:rPr>
      </w:pPr>
      <w:bookmarkStart w:id="20" w:name="_Toc14489"/>
      <w:bookmarkStart w:id="21" w:name="_Toc8953"/>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合格的供应商</w:t>
      </w:r>
      <w:bookmarkEnd w:id="20"/>
      <w:bookmarkEnd w:id="21"/>
    </w:p>
    <w:p w14:paraId="04F8623D">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2.1满足采购文件中合格协商供应商资格要求的规定。</w:t>
      </w:r>
    </w:p>
    <w:p w14:paraId="535DEC2F">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2.2满足本采购文件实质性条款的规定。</w:t>
      </w:r>
    </w:p>
    <w:p w14:paraId="24158774">
      <w:pPr>
        <w:pStyle w:val="5"/>
        <w:spacing w:before="0" w:after="0" w:line="348" w:lineRule="auto"/>
        <w:rPr>
          <w:rFonts w:ascii="宋体" w:hAnsi="宋体" w:cs="宋体"/>
          <w:color w:val="auto"/>
          <w:sz w:val="24"/>
          <w:szCs w:val="24"/>
          <w:highlight w:val="none"/>
        </w:rPr>
      </w:pPr>
      <w:bookmarkStart w:id="22" w:name="_Toc10874"/>
      <w:bookmarkStart w:id="23" w:name="_Toc8370"/>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适用法律</w:t>
      </w:r>
      <w:bookmarkEnd w:id="22"/>
      <w:bookmarkEnd w:id="23"/>
    </w:p>
    <w:p w14:paraId="38147255">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3.1《中华人民共和国政府采购法》、《中华人民共和国政府采购法实施条例》、《政府采购货物和服务招标投标管理办法》等有关法律、规章和规定等。</w:t>
      </w:r>
    </w:p>
    <w:p w14:paraId="3062C917">
      <w:pPr>
        <w:pStyle w:val="5"/>
        <w:spacing w:before="0" w:after="0" w:line="348" w:lineRule="auto"/>
        <w:rPr>
          <w:rFonts w:ascii="宋体" w:hAnsi="宋体" w:cs="宋体"/>
          <w:color w:val="auto"/>
          <w:sz w:val="24"/>
          <w:szCs w:val="24"/>
          <w:highlight w:val="none"/>
        </w:rPr>
      </w:pPr>
      <w:bookmarkStart w:id="24" w:name="_Toc24285"/>
      <w:bookmarkStart w:id="25" w:name="_Toc1344"/>
      <w:r>
        <w:rPr>
          <w:rFonts w:hint="eastAsia" w:ascii="宋体" w:hAnsi="宋体" w:cs="宋体"/>
          <w:color w:val="auto"/>
          <w:sz w:val="24"/>
          <w:szCs w:val="24"/>
          <w:highlight w:val="none"/>
        </w:rPr>
        <w:t>4</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采购文件的约束力</w:t>
      </w:r>
      <w:bookmarkEnd w:id="24"/>
      <w:bookmarkEnd w:id="25"/>
    </w:p>
    <w:p w14:paraId="0DAA7AA7">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4.1供应商应当按照本单一来源采购文件的规定拟定响应文件并按时参加协商。</w:t>
      </w:r>
    </w:p>
    <w:p w14:paraId="6DE8A09D">
      <w:pPr>
        <w:pStyle w:val="5"/>
        <w:spacing w:before="0" w:after="0" w:line="348" w:lineRule="auto"/>
        <w:rPr>
          <w:rFonts w:ascii="宋体" w:hAnsi="宋体" w:cs="宋体"/>
          <w:color w:val="auto"/>
          <w:sz w:val="24"/>
          <w:szCs w:val="24"/>
          <w:highlight w:val="none"/>
        </w:rPr>
      </w:pPr>
      <w:bookmarkStart w:id="26" w:name="_Toc23955"/>
      <w:bookmarkStart w:id="27" w:name="_Toc5143"/>
      <w:r>
        <w:rPr>
          <w:rFonts w:hint="eastAsia" w:ascii="宋体" w:hAnsi="宋体" w:cs="宋体"/>
          <w:color w:val="auto"/>
          <w:sz w:val="24"/>
          <w:szCs w:val="24"/>
          <w:highlight w:val="none"/>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采购文件构成</w:t>
      </w:r>
      <w:bookmarkEnd w:id="26"/>
      <w:bookmarkEnd w:id="27"/>
    </w:p>
    <w:p w14:paraId="593E7EF1">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5.1采购文件有以下部分组成：</w:t>
      </w:r>
    </w:p>
    <w:p w14:paraId="40DCF067">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（1）单一来源采购邀请</w:t>
      </w:r>
    </w:p>
    <w:p w14:paraId="6A8D22F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（2）参加商谈供应商须知</w:t>
      </w:r>
    </w:p>
    <w:p w14:paraId="1A6621CD">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（3）合同条款及格式</w:t>
      </w:r>
    </w:p>
    <w:p w14:paraId="0ED9EA2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（4）项目采购需求</w:t>
      </w:r>
    </w:p>
    <w:p w14:paraId="75CBDCE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（5）响应文件格式</w:t>
      </w:r>
    </w:p>
    <w:p w14:paraId="2CA50437">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5.2供应商应认真阅读采购文件中所有的事项、格式、条款和规范等要求。按采购文件要求和规定编制协商响应文件，并保证所提供的全部资料的真实性，以使其协商响应文件对采购文件做出实质性响应，否则，其风险应由供应商自行承担。否则，其协商响应文件将被拒绝。</w:t>
      </w:r>
    </w:p>
    <w:p w14:paraId="00DDDF4B">
      <w:pPr>
        <w:pStyle w:val="5"/>
        <w:spacing w:before="0" w:after="0" w:line="348" w:lineRule="auto"/>
        <w:rPr>
          <w:rFonts w:ascii="宋体" w:hAnsi="宋体" w:cs="宋体"/>
          <w:color w:val="auto"/>
          <w:sz w:val="24"/>
          <w:szCs w:val="24"/>
          <w:highlight w:val="none"/>
        </w:rPr>
      </w:pPr>
      <w:bookmarkStart w:id="28" w:name="_Toc28923"/>
      <w:bookmarkStart w:id="29" w:name="_Toc8196"/>
      <w:r>
        <w:rPr>
          <w:rFonts w:hint="eastAsia" w:ascii="宋体" w:hAnsi="宋体" w:cs="宋体"/>
          <w:color w:val="auto"/>
          <w:sz w:val="24"/>
          <w:szCs w:val="24"/>
          <w:highlight w:val="none"/>
        </w:rPr>
        <w:t>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协商语言及度量衡单位</w:t>
      </w:r>
      <w:bookmarkEnd w:id="28"/>
      <w:bookmarkEnd w:id="29"/>
    </w:p>
    <w:p w14:paraId="607066F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6.1供应商提交的协商响应文件以及供应商与采购代理机构就有关协商的所有来往通知、函件和文件均应使用简体中文。</w:t>
      </w:r>
    </w:p>
    <w:p w14:paraId="4024F482">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6.2除技术性能另有规定外，协商响应文件所使用的度量衡单位，均须采用国家法定计量单位。</w:t>
      </w:r>
    </w:p>
    <w:p w14:paraId="222FEACB">
      <w:pPr>
        <w:pStyle w:val="5"/>
        <w:spacing w:before="0" w:after="0" w:line="348" w:lineRule="auto"/>
        <w:rPr>
          <w:rFonts w:ascii="宋体" w:hAnsi="宋体" w:cs="宋体"/>
          <w:color w:val="auto"/>
          <w:sz w:val="24"/>
          <w:szCs w:val="24"/>
          <w:highlight w:val="none"/>
        </w:rPr>
      </w:pPr>
      <w:bookmarkStart w:id="30" w:name="_Toc16713"/>
      <w:bookmarkStart w:id="31" w:name="_Toc9828"/>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协商响应文件编制</w:t>
      </w:r>
      <w:bookmarkEnd w:id="30"/>
      <w:bookmarkEnd w:id="31"/>
    </w:p>
    <w:p w14:paraId="00579292">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供应商应将响应文件按顺序装订成册，并编制响应文件资料目录。</w:t>
      </w:r>
    </w:p>
    <w:p w14:paraId="36B0D7F1">
      <w:pPr>
        <w:pStyle w:val="5"/>
        <w:spacing w:before="0" w:after="0" w:line="348" w:lineRule="auto"/>
        <w:rPr>
          <w:rFonts w:ascii="宋体" w:hAnsi="宋体" w:cs="宋体"/>
          <w:color w:val="auto"/>
          <w:sz w:val="24"/>
          <w:szCs w:val="24"/>
          <w:highlight w:val="none"/>
        </w:rPr>
      </w:pPr>
      <w:bookmarkStart w:id="32" w:name="_Toc19925"/>
      <w:bookmarkStart w:id="33" w:name="_Toc20959"/>
      <w:r>
        <w:rPr>
          <w:rFonts w:hint="eastAsia" w:ascii="宋体" w:hAnsi="宋体" w:cs="宋体"/>
          <w:color w:val="auto"/>
          <w:sz w:val="24"/>
          <w:szCs w:val="24"/>
          <w:highlight w:val="none"/>
        </w:rPr>
        <w:t>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报价表</w:t>
      </w:r>
      <w:bookmarkEnd w:id="32"/>
      <w:bookmarkEnd w:id="33"/>
    </w:p>
    <w:p w14:paraId="4CA08672">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8.1本次采购采用总承包方式，因此供应商的总报价应包括项目实施所需的所有费用。</w:t>
      </w:r>
    </w:p>
    <w:p w14:paraId="3C32301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8.2采购文件未列明，而供应商认为必需的费用也需列入报价。</w:t>
      </w:r>
    </w:p>
    <w:p w14:paraId="7C088B01">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8.3谈判货币：响应文件中的单价和总价应采用人民币报价。当数量和单价之积不等于总价时，以单价为准重新计算总价。</w:t>
      </w:r>
    </w:p>
    <w:p w14:paraId="228722E8">
      <w:pPr>
        <w:spacing w:line="348" w:lineRule="auto"/>
        <w:ind w:firstLine="480" w:firstLineChars="200"/>
        <w:jc w:val="left"/>
        <w:rPr>
          <w:rFonts w:ascii="宋体" w:hAnsi="宋体" w:cs="宋体"/>
          <w:color w:val="auto"/>
          <w:sz w:val="24"/>
          <w:highlight w:val="none"/>
        </w:rPr>
      </w:pPr>
      <w:r>
        <w:rPr>
          <w:rFonts w:hint="eastAsia" w:ascii="宋体" w:hAnsi="宋体" w:cs="宋体"/>
          <w:color w:val="auto"/>
          <w:sz w:val="24"/>
          <w:szCs w:val="24"/>
          <w:highlight w:val="none"/>
        </w:rPr>
        <w:t>8.4</w:t>
      </w:r>
      <w:r>
        <w:rPr>
          <w:rFonts w:hint="eastAsia" w:ascii="宋体" w:hAnsi="宋体" w:cs="宋体"/>
          <w:color w:val="auto"/>
          <w:sz w:val="24"/>
          <w:highlight w:val="none"/>
        </w:rPr>
        <w:t>招标代理费及其他费用：</w:t>
      </w:r>
    </w:p>
    <w:p w14:paraId="200E61AB">
      <w:pPr>
        <w:spacing w:line="348" w:lineRule="auto"/>
        <w:ind w:firstLine="480" w:firstLineChars="200"/>
        <w:jc w:val="left"/>
        <w:rPr>
          <w:rFonts w:ascii="宋体" w:hAnsi="宋体" w:cs="宋体"/>
          <w:color w:val="auto"/>
          <w:sz w:val="24"/>
          <w:highlight w:val="none"/>
        </w:rPr>
      </w:pPr>
      <w:bookmarkStart w:id="34" w:name="_Toc31938"/>
      <w:r>
        <w:rPr>
          <w:rFonts w:hint="eastAsia" w:ascii="宋体" w:hAnsi="宋体" w:cs="宋体"/>
          <w:color w:val="auto"/>
          <w:sz w:val="24"/>
          <w:highlight w:val="none"/>
        </w:rPr>
        <w:t>（1）招标代理服务费按“国家计委关于印发《招标代理服务收费管理暂行办法》的通知《招标代理服务收费管理暂行办法》（计价格[2002]1980号）”中规定的收费标准的30%计算招标代理服务费，由中标人在领取中标通知书时一次性支付给招标代理公司。</w:t>
      </w:r>
    </w:p>
    <w:p w14:paraId="38C256EC">
      <w:pPr>
        <w:spacing w:line="348"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（2）收款信息：</w:t>
      </w:r>
    </w:p>
    <w:p w14:paraId="2597BEB5">
      <w:pPr>
        <w:spacing w:line="348"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户名：江苏苏亚金诚工程管理咨询有限公司</w:t>
      </w:r>
    </w:p>
    <w:p w14:paraId="36581DCD">
      <w:pPr>
        <w:spacing w:line="348"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开户行：交通银行股份有限公司南京鼓楼支行</w:t>
      </w:r>
    </w:p>
    <w:p w14:paraId="5DE6C731">
      <w:pPr>
        <w:spacing w:line="348"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账号：320006600018170099237</w:t>
      </w:r>
    </w:p>
    <w:p w14:paraId="521980A0">
      <w:pPr>
        <w:spacing w:before="0" w:after="0" w:line="348" w:lineRule="auto"/>
        <w:ind w:firstLine="480" w:firstLineChars="200"/>
        <w:outlineLvl w:val="9"/>
        <w:rPr>
          <w:rFonts w:ascii="宋体" w:hAnsi="宋体" w:cs="宋体"/>
          <w:b w:val="0"/>
          <w:color w:val="auto"/>
          <w:sz w:val="24"/>
          <w:highlight w:val="none"/>
        </w:rPr>
      </w:pPr>
      <w:bookmarkStart w:id="35" w:name="_Toc14413"/>
      <w:bookmarkStart w:id="36" w:name="_Toc8665"/>
      <w:bookmarkStart w:id="37" w:name="_Toc5586"/>
      <w:r>
        <w:rPr>
          <w:rFonts w:hint="eastAsia" w:ascii="宋体" w:hAnsi="宋体" w:cs="宋体"/>
          <w:b w:val="0"/>
          <w:color w:val="auto"/>
          <w:sz w:val="24"/>
          <w:highlight w:val="none"/>
        </w:rPr>
        <w:t>开户行行号：301301000020</w:t>
      </w:r>
      <w:bookmarkEnd w:id="35"/>
      <w:bookmarkEnd w:id="36"/>
      <w:bookmarkEnd w:id="37"/>
    </w:p>
    <w:p w14:paraId="123E2078">
      <w:pPr>
        <w:pStyle w:val="5"/>
        <w:spacing w:before="0" w:after="0" w:line="348" w:lineRule="auto"/>
        <w:rPr>
          <w:rFonts w:ascii="宋体" w:hAnsi="宋体" w:cs="宋体"/>
          <w:color w:val="auto"/>
          <w:sz w:val="24"/>
          <w:szCs w:val="24"/>
          <w:highlight w:val="none"/>
        </w:rPr>
      </w:pPr>
      <w:bookmarkStart w:id="38" w:name="_Toc9822"/>
      <w:r>
        <w:rPr>
          <w:rFonts w:hint="eastAsia" w:ascii="宋体" w:hAnsi="宋体" w:cs="宋体"/>
          <w:color w:val="auto"/>
          <w:sz w:val="24"/>
          <w:szCs w:val="24"/>
          <w:highlight w:val="none"/>
        </w:rPr>
        <w:t>9</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证明供应商资格的文件</w:t>
      </w:r>
      <w:bookmarkEnd w:id="34"/>
      <w:bookmarkEnd w:id="38"/>
    </w:p>
    <w:p w14:paraId="416F0758">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9.1供应商应提交证明其有资格参加协商和成交后有能力独立履行合同的文件，并作为其协商响应文件的一部分。</w:t>
      </w:r>
    </w:p>
    <w:p w14:paraId="70E62233">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9.2供应商除必须具有履行合同所需提供的货物以及服务的能力外，还必须具备相应的财务、技术方面的能力。</w:t>
      </w:r>
    </w:p>
    <w:p w14:paraId="38A5E597">
      <w:pPr>
        <w:pStyle w:val="5"/>
        <w:spacing w:before="0" w:after="0" w:line="348" w:lineRule="auto"/>
        <w:rPr>
          <w:rFonts w:ascii="宋体" w:hAnsi="宋体" w:cs="宋体"/>
          <w:color w:val="auto"/>
          <w:sz w:val="24"/>
          <w:szCs w:val="24"/>
          <w:highlight w:val="none"/>
        </w:rPr>
      </w:pPr>
      <w:bookmarkStart w:id="39" w:name="_Toc31308"/>
      <w:bookmarkStart w:id="40" w:name="_Toc16750"/>
      <w:r>
        <w:rPr>
          <w:rFonts w:hint="eastAsia" w:ascii="宋体" w:hAnsi="宋体" w:cs="宋体"/>
          <w:color w:val="auto"/>
          <w:sz w:val="24"/>
          <w:szCs w:val="24"/>
          <w:highlight w:val="none"/>
        </w:rPr>
        <w:t>10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协商有效期</w:t>
      </w:r>
      <w:bookmarkEnd w:id="39"/>
      <w:bookmarkEnd w:id="40"/>
    </w:p>
    <w:p w14:paraId="0394C0C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10.1协商有效期为本文件规定的协商之时后玖拾（90）天。协商有效期比规定短的将被视为非响应性谈判而予以拒绝。</w:t>
      </w:r>
    </w:p>
    <w:p w14:paraId="7B4AE856">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10.2在特殊情况下，代理机构于原协商有效期满之前，可向供应商提出延长协商有效期的要求。这种要求与答复均应采用书面形式（如信件、传真或电报等）。</w:t>
      </w:r>
    </w:p>
    <w:p w14:paraId="42A6C471">
      <w:pPr>
        <w:pStyle w:val="5"/>
        <w:spacing w:before="0" w:after="0" w:line="348" w:lineRule="auto"/>
        <w:rPr>
          <w:rFonts w:ascii="宋体" w:hAnsi="宋体" w:cs="宋体"/>
          <w:color w:val="auto"/>
          <w:sz w:val="24"/>
          <w:szCs w:val="24"/>
          <w:highlight w:val="none"/>
        </w:rPr>
      </w:pPr>
      <w:bookmarkStart w:id="41" w:name="_Toc23954"/>
      <w:bookmarkStart w:id="42" w:name="_Toc31615"/>
      <w:r>
        <w:rPr>
          <w:rFonts w:hint="eastAsia" w:ascii="宋体" w:hAnsi="宋体" w:cs="宋体"/>
          <w:color w:val="auto"/>
          <w:sz w:val="24"/>
          <w:szCs w:val="24"/>
          <w:highlight w:val="none"/>
        </w:rPr>
        <w:t>11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协商响应文件签署</w:t>
      </w:r>
      <w:bookmarkEnd w:id="41"/>
      <w:bookmarkEnd w:id="42"/>
    </w:p>
    <w:p w14:paraId="1A067DD1">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11.1授权代表系非企业法定代表人的须将法定代表人以书面形式出具的“法定代表人授权书”附在协商响应文件中。</w:t>
      </w:r>
    </w:p>
    <w:p w14:paraId="43564D44">
      <w:pPr>
        <w:spacing w:line="348"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szCs w:val="24"/>
          <w:highlight w:val="none"/>
        </w:rPr>
        <w:t>11.2协审</w:t>
      </w:r>
      <w:r>
        <w:rPr>
          <w:rFonts w:hint="eastAsia" w:ascii="宋体" w:hAnsi="宋体" w:cs="宋体"/>
          <w:b/>
          <w:bCs/>
          <w:color w:val="auto"/>
          <w:sz w:val="24"/>
          <w:highlight w:val="none"/>
        </w:rPr>
        <w:t>响应文件正本应用不褪色的墨水书写或打印并加盖公章，不得为打印件，副本可由正本复印制成。协商响应文件的任何一页都不应涂改，不应有行间插字或删除。如果出现上述情况，不论何种原因造成，均应由授权委托人或者法定代表人在改动处签名和加盖公章。</w:t>
      </w:r>
    </w:p>
    <w:p w14:paraId="3B43208D">
      <w:pPr>
        <w:pStyle w:val="5"/>
        <w:spacing w:before="0" w:after="0" w:line="348" w:lineRule="auto"/>
        <w:rPr>
          <w:rFonts w:ascii="宋体" w:hAnsi="宋体" w:cs="宋体"/>
          <w:color w:val="auto"/>
          <w:sz w:val="24"/>
          <w:szCs w:val="24"/>
          <w:highlight w:val="none"/>
        </w:rPr>
      </w:pPr>
      <w:bookmarkStart w:id="43" w:name="_Toc10812"/>
      <w:bookmarkStart w:id="44" w:name="_Toc32706"/>
      <w:r>
        <w:rPr>
          <w:rFonts w:hint="eastAsia" w:ascii="宋体" w:hAnsi="宋体" w:cs="宋体"/>
          <w:color w:val="auto"/>
          <w:sz w:val="24"/>
          <w:szCs w:val="24"/>
          <w:highlight w:val="none"/>
        </w:rPr>
        <w:t>12</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协商响应文件的密封和标记</w:t>
      </w:r>
      <w:bookmarkEnd w:id="43"/>
      <w:bookmarkEnd w:id="44"/>
    </w:p>
    <w:p w14:paraId="288673F8">
      <w:pPr>
        <w:tabs>
          <w:tab w:val="left" w:pos="1213"/>
        </w:tabs>
        <w:adjustRightInd w:val="0"/>
        <w:spacing w:line="348" w:lineRule="auto"/>
        <w:rPr>
          <w:rFonts w:ascii="宋体" w:hAnsi="宋体" w:cs="宋体"/>
          <w:b/>
          <w:bCs/>
          <w:color w:val="auto"/>
          <w:sz w:val="24"/>
          <w:highlight w:val="none"/>
        </w:rPr>
      </w:pPr>
      <w:r>
        <w:rPr>
          <w:rFonts w:hint="eastAsia" w:ascii="宋体" w:hAnsi="宋体" w:cs="宋体"/>
          <w:b/>
          <w:bCs/>
          <w:color w:val="auto"/>
          <w:sz w:val="24"/>
          <w:highlight w:val="none"/>
        </w:rPr>
        <w:t xml:space="preserve">    12.1</w:t>
      </w:r>
      <w:r>
        <w:rPr>
          <w:rFonts w:hint="eastAsia" w:ascii="宋体" w:hAnsi="宋体" w:cs="宋体"/>
          <w:b/>
          <w:bCs/>
          <w:color w:val="auto"/>
          <w:sz w:val="24"/>
          <w:szCs w:val="24"/>
          <w:highlight w:val="none"/>
        </w:rPr>
        <w:t>协商响应文件</w:t>
      </w:r>
      <w:r>
        <w:rPr>
          <w:rFonts w:hint="eastAsia" w:ascii="宋体" w:hAnsi="宋体" w:cs="宋体"/>
          <w:b/>
          <w:bCs/>
          <w:color w:val="auto"/>
          <w:sz w:val="24"/>
          <w:highlight w:val="none"/>
        </w:rPr>
        <w:t>的正本与副本应分别装订成册；</w:t>
      </w:r>
      <w:r>
        <w:rPr>
          <w:rFonts w:hint="eastAsia" w:ascii="宋体" w:hAnsi="宋体" w:cs="宋体"/>
          <w:b/>
          <w:bCs/>
          <w:color w:val="auto"/>
          <w:sz w:val="24"/>
          <w:szCs w:val="24"/>
          <w:highlight w:val="none"/>
        </w:rPr>
        <w:t>协商响应文件</w:t>
      </w:r>
      <w:r>
        <w:rPr>
          <w:rFonts w:hint="eastAsia" w:ascii="宋体" w:hAnsi="宋体" w:cs="宋体"/>
          <w:b/>
          <w:bCs/>
          <w:color w:val="auto"/>
          <w:sz w:val="24"/>
          <w:highlight w:val="none"/>
        </w:rPr>
        <w:t>应编制目录，并且逐页标注连续页码，否则，对由于</w:t>
      </w:r>
      <w:r>
        <w:rPr>
          <w:rFonts w:hint="eastAsia" w:ascii="宋体" w:hAnsi="宋体" w:cs="宋体"/>
          <w:b/>
          <w:bCs/>
          <w:color w:val="auto"/>
          <w:sz w:val="24"/>
          <w:szCs w:val="24"/>
          <w:highlight w:val="none"/>
        </w:rPr>
        <w:t>协商响应文件</w:t>
      </w:r>
      <w:r>
        <w:rPr>
          <w:rFonts w:hint="eastAsia" w:ascii="宋体" w:hAnsi="宋体" w:cs="宋体"/>
          <w:b/>
          <w:bCs/>
          <w:color w:val="auto"/>
          <w:sz w:val="24"/>
          <w:highlight w:val="none"/>
        </w:rPr>
        <w:t>装订松散而造成的丢失或其它后果由供应商自行承担。</w:t>
      </w:r>
      <w:r>
        <w:rPr>
          <w:rFonts w:hint="eastAsia" w:ascii="宋体" w:hAnsi="宋体" w:cs="宋体"/>
          <w:b/>
          <w:bCs/>
          <w:color w:val="auto"/>
          <w:sz w:val="24"/>
          <w:szCs w:val="24"/>
          <w:highlight w:val="none"/>
        </w:rPr>
        <w:t>协商响应文件</w:t>
      </w:r>
      <w:r>
        <w:rPr>
          <w:rFonts w:hint="eastAsia" w:ascii="宋体" w:hAnsi="宋体" w:cs="宋体"/>
          <w:b/>
          <w:bCs/>
          <w:color w:val="auto"/>
          <w:sz w:val="24"/>
          <w:highlight w:val="none"/>
        </w:rPr>
        <w:t>必须使用胶装或其他不可替换内容页的方式装订，本项目不接受活页夹装订的协商响应文件，否则将按无效投标处理。</w:t>
      </w:r>
    </w:p>
    <w:p w14:paraId="4856567D">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12.2协商响应文件使用“正本”袋、“副本”袋和“电子版”袋封装，正本装入“正本”袋中并密封，副本装入“副本”袋中并密封，电子版装入“电子版”袋中并密封（每袋须分别注明是 “正本”、“副本”、“电子版”）。</w:t>
      </w:r>
    </w:p>
    <w:p w14:paraId="6932F244">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12.3密封要求：密封完好，在封口处贴上密封封面（格式详见响应文件格式），并按要求盖章。</w:t>
      </w:r>
    </w:p>
    <w:p w14:paraId="0B014802">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12.4未密封的协商响应文件按无效投标处理，协商响应文件全部内容应密封提交。</w:t>
      </w:r>
    </w:p>
    <w:p w14:paraId="631AC317">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12.5如果因密封不严、标记不明而造成过早启封、失密等情况，采购人概不负责。</w:t>
      </w:r>
    </w:p>
    <w:p w14:paraId="6CE62C74">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12.6不论协商成交与否，协商响应文件均不退回。</w:t>
      </w:r>
    </w:p>
    <w:p w14:paraId="5E47916C">
      <w:pPr>
        <w:pStyle w:val="5"/>
        <w:spacing w:before="0" w:after="0" w:line="348" w:lineRule="auto"/>
        <w:rPr>
          <w:rFonts w:ascii="宋体" w:hAnsi="宋体" w:cs="宋体"/>
          <w:color w:val="auto"/>
          <w:sz w:val="24"/>
          <w:szCs w:val="24"/>
          <w:highlight w:val="none"/>
        </w:rPr>
      </w:pPr>
      <w:bookmarkStart w:id="45" w:name="_Toc15235"/>
      <w:bookmarkStart w:id="46" w:name="_Toc26041"/>
      <w:r>
        <w:rPr>
          <w:rFonts w:hint="eastAsia" w:ascii="宋体" w:hAnsi="宋体" w:cs="宋体"/>
          <w:color w:val="auto"/>
          <w:sz w:val="24"/>
          <w:szCs w:val="24"/>
          <w:highlight w:val="none"/>
        </w:rPr>
        <w:t>13</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谈判协商</w:t>
      </w:r>
      <w:bookmarkEnd w:id="45"/>
      <w:bookmarkEnd w:id="46"/>
    </w:p>
    <w:p w14:paraId="4AA4ABE0">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13.1代理机构将在单一来源采购邀请中规定的时间和地点组织协商小组与供应商谈判协商采购标的的价格、质量、服务等。供应商应委派携带有效证件的代表准时参加，并且谈判协商期间未经谈判小组同意不得离开谈判现场。</w:t>
      </w:r>
    </w:p>
    <w:p w14:paraId="5E3A6D5D">
      <w:pPr>
        <w:pStyle w:val="5"/>
        <w:spacing w:before="0" w:after="0" w:line="348" w:lineRule="auto"/>
        <w:rPr>
          <w:rFonts w:ascii="宋体" w:hAnsi="宋体" w:cs="宋体"/>
          <w:color w:val="auto"/>
          <w:sz w:val="24"/>
          <w:szCs w:val="24"/>
          <w:highlight w:val="none"/>
        </w:rPr>
      </w:pPr>
      <w:bookmarkStart w:id="47" w:name="_Toc5"/>
      <w:bookmarkStart w:id="48" w:name="_Toc20178"/>
      <w:r>
        <w:rPr>
          <w:rFonts w:hint="eastAsia" w:ascii="宋体" w:hAnsi="宋体" w:cs="宋体"/>
          <w:color w:val="auto"/>
          <w:sz w:val="24"/>
          <w:szCs w:val="24"/>
          <w:highlight w:val="none"/>
        </w:rPr>
        <w:t>14</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协商小组</w:t>
      </w:r>
      <w:bookmarkEnd w:id="47"/>
      <w:bookmarkEnd w:id="48"/>
    </w:p>
    <w:p w14:paraId="685D6115">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14.1协商小组由采购人、采购代理机构按照政府采购有关规定，组织具有相关经验的专业人员构成。</w:t>
      </w:r>
    </w:p>
    <w:p w14:paraId="625035D6">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14.2协商小组应当按照客观、公正、审慎的原则评审供应商的协商响应文件及与供应商谈判协商采购标的的价格服务等。</w:t>
      </w:r>
    </w:p>
    <w:p w14:paraId="3A05758C">
      <w:pPr>
        <w:pStyle w:val="5"/>
        <w:spacing w:before="0" w:after="0" w:line="348" w:lineRule="auto"/>
        <w:rPr>
          <w:rFonts w:ascii="宋体" w:hAnsi="宋体" w:cs="宋体"/>
          <w:color w:val="auto"/>
          <w:sz w:val="24"/>
          <w:szCs w:val="24"/>
          <w:highlight w:val="none"/>
        </w:rPr>
      </w:pPr>
      <w:bookmarkStart w:id="49" w:name="_Toc30543"/>
      <w:bookmarkStart w:id="50" w:name="_Toc8355"/>
      <w:r>
        <w:rPr>
          <w:rFonts w:hint="eastAsia" w:ascii="宋体" w:hAnsi="宋体" w:cs="宋体"/>
          <w:color w:val="auto"/>
          <w:sz w:val="24"/>
          <w:szCs w:val="24"/>
          <w:highlight w:val="none"/>
        </w:rPr>
        <w:t>15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谈判协商过程的保密与公正</w:t>
      </w:r>
      <w:bookmarkEnd w:id="49"/>
      <w:bookmarkEnd w:id="50"/>
    </w:p>
    <w:p w14:paraId="2F0AFA78">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15.1协商小组、采购人和代理机构工作人员、相关监督人员等与评审工作有关的人员， 对评审、协商协商情况以及在评审、谈判协商过程中获悉的国家秘密、商业秘密负有保密责任。</w:t>
      </w:r>
    </w:p>
    <w:p w14:paraId="14E0CD01">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15.2在谈判协商过程中，如果供应商试图向代理机构和参与谈判协商的人员施加任何影响，都将会导致其协商响应文件被拒绝。</w:t>
      </w:r>
    </w:p>
    <w:p w14:paraId="5481555B">
      <w:pPr>
        <w:pStyle w:val="5"/>
        <w:spacing w:before="0" w:after="0" w:line="348" w:lineRule="auto"/>
        <w:rPr>
          <w:rFonts w:ascii="宋体" w:hAnsi="宋体" w:cs="宋体"/>
          <w:color w:val="auto"/>
          <w:sz w:val="24"/>
          <w:szCs w:val="24"/>
          <w:highlight w:val="none"/>
        </w:rPr>
      </w:pPr>
      <w:bookmarkStart w:id="51" w:name="_Toc10666"/>
      <w:bookmarkStart w:id="52" w:name="_Toc31122"/>
      <w:r>
        <w:rPr>
          <w:rFonts w:hint="eastAsia" w:ascii="宋体" w:hAnsi="宋体" w:cs="宋体"/>
          <w:color w:val="auto"/>
          <w:sz w:val="24"/>
          <w:szCs w:val="24"/>
          <w:highlight w:val="none"/>
        </w:rPr>
        <w:t>16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评审过程的澄清</w:t>
      </w:r>
      <w:bookmarkEnd w:id="51"/>
      <w:bookmarkEnd w:id="52"/>
    </w:p>
    <w:p w14:paraId="5FAD676D">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16.1协商响应文件评审期间，为有助于对协商响应文件的审查、评价和比较，协商小组有权要求供应商对其协商响应文件进行澄清。</w:t>
      </w:r>
    </w:p>
    <w:p w14:paraId="4E8A77F2">
      <w:pPr>
        <w:pStyle w:val="5"/>
        <w:spacing w:before="0" w:after="0" w:line="348" w:lineRule="auto"/>
        <w:rPr>
          <w:rFonts w:ascii="宋体" w:hAnsi="宋体" w:cs="宋体"/>
          <w:color w:val="auto"/>
          <w:sz w:val="24"/>
          <w:szCs w:val="24"/>
          <w:highlight w:val="none"/>
        </w:rPr>
      </w:pPr>
      <w:bookmarkStart w:id="53" w:name="_Toc28183"/>
      <w:bookmarkStart w:id="54" w:name="_Toc19024"/>
      <w:r>
        <w:rPr>
          <w:rFonts w:hint="eastAsia" w:ascii="宋体" w:hAnsi="宋体" w:cs="宋体"/>
          <w:color w:val="auto"/>
          <w:sz w:val="24"/>
          <w:szCs w:val="24"/>
          <w:highlight w:val="none"/>
        </w:rPr>
        <w:t>17、对协商响应文件的评审</w:t>
      </w:r>
      <w:bookmarkEnd w:id="53"/>
      <w:bookmarkEnd w:id="54"/>
    </w:p>
    <w:p w14:paraId="4CEB5648">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17.1在正式谈判之前，协商小组将首先审查协商响应文件是否实质性响应了采购文件的要求。实质性响应的协商响应文件应该是与采购文件要求的全部条款、条件和规格相符， 没有重大偏离或保留。</w:t>
      </w:r>
    </w:p>
    <w:p w14:paraId="3AAEE7BD">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所谓重大偏离或保留是指与采购文件规定的实质性要求存在负偏离，或者在实质上与采购文件不一致，而且限制了合同中买方和见证方的权利或供应商的义务，纠正这些偏离或保留将会对其他实质性响应要求的供应商的竞争地位产生不公正的影响。重大偏离的认定需经过协商小组三分二及以上成员的认定。</w:t>
      </w:r>
    </w:p>
    <w:p w14:paraId="13B113A6">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17.2被认定为非响应性的协商响应文件的情形</w:t>
      </w:r>
    </w:p>
    <w:p w14:paraId="492DDBE3">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（1）未按照采购文件规定要求密封、签署、盖章的；</w:t>
      </w:r>
    </w:p>
    <w:p w14:paraId="4176306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（2）供应商在报价时采用选择性报价；</w:t>
      </w:r>
    </w:p>
    <w:p w14:paraId="01370851">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（3）供应商不具备采购文件中规定资格要求的；</w:t>
      </w:r>
    </w:p>
    <w:p w14:paraId="0E7D33F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（4）不符合法律、法规和采购文件中规定的其他实质性要求的</w:t>
      </w:r>
    </w:p>
    <w:p w14:paraId="48785A42">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（5）其他法律、法规及本采购文件规定的属非响应性的协商响应文件的情形。</w:t>
      </w:r>
    </w:p>
    <w:p w14:paraId="4621A859">
      <w:pPr>
        <w:pStyle w:val="5"/>
        <w:spacing w:before="0" w:after="0" w:line="348" w:lineRule="auto"/>
        <w:rPr>
          <w:rFonts w:ascii="宋体" w:hAnsi="宋体" w:cs="宋体"/>
          <w:color w:val="auto"/>
          <w:sz w:val="24"/>
          <w:szCs w:val="24"/>
          <w:highlight w:val="none"/>
        </w:rPr>
      </w:pPr>
      <w:bookmarkStart w:id="55" w:name="_Toc12665"/>
      <w:bookmarkStart w:id="56" w:name="_Toc25011"/>
      <w:r>
        <w:rPr>
          <w:rFonts w:hint="eastAsia" w:ascii="宋体" w:hAnsi="宋体" w:cs="宋体"/>
          <w:color w:val="auto"/>
          <w:sz w:val="24"/>
          <w:szCs w:val="24"/>
          <w:highlight w:val="none"/>
        </w:rPr>
        <w:t>18</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谈判协商及成交原则</w:t>
      </w:r>
      <w:bookmarkEnd w:id="55"/>
      <w:bookmarkEnd w:id="56"/>
    </w:p>
    <w:p w14:paraId="0BB797BB">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18.1谈判协商</w:t>
      </w:r>
    </w:p>
    <w:p w14:paraId="0960DD96">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18.1.1对于提交了实质性响应的协商响应文件的供应商，协商小组将与其就采购标的的价格服务等进行谈判协商。</w:t>
      </w:r>
    </w:p>
    <w:p w14:paraId="4CCCD1C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18.1.2参加协商的供应商应当以书面形式对谈判协商中做出的承诺与澄清进行确认，并在协商小组规定的时间内完成书面报价（最终总报价或可能的中间报价）。谈判承诺及书面报价均须由法定代表人或其授权代表签字确认。</w:t>
      </w:r>
    </w:p>
    <w:p w14:paraId="2E8BE632">
      <w:pPr>
        <w:spacing w:line="348" w:lineRule="auto"/>
        <w:ind w:firstLine="560"/>
        <w:rPr>
          <w:rFonts w:ascii="宋体" w:hAnsi="宋体" w:cs="宋体"/>
          <w:b/>
          <w:bCs/>
          <w:color w:val="auto"/>
          <w:sz w:val="24"/>
          <w:szCs w:val="24"/>
          <w:highlight w:val="none"/>
        </w:rPr>
      </w:pPr>
      <w:r>
        <w:rPr>
          <w:rFonts w:hint="eastAsia" w:ascii="宋体" w:hAnsi="宋体" w:cs="宋体"/>
          <w:color w:val="auto"/>
          <w:sz w:val="24"/>
          <w:szCs w:val="24"/>
          <w:highlight w:val="none"/>
        </w:rPr>
        <w:t>18.1.3</w:t>
      </w:r>
      <w:r>
        <w:rPr>
          <w:rFonts w:hint="eastAsia" w:ascii="宋体" w:hAnsi="宋体" w:cs="宋体"/>
          <w:b/>
          <w:bCs/>
          <w:color w:val="auto"/>
          <w:sz w:val="24"/>
          <w:szCs w:val="24"/>
          <w:highlight w:val="none"/>
        </w:rPr>
        <w:t>供应商最终总报价在响应产品数量没有增加，配置、服务没有重大提高的情况下， 一般不允许高于第一次报价（即协商响应文件首次报价与分项报价表中的报价）。否则， 协商小组有权拒绝该谈判报价并不再给予报价补救机会。</w:t>
      </w:r>
    </w:p>
    <w:p w14:paraId="53309039">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18.2谈判协商成交原则</w:t>
      </w:r>
    </w:p>
    <w:p w14:paraId="7222E5FC">
      <w:pPr>
        <w:spacing w:line="348" w:lineRule="auto"/>
        <w:ind w:firstLine="560"/>
        <w:rPr>
          <w:rFonts w:ascii="宋体" w:hAnsi="宋体" w:cs="宋体"/>
          <w:b/>
          <w:bCs/>
          <w:color w:val="auto"/>
          <w:sz w:val="24"/>
          <w:szCs w:val="24"/>
          <w:highlight w:val="none"/>
        </w:rPr>
      </w:pPr>
      <w:r>
        <w:rPr>
          <w:rFonts w:hint="eastAsia" w:ascii="宋体" w:hAnsi="宋体" w:cs="宋体"/>
          <w:b/>
          <w:bCs/>
          <w:color w:val="auto"/>
          <w:sz w:val="24"/>
          <w:szCs w:val="24"/>
          <w:highlight w:val="none"/>
        </w:rPr>
        <w:t>18.2.1协商小组根据政府采购相关法律、规章的规定，在供应商的协商响应能保证采购项目质量且最终报价合理的基础上确定其为成交供应商。</w:t>
      </w:r>
    </w:p>
    <w:p w14:paraId="2A02C585">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18.2.2协商终止情形处理</w:t>
      </w:r>
    </w:p>
    <w:p w14:paraId="1D255825">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出现下列情形之一的，代理机构将终止采购活动，发布项目终止公告并说明原因，重新开展采购活动：</w:t>
      </w:r>
    </w:p>
    <w:p w14:paraId="53594947">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（一）因情况变化，不再符合规定的单一来源采购方式适用情形的；</w:t>
      </w:r>
    </w:p>
    <w:p w14:paraId="462EC354">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（二）出现影响采购公正的违法、违规行为的；</w:t>
      </w:r>
    </w:p>
    <w:p w14:paraId="4ED7833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（三）至协商小组规定的协商截止时间，供应商报价超过采购预算的；</w:t>
      </w:r>
    </w:p>
    <w:p w14:paraId="02F466F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（四）至协商小组规定的协商截止时间，供应商的最终报价、技术方案、服务承诺、商务条款等不能满足采购人或协商小组的要求；</w:t>
      </w:r>
    </w:p>
    <w:p w14:paraId="5A5A4BDC">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（五）法律、法规、规章规定的其他应当终止的情形。</w:t>
      </w:r>
    </w:p>
    <w:p w14:paraId="0C954435">
      <w:pPr>
        <w:pStyle w:val="5"/>
        <w:spacing w:before="0" w:after="0" w:line="348" w:lineRule="auto"/>
        <w:rPr>
          <w:rFonts w:ascii="宋体" w:hAnsi="宋体" w:cs="宋体"/>
          <w:color w:val="auto"/>
          <w:sz w:val="24"/>
          <w:szCs w:val="24"/>
          <w:highlight w:val="none"/>
        </w:rPr>
      </w:pPr>
      <w:bookmarkStart w:id="57" w:name="_Toc26564"/>
      <w:bookmarkStart w:id="58" w:name="_Toc3620"/>
      <w:r>
        <w:rPr>
          <w:rFonts w:hint="eastAsia" w:ascii="宋体" w:hAnsi="宋体" w:cs="宋体"/>
          <w:color w:val="auto"/>
          <w:sz w:val="24"/>
          <w:szCs w:val="24"/>
          <w:highlight w:val="none"/>
        </w:rPr>
        <w:t>19</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确定成交单位</w:t>
      </w:r>
      <w:bookmarkEnd w:id="57"/>
      <w:bookmarkEnd w:id="58"/>
    </w:p>
    <w:p w14:paraId="4DA291A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19.1协商小组根据谈判协商情况编写协商情况记录，确定成交候选人。</w:t>
      </w:r>
    </w:p>
    <w:p w14:paraId="5F4458B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19.2若有充分证据证明，成交人出现下列情况之一的，一经查实，将被取消成交资格：</w:t>
      </w:r>
    </w:p>
    <w:p w14:paraId="2F4A880C">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（1）提供虚假材料谋取成交的；</w:t>
      </w:r>
    </w:p>
    <w:p w14:paraId="4C0E21D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（2）与评审专家、采购人、其他供应商或者代理机构工作人员恶意串通的；</w:t>
      </w:r>
    </w:p>
    <w:p w14:paraId="249FA83C">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（3）向评审专家、采购人或代理机构工作人员行贿或者提供其他不正当利益的；</w:t>
      </w:r>
    </w:p>
    <w:p w14:paraId="16F7F26E">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（4）不满足本采购文件规定的实质性要求，但在评审过程中又未被协商小组发现的；</w:t>
      </w:r>
    </w:p>
    <w:p w14:paraId="2E2CACE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（5）不符合法律、法规的规定的其他情形。</w:t>
      </w:r>
    </w:p>
    <w:p w14:paraId="4FC96A4A">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供应商被取消成交资格后，代理机构有权重新组织采购。</w:t>
      </w:r>
    </w:p>
    <w:p w14:paraId="7B4DAF34">
      <w:pPr>
        <w:pStyle w:val="5"/>
        <w:spacing w:before="0" w:after="0" w:line="348" w:lineRule="auto"/>
        <w:rPr>
          <w:rFonts w:ascii="宋体" w:hAnsi="宋体" w:cs="宋体"/>
          <w:color w:val="auto"/>
          <w:sz w:val="24"/>
          <w:szCs w:val="24"/>
          <w:highlight w:val="none"/>
        </w:rPr>
      </w:pPr>
      <w:bookmarkStart w:id="59" w:name="_Toc497401692"/>
      <w:bookmarkStart w:id="60" w:name="_Toc447724741"/>
      <w:bookmarkStart w:id="61" w:name="_Toc27710"/>
      <w:bookmarkStart w:id="62" w:name="_Toc17079"/>
      <w:bookmarkStart w:id="63" w:name="_Toc27070"/>
      <w:bookmarkStart w:id="64" w:name="_Toc13090"/>
      <w:r>
        <w:rPr>
          <w:rFonts w:hint="eastAsia" w:ascii="宋体" w:hAnsi="宋体" w:cs="宋体"/>
          <w:color w:val="auto"/>
          <w:sz w:val="24"/>
          <w:szCs w:val="24"/>
          <w:highlight w:val="none"/>
        </w:rPr>
        <w:t>20</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中标、成交通知书</w:t>
      </w:r>
      <w:bookmarkEnd w:id="59"/>
      <w:bookmarkEnd w:id="60"/>
      <w:bookmarkEnd w:id="61"/>
      <w:bookmarkEnd w:id="62"/>
      <w:bookmarkEnd w:id="63"/>
      <w:bookmarkEnd w:id="64"/>
    </w:p>
    <w:p w14:paraId="1CBDCDC5">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20.1 确定中标、成交供应商后,代理机构应将采购结果通知响应供应商，并向中标、成交供应商发出中标通知书。</w:t>
      </w:r>
    </w:p>
    <w:p w14:paraId="552B5A2B">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20.2 中标、成交通知书是合同的组成部分。</w:t>
      </w:r>
    </w:p>
    <w:p w14:paraId="4990FCA4">
      <w:pPr>
        <w:pStyle w:val="5"/>
        <w:spacing w:before="0" w:after="0" w:line="348" w:lineRule="auto"/>
        <w:rPr>
          <w:rFonts w:ascii="宋体" w:hAnsi="宋体" w:cs="宋体"/>
          <w:color w:val="auto"/>
          <w:sz w:val="24"/>
          <w:szCs w:val="24"/>
          <w:highlight w:val="none"/>
        </w:rPr>
      </w:pPr>
      <w:bookmarkStart w:id="65" w:name="_Toc447724742"/>
      <w:bookmarkStart w:id="66" w:name="_Toc32432"/>
      <w:bookmarkStart w:id="67" w:name="_Toc11957"/>
      <w:bookmarkStart w:id="68" w:name="_Toc497401693"/>
      <w:bookmarkStart w:id="69" w:name="_Toc571"/>
      <w:bookmarkStart w:id="70" w:name="_Toc23575"/>
      <w:r>
        <w:rPr>
          <w:rFonts w:hint="eastAsia" w:ascii="宋体" w:hAnsi="宋体" w:cs="宋体"/>
          <w:color w:val="auto"/>
          <w:sz w:val="24"/>
          <w:szCs w:val="24"/>
          <w:highlight w:val="none"/>
        </w:rPr>
        <w:t>21</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签订合同</w:t>
      </w:r>
      <w:bookmarkEnd w:id="65"/>
      <w:bookmarkEnd w:id="66"/>
      <w:bookmarkEnd w:id="67"/>
      <w:bookmarkEnd w:id="68"/>
      <w:bookmarkEnd w:id="69"/>
      <w:bookmarkEnd w:id="70"/>
    </w:p>
    <w:p w14:paraId="459A02B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21.1 中标、成交供应商应当在中标、成交通知书发出之日起7个工作日内，凭《中标通知书》原件与项目归口管理部门或采购人签订服务合同。中标人不得以任何理由拖延、拒签合同；中标单位拒不签订合同的，将其列入南京信息工程大学供应商失信名单，拒绝其3年内直接或间接参加南京信息工程大学采购活动。</w:t>
      </w:r>
    </w:p>
    <w:p w14:paraId="53BE8E29">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21.2 采购文件、中标、成交供应商的响应文件及评审过程中有关澄清文件均应作为合同附件。</w:t>
      </w:r>
    </w:p>
    <w:p w14:paraId="5739BE44">
      <w:pPr>
        <w:spacing w:line="348" w:lineRule="auto"/>
        <w:ind w:firstLine="560"/>
        <w:rPr>
          <w:rFonts w:ascii="宋体" w:hAnsi="宋体" w:cs="宋体"/>
          <w:color w:val="auto"/>
          <w:sz w:val="24"/>
          <w:szCs w:val="24"/>
          <w:highlight w:val="none"/>
        </w:rPr>
      </w:pPr>
      <w:r>
        <w:rPr>
          <w:rFonts w:hint="eastAsia" w:ascii="宋体" w:hAnsi="宋体" w:cs="宋体"/>
          <w:color w:val="auto"/>
          <w:sz w:val="24"/>
          <w:szCs w:val="24"/>
          <w:highlight w:val="none"/>
        </w:rPr>
        <w:t>21.3  签订合同后，成交、中标人不得将货物及其他相关服务进行转包。未经采购人同意，成交、中标人也不得采用分包的形式履行合同，否则采购人有权终止合同。转包或分包造成采购人损失的，成交、中标人应承担相应赔偿责任。</w:t>
      </w:r>
    </w:p>
    <w:bookmarkEnd w:id="16"/>
    <w:bookmarkEnd w:id="17"/>
    <w:bookmarkEnd w:id="18"/>
    <w:bookmarkEnd w:id="19"/>
    <w:p w14:paraId="3BAD79E3">
      <w:pPr>
        <w:rPr>
          <w:rFonts w:ascii="宋体" w:hAnsi="宋体" w:cs="宋体"/>
          <w:color w:val="auto"/>
          <w:sz w:val="32"/>
          <w:szCs w:val="32"/>
          <w:highlight w:val="none"/>
        </w:rPr>
      </w:pPr>
      <w:bookmarkStart w:id="71" w:name="_Toc26062"/>
      <w:r>
        <w:rPr>
          <w:rFonts w:hint="eastAsia" w:ascii="宋体" w:hAnsi="宋体" w:cs="宋体"/>
          <w:color w:val="auto"/>
          <w:sz w:val="32"/>
          <w:szCs w:val="32"/>
          <w:highlight w:val="none"/>
        </w:rPr>
        <w:br w:type="page"/>
      </w:r>
    </w:p>
    <w:p w14:paraId="4F369240">
      <w:pPr>
        <w:pStyle w:val="4"/>
        <w:spacing w:before="0" w:after="0" w:line="360" w:lineRule="auto"/>
        <w:jc w:val="center"/>
        <w:rPr>
          <w:rStyle w:val="78"/>
          <w:rFonts w:ascii="宋体" w:hAnsi="宋体" w:cs="宋体"/>
          <w:b w:val="0"/>
          <w:bCs w:val="0"/>
          <w:color w:val="auto"/>
          <w:sz w:val="28"/>
          <w:szCs w:val="28"/>
          <w:highlight w:val="none"/>
        </w:rPr>
      </w:pPr>
      <w:bookmarkStart w:id="72" w:name="_Toc19236"/>
      <w:r>
        <w:rPr>
          <w:rFonts w:hint="eastAsia" w:ascii="宋体" w:hAnsi="宋体" w:cs="宋体"/>
          <w:color w:val="auto"/>
          <w:sz w:val="28"/>
          <w:szCs w:val="28"/>
          <w:highlight w:val="none"/>
        </w:rPr>
        <w:t>第三章 合同条款及格式</w:t>
      </w:r>
      <w:bookmarkEnd w:id="71"/>
      <w:bookmarkEnd w:id="72"/>
    </w:p>
    <w:p w14:paraId="477C1AD5">
      <w:pPr>
        <w:adjustRightInd w:val="0"/>
        <w:snapToGrid w:val="0"/>
        <w:spacing w:before="160" w:beforeLines="50" w:after="160" w:afterLines="50" w:line="360" w:lineRule="auto"/>
        <w:jc w:val="center"/>
        <w:rPr>
          <w:rFonts w:ascii="宋体" w:hAnsi="宋体" w:cs="宋体"/>
          <w:b/>
          <w:color w:val="auto"/>
          <w:sz w:val="24"/>
          <w:szCs w:val="24"/>
          <w:highlight w:val="none"/>
        </w:rPr>
      </w:pPr>
      <w:bookmarkStart w:id="73" w:name="_Toc17447"/>
      <w:bookmarkStart w:id="74" w:name="_Toc7726"/>
      <w:r>
        <w:rPr>
          <w:rFonts w:hint="eastAsia" w:ascii="宋体" w:hAnsi="宋体" w:cs="宋体"/>
          <w:b/>
          <w:color w:val="auto"/>
          <w:sz w:val="28"/>
          <w:szCs w:val="28"/>
          <w:highlight w:val="none"/>
        </w:rPr>
        <w:t>采购合同（参考模版）</w:t>
      </w:r>
    </w:p>
    <w:p w14:paraId="24F53945">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 xml:space="preserve">项目名称：                                      </w:t>
      </w:r>
    </w:p>
    <w:p w14:paraId="7691CAD2">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合同编号：</w:t>
      </w:r>
    </w:p>
    <w:p w14:paraId="703E7B33">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u w:val="single"/>
        </w:rPr>
      </w:pPr>
      <w:r>
        <w:rPr>
          <w:rFonts w:hint="eastAsia" w:hAnsi="宋体" w:cs="宋体"/>
          <w:color w:val="auto"/>
          <w:sz w:val="24"/>
          <w:szCs w:val="24"/>
          <w:highlight w:val="none"/>
        </w:rPr>
        <w:t>甲方：（买方）</w:t>
      </w:r>
      <w:r>
        <w:rPr>
          <w:rFonts w:hint="eastAsia" w:hAnsi="宋体" w:cs="宋体"/>
          <w:color w:val="auto"/>
          <w:sz w:val="24"/>
          <w:szCs w:val="24"/>
          <w:highlight w:val="none"/>
          <w:u w:val="single"/>
        </w:rPr>
        <w:t xml:space="preserve">                          </w:t>
      </w:r>
    </w:p>
    <w:p w14:paraId="5071F8DE">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乙方：（卖方）</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4E4FB0C">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Ansi="宋体" w:cs="宋体"/>
          <w:b/>
          <w:color w:val="auto"/>
          <w:sz w:val="24"/>
          <w:szCs w:val="24"/>
          <w:highlight w:val="none"/>
        </w:rPr>
      </w:pPr>
      <w:r>
        <w:rPr>
          <w:rFonts w:hint="eastAsia" w:hAnsi="宋体" w:cs="宋体"/>
          <w:color w:val="auto"/>
          <w:sz w:val="24"/>
          <w:szCs w:val="24"/>
          <w:highlight w:val="none"/>
        </w:rPr>
        <w:t>甲、乙双方根据《中华人民共和国采购法》、《中华人民共和国民法典》等法律法规规定，按照</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项目的单一来源采购结果，签署本合同。</w:t>
      </w:r>
    </w:p>
    <w:p w14:paraId="4F35398F">
      <w:pPr>
        <w:pStyle w:val="16"/>
        <w:keepNext w:val="0"/>
        <w:keepLines w:val="0"/>
        <w:pageBreakBefore w:val="0"/>
        <w:kinsoku/>
        <w:wordWrap/>
        <w:overflowPunct/>
        <w:topLinePunct w:val="0"/>
        <w:autoSpaceDE/>
        <w:autoSpaceDN/>
        <w:bidi w:val="0"/>
        <w:adjustRightInd w:val="0"/>
        <w:snapToGrid w:val="0"/>
        <w:spacing w:line="324" w:lineRule="auto"/>
        <w:ind w:firstLine="482" w:firstLineChars="200"/>
        <w:textAlignment w:val="auto"/>
        <w:rPr>
          <w:rFonts w:hAnsi="宋体" w:cs="宋体"/>
          <w:b/>
          <w:color w:val="auto"/>
          <w:sz w:val="24"/>
          <w:szCs w:val="24"/>
          <w:highlight w:val="none"/>
        </w:rPr>
      </w:pPr>
      <w:r>
        <w:rPr>
          <w:rFonts w:hint="eastAsia" w:hAnsi="宋体" w:cs="宋体"/>
          <w:b/>
          <w:color w:val="auto"/>
          <w:sz w:val="24"/>
          <w:szCs w:val="24"/>
          <w:highlight w:val="none"/>
        </w:rPr>
        <w:t>一、采购标的</w:t>
      </w:r>
    </w:p>
    <w:p w14:paraId="2D494C98">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1.1乙方向甲方提供的服务内容：</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（具体的采购内容、要求、服务质量等详见采购文件、成交供应商的响应文件及采购过程中有关澄清、承诺文件）。</w:t>
      </w:r>
    </w:p>
    <w:p w14:paraId="7847B28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二、合同金额</w:t>
      </w:r>
    </w:p>
    <w:p w14:paraId="4F01F598">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int="default" w:hAnsi="宋体" w:cs="宋体"/>
          <w:b w:val="0"/>
          <w:bCs/>
          <w:color w:val="auto"/>
          <w:sz w:val="24"/>
          <w:szCs w:val="24"/>
          <w:highlight w:val="none"/>
          <w:u w:val="single"/>
          <w:lang w:val="en-US" w:eastAsia="zh-CN"/>
        </w:rPr>
      </w:pPr>
      <w:r>
        <w:rPr>
          <w:rFonts w:hint="eastAsia" w:hAnsi="宋体" w:cs="宋体"/>
          <w:color w:val="auto"/>
          <w:sz w:val="24"/>
          <w:szCs w:val="24"/>
          <w:highlight w:val="none"/>
        </w:rPr>
        <w:t>2.1本合同总价金额为（大写）：</w:t>
      </w:r>
      <w:r>
        <w:rPr>
          <w:rFonts w:hint="eastAsia" w:hAnsi="宋体" w:cs="宋体"/>
          <w:color w:val="auto"/>
          <w:sz w:val="24"/>
          <w:szCs w:val="24"/>
          <w:highlight w:val="none"/>
          <w:u w:val="single"/>
        </w:rPr>
        <w:t xml:space="preserve">       元 </w:t>
      </w:r>
      <w:r>
        <w:rPr>
          <w:rFonts w:hint="eastAsia" w:hAnsi="宋体" w:cs="宋体"/>
          <w:color w:val="auto"/>
          <w:sz w:val="24"/>
          <w:szCs w:val="24"/>
          <w:highlight w:val="none"/>
        </w:rPr>
        <w:t>（小写</w:t>
      </w:r>
      <w:r>
        <w:rPr>
          <w:rFonts w:hint="eastAsia" w:hAnsi="宋体" w:cs="宋体"/>
          <w:color w:val="auto"/>
          <w:sz w:val="24"/>
          <w:szCs w:val="24"/>
          <w:highlight w:val="none"/>
          <w:u w:val="single"/>
        </w:rPr>
        <w:t xml:space="preserve">     元</w:t>
      </w:r>
      <w:r>
        <w:rPr>
          <w:rFonts w:hint="eastAsia" w:hAnsi="宋体" w:cs="宋体"/>
          <w:color w:val="auto"/>
          <w:sz w:val="24"/>
          <w:szCs w:val="24"/>
          <w:highlight w:val="none"/>
        </w:rPr>
        <w:t>）</w:t>
      </w:r>
      <w:r>
        <w:rPr>
          <w:rFonts w:hint="eastAsia" w:hAnsi="宋体" w:cs="宋体"/>
          <w:color w:val="auto"/>
          <w:sz w:val="24"/>
          <w:szCs w:val="24"/>
          <w:highlight w:val="none"/>
          <w:lang w:eastAsia="zh-CN"/>
        </w:rPr>
        <w:t>，</w:t>
      </w:r>
      <w:r>
        <w:rPr>
          <w:rFonts w:hint="eastAsia" w:hAnsi="宋体" w:cs="宋体"/>
          <w:color w:val="auto"/>
          <w:sz w:val="24"/>
          <w:szCs w:val="24"/>
          <w:highlight w:val="none"/>
          <w:lang w:val="en-US" w:eastAsia="zh-CN"/>
        </w:rPr>
        <w:t>其中</w:t>
      </w:r>
      <w:r>
        <w:rPr>
          <w:rFonts w:hint="eastAsia" w:hAnsi="宋体" w:cs="宋体"/>
          <w:color w:val="auto"/>
          <w:sz w:val="24"/>
          <w:szCs w:val="24"/>
          <w:highlight w:val="none"/>
          <w:u w:val="single"/>
          <w:lang w:val="en-US" w:eastAsia="zh-CN"/>
        </w:rPr>
        <w:t xml:space="preserve">     元/年，服务期2年。</w:t>
      </w:r>
    </w:p>
    <w:p w14:paraId="1443DBB6">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int="eastAsia" w:hAnsi="宋体" w:cs="宋体"/>
          <w:color w:val="auto"/>
          <w:sz w:val="24"/>
          <w:szCs w:val="24"/>
          <w:highlight w:val="none"/>
        </w:rPr>
      </w:pPr>
      <w:r>
        <w:rPr>
          <w:rFonts w:hint="eastAsia" w:hAnsi="宋体" w:cs="宋体"/>
          <w:color w:val="auto"/>
          <w:sz w:val="24"/>
          <w:szCs w:val="24"/>
          <w:highlight w:val="none"/>
        </w:rPr>
        <w:t>2.2本合同金额包含项目实施所有费用（包含工资、福利、保险、劳保等人员费用、相关产品费用、专利技术及相关所发生的全部费用）以及利润、税金和政策性文件规定及合同包含的所有风险、责任等各项应有费用，还包括乙方应当提供的伴随服务、售后服务费用。除非因特殊原因并经甲乙双方协商同意，乙方不得再要求追加任何费用。同时，除非合同条款中另有规定，否则乙方所报价格在合同实施期间不因市场变化因素而变动。</w:t>
      </w:r>
    </w:p>
    <w:p w14:paraId="13F8D1EA">
      <w:pPr>
        <w:pStyle w:val="16"/>
        <w:keepNext w:val="0"/>
        <w:keepLines w:val="0"/>
        <w:pageBreakBefore w:val="0"/>
        <w:kinsoku/>
        <w:wordWrap/>
        <w:overflowPunct/>
        <w:topLinePunct w:val="0"/>
        <w:autoSpaceDE/>
        <w:autoSpaceDN/>
        <w:bidi w:val="0"/>
        <w:adjustRightInd w:val="0"/>
        <w:snapToGrid w:val="0"/>
        <w:spacing w:before="120" w:after="120" w:line="324" w:lineRule="auto"/>
        <w:ind w:left="50" w:firstLine="360"/>
        <w:textAlignment w:val="auto"/>
        <w:rPr>
          <w:rFonts w:hAnsi="宋体" w:cs="宋体"/>
          <w:b/>
          <w:color w:val="auto"/>
          <w:sz w:val="24"/>
          <w:szCs w:val="24"/>
          <w:highlight w:val="none"/>
        </w:rPr>
      </w:pPr>
      <w:r>
        <w:rPr>
          <w:rFonts w:hint="eastAsia" w:hAnsi="宋体" w:cs="宋体"/>
          <w:b/>
          <w:color w:val="auto"/>
          <w:sz w:val="24"/>
          <w:szCs w:val="24"/>
          <w:highlight w:val="none"/>
        </w:rPr>
        <w:t>三、知识产权</w:t>
      </w:r>
    </w:p>
    <w:p w14:paraId="01C0265E">
      <w:pPr>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3.1乙方应保证甲方在使用、接受本合同服务或其任何一部分时不受乙方及任何第三方提出侵犯其专利权、版权、商标权和工业设计权等知识产权的起诉。一旦出现侵权起诉，由乙方负全部责任。</w:t>
      </w:r>
    </w:p>
    <w:p w14:paraId="7AF5D4BD">
      <w:pPr>
        <w:pStyle w:val="16"/>
        <w:keepNext w:val="0"/>
        <w:keepLines w:val="0"/>
        <w:pageBreakBefore w:val="0"/>
        <w:kinsoku/>
        <w:wordWrap/>
        <w:overflowPunct/>
        <w:topLinePunct w:val="0"/>
        <w:autoSpaceDE/>
        <w:autoSpaceDN/>
        <w:bidi w:val="0"/>
        <w:adjustRightInd w:val="0"/>
        <w:snapToGrid w:val="0"/>
        <w:spacing w:before="120" w:after="120" w:line="324" w:lineRule="auto"/>
        <w:ind w:firstLine="482" w:firstLineChars="200"/>
        <w:textAlignment w:val="auto"/>
        <w:rPr>
          <w:rFonts w:hAnsi="宋体" w:cs="宋体"/>
          <w:color w:val="auto"/>
          <w:sz w:val="24"/>
          <w:szCs w:val="24"/>
          <w:highlight w:val="none"/>
          <w:u w:val="single"/>
        </w:rPr>
      </w:pPr>
      <w:r>
        <w:rPr>
          <w:rFonts w:hint="eastAsia" w:hAnsi="宋体" w:cs="宋体"/>
          <w:b/>
          <w:color w:val="auto"/>
          <w:sz w:val="24"/>
          <w:szCs w:val="24"/>
          <w:highlight w:val="none"/>
        </w:rPr>
        <w:t>四、产权担保</w:t>
      </w:r>
    </w:p>
    <w:p w14:paraId="528DDCB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firstLineChars="200"/>
        <w:textAlignment w:val="auto"/>
        <w:rPr>
          <w:rFonts w:hAnsi="宋体" w:cs="宋体"/>
          <w:color w:val="auto"/>
          <w:sz w:val="24"/>
          <w:szCs w:val="24"/>
          <w:highlight w:val="none"/>
          <w:u w:val="single"/>
        </w:rPr>
      </w:pPr>
      <w:r>
        <w:rPr>
          <w:rFonts w:hint="eastAsia" w:hAnsi="宋体" w:cs="宋体"/>
          <w:color w:val="auto"/>
          <w:sz w:val="24"/>
          <w:szCs w:val="24"/>
          <w:highlight w:val="none"/>
        </w:rPr>
        <w:t>4.1 乙方保证所交付的服务所有权完全属于乙方且无任何抵押、查封等产权瑕疵。</w:t>
      </w:r>
    </w:p>
    <w:p w14:paraId="73367FD2">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五、履约保证金</w:t>
      </w:r>
    </w:p>
    <w:p w14:paraId="1FE9765E">
      <w:pPr>
        <w:pStyle w:val="16"/>
        <w:keepNext w:val="0"/>
        <w:keepLines w:val="0"/>
        <w:pageBreakBefore w:val="0"/>
        <w:kinsoku/>
        <w:wordWrap/>
        <w:overflowPunct/>
        <w:topLinePunct w:val="0"/>
        <w:autoSpaceDE/>
        <w:autoSpaceDN/>
        <w:bidi w:val="0"/>
        <w:adjustRightInd w:val="0"/>
        <w:snapToGrid w:val="0"/>
        <w:spacing w:before="120" w:after="120" w:line="324" w:lineRule="auto"/>
        <w:ind w:left="2" w:firstLine="480"/>
        <w:textAlignment w:val="auto"/>
        <w:rPr>
          <w:rFonts w:hAnsi="宋体" w:cs="宋体"/>
          <w:color w:val="auto"/>
          <w:sz w:val="24"/>
          <w:szCs w:val="24"/>
          <w:highlight w:val="none"/>
        </w:rPr>
      </w:pPr>
      <w:r>
        <w:rPr>
          <w:rFonts w:hint="eastAsia" w:hAnsi="宋体" w:cs="宋体"/>
          <w:color w:val="auto"/>
          <w:sz w:val="24"/>
          <w:szCs w:val="24"/>
          <w:highlight w:val="none"/>
        </w:rPr>
        <w:t>5.1 乙方在签订本合同之前，按合同总价款（</w:t>
      </w:r>
      <w:r>
        <w:rPr>
          <w:rFonts w:hint="eastAsia" w:hAnsi="宋体" w:cs="宋体"/>
          <w:color w:val="auto"/>
          <w:sz w:val="24"/>
          <w:szCs w:val="24"/>
          <w:highlight w:val="none"/>
          <w:u w:val="single"/>
        </w:rPr>
        <w:t>10</w:t>
      </w:r>
      <w:r>
        <w:rPr>
          <w:rFonts w:hint="eastAsia" w:hAnsi="宋体" w:cs="宋体"/>
          <w:color w:val="auto"/>
          <w:sz w:val="24"/>
          <w:szCs w:val="24"/>
          <w:highlight w:val="none"/>
        </w:rPr>
        <w:t>%）比例向甲方提交履约保证金人民币</w:t>
      </w:r>
    </w:p>
    <w:p w14:paraId="67CB3E28">
      <w:pPr>
        <w:pStyle w:val="16"/>
        <w:keepNext w:val="0"/>
        <w:keepLines w:val="0"/>
        <w:pageBreakBefore w:val="0"/>
        <w:kinsoku/>
        <w:wordWrap/>
        <w:overflowPunct/>
        <w:topLinePunct w:val="0"/>
        <w:autoSpaceDE/>
        <w:autoSpaceDN/>
        <w:bidi w:val="0"/>
        <w:adjustRightInd w:val="0"/>
        <w:snapToGrid w:val="0"/>
        <w:spacing w:before="120" w:after="120" w:line="324" w:lineRule="auto"/>
        <w:ind w:left="2" w:firstLine="480"/>
        <w:textAlignment w:val="auto"/>
        <w:rPr>
          <w:rFonts w:hAnsi="宋体" w:cs="宋体"/>
          <w:color w:val="auto"/>
          <w:sz w:val="24"/>
          <w:szCs w:val="24"/>
          <w:highlight w:val="none"/>
        </w:rPr>
      </w:pPr>
      <w:r>
        <w:rPr>
          <w:rFonts w:hint="eastAsia" w:hAnsi="宋体" w:cs="宋体"/>
          <w:color w:val="auto"/>
          <w:sz w:val="24"/>
          <w:szCs w:val="24"/>
          <w:highlight w:val="none"/>
          <w:u w:val="single"/>
        </w:rPr>
        <w:t xml:space="preserve">     元整</w:t>
      </w:r>
      <w:r>
        <w:rPr>
          <w:rFonts w:hint="eastAsia" w:hAnsi="宋体" w:cs="宋体"/>
          <w:color w:val="auto"/>
          <w:sz w:val="24"/>
          <w:szCs w:val="24"/>
          <w:highlight w:val="none"/>
        </w:rPr>
        <w:t>，项目服务期结束后并无质量问题后无息退还。</w:t>
      </w:r>
    </w:p>
    <w:p w14:paraId="54DDBDA1">
      <w:pPr>
        <w:pStyle w:val="16"/>
        <w:keepNext w:val="0"/>
        <w:keepLines w:val="0"/>
        <w:pageBreakBefore w:val="0"/>
        <w:kinsoku/>
        <w:wordWrap/>
        <w:overflowPunct/>
        <w:topLinePunct w:val="0"/>
        <w:autoSpaceDE/>
        <w:autoSpaceDN/>
        <w:bidi w:val="0"/>
        <w:adjustRightInd w:val="0"/>
        <w:snapToGrid w:val="0"/>
        <w:spacing w:before="120" w:after="120" w:line="324" w:lineRule="auto"/>
        <w:ind w:left="2" w:firstLine="480"/>
        <w:textAlignment w:val="auto"/>
        <w:rPr>
          <w:rFonts w:hAnsi="宋体" w:cs="宋体"/>
          <w:color w:val="auto"/>
          <w:sz w:val="24"/>
          <w:szCs w:val="24"/>
          <w:highlight w:val="none"/>
        </w:rPr>
      </w:pPr>
      <w:r>
        <w:rPr>
          <w:rFonts w:hint="eastAsia" w:hAnsi="宋体" w:cs="宋体"/>
          <w:color w:val="auto"/>
          <w:sz w:val="24"/>
          <w:szCs w:val="24"/>
          <w:highlight w:val="none"/>
        </w:rPr>
        <w:t>5.2乙方在履行合同过程中有违约行为的，甲方有权直接从履约保证金中扣除相应的违约金。</w:t>
      </w:r>
    </w:p>
    <w:p w14:paraId="34EE1DA9">
      <w:pPr>
        <w:pStyle w:val="16"/>
        <w:keepNext w:val="0"/>
        <w:keepLines w:val="0"/>
        <w:pageBreakBefore w:val="0"/>
        <w:kinsoku/>
        <w:wordWrap/>
        <w:overflowPunct/>
        <w:topLinePunct w:val="0"/>
        <w:autoSpaceDE/>
        <w:autoSpaceDN/>
        <w:bidi w:val="0"/>
        <w:adjustRightInd w:val="0"/>
        <w:snapToGrid w:val="0"/>
        <w:spacing w:before="120" w:after="120" w:line="324" w:lineRule="auto"/>
        <w:ind w:left="2" w:firstLine="480"/>
        <w:textAlignment w:val="auto"/>
        <w:rPr>
          <w:rFonts w:hAnsi="宋体" w:cs="宋体"/>
          <w:color w:val="auto"/>
          <w:sz w:val="24"/>
          <w:szCs w:val="24"/>
          <w:highlight w:val="none"/>
        </w:rPr>
      </w:pPr>
      <w:r>
        <w:rPr>
          <w:rFonts w:hint="eastAsia" w:hAnsi="宋体" w:cs="宋体"/>
          <w:color w:val="auto"/>
          <w:sz w:val="24"/>
          <w:szCs w:val="24"/>
          <w:highlight w:val="none"/>
        </w:rPr>
        <w:t>5.3乙方在履行合同过程中有严重违约行为，导致合同被解除的，甲方有权没收全部履约保证金。保证金不足以赔偿甲方遭受的损失的，乙方还应继续承担赔偿责任。</w:t>
      </w:r>
    </w:p>
    <w:p w14:paraId="7011C87B">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六、转包或分包</w:t>
      </w:r>
    </w:p>
    <w:p w14:paraId="3578FB34">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6.1本合同范围的服务，应由乙方直接供应，不得转让他人供应；</w:t>
      </w:r>
    </w:p>
    <w:p w14:paraId="61BB5C69">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6.2 除非得到甲方的书面同意，乙方不得部分分包给他人供应。</w:t>
      </w:r>
    </w:p>
    <w:p w14:paraId="04956382">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6.3如有转让和未经甲方同意的分包行为，甲方有权给予终止合同并追究乙方的违约责任。</w:t>
      </w:r>
    </w:p>
    <w:p w14:paraId="0A5E3137">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default" w:hAnsi="宋体" w:eastAsia="宋体" w:cs="宋体"/>
          <w:b/>
          <w:color w:val="auto"/>
          <w:sz w:val="24"/>
          <w:szCs w:val="24"/>
          <w:highlight w:val="none"/>
          <w:lang w:val="en-US" w:eastAsia="zh-CN"/>
        </w:rPr>
      </w:pPr>
      <w:r>
        <w:rPr>
          <w:rFonts w:hint="eastAsia" w:hAnsi="宋体" w:cs="宋体"/>
          <w:b/>
          <w:color w:val="auto"/>
          <w:sz w:val="24"/>
          <w:szCs w:val="24"/>
          <w:highlight w:val="none"/>
        </w:rPr>
        <w:t>七、</w:t>
      </w:r>
      <w:r>
        <w:rPr>
          <w:rFonts w:hint="eastAsia" w:hAnsi="宋体" w:cs="宋体"/>
          <w:b/>
          <w:color w:val="auto"/>
          <w:sz w:val="24"/>
          <w:szCs w:val="24"/>
          <w:highlight w:val="none"/>
          <w:lang w:val="en-US" w:eastAsia="zh-CN"/>
        </w:rPr>
        <w:t>服务要求</w:t>
      </w:r>
    </w:p>
    <w:p w14:paraId="32C045ED">
      <w:pPr>
        <w:pStyle w:val="16"/>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lang w:val="en-US" w:eastAsia="zh-CN"/>
        </w:rPr>
        <w:t>7.1</w:t>
      </w:r>
      <w:r>
        <w:rPr>
          <w:rFonts w:hint="eastAsia" w:hAnsi="宋体" w:cs="宋体"/>
          <w:b w:val="0"/>
          <w:bCs/>
          <w:color w:val="auto"/>
          <w:sz w:val="24"/>
          <w:szCs w:val="24"/>
          <w:highlight w:val="none"/>
        </w:rPr>
        <w:t xml:space="preserve">服务时间：自项目合同签订之日起服务期 2 年。 </w:t>
      </w:r>
    </w:p>
    <w:p w14:paraId="670C0A04">
      <w:pPr>
        <w:pStyle w:val="16"/>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lang w:val="en-US" w:eastAsia="zh-CN"/>
        </w:rPr>
        <w:t>7.2</w:t>
      </w:r>
      <w:r>
        <w:rPr>
          <w:rFonts w:hint="eastAsia" w:hAnsi="宋体" w:cs="宋体"/>
          <w:b w:val="0"/>
          <w:bCs/>
          <w:color w:val="auto"/>
          <w:sz w:val="24"/>
          <w:szCs w:val="24"/>
          <w:highlight w:val="none"/>
        </w:rPr>
        <w:t xml:space="preserve">服务地点：南京信息工程大学校内指定地点。 </w:t>
      </w:r>
    </w:p>
    <w:p w14:paraId="12E23061">
      <w:pPr>
        <w:pStyle w:val="16"/>
        <w:keepNext w:val="0"/>
        <w:keepLines w:val="0"/>
        <w:pageBreakBefore w:val="0"/>
        <w:widowControl w:val="0"/>
        <w:kinsoku/>
        <w:wordWrap/>
        <w:overflowPunct/>
        <w:topLinePunct w:val="0"/>
        <w:autoSpaceDE/>
        <w:autoSpaceDN/>
        <w:bidi w:val="0"/>
        <w:adjustRightInd w:val="0"/>
        <w:snapToGrid w:val="0"/>
        <w:spacing w:line="324" w:lineRule="auto"/>
        <w:ind w:firstLine="480" w:firstLineChars="20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lang w:val="en-US" w:eastAsia="zh-CN"/>
        </w:rPr>
        <w:t>7.3</w:t>
      </w:r>
      <w:r>
        <w:rPr>
          <w:rFonts w:hint="eastAsia" w:hAnsi="宋体" w:cs="宋体"/>
          <w:b w:val="0"/>
          <w:bCs/>
          <w:color w:val="auto"/>
          <w:sz w:val="24"/>
          <w:szCs w:val="24"/>
          <w:highlight w:val="none"/>
        </w:rPr>
        <w:t>服务期满后，双方可进一步协商续约方案，若双方没有达成续约共识，乙方须保留甲方在使用过程中产生的所有数据，并可允许甲方用户即时访问。</w:t>
      </w:r>
    </w:p>
    <w:p w14:paraId="6A89417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八、合同款支付</w:t>
      </w:r>
    </w:p>
    <w:p w14:paraId="22D2CDF4">
      <w:pPr>
        <w:keepNext w:val="0"/>
        <w:keepLines w:val="0"/>
        <w:pageBreakBefore w:val="0"/>
        <w:kinsoku/>
        <w:wordWrap/>
        <w:overflowPunct/>
        <w:topLinePunct w:val="0"/>
        <w:autoSpaceDE/>
        <w:autoSpaceDN/>
        <w:bidi w:val="0"/>
        <w:spacing w:line="324" w:lineRule="auto"/>
        <w:ind w:firstLine="480" w:firstLineChars="200"/>
        <w:textAlignment w:val="auto"/>
        <w:rPr>
          <w:rFonts w:ascii="宋体" w:hAnsi="宋体" w:cs="宋体"/>
          <w:b w:val="0"/>
          <w:bCs/>
          <w:color w:val="auto"/>
          <w:sz w:val="24"/>
          <w:szCs w:val="24"/>
          <w:highlight w:val="none"/>
        </w:rPr>
      </w:pPr>
      <w:r>
        <w:rPr>
          <w:rFonts w:hint="eastAsia" w:ascii="宋体" w:hAnsi="宋体" w:cs="宋体"/>
          <w:b w:val="0"/>
          <w:bCs/>
          <w:color w:val="auto"/>
          <w:sz w:val="24"/>
          <w:szCs w:val="24"/>
          <w:highlight w:val="none"/>
        </w:rPr>
        <w:t>8.1</w:t>
      </w:r>
      <w:r>
        <w:rPr>
          <w:rFonts w:hint="eastAsia" w:ascii="宋体" w:hAnsi="宋体" w:eastAsia="宋体" w:cs="宋体"/>
          <w:sz w:val="24"/>
          <w:szCs w:val="24"/>
          <w:highlight w:val="none"/>
          <w:u w:val="none"/>
        </w:rPr>
        <w:t>本项目服务期两年。</w:t>
      </w:r>
      <w:r>
        <w:rPr>
          <w:rFonts w:hint="eastAsia" w:ascii="宋体" w:hAnsi="宋体" w:cs="宋体"/>
          <w:sz w:val="24"/>
          <w:szCs w:val="24"/>
          <w:highlight w:val="none"/>
          <w:u w:val="none"/>
        </w:rPr>
        <w:t>合同签订后</w:t>
      </w:r>
      <w:r>
        <w:rPr>
          <w:rFonts w:hint="eastAsia" w:ascii="宋体" w:hAnsi="宋体" w:cs="宋体"/>
          <w:sz w:val="24"/>
          <w:szCs w:val="24"/>
          <w:highlight w:val="none"/>
          <w:u w:val="none"/>
          <w:lang w:val="en-US" w:eastAsia="zh-CN"/>
        </w:rPr>
        <w:t>甲方</w:t>
      </w:r>
      <w:r>
        <w:rPr>
          <w:rFonts w:hint="eastAsia" w:ascii="宋体" w:hAnsi="宋体" w:cs="宋体"/>
          <w:sz w:val="24"/>
          <w:szCs w:val="24"/>
          <w:highlight w:val="none"/>
          <w:u w:val="none"/>
        </w:rPr>
        <w:t>支付合同总价款的30%。项目上线运行并验收通过后，</w:t>
      </w:r>
      <w:r>
        <w:rPr>
          <w:rFonts w:hint="eastAsia" w:ascii="宋体" w:hAnsi="宋体" w:cs="宋体"/>
          <w:sz w:val="24"/>
          <w:szCs w:val="24"/>
          <w:highlight w:val="none"/>
          <w:u w:val="none"/>
          <w:lang w:val="en-US" w:eastAsia="zh-CN"/>
        </w:rPr>
        <w:t>甲方</w:t>
      </w:r>
      <w:r>
        <w:rPr>
          <w:rFonts w:hint="eastAsia" w:ascii="宋体" w:hAnsi="宋体" w:cs="宋体"/>
          <w:sz w:val="24"/>
          <w:szCs w:val="24"/>
          <w:highlight w:val="none"/>
          <w:u w:val="none"/>
        </w:rPr>
        <w:t>向</w:t>
      </w:r>
      <w:r>
        <w:rPr>
          <w:rFonts w:hint="eastAsia" w:ascii="宋体" w:hAnsi="宋体" w:cs="宋体"/>
          <w:sz w:val="24"/>
          <w:szCs w:val="24"/>
          <w:highlight w:val="none"/>
          <w:u w:val="none"/>
          <w:lang w:val="en-US" w:eastAsia="zh-CN"/>
        </w:rPr>
        <w:t>乙方</w:t>
      </w:r>
      <w:r>
        <w:rPr>
          <w:rFonts w:hint="eastAsia" w:ascii="宋体" w:hAnsi="宋体" w:cs="宋体"/>
          <w:sz w:val="24"/>
          <w:szCs w:val="24"/>
          <w:highlight w:val="none"/>
          <w:u w:val="none"/>
        </w:rPr>
        <w:t>支付合同总价款的</w:t>
      </w:r>
      <w:r>
        <w:rPr>
          <w:rFonts w:hint="eastAsia" w:ascii="宋体" w:hAnsi="宋体" w:cs="宋体"/>
          <w:sz w:val="24"/>
          <w:szCs w:val="24"/>
          <w:highlight w:val="none"/>
          <w:u w:val="none"/>
          <w:lang w:val="en-US" w:eastAsia="zh-CN"/>
        </w:rPr>
        <w:t>2</w:t>
      </w:r>
      <w:r>
        <w:rPr>
          <w:rFonts w:hint="eastAsia" w:ascii="宋体" w:hAnsi="宋体" w:cs="宋体"/>
          <w:sz w:val="24"/>
          <w:szCs w:val="24"/>
          <w:highlight w:val="none"/>
          <w:u w:val="none"/>
        </w:rPr>
        <w:t>0%。</w:t>
      </w:r>
      <w:r>
        <w:rPr>
          <w:rFonts w:hint="eastAsia" w:ascii="宋体" w:hAnsi="宋体" w:eastAsia="宋体" w:cs="宋体"/>
          <w:sz w:val="24"/>
          <w:szCs w:val="24"/>
          <w:highlight w:val="none"/>
          <w:u w:val="none"/>
        </w:rPr>
        <w:t>服务期满一年后</w:t>
      </w:r>
      <w:r>
        <w:rPr>
          <w:rFonts w:hint="eastAsia" w:ascii="宋体" w:hAnsi="宋体" w:cs="宋体"/>
          <w:sz w:val="24"/>
          <w:szCs w:val="24"/>
          <w:highlight w:val="none"/>
          <w:u w:val="none"/>
          <w:lang w:val="en-US" w:eastAsia="zh-CN"/>
        </w:rPr>
        <w:t>甲方</w:t>
      </w:r>
      <w:r>
        <w:rPr>
          <w:rFonts w:hint="eastAsia" w:ascii="宋体" w:hAnsi="宋体" w:eastAsia="宋体" w:cs="宋体"/>
          <w:sz w:val="24"/>
          <w:szCs w:val="24"/>
          <w:highlight w:val="none"/>
          <w:u w:val="none"/>
        </w:rPr>
        <w:t xml:space="preserve">支付合同总价款的 </w:t>
      </w: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0%，项目服务期满后</w:t>
      </w:r>
      <w:r>
        <w:rPr>
          <w:rFonts w:hint="eastAsia" w:ascii="宋体" w:hAnsi="宋体" w:cs="宋体"/>
          <w:sz w:val="24"/>
          <w:szCs w:val="24"/>
          <w:highlight w:val="none"/>
          <w:u w:val="none"/>
          <w:lang w:val="en-US" w:eastAsia="zh-CN"/>
        </w:rPr>
        <w:t>甲方</w:t>
      </w:r>
      <w:r>
        <w:rPr>
          <w:rFonts w:hint="eastAsia" w:ascii="宋体" w:hAnsi="宋体" w:eastAsia="宋体" w:cs="宋体"/>
          <w:sz w:val="24"/>
          <w:szCs w:val="24"/>
          <w:highlight w:val="none"/>
          <w:u w:val="none"/>
        </w:rPr>
        <w:t>支付合同总价款的</w:t>
      </w: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0%。合同签订后，</w:t>
      </w:r>
      <w:r>
        <w:rPr>
          <w:rFonts w:hint="eastAsia" w:ascii="宋体" w:hAnsi="宋体" w:cs="宋体"/>
          <w:sz w:val="24"/>
          <w:szCs w:val="24"/>
          <w:highlight w:val="none"/>
          <w:u w:val="none"/>
          <w:lang w:val="en-US" w:eastAsia="zh-CN"/>
        </w:rPr>
        <w:t>乙方</w:t>
      </w:r>
      <w:r>
        <w:rPr>
          <w:rFonts w:hint="eastAsia" w:ascii="宋体" w:hAnsi="宋体" w:eastAsia="宋体" w:cs="宋体"/>
          <w:sz w:val="24"/>
          <w:szCs w:val="24"/>
          <w:highlight w:val="none"/>
          <w:u w:val="none"/>
        </w:rPr>
        <w:t>须向</w:t>
      </w:r>
      <w:r>
        <w:rPr>
          <w:rFonts w:hint="eastAsia" w:ascii="宋体" w:hAnsi="宋体" w:cs="宋体"/>
          <w:sz w:val="24"/>
          <w:szCs w:val="24"/>
          <w:highlight w:val="none"/>
          <w:u w:val="none"/>
          <w:lang w:val="en-US" w:eastAsia="zh-CN"/>
        </w:rPr>
        <w:t>甲方</w:t>
      </w:r>
      <w:r>
        <w:rPr>
          <w:rFonts w:hint="eastAsia" w:ascii="宋体" w:hAnsi="宋体" w:eastAsia="宋体" w:cs="宋体"/>
          <w:sz w:val="24"/>
          <w:szCs w:val="24"/>
          <w:highlight w:val="none"/>
          <w:u w:val="none"/>
          <w:lang w:val="en-US" w:eastAsia="zh-CN"/>
        </w:rPr>
        <w:t>按服务年度提供该年度的</w:t>
      </w:r>
      <w:r>
        <w:rPr>
          <w:rFonts w:hint="eastAsia" w:ascii="宋体" w:hAnsi="宋体" w:eastAsia="宋体" w:cs="宋体"/>
          <w:sz w:val="24"/>
          <w:szCs w:val="24"/>
          <w:highlight w:val="none"/>
          <w:u w:val="none"/>
        </w:rPr>
        <w:t>全额发票。</w:t>
      </w:r>
    </w:p>
    <w:p w14:paraId="21A897BE">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九、税</w:t>
      </w:r>
    </w:p>
    <w:p w14:paraId="608777BC">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rPr>
        <w:t>9.1发票要求：乙方开具合同全额“增值税普通发票”（抬头：南京信息工程大学）。（增值税普通发票开票信息：户名：南京信息工程大学  地址：江苏省南京市浦口区宁六路219号  财务电话：025-58731111 开户行：中国农业银行股份有限公司南京盘城支行 账号：10115401040000228 税号：12320000466006762K）</w:t>
      </w:r>
    </w:p>
    <w:p w14:paraId="595556ED">
      <w:pPr>
        <w:keepNext w:val="0"/>
        <w:keepLines w:val="0"/>
        <w:pageBreakBefore w:val="0"/>
        <w:kinsoku/>
        <w:wordWrap/>
        <w:overflowPunct/>
        <w:topLinePunct w:val="0"/>
        <w:autoSpaceDE/>
        <w:autoSpaceDN/>
        <w:bidi w:val="0"/>
        <w:adjustRightInd w:val="0"/>
        <w:snapToGrid w:val="0"/>
        <w:spacing w:before="160" w:beforeLines="50" w:after="160" w:afterLines="50" w:line="324" w:lineRule="auto"/>
        <w:ind w:firstLine="480"/>
        <w:textAlignment w:val="auto"/>
        <w:rPr>
          <w:rFonts w:ascii="宋体" w:hAnsi="宋体" w:cs="宋体"/>
          <w:color w:val="auto"/>
          <w:sz w:val="24"/>
          <w:szCs w:val="24"/>
          <w:highlight w:val="none"/>
        </w:rPr>
      </w:pPr>
      <w:r>
        <w:rPr>
          <w:rFonts w:hint="eastAsia" w:ascii="宋体" w:hAnsi="宋体" w:cs="宋体"/>
          <w:color w:val="auto"/>
          <w:sz w:val="24"/>
          <w:szCs w:val="24"/>
          <w:highlight w:val="none"/>
        </w:rPr>
        <w:t>9.2本合同执行中相关的一切税费均由乙方负担。</w:t>
      </w:r>
    </w:p>
    <w:p w14:paraId="2526E188">
      <w:pPr>
        <w:keepNext w:val="0"/>
        <w:keepLines w:val="0"/>
        <w:pageBreakBefore w:val="0"/>
        <w:kinsoku/>
        <w:wordWrap/>
        <w:overflowPunct/>
        <w:topLinePunct w:val="0"/>
        <w:autoSpaceDE/>
        <w:autoSpaceDN/>
        <w:bidi w:val="0"/>
        <w:spacing w:after="160" w:afterLines="50" w:line="324" w:lineRule="auto"/>
        <w:ind w:firstLine="482" w:firstLineChars="200"/>
        <w:textAlignment w:val="auto"/>
        <w:rPr>
          <w:rFonts w:ascii="宋体" w:hAnsi="宋体" w:cs="宋体"/>
          <w:b/>
          <w:color w:val="auto"/>
          <w:sz w:val="24"/>
          <w:szCs w:val="24"/>
          <w:highlight w:val="none"/>
        </w:rPr>
      </w:pPr>
      <w:r>
        <w:rPr>
          <w:rFonts w:hint="eastAsia" w:ascii="宋体" w:hAnsi="宋体" w:cs="宋体"/>
          <w:b/>
          <w:color w:val="auto"/>
          <w:sz w:val="24"/>
          <w:szCs w:val="24"/>
          <w:highlight w:val="none"/>
        </w:rPr>
        <w:t>十、权利义务</w:t>
      </w:r>
    </w:p>
    <w:p w14:paraId="7DA66C5B">
      <w:pPr>
        <w:keepNext w:val="0"/>
        <w:keepLines w:val="0"/>
        <w:pageBreakBefore w:val="0"/>
        <w:kinsoku/>
        <w:wordWrap/>
        <w:overflowPunct/>
        <w:topLinePunct w:val="0"/>
        <w:autoSpaceDE/>
        <w:autoSpaceDN/>
        <w:bidi w:val="0"/>
        <w:spacing w:after="160" w:afterLines="50" w:line="324"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12.1甲方应积极协助乙方完成本合同项下义务，包括积极组织验收等，若因甲方未能积极配合导致乙方无法履行或延迟履行本合同项下义务的，乙方不承担违约责任。</w:t>
      </w:r>
    </w:p>
    <w:p w14:paraId="2C704217">
      <w:pPr>
        <w:keepNext w:val="0"/>
        <w:keepLines w:val="0"/>
        <w:pageBreakBefore w:val="0"/>
        <w:kinsoku/>
        <w:wordWrap/>
        <w:overflowPunct/>
        <w:topLinePunct w:val="0"/>
        <w:autoSpaceDE/>
        <w:autoSpaceDN/>
        <w:bidi w:val="0"/>
        <w:spacing w:after="160" w:afterLines="50"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2甲方应依约足额按时支付合同相关款项。</w:t>
      </w:r>
    </w:p>
    <w:p w14:paraId="171D41CC">
      <w:pPr>
        <w:keepNext w:val="0"/>
        <w:keepLines w:val="0"/>
        <w:pageBreakBefore w:val="0"/>
        <w:kinsoku/>
        <w:wordWrap/>
        <w:overflowPunct/>
        <w:topLinePunct w:val="0"/>
        <w:autoSpaceDE/>
        <w:autoSpaceDN/>
        <w:bidi w:val="0"/>
        <w:spacing w:after="160" w:afterLines="50" w:line="324"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3甲方有权在合同范围内，根据其对项目的实际情况向乙方做出反馈，对乙方提供的技术服务提出修改意见，乙方应对甲方的反馈和建议作出积极的回应，如在甲方提出建议或意见3日内，没有得到乙方相应的反馈，则视为乙方认同此建议或意见；在建设周期内，乙方应立即响应甲方的修改方案并推进建设，不得推诿、拖延或敷衍；如甲方提出的服务超出合同范围的，甲方应向乙方另行支付费用。乙方按照甲方提出的修改意见进行修改的时间应包含在乙方服务期限内，乙方不得以此为由延迟交付项目成果。</w:t>
      </w:r>
    </w:p>
    <w:p w14:paraId="41D09D58">
      <w:pPr>
        <w:keepNext w:val="0"/>
        <w:keepLines w:val="0"/>
        <w:pageBreakBefore w:val="0"/>
        <w:shd w:val="clear" w:color="auto" w:fill="FFFFFF"/>
        <w:tabs>
          <w:tab w:val="left" w:pos="7506"/>
        </w:tabs>
        <w:kinsoku/>
        <w:wordWrap/>
        <w:overflowPunct/>
        <w:topLinePunct w:val="0"/>
        <w:autoSpaceDE/>
        <w:autoSpaceDN/>
        <w:bidi w:val="0"/>
        <w:spacing w:line="324" w:lineRule="auto"/>
        <w:ind w:firstLine="480" w:firstLineChars="200"/>
        <w:textAlignment w:val="auto"/>
        <w:rPr>
          <w:rFonts w:ascii="宋体" w:hAnsi="宋体" w:cs="宋体"/>
          <w:sz w:val="24"/>
          <w:szCs w:val="24"/>
          <w:highlight w:val="none"/>
        </w:rPr>
      </w:pPr>
      <w:r>
        <w:rPr>
          <w:rFonts w:hint="eastAsia" w:ascii="宋体" w:hAnsi="宋体" w:cs="宋体"/>
          <w:sz w:val="24"/>
          <w:szCs w:val="24"/>
          <w:highlight w:val="none"/>
          <w:lang w:val="en-US" w:eastAsia="zh-CN"/>
        </w:rPr>
        <w:t>12.4</w:t>
      </w:r>
      <w:r>
        <w:rPr>
          <w:rFonts w:hint="eastAsia" w:ascii="宋体" w:hAnsi="宋体" w:cs="宋体"/>
          <w:sz w:val="24"/>
          <w:szCs w:val="24"/>
          <w:highlight w:val="none"/>
        </w:rPr>
        <w:t>乙方应严格遵守相关法律法规和甲方校内场所的相关安全管理规定，乙方根据甲方的要求，安排工作人员到甲方开展平台建设工作，保证建设项目安全有序开展，乙方如果产生任何人身、财物损失，由乙方自行负责解决并承担责任，给甲方造成损失的，乙方应全面足额赔偿；同样，甲方人员的人身安全和财产安全由甲方自行承担。</w:t>
      </w:r>
    </w:p>
    <w:p w14:paraId="10243592">
      <w:pPr>
        <w:pStyle w:val="125"/>
        <w:keepNext w:val="0"/>
        <w:keepLines w:val="0"/>
        <w:pageBreakBefore w:val="0"/>
        <w:kinsoku/>
        <w:wordWrap/>
        <w:overflowPunct/>
        <w:topLinePunct w:val="0"/>
        <w:autoSpaceDE/>
        <w:autoSpaceDN/>
        <w:bidi w:val="0"/>
        <w:spacing w:line="324" w:lineRule="auto"/>
        <w:ind w:firstLine="480"/>
        <w:textAlignment w:val="auto"/>
        <w:rPr>
          <w:rFonts w:hint="eastAsia" w:eastAsia="宋体"/>
          <w:color w:val="auto"/>
          <w:highlight w:val="none"/>
          <w:lang w:val="en-US" w:eastAsia="zh-CN"/>
        </w:rPr>
      </w:pPr>
      <w:r>
        <w:rPr>
          <w:rFonts w:hint="eastAsia" w:ascii="宋体" w:cs="宋体"/>
          <w:color w:val="auto"/>
          <w:sz w:val="24"/>
          <w:szCs w:val="24"/>
          <w:highlight w:val="none"/>
          <w:lang w:val="en-US" w:eastAsia="zh-CN"/>
        </w:rPr>
        <w:t>12.5</w:t>
      </w:r>
      <w:r>
        <w:rPr>
          <w:rFonts w:hint="eastAsia" w:ascii="宋体" w:hAnsi="宋体" w:cs="宋体"/>
          <w:color w:val="auto"/>
          <w:sz w:val="24"/>
          <w:szCs w:val="24"/>
          <w:highlight w:val="none"/>
          <w:lang w:val="en-US" w:eastAsia="zh-CN"/>
        </w:rPr>
        <w:t>乙方</w:t>
      </w:r>
      <w:r>
        <w:rPr>
          <w:rFonts w:hint="eastAsia" w:ascii="宋体" w:hAnsi="宋体" w:cs="宋体"/>
          <w:color w:val="auto"/>
          <w:sz w:val="24"/>
          <w:szCs w:val="24"/>
          <w:highlight w:val="none"/>
        </w:rPr>
        <w:t>保证合同期内软件正常使用，以及相关技术支持和更新服务</w:t>
      </w:r>
      <w:r>
        <w:rPr>
          <w:rFonts w:hint="eastAsia" w:ascii="宋体" w:hAnsi="宋体" w:cs="宋体"/>
          <w:color w:val="auto"/>
          <w:sz w:val="24"/>
          <w:szCs w:val="24"/>
          <w:highlight w:val="none"/>
          <w:lang w:eastAsia="zh-CN"/>
        </w:rPr>
        <w:t>；</w:t>
      </w:r>
      <w:r>
        <w:rPr>
          <w:rFonts w:hint="eastAsia" w:hAnsi="宋体" w:cs="宋体"/>
          <w:b w:val="0"/>
          <w:bCs/>
          <w:color w:val="auto"/>
          <w:sz w:val="24"/>
          <w:szCs w:val="24"/>
          <w:highlight w:val="none"/>
        </w:rPr>
        <w:t>服务期满后，双方可进一步协商续约方案，若双方没有达成续约共识，乙方须保留甲方在使用过程中产生的所有数据，并可允许甲方用户即时访问。</w:t>
      </w:r>
    </w:p>
    <w:p w14:paraId="0E6F4817">
      <w:pPr>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ascii="宋体" w:hAnsi="宋体" w:cs="宋体"/>
          <w:b/>
          <w:bCs/>
          <w:color w:val="auto"/>
          <w:kern w:val="0"/>
          <w:sz w:val="24"/>
          <w:szCs w:val="24"/>
          <w:highlight w:val="none"/>
        </w:rPr>
      </w:pPr>
      <w:r>
        <w:rPr>
          <w:rFonts w:hint="eastAsia" w:ascii="宋体" w:hAnsi="宋体" w:cs="宋体"/>
          <w:color w:val="auto"/>
          <w:sz w:val="24"/>
          <w:szCs w:val="24"/>
          <w:highlight w:val="none"/>
          <w:lang w:val="en-US" w:eastAsia="zh-CN"/>
        </w:rPr>
        <w:t>12.6</w:t>
      </w:r>
      <w:r>
        <w:rPr>
          <w:rFonts w:hint="eastAsia" w:ascii="宋体" w:hAnsi="宋体" w:cs="宋体"/>
          <w:color w:val="auto"/>
          <w:sz w:val="24"/>
          <w:szCs w:val="24"/>
          <w:highlight w:val="none"/>
        </w:rPr>
        <w:t>乙方</w:t>
      </w:r>
      <w:r>
        <w:rPr>
          <w:rFonts w:ascii="宋体" w:hAnsi="宋体" w:cs="宋体"/>
          <w:color w:val="auto"/>
          <w:sz w:val="24"/>
          <w:szCs w:val="24"/>
          <w:highlight w:val="none"/>
        </w:rPr>
        <w:t>保证所提供的资源符合我国相关法律法规和政策。如果发现有违法或侵权等内容，</w:t>
      </w:r>
      <w:r>
        <w:rPr>
          <w:rFonts w:hint="eastAsia" w:ascii="宋体" w:hAnsi="宋体" w:cs="宋体"/>
          <w:color w:val="auto"/>
          <w:sz w:val="24"/>
          <w:szCs w:val="24"/>
          <w:highlight w:val="none"/>
        </w:rPr>
        <w:t>乙方</w:t>
      </w:r>
      <w:r>
        <w:rPr>
          <w:rFonts w:ascii="宋体" w:hAnsi="宋体" w:cs="宋体"/>
          <w:color w:val="auto"/>
          <w:sz w:val="24"/>
          <w:szCs w:val="24"/>
          <w:highlight w:val="none"/>
        </w:rPr>
        <w:t>应及时把相关内容下架，并告知</w:t>
      </w:r>
      <w:r>
        <w:rPr>
          <w:rFonts w:hint="eastAsia" w:ascii="宋体" w:hAnsi="宋体" w:cs="宋体"/>
          <w:color w:val="auto"/>
          <w:sz w:val="24"/>
          <w:szCs w:val="24"/>
          <w:highlight w:val="none"/>
        </w:rPr>
        <w:t>甲</w:t>
      </w:r>
      <w:r>
        <w:rPr>
          <w:rFonts w:ascii="宋体" w:hAnsi="宋体" w:cs="宋体"/>
          <w:color w:val="auto"/>
          <w:sz w:val="24"/>
          <w:szCs w:val="24"/>
          <w:highlight w:val="none"/>
        </w:rPr>
        <w:t>方。</w:t>
      </w:r>
      <w:r>
        <w:rPr>
          <w:rFonts w:hint="eastAsia" w:ascii="宋体" w:hAnsi="宋体" w:cs="宋体"/>
          <w:color w:val="auto"/>
          <w:sz w:val="24"/>
          <w:szCs w:val="24"/>
          <w:highlight w:val="none"/>
        </w:rPr>
        <w:t>乙方</w:t>
      </w:r>
      <w:r>
        <w:rPr>
          <w:rFonts w:ascii="宋体" w:hAnsi="宋体" w:cs="宋体"/>
          <w:color w:val="auto"/>
          <w:sz w:val="24"/>
          <w:szCs w:val="24"/>
          <w:highlight w:val="none"/>
        </w:rPr>
        <w:t>提供的资源涉及违法或侵权等问题均由</w:t>
      </w:r>
      <w:r>
        <w:rPr>
          <w:rFonts w:hint="eastAsia" w:ascii="宋体" w:hAnsi="宋体" w:cs="宋体"/>
          <w:color w:val="auto"/>
          <w:sz w:val="24"/>
          <w:szCs w:val="24"/>
          <w:highlight w:val="none"/>
        </w:rPr>
        <w:t>乙方</w:t>
      </w:r>
      <w:r>
        <w:rPr>
          <w:rFonts w:ascii="宋体" w:hAnsi="宋体" w:cs="宋体"/>
          <w:color w:val="auto"/>
          <w:sz w:val="24"/>
          <w:szCs w:val="24"/>
          <w:highlight w:val="none"/>
        </w:rPr>
        <w:t>负责解决，并承担相关法律和经济责任，与</w:t>
      </w:r>
      <w:r>
        <w:rPr>
          <w:rFonts w:hint="eastAsia" w:ascii="宋体" w:hAnsi="宋体" w:cs="宋体"/>
          <w:color w:val="auto"/>
          <w:sz w:val="24"/>
          <w:szCs w:val="24"/>
          <w:highlight w:val="none"/>
        </w:rPr>
        <w:t>甲</w:t>
      </w:r>
      <w:r>
        <w:rPr>
          <w:rFonts w:ascii="宋体" w:hAnsi="宋体" w:cs="宋体"/>
          <w:color w:val="auto"/>
          <w:sz w:val="24"/>
          <w:szCs w:val="24"/>
          <w:highlight w:val="none"/>
        </w:rPr>
        <w:t>方无关。</w:t>
      </w:r>
    </w:p>
    <w:p w14:paraId="26468E11">
      <w:pPr>
        <w:keepNext w:val="0"/>
        <w:keepLines w:val="0"/>
        <w:pageBreakBefore w:val="0"/>
        <w:kinsoku/>
        <w:wordWrap/>
        <w:overflowPunct/>
        <w:topLinePunct w:val="0"/>
        <w:autoSpaceDE/>
        <w:autoSpaceDN/>
        <w:bidi w:val="0"/>
        <w:adjustRightInd w:val="0"/>
        <w:snapToGrid w:val="0"/>
        <w:spacing w:line="324" w:lineRule="auto"/>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rPr>
        <w:t>十一、验收</w:t>
      </w:r>
      <w:r>
        <w:rPr>
          <w:rFonts w:hint="eastAsia" w:ascii="宋体" w:hAnsi="宋体" w:cs="宋体"/>
          <w:b/>
          <w:bCs/>
          <w:color w:val="auto"/>
          <w:sz w:val="24"/>
          <w:szCs w:val="24"/>
          <w:highlight w:val="none"/>
          <w:lang w:val="en-US" w:eastAsia="zh-CN"/>
        </w:rPr>
        <w:t>及售后服务</w:t>
      </w:r>
    </w:p>
    <w:p w14:paraId="5CF872ED">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Ansi="宋体" w:cs="宋体"/>
          <w:color w:val="auto"/>
          <w:sz w:val="24"/>
          <w:szCs w:val="24"/>
          <w:highlight w:val="none"/>
        </w:rPr>
      </w:pPr>
      <w:r>
        <w:rPr>
          <w:rFonts w:hint="eastAsia" w:hAnsi="宋体"/>
          <w:color w:val="auto"/>
          <w:sz w:val="24"/>
          <w:szCs w:val="24"/>
          <w:highlight w:val="none"/>
        </w:rPr>
        <w:t>11.1服务期结束后</w:t>
      </w:r>
      <w:r>
        <w:rPr>
          <w:rFonts w:hAnsi="宋体"/>
          <w:color w:val="auto"/>
          <w:sz w:val="24"/>
          <w:szCs w:val="24"/>
          <w:highlight w:val="none"/>
        </w:rPr>
        <w:t>甲方依据采购文件上的项目要求、乙方响应文件承诺及国家有关质量标准进行对乙方提供的服务</w:t>
      </w:r>
      <w:r>
        <w:rPr>
          <w:rFonts w:hAnsi="宋体" w:cs="宋体"/>
          <w:color w:val="auto"/>
          <w:sz w:val="24"/>
          <w:szCs w:val="24"/>
          <w:highlight w:val="none"/>
        </w:rPr>
        <w:t>及履行本合同情况实行考核验收。</w:t>
      </w:r>
    </w:p>
    <w:p w14:paraId="320B3E48">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Ansi="宋体"/>
          <w:color w:val="auto"/>
          <w:sz w:val="24"/>
          <w:szCs w:val="24"/>
          <w:highlight w:val="none"/>
        </w:rPr>
      </w:pPr>
      <w:r>
        <w:rPr>
          <w:rFonts w:hint="eastAsia" w:hAnsi="宋体" w:cs="宋体"/>
          <w:color w:val="auto"/>
          <w:sz w:val="24"/>
          <w:szCs w:val="24"/>
          <w:highlight w:val="none"/>
        </w:rPr>
        <w:t>11.2</w:t>
      </w:r>
      <w:r>
        <w:rPr>
          <w:rFonts w:hAnsi="宋体"/>
          <w:color w:val="auto"/>
          <w:sz w:val="24"/>
          <w:szCs w:val="24"/>
          <w:highlight w:val="none"/>
        </w:rPr>
        <w:t>对专业技术复杂的服务，甲方可请国家认可的专业检测机构或组织相关的技术专家参与验收，并由其出具检测报告或验收报告。</w:t>
      </w:r>
    </w:p>
    <w:p w14:paraId="75FF2280">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highlight w:val="none"/>
        </w:rPr>
      </w:pPr>
      <w:r>
        <w:rPr>
          <w:rFonts w:hint="eastAsia" w:hAnsi="宋体" w:cs="宋体"/>
          <w:color w:val="auto"/>
          <w:sz w:val="24"/>
          <w:szCs w:val="24"/>
          <w:highlight w:val="none"/>
        </w:rPr>
        <w:t>11.3验收时乙方必须在现场，验收完毕后作出验收结果报告，验收报告须经甲方最终用户签字和部门盖章。</w:t>
      </w:r>
    </w:p>
    <w:p w14:paraId="1379B02D">
      <w:pPr>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11.4甲方有权根据国家政策或法律法规的变动对服务的需求标准和质量做出相应变动。</w:t>
      </w:r>
    </w:p>
    <w:p w14:paraId="4FE43B73">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lang w:val="en-US" w:eastAsia="zh-CN"/>
        </w:rPr>
      </w:pPr>
      <w:r>
        <w:rPr>
          <w:rFonts w:hint="eastAsia" w:hAnsi="宋体" w:cs="宋体"/>
          <w:b w:val="0"/>
          <w:bCs/>
          <w:color w:val="auto"/>
          <w:sz w:val="24"/>
          <w:szCs w:val="24"/>
          <w:highlight w:val="none"/>
          <w:lang w:val="en-US" w:eastAsia="zh-CN"/>
        </w:rPr>
        <w:t xml:space="preserve">11.5平台运维要求 </w:t>
      </w:r>
    </w:p>
    <w:p w14:paraId="6556C8B5">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eastAsia="宋体" w:cs="宋体"/>
          <w:b w:val="0"/>
          <w:bCs/>
          <w:color w:val="auto"/>
          <w:sz w:val="24"/>
          <w:szCs w:val="24"/>
          <w:highlight w:val="none"/>
          <w:lang w:eastAsia="zh-CN"/>
        </w:rPr>
      </w:pPr>
      <w:r>
        <w:rPr>
          <w:rFonts w:hint="eastAsia" w:hAnsi="宋体" w:cs="宋体"/>
          <w:b w:val="0"/>
          <w:bCs/>
          <w:color w:val="auto"/>
          <w:sz w:val="24"/>
          <w:szCs w:val="24"/>
          <w:highlight w:val="none"/>
        </w:rPr>
        <w:t>对平台产生的不同程度的问题，进行及时响应并解决问题</w:t>
      </w:r>
      <w:r>
        <w:rPr>
          <w:rFonts w:hint="eastAsia" w:hAnsi="宋体" w:cs="宋体"/>
          <w:b w:val="0"/>
          <w:bCs/>
          <w:color w:val="auto"/>
          <w:sz w:val="24"/>
          <w:szCs w:val="24"/>
          <w:highlight w:val="none"/>
          <w:lang w:eastAsia="zh-CN"/>
        </w:rPr>
        <w:t>：</w:t>
      </w:r>
    </w:p>
    <w:p w14:paraId="49C282E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（1）一级问题：系统无法运作，而且没有任何暂时性的解决方案；或者虽有暂时性的解决方案，但影响到使用者正常使用；或系统可以运作，但存在信息安全问题或信息丢失。 </w:t>
      </w:r>
    </w:p>
    <w:p w14:paraId="5C2945B6">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1 小时内做出响应、2 小时内与客户讨论解决方案、3小时内提供现场技术支持、8 小时内解决问题。 </w:t>
      </w:r>
    </w:p>
    <w:p w14:paraId="20A72A1C">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（2）二级问题：系统可以运作，但功能已受到严重影响；系统性能受到严重影响或出现其它未知异常现象；大规模范围出现使用者使用速度明显偏慢。 </w:t>
      </w:r>
    </w:p>
    <w:p w14:paraId="3AF2E83C">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4 小时内做出响应、12 小时内与客户讨论解决方案、24小时内提供现场技术支持、48 小时内解决问题。 </w:t>
      </w:r>
    </w:p>
    <w:p w14:paraId="095F6F05">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（3）三级问题：系统可以运作，但出现小范围的功能问题或者性能问题，采取修改配置等措施后仍无法正常运转。 </w:t>
      </w:r>
    </w:p>
    <w:p w14:paraId="3BB24763">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8 小时内做出响应、48 小时内提供现场技术支持、72小时内解决问题。 </w:t>
      </w:r>
    </w:p>
    <w:p w14:paraId="45DD1B10">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（4）四级问题：客户有问题询问或是功能方面的加强。 </w:t>
      </w:r>
    </w:p>
    <w:p w14:paraId="107945ED">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48 小时内做出响应、72 小时内解决问题、问题解决后知会有关部门。</w:t>
      </w:r>
    </w:p>
    <w:p w14:paraId="26547E24">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lang w:val="en-US" w:eastAsia="zh-CN"/>
        </w:rPr>
        <w:t>11.6</w:t>
      </w:r>
      <w:r>
        <w:rPr>
          <w:rFonts w:hint="eastAsia" w:hAnsi="宋体" w:cs="宋体"/>
          <w:b w:val="0"/>
          <w:bCs/>
          <w:color w:val="auto"/>
          <w:sz w:val="24"/>
          <w:szCs w:val="24"/>
          <w:highlight w:val="none"/>
        </w:rPr>
        <w:t xml:space="preserve">培训答疑服务要求 </w:t>
      </w:r>
    </w:p>
    <w:p w14:paraId="1C719076">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（1）提供不同角色使用者的使用手册，包含：管理员使用手册、教师使用手册、学生使用手册等。 </w:t>
      </w:r>
    </w:p>
    <w:p w14:paraId="2B73FD3E">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（2）针对不同使用者录制使用帮助微视频，方便使用者学习使用。 </w:t>
      </w:r>
    </w:p>
    <w:p w14:paraId="7C18696A">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（3）分别提供针对平台管理员、教师和学生等角色的专门培训服务，培训时间、时长及场次以招标人需要为准。 </w:t>
      </w:r>
    </w:p>
    <w:p w14:paraId="2D175AA3">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（4）需要提供现场答疑、电话答疑、在线客服、本地客服等形式的答疑服务。具体响应时间要求如下。 </w:t>
      </w:r>
    </w:p>
    <w:p w14:paraId="0F74A7EE">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1）现场答疑：根据学校需求，提供 5*12 小时驻场服务，随时解答师生使用过程出现的问题。 </w:t>
      </w:r>
    </w:p>
    <w:p w14:paraId="4ADFADC1">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2）上门答疑：教师提出需求后，在 1 小时内提供上门答疑，针对使用者的使用问题进行解答，不限时长，以全部问题解决为准。 </w:t>
      </w:r>
    </w:p>
    <w:p w14:paraId="66C71413">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3）电话答疑：提供服务人员的电话，使用者有问题时可拨打电话，随时进行沟通，工作日要求 8:00-22:00，非工作日要求 8:00-20:00。 </w:t>
      </w:r>
    </w:p>
    <w:p w14:paraId="3418BB78">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4）在线客服：平台提供在线客服入口，提供 7*24 小时的在线咨询服务。 </w:t>
      </w:r>
    </w:p>
    <w:p w14:paraId="20A1DEE5">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rPr>
      </w:pPr>
      <w:r>
        <w:rPr>
          <w:rFonts w:hint="eastAsia" w:hAnsi="宋体" w:cs="宋体"/>
          <w:b w:val="0"/>
          <w:bCs/>
          <w:color w:val="auto"/>
          <w:sz w:val="24"/>
          <w:szCs w:val="24"/>
          <w:highlight w:val="none"/>
        </w:rPr>
        <w:t xml:space="preserve">5）本地客服：投标人须提供 5 人的本地客服团队，专门维护学校的用户群，提供咨询服务。 </w:t>
      </w:r>
    </w:p>
    <w:p w14:paraId="5E0DB3AB">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eastAsia" w:hAnsi="宋体" w:cs="宋体"/>
          <w:b w:val="0"/>
          <w:bCs/>
          <w:color w:val="auto"/>
          <w:sz w:val="24"/>
          <w:szCs w:val="24"/>
          <w:highlight w:val="none"/>
          <w:lang w:val="en-US" w:eastAsia="zh-CN"/>
        </w:rPr>
      </w:pPr>
      <w:r>
        <w:rPr>
          <w:rFonts w:hint="eastAsia" w:hAnsi="宋体" w:cs="宋体"/>
          <w:b w:val="0"/>
          <w:bCs/>
          <w:color w:val="auto"/>
          <w:sz w:val="24"/>
          <w:szCs w:val="24"/>
          <w:highlight w:val="none"/>
          <w:lang w:val="en-US" w:eastAsia="zh-CN"/>
        </w:rPr>
        <w:t>11.7乙方承担免费系统对接责任。</w:t>
      </w:r>
    </w:p>
    <w:p w14:paraId="01E8323D">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int="default" w:hAnsi="宋体" w:eastAsia="宋体" w:cs="宋体"/>
          <w:b w:val="0"/>
          <w:bCs/>
          <w:color w:val="auto"/>
          <w:sz w:val="24"/>
          <w:szCs w:val="24"/>
          <w:highlight w:val="none"/>
          <w:lang w:val="en-US" w:eastAsia="zh-CN"/>
        </w:rPr>
      </w:pPr>
      <w:r>
        <w:rPr>
          <w:rFonts w:hint="eastAsia" w:hAnsi="宋体" w:cs="宋体"/>
          <w:b w:val="0"/>
          <w:bCs/>
          <w:color w:val="auto"/>
          <w:sz w:val="24"/>
          <w:szCs w:val="24"/>
          <w:highlight w:val="none"/>
          <w:lang w:val="en-US" w:eastAsia="zh-CN"/>
        </w:rPr>
        <w:t>11.8乙方提供的系统应通过甲方网络安全测试。</w:t>
      </w:r>
    </w:p>
    <w:p w14:paraId="5A4B3DDE">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十二、违约责任</w:t>
      </w:r>
    </w:p>
    <w:p w14:paraId="7CB874BF">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12.1 甲方无正当理由要求取消服务的，甲方向乙方偿付合同总价款的百分之五违约金。</w:t>
      </w:r>
    </w:p>
    <w:p w14:paraId="6B77D876">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12.2 甲方无故逾期验收和办理合同款支付手续的,甲方应按逾期付款总额每日万分之五向乙方支付违约金。违约金总计不得超过合同总额的百分之五。</w:t>
      </w:r>
    </w:p>
    <w:p w14:paraId="170D851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12.3 乙方不能按约定时间和要求提供服务的，乙方应按合同总额每日千分之六向甲方支付违约金。乙方逾期提供约定服务使得甲方无法实现合同目的，乙方应按合同总额百分之三十支付违约金。逾期超过约定日期10个工作日不能提供服务的，甲方可解除本合同。</w:t>
      </w:r>
    </w:p>
    <w:p w14:paraId="302E077B">
      <w:pPr>
        <w:pStyle w:val="16"/>
        <w:keepNext w:val="0"/>
        <w:keepLines w:val="0"/>
        <w:pageBreakBefore w:val="0"/>
        <w:kinsoku/>
        <w:wordWrap/>
        <w:overflowPunct/>
        <w:topLinePunct w:val="0"/>
        <w:autoSpaceDE/>
        <w:autoSpaceDN/>
        <w:bidi w:val="0"/>
        <w:adjustRightInd w:val="0"/>
        <w:snapToGrid w:val="0"/>
        <w:spacing w:line="324" w:lineRule="auto"/>
        <w:ind w:firstLine="480" w:firstLineChars="200"/>
        <w:textAlignment w:val="auto"/>
        <w:rPr>
          <w:rFonts w:hAnsi="宋体" w:cs="宋体"/>
          <w:color w:val="auto"/>
          <w:sz w:val="24"/>
          <w:szCs w:val="24"/>
          <w:highlight w:val="none"/>
        </w:rPr>
      </w:pPr>
      <w:r>
        <w:rPr>
          <w:rFonts w:hint="eastAsia" w:hAnsi="宋体" w:cs="宋体"/>
          <w:color w:val="auto"/>
          <w:sz w:val="24"/>
          <w:szCs w:val="24"/>
          <w:highlight w:val="none"/>
        </w:rPr>
        <w:t>12.4 乙方提供的服务不符合采购文件项目需求要求、乙方响应文件承诺及国家有关质量标准的，甲方有权拒收。乙方愿意完善但逾期提供约定要求服务的，按乙方逾期提供服务处理。乙方拒绝完善的，甲方可单方面解除合同，并由乙方赔偿由此造成的甲方全部损失。</w:t>
      </w:r>
    </w:p>
    <w:p w14:paraId="0AFBF5D2">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12.5乙方因不履行合同、不完全履行合同、履行合同不符合合同约定、逾期提供服务或因其他违约行为导致甲方解除合同的，乙方应向甲方支付合同总值百分之三十的违约金，如造成甲方损失超过违约金的，超出部分由乙方继续承担赔偿责任。</w:t>
      </w:r>
      <w:r>
        <w:rPr>
          <w:color w:val="auto"/>
          <w:sz w:val="24"/>
          <w:szCs w:val="24"/>
          <w:highlight w:val="none"/>
        </w:rPr>
        <w:t>同时甲方有权扣除乙方缴 纳的全部履约保证金。</w:t>
      </w:r>
    </w:p>
    <w:p w14:paraId="3BD192FF">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12.6乙方未按本合同的规定和“服务承诺”提供售后服务的，应按合同总价款的5%向甲方承担违约责任。同时甲方有权另行委托第三方提供相关服务，由此产生的费用由乙方全部承担。乙方拒绝承担费用的，甲方有权追偿。甲方维权产生的全部费用均由乙方承担。</w:t>
      </w:r>
    </w:p>
    <w:p w14:paraId="4D8918FD">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12.7乙方未按本合同第九条的规定向甲方交付履约保证金的，应按应交付履约保证金的10%向甲方支付违约金，该违约金的支付不影响乙方应承担的其他违约责任。</w:t>
      </w:r>
    </w:p>
    <w:p w14:paraId="3BC014E0">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12.8乙方在承担上述一项或多项违约责任后，仍应继续履行合同规定的义务（甲方解除合同的除外）。甲方未能及时追究乙方的任何一项违约责任并不表明甲方放弃追究乙方该项或其他违约责任。</w:t>
      </w:r>
    </w:p>
    <w:p w14:paraId="0A76779A">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12.9乙方提供的服务如侵犯了第三方合法权益而引发的任何纠纷或诉讼，均由乙方负责交涉并承担全部责任。</w:t>
      </w:r>
    </w:p>
    <w:p w14:paraId="129E59F2">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12.10乙方不服从甲方管理要求，在甲方书面通知后，乙方仍不作整改或整改仍不符合甲方要求的，甲方有权解除合同或采取措施组织第三方提供服务，由此产生的全部费用由乙方承担，并从合同总额中直接扣除。造成甲方损失的，乙方还应继续承担赔偿责任。本条款的执行并不免除乙方履行本合同约定的全部义务的责任。</w:t>
      </w:r>
    </w:p>
    <w:p w14:paraId="3BB4BAC4">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12.11如乙方在本项目招标采购、合同签订、合同履行过程中，违反法律法规或违反甲方管理规定，被甲方认定为失信供应商的，甲方有权取消乙方的中标资格。合同签订后，正式履行前，乙方被甲方认定为失信供应商的，甲方有权解除合同，乙方承担全部法律及经济责任。如果合同已经履行，乙方被甲方认定为失信供应商的，甲方有权追究乙方的违约责任。乙方应向甲方支付合同总价30%的违约金，甲方有权同时没收乙方缴纳的全部履约保证金。</w:t>
      </w:r>
    </w:p>
    <w:p w14:paraId="49EAE704">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十三、廉政条款</w:t>
      </w:r>
    </w:p>
    <w:p w14:paraId="421CE64E">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13.1乙方必须支持甲方的廉政建设，不得向甲方相关人员提供金钱和物质上的好处，一经发现处以合同金额20%的罚款。</w:t>
      </w:r>
    </w:p>
    <w:p w14:paraId="3AF15D38">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十四、不可抗力事件处理</w:t>
      </w:r>
    </w:p>
    <w:p w14:paraId="4FA3D71A">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14.1 在合同有效期内，任何一方因不可抗力事件导致不能履行合同，则合同履行期可延长，其延长期与不可抗力影响期相同。</w:t>
      </w:r>
    </w:p>
    <w:p w14:paraId="5C0E226B">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14.2 不可抗力事件发生后，应立即通知对方，并寄送有关权威机构出具的证明。</w:t>
      </w:r>
    </w:p>
    <w:p w14:paraId="382E554C">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14.3 不可抗力事件延续30天以上，双方应通过友好协商，确定是否继续履行合同。</w:t>
      </w:r>
    </w:p>
    <w:p w14:paraId="2C972028">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十五、诉讼</w:t>
      </w:r>
    </w:p>
    <w:p w14:paraId="232D2178">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15.1 双方在执行合同中所发生的一切争议，应通过协商解决。如协商不成，可向合同签订地法院起诉，合同签订地在此约定为南京市。因本合同履行产生的争议适用中华人民共和国法律。</w:t>
      </w:r>
    </w:p>
    <w:p w14:paraId="0D6633AC">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b/>
          <w:color w:val="auto"/>
          <w:sz w:val="24"/>
          <w:szCs w:val="24"/>
          <w:highlight w:val="none"/>
        </w:rPr>
      </w:pPr>
      <w:r>
        <w:rPr>
          <w:rFonts w:hint="eastAsia" w:hAnsi="宋体" w:cs="宋体"/>
          <w:b/>
          <w:color w:val="auto"/>
          <w:sz w:val="24"/>
          <w:szCs w:val="24"/>
          <w:highlight w:val="none"/>
        </w:rPr>
        <w:t>十六、合同生效及其它</w:t>
      </w:r>
    </w:p>
    <w:p w14:paraId="04BB0E3F">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16.1 合同经双方法定代表人或授权委托代表人签字并加盖单位公章后生效。</w:t>
      </w:r>
    </w:p>
    <w:p w14:paraId="47AF2B2E">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16.2 本合同未尽事宜，遵照《中华人民共和国民法典》有关条文执行。</w:t>
      </w:r>
    </w:p>
    <w:p w14:paraId="09BE1619">
      <w:pPr>
        <w:pStyle w:val="16"/>
        <w:keepNext w:val="0"/>
        <w:keepLines w:val="0"/>
        <w:pageBreakBefore w:val="0"/>
        <w:kinsoku/>
        <w:wordWrap/>
        <w:overflowPunct/>
        <w:topLinePunct w:val="0"/>
        <w:autoSpaceDE/>
        <w:autoSpaceDN/>
        <w:bidi w:val="0"/>
        <w:adjustRightInd w:val="0"/>
        <w:snapToGrid w:val="0"/>
        <w:spacing w:before="120" w:after="120" w:line="324" w:lineRule="auto"/>
        <w:ind w:firstLine="480"/>
        <w:textAlignment w:val="auto"/>
        <w:rPr>
          <w:rFonts w:hAnsi="宋体" w:cs="宋体"/>
          <w:color w:val="auto"/>
          <w:sz w:val="24"/>
          <w:szCs w:val="24"/>
          <w:highlight w:val="none"/>
        </w:rPr>
      </w:pPr>
      <w:r>
        <w:rPr>
          <w:rFonts w:hint="eastAsia" w:hAnsi="宋体" w:cs="宋体"/>
          <w:color w:val="auto"/>
          <w:sz w:val="24"/>
          <w:szCs w:val="24"/>
          <w:highlight w:val="none"/>
        </w:rPr>
        <w:t>16.3本合同的附件、招投标文件、项目答疑回复是本合同不可分割的组成部分，具有同等法律效力。</w:t>
      </w:r>
    </w:p>
    <w:p w14:paraId="0F6946AA">
      <w:pPr>
        <w:pStyle w:val="16"/>
        <w:keepNext w:val="0"/>
        <w:keepLines w:val="0"/>
        <w:pageBreakBefore w:val="0"/>
        <w:kinsoku/>
        <w:wordWrap/>
        <w:overflowPunct/>
        <w:topLinePunct w:val="0"/>
        <w:autoSpaceDE/>
        <w:autoSpaceDN/>
        <w:bidi w:val="0"/>
        <w:adjustRightInd w:val="0"/>
        <w:snapToGrid w:val="0"/>
        <w:spacing w:before="120" w:after="120" w:line="324" w:lineRule="auto"/>
        <w:ind w:left="1" w:firstLine="480"/>
        <w:textAlignment w:val="auto"/>
        <w:rPr>
          <w:rFonts w:hAnsi="宋体" w:cs="宋体"/>
          <w:color w:val="auto"/>
          <w:sz w:val="24"/>
          <w:szCs w:val="24"/>
          <w:highlight w:val="none"/>
        </w:rPr>
      </w:pPr>
      <w:r>
        <w:rPr>
          <w:rFonts w:hint="eastAsia" w:hAnsi="宋体" w:cs="宋体"/>
          <w:color w:val="auto"/>
          <w:sz w:val="24"/>
          <w:szCs w:val="24"/>
          <w:highlight w:val="none"/>
        </w:rPr>
        <w:t>16.4本合同正本一式四份，具有同等法律效力，甲方、乙方各执两份。</w:t>
      </w:r>
    </w:p>
    <w:p w14:paraId="114458E2">
      <w:pPr>
        <w:pStyle w:val="16"/>
        <w:keepNext w:val="0"/>
        <w:keepLines w:val="0"/>
        <w:pageBreakBefore w:val="0"/>
        <w:kinsoku/>
        <w:wordWrap/>
        <w:overflowPunct/>
        <w:topLinePunct w:val="0"/>
        <w:autoSpaceDE/>
        <w:autoSpaceDN/>
        <w:bidi w:val="0"/>
        <w:adjustRightInd w:val="0"/>
        <w:snapToGrid w:val="0"/>
        <w:spacing w:before="120" w:after="120" w:line="324" w:lineRule="auto"/>
        <w:ind w:left="480" w:hanging="480" w:hangingChars="200"/>
        <w:textAlignment w:val="auto"/>
        <w:rPr>
          <w:rFonts w:hAnsi="宋体" w:cs="宋体"/>
          <w:color w:val="auto"/>
          <w:sz w:val="24"/>
          <w:szCs w:val="24"/>
          <w:highlight w:val="none"/>
        </w:rPr>
      </w:pPr>
      <w:r>
        <w:rPr>
          <w:rFonts w:hint="eastAsia" w:hAnsi="宋体" w:cs="宋体"/>
          <w:color w:val="auto"/>
          <w:sz w:val="24"/>
          <w:szCs w:val="24"/>
          <w:highlight w:val="none"/>
        </w:rPr>
        <w:t xml:space="preserve">甲方：                                   乙方： </w:t>
      </w:r>
    </w:p>
    <w:p w14:paraId="46C1F869">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 xml:space="preserve">地址：                                   地址： </w:t>
      </w:r>
    </w:p>
    <w:p w14:paraId="4C660D7E">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法定代表人或授权代表：                   法定代表人或授权代表：</w:t>
      </w:r>
    </w:p>
    <w:p w14:paraId="5A242AF0">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项目负责人：                             联系电话：</w:t>
      </w:r>
    </w:p>
    <w:p w14:paraId="2C8E7D3C">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项目联系人：</w:t>
      </w:r>
    </w:p>
    <w:p w14:paraId="69F28E9B">
      <w:pPr>
        <w:pStyle w:val="16"/>
        <w:keepNext w:val="0"/>
        <w:keepLines w:val="0"/>
        <w:pageBreakBefore w:val="0"/>
        <w:kinsoku/>
        <w:wordWrap/>
        <w:overflowPunct/>
        <w:topLinePunct w:val="0"/>
        <w:autoSpaceDE/>
        <w:autoSpaceDN/>
        <w:bidi w:val="0"/>
        <w:adjustRightInd w:val="0"/>
        <w:snapToGrid w:val="0"/>
        <w:spacing w:before="120" w:after="120" w:line="324" w:lineRule="auto"/>
        <w:textAlignment w:val="auto"/>
        <w:rPr>
          <w:rFonts w:hAnsi="宋体" w:cs="宋体"/>
          <w:color w:val="auto"/>
          <w:sz w:val="24"/>
          <w:szCs w:val="24"/>
          <w:highlight w:val="none"/>
        </w:rPr>
      </w:pPr>
      <w:r>
        <w:rPr>
          <w:rFonts w:hint="eastAsia" w:hAnsi="宋体" w:cs="宋体"/>
          <w:color w:val="auto"/>
          <w:sz w:val="24"/>
          <w:szCs w:val="24"/>
          <w:highlight w:val="none"/>
        </w:rPr>
        <w:t xml:space="preserve">联系电话：                               </w:t>
      </w:r>
    </w:p>
    <w:p w14:paraId="29BFDA7C">
      <w:pPr>
        <w:pStyle w:val="16"/>
        <w:keepNext w:val="0"/>
        <w:keepLines w:val="0"/>
        <w:pageBreakBefore w:val="0"/>
        <w:kinsoku/>
        <w:wordWrap/>
        <w:overflowPunct/>
        <w:topLinePunct w:val="0"/>
        <w:autoSpaceDE/>
        <w:autoSpaceDN/>
        <w:bidi w:val="0"/>
        <w:adjustRightInd w:val="0"/>
        <w:snapToGrid w:val="0"/>
        <w:spacing w:before="120" w:after="120" w:line="324" w:lineRule="auto"/>
        <w:jc w:val="right"/>
        <w:textAlignment w:val="auto"/>
        <w:rPr>
          <w:rStyle w:val="55"/>
          <w:rFonts w:ascii="宋体" w:hAnsi="宋体" w:cs="宋体"/>
          <w:color w:val="auto"/>
          <w:sz w:val="24"/>
          <w:szCs w:val="24"/>
          <w:highlight w:val="none"/>
          <w:lang w:val="zh-CN"/>
        </w:rPr>
      </w:pPr>
      <w:r>
        <w:rPr>
          <w:rFonts w:hint="eastAsia" w:hAnsi="宋体" w:cs="宋体"/>
          <w:color w:val="auto"/>
          <w:sz w:val="24"/>
          <w:szCs w:val="24"/>
          <w:highlight w:val="none"/>
        </w:rPr>
        <w:t xml:space="preserve">                              签订日期：      年  月  日</w:t>
      </w:r>
    </w:p>
    <w:p w14:paraId="1191E5EF">
      <w:pPr>
        <w:spacing w:line="240" w:lineRule="auto"/>
        <w:jc w:val="left"/>
        <w:outlineLvl w:val="9"/>
        <w:rPr>
          <w:rStyle w:val="55"/>
          <w:rFonts w:hint="eastAsia" w:ascii="宋体" w:hAnsi="宋体" w:cs="宋体"/>
          <w:color w:val="auto"/>
          <w:sz w:val="28"/>
          <w:szCs w:val="28"/>
          <w:highlight w:val="none"/>
          <w:lang w:val="zh-CN"/>
        </w:rPr>
      </w:pPr>
      <w:bookmarkStart w:id="75" w:name="_Toc15480"/>
      <w:r>
        <w:rPr>
          <w:rStyle w:val="55"/>
          <w:rFonts w:hint="eastAsia" w:ascii="宋体" w:hAnsi="宋体" w:cs="宋体"/>
          <w:color w:val="auto"/>
          <w:sz w:val="28"/>
          <w:szCs w:val="28"/>
          <w:highlight w:val="none"/>
          <w:lang w:val="zh-CN"/>
        </w:rPr>
        <w:br w:type="page"/>
      </w:r>
    </w:p>
    <w:p w14:paraId="3A89B713">
      <w:pPr>
        <w:spacing w:line="360" w:lineRule="auto"/>
        <w:jc w:val="center"/>
        <w:outlineLvl w:val="0"/>
        <w:rPr>
          <w:rStyle w:val="55"/>
          <w:rFonts w:ascii="宋体" w:hAnsi="宋体" w:cs="宋体"/>
          <w:color w:val="auto"/>
          <w:sz w:val="24"/>
          <w:szCs w:val="24"/>
          <w:highlight w:val="none"/>
        </w:rPr>
      </w:pPr>
      <w:r>
        <w:rPr>
          <w:rStyle w:val="55"/>
          <w:rFonts w:hint="eastAsia" w:ascii="宋体" w:hAnsi="宋体" w:cs="宋体"/>
          <w:color w:val="auto"/>
          <w:sz w:val="28"/>
          <w:szCs w:val="28"/>
          <w:highlight w:val="none"/>
          <w:lang w:val="zh-CN"/>
        </w:rPr>
        <w:t>第</w:t>
      </w:r>
      <w:r>
        <w:rPr>
          <w:rStyle w:val="55"/>
          <w:rFonts w:hint="eastAsia" w:ascii="宋体" w:hAnsi="宋体" w:cs="宋体"/>
          <w:color w:val="auto"/>
          <w:sz w:val="28"/>
          <w:szCs w:val="28"/>
          <w:highlight w:val="none"/>
        </w:rPr>
        <w:t>四</w:t>
      </w:r>
      <w:r>
        <w:rPr>
          <w:rStyle w:val="55"/>
          <w:rFonts w:hint="eastAsia" w:ascii="宋体" w:hAnsi="宋体" w:cs="宋体"/>
          <w:color w:val="auto"/>
          <w:sz w:val="28"/>
          <w:szCs w:val="28"/>
          <w:highlight w:val="none"/>
          <w:lang w:val="zh-CN"/>
        </w:rPr>
        <w:t xml:space="preserve">章 </w:t>
      </w:r>
      <w:bookmarkEnd w:id="73"/>
      <w:r>
        <w:rPr>
          <w:rStyle w:val="55"/>
          <w:rFonts w:hint="eastAsia" w:ascii="宋体" w:hAnsi="宋体" w:cs="宋体"/>
          <w:color w:val="auto"/>
          <w:sz w:val="28"/>
          <w:szCs w:val="28"/>
          <w:highlight w:val="none"/>
          <w:lang w:val="zh-CN"/>
        </w:rPr>
        <w:t>项目采购需求</w:t>
      </w:r>
      <w:bookmarkEnd w:id="74"/>
      <w:bookmarkEnd w:id="75"/>
    </w:p>
    <w:p w14:paraId="34876520">
      <w:pPr>
        <w:pStyle w:val="5"/>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76" w:name="_Toc7426"/>
      <w:bookmarkStart w:id="77" w:name="_Toc18799"/>
      <w:r>
        <w:rPr>
          <w:rFonts w:hint="eastAsia" w:ascii="宋体" w:hAnsi="宋体" w:eastAsia="宋体" w:cs="宋体"/>
          <w:sz w:val="24"/>
          <w:szCs w:val="24"/>
        </w:rPr>
        <w:t>一、项目概况</w:t>
      </w:r>
      <w:bookmarkEnd w:id="76"/>
    </w:p>
    <w:p w14:paraId="493F4049">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“信大优学”教学云平台使用功能齐备，可分为两个部分：</w:t>
      </w:r>
    </w:p>
    <w:p w14:paraId="1A920B2F">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智慧教学系统以南信大教育在线教学平台为中心，融合教室端、移动端、管理端等各类教学应用于一体，实现对教学全过程的即时数据采集、云端分析处理和即时结果反馈，激活课堂、转变师生职能、促进课堂教学模式与学习模式变革。以</w:t>
      </w:r>
      <w:r>
        <w:rPr>
          <w:rFonts w:hint="eastAsia" w:ascii="宋体" w:hAnsi="宋体" w:cs="宋体"/>
          <w:sz w:val="24"/>
          <w:szCs w:val="24"/>
          <w:lang w:val="en-US" w:eastAsia="zh-CN"/>
        </w:rPr>
        <w:t>南京信息工程大学</w:t>
      </w:r>
      <w:r>
        <w:rPr>
          <w:rFonts w:hint="eastAsia" w:ascii="宋体" w:hAnsi="宋体" w:eastAsia="宋体" w:cs="宋体"/>
          <w:sz w:val="24"/>
          <w:szCs w:val="24"/>
        </w:rPr>
        <w:t>一流专业的核心课程为主阵地，重塑教学的各个环节，深化改革课堂教学模式，应用大数据支撑和促进专业课程建设，建设打造一批具有</w:t>
      </w:r>
      <w:r>
        <w:rPr>
          <w:rFonts w:hint="eastAsia" w:ascii="宋体" w:hAnsi="宋体" w:cs="宋体"/>
          <w:sz w:val="24"/>
          <w:szCs w:val="24"/>
          <w:lang w:val="en-US" w:eastAsia="zh-CN"/>
        </w:rPr>
        <w:t>南京信息工程大学</w:t>
      </w:r>
      <w:r>
        <w:rPr>
          <w:rFonts w:hint="eastAsia" w:ascii="宋体" w:hAnsi="宋体" w:eastAsia="宋体" w:cs="宋体"/>
          <w:sz w:val="24"/>
          <w:szCs w:val="24"/>
        </w:rPr>
        <w:t>特色的专业“金课”。本系统使用人群为全校师生。</w:t>
      </w:r>
    </w:p>
    <w:p w14:paraId="6FC3DBAB">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教学评教系统与智慧教学系统打通，实现多维度实时教学评价，将线上、线下教学中教师、学生、同行、督导、领导等评价数据做实时收集汇总、对比分析，提高教学质量检查评价的效率。学校可对主要教学环节建立质量监控机制，使主要教学过程处于有效监控状态，完善科学的学生学习过程监测、评估与反馈机制。教学过程信息得到采集、净化、分析和汇总，确保了专业建设要求落实到课程中，教师教学过程、学生学习行为按照“教学质量体系”得到数据量化和实时监测；教学结果按照“专业教学质量体系”形成专业教学的结果数据进行存储和展示、评估与分析。本系统使用人群为教学管理者、督导和全校师生。</w:t>
      </w:r>
    </w:p>
    <w:p w14:paraId="47CF27E8">
      <w:pPr>
        <w:pStyle w:val="5"/>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78" w:name="_Toc21445"/>
      <w:r>
        <w:rPr>
          <w:rFonts w:hint="eastAsia" w:ascii="宋体" w:hAnsi="宋体" w:eastAsia="宋体" w:cs="宋体"/>
          <w:sz w:val="24"/>
          <w:szCs w:val="24"/>
        </w:rPr>
        <w:t>二、基本要求</w:t>
      </w:r>
      <w:bookmarkEnd w:id="78"/>
    </w:p>
    <w:p w14:paraId="713AC1A0">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“信大优学”教学云平台要求采用公有云部署模式，满足大规模应用、高并发访问、数据保护和数据安全</w:t>
      </w:r>
      <w:r>
        <w:rPr>
          <w:rFonts w:hint="eastAsia" w:ascii="宋体" w:hAnsi="宋体" w:eastAsia="宋体" w:cs="宋体"/>
          <w:sz w:val="24"/>
          <w:szCs w:val="24"/>
          <w:lang w:eastAsia="zh-Hans"/>
        </w:rPr>
        <w:t>等需求</w:t>
      </w:r>
      <w:r>
        <w:rPr>
          <w:rFonts w:hint="eastAsia" w:ascii="宋体" w:hAnsi="宋体" w:eastAsia="宋体" w:cs="宋体"/>
          <w:sz w:val="24"/>
          <w:szCs w:val="24"/>
        </w:rPr>
        <w:t>。系统基于微服务架构，通过学校统一数据共享平台打通跟学校其他应用系统的关联。</w:t>
      </w:r>
    </w:p>
    <w:p w14:paraId="762308DD">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系统在结构设计上应充分考虑整体性、可用性、稳定性、成熟性、灵活性和开放性的要求，要体现出安全性、可扩展性、可管理性、用户界面友好性和高性能等特点。</w:t>
      </w:r>
    </w:p>
    <w:p w14:paraId="3917FC4C">
      <w:pPr>
        <w:pStyle w:val="128"/>
        <w:pageBreakBefore w:val="0"/>
        <w:kinsoku/>
        <w:wordWrap/>
        <w:overflowPunct/>
        <w:topLinePunct w:val="0"/>
        <w:autoSpaceDE/>
        <w:autoSpaceDN/>
        <w:bidi w:val="0"/>
        <w:adjustRightInd/>
        <w:spacing w:line="360" w:lineRule="auto"/>
        <w:ind w:left="0" w:firstLine="480"/>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服务期满后，双方可进一步协商续约方案及费用；无论是否续约，</w:t>
      </w:r>
      <w:r>
        <w:rPr>
          <w:rFonts w:hint="eastAsia" w:cs="宋体"/>
          <w:sz w:val="24"/>
          <w:szCs w:val="24"/>
          <w:lang w:val="en-US" w:eastAsia="zh-CN"/>
        </w:rPr>
        <w:t>中标人</w:t>
      </w:r>
      <w:r>
        <w:rPr>
          <w:rFonts w:hint="eastAsia" w:ascii="宋体" w:hAnsi="宋体" w:eastAsia="宋体" w:cs="宋体"/>
          <w:sz w:val="24"/>
          <w:szCs w:val="24"/>
          <w:lang w:val="en-US"/>
        </w:rPr>
        <w:t>均须永久保留</w:t>
      </w:r>
      <w:r>
        <w:rPr>
          <w:rFonts w:hint="eastAsia" w:cs="宋体"/>
          <w:sz w:val="24"/>
          <w:szCs w:val="24"/>
          <w:lang w:val="en-US" w:eastAsia="zh-CN"/>
        </w:rPr>
        <w:t>采购人</w:t>
      </w:r>
      <w:r>
        <w:rPr>
          <w:rFonts w:hint="eastAsia" w:ascii="宋体" w:hAnsi="宋体" w:eastAsia="宋体" w:cs="宋体"/>
          <w:sz w:val="24"/>
          <w:szCs w:val="24"/>
          <w:lang w:val="en-US"/>
        </w:rPr>
        <w:t>在使用过程中产生的所有数据，并可允许</w:t>
      </w:r>
      <w:r>
        <w:rPr>
          <w:rFonts w:hint="eastAsia" w:cs="宋体"/>
          <w:sz w:val="24"/>
          <w:szCs w:val="24"/>
          <w:lang w:val="en-US" w:eastAsia="zh-CN"/>
        </w:rPr>
        <w:t>采购人</w:t>
      </w:r>
      <w:r>
        <w:rPr>
          <w:rFonts w:hint="eastAsia" w:ascii="宋体" w:hAnsi="宋体" w:eastAsia="宋体" w:cs="宋体"/>
          <w:sz w:val="24"/>
          <w:szCs w:val="24"/>
          <w:lang w:val="en-US"/>
        </w:rPr>
        <w:t>用户即时访问。</w:t>
      </w:r>
    </w:p>
    <w:p w14:paraId="6836CCBE">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79" w:name="_Toc1158"/>
      <w:r>
        <w:rPr>
          <w:rFonts w:hint="eastAsia" w:ascii="宋体" w:hAnsi="宋体" w:eastAsia="宋体" w:cs="宋体"/>
          <w:sz w:val="24"/>
          <w:szCs w:val="24"/>
        </w:rPr>
        <w:t>1</w:t>
      </w:r>
      <w:r>
        <w:rPr>
          <w:rFonts w:hint="eastAsia" w:ascii="宋体" w:hAnsi="宋体" w:cs="宋体"/>
          <w:sz w:val="24"/>
          <w:szCs w:val="24"/>
          <w:lang w:val="en-US" w:eastAsia="zh-CN"/>
        </w:rPr>
        <w:t>.</w:t>
      </w:r>
      <w:r>
        <w:rPr>
          <w:rFonts w:hint="eastAsia" w:ascii="宋体" w:hAnsi="宋体" w:eastAsia="宋体" w:cs="宋体"/>
          <w:sz w:val="24"/>
          <w:szCs w:val="24"/>
        </w:rPr>
        <w:t>总体架构要求</w:t>
      </w:r>
      <w:bookmarkEnd w:id="79"/>
    </w:p>
    <w:p w14:paraId="19598CC3">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系统须采用B/S 架构（功能需求中部分功能模块另有约定的除外），开发与运行架构应采用 WEB 服务器/应用服务器/数据库服务器三层结构。平台应支持IE9及以上版本、谷歌（Chrome）浏览器、火狐（Firefox）浏览器、360浏览器兼容/极速模式等业界主流浏览器。移动端兼容IOS10</w:t>
      </w:r>
      <w:r>
        <w:rPr>
          <w:rFonts w:hint="eastAsia" w:ascii="宋体" w:hAnsi="宋体" w:eastAsia="宋体" w:cs="宋体"/>
          <w:sz w:val="24"/>
          <w:szCs w:val="24"/>
          <w:lang w:eastAsia="zh-Hans"/>
        </w:rPr>
        <w:t>.0</w:t>
      </w:r>
      <w:r>
        <w:rPr>
          <w:rFonts w:hint="eastAsia" w:ascii="宋体" w:hAnsi="宋体" w:eastAsia="宋体" w:cs="宋体"/>
          <w:sz w:val="24"/>
          <w:szCs w:val="24"/>
        </w:rPr>
        <w:t>、安卓5</w:t>
      </w:r>
      <w:r>
        <w:rPr>
          <w:rFonts w:hint="eastAsia" w:ascii="宋体" w:hAnsi="宋体" w:eastAsia="宋体" w:cs="宋体"/>
          <w:sz w:val="24"/>
          <w:szCs w:val="24"/>
          <w:lang w:eastAsia="zh-Hans"/>
        </w:rPr>
        <w:t>.0版本以上。</w:t>
      </w:r>
    </w:p>
    <w:p w14:paraId="1B79D25C">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80" w:name="_Toc6291"/>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统一身份认证要求</w:t>
      </w:r>
      <w:bookmarkEnd w:id="80"/>
    </w:p>
    <w:p w14:paraId="2B87CBC5">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学校统一身份认证平台向平台开放必要的用户信息，平台应支持统一身份认证平台用户登录，与学校统一身份认证平台集成，符合平台接入规范，实现单点登录、单点登出</w:t>
      </w:r>
      <w:r>
        <w:rPr>
          <w:rFonts w:hint="eastAsia" w:ascii="宋体" w:hAnsi="宋体" w:eastAsia="宋体" w:cs="宋体"/>
          <w:sz w:val="24"/>
          <w:szCs w:val="24"/>
          <w:lang w:eastAsia="zh-Hans"/>
        </w:rPr>
        <w:t>并</w:t>
      </w:r>
      <w:r>
        <w:rPr>
          <w:rFonts w:hint="eastAsia" w:ascii="宋体" w:hAnsi="宋体" w:eastAsia="宋体" w:cs="宋体"/>
          <w:sz w:val="24"/>
          <w:szCs w:val="24"/>
        </w:rPr>
        <w:t>提供不少于最近</w:t>
      </w:r>
      <w:r>
        <w:rPr>
          <w:rFonts w:hint="eastAsia" w:ascii="宋体" w:hAnsi="宋体" w:eastAsia="宋体" w:cs="宋体"/>
          <w:sz w:val="24"/>
          <w:szCs w:val="24"/>
          <w:lang w:eastAsia="zh-Hans"/>
        </w:rPr>
        <w:t>一年</w:t>
      </w:r>
      <w:r>
        <w:rPr>
          <w:rFonts w:hint="eastAsia" w:ascii="宋体" w:hAnsi="宋体" w:eastAsia="宋体" w:cs="宋体"/>
          <w:sz w:val="24"/>
          <w:szCs w:val="24"/>
        </w:rPr>
        <w:t>的用户操作日志和系统访问记录的查看功能。</w:t>
      </w:r>
    </w:p>
    <w:p w14:paraId="13A10ED3">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81" w:name="_Toc14636"/>
      <w:r>
        <w:rPr>
          <w:rFonts w:hint="eastAsia" w:ascii="宋体" w:hAnsi="宋体" w:eastAsia="宋体" w:cs="宋体"/>
          <w:sz w:val="24"/>
          <w:szCs w:val="24"/>
        </w:rPr>
        <w:t>3</w:t>
      </w:r>
      <w:r>
        <w:rPr>
          <w:rFonts w:hint="eastAsia" w:ascii="宋体" w:hAnsi="宋体" w:cs="宋体"/>
          <w:sz w:val="24"/>
          <w:szCs w:val="24"/>
          <w:lang w:val="en-US" w:eastAsia="zh-CN"/>
        </w:rPr>
        <w:t>.</w:t>
      </w:r>
      <w:r>
        <w:rPr>
          <w:rFonts w:hint="eastAsia" w:ascii="宋体" w:hAnsi="宋体" w:eastAsia="宋体" w:cs="宋体"/>
          <w:sz w:val="24"/>
          <w:szCs w:val="24"/>
        </w:rPr>
        <w:t>数据集成要求</w:t>
      </w:r>
      <w:bookmarkEnd w:id="81"/>
    </w:p>
    <w:p w14:paraId="24C2685B">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中标人</w:t>
      </w:r>
      <w:r>
        <w:rPr>
          <w:rFonts w:hint="eastAsia" w:ascii="宋体" w:hAnsi="宋体" w:eastAsia="宋体" w:cs="宋体"/>
          <w:sz w:val="24"/>
          <w:szCs w:val="24"/>
        </w:rPr>
        <w:t>须向学校提供数据回流，回流数据包括学校购买或使用产生的相关数据，包括但不限于：课程信息、课程统计信息、试卷信息、题库信息、作业信息、讨论信息、师生活动及统计信息等。</w:t>
      </w:r>
    </w:p>
    <w:p w14:paraId="512A2B45">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平台通过与学校数据共享交换平台集成和对接实现数据共享和交换，提供基于数据库中间库或接口等不同方式进行双向对接，保证业务数据向数据共享交换平台提供的频率和质量达到学校管理的要求。</w:t>
      </w:r>
    </w:p>
    <w:p w14:paraId="1803E2E5">
      <w:pPr>
        <w:pStyle w:val="2"/>
        <w:ind w:firstLine="480" w:firstLineChars="200"/>
        <w:rPr>
          <w:rFonts w:hint="eastAsia"/>
        </w:rPr>
      </w:pPr>
      <w:r>
        <w:rPr>
          <w:rFonts w:hint="eastAsia"/>
          <w:lang w:val="en-US" w:eastAsia="zh-CN"/>
        </w:rPr>
        <w:t>中标人承担免费系统对接责任。</w:t>
      </w:r>
    </w:p>
    <w:p w14:paraId="59CAE974">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82" w:name="_Toc4627"/>
      <w:r>
        <w:rPr>
          <w:rFonts w:hint="eastAsia" w:ascii="宋体" w:hAnsi="宋体" w:eastAsia="宋体" w:cs="宋体"/>
          <w:sz w:val="24"/>
          <w:szCs w:val="24"/>
        </w:rPr>
        <w:t>4</w:t>
      </w:r>
      <w:r>
        <w:rPr>
          <w:rFonts w:hint="eastAsia" w:ascii="宋体" w:hAnsi="宋体" w:cs="宋体"/>
          <w:sz w:val="24"/>
          <w:szCs w:val="24"/>
          <w:lang w:val="en-US" w:eastAsia="zh-CN"/>
        </w:rPr>
        <w:t>.</w:t>
      </w:r>
      <w:r>
        <w:rPr>
          <w:rFonts w:hint="eastAsia" w:ascii="宋体" w:hAnsi="宋体" w:eastAsia="宋体" w:cs="宋体"/>
          <w:sz w:val="24"/>
          <w:szCs w:val="24"/>
        </w:rPr>
        <w:t>平台安全要求</w:t>
      </w:r>
      <w:bookmarkEnd w:id="82"/>
    </w:p>
    <w:p w14:paraId="586AFCDA">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（1）本项目服务应严格按照国家《网络安全法》、网络安全等级保护2.0标准要求以及南京信息工程大学相关网络安全要求与规范建设实施。</w:t>
      </w:r>
    </w:p>
    <w:p w14:paraId="2ECAB105">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lang w:eastAsia="zh-Hans"/>
        </w:rPr>
      </w:pPr>
      <w:r>
        <w:rPr>
          <w:rFonts w:hint="eastAsia" w:ascii="宋体" w:hAnsi="宋体" w:eastAsia="宋体" w:cs="宋体"/>
          <w:sz w:val="24"/>
          <w:szCs w:val="24"/>
        </w:rPr>
        <w:t>（2）</w:t>
      </w:r>
      <w:r>
        <w:rPr>
          <w:rFonts w:hint="eastAsia" w:ascii="宋体" w:hAnsi="宋体" w:cs="宋体"/>
          <w:sz w:val="24"/>
          <w:szCs w:val="24"/>
          <w:lang w:val="en-US" w:eastAsia="zh-CN"/>
        </w:rPr>
        <w:t>供应商</w:t>
      </w:r>
      <w:r>
        <w:rPr>
          <w:rFonts w:hint="eastAsia" w:ascii="宋体" w:hAnsi="宋体" w:eastAsia="宋体" w:cs="宋体"/>
          <w:sz w:val="24"/>
          <w:szCs w:val="24"/>
        </w:rPr>
        <w:t>现有投标产品应具有足够的安全性、可靠性，保障平台系统及其数据具有较高的安全级别，满足《信息安全技术网络安全等级保护基本要求》（GB/T22239-2019）</w:t>
      </w:r>
      <w:r>
        <w:rPr>
          <w:rFonts w:hint="eastAsia" w:ascii="宋体" w:hAnsi="宋体" w:eastAsia="宋体" w:cs="宋体"/>
          <w:sz w:val="24"/>
          <w:szCs w:val="24"/>
          <w:lang w:eastAsia="zh-Hans"/>
        </w:rPr>
        <w:t>的第三等级及以上要求。</w:t>
      </w:r>
    </w:p>
    <w:p w14:paraId="1B731EC0">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（3）供应商</w:t>
      </w:r>
      <w:r>
        <w:rPr>
          <w:rFonts w:hint="eastAsia" w:ascii="宋体" w:hAnsi="宋体" w:eastAsia="宋体" w:cs="宋体"/>
          <w:sz w:val="24"/>
          <w:szCs w:val="24"/>
          <w:highlight w:val="none"/>
        </w:rPr>
        <w:t>须提供公安部门颁发的信息系统安全等级三级及以上保护备案证明及一年有效期内的检测报告</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提供相关证明材料复印件加盖公章</w:t>
      </w:r>
      <w:r>
        <w:rPr>
          <w:rFonts w:hint="eastAsia" w:ascii="宋体" w:hAnsi="宋体" w:cs="宋体"/>
          <w:b/>
          <w:bCs/>
          <w:sz w:val="24"/>
          <w:szCs w:val="24"/>
          <w:highlight w:val="none"/>
          <w:lang w:eastAsia="zh-CN"/>
        </w:rPr>
        <w:t>）</w:t>
      </w:r>
    </w:p>
    <w:p w14:paraId="2A6F6047">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3）平台具有完善、有效的用户角色权限控制机制，根据学校管理需要，可设置校级、院级、专业级、课程级等级别的用户管理权限，确保资源和数据的权限授权和控制粒度符合业务需求。应用用户的权限最小化，控制用户对功能、文件、数据等的访问。</w:t>
      </w:r>
    </w:p>
    <w:p w14:paraId="0DCD43EF">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（4）业务系统自有用户管理和登录功能，相关功能应满足网络安全要求，避免安全隐患，包括技术上保证密码强度、禁止弱口令、限制恶意爆破登录、限制机器登录、口令禁止明文保存和传输等。</w:t>
      </w:r>
    </w:p>
    <w:p w14:paraId="16B3EDE3">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bCs/>
          <w:sz w:val="24"/>
          <w:szCs w:val="24"/>
        </w:rPr>
        <w:t>（5）资源、数据版权归属要求：</w:t>
      </w:r>
      <w:r>
        <w:rPr>
          <w:rFonts w:hint="eastAsia" w:ascii="宋体" w:hAnsi="宋体" w:eastAsia="宋体" w:cs="宋体"/>
          <w:sz w:val="24"/>
          <w:szCs w:val="24"/>
        </w:rPr>
        <w:t>平台在使用的过程中，会产生各种教学相关数据，包括学校自己的课程资源，师生信息，教学数据等，都归学校所有，未经学校授权，不得对外发布或使用。</w:t>
      </w:r>
    </w:p>
    <w:p w14:paraId="0FB9CA93">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（6）</w:t>
      </w:r>
      <w:bookmarkStart w:id="83" w:name="_Hlk39047736"/>
      <w:r>
        <w:rPr>
          <w:rFonts w:hint="eastAsia" w:ascii="宋体" w:hAnsi="宋体" w:eastAsia="宋体" w:cs="宋体"/>
          <w:sz w:val="24"/>
          <w:szCs w:val="24"/>
        </w:rPr>
        <w:t>APP备案要求：平台配套的APP应在教育部APP管理系统备案（提供备案号），以及在国家数字教育资源公共服务体系http://app.eduyun.cn网站中APP备案查询的截图。</w:t>
      </w:r>
      <w:bookmarkEnd w:id="83"/>
    </w:p>
    <w:p w14:paraId="659D2A37">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（7）敏感信息采集要求：除使用者自行选择的通过手机短信密码和邮箱找回密码外，平台不得自行采集使用者身份证号、手机号、家庭住址等</w:t>
      </w:r>
      <w:r>
        <w:rPr>
          <w:rFonts w:hint="eastAsia" w:ascii="宋体" w:hAnsi="宋体" w:eastAsia="宋体" w:cs="宋体"/>
          <w:sz w:val="24"/>
          <w:szCs w:val="24"/>
          <w:lang w:eastAsia="zh-Hans"/>
        </w:rPr>
        <w:t>所有</w:t>
      </w:r>
      <w:r>
        <w:rPr>
          <w:rFonts w:hint="eastAsia" w:ascii="宋体" w:hAnsi="宋体" w:eastAsia="宋体" w:cs="宋体"/>
          <w:sz w:val="24"/>
          <w:szCs w:val="24"/>
        </w:rPr>
        <w:t>敏感信息。</w:t>
      </w:r>
    </w:p>
    <w:p w14:paraId="59695E64">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8）应用系统应在架构、设计、编码等各方面符合可信计算的规范和要求，确保系统不存在各类已知的安全漏洞隐患，包括但不限于：SQL注入、任意文件或未经校验文件上传、任意文件下载、越权访问、命令执行、应用程序错误信息或服务器信息泄露、httphost头攻击等常见漏洞；使用明文或在程序/脚本文件中写死密码；在网页源码中暴露应用处理逻辑等敏感信息；表单信息有效性缺少服务器端后台校验；系统留有“后门”，设计违反或者绕过安全规则的任何类型的入口和设计文档中未说明的任何模式的隐藏入口。</w:t>
      </w:r>
    </w:p>
    <w:p w14:paraId="3A56F713">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（9）系统详细记录所有用户操作日志，确保每个用户每个行为可追溯。系统各类各级访问日志、操作日志符合《网络安全法》要求，至少保留</w:t>
      </w:r>
      <w:r>
        <w:rPr>
          <w:rFonts w:hint="eastAsia" w:ascii="宋体" w:hAnsi="宋体" w:eastAsia="宋体" w:cs="宋体"/>
          <w:sz w:val="24"/>
          <w:szCs w:val="24"/>
          <w:lang w:eastAsia="zh-Hans"/>
        </w:rPr>
        <w:t>一年</w:t>
      </w:r>
      <w:r>
        <w:rPr>
          <w:rFonts w:hint="eastAsia" w:ascii="宋体" w:hAnsi="宋体" w:eastAsia="宋体" w:cs="宋体"/>
          <w:sz w:val="24"/>
          <w:szCs w:val="24"/>
        </w:rPr>
        <w:t>以上。</w:t>
      </w:r>
    </w:p>
    <w:p w14:paraId="35515817">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（10）提供基本的内容涉恐、涉黄、涉政审核服务，支持文字、图片等内容检测，可对用户互动功能，如论坛、聊天等进行审核。</w:t>
      </w:r>
    </w:p>
    <w:p w14:paraId="0CAD2913">
      <w:pPr>
        <w:pageBreakBefore w:val="0"/>
        <w:kinsoku/>
        <w:wordWrap/>
        <w:overflowPunct/>
        <w:topLinePunct w:val="0"/>
        <w:autoSpaceDE/>
        <w:autoSpaceDN/>
        <w:bidi w:val="0"/>
        <w:adjustRightInd/>
        <w:spacing w:line="360" w:lineRule="auto"/>
        <w:ind w:left="0" w:firstLine="420"/>
        <w:jc w:val="left"/>
        <w:textAlignment w:val="auto"/>
        <w:rPr>
          <w:rFonts w:hint="eastAsia" w:ascii="宋体" w:hAnsi="宋体" w:eastAsia="宋体" w:cs="宋体"/>
          <w:sz w:val="24"/>
          <w:szCs w:val="24"/>
        </w:rPr>
      </w:pPr>
      <w:r>
        <w:rPr>
          <w:rFonts w:hint="eastAsia" w:ascii="宋体" w:hAnsi="宋体" w:eastAsia="宋体" w:cs="宋体"/>
          <w:sz w:val="24"/>
          <w:szCs w:val="24"/>
        </w:rPr>
        <w:t>（11）平台保证数据安全，对于用户密码等，采用密文存储，不得明文存储。</w:t>
      </w:r>
    </w:p>
    <w:p w14:paraId="3C8E7D26">
      <w:pPr>
        <w:pStyle w:val="2"/>
        <w:ind w:firstLine="480" w:firstLineChars="200"/>
        <w:rPr>
          <w:rFonts w:hint="default" w:eastAsia="宋体"/>
          <w:lang w:val="en-US" w:eastAsia="zh-CN"/>
        </w:rPr>
      </w:pPr>
      <w:r>
        <w:rPr>
          <w:rFonts w:hint="eastAsia" w:ascii="宋体" w:eastAsia="宋体" w:cs="宋体"/>
          <w:sz w:val="24"/>
          <w:szCs w:val="24"/>
          <w:lang w:eastAsia="zh-CN"/>
        </w:rPr>
        <w:t>（</w:t>
      </w:r>
      <w:r>
        <w:rPr>
          <w:rFonts w:hint="eastAsia" w:ascii="宋体" w:eastAsia="宋体" w:cs="宋体"/>
          <w:sz w:val="24"/>
          <w:szCs w:val="24"/>
          <w:lang w:val="en-US" w:eastAsia="zh-CN"/>
        </w:rPr>
        <w:t>12</w:t>
      </w:r>
      <w:r>
        <w:rPr>
          <w:rFonts w:hint="eastAsia" w:ascii="宋体" w:eastAsia="宋体" w:cs="宋体"/>
          <w:sz w:val="24"/>
          <w:szCs w:val="24"/>
          <w:lang w:eastAsia="zh-CN"/>
        </w:rPr>
        <w:t>）</w:t>
      </w:r>
      <w:r>
        <w:rPr>
          <w:rFonts w:hint="eastAsia" w:ascii="宋体" w:eastAsia="宋体" w:cs="宋体"/>
          <w:sz w:val="24"/>
          <w:szCs w:val="24"/>
          <w:lang w:val="en-US" w:eastAsia="zh-CN"/>
        </w:rPr>
        <w:t>系统应通过采购人网络安全测试。</w:t>
      </w:r>
    </w:p>
    <w:p w14:paraId="6A0D72A6">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84" w:name="_Toc9339"/>
      <w:r>
        <w:rPr>
          <w:rFonts w:hint="eastAsia" w:ascii="宋体" w:hAnsi="宋体" w:eastAsia="宋体" w:cs="宋体"/>
          <w:sz w:val="24"/>
          <w:szCs w:val="24"/>
        </w:rPr>
        <w:t>5</w:t>
      </w:r>
      <w:r>
        <w:rPr>
          <w:rFonts w:hint="eastAsia" w:ascii="宋体" w:hAnsi="宋体" w:cs="宋体"/>
          <w:sz w:val="24"/>
          <w:szCs w:val="24"/>
          <w:lang w:val="en-US" w:eastAsia="zh-CN"/>
        </w:rPr>
        <w:t>.</w:t>
      </w:r>
      <w:r>
        <w:rPr>
          <w:rFonts w:hint="eastAsia" w:ascii="宋体" w:hAnsi="宋体" w:eastAsia="宋体" w:cs="宋体"/>
          <w:sz w:val="24"/>
          <w:szCs w:val="24"/>
        </w:rPr>
        <w:t>平台性能要求</w:t>
      </w:r>
      <w:bookmarkEnd w:id="84"/>
    </w:p>
    <w:p w14:paraId="20F445B7">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（1）平台应满足相应业务场景下并发访问和在线访问人数要求。</w:t>
      </w:r>
    </w:p>
    <w:p w14:paraId="5623372D">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（2）采用云部属业务系统应满足全校50000生在线使用，可达到如下性能指标：</w:t>
      </w:r>
      <w:bookmarkStart w:id="85" w:name="_Toc494519692"/>
      <w:r>
        <w:rPr>
          <w:rFonts w:hint="eastAsia" w:ascii="宋体" w:hAnsi="宋体" w:eastAsia="宋体" w:cs="宋体"/>
          <w:sz w:val="24"/>
          <w:szCs w:val="24"/>
        </w:rPr>
        <w:t>7×24小时不间断运行</w:t>
      </w:r>
      <w:bookmarkEnd w:id="85"/>
      <w:bookmarkStart w:id="86" w:name="_Toc494519693"/>
      <w:r>
        <w:rPr>
          <w:rFonts w:hint="eastAsia" w:ascii="宋体" w:hAnsi="宋体" w:eastAsia="宋体" w:cs="宋体"/>
          <w:sz w:val="24"/>
          <w:szCs w:val="24"/>
        </w:rPr>
        <w:t>、页面响应不高于3秒</w:t>
      </w:r>
      <w:bookmarkEnd w:id="86"/>
      <w:bookmarkStart w:id="87" w:name="_Toc494519694"/>
      <w:r>
        <w:rPr>
          <w:rFonts w:hint="eastAsia" w:ascii="宋体" w:hAnsi="宋体" w:eastAsia="宋体" w:cs="宋体"/>
          <w:sz w:val="24"/>
          <w:szCs w:val="24"/>
        </w:rPr>
        <w:t>、检索响应不高于3秒</w:t>
      </w:r>
      <w:bookmarkEnd w:id="87"/>
      <w:bookmarkStart w:id="88" w:name="_Toc494519695"/>
      <w:r>
        <w:rPr>
          <w:rFonts w:hint="eastAsia" w:ascii="宋体" w:hAnsi="宋体" w:eastAsia="宋体" w:cs="宋体"/>
          <w:sz w:val="24"/>
          <w:szCs w:val="24"/>
        </w:rPr>
        <w:t>、视频点播响应不高于10秒</w:t>
      </w:r>
      <w:bookmarkEnd w:id="88"/>
      <w:r>
        <w:rPr>
          <w:rFonts w:hint="eastAsia" w:ascii="宋体" w:hAnsi="宋体" w:eastAsia="宋体" w:cs="宋体"/>
          <w:sz w:val="24"/>
          <w:szCs w:val="24"/>
        </w:rPr>
        <w:t>。</w:t>
      </w:r>
    </w:p>
    <w:p w14:paraId="20088DF2">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（3）平台存储自动扩容：承诺为每位教师提供不少于150GB的存储空间，当使用存储达到一定比例后，可自动整体扩容，保证空间充足。</w:t>
      </w:r>
    </w:p>
    <w:p w14:paraId="033A332B">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（4）平台带宽弹性扩容：承诺提供5Gbps共享带宽，当并发量达到一定程度后，可弹性扩容，保证运行的流畅性。</w:t>
      </w:r>
    </w:p>
    <w:p w14:paraId="6AC99936">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（5）平台功能可扩展：支持可持续的优化升级，满足南京信息工程大学专业建设不断变化和增加的新需求。</w:t>
      </w:r>
    </w:p>
    <w:p w14:paraId="5307AD58">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highlight w:val="none"/>
        </w:rPr>
      </w:pPr>
      <w:bookmarkStart w:id="89" w:name="_Toc28257"/>
      <w:r>
        <w:rPr>
          <w:rFonts w:hint="eastAsia" w:ascii="宋体" w:hAnsi="宋体" w:eastAsia="宋体" w:cs="宋体"/>
          <w:sz w:val="24"/>
          <w:szCs w:val="24"/>
          <w:highlight w:val="none"/>
        </w:rPr>
        <w:t>6</w:t>
      </w:r>
      <w:r>
        <w:rPr>
          <w:rFonts w:hint="eastAsia" w:ascii="宋体" w:hAnsi="宋体" w:cs="宋体"/>
          <w:sz w:val="24"/>
          <w:szCs w:val="24"/>
          <w:highlight w:val="none"/>
          <w:lang w:val="en-US" w:eastAsia="zh-CN"/>
        </w:rPr>
        <w:t>.平</w:t>
      </w:r>
      <w:r>
        <w:rPr>
          <w:rFonts w:hint="eastAsia" w:ascii="宋体" w:hAnsi="宋体" w:eastAsia="宋体" w:cs="宋体"/>
          <w:sz w:val="24"/>
          <w:szCs w:val="24"/>
          <w:highlight w:val="none"/>
        </w:rPr>
        <w:t>台运维要求</w:t>
      </w:r>
      <w:bookmarkEnd w:id="89"/>
      <w:r>
        <w:rPr>
          <w:rFonts w:hint="eastAsia" w:ascii="宋体" w:hAnsi="宋体" w:eastAsia="宋体" w:cs="宋体"/>
          <w:sz w:val="24"/>
          <w:szCs w:val="24"/>
          <w:highlight w:val="none"/>
        </w:rPr>
        <w:t xml:space="preserve"> </w:t>
      </w:r>
    </w:p>
    <w:p w14:paraId="6891FC22">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对平台产生的不同程度的问题，进行及时响应并解决问题，</w:t>
      </w:r>
      <w:r>
        <w:rPr>
          <w:rFonts w:hint="eastAsia" w:ascii="宋体" w:hAnsi="宋体" w:eastAsia="宋体" w:cs="宋体"/>
          <w:b/>
          <w:bCs/>
          <w:sz w:val="24"/>
          <w:szCs w:val="24"/>
          <w:highlight w:val="none"/>
        </w:rPr>
        <w:t xml:space="preserve">须提供具体的运维方案。 </w:t>
      </w:r>
    </w:p>
    <w:p w14:paraId="013B4373">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（1）一级问题：系统无法运作，而且没有任何暂时性的解决方案；或者虽有暂时性的解决方案，但影响到使用者正常使用；或系统可以运作，但存在信息安全问题或信息丢失。 </w:t>
      </w:r>
    </w:p>
    <w:p w14:paraId="5997462D">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须承诺的服务方案：1 小时内做出响应、2 小时内与客户讨论解决方案、3小时内提供现场技术支持、8 小时内解决问题。 </w:t>
      </w:r>
    </w:p>
    <w:p w14:paraId="1B6C1D6B">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（2）二级问题：系统可以运作，但功能已受到严重影响；系统性能受到严重影响或出现其它未知异常现象；大规模范围出现使用者使用速度明显偏慢。 </w:t>
      </w:r>
    </w:p>
    <w:p w14:paraId="1DB1547C">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须承诺的服务方案：4 小时内做出响应、12 小时内与客户讨论解决方案、24小时内提供现场技术支持、48 小时内解决问题。 </w:t>
      </w:r>
    </w:p>
    <w:p w14:paraId="3702DEE2">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（3）三级问题：系统可以运作，但出现小范围的功能问题或者性能问题，采取修改配置等措施后仍无法正常运转。 </w:t>
      </w:r>
    </w:p>
    <w:p w14:paraId="042D42AC">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须承诺的服务方案：8 小时内做出响应、48 小时内提供现场技术支持、72小时内解决问题。 </w:t>
      </w:r>
    </w:p>
    <w:p w14:paraId="5763674C">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（4）四级问题：客户有问题询问或是功能方面的加强。 </w:t>
      </w:r>
    </w:p>
    <w:p w14:paraId="1B7EABE6">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须承诺的服务方案：48 小时内做出响应、72 小时内解决问题、问题解决后知会有关部门。</w:t>
      </w:r>
    </w:p>
    <w:p w14:paraId="65954F80">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highlight w:val="none"/>
        </w:rPr>
      </w:pPr>
      <w:bookmarkStart w:id="90" w:name="_Toc17413"/>
      <w:r>
        <w:rPr>
          <w:rFonts w:hint="eastAsia" w:ascii="宋体" w:hAnsi="宋体" w:eastAsia="宋体" w:cs="宋体"/>
          <w:sz w:val="24"/>
          <w:szCs w:val="24"/>
          <w:highlight w:val="none"/>
        </w:rPr>
        <w:t>7</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培训答疑服务要求</w:t>
      </w:r>
      <w:bookmarkEnd w:id="90"/>
      <w:r>
        <w:rPr>
          <w:rFonts w:hint="eastAsia" w:ascii="宋体" w:hAnsi="宋体" w:eastAsia="宋体" w:cs="宋体"/>
          <w:sz w:val="24"/>
          <w:szCs w:val="24"/>
          <w:highlight w:val="none"/>
        </w:rPr>
        <w:t xml:space="preserve"> </w:t>
      </w:r>
    </w:p>
    <w:p w14:paraId="2C17BD24">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（1）提供不同角色使用者的使用手册，包含：管理员使用手册、教师使用手册、学生使用手册等。 </w:t>
      </w:r>
    </w:p>
    <w:p w14:paraId="25BFC72D">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（2）针对不同使用者录制使用帮助微视频，方便使用者学习使用。 </w:t>
      </w:r>
    </w:p>
    <w:p w14:paraId="4948CC8F">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（3）分别提供针对平台管理员、教师和学生等角色的专门培训服务，培训时间、时长及场次以招标人需要为准。 </w:t>
      </w:r>
    </w:p>
    <w:p w14:paraId="08DC612B">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（4）需要提供现场答疑、电话答疑、在线客服、本地客服等形式的答疑服务。具体响应时间要求如下。 </w:t>
      </w:r>
    </w:p>
    <w:p w14:paraId="09887296">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1）现场答疑：根据学校需求，提供 5*12 小时驻场服务，随时解答师生使用过程出现的问题。 </w:t>
      </w:r>
    </w:p>
    <w:p w14:paraId="52A08E4D">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2）上门答疑：教师提出需求后，在 1 小时内提供上门答疑，针对使用者的使用问题进行解答，不限时长，以全部问题解决为准。 </w:t>
      </w:r>
    </w:p>
    <w:p w14:paraId="74800772">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3）电话答疑：提供服务人员的电话，使用者有问题时可拨打电话，随时进行沟通，工作日要求 8:00-22:00，非工作日要求 8:00-20:00。 </w:t>
      </w:r>
    </w:p>
    <w:p w14:paraId="6EAA9AB2">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4）在线客服：平台提供在线客服入口，提供 7*24 小时的在线咨询服务。 </w:t>
      </w:r>
    </w:p>
    <w:p w14:paraId="21FD894A">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5）本地客服：投标人须提供 5 人的本地客服团队，专门维护学校的用户群，提供咨询服务。 </w:t>
      </w:r>
    </w:p>
    <w:p w14:paraId="1688A1A5">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highlight w:val="none"/>
        </w:rPr>
      </w:pPr>
      <w:bookmarkStart w:id="91" w:name="_Toc17670"/>
      <w:r>
        <w:rPr>
          <w:rFonts w:hint="eastAsia" w:ascii="宋体" w:hAnsi="宋体" w:eastAsia="宋体" w:cs="宋体"/>
          <w:sz w:val="24"/>
          <w:szCs w:val="24"/>
          <w:highlight w:val="none"/>
        </w:rPr>
        <w:t>8</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付款方式</w:t>
      </w:r>
      <w:bookmarkEnd w:id="91"/>
      <w:r>
        <w:rPr>
          <w:rFonts w:hint="eastAsia" w:ascii="宋体" w:hAnsi="宋体" w:eastAsia="宋体" w:cs="宋体"/>
          <w:sz w:val="24"/>
          <w:szCs w:val="24"/>
          <w:highlight w:val="none"/>
        </w:rPr>
        <w:t xml:space="preserve"> </w:t>
      </w:r>
    </w:p>
    <w:p w14:paraId="3C6E7AAB">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highlight w:val="none"/>
          <w:u w:val="none"/>
        </w:rPr>
      </w:pPr>
      <w:r>
        <w:rPr>
          <w:rFonts w:hint="eastAsia" w:ascii="宋体" w:hAnsi="宋体" w:eastAsia="宋体" w:cs="宋体"/>
          <w:sz w:val="24"/>
          <w:szCs w:val="24"/>
          <w:highlight w:val="none"/>
          <w:u w:val="none"/>
        </w:rPr>
        <w:t>本项目服务期两年。</w:t>
      </w:r>
      <w:r>
        <w:rPr>
          <w:rFonts w:hint="eastAsia" w:ascii="宋体" w:hAnsi="宋体" w:cs="宋体"/>
          <w:sz w:val="24"/>
          <w:szCs w:val="24"/>
          <w:highlight w:val="none"/>
          <w:u w:val="none"/>
        </w:rPr>
        <w:t>合同签订后采购人支付合同总价款的30%。项目上线运行并验收通过后，采购人向中标人支付合同总价款的</w:t>
      </w:r>
      <w:r>
        <w:rPr>
          <w:rFonts w:hint="eastAsia" w:ascii="宋体" w:hAnsi="宋体" w:cs="宋体"/>
          <w:sz w:val="24"/>
          <w:szCs w:val="24"/>
          <w:highlight w:val="none"/>
          <w:u w:val="none"/>
          <w:lang w:val="en-US" w:eastAsia="zh-CN"/>
        </w:rPr>
        <w:t>2</w:t>
      </w:r>
      <w:r>
        <w:rPr>
          <w:rFonts w:hint="eastAsia" w:ascii="宋体" w:hAnsi="宋体" w:cs="宋体"/>
          <w:sz w:val="24"/>
          <w:szCs w:val="24"/>
          <w:highlight w:val="none"/>
          <w:u w:val="none"/>
        </w:rPr>
        <w:t>0%。</w:t>
      </w:r>
      <w:r>
        <w:rPr>
          <w:rFonts w:hint="eastAsia" w:ascii="宋体" w:hAnsi="宋体" w:eastAsia="宋体" w:cs="宋体"/>
          <w:sz w:val="24"/>
          <w:szCs w:val="24"/>
          <w:highlight w:val="none"/>
          <w:u w:val="none"/>
        </w:rPr>
        <w:t xml:space="preserve">服务期满一年后采购人支付合同总价款的 </w:t>
      </w:r>
      <w:r>
        <w:rPr>
          <w:rFonts w:hint="eastAsia" w:ascii="宋体" w:hAnsi="宋体" w:eastAsia="宋体" w:cs="宋体"/>
          <w:sz w:val="24"/>
          <w:szCs w:val="24"/>
          <w:highlight w:val="none"/>
          <w:u w:val="none"/>
          <w:lang w:val="en-US" w:eastAsia="zh-CN"/>
        </w:rPr>
        <w:t>3</w:t>
      </w:r>
      <w:r>
        <w:rPr>
          <w:rFonts w:hint="eastAsia" w:ascii="宋体" w:hAnsi="宋体" w:eastAsia="宋体" w:cs="宋体"/>
          <w:sz w:val="24"/>
          <w:szCs w:val="24"/>
          <w:highlight w:val="none"/>
          <w:u w:val="none"/>
        </w:rPr>
        <w:t>0%，项目服务期满后采购人支付合同总价款的</w:t>
      </w:r>
      <w:r>
        <w:rPr>
          <w:rFonts w:hint="eastAsia" w:ascii="宋体" w:hAnsi="宋体" w:eastAsia="宋体" w:cs="宋体"/>
          <w:sz w:val="24"/>
          <w:szCs w:val="24"/>
          <w:highlight w:val="none"/>
          <w:u w:val="none"/>
          <w:lang w:val="en-US" w:eastAsia="zh-CN"/>
        </w:rPr>
        <w:t>2</w:t>
      </w:r>
      <w:r>
        <w:rPr>
          <w:rFonts w:hint="eastAsia" w:ascii="宋体" w:hAnsi="宋体" w:eastAsia="宋体" w:cs="宋体"/>
          <w:sz w:val="24"/>
          <w:szCs w:val="24"/>
          <w:highlight w:val="none"/>
          <w:u w:val="none"/>
        </w:rPr>
        <w:t>0%。合同签订后，中标人须向采购人</w:t>
      </w:r>
      <w:r>
        <w:rPr>
          <w:rFonts w:hint="eastAsia" w:ascii="宋体" w:hAnsi="宋体" w:eastAsia="宋体" w:cs="宋体"/>
          <w:sz w:val="24"/>
          <w:szCs w:val="24"/>
          <w:highlight w:val="none"/>
          <w:u w:val="none"/>
          <w:lang w:val="en-US" w:eastAsia="zh-CN"/>
        </w:rPr>
        <w:t>按服务年度提供该年度的</w:t>
      </w:r>
      <w:r>
        <w:rPr>
          <w:rFonts w:hint="eastAsia" w:ascii="宋体" w:hAnsi="宋体" w:eastAsia="宋体" w:cs="宋体"/>
          <w:sz w:val="24"/>
          <w:szCs w:val="24"/>
          <w:highlight w:val="none"/>
          <w:u w:val="none"/>
        </w:rPr>
        <w:t>全额发票。</w:t>
      </w:r>
    </w:p>
    <w:p w14:paraId="6803A7D7">
      <w:pPr>
        <w:pageBreakBefore w:val="0"/>
        <w:kinsoku/>
        <w:wordWrap/>
        <w:overflowPunct/>
        <w:topLinePunct w:val="0"/>
        <w:autoSpaceDE/>
        <w:autoSpaceDN/>
        <w:bidi w:val="0"/>
        <w:adjustRightInd/>
        <w:spacing w:line="360" w:lineRule="auto"/>
        <w:ind w:left="0" w:firstLine="480" w:firstLineChars="200"/>
        <w:jc w:val="left"/>
        <w:textAlignment w:val="auto"/>
        <w:rPr>
          <w:rFonts w:hint="eastAsia" w:ascii="宋体" w:hAnsi="宋体" w:eastAsia="宋体" w:cs="宋体"/>
          <w:sz w:val="24"/>
          <w:szCs w:val="24"/>
          <w:highlight w:val="yellow"/>
          <w:u w:val="none"/>
        </w:rPr>
      </w:pPr>
    </w:p>
    <w:p w14:paraId="024CA2D9">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highlight w:val="none"/>
        </w:rPr>
      </w:pPr>
      <w:bookmarkStart w:id="92" w:name="_Toc10347"/>
      <w:r>
        <w:rPr>
          <w:rFonts w:hint="eastAsia" w:ascii="宋体" w:hAnsi="宋体" w:eastAsia="宋体" w:cs="宋体"/>
          <w:sz w:val="24"/>
          <w:szCs w:val="24"/>
          <w:highlight w:val="none"/>
        </w:rPr>
        <w:t>9</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服务要求</w:t>
      </w:r>
      <w:bookmarkEnd w:id="92"/>
      <w:r>
        <w:rPr>
          <w:rFonts w:hint="eastAsia" w:ascii="宋体" w:hAnsi="宋体" w:eastAsia="宋体" w:cs="宋体"/>
          <w:sz w:val="24"/>
          <w:szCs w:val="24"/>
          <w:highlight w:val="none"/>
        </w:rPr>
        <w:t xml:space="preserve"> </w:t>
      </w:r>
    </w:p>
    <w:p w14:paraId="51100259">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服务时间：自项目合同签订之日起服务期 2 年。 </w:t>
      </w:r>
    </w:p>
    <w:p w14:paraId="6E36EDEB">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服务地点：南京信息工程大学校内指定地点。 </w:t>
      </w:r>
    </w:p>
    <w:p w14:paraId="4C523C31">
      <w:pPr>
        <w:pageBreakBefore w:val="0"/>
        <w:kinsoku/>
        <w:wordWrap/>
        <w:overflowPunct/>
        <w:topLinePunct w:val="0"/>
        <w:autoSpaceDE/>
        <w:autoSpaceDN/>
        <w:bidi w:val="0"/>
        <w:adjustRightInd/>
        <w:spacing w:line="360" w:lineRule="auto"/>
        <w:ind w:left="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服务期满后，双方可进一步协商续约方案，若双方没有达成续约共识，</w:t>
      </w:r>
      <w:r>
        <w:rPr>
          <w:rFonts w:hint="eastAsia" w:ascii="宋体" w:hAnsi="宋体" w:cs="宋体"/>
          <w:sz w:val="24"/>
          <w:szCs w:val="24"/>
          <w:highlight w:val="none"/>
          <w:lang w:val="en-US" w:eastAsia="zh-CN"/>
        </w:rPr>
        <w:t>中标人</w:t>
      </w:r>
      <w:r>
        <w:rPr>
          <w:rFonts w:hint="eastAsia" w:ascii="宋体" w:hAnsi="宋体" w:eastAsia="宋体" w:cs="宋体"/>
          <w:sz w:val="24"/>
          <w:szCs w:val="24"/>
          <w:highlight w:val="none"/>
        </w:rPr>
        <w:t>须保留</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rPr>
        <w:t>在使用过程中产生的所有数据，并可允许</w:t>
      </w:r>
      <w:r>
        <w:rPr>
          <w:rFonts w:hint="eastAsia" w:ascii="宋体" w:hAnsi="宋体" w:cs="宋体"/>
          <w:sz w:val="24"/>
          <w:szCs w:val="24"/>
          <w:highlight w:val="none"/>
          <w:lang w:val="en-US" w:eastAsia="zh-CN"/>
        </w:rPr>
        <w:t>采购人</w:t>
      </w:r>
      <w:r>
        <w:rPr>
          <w:rFonts w:hint="eastAsia" w:ascii="宋体" w:hAnsi="宋体" w:eastAsia="宋体" w:cs="宋体"/>
          <w:sz w:val="24"/>
          <w:szCs w:val="24"/>
          <w:highlight w:val="none"/>
        </w:rPr>
        <w:t>用户即时访问。</w:t>
      </w:r>
    </w:p>
    <w:p w14:paraId="09DC0C54">
      <w:pPr>
        <w:pStyle w:val="5"/>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93" w:name="_Toc18034"/>
      <w:r>
        <w:rPr>
          <w:rFonts w:hint="eastAsia" w:ascii="宋体" w:hAnsi="宋体" w:eastAsia="宋体" w:cs="宋体"/>
          <w:sz w:val="24"/>
          <w:szCs w:val="24"/>
        </w:rPr>
        <w:t>三、详细要求</w:t>
      </w:r>
      <w:bookmarkEnd w:id="93"/>
    </w:p>
    <w:p w14:paraId="59D1B4E7">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94" w:name="_Toc24933"/>
      <w:r>
        <w:rPr>
          <w:rFonts w:hint="eastAsia" w:ascii="宋体" w:hAnsi="宋体" w:eastAsia="宋体" w:cs="宋体"/>
          <w:sz w:val="24"/>
          <w:szCs w:val="24"/>
        </w:rPr>
        <w:t>1.智慧教学系统</w:t>
      </w:r>
      <w:bookmarkEnd w:id="94"/>
    </w:p>
    <w:tbl>
      <w:tblPr>
        <w:tblStyle w:val="38"/>
        <w:tblW w:w="100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1"/>
        <w:gridCol w:w="1792"/>
        <w:gridCol w:w="6944"/>
      </w:tblGrid>
      <w:tr w14:paraId="127B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1291" w:type="dxa"/>
            <w:vAlign w:val="center"/>
          </w:tcPr>
          <w:p w14:paraId="2A3AB78C">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功能系统</w:t>
            </w:r>
          </w:p>
        </w:tc>
        <w:tc>
          <w:tcPr>
            <w:tcW w:w="1792" w:type="dxa"/>
            <w:vAlign w:val="center"/>
          </w:tcPr>
          <w:p w14:paraId="29A041EA">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模块</w:t>
            </w:r>
          </w:p>
        </w:tc>
        <w:tc>
          <w:tcPr>
            <w:tcW w:w="6944" w:type="dxa"/>
            <w:vAlign w:val="center"/>
          </w:tcPr>
          <w:p w14:paraId="040D6F80">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功能要求</w:t>
            </w:r>
          </w:p>
        </w:tc>
      </w:tr>
      <w:tr w14:paraId="1B1E9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restart"/>
          </w:tcPr>
          <w:p w14:paraId="1A41FCC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智慧教学系统</w:t>
            </w:r>
          </w:p>
        </w:tc>
        <w:tc>
          <w:tcPr>
            <w:tcW w:w="1792" w:type="dxa"/>
          </w:tcPr>
          <w:p w14:paraId="708B98F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系统对接服务</w:t>
            </w:r>
          </w:p>
        </w:tc>
        <w:tc>
          <w:tcPr>
            <w:tcW w:w="6944" w:type="dxa"/>
          </w:tcPr>
          <w:p w14:paraId="36771AEF">
            <w:pPr>
              <w:pageBreakBefore w:val="0"/>
              <w:numPr>
                <w:ilvl w:val="0"/>
                <w:numId w:val="4"/>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须支持对接学校统一身份认证系统，实现用户信息统一管理。</w:t>
            </w:r>
          </w:p>
          <w:p w14:paraId="12512475">
            <w:pPr>
              <w:pageBreakBefore w:val="0"/>
              <w:numPr>
                <w:ilvl w:val="0"/>
                <w:numId w:val="4"/>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须支持通过数据视图、接口等方式对接学校教务管理数据（学生、教师、课程、选课等数据），并进行定期维护和更新，实现教务数据的同步。</w:t>
            </w:r>
            <w:r>
              <w:rPr>
                <w:rFonts w:hint="eastAsia" w:ascii="宋体" w:hAnsi="宋体" w:eastAsia="宋体" w:cs="宋体"/>
                <w:sz w:val="24"/>
                <w:szCs w:val="24"/>
                <w:highlight w:val="none"/>
              </w:rPr>
              <w:br w:type="textWrapping"/>
            </w:r>
            <w:r>
              <w:rPr>
                <w:rFonts w:hint="eastAsia" w:ascii="宋体" w:hAnsi="宋体" w:eastAsia="宋体" w:cs="宋体"/>
                <w:sz w:val="24"/>
                <w:szCs w:val="24"/>
                <w:highlight w:val="none"/>
              </w:rPr>
              <w:t>3.须支持对接数据中台和常态化录播资源。</w:t>
            </w:r>
          </w:p>
          <w:p w14:paraId="4DF069FB">
            <w:pPr>
              <w:pageBreakBefore w:val="0"/>
              <w:kinsoku/>
              <w:wordWrap/>
              <w:overflowPunct/>
              <w:topLinePunct w:val="0"/>
              <w:autoSpaceDE/>
              <w:autoSpaceDN/>
              <w:bidi w:val="0"/>
              <w:adjustRightInd/>
              <w:spacing w:before="0" w:after="0" w:line="360" w:lineRule="auto"/>
              <w:ind w:left="0"/>
              <w:textAlignment w:val="auto"/>
              <w:outlineLvl w:val="9"/>
              <w:rPr>
                <w:rFonts w:hint="eastAsia" w:ascii="宋体" w:hAnsi="宋体" w:eastAsia="宋体" w:cs="宋体"/>
                <w:b w:val="0"/>
                <w:sz w:val="24"/>
                <w:szCs w:val="24"/>
                <w:highlight w:val="none"/>
                <w:lang w:eastAsia="zh-CN"/>
              </w:rPr>
            </w:pPr>
            <w:bookmarkStart w:id="95" w:name="_Toc2145"/>
            <w:r>
              <w:rPr>
                <w:rFonts w:hint="eastAsia" w:ascii="宋体" w:hAnsi="宋体" w:eastAsia="宋体" w:cs="宋体"/>
                <w:b w:val="0"/>
                <w:sz w:val="24"/>
                <w:szCs w:val="24"/>
                <w:highlight w:val="none"/>
              </w:rPr>
              <w:t>4.须按学校要求提供回流数据</w:t>
            </w:r>
            <w:bookmarkEnd w:id="95"/>
            <w:r>
              <w:rPr>
                <w:rFonts w:hint="eastAsia" w:ascii="宋体" w:hAnsi="宋体" w:cs="宋体"/>
                <w:b w:val="0"/>
                <w:sz w:val="24"/>
                <w:szCs w:val="24"/>
                <w:highlight w:val="none"/>
                <w:lang w:eastAsia="zh-CN"/>
              </w:rPr>
              <w:t>。</w:t>
            </w:r>
          </w:p>
          <w:p w14:paraId="529390A7">
            <w:pPr>
              <w:pStyle w:val="2"/>
              <w:rPr>
                <w:rFonts w:hint="default" w:eastAsia="FangSong_GB2312"/>
                <w:lang w:val="en-US" w:eastAsia="zh-CN"/>
              </w:rPr>
            </w:pPr>
          </w:p>
        </w:tc>
      </w:tr>
      <w:tr w14:paraId="39CB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7F46300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42AC99D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系统功能要求</w:t>
            </w:r>
          </w:p>
        </w:tc>
        <w:tc>
          <w:tcPr>
            <w:tcW w:w="6944" w:type="dxa"/>
          </w:tcPr>
          <w:p w14:paraId="729784B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智慧教学系统是应用计算机技术、多媒体技术、网络通信技术、数字技术、虚拟现实技术等现代信息技术手段构建的一种新型教学模式，是融合现代教育理念、教学内容和现代信息技术的具有多种功能的开放式的教与学交互系统。</w:t>
            </w:r>
          </w:p>
        </w:tc>
      </w:tr>
      <w:tr w14:paraId="0387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91" w:type="dxa"/>
            <w:vMerge w:val="continue"/>
          </w:tcPr>
          <w:p w14:paraId="5E14A76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5966A64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系统技术要求</w:t>
            </w:r>
          </w:p>
        </w:tc>
        <w:tc>
          <w:tcPr>
            <w:tcW w:w="6944" w:type="dxa"/>
          </w:tcPr>
          <w:p w14:paraId="5205004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1.支持整个课程创建、内容共享、学习过程跟踪和控制、在线测试和作业发布、交流互动、成绩评测和学习成果反馈教学流程，实现信息技术与教学过程的深度融合。</w:t>
            </w:r>
          </w:p>
          <w:p w14:paraId="24E8768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2.成熟稳定的软件产品，</w:t>
            </w:r>
            <w:r>
              <w:rPr>
                <w:rFonts w:hint="eastAsia" w:ascii="宋体" w:hAnsi="宋体" w:eastAsia="宋体" w:cs="宋体"/>
                <w:b/>
                <w:bCs/>
                <w:sz w:val="24"/>
                <w:szCs w:val="24"/>
                <w:highlight w:val="none"/>
              </w:rPr>
              <w:t>具有国家软件著作权登记证书</w:t>
            </w:r>
            <w:r>
              <w:rPr>
                <w:rFonts w:hint="eastAsia" w:ascii="宋体" w:hAnsi="宋体" w:eastAsia="宋体" w:cs="宋体"/>
                <w:sz w:val="24"/>
                <w:szCs w:val="24"/>
              </w:rPr>
              <w:t>，已在至少2000所高校部署使用。</w:t>
            </w:r>
          </w:p>
          <w:p w14:paraId="05176DD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3.系统设计满足大规模用户使用、支持分布式部署，应满足万人在线学习的性能要求。</w:t>
            </w:r>
          </w:p>
          <w:p w14:paraId="6EDC7F7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4.采用B/S结构，基于J2EE架构，页面采用Web2.0 AJAX开发，不需要另行安装插件就可以支持IE9及以上版本、safari、Firefox、chrome等浏览器。</w:t>
            </w:r>
          </w:p>
          <w:p w14:paraId="1C127C8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5.具有先进性、可移植性、开放性和兼容性，支持标准化多媒体课件。支持随用户使用量的增大而只需增加相应的硬件即可。</w:t>
            </w:r>
          </w:p>
          <w:p w14:paraId="0C3F21F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6.支持Web服务器集群。具有安全策略和备份机制，可根据不同的业务要求采用不同的安全措施，保证发生故障时不影响整个系统的正常运行。提供各级数据备份机制能够每天非工作时段定时备份数据库。具有相关策略对知识产权进行保护。</w:t>
            </w:r>
          </w:p>
          <w:p w14:paraId="6D0747BD">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7.不限注册课程数量和注册用户数，其中的网络课程可以实现按课程的导入、导出进行备份。</w:t>
            </w:r>
          </w:p>
          <w:p w14:paraId="4B58084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8.全面支持学生的自主学习与合作学习，体现在教学活动中学生的主体地位和教师的主导地位，为学生构建自主学习、主动探索的环境，教师通过组织学习材料，实时和非实时的教学手段引导和帮助学生学习。</w:t>
            </w:r>
          </w:p>
          <w:p w14:paraId="0B429E4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9.平台支持辅助教学、混合式教学、纯网络教学、直播课堂等多种网络教学模式。</w:t>
            </w:r>
          </w:p>
          <w:p w14:paraId="15BEE7C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10.平台具有视频、文档格式自动转换、码流自动转换的功能， 以适应不同的访问终端（Android，iOS）；所有文档资源自动转码成flash格式播放，视频类资源系统自动转码为mp4、flv等多种格式。</w:t>
            </w:r>
          </w:p>
          <w:p w14:paraId="57CDA86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11.具有强大的交流协作功能，提供同步、异步的交流讨论工具，使得学生之间、学生与教师之间方便地共享信息、交流、讨论、协商，从而提高网络学习的效果和质量。</w:t>
            </w:r>
          </w:p>
          <w:p w14:paraId="07C2A10F">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12.角色管理：可建立学生、教师、管理员、超级管理员等角色，各级管理员也可以根据自身的需求创建角色和为角色指定权限。</w:t>
            </w:r>
          </w:p>
          <w:p w14:paraId="50A978EA">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13.权限管理：可为每个导航功能点分配访问、管理等不同的权限，管理员可以批量给用户分配、收回权限，具有权限整体移交功能。</w:t>
            </w:r>
          </w:p>
          <w:p w14:paraId="1090994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14.机构和用户管理：管理员可以批量增加、删除、修改组织机构树，可单个、批量增加、删除、修改、查找用户信息。</w:t>
            </w:r>
          </w:p>
          <w:p w14:paraId="165409D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15.提供强大的基于浏览器的数学、化学公式在线编辑器。提供精确的学习进度监控信息，实现学生再次登录平台时能从上次学习的结束点继续学习课程。可记录、查询用户登录及操作信息。</w:t>
            </w:r>
          </w:p>
          <w:p w14:paraId="310A2B9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16.提供专门的APP移动学习平台，需支持iOS和Android系统。与网络教学平台数据同步，进行在线课程的学习、通知、作业、考试、讨论、笔记、小组、成绩分析、学生管理，支持PPT上课、同步课堂、课堂签到、抢答、问卷、讨论、选人、资料、直播等功能。</w:t>
            </w:r>
          </w:p>
          <w:p w14:paraId="6E35FE7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17.提供专门的教室端，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14:paraId="286FFC3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18.系统专属的管理端，方便管理者提随时查看教学运行情况、教学预警、办公应用、综合管理。</w:t>
            </w:r>
          </w:p>
          <w:p w14:paraId="6B2A991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19.支持管理员在后台对全校老师和学生用户的课程导航进行自定义配置，配置内容包含对已有默认栏目如班级活动、课件、教案、章节、资料、通知、讨论、作业、考试、题库、统计、管理、工具箱的隐藏、上移、下移、编辑操作，同时也支持新增自定义导航到课程导航内，添加自定义导航仅需添加导航名称、链接地址就可以配置到课程导航内，同时支持新增导航的提示、打开方式的配置。</w:t>
            </w:r>
          </w:p>
          <w:p w14:paraId="5C3F4D5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b/>
                <w:bCs/>
                <w:sz w:val="24"/>
                <w:szCs w:val="24"/>
                <w:highlight w:val="none"/>
              </w:rPr>
              <w:t>20.具备三级等保及以上的公安备案和年度年检测评报告。</w:t>
            </w:r>
          </w:p>
        </w:tc>
      </w:tr>
      <w:tr w14:paraId="5AF4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06E3EC9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70F8654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课程建设</w:t>
            </w:r>
          </w:p>
        </w:tc>
        <w:tc>
          <w:tcPr>
            <w:tcW w:w="6944" w:type="dxa"/>
          </w:tcPr>
          <w:p w14:paraId="04530BE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1．支持制作富媒体课程，选择不同的模板就可以建设慕课或精品课程的个性化课程网站。</w:t>
            </w:r>
          </w:p>
          <w:p w14:paraId="00FC30A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 提供多套精美网络课程建课模板，教师可依据个人资料的丰富程度及喜欢的风格进行个性化的设置，支持教师在建课程自动生成课程网站。</w:t>
            </w:r>
          </w:p>
          <w:p w14:paraId="65E23B3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 支持使用示范教学包建课，示范教学包需整合本科、中高职、基础教育等各层次院校，各学科、专业的资源，教师可以在建课时引用示范教学包中的课程资源、课堂活动示例、题库等内容，同时可以根据教师自己课程的需要进行重新组合使用。</w:t>
            </w:r>
          </w:p>
          <w:p w14:paraId="3305DB8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 支持导入章节内容，支持从教师自己的其他课程章节中导入，也支持从平台提供的教学资源库中导入其他课程的章节；支持选择所需章节内容。</w:t>
            </w:r>
          </w:p>
          <w:p w14:paraId="02C3EB1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5.支持导出或者打印章节内容，导出支持PDF版或Word版。</w:t>
            </w:r>
          </w:p>
          <w:p w14:paraId="311DABEA">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6.课程编辑页面操作简单、灵活方便、原位编辑、所见即所得。可以发布通告、课程资料、任务、教学资源链接、教师简介等信息。可以任意编写和设置课程的介绍、封面、教学要求、教师团队等，并支持模块的添加、删除和位置调整，支持设置模块中文标题或英文标题，支持模块内容富媒体编辑，支持是否公开显示的设置，可以上传课程片花，并支持选择是否自动播放。</w:t>
            </w:r>
          </w:p>
          <w:p w14:paraId="5A59077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7. 课程负责人可指派其他教师，作为具有同等或者小于本身课程建设管理权限的课程建设者共建同一门课程，并且可以对共建教师的权限进行设置，比如，是否允许管理教师团队的课堂活动、允许管理“课件”模块、允许管理“教案”模块、章节详情页允许查看章节测验答案、允许克隆课程、允许映射课程等。</w:t>
            </w:r>
          </w:p>
          <w:p w14:paraId="247FB6A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8. 课程负责人可为自己指定助教辅助自己进行课程建设和教学管理。并且可以对助教的权限进行设置，比如，允许使用允许使用“通知”模块、允许管理“讨论”模块、允许管理“作业”模块、使用作业库、允许新建及编辑作业、允许修改作业发布设置及删除作业、允许批阅作业、允许管理“考试”模块等。</w:t>
            </w:r>
          </w:p>
          <w:p w14:paraId="528EB90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9. 教师可通过平台上传课程所需要的教材、参考书、参考文献、视频等资源。课程的内容建设，参考资料，课程介绍等任何位置都可以使用平台提供的海量图书、图片、视频的资源一键式搜索插入，插入的资源可以直接点击在线播放查阅，也支持自己上传资料。</w:t>
            </w:r>
          </w:p>
          <w:p w14:paraId="485DEAC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10.支持课程教学流程管理，可在课程学习过程中任意位置添加随堂测验，可在单元学习完成后布置作业，可以在章节学习完成后安排考试。</w:t>
            </w:r>
          </w:p>
          <w:p w14:paraId="5604EA4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11.支持慕课制作和慕课教学模式，实现课程知识单元化，每个知识单元聚合丰富的富媒体教学资源，并在同一个页面中进行显示。每个课程单元还可以设置多个标签页。</w:t>
            </w:r>
          </w:p>
          <w:p w14:paraId="159D582D">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12.课程单元内容建设采用富媒体编辑器，编辑器包含视频、文档、图片、音频、图书、公式、符号、附件、网页、动画等常用组件。</w:t>
            </w:r>
          </w:p>
          <w:p w14:paraId="504C85C5">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13.支持直接将从word中将内容复制粘贴到富媒体编辑器内，并完整保留里面的文字内容。</w:t>
            </w:r>
          </w:p>
          <w:p w14:paraId="22B4C51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14.支持rmvb、3gp、mpg、mpeg、mov、wmv、avi、mkv、mp4、flv、vob等高清和网络格式视频上传，视频上传后自动转码，无需下载可以直接在线进行播放。</w:t>
            </w:r>
          </w:p>
          <w:p w14:paraId="0BF9B3C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15.支持多种文档格式的上传，包括DOC、PPT、PDF、TXT等，上传后自动转码，无需下载可以直接在线阅读。</w:t>
            </w:r>
          </w:p>
          <w:p w14:paraId="0572005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16.支持将资源先批量上传至个人云盘中，然后在课程中引用；支持超大文件（2G以上）使用客户端上传；</w:t>
            </w:r>
          </w:p>
          <w:p w14:paraId="0184659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17.支持视频中任意时间点插入互动测验：上传视频后，可以在任意时间点插入测试题，包含单选题、多选题和对错题；支持设置答错是否允许继续观看视频，如果答错，支持设置或看多少分钟，或者设置回看时间段；支持学生作答后查看答案。</w:t>
            </w:r>
          </w:p>
          <w:p w14:paraId="4F3A5D7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18.支持视频中插入图片、插入知识点、插入批注、插入测验、导入字幕。</w:t>
            </w:r>
          </w:p>
          <w:p w14:paraId="0D1FC77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19.支持视频中任意时间点插入图片或PPT：可以在任意时间点插入图片或PPT，同时支持对插入的内容在时间轴上随意拖动。插入的PPT可以任意拖动位置，并可以跟视频窗口进行切换。支持观看视频时的弹幕功能。</w:t>
            </w:r>
          </w:p>
          <w:p w14:paraId="1733F88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20.支持视频的虚拟剪辑，只需要拖动视频播放的起始点、终止点，就可以将视频文件按照课程的要求剪辑成适当长度，教师还可手动输入时间点，进行视频在线虚拟剪辑，不破坏教师原有视频，同一视频可以重复多次使用进行不同时间段虚拟剪辑。</w:t>
            </w:r>
          </w:p>
          <w:p w14:paraId="3FD0F8ED">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21.支持视频替换功能，替换学习视频后，不影响学生已产生的学习记录和成绩。</w:t>
            </w:r>
          </w:p>
          <w:p w14:paraId="4EEA7F4D">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22.提供可视化的公式编辑器，可以在线进行公式的录入与编辑。</w:t>
            </w:r>
          </w:p>
          <w:p w14:paraId="152299B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23.支持在线录音功能，录完的声音可以直接在线播放。</w:t>
            </w:r>
          </w:p>
          <w:p w14:paraId="6B6F0AA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24.知识点拓展阅读功能，可以根据一个关键词自动生成相关知识点的知识树，插入到课程单元中，并自动推送知识点相关的图书、期刊、论文等资料。</w:t>
            </w:r>
          </w:p>
          <w:p w14:paraId="1DF832A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25.支持课程管理，设置试读范围、设置学生导航栏目、克隆与映射课程等。</w:t>
            </w:r>
          </w:p>
          <w:p w14:paraId="55BB50D5">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26.提供课程编辑的详细操作日志和学生退课日志，便于追溯问题、查找原因。</w:t>
            </w:r>
          </w:p>
          <w:p w14:paraId="0E18EF5F">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27.支持将录制好的速课插入到课程章节内，并支持设置为任务点。</w:t>
            </w:r>
          </w:p>
          <w:p w14:paraId="6DA3C9E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28.支持在线备课，在课前、课中、课后等环节进行备课，并插入教学活动。</w:t>
            </w:r>
          </w:p>
          <w:p w14:paraId="3F84A9AF">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29.可以在课程中插入直播作为任务点。</w:t>
            </w:r>
          </w:p>
          <w:p w14:paraId="5F6E7C9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30.课程门户支持编辑课程封面相关信息、归属院系等。</w:t>
            </w:r>
          </w:p>
          <w:p w14:paraId="2CAF44F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31.支持设置学生端页面，包括导航功能、是否允许学生自测、显示章节视频水印、开启课程通知、开启学生学习监控。</w:t>
            </w:r>
          </w:p>
        </w:tc>
      </w:tr>
      <w:tr w14:paraId="3E64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7177F10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21665FE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教学互动</w:t>
            </w:r>
          </w:p>
        </w:tc>
        <w:tc>
          <w:tcPr>
            <w:tcW w:w="6944" w:type="dxa"/>
          </w:tcPr>
          <w:p w14:paraId="6F79E9F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1．支持辅助教学、混合式教学、纯网络教学、直播课等多种教学模式。 </w:t>
            </w:r>
          </w:p>
          <w:p w14:paraId="3311D31E">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2．教师端提供课程管理、班级管理、教师团队管理、助教管理、统计、考试及作业管理、课程通告管理等。</w:t>
            </w:r>
          </w:p>
          <w:p w14:paraId="4DDD01D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 提供当前学习过程实时监管。提供进度统计功能、成绩统计并支持报表导出。</w:t>
            </w:r>
          </w:p>
          <w:p w14:paraId="329C43B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 学生端实现学生友好学习体验、根据教师设定的课程学习进度，完整地学习网络课程、记录笔记方便复习。</w:t>
            </w:r>
          </w:p>
          <w:p w14:paraId="2FDE7635">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5．支持师生、生生在线讨论交流、在线作业、在线考试。</w:t>
            </w:r>
          </w:p>
          <w:p w14:paraId="0469A7F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6. 提供功能强大的辅助教学活动的功能，比如：发布作业、在线考试、讨论、答疑、资料等。</w:t>
            </w:r>
          </w:p>
          <w:p w14:paraId="645DB15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7. 可以上传教案ppt，并基于PPT的某一页内容添加课堂互动及资源进行展示。</w:t>
            </w:r>
          </w:p>
          <w:p w14:paraId="7968D45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8. 可以进行备课教案的填写，在课前、课中、课后各环节进行备课并插入课堂活动。</w:t>
            </w:r>
          </w:p>
          <w:p w14:paraId="45A7960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9.可对课程中的视频、作业、考试、测验、章节学习次数、直播课观看时长、线下考试成绩等做权重设置。</w:t>
            </w:r>
          </w:p>
          <w:p w14:paraId="493364D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10.可以针对作业模块细化到每一份作业的权重设置，可以导入线下考试成绩，并细化到每一次线下考试权重设置</w:t>
            </w:r>
            <w:r>
              <w:rPr>
                <w:rFonts w:hint="eastAsia" w:ascii="宋体" w:hAnsi="宋体" w:eastAsia="宋体" w:cs="宋体"/>
                <w:sz w:val="24"/>
                <w:szCs w:val="24"/>
              </w:rPr>
              <w:br w:type="textWrapping"/>
            </w:r>
            <w:r>
              <w:rPr>
                <w:rFonts w:hint="eastAsia" w:ascii="宋体" w:hAnsi="宋体" w:eastAsia="宋体" w:cs="宋体"/>
                <w:sz w:val="24"/>
                <w:szCs w:val="24"/>
              </w:rPr>
              <w:t>11.通知</w:t>
            </w:r>
          </w:p>
          <w:p w14:paraId="53B0147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教师可以在课程中发布课程通知。</w:t>
            </w:r>
          </w:p>
          <w:p w14:paraId="250F332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移动端能针对学校的组织机构、班级等不同的范围发放通知，并能及时统计到已读和未读人员名单。</w:t>
            </w:r>
          </w:p>
          <w:p w14:paraId="532AA2B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并且可与移动端打通，无缝对接。针对未读通知，支持短信提醒、电话提醒、微信提醒等提醒方式。</w:t>
            </w:r>
          </w:p>
          <w:p w14:paraId="25B1BCE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12.讨论</w:t>
            </w:r>
          </w:p>
          <w:p w14:paraId="2EA96D2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学生和教师可以在讨论区中发起讨论，讨论可以跟某一个章节进行关联。教师可针对精彩的讨论或有重要意义的讨论做加精或置顶的操作，也可对非法讨论进行删除。</w:t>
            </w:r>
          </w:p>
          <w:p w14:paraId="34CDF6B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移动端可以建立各种讨论小组，进行权限设置，小组成员可以发帖、回帖、置顶、观看小组的动态等。</w:t>
            </w:r>
          </w:p>
          <w:p w14:paraId="5C7FB4F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13.笔记</w:t>
            </w:r>
          </w:p>
          <w:p w14:paraId="2A4EF8D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学生在学习某一个章节时，可以针对此章节做笔记。</w:t>
            </w:r>
          </w:p>
          <w:p w14:paraId="32AD536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移动端可以记录笔记，笔记支持富媒体撰写，并可以分享给单位、好友，也可以私有，同时可以查看好友的笔记，关注好友笔记。并能实时统计阅读次数、回复笔记等。</w:t>
            </w:r>
          </w:p>
        </w:tc>
      </w:tr>
      <w:tr w14:paraId="7A95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336AE36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26A35D7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学习过程监控与管理</w:t>
            </w:r>
          </w:p>
        </w:tc>
        <w:tc>
          <w:tcPr>
            <w:tcW w:w="6944" w:type="dxa"/>
          </w:tcPr>
          <w:p w14:paraId="6445265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1．人脸识别</w:t>
            </w:r>
            <w:r>
              <w:rPr>
                <w:rFonts w:hint="eastAsia" w:ascii="宋体" w:hAnsi="宋体" w:cs="宋体"/>
                <w:sz w:val="24"/>
                <w:szCs w:val="24"/>
                <w:lang w:eastAsia="zh-CN"/>
              </w:rPr>
              <w:t>：</w:t>
            </w:r>
            <w:r>
              <w:rPr>
                <w:rFonts w:hint="eastAsia" w:ascii="宋体" w:hAnsi="宋体" w:eastAsia="宋体" w:cs="宋体"/>
                <w:sz w:val="24"/>
                <w:szCs w:val="24"/>
              </w:rPr>
              <w:t>学生在平台进行课程学习过程时，需要进行人脸识别，通过认证才可以学习课程内容。</w:t>
            </w:r>
          </w:p>
          <w:p w14:paraId="4BDC094E">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2．章节知识点学习推送控制</w:t>
            </w:r>
            <w:r>
              <w:rPr>
                <w:rFonts w:hint="eastAsia" w:ascii="宋体" w:hAnsi="宋体" w:cs="宋体"/>
                <w:sz w:val="24"/>
                <w:szCs w:val="24"/>
                <w:lang w:eastAsia="zh-CN"/>
              </w:rPr>
              <w:t>：</w:t>
            </w:r>
            <w:r>
              <w:rPr>
                <w:rFonts w:hint="eastAsia" w:ascii="宋体" w:hAnsi="宋体" w:eastAsia="宋体" w:cs="宋体"/>
                <w:sz w:val="24"/>
                <w:szCs w:val="24"/>
              </w:rPr>
              <w:t>教师可以针对每一个教学班对每个章节学习内容进行“开放、定时开放、闯关模式开放、隐藏模式、复习模式”等设置。“开放”，表示该章节可以学习。“定时开放”，表示该章节在设置的一个时间段内开放习。“闯关模式开放”，表示学生需要完成上一章节学习内容并通过相应的作业和测试后才能进行下一章节的学习内容。“隐藏模式”，该章节学生不可见，且学生已产生的学习数据将不计算成绩。“复习模式”学生可以对该章节学习，但学习任务点不计算进成绩。</w:t>
            </w:r>
          </w:p>
          <w:p w14:paraId="535DD64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3．任务驱动式的进阶式学习</w:t>
            </w:r>
            <w:r>
              <w:rPr>
                <w:rFonts w:hint="eastAsia" w:ascii="宋体" w:hAnsi="宋体" w:cs="宋体"/>
                <w:sz w:val="24"/>
                <w:szCs w:val="24"/>
                <w:lang w:eastAsia="zh-CN"/>
              </w:rPr>
              <w:t>：</w:t>
            </w:r>
            <w:r>
              <w:rPr>
                <w:rFonts w:hint="eastAsia" w:ascii="宋体" w:hAnsi="宋体" w:eastAsia="宋体" w:cs="宋体"/>
                <w:sz w:val="24"/>
                <w:szCs w:val="24"/>
              </w:rPr>
              <w:t>教师可以将课程章节内视频、图书、作业等内容设置为任务点，要求学生必须完成，灵活控制学生学习的情况。学生端可以看到整个课程和每个章节需要完成的任务点情况，每完成一个任务，数量会自动减一。</w:t>
            </w:r>
          </w:p>
          <w:p w14:paraId="51F2D6B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4．学习过程的监督和跟踪</w:t>
            </w:r>
            <w:r>
              <w:rPr>
                <w:rFonts w:hint="eastAsia" w:ascii="宋体" w:hAnsi="宋体" w:cs="宋体"/>
                <w:sz w:val="24"/>
                <w:szCs w:val="24"/>
                <w:lang w:eastAsia="zh-CN"/>
              </w:rPr>
              <w:t>：</w:t>
            </w:r>
            <w:r>
              <w:rPr>
                <w:rFonts w:hint="eastAsia" w:ascii="宋体" w:hAnsi="宋体" w:eastAsia="宋体" w:cs="宋体"/>
                <w:sz w:val="24"/>
                <w:szCs w:val="24"/>
              </w:rPr>
              <w:t>支持可以跟踪记录并统计基于每个学生的学习进度、课程登录详情、学习材料浏览和下载详情、作业和测试完成情况、在线时长、视频观看的详情、参加答疑讨论的情况等多项学习考核指标。</w:t>
            </w:r>
          </w:p>
          <w:p w14:paraId="6C24BBD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5．视频播放控制</w:t>
            </w:r>
            <w:r>
              <w:rPr>
                <w:rFonts w:hint="eastAsia" w:ascii="宋体" w:hAnsi="宋体" w:cs="宋体"/>
                <w:sz w:val="24"/>
                <w:szCs w:val="24"/>
                <w:lang w:eastAsia="zh-CN"/>
              </w:rPr>
              <w:t>：</w:t>
            </w:r>
            <w:r>
              <w:rPr>
                <w:rFonts w:hint="eastAsia" w:ascii="宋体" w:hAnsi="宋体" w:eastAsia="宋体" w:cs="宋体"/>
                <w:sz w:val="24"/>
                <w:szCs w:val="24"/>
              </w:rPr>
              <w:t>课程的教学视频文件具有“防拖拽和防窗口切换”功能，即视频播放的时候无法进行快进播放，打开章节学习的时候不能再打开其它网页，否则视频播放停止。同时在章节视频中可以插入测验题，包含单选题、多选题和对错题，支持设置答错是否允许继续观看视频，如果答错，支持设置或看多少分钟，或者设置回看时间段；支持学生作答后查看答案。</w:t>
            </w:r>
          </w:p>
          <w:p w14:paraId="584632BE">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6．证书发放功能</w:t>
            </w:r>
            <w:r>
              <w:rPr>
                <w:rFonts w:hint="eastAsia" w:ascii="宋体" w:hAnsi="宋体" w:cs="宋体"/>
                <w:sz w:val="24"/>
                <w:szCs w:val="24"/>
                <w:lang w:eastAsia="zh-CN"/>
              </w:rPr>
              <w:t>：</w:t>
            </w:r>
            <w:r>
              <w:rPr>
                <w:rFonts w:hint="eastAsia" w:ascii="宋体" w:hAnsi="宋体" w:eastAsia="宋体" w:cs="宋体"/>
                <w:sz w:val="24"/>
                <w:szCs w:val="24"/>
              </w:rPr>
              <w:t>证书支持多种模板选择，且支持自定义在线编辑证书内容。系统支持自动发放证书和选人发放，其中自动发放证书包括按综合成绩发放证书和按任务点完成率发放证书。自动发放证书支持定时发放，学生可以将证书下载并打印。</w:t>
            </w:r>
          </w:p>
          <w:p w14:paraId="18157992">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7．课程复习模式</w:t>
            </w:r>
            <w:r>
              <w:rPr>
                <w:rFonts w:hint="eastAsia" w:ascii="宋体" w:hAnsi="宋体" w:cs="宋体"/>
                <w:sz w:val="24"/>
                <w:szCs w:val="24"/>
                <w:lang w:eastAsia="zh-CN"/>
              </w:rPr>
              <w:t>：</w:t>
            </w:r>
            <w:r>
              <w:rPr>
                <w:rFonts w:hint="eastAsia" w:ascii="宋体" w:hAnsi="宋体" w:eastAsia="宋体" w:cs="宋体"/>
                <w:sz w:val="24"/>
                <w:szCs w:val="24"/>
              </w:rPr>
              <w:t>教师在开课时可以设定课程的开课时间和结课时间，并且在课程结束后，可以自动开启复习模式，在复习模式中，学生可以复习，但学习记录不记入总成绩。</w:t>
            </w:r>
          </w:p>
          <w:p w14:paraId="0AE581A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8．学习监控</w:t>
            </w:r>
          </w:p>
          <w:p w14:paraId="21AB8C35">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支持章节视频任务点、作业、考试异常行为监控。</w:t>
            </w:r>
          </w:p>
          <w:p w14:paraId="4D2E8AFF">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学生进入课程、观看视频时进行人脸识别和抓拍。观看视频抓拍需要支持视频起始、视频播放、视频暂停再播放、视频结束抓拍设置，也支持播放中的定时抓拍,如10分钟抓拍一次和随机抓拍。识别失败支持记录并继续学习和不允许学习的配置。</w:t>
            </w:r>
          </w:p>
          <w:p w14:paraId="0D9725E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支持教师查看学生学习监控数据，若有异常学习行为，可清除其学习记录。</w:t>
            </w:r>
          </w:p>
        </w:tc>
      </w:tr>
      <w:tr w14:paraId="348A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4E9FC30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6209E5F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教学资源管理</w:t>
            </w:r>
          </w:p>
        </w:tc>
        <w:tc>
          <w:tcPr>
            <w:tcW w:w="6944" w:type="dxa"/>
          </w:tcPr>
          <w:p w14:paraId="30C9242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学资源管理包括上传课程资源，支持课程资源共享给指定教师或指定教学班，同时资源可在不同板块中反复调用，随时随地下载。教师可从本地、云盘、在线图书、网址、教学资源库等添加资源到课程资料模块。</w:t>
            </w:r>
          </w:p>
          <w:p w14:paraId="2F7DC98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1．教学资料</w:t>
            </w:r>
            <w:r>
              <w:rPr>
                <w:rFonts w:hint="eastAsia" w:ascii="宋体" w:hAnsi="宋体" w:cs="宋体"/>
                <w:sz w:val="24"/>
                <w:szCs w:val="24"/>
                <w:lang w:eastAsia="zh-CN"/>
              </w:rPr>
              <w:t>：</w:t>
            </w:r>
            <w:r>
              <w:rPr>
                <w:rFonts w:hint="eastAsia" w:ascii="宋体" w:hAnsi="宋体" w:eastAsia="宋体" w:cs="宋体"/>
                <w:sz w:val="24"/>
                <w:szCs w:val="24"/>
              </w:rPr>
              <w:t>教师可以对自己所负责的课程的资料进行管理，建立课程文件的目录层级，同时教师可以根据课程需要，赋予一人或多人一定权限，共同参于课程资源建设，即委派角色。支持选择文件夹中内容共享给哪些老师和班级。教师可以直接从备课资源库检索、添加相关在线资源。</w:t>
            </w:r>
          </w:p>
          <w:p w14:paraId="07AA4C6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 支持对资料进行转发分享，支持多种转发渠道，可转发至个人笔记、通知、群聊等，支持通过资料二维码、链接地址等形式进行资料共享。</w:t>
            </w:r>
          </w:p>
          <w:p w14:paraId="2B4253B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 教材教参</w:t>
            </w:r>
            <w:r>
              <w:rPr>
                <w:rFonts w:hint="eastAsia" w:ascii="宋体" w:hAnsi="宋体" w:cs="宋体"/>
                <w:sz w:val="24"/>
                <w:szCs w:val="24"/>
                <w:lang w:val="en-US" w:eastAsia="zh-CN"/>
              </w:rPr>
              <w:t>：</w:t>
            </w:r>
            <w:r>
              <w:rPr>
                <w:rFonts w:hint="eastAsia" w:ascii="宋体" w:hAnsi="宋体" w:eastAsia="宋体" w:cs="宋体"/>
                <w:sz w:val="24"/>
                <w:szCs w:val="24"/>
              </w:rPr>
              <w:t>教师可以从备课资源库中查找并添加课程相关的教学参考书，推荐给学生直接进行在线阅读。</w:t>
            </w:r>
          </w:p>
          <w:p w14:paraId="2A91E80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 教学资源库</w:t>
            </w:r>
            <w:r>
              <w:rPr>
                <w:rFonts w:hint="eastAsia" w:ascii="宋体" w:hAnsi="宋体" w:cs="宋体"/>
                <w:sz w:val="24"/>
                <w:szCs w:val="24"/>
                <w:lang w:eastAsia="zh-CN"/>
              </w:rPr>
              <w:t>：</w:t>
            </w:r>
            <w:r>
              <w:rPr>
                <w:rFonts w:hint="eastAsia" w:ascii="宋体" w:hAnsi="宋体" w:eastAsia="宋体" w:cs="宋体"/>
                <w:sz w:val="24"/>
                <w:szCs w:val="24"/>
              </w:rPr>
              <w:t>教师可以从教学资源库中查找并添加课程相关的课件、音视频、图片、文档，推荐给学生直接进行在线观看。</w:t>
            </w:r>
          </w:p>
          <w:p w14:paraId="3A7EFA8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 题库管理</w:t>
            </w:r>
          </w:p>
          <w:p w14:paraId="345E10C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题库建设支持模板导入及智能导入。智能导入需能智能识别题目类型、题干、答案、拼音标点解析等，并能实现原位编辑。</w:t>
            </w:r>
          </w:p>
          <w:p w14:paraId="17B6157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教师可以创建课程试题库，对试题库进行管理，包括添加、修改、删除、查询、浏览等功能。题型包括单选、多选、判断、简答、填空、连线题、共用选项题、测评题、钟表题、选词填空、选做题等，题的属性除难度系数外，可自定以题目标签，最多支持六级标签。</w:t>
            </w:r>
          </w:p>
          <w:p w14:paraId="3F62E73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题库导入支持excel及word格式的模板方式导入。</w:t>
            </w:r>
          </w:p>
          <w:p w14:paraId="504C6F5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支持创建文件夹对试题进行分类管理，支持多文件夹目录层级。文件夹支持设置共享范围：私有（仅自己可见，文件夹中只能添加自己创建的题目）、共享给指定教学团队成员（仅指定成员可见，文件夹中只能添加自己创建的题目）、公开（所有教学团队成员可见，文件夹中可添加其他成员创建的题目）、是否允许学生自测（是否允许学生从此文件夹中抽题自测）。</w:t>
            </w:r>
          </w:p>
          <w:p w14:paraId="1F59027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支持文件夹及题目复制功能。</w:t>
            </w:r>
          </w:p>
          <w:p w14:paraId="34C0C4E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允许设置文件夹锁定功能。锁定后，题目将放入“已锁定题目”文件夹，已锁定题目将不会出现在题库选题和随机组卷中。</w:t>
            </w:r>
          </w:p>
          <w:p w14:paraId="624FCAA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eastAsia="宋体" w:cs="宋体"/>
                <w:sz w:val="24"/>
                <w:szCs w:val="24"/>
              </w:rPr>
              <w:t>支持智能导入，直接将word试题文档快速导入，支持线上修改题目内容。</w:t>
            </w:r>
          </w:p>
          <w:p w14:paraId="2A1E73F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8</w:t>
            </w:r>
            <w:r>
              <w:rPr>
                <w:rFonts w:hint="eastAsia" w:ascii="宋体" w:hAnsi="宋体" w:cs="宋体"/>
                <w:sz w:val="24"/>
                <w:szCs w:val="24"/>
                <w:lang w:eastAsia="zh-CN"/>
              </w:rPr>
              <w:t>）</w:t>
            </w:r>
            <w:r>
              <w:rPr>
                <w:rFonts w:hint="eastAsia" w:ascii="宋体" w:hAnsi="宋体" w:eastAsia="宋体" w:cs="宋体"/>
                <w:sz w:val="24"/>
                <w:szCs w:val="24"/>
              </w:rPr>
              <w:t>支持教师对系统题型重命名，支持新建题型，满足更多题型要求。支持试题批量导出，支持多种导出格式，包括word、pdf、excel格式。</w:t>
            </w:r>
          </w:p>
          <w:p w14:paraId="6D53718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宋体" w:hAnsi="宋体" w:cs="宋体"/>
                <w:sz w:val="24"/>
                <w:szCs w:val="24"/>
                <w:lang w:eastAsia="zh-CN"/>
              </w:rPr>
              <w:t>）</w:t>
            </w:r>
            <w:r>
              <w:rPr>
                <w:rFonts w:hint="eastAsia" w:ascii="宋体" w:hAnsi="宋体" w:eastAsia="宋体" w:cs="宋体"/>
                <w:sz w:val="24"/>
                <w:szCs w:val="24"/>
              </w:rPr>
              <w:t>支持对单个试题进行排序、编辑、移动、锁定、修改题型、修改难易度、关联知识点、关联课程目标、一键推送云盘功能。</w:t>
            </w:r>
          </w:p>
          <w:p w14:paraId="3537BEC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10</w:t>
            </w:r>
            <w:r>
              <w:rPr>
                <w:rFonts w:hint="eastAsia" w:ascii="宋体" w:hAnsi="宋体" w:cs="宋体"/>
                <w:sz w:val="24"/>
                <w:szCs w:val="24"/>
                <w:lang w:eastAsia="zh-CN"/>
              </w:rPr>
              <w:t>）</w:t>
            </w:r>
            <w:r>
              <w:rPr>
                <w:rFonts w:hint="eastAsia" w:ascii="宋体" w:hAnsi="宋体" w:eastAsia="宋体" w:cs="宋体"/>
                <w:sz w:val="24"/>
                <w:szCs w:val="24"/>
              </w:rPr>
              <w:t>题库支持统计试题使用次数、学生答题正确率、题目创建日期等。</w:t>
            </w:r>
          </w:p>
          <w:p w14:paraId="369EDE0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5.作业管理</w:t>
            </w:r>
          </w:p>
          <w:p w14:paraId="07B9083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教师可以创建作业，形成课程作业库，也可以从教学资源库引入作业，导入作业。</w:t>
            </w:r>
          </w:p>
          <w:p w14:paraId="607DE77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教师可以对平台导出的作业进行二次导入。</w:t>
            </w:r>
          </w:p>
          <w:p w14:paraId="5926DD1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教师可以对已发布的作业进行分数和答案的校正。</w:t>
            </w:r>
          </w:p>
          <w:p w14:paraId="42FC68B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6.试卷管理</w:t>
            </w:r>
          </w:p>
          <w:p w14:paraId="6848FDA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具有从题库或以前的测验中随机生成新的试卷的功能，教师可以对试卷中的试题进行添加、修改、删除、任意排序、预览等功能，还可以对试题设定分值。</w:t>
            </w:r>
          </w:p>
          <w:p w14:paraId="5337E81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试卷可多次重复使用。教师可以按照模板导入编辑好的试卷。</w:t>
            </w:r>
          </w:p>
          <w:p w14:paraId="22CF1D2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教师可以对创建好的试卷进行封存，设置封存密码对试卷进行保护。</w:t>
            </w:r>
          </w:p>
          <w:p w14:paraId="7E9D815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教师可以选择随机组卷和手动组卷两种组卷方式。</w:t>
            </w:r>
          </w:p>
          <w:p w14:paraId="7B778DD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支持试卷结构分析：试卷分析功能分为题型统计分析、难易度统计分析、题目详情。题型统计和难易度统计分析支持按照题量和题目分数分布进行统计。题目详情支持按照题型、难易度、知识点进行查看题目的题号、题干、题型、难易度、知识点、正确率（该题在多次考试中使用的正确率）、题目分数。</w:t>
            </w:r>
          </w:p>
        </w:tc>
      </w:tr>
      <w:tr w14:paraId="6731B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3B539C4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119E74D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作业与考试</w:t>
            </w:r>
          </w:p>
        </w:tc>
        <w:tc>
          <w:tcPr>
            <w:tcW w:w="6944" w:type="dxa"/>
          </w:tcPr>
          <w:p w14:paraId="06F4D59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1.作业</w:t>
            </w:r>
          </w:p>
          <w:p w14:paraId="79B2BCE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作业可以是来源于题库、作业库自定义或模板导入，每次布置作业，自定义的题目需具有保存到题库的功能。作业从题库选题时不限于使用本门课程的题库，可跨课程使用教师本人其他课程的题库。</w:t>
            </w:r>
          </w:p>
          <w:p w14:paraId="5905A27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教师可以随时查看学生作业的完成情况并对作业进行线上批阅打分，学生在线提交作业后，对于客观题系统能自动判分。线下作业教师可以将成绩登记到线上，以备定期统计，了解学生的学习情况。</w:t>
            </w:r>
          </w:p>
          <w:p w14:paraId="483774A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作业需具备生生互评的功能，设为互评的作业，支持设置教师批阅得分、学生批阅得分、互评参与情况之间占比。支持设置学生批语字数限制以及学生主观题评分范围。</w:t>
            </w:r>
          </w:p>
          <w:p w14:paraId="1282B29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作业支持文档、附件、视频、音频等形式，同时音视频支持在线播放功能。</w:t>
            </w:r>
          </w:p>
          <w:p w14:paraId="3B0AEE4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支持填空题是否为客观题的设定，当设填空题为客观题，系统可自动对其批阅，同时，支持设置是否允许学生补考、及格分数的设定，并可设置是否允许学生重考。</w:t>
            </w:r>
          </w:p>
          <w:p w14:paraId="2D62F67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教师可随时设定作业答案是否公开、作业分数是否公开，可设定学生答案的字数范围及是否防止粘贴的功能。可以对作业进行设置，设置发布作业的时间、是否允许补交、是否允许重做、是否允许学生查看分数、允许学生查看题型分数、允许学生粘贴答案、学生重做时显示对错、题目乱序、督促设置、作答要求、评分设置、排序题按空给分。</w:t>
            </w:r>
          </w:p>
          <w:p w14:paraId="4895748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eastAsia="宋体" w:cs="宋体"/>
                <w:sz w:val="24"/>
                <w:szCs w:val="24"/>
              </w:rPr>
              <w:t>对于同一套作业，可以设置题目乱序和选项乱序，防止学生作弊。</w:t>
            </w:r>
          </w:p>
          <w:p w14:paraId="28A3C48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8</w:t>
            </w:r>
            <w:r>
              <w:rPr>
                <w:rFonts w:hint="eastAsia" w:ascii="宋体" w:hAnsi="宋体" w:cs="宋体"/>
                <w:sz w:val="24"/>
                <w:szCs w:val="24"/>
                <w:lang w:eastAsia="zh-CN"/>
              </w:rPr>
              <w:t>）</w:t>
            </w:r>
            <w:r>
              <w:rPr>
                <w:rFonts w:hint="eastAsia" w:ascii="宋体" w:hAnsi="宋体" w:eastAsia="宋体" w:cs="宋体"/>
                <w:sz w:val="24"/>
                <w:szCs w:val="24"/>
              </w:rPr>
              <w:t>对于未提交作业的学生，可以进行督促，发放督促通知。</w:t>
            </w:r>
          </w:p>
          <w:p w14:paraId="2DB6F09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宋体" w:hAnsi="宋体" w:cs="宋体"/>
                <w:sz w:val="24"/>
                <w:szCs w:val="24"/>
                <w:lang w:eastAsia="zh-CN"/>
              </w:rPr>
              <w:t>）</w:t>
            </w:r>
            <w:r>
              <w:rPr>
                <w:rFonts w:hint="eastAsia" w:ascii="宋体" w:hAnsi="宋体" w:eastAsia="宋体" w:cs="宋体"/>
                <w:sz w:val="24"/>
                <w:szCs w:val="24"/>
              </w:rPr>
              <w:t>作业需具备指定发送给某个人的功能，实现有针对性的教学管理。</w:t>
            </w:r>
          </w:p>
          <w:p w14:paraId="5E39B01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10</w:t>
            </w:r>
            <w:r>
              <w:rPr>
                <w:rFonts w:hint="eastAsia" w:ascii="宋体" w:hAnsi="宋体" w:cs="宋体"/>
                <w:sz w:val="24"/>
                <w:szCs w:val="24"/>
                <w:lang w:eastAsia="zh-CN"/>
              </w:rPr>
              <w:t>）</w:t>
            </w:r>
            <w:r>
              <w:rPr>
                <w:rFonts w:hint="eastAsia" w:ascii="宋体" w:hAnsi="宋体" w:eastAsia="宋体" w:cs="宋体"/>
                <w:sz w:val="24"/>
                <w:szCs w:val="24"/>
              </w:rPr>
              <w:t>作业支持智能导入，一键识别加入作业库。</w:t>
            </w:r>
          </w:p>
          <w:p w14:paraId="66265D1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11</w:t>
            </w:r>
            <w:r>
              <w:rPr>
                <w:rFonts w:hint="eastAsia" w:ascii="宋体" w:hAnsi="宋体" w:cs="宋体"/>
                <w:sz w:val="24"/>
                <w:szCs w:val="24"/>
                <w:lang w:eastAsia="zh-CN"/>
              </w:rPr>
              <w:t>）</w:t>
            </w:r>
            <w:r>
              <w:rPr>
                <w:rFonts w:hint="eastAsia" w:ascii="宋体" w:hAnsi="宋体" w:eastAsia="宋体" w:cs="宋体"/>
                <w:sz w:val="24"/>
                <w:szCs w:val="24"/>
              </w:rPr>
              <w:t>教师可以按人、按题目批阅，也可以打回重做。</w:t>
            </w:r>
          </w:p>
          <w:p w14:paraId="68CF292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12</w:t>
            </w:r>
            <w:r>
              <w:rPr>
                <w:rFonts w:hint="eastAsia" w:ascii="宋体" w:hAnsi="宋体" w:cs="宋体"/>
                <w:sz w:val="24"/>
                <w:szCs w:val="24"/>
                <w:lang w:eastAsia="zh-CN"/>
              </w:rPr>
              <w:t>）</w:t>
            </w:r>
            <w:r>
              <w:rPr>
                <w:rFonts w:hint="eastAsia" w:ascii="宋体" w:hAnsi="宋体" w:eastAsia="宋体" w:cs="宋体"/>
                <w:sz w:val="24"/>
                <w:szCs w:val="24"/>
              </w:rPr>
              <w:t>可以导出成绩、导出作业附件。</w:t>
            </w:r>
          </w:p>
          <w:p w14:paraId="6E6AB48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13</w:t>
            </w:r>
            <w:r>
              <w:rPr>
                <w:rFonts w:hint="eastAsia" w:ascii="宋体" w:hAnsi="宋体" w:cs="宋体"/>
                <w:sz w:val="24"/>
                <w:szCs w:val="24"/>
                <w:lang w:eastAsia="zh-CN"/>
              </w:rPr>
              <w:t>）</w:t>
            </w:r>
            <w:r>
              <w:rPr>
                <w:rFonts w:hint="eastAsia" w:ascii="宋体" w:hAnsi="宋体" w:eastAsia="宋体" w:cs="宋体"/>
                <w:sz w:val="24"/>
                <w:szCs w:val="24"/>
              </w:rPr>
              <w:t>可以查看作业的每道题的正确率情况和答题详情并支持导出。</w:t>
            </w:r>
          </w:p>
          <w:p w14:paraId="0E9C867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14</w:t>
            </w:r>
            <w:r>
              <w:rPr>
                <w:rFonts w:hint="eastAsia" w:ascii="宋体" w:hAnsi="宋体" w:cs="宋体"/>
                <w:sz w:val="24"/>
                <w:szCs w:val="24"/>
                <w:lang w:eastAsia="zh-CN"/>
              </w:rPr>
              <w:t>）</w:t>
            </w:r>
            <w:r>
              <w:rPr>
                <w:rFonts w:hint="eastAsia" w:ascii="宋体" w:hAnsi="宋体" w:eastAsia="宋体" w:cs="宋体"/>
                <w:sz w:val="24"/>
                <w:szCs w:val="24"/>
              </w:rPr>
              <w:t>支持进行作业查重，对于简答题、论述题等主观题，可进行班级内两两学生间比对查重。</w:t>
            </w:r>
          </w:p>
          <w:p w14:paraId="25DE905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15</w:t>
            </w:r>
            <w:r>
              <w:rPr>
                <w:rFonts w:hint="eastAsia" w:ascii="宋体" w:hAnsi="宋体" w:cs="宋体"/>
                <w:sz w:val="24"/>
                <w:szCs w:val="24"/>
                <w:lang w:eastAsia="zh-CN"/>
              </w:rPr>
              <w:t>）</w:t>
            </w:r>
            <w:r>
              <w:rPr>
                <w:rFonts w:hint="eastAsia" w:ascii="宋体" w:hAnsi="宋体" w:eastAsia="宋体" w:cs="宋体"/>
                <w:sz w:val="24"/>
                <w:szCs w:val="24"/>
              </w:rPr>
              <w:t>题库试题创建支持在线录音，录完的声音可以直接在线播放。提供强大的基于浏览器的数学、化学公式在线编辑器。</w:t>
            </w:r>
          </w:p>
          <w:p w14:paraId="66552E8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16</w:t>
            </w:r>
            <w:r>
              <w:rPr>
                <w:rFonts w:hint="eastAsia" w:ascii="宋体" w:hAnsi="宋体" w:cs="宋体"/>
                <w:sz w:val="24"/>
                <w:szCs w:val="24"/>
                <w:lang w:eastAsia="zh-CN"/>
              </w:rPr>
              <w:t>）</w:t>
            </w:r>
            <w:r>
              <w:rPr>
                <w:rFonts w:hint="eastAsia" w:ascii="宋体" w:hAnsi="宋体" w:eastAsia="宋体" w:cs="宋体"/>
                <w:sz w:val="24"/>
                <w:szCs w:val="24"/>
              </w:rPr>
              <w:t>能够设置任务学习完成的情况作为是否能完成作业的条件。</w:t>
            </w:r>
          </w:p>
          <w:p w14:paraId="6CE6DCB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17</w:t>
            </w:r>
            <w:r>
              <w:rPr>
                <w:rFonts w:hint="eastAsia" w:ascii="宋体" w:hAnsi="宋体" w:cs="宋体"/>
                <w:sz w:val="24"/>
                <w:szCs w:val="24"/>
                <w:lang w:eastAsia="zh-CN"/>
              </w:rPr>
              <w:t>）</w:t>
            </w:r>
            <w:r>
              <w:rPr>
                <w:rFonts w:hint="eastAsia" w:ascii="宋体" w:hAnsi="宋体" w:eastAsia="宋体" w:cs="宋体"/>
                <w:sz w:val="24"/>
                <w:szCs w:val="24"/>
              </w:rPr>
              <w:t>支持将学生答案拍照上传，同时支持主观题答案与教师设定的标准答案之间进行相似度智能分析，并根据分析结果给出推荐得分，辅助老师进行主观题批阅。</w:t>
            </w:r>
          </w:p>
          <w:p w14:paraId="6FAE32F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2.测验与考试</w:t>
            </w:r>
          </w:p>
          <w:p w14:paraId="08E7244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能为学生提供限时，能按照设定的日期和时间自动开放或关闭测验和考试。</w:t>
            </w:r>
          </w:p>
          <w:p w14:paraId="2668525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w:t>
            </w:r>
            <w:r>
              <w:rPr>
                <w:rFonts w:hint="eastAsia" w:ascii="宋体" w:hAnsi="宋体" w:cs="宋体"/>
                <w:sz w:val="24"/>
                <w:szCs w:val="24"/>
                <w:lang w:eastAsia="zh-CN"/>
              </w:rPr>
              <w:t>）</w:t>
            </w:r>
            <w:r>
              <w:rPr>
                <w:rFonts w:hint="eastAsia" w:ascii="宋体" w:hAnsi="宋体" w:eastAsia="宋体" w:cs="宋体"/>
                <w:sz w:val="24"/>
                <w:szCs w:val="24"/>
              </w:rPr>
              <w:t>支持设置考试限时、限时提交规则、限时进入。考试限时支持设置单题限时，包括所有题型统一限时、按题型限时。</w:t>
            </w:r>
          </w:p>
          <w:p w14:paraId="0B2BF8E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rPr>
              <w:t>需具备随机组卷功能，可以随机组若干套试卷发放给学生。</w:t>
            </w:r>
          </w:p>
          <w:p w14:paraId="30F85DD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4</w:t>
            </w:r>
            <w:r>
              <w:rPr>
                <w:rFonts w:hint="eastAsia" w:ascii="宋体" w:hAnsi="宋体" w:cs="宋体"/>
                <w:sz w:val="24"/>
                <w:szCs w:val="24"/>
                <w:lang w:eastAsia="zh-CN"/>
              </w:rPr>
              <w:t>）</w:t>
            </w:r>
            <w:r>
              <w:rPr>
                <w:rFonts w:hint="eastAsia" w:ascii="宋体" w:hAnsi="宋体" w:eastAsia="宋体" w:cs="宋体"/>
                <w:sz w:val="24"/>
                <w:szCs w:val="24"/>
              </w:rPr>
              <w:t>支持设置任务学习完成的情况作为是否能参加考试的条件；支持设置综合成绩达标情况作为是否能参加考试的条件。</w:t>
            </w:r>
          </w:p>
          <w:p w14:paraId="43356D4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5</w:t>
            </w:r>
            <w:r>
              <w:rPr>
                <w:rFonts w:hint="eastAsia" w:ascii="宋体" w:hAnsi="宋体" w:cs="宋体"/>
                <w:sz w:val="24"/>
                <w:szCs w:val="24"/>
                <w:lang w:eastAsia="zh-CN"/>
              </w:rPr>
              <w:t>）</w:t>
            </w:r>
            <w:r>
              <w:rPr>
                <w:rFonts w:hint="eastAsia" w:ascii="宋体" w:hAnsi="宋体" w:eastAsia="宋体" w:cs="宋体"/>
                <w:sz w:val="24"/>
                <w:szCs w:val="24"/>
              </w:rPr>
              <w:t>支持设置学生端作答时上传的附件类型，包括拍照/录像、录音、上传附件。</w:t>
            </w:r>
          </w:p>
          <w:p w14:paraId="73AE2B0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6</w:t>
            </w:r>
            <w:r>
              <w:rPr>
                <w:rFonts w:hint="eastAsia" w:ascii="宋体" w:hAnsi="宋体" w:cs="宋体"/>
                <w:sz w:val="24"/>
                <w:szCs w:val="24"/>
                <w:lang w:eastAsia="zh-CN"/>
              </w:rPr>
              <w:t>）</w:t>
            </w:r>
            <w:r>
              <w:rPr>
                <w:rFonts w:hint="eastAsia" w:ascii="宋体" w:hAnsi="宋体" w:eastAsia="宋体" w:cs="宋体"/>
                <w:sz w:val="24"/>
                <w:szCs w:val="24"/>
              </w:rPr>
              <w:t>对于同一套试卷，可以设置选项和考题乱序，防止学生作弊。</w:t>
            </w:r>
          </w:p>
          <w:p w14:paraId="7BB4F35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7</w:t>
            </w:r>
            <w:r>
              <w:rPr>
                <w:rFonts w:hint="eastAsia" w:ascii="宋体" w:hAnsi="宋体" w:cs="宋体"/>
                <w:sz w:val="24"/>
                <w:szCs w:val="24"/>
                <w:lang w:eastAsia="zh-CN"/>
              </w:rPr>
              <w:t>）</w:t>
            </w:r>
            <w:r>
              <w:rPr>
                <w:rFonts w:hint="eastAsia" w:ascii="宋体" w:hAnsi="宋体" w:eastAsia="宋体" w:cs="宋体"/>
                <w:sz w:val="24"/>
                <w:szCs w:val="24"/>
              </w:rPr>
              <w:t>需对考试进行是否允许查看答案及分数的设定，避免学生因答题时间不同而产生作弊现象。</w:t>
            </w:r>
          </w:p>
          <w:p w14:paraId="67E86E7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8</w:t>
            </w:r>
            <w:r>
              <w:rPr>
                <w:rFonts w:hint="eastAsia" w:ascii="宋体" w:hAnsi="宋体" w:cs="宋体"/>
                <w:sz w:val="24"/>
                <w:szCs w:val="24"/>
                <w:lang w:eastAsia="zh-CN"/>
              </w:rPr>
              <w:t>）</w:t>
            </w:r>
            <w:r>
              <w:rPr>
                <w:rFonts w:hint="eastAsia" w:ascii="宋体" w:hAnsi="宋体" w:eastAsia="宋体" w:cs="宋体"/>
                <w:sz w:val="24"/>
                <w:szCs w:val="24"/>
              </w:rPr>
              <w:t>需具备设定随机验证码的功能，学生进入考试前需输入验证码，从而实现对学生的身份认证。</w:t>
            </w:r>
          </w:p>
          <w:p w14:paraId="5AE333B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9</w:t>
            </w:r>
            <w:r>
              <w:rPr>
                <w:rFonts w:hint="eastAsia" w:ascii="宋体" w:hAnsi="宋体" w:cs="宋体"/>
                <w:sz w:val="24"/>
                <w:szCs w:val="24"/>
                <w:lang w:eastAsia="zh-CN"/>
              </w:rPr>
              <w:t>）</w:t>
            </w:r>
            <w:r>
              <w:rPr>
                <w:rFonts w:hint="eastAsia" w:ascii="宋体" w:hAnsi="宋体" w:eastAsia="宋体" w:cs="宋体"/>
                <w:sz w:val="24"/>
                <w:szCs w:val="24"/>
              </w:rPr>
              <w:t>支持考试客户端功能，支持客户端独立进行考试。</w:t>
            </w:r>
          </w:p>
          <w:p w14:paraId="59447EF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10</w:t>
            </w:r>
            <w:r>
              <w:rPr>
                <w:rFonts w:hint="eastAsia" w:ascii="宋体" w:hAnsi="宋体" w:cs="宋体"/>
                <w:sz w:val="24"/>
                <w:szCs w:val="24"/>
                <w:lang w:eastAsia="zh-CN"/>
              </w:rPr>
              <w:t>）</w:t>
            </w:r>
            <w:r>
              <w:rPr>
                <w:rFonts w:hint="eastAsia" w:ascii="宋体" w:hAnsi="宋体" w:eastAsia="宋体" w:cs="宋体"/>
                <w:sz w:val="24"/>
                <w:szCs w:val="24"/>
              </w:rPr>
              <w:t>考试过程抓拍：开启后在考生的整个答题过程进行抓拍。</w:t>
            </w:r>
          </w:p>
          <w:p w14:paraId="33C801D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11</w:t>
            </w:r>
            <w:r>
              <w:rPr>
                <w:rFonts w:hint="eastAsia" w:ascii="宋体" w:hAnsi="宋体" w:cs="宋体"/>
                <w:sz w:val="24"/>
                <w:szCs w:val="24"/>
                <w:lang w:eastAsia="zh-CN"/>
              </w:rPr>
              <w:t>）</w:t>
            </w:r>
            <w:r>
              <w:rPr>
                <w:rFonts w:hint="eastAsia" w:ascii="宋体" w:hAnsi="宋体" w:eastAsia="宋体" w:cs="宋体"/>
                <w:sz w:val="24"/>
                <w:szCs w:val="24"/>
              </w:rPr>
              <w:t>考试过程切屏监控：在考生考试过程中将全程监控考生的答题界面。</w:t>
            </w:r>
          </w:p>
          <w:p w14:paraId="1AFB070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12</w:t>
            </w:r>
            <w:r>
              <w:rPr>
                <w:rFonts w:hint="eastAsia" w:ascii="宋体" w:hAnsi="宋体" w:cs="宋体"/>
                <w:sz w:val="24"/>
                <w:szCs w:val="24"/>
                <w:lang w:eastAsia="zh-CN"/>
              </w:rPr>
              <w:t>）</w:t>
            </w:r>
            <w:r>
              <w:rPr>
                <w:rFonts w:hint="eastAsia" w:ascii="宋体" w:hAnsi="宋体" w:eastAsia="宋体" w:cs="宋体"/>
                <w:sz w:val="24"/>
                <w:szCs w:val="24"/>
              </w:rPr>
              <w:t>考试码：考试码在教师端显示，学生需输入考试码后才能参加考试。</w:t>
            </w:r>
          </w:p>
          <w:p w14:paraId="2B491EF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13</w:t>
            </w:r>
            <w:r>
              <w:rPr>
                <w:rFonts w:hint="eastAsia" w:ascii="宋体" w:hAnsi="宋体" w:cs="宋体"/>
                <w:sz w:val="24"/>
                <w:szCs w:val="24"/>
                <w:lang w:eastAsia="zh-CN"/>
              </w:rPr>
              <w:t>）</w:t>
            </w:r>
            <w:r>
              <w:rPr>
                <w:rFonts w:hint="eastAsia" w:ascii="宋体" w:hAnsi="宋体" w:eastAsia="宋体" w:cs="宋体"/>
                <w:sz w:val="24"/>
                <w:szCs w:val="24"/>
              </w:rPr>
              <w:t>人脸识别：开启后考生在考试前需进行人脸核对，保证本人参考。</w:t>
            </w:r>
          </w:p>
          <w:p w14:paraId="2F359C8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14</w:t>
            </w:r>
            <w:r>
              <w:rPr>
                <w:rFonts w:hint="eastAsia" w:ascii="宋体" w:hAnsi="宋体" w:cs="宋体"/>
                <w:sz w:val="24"/>
                <w:szCs w:val="24"/>
                <w:lang w:eastAsia="zh-CN"/>
              </w:rPr>
              <w:t>）</w:t>
            </w:r>
            <w:r>
              <w:rPr>
                <w:rFonts w:hint="eastAsia" w:ascii="宋体" w:hAnsi="宋体" w:eastAsia="宋体" w:cs="宋体"/>
                <w:sz w:val="24"/>
                <w:szCs w:val="24"/>
              </w:rPr>
              <w:t>支持设置考前多长时间可以进行考前准备。</w:t>
            </w:r>
          </w:p>
          <w:p w14:paraId="36C2ED1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15</w:t>
            </w:r>
            <w:r>
              <w:rPr>
                <w:rFonts w:hint="eastAsia" w:ascii="宋体" w:hAnsi="宋体" w:cs="宋体"/>
                <w:sz w:val="24"/>
                <w:szCs w:val="24"/>
                <w:lang w:eastAsia="zh-CN"/>
              </w:rPr>
              <w:t>）</w:t>
            </w:r>
            <w:r>
              <w:rPr>
                <w:rFonts w:hint="eastAsia" w:ascii="宋体" w:hAnsi="宋体" w:eastAsia="宋体" w:cs="宋体"/>
                <w:sz w:val="24"/>
                <w:szCs w:val="24"/>
              </w:rPr>
              <w:t>支持发布考试须知，可自定义编辑。</w:t>
            </w:r>
          </w:p>
          <w:p w14:paraId="6F0E637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16</w:t>
            </w:r>
            <w:r>
              <w:rPr>
                <w:rFonts w:hint="eastAsia" w:ascii="宋体" w:hAnsi="宋体" w:cs="宋体"/>
                <w:sz w:val="24"/>
                <w:szCs w:val="24"/>
                <w:lang w:eastAsia="zh-CN"/>
              </w:rPr>
              <w:t>）</w:t>
            </w:r>
            <w:r>
              <w:rPr>
                <w:rFonts w:hint="eastAsia" w:ascii="宋体" w:hAnsi="宋体" w:eastAsia="宋体" w:cs="宋体"/>
                <w:sz w:val="24"/>
                <w:szCs w:val="24"/>
              </w:rPr>
              <w:t>可以设置题目乱序、选项乱序；支持设置指定IP参加考试、可以单题限时作答。</w:t>
            </w:r>
          </w:p>
          <w:p w14:paraId="160AE3D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17</w:t>
            </w:r>
            <w:r>
              <w:rPr>
                <w:rFonts w:hint="eastAsia" w:ascii="宋体" w:hAnsi="宋体" w:cs="宋体"/>
                <w:sz w:val="24"/>
                <w:szCs w:val="24"/>
                <w:lang w:eastAsia="zh-CN"/>
              </w:rPr>
              <w:t>）</w:t>
            </w:r>
            <w:r>
              <w:rPr>
                <w:rFonts w:hint="eastAsia" w:ascii="宋体" w:hAnsi="宋体" w:eastAsia="宋体" w:cs="宋体"/>
                <w:sz w:val="24"/>
                <w:szCs w:val="24"/>
              </w:rPr>
              <w:t>支持自动随机组卷，组多套试卷时，可设置试卷试题重复率为0、不高于20%、不高于50%、不高于80%等。</w:t>
            </w:r>
          </w:p>
          <w:p w14:paraId="3AD267B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18</w:t>
            </w:r>
            <w:r>
              <w:rPr>
                <w:rFonts w:hint="eastAsia" w:ascii="宋体" w:hAnsi="宋体" w:cs="宋体"/>
                <w:sz w:val="24"/>
                <w:szCs w:val="24"/>
                <w:lang w:eastAsia="zh-CN"/>
              </w:rPr>
              <w:t>）</w:t>
            </w:r>
            <w:r>
              <w:rPr>
                <w:rFonts w:hint="eastAsia" w:ascii="宋体" w:hAnsi="宋体" w:eastAsia="宋体" w:cs="宋体"/>
                <w:sz w:val="24"/>
                <w:szCs w:val="24"/>
              </w:rPr>
              <w:t>允许学生考后查看试卷、允许学生查看题目对错、允许学生查看分数、允许学生查看题型分数、允许学生查看考试等级、允许学生查看排名、允许自定义设置学生考试完成后展示的提示信息。</w:t>
            </w:r>
          </w:p>
          <w:p w14:paraId="34E1F0C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19</w:t>
            </w:r>
            <w:r>
              <w:rPr>
                <w:rFonts w:hint="eastAsia" w:ascii="宋体" w:hAnsi="宋体" w:cs="宋体"/>
                <w:sz w:val="24"/>
                <w:szCs w:val="24"/>
                <w:lang w:eastAsia="zh-CN"/>
              </w:rPr>
              <w:t>）</w:t>
            </w:r>
            <w:r>
              <w:rPr>
                <w:rFonts w:hint="eastAsia" w:ascii="宋体" w:hAnsi="宋体" w:eastAsia="宋体" w:cs="宋体"/>
                <w:sz w:val="24"/>
                <w:szCs w:val="24"/>
              </w:rPr>
              <w:t>支持生成试卷分析报告，报告中需至少包含试卷难度、区分度统计，成绩正态分布，成绩标准差、方差、试卷信度等分析数据项。</w:t>
            </w:r>
          </w:p>
          <w:p w14:paraId="5ADF1AE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20</w:t>
            </w:r>
            <w:r>
              <w:rPr>
                <w:rFonts w:hint="eastAsia" w:ascii="宋体" w:hAnsi="宋体" w:cs="宋体"/>
                <w:sz w:val="24"/>
                <w:szCs w:val="24"/>
                <w:lang w:eastAsia="zh-CN"/>
              </w:rPr>
              <w:t>）</w:t>
            </w:r>
            <w:r>
              <w:rPr>
                <w:rFonts w:hint="eastAsia" w:ascii="宋体" w:hAnsi="宋体" w:eastAsia="宋体" w:cs="宋体"/>
                <w:sz w:val="24"/>
                <w:szCs w:val="24"/>
              </w:rPr>
              <w:t>支持在线阅卷，阅卷教师可在线打分、写评语、如答案为图片，支持在图片上进行批注；可切换批阅方式，支持按人批阅或按题目批阅。</w:t>
            </w:r>
          </w:p>
          <w:p w14:paraId="3C18A9A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21</w:t>
            </w:r>
            <w:r>
              <w:rPr>
                <w:rFonts w:hint="eastAsia" w:ascii="宋体" w:hAnsi="宋体" w:cs="宋体"/>
                <w:sz w:val="24"/>
                <w:szCs w:val="24"/>
                <w:lang w:eastAsia="zh-CN"/>
              </w:rPr>
              <w:t>）</w:t>
            </w:r>
            <w:r>
              <w:rPr>
                <w:rFonts w:hint="eastAsia" w:ascii="宋体" w:hAnsi="宋体" w:eastAsia="宋体" w:cs="宋体"/>
                <w:sz w:val="24"/>
                <w:szCs w:val="24"/>
              </w:rPr>
              <w:t>在线监考：支持监考教师实时查看每位考生是否进入考试、进入时间、当前状态、IP地址、所在地区、考试方式、人脸识别情况、切屏次数、考试过程中抓拍照片识别次数、考试过程中抓拍照片识别异常次数、屏幕抓拍识别异常次数、是否被标记等。</w:t>
            </w:r>
          </w:p>
          <w:p w14:paraId="19311DF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22</w:t>
            </w:r>
            <w:r>
              <w:rPr>
                <w:rFonts w:hint="eastAsia" w:ascii="宋体" w:hAnsi="宋体" w:cs="宋体"/>
                <w:sz w:val="24"/>
                <w:szCs w:val="24"/>
                <w:lang w:eastAsia="zh-CN"/>
              </w:rPr>
              <w:t>）</w:t>
            </w:r>
            <w:r>
              <w:rPr>
                <w:rFonts w:hint="eastAsia" w:ascii="宋体" w:hAnsi="宋体" w:eastAsia="宋体" w:cs="宋体"/>
                <w:sz w:val="24"/>
                <w:szCs w:val="24"/>
              </w:rPr>
              <w:t>查看考生详情：监考老师可随时查看每位考生的考试行为记录，详情以时间轴形式呈现，包括考生进入考试人脸识别结果、考试切屏记录、考试抓拍记录、屏幕抓拍识别记录、考生答题记录、直播监考记录、监考教师操作记录等。</w:t>
            </w:r>
          </w:p>
          <w:p w14:paraId="0C56A23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23</w:t>
            </w:r>
            <w:r>
              <w:rPr>
                <w:rFonts w:hint="eastAsia" w:ascii="宋体" w:hAnsi="宋体" w:cs="宋体"/>
                <w:sz w:val="24"/>
                <w:szCs w:val="24"/>
                <w:lang w:eastAsia="zh-CN"/>
              </w:rPr>
              <w:t>）</w:t>
            </w:r>
            <w:r>
              <w:rPr>
                <w:rFonts w:hint="eastAsia" w:ascii="宋体" w:hAnsi="宋体" w:eastAsia="宋体" w:cs="宋体"/>
                <w:sz w:val="24"/>
                <w:szCs w:val="24"/>
              </w:rPr>
              <w:t>平台支持试卷导出功能，至少支持A3、A4、B4等版式。</w:t>
            </w:r>
          </w:p>
          <w:p w14:paraId="7298B3AC">
            <w:pPr>
              <w:pStyle w:val="16"/>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（24）支持自定义设置导出试卷模板，包括密封线位置，显示的课程信息，学生信息，考试承诺书等多项内容。</w:t>
            </w:r>
          </w:p>
        </w:tc>
      </w:tr>
      <w:tr w14:paraId="008B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7A0928F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4C76C7C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统计督学</w:t>
            </w:r>
          </w:p>
        </w:tc>
        <w:tc>
          <w:tcPr>
            <w:tcW w:w="6944" w:type="dxa"/>
          </w:tcPr>
          <w:p w14:paraId="03DA208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1.基础数据</w:t>
            </w:r>
          </w:p>
          <w:p w14:paraId="621F176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可以对课程学生人数、班级个数、作业次数、课堂活动数、课程章节个数、视频、文档等资源个数、课程资料数、题库题数、考试次数、讨论数进行统计；</w:t>
            </w:r>
          </w:p>
          <w:p w14:paraId="5DD209B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2.课堂报告</w:t>
            </w:r>
          </w:p>
          <w:p w14:paraId="5DCB5A8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以班级和教师筛选展示整个课程的课堂活动发放情况、签到情况、课堂回顾。可以按日筛选查看不同日期课堂报告，可以导出课堂报告。</w:t>
            </w:r>
          </w:p>
          <w:p w14:paraId="5D5D4EA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3.学情分析</w:t>
            </w:r>
          </w:p>
          <w:p w14:paraId="5F9F336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展示课程当中学生的学习情况，从多个维度展示学情，包括学习动态监测、章节学习次数、章节任务点、签到、课程积分、作业、章节测验、考试、讨论、教学预警、互动测验、分组任务等学习情况，可以导出学生详细学习情况。</w:t>
            </w:r>
          </w:p>
          <w:p w14:paraId="7985103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4.学生成绩</w:t>
            </w:r>
          </w:p>
          <w:p w14:paraId="00CB5D6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（1）可查看课程下每个班级综合成绩平均分、查看每个学生综合成绩、各分项成绩及权重占比，支持教师手动修改成绩。可查看学生各分项考核模块学习进度情况，可查看每个学生学习情况。</w:t>
            </w:r>
          </w:p>
          <w:p w14:paraId="14CC03D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（2）可对课程中的视频、作业、测验、在线时长等做权重设置，可以针对作业模块做细化到每一份作业的权重设置。</w:t>
            </w:r>
          </w:p>
          <w:p w14:paraId="71BB9EB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教师可以设置是否允许学生查看成绩，如果允许，学生端可以查看自己的各项成绩及综合排名，同时其他同学的成绩可设为保秘状态；同时，可以导入线下成绩，导入课堂互动的成绩如签到、课堂互动、阅读、直播等课堂成绩，保证学生的成绩更加全面。</w:t>
            </w:r>
          </w:p>
          <w:p w14:paraId="45C437B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5.教学预警</w:t>
            </w:r>
          </w:p>
          <w:p w14:paraId="139970D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可以按照条件进行预设设置，包括低于任务点平均完成度、低于章节测验平均完成度、低于章节测验平均分、低于作业平均分、低于访问平均分、低于考试平均分、低于综合成绩平均分 。按照条件筛选，并可执行提醒，可查看督学记录。</w:t>
            </w:r>
          </w:p>
        </w:tc>
      </w:tr>
      <w:tr w14:paraId="510B9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1126A46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127EFE1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学习空间</w:t>
            </w:r>
          </w:p>
        </w:tc>
        <w:tc>
          <w:tcPr>
            <w:tcW w:w="6944" w:type="dxa"/>
          </w:tcPr>
          <w:p w14:paraId="2CE7379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学习、互动、考试等都通过空间完成，教师空间包含所教的课，学生空间包含所学的课。</w:t>
            </w:r>
          </w:p>
          <w:p w14:paraId="3D4CCC5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学习空间至少包含以下APP：</w:t>
            </w:r>
          </w:p>
          <w:p w14:paraId="464859C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1.收件箱</w:t>
            </w:r>
          </w:p>
          <w:p w14:paraId="60A8BE3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可以查收&amp;回复收到的站内信函。信函编辑支持署名设置，支持设定内容模版，可通过选择指定模版进行信函快速编辑。</w:t>
            </w:r>
          </w:p>
          <w:p w14:paraId="44965A8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2.云盘</w:t>
            </w:r>
          </w:p>
          <w:p w14:paraId="571B2A3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可以将文件上传至云盘中，随时随地进行下载，并可以在课程建设时引用云盘的资源。支持共享云盘。</w:t>
            </w:r>
          </w:p>
          <w:p w14:paraId="482F0C3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3.小组</w:t>
            </w:r>
          </w:p>
          <w:p w14:paraId="4FF3A4F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小组是就某一类话题或兴趣点（例如计算机、电影、电子产品等）跟别人交流的场所。用户可以自己创建小组，可以设定小组名称、介绍、加入的权限，权限包括公开加入、邀请加入、审批加入等。用户可以浏览和发现小组。进入小组后，可以参与小组的讨论，查看小组成员。</w:t>
            </w:r>
          </w:p>
        </w:tc>
      </w:tr>
      <w:tr w14:paraId="57AB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44877AA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1C788ED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网络教学门户网站</w:t>
            </w:r>
          </w:p>
        </w:tc>
        <w:tc>
          <w:tcPr>
            <w:tcW w:w="6944" w:type="dxa"/>
          </w:tcPr>
          <w:p w14:paraId="580D915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帮助学校建设个性化门户网站，展示学校精品课程，发布新闻公告，活跃班级信息、名师风采展示等，个性化导航栏可以自定义配置。</w:t>
            </w:r>
          </w:p>
          <w:p w14:paraId="1B8DCDBD">
            <w:pPr>
              <w:pageBreakBefore w:val="0"/>
              <w:numPr>
                <w:ilvl w:val="0"/>
                <w:numId w:val="5"/>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PC门户配置功能：页面支持用户自定义模块布局，支持拖拽式调整同一模块内不同栏目的位置，支持用户自定义对页面背景、音乐、主题色及简体或繁体字的转换设置。每一个模块内的数据来源均支持人工培植；可以是外部数据接入，直接复用已有接口，也可以直接从数据中心抽调；</w:t>
            </w:r>
          </w:p>
          <w:p w14:paraId="2A1A8D4D">
            <w:pPr>
              <w:pageBreakBefore w:val="0"/>
              <w:numPr>
                <w:ilvl w:val="0"/>
                <w:numId w:val="5"/>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移动端门户配置：支持系统对移动端APP的门户进行配置，配置操作需要简单明了。模拟手机界面采用可视化拖拽的形式添加如图片、检索、推荐、功能等。并能根据我校不同身份的用户配置不同的移动端APP门户界面。</w:t>
            </w:r>
          </w:p>
        </w:tc>
      </w:tr>
      <w:tr w14:paraId="38D8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689863B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3935459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教室端</w:t>
            </w:r>
          </w:p>
        </w:tc>
        <w:tc>
          <w:tcPr>
            <w:tcW w:w="6944" w:type="dxa"/>
          </w:tcPr>
          <w:p w14:paraId="4BBC3003">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不借助任何第三方投屏软件进行投屏。不仅包括自有的PPT、课程章节、笔记、专题、图片、文档、课堂活动等，也支持在线搜索平台提供的资料，包括期刊、学术视频、专题等，均可利用手机端一键投屏到教室大屏。投屏PPT、专题时，可以直接在手机终端使用上下翻页，激光笔、聚光灯等功能。</w:t>
            </w:r>
          </w:p>
          <w:p w14:paraId="0D8AC1BA">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课程录制：同步课堂授课时，教师的教学过程包括不限于：板书、课件、同步的讲课声音等，课程结束后自动保存到教学平台，供学生复习使用。</w:t>
            </w:r>
          </w:p>
          <w:p w14:paraId="1F36BFDC">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教师轻松通过投屏进行签到、选人、抢答等教学环节，并能直接在投屏上展示结果数据。</w:t>
            </w:r>
          </w:p>
          <w:p w14:paraId="126B12BF">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支持强大PPT演示功能，PPT投屏演示保留动画效果，播放流畅。PPT文件来源多种渠道，可以通过电脑端把文件直接发送至移动端，提高资源展示的便捷性。</w:t>
            </w:r>
          </w:p>
          <w:p w14:paraId="30BAE93A">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投屏过程中，教师使用主题讨论，系统根据所有学生的回答自动分析生产数个关键词语。</w:t>
            </w:r>
          </w:p>
          <w:p w14:paraId="0D92269F">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教师备课：教师可以在移动端中的活动库中，设置移动教案。按照教学计划，教师可提前在上组织教学内容，有序安排资料推送、签到、问答、抢答、投票等教学活动，方便课堂发放并易于复用。</w:t>
            </w:r>
          </w:p>
          <w:p w14:paraId="3AE05F5A">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页面会有“扫码进班”，尚未加入班级的同学，可以通过扫面班级二维码进入班级。</w:t>
            </w:r>
          </w:p>
          <w:p w14:paraId="4CB6E55F">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支持通过手机端投屏功能把课程相关图片、视频资源直接在投屏上展示。</w:t>
            </w:r>
          </w:p>
          <w:p w14:paraId="1F8A5A03">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PPT 演示提供激光笔、聚光灯、画笔功能。</w:t>
            </w:r>
          </w:p>
          <w:p w14:paraId="19ABD92B">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支持同步课堂，教师可发布同步课堂活动，通过web链接的方式，学生可在不同地点进行课堂同步，并进行上述的课程互动。</w:t>
            </w:r>
          </w:p>
          <w:p w14:paraId="70B7034F">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支持计时器、白板、学生反馈功能。</w:t>
            </w:r>
          </w:p>
          <w:p w14:paraId="3806F2D9">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支持找资料功能，课堂上可随时检索添加系统自带的专题、学术视频、期刊等资源，并进行投屏展示。</w:t>
            </w:r>
          </w:p>
          <w:p w14:paraId="7D9F4020">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支持通过电脑端直接发放签到、选人、抢答、投票、讨论等课堂互动，电脑端也可直接调用课程章节、资料、云盘的教学资源。</w:t>
            </w:r>
          </w:p>
          <w:p w14:paraId="616C0EE6">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投屏支持分屏操作，支持PPT与活动内容分屏展示。</w:t>
            </w:r>
          </w:p>
          <w:p w14:paraId="09847064">
            <w:pPr>
              <w:pageBreakBefore w:val="0"/>
              <w:numPr>
                <w:ilvl w:val="0"/>
                <w:numId w:val="6"/>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课堂互动功能即可在电脑上编辑ppt下的活动及发起课堂互动，也可以在手机端发起，两端同步互联。</w:t>
            </w:r>
          </w:p>
        </w:tc>
      </w:tr>
      <w:tr w14:paraId="7F5F8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5D7BEF0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768EC0E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移动端</w:t>
            </w:r>
          </w:p>
        </w:tc>
        <w:tc>
          <w:tcPr>
            <w:tcW w:w="6944" w:type="dxa"/>
          </w:tcPr>
          <w:p w14:paraId="5D8B4F6F">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1.具有移动客户端，支持iOS和Android操作系统，用于手机、Pad等智能移动终端中，实现在线移动学习。</w:t>
            </w:r>
          </w:p>
          <w:p w14:paraId="4473365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2.PC端与移动端的学习进度保持同步，学生在任何终端上，都可以实现学习记录的持续性，系统也可对任何终端的学习行为进行监控。</w:t>
            </w:r>
          </w:p>
          <w:p w14:paraId="12F9238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3.按照教学计划，可在移动端组织教学内容，有序安排资料推送、签到、问答、抢答、投票等教学活动，可实现互动内容课堂发放并复用。</w:t>
            </w:r>
          </w:p>
          <w:p w14:paraId="7AD44C5A">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4.教师可以发布课堂签到，学生直接用手机通过扫描二维码、或输入教师分享的邀请码等方式进行签到，显示距离发起者的签到距离。                             </w:t>
            </w:r>
          </w:p>
          <w:p w14:paraId="3D820AE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5.教师可以在课堂上发布问题，通过抢答进行提问，学生同时在手机收到抢答请求进行抢答。</w:t>
            </w:r>
          </w:p>
          <w:p w14:paraId="40E87969">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6.教师可通过随机选人功能选择学生回答问题，并可以将选择结果投屏显示。                 </w:t>
            </w:r>
          </w:p>
          <w:p w14:paraId="31868DE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7.教师可以在课堂上实时发布课程微评，学生能进行评价。             </w:t>
            </w:r>
          </w:p>
          <w:p w14:paraId="11FED22E">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8.课堂结束后，可以将所有课堂上发布的控件进行记录，生成课堂历史记录。能实时查看任一活动的详细参与情况。 </w:t>
            </w:r>
          </w:p>
          <w:p w14:paraId="77D1DA77">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9.可基于课程形成师生互动交流群，实时进行即时通讯，进行讨论与交流。                 </w:t>
            </w:r>
          </w:p>
          <w:p w14:paraId="48B70A6E">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10.教师可以编辑问答题并可将题目发布到学生端，学生可以回答问题并提交，教师可以实时查看学生提交结果。 </w:t>
            </w:r>
          </w:p>
          <w:p w14:paraId="3117F9E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 xml:space="preserve">11.教师和学生可以开展话题讨论，利用发帖形式进行小组话题交流。                   </w:t>
            </w:r>
          </w:p>
          <w:p w14:paraId="7FDAC185">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12.教师在课前对资料进行云盘存储，课堂上可以利用云盘功能选择和自己课程相关的资料进行资料推送，推送完成后参与教学的学生和教师都可以查看资料的详细内容。</w:t>
            </w:r>
          </w:p>
          <w:p w14:paraId="063F0AC6">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13.学生在移动端进行视频学习时，系统自动记录所有学习行为，完成视频学习任务点后系统自动同步学习记录与PC端相同。同时将视频学习成绩计算后加入综合成绩中。</w:t>
            </w:r>
          </w:p>
          <w:p w14:paraId="3B8D005B">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14.学生通过移动端作业功能可以查看作业列表，作业列表支持标示待做作业和已完成、已过期作业展示。学生可以通过本功能支持待做作业在移动端完成。支持产看已完成作业的批阅状态和最后得分，支持查看作业答案。</w:t>
            </w:r>
          </w:p>
          <w:p w14:paraId="2B538644">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15.教师可以通过手机在课程中发布考试试卷和查看考试分项统计结果，学生同样可以通过移动端进行在线考试和查看考试信息。</w:t>
            </w:r>
          </w:p>
          <w:p w14:paraId="3E52A51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16.学生的课堂签到情况、课堂表现等都以积分形式形成评价，可转换为平时成绩；在线课程的学习同时记录作业成绩、考试成绩、按照老师设计的成绩权重给出综合评价。</w:t>
            </w:r>
          </w:p>
          <w:p w14:paraId="03931FC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17.可以阅读本校师生制作的专题等资源，可以订阅到自己的空间，并进行分类管理；可以对所有精彩的内容进行分享。</w:t>
            </w:r>
          </w:p>
          <w:p w14:paraId="3E378570">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18.可以按照组织架构建立通讯录，可查看组织内所有人的联系方式。</w:t>
            </w:r>
          </w:p>
          <w:p w14:paraId="7306F99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19.可以在移动客户端选择给指定的人发送通知，并统计已读和未读名单。并与pc端无缝对接。针对未读通知，支持短信提醒、电话提醒、微信提醒等提醒方式。</w:t>
            </w:r>
          </w:p>
          <w:p w14:paraId="6DA2293D">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20.支持手机端、电脑端发起视频直播，学生可以通过手机观看直播并留言。</w:t>
            </w:r>
          </w:p>
          <w:p w14:paraId="0114EE18">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21.投屏教学：用户只需要打开网页，输入指定网页，就可以直接利用手机进行投屏课堂教学，投屏教学包含签到、抢答、问卷、讨论、选人、测验等教学活动投屏，并能直接在投屏上展示结果数据。</w:t>
            </w:r>
          </w:p>
          <w:p w14:paraId="1AFEB59C">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22.支持强大PPT演示功能，PPT投屏演示保留动画效果，播放流畅。支持PPT投屏及课堂互动功能，PPT投屏演示保留动画效果，播放流畅，在投屏演示时随时可发起签到、投票、测验、抢答、选人、讨论、测验、问卷等多种课堂活动，活动内容可大屏显示。PPT文件来源多种渠道，可以通过电脑端把文件直接发送至移动端，提高资源展示的便捷性。</w:t>
            </w:r>
          </w:p>
          <w:p w14:paraId="3889DF9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23.PPT投屏功能需要支持激光笔功能和聚光灯功能，激光笔功能支持在手机上提供激光笔功能，并通过该功能对投屏PPT进行激光指引。聚光灯功能支持对投屏PPT进行聚光展示。</w:t>
            </w:r>
          </w:p>
          <w:p w14:paraId="1C527E01">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24.课堂结束后，即生成课堂报告，包括课堂互动的所有详情记录及学生的课堂表现积分情况。</w:t>
            </w:r>
          </w:p>
          <w:p w14:paraId="23B8B0B3">
            <w:pPr>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25.可以创建班级空间，支持学生扫码加入，同时在班级空间内发起课堂互动，关联课程内容。</w:t>
            </w:r>
          </w:p>
        </w:tc>
      </w:tr>
      <w:tr w14:paraId="53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1" w:type="dxa"/>
            <w:vMerge w:val="continue"/>
          </w:tcPr>
          <w:p w14:paraId="1017D91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p>
        </w:tc>
        <w:tc>
          <w:tcPr>
            <w:tcW w:w="1792" w:type="dxa"/>
          </w:tcPr>
          <w:p w14:paraId="7DEFD09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教学大数据</w:t>
            </w:r>
          </w:p>
        </w:tc>
        <w:tc>
          <w:tcPr>
            <w:tcW w:w="6944" w:type="dxa"/>
          </w:tcPr>
          <w:p w14:paraId="742157F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1.教学大数据分析平台——PC端可视化分析系统</w:t>
            </w:r>
          </w:p>
          <w:p w14:paraId="3E3974E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(1)综合数据：包括整体数据概况、活跃课程、今日动态、行为分析、学生到课情况、资源建设情况、院系运行情况等。</w:t>
            </w:r>
          </w:p>
          <w:p w14:paraId="3D47973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a.访问量教师榜、访问量学生榜、访问量课程榜。</w:t>
            </w:r>
          </w:p>
          <w:p w14:paraId="7E81012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b.分析平台支持过滤教学平台隐藏的院系，即教学平台设置隐藏"课程数据统计"的院系。</w:t>
            </w:r>
          </w:p>
          <w:p w14:paraId="36153B4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(2)师生活跃</w:t>
            </w:r>
          </w:p>
          <w:p w14:paraId="678F3EF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A.数据概览：总活动数、教师活动数、学生活动数。</w:t>
            </w:r>
          </w:p>
          <w:p w14:paraId="7D6EC04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B.活动数变化趋势：展示教师活动数变化趋势、学生活动数变化趋势。</w:t>
            </w:r>
          </w:p>
          <w:p w14:paraId="1CD4238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C.活动类型分布：展示教师、学生的活动类型分布情况。</w:t>
            </w:r>
          </w:p>
          <w:p w14:paraId="116334D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D.各院系师生活动数排名：展示各院系师生活动数排名对比。</w:t>
            </w:r>
          </w:p>
          <w:p w14:paraId="25EE737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E.平台终端使用情况：展示平台各类型终端访问次数及占比情况、各类型终端的访问次数变化趋势。</w:t>
            </w:r>
          </w:p>
          <w:p w14:paraId="47D197B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F.活动数TOP100教师榜、活动数TOP100学生榜。</w:t>
            </w:r>
          </w:p>
          <w:p w14:paraId="4EB72E3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G.师生活动日志：支持以时间维度、角色维度、活动类型维度、院系维度筛选，展示师生活动时间趋势以及详细活动数据（操作时间、活动类型、操作IP、IP地址、使用设备）。</w:t>
            </w:r>
          </w:p>
          <w:p w14:paraId="6475A84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(3)课程数据</w:t>
            </w:r>
          </w:p>
          <w:p w14:paraId="10C6C9D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A.数据概览</w:t>
            </w:r>
          </w:p>
          <w:p w14:paraId="353A59E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新建课程门数、活跃课程门数、运行班次。</w:t>
            </w:r>
          </w:p>
          <w:p w14:paraId="1A98DFF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B.各院系课程数量排行</w:t>
            </w:r>
          </w:p>
          <w:p w14:paraId="75D5052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新建课程门数、自建课程运行、活跃课程门数可视化分析，以柱形图形式展示各院系课程数量及排名对比情况。</w:t>
            </w:r>
          </w:p>
          <w:p w14:paraId="0832D39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C.课程趋势</w:t>
            </w:r>
          </w:p>
          <w:p w14:paraId="20EC844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新建课程门数、自建课程运行、活跃课程门数可视化分析，以趋势图形式展示课程运行的变化趋势。</w:t>
            </w:r>
          </w:p>
          <w:p w14:paraId="2C9C512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D.课程建设情况</w:t>
            </w:r>
          </w:p>
          <w:p w14:paraId="03E1C3C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统计所选院系的课程建设总体情况，包括创建试卷数、创建作业数、创建题目数、创建章节总数；以院系维度展示各院系课程建设情况排行；以课程维度展示各课程建设情况排名，可按总数、创建章节总数、创建题目数、创建作业数、创建试卷数进行排名。</w:t>
            </w:r>
          </w:p>
          <w:p w14:paraId="071F3EE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E.活跃课程TOP100</w:t>
            </w:r>
          </w:p>
          <w:p w14:paraId="54BD909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展示课程活跃度前100名，可查看、导出活跃课程详情数据。</w:t>
            </w:r>
          </w:p>
          <w:p w14:paraId="0761CFA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F..在线督导</w:t>
            </w:r>
          </w:p>
          <w:p w14:paraId="4E68BDE5">
            <w:pPr>
              <w:pStyle w:val="16"/>
              <w:pageBreakBefore w:val="0"/>
              <w:numPr>
                <w:ilvl w:val="255"/>
                <w:numId w:val="0"/>
              </w:numPr>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线上考察某一课程的教师教学和学生学习情况，筛选今日在线课程、今日直播课程、点击进入该课程的旁听，查看该课程的基础信息、发布的班级任务、该课程具体的学员学习情况、该课程的操作日志、方便管理者随时进入旁听，掌握该课程的进行情况。</w:t>
            </w:r>
          </w:p>
          <w:p w14:paraId="2349CDD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(4)教学运行</w:t>
            </w:r>
          </w:p>
          <w:p w14:paraId="6169734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在教师教学数据当中分为五个板块：任务点/章节测验、作业/考试、课堂活动、互动讨论、教师教学数据。</w:t>
            </w:r>
          </w:p>
          <w:p w14:paraId="25799A3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比如：教师教学数据：可按教师、按课程两种维度，按学期、按日、按周、按月四种时间维度查看教学数据。</w:t>
            </w:r>
          </w:p>
          <w:p w14:paraId="451E9EE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A.数据概览</w:t>
            </w:r>
          </w:p>
          <w:p w14:paraId="42C3CD9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上线教师人数、资源上传量、在线总时长。</w:t>
            </w:r>
          </w:p>
          <w:p w14:paraId="6CB36F2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B.教学数据具体包括</w:t>
            </w:r>
          </w:p>
          <w:p w14:paraId="3ABCF03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访问量、在线时长、上传图片等资源建设数据、发签到等活动数据，以及新增积分。</w:t>
            </w:r>
          </w:p>
          <w:p w14:paraId="7D57F99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C.积分设置</w:t>
            </w:r>
          </w:p>
          <w:p w14:paraId="330F1BF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可自定义查看项及积分规则。</w:t>
            </w:r>
          </w:p>
          <w:p w14:paraId="65B1250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(5)学情分析</w:t>
            </w:r>
          </w:p>
          <w:p w14:paraId="57E75EC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(5.1)任务点分析</w:t>
            </w:r>
          </w:p>
          <w:p w14:paraId="622AF5B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A.任务点完成情况</w:t>
            </w:r>
          </w:p>
          <w:p w14:paraId="2520708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以趋势图的形式展示任务点完成数的变化趋势；按院系维度，以柱状图形式展示各院系的任务点完成数及排行情况；按课程维度，以柱状图形式展示各课程的任务点完成数及排行情况。</w:t>
            </w:r>
          </w:p>
          <w:p w14:paraId="6888B93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B.任务点完成数TOP100学生、任务点完成数TOP100课程。</w:t>
            </w:r>
          </w:p>
          <w:p w14:paraId="603731B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(5.2)章节测验分析</w:t>
            </w:r>
          </w:p>
          <w:p w14:paraId="407B7AD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A.数据概览</w:t>
            </w:r>
          </w:p>
          <w:p w14:paraId="5C258FB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章节测验已完成人次、章节测验平均分、章节测验及格率、章节测验优良率。</w:t>
            </w:r>
          </w:p>
          <w:p w14:paraId="2807E72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B.章节测验完成情况</w:t>
            </w:r>
          </w:p>
          <w:p w14:paraId="523BA46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以趋势图的形式展示章节测验完成数的变化趋势；按院系维度，以柱状图形式展示各院系的章节测验完成数及排行情况；按课程维度，以柱状图形式展示各课程的章节测验完成数及排行情况。</w:t>
            </w:r>
          </w:p>
          <w:p w14:paraId="551FBA9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D.章节测验成绩情况</w:t>
            </w:r>
          </w:p>
          <w:p w14:paraId="3D46409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以柱形图的形式展示各分数区间学生人数分布情况；按院系维度，以柱形图形式展示各院系的章节测验平均分及排行情况；按课程维度，以柱形图形式展示各课程的章节测验平均分及排行情况任务点完成数章</w:t>
            </w:r>
          </w:p>
          <w:p w14:paraId="4B29E0B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E.节测验完成TOP100学生、章节测验成绩TOP100。</w:t>
            </w:r>
          </w:p>
          <w:p w14:paraId="209E94D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(5.3)课堂活动分析</w:t>
            </w:r>
          </w:p>
          <w:p w14:paraId="7EC1A79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A.课堂活动参与情况</w:t>
            </w:r>
          </w:p>
          <w:p w14:paraId="66474CB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以饼状图形式展示各类型课堂活动的数量；以趋势图的形式展示课堂活动参与数的变化趋势。</w:t>
            </w:r>
          </w:p>
          <w:p w14:paraId="58578BF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B.课堂活动参与排行</w:t>
            </w:r>
          </w:p>
          <w:p w14:paraId="31A110A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按院系维度，以柱状图形式展示各院系各类型课堂活动发布数及排行情况。</w:t>
            </w:r>
          </w:p>
          <w:p w14:paraId="0B0941B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C.课堂活动TOP100课程、课堂活动TOP100班级。</w:t>
            </w:r>
          </w:p>
          <w:p w14:paraId="7D2B024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(5.4)作业分析</w:t>
            </w:r>
          </w:p>
          <w:p w14:paraId="7602BD0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A.数据概况</w:t>
            </w:r>
          </w:p>
          <w:p w14:paraId="621B672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作业已完成人次、作业应完成人次、作业平均分、作业及格率、作业优良率。</w:t>
            </w:r>
          </w:p>
          <w:p w14:paraId="5051FFE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B.作业完成情况</w:t>
            </w:r>
          </w:p>
          <w:p w14:paraId="74D29FC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以趋势图形式展示作业完成人次的变化趋势；按院系维度，以柱状图形式展示各院系的作业完成人次及排行情况；按课程维度，以柱状图形式展示各课程的作业完成人次及排行情况。</w:t>
            </w:r>
          </w:p>
          <w:p w14:paraId="4F494A5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C.作业成绩情况</w:t>
            </w:r>
          </w:p>
          <w:p w14:paraId="49B702B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以柱形图的形式展示各分数区间学生人数分布情况；按院系维度，以柱形图形式展示各院系的作业平均分及排行情况；按课程维度，以柱形图形式展示各课程的作业平均分及排行情况。</w:t>
            </w:r>
          </w:p>
          <w:p w14:paraId="0CEF148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D.作业完成TOP100学生、作业成绩TOP100学生。</w:t>
            </w:r>
          </w:p>
          <w:p w14:paraId="4AF3127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(5.5)考试分析</w:t>
            </w:r>
          </w:p>
          <w:p w14:paraId="6A17A15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A.数据概况</w:t>
            </w:r>
          </w:p>
          <w:p w14:paraId="27955F1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考试已完成人次、考试应完成人次、考试平均分、考试及格率、考试优良率。</w:t>
            </w:r>
          </w:p>
          <w:p w14:paraId="286E096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B.考试完成情况</w:t>
            </w:r>
          </w:p>
          <w:p w14:paraId="206BFE5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以趋势图形式展示考试完成人次的变化趋势；按院系维度，以柱状图形式展示各院系的考试完成人次及排行情况；按课程维度，以柱状图形式展示各课程的考试完成人次及排行情况。</w:t>
            </w:r>
          </w:p>
          <w:p w14:paraId="6A098A2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C.考试成绩情况</w:t>
            </w:r>
          </w:p>
          <w:p w14:paraId="0B06C52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以柱形图的形式展示各分数区间学生人数分布情况；按院系维度，以柱形图形式展示各院系的考试平均分及排行情况；按课程维度，以柱形图形式展示各课程的考试平均分及排行情况。</w:t>
            </w:r>
          </w:p>
          <w:p w14:paraId="1DC5423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D.考试完成TOP100学生、考试成绩TOP100学生。</w:t>
            </w:r>
          </w:p>
          <w:p w14:paraId="338A909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(5.6)互动讨论分析</w:t>
            </w:r>
          </w:p>
          <w:p w14:paraId="65DA1C2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A.互动讨论趋势</w:t>
            </w:r>
          </w:p>
          <w:p w14:paraId="7B7673C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以趋势图形式展示互动讨论数的变化趋势。</w:t>
            </w:r>
          </w:p>
          <w:p w14:paraId="0A43BBC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B.互动讨论排行情况</w:t>
            </w:r>
          </w:p>
          <w:p w14:paraId="6387CD7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按院系维度，以柱状图的形式展示各院系的发帖数、回帖数及排行情况；按教学班维度，以柱状图的形式展示各教学班的发帖数、回帖数及排行情况。</w:t>
            </w:r>
          </w:p>
          <w:p w14:paraId="6BE2E21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C.学生发帖数TOP100、学生回帖数TOP100。</w:t>
            </w:r>
          </w:p>
          <w:p w14:paraId="7A096B1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(5.7)过程考核分析</w:t>
            </w:r>
          </w:p>
          <w:p w14:paraId="565E5B9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以柱状图的形式展示各分数区间学生人数分布情况；按院系维度，以柱形图形式展示各院系的过程考核平均分及排行情况；按课程维度，以柱形图形式展示各课程的过程考核平均分及排行情况。</w:t>
            </w:r>
          </w:p>
          <w:p w14:paraId="7CECDB5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(5.8)基础数据</w:t>
            </w:r>
          </w:p>
          <w:p w14:paraId="25A8765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按院系、课程、学生、教师四个维度查看学生的任务点已完成人次、章节测验已完成人次、参与课堂活动数、作业应完成人次、作业已完成人次、考试应完成人次、考试已完成人次等学生参与课程学习数据。</w:t>
            </w:r>
          </w:p>
          <w:p w14:paraId="4AD1F07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(6)出勤分析</w:t>
            </w:r>
          </w:p>
          <w:p w14:paraId="7302791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展示全校平均到课率 学生应签到总数、完成签到人次、学生整体出勤情况、今日上课班级出勤率、各院系学生出勤率排行、院系学生签到异常监测等。</w:t>
            </w:r>
          </w:p>
          <w:p w14:paraId="40EC573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(7)资源建设</w:t>
            </w:r>
          </w:p>
          <w:p w14:paraId="45DB06E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展示上传资源总量、创建题目数、创建作业数、创建试卷数、资源上传趋势图、各类型资源上传量、各类型题目创建量等。</w:t>
            </w:r>
          </w:p>
          <w:p w14:paraId="7EA422D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(8)用户画像</w:t>
            </w:r>
          </w:p>
          <w:p w14:paraId="79DA171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(8.1)全校画像</w:t>
            </w:r>
          </w:p>
          <w:p w14:paraId="3EB44D4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以教师、学生、课程三个维度，展示全校整体数据，把标准抽象的画像用图表和标签展示，把数据具体化，把各个数据量清晰的展示出来，进而反映出全校的整体情况。</w:t>
            </w:r>
          </w:p>
          <w:p w14:paraId="2605961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(8.2)院系画像</w:t>
            </w:r>
          </w:p>
          <w:p w14:paraId="3F5C403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A.根据管理者的管理范围，可看到对应院系画像。</w:t>
            </w:r>
          </w:p>
          <w:p w14:paraId="5118062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B.院系画像由教师、学生、课程三个维度显示，展示院系维度的教师、学生、课程情况。</w:t>
            </w:r>
          </w:p>
          <w:p w14:paraId="21B0B1E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(8.3)教师画像</w:t>
            </w:r>
          </w:p>
          <w:p w14:paraId="12A6ADF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A.展示全校教师情况，画像上方有不同学期和累计数据的切换选择，还可进入具体的学生列表当中。</w:t>
            </w:r>
          </w:p>
          <w:p w14:paraId="1F6B85B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全校教师画像的头部通过标签、雷达图等展示整体教师的情况。画像底部，以教师活动类型top5、上线教师人数趋势图、课堂互动发布排行、各类型资源上传量、综合成绩、在线总时长分布、教师综合得分top100来展示整体课况。</w:t>
            </w:r>
          </w:p>
          <w:p w14:paraId="7AF47EE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C.点击“查看个人画像”，展示整个教师的列表，以教师活动数和综合指标为指标进行展示，点击“查看”可进入到该教师的教师画像。</w:t>
            </w:r>
          </w:p>
          <w:p w14:paraId="10B69A6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教师个人画像头部分为三部分，第一部分是教师的标签与个人信息，第二部分是平台教师评比等级、第三部分是教师雷达图分为六个维度（发布任务、资源建设、在线时长、学生成绩、平台活跃度、课堂活动）展示教师的综合情况。画像底部分为四个板块展示，所教课程、基础数据、教学分析、教学轨迹。</w:t>
            </w:r>
          </w:p>
          <w:p w14:paraId="484E136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(8.4)学生画像</w:t>
            </w:r>
          </w:p>
          <w:p w14:paraId="764AE97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A.学生画像展示整体学生情况，画像上方有不同学期和累计数据的切换选择，还可进入具体的学生列表当中。</w:t>
            </w:r>
          </w:p>
          <w:p w14:paraId="32EABFD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全校学生画像的头部通过标签、雷达图等展示整体学生的情况。画像底部，以学生活动类型top5、上线学生人数趋势图、签到率、学习完成率、课堂活动参与排行、全校学生综合成绩、学生综合表现top100来展示整体课程情况。</w:t>
            </w:r>
          </w:p>
          <w:p w14:paraId="72CF481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C.“查看个人画像”，展示整个学生的列表，以学生活动数和综合表现为指标进行展示，点击“查看”可进入到该学生的学生画像。</w:t>
            </w:r>
          </w:p>
          <w:p w14:paraId="150D8D2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学生个人画像头部分为三部分展示，第一部分是学生的标签与个人信息，第二部分是平台学生表现等级、第三部分是学生雷达图分为六个维度（自主学习、到课率、学习完成率、学习成绩、平台活跃度、学生成绩）展示课程的综合情况。画像中间部分展示学生成绩趋势图。画像底部分为四个板块展示，所学课程、基础数据、学习分析、学生轨迹。</w:t>
            </w:r>
          </w:p>
          <w:p w14:paraId="43ECA8C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(8.5)课程画像</w:t>
            </w:r>
          </w:p>
          <w:p w14:paraId="69136FB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A.课程画像展示整体课程情况，画像上方有不同学期和累计数据的切换选择，还可进入具体的课程列表当中。</w:t>
            </w:r>
          </w:p>
          <w:p w14:paraId="29B1E41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全校课程画像的头部通过标签、雷达图等展示整体课程的情况。画像底部，以教学课堂活动统计、课程建设情况、课程活跃度趋势图、综合成绩、资源与题库建设、学习完成率、课程质量排名TOP100展示整体课程情况。</w:t>
            </w:r>
          </w:p>
          <w:p w14:paraId="28886F6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C.“查看课程详情”展示课程画像列表，以课程质量排名和课程pv值为指标进行展示，“查看”可进入到该课程的课程画像。</w:t>
            </w:r>
          </w:p>
          <w:p w14:paraId="1526472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课程画像头部分为三部分展示，第一部分是课程的标签与信息，可跳转到课程门户和线上巡课页面，第二部分是课程质量排名，第三部分是课程雷达图分为六个维度（课程活跃度、课堂活动、课程资源、课程讨论、学习完成度、学生成绩）展示课程的综合情况。画像底部分为五个板块展示，基础数据、课堂报告、学情分析、学生成绩、课程日志。</w:t>
            </w:r>
          </w:p>
          <w:p w14:paraId="7883F48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(9)教学报告</w:t>
            </w:r>
          </w:p>
          <w:p w14:paraId="794A12E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(9.1)日常报告</w:t>
            </w:r>
          </w:p>
          <w:p w14:paraId="29C3F2A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平台每日、每周、每月会自动生成运行报告，支持生成自定义报告（时间跨度在30天内），以课程、教师、学生、资源、活动数五个维度，统计运行情况。</w:t>
            </w:r>
          </w:p>
          <w:p w14:paraId="5D3F9B5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(9.2)学期报告</w:t>
            </w:r>
          </w:p>
          <w:p w14:paraId="6C377A2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平台每学期会自动生成学期报告（平台支持学期设置），以院系、教师、学生、课程、资源、活动数、签到七个维度，统计运行情况。</w:t>
            </w:r>
          </w:p>
          <w:p w14:paraId="2755F55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(10)教学报告</w:t>
            </w:r>
          </w:p>
          <w:p w14:paraId="27B12BD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线上考察某一课程的教师教学和学生学习情况，筛选今日在线课程、今日直播课程、进入该课程的旁听，查看该课程的基础信息、发布的班级任务、该课程具体的学员学习情况、该课程的操作日志、方便管理者随时进入旁听，掌握该课程的进行情况。</w:t>
            </w:r>
          </w:p>
          <w:p w14:paraId="52EAF9B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(11)教学预警</w:t>
            </w:r>
          </w:p>
          <w:p w14:paraId="1B7BE1C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A.课程预警</w:t>
            </w:r>
          </w:p>
          <w:p w14:paraId="7A91CE3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设置筛选项对课程进行筛选，展示满足筛选条件的课程门数及院系分布情况；展示满足筛选条件课程的基本信息，支持导出满足条件的课程数据，支持对达到预警标准的课程发送预警通知。</w:t>
            </w:r>
          </w:p>
          <w:p w14:paraId="46A0C09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B.教师预警</w:t>
            </w:r>
          </w:p>
          <w:p w14:paraId="2008312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设置筛选项对教师进行筛选，展示满足筛选条件的教师人数及院系分布情况；展示满足筛选条件教师的基本信息，支持导出满足条件的教师数据，支持对达到预警标准的教师发送预警通知。</w:t>
            </w:r>
          </w:p>
          <w:p w14:paraId="75525AA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C.学生预警</w:t>
            </w:r>
          </w:p>
          <w:p w14:paraId="736D201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设置筛选项对学生进行筛选，展示满足筛选条件的学生人数及院系分布情况；展示满足筛选条件学生的基本信息，支持导出满足条件的学生数据，支持对达到预警标准的学生发送预警通知。</w:t>
            </w:r>
          </w:p>
          <w:p w14:paraId="3C76228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D.班级预警</w:t>
            </w:r>
          </w:p>
          <w:p w14:paraId="1B18343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设置筛选项对班级进行筛选，展示满足筛选条件的班级人数及院系分布情况；展示满足筛选条件班级的基本信息，支持导出满足条件的班级数据，支持对达到预警标准的班级发送预警通知。</w:t>
            </w:r>
          </w:p>
          <w:p w14:paraId="0A99112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E.预警分析</w:t>
            </w:r>
          </w:p>
          <w:p w14:paraId="2D32FA5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以柱状图形式展示各院系教师、学生被预警次数；以环形图形式展示各被预警次数区间的课程门数及占比，并支持查看课程预警记录；以环形图形式展示各被预警次数区间的教师人数及占比，并支持查看教师预警记录；以环形图形式展示各被预警次数区间的学生人数及占比，并支持查看学生预警记录；以环形图形式展示各预警项使用情况。</w:t>
            </w:r>
          </w:p>
          <w:p w14:paraId="17BA2C1B">
            <w:pPr>
              <w:pageBreakBefore w:val="0"/>
              <w:numPr>
                <w:ilvl w:val="0"/>
                <w:numId w:val="7"/>
              </w:numPr>
              <w:kinsoku/>
              <w:wordWrap/>
              <w:overflowPunct/>
              <w:topLinePunct w:val="0"/>
              <w:autoSpaceDE/>
              <w:autoSpaceDN/>
              <w:bidi w:val="0"/>
              <w:adjustRightInd/>
              <w:spacing w:before="0" w:after="0" w:line="360" w:lineRule="auto"/>
              <w:ind w:left="0"/>
              <w:textAlignment w:val="auto"/>
              <w:outlineLvl w:val="9"/>
              <w:rPr>
                <w:rFonts w:hint="eastAsia" w:ascii="宋体" w:hAnsi="宋体" w:eastAsia="宋体" w:cs="宋体"/>
                <w:b w:val="0"/>
                <w:sz w:val="24"/>
                <w:szCs w:val="24"/>
                <w:highlight w:val="none"/>
              </w:rPr>
            </w:pPr>
            <w:bookmarkStart w:id="96" w:name="_Toc26398"/>
            <w:r>
              <w:rPr>
                <w:rFonts w:hint="eastAsia" w:ascii="宋体" w:hAnsi="宋体" w:eastAsia="宋体" w:cs="宋体"/>
                <w:b w:val="0"/>
                <w:sz w:val="24"/>
                <w:szCs w:val="24"/>
                <w:highlight w:val="none"/>
              </w:rPr>
              <w:t>教务大屏数据显示和教务课程建课统计</w:t>
            </w:r>
            <w:bookmarkEnd w:id="96"/>
          </w:p>
          <w:p w14:paraId="5C3AB52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按学校要求以大屏形式展示每天的教务课程在教学平台上的运行情况。统计教务课程的建课情况、资源建设情况，按学院提供报表。统计</w:t>
            </w:r>
            <w:r>
              <w:rPr>
                <w:rFonts w:hint="eastAsia" w:ascii="宋体" w:hAnsi="宋体" w:cs="宋体"/>
                <w:sz w:val="24"/>
                <w:szCs w:val="24"/>
                <w:highlight w:val="none"/>
                <w:lang w:val="en-US" w:eastAsia="zh-CN"/>
              </w:rPr>
              <w:t>未建课的</w:t>
            </w:r>
            <w:r>
              <w:rPr>
                <w:rFonts w:hint="eastAsia" w:ascii="宋体" w:hAnsi="宋体" w:eastAsia="宋体" w:cs="宋体"/>
                <w:sz w:val="24"/>
                <w:szCs w:val="24"/>
                <w:highlight w:val="none"/>
              </w:rPr>
              <w:t>教务课程</w:t>
            </w:r>
            <w:r>
              <w:rPr>
                <w:rFonts w:hint="eastAsia" w:ascii="宋体" w:hAnsi="宋体" w:cs="宋体"/>
                <w:sz w:val="24"/>
                <w:szCs w:val="24"/>
                <w:highlight w:val="none"/>
                <w:lang w:val="en-US" w:eastAsia="zh-CN"/>
              </w:rPr>
              <w:t>信息。</w:t>
            </w:r>
          </w:p>
          <w:p w14:paraId="5343FBC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2.教学大数据监控平台——大数据展示屏</w:t>
            </w:r>
          </w:p>
          <w:p w14:paraId="721F932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(1)今日动态</w:t>
            </w:r>
          </w:p>
          <w:p w14:paraId="405D3B6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呈现今日的实时动态，包括今日教师资源上传量、今日学生签到率、今日上线师生人数、今日运行课程数、今日运行班级数、今日师生活动数、今日师生活动类型分布、今日活跃院系、今日活跃课，以及及师生实时动态。</w:t>
            </w:r>
          </w:p>
          <w:p w14:paraId="53BC983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(2)整体概况</w:t>
            </w:r>
          </w:p>
          <w:p w14:paraId="0527450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A.以课程维度</w:t>
            </w:r>
          </w:p>
          <w:p w14:paraId="4E8EE97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展示平台本学期累计活跃课程数、近7日运行课程院系排行、近7日课程访问量变化趋势。</w:t>
            </w:r>
          </w:p>
          <w:p w14:paraId="5BA04E1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B.以教师维度</w:t>
            </w:r>
          </w:p>
          <w:p w14:paraId="2FE138A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展示平台本学期累计使用教师数、教师发布任务点数、发布课堂活动数、发布测验作业数、发布考试数、线上发起讨论数，以及本学期教师累计访问时长。</w:t>
            </w:r>
          </w:p>
          <w:p w14:paraId="6E47262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C.以学生维度</w:t>
            </w:r>
          </w:p>
          <w:p w14:paraId="3A8F649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展示平台本学期累计使用学生数、学生参与任务点数、参与课堂活动数、参与测验作业数、参与考试数、线上参与讨论数、本学期学生累计访问时长。</w:t>
            </w:r>
          </w:p>
          <w:p w14:paraId="2A128DC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(3)签到监测</w:t>
            </w:r>
          </w:p>
          <w:p w14:paraId="24D7045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A.统计展示今日全校整体签到率、签到人次、签到班级数。</w:t>
            </w:r>
          </w:p>
          <w:p w14:paraId="67CE0B5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B.统计展示近7日教师发布签到数排行、班级签到率排行。</w:t>
            </w:r>
          </w:p>
          <w:p w14:paraId="6695057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C.统计展示近30日整体签到趋势、课程签到率排行、院系签到率排行。</w:t>
            </w:r>
          </w:p>
          <w:p w14:paraId="7E001E7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(4)课堂活动</w:t>
            </w:r>
          </w:p>
          <w:p w14:paraId="659DB2D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统计展示近30日师生课堂活动总数、发起课堂活动教师数、参与课堂活动学生数、课堂活动完成率、院系课堂活动数排行，以及评分、问卷、分组任务、投票、主题讨论、抢答、选人这七种课堂活动类型的教师发布情况、学生完成情况。</w:t>
            </w:r>
          </w:p>
          <w:p w14:paraId="6DE1D1D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B.展示近7日师生课堂活动数变化趋势、课堂活动数最多的5门课程。</w:t>
            </w:r>
          </w:p>
          <w:p w14:paraId="0B3D189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C.点击院系排行、课堂活动榜、师生活跃榜跳转到分析平台对应的的院系画像、课程画像、教师画像、学生画像实现快速查看对于详情。</w:t>
            </w:r>
          </w:p>
          <w:p w14:paraId="41E5959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(5)活跃师生</w:t>
            </w:r>
          </w:p>
          <w:p w14:paraId="1FA8FDA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A.统计展示近7日师生活动数、活跃师生数、活跃课程数及班级数。</w:t>
            </w:r>
          </w:p>
          <w:p w14:paraId="3116C44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B.统计展示近7日活跃院系排行、活跃课程排行、活跃师生榜。</w:t>
            </w:r>
          </w:p>
          <w:p w14:paraId="5175D4B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C.统计展示近7日师生活跃趋势、近24小时师生活跃趋势。</w:t>
            </w:r>
          </w:p>
          <w:p w14:paraId="306ECF1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(6)资源建设</w:t>
            </w:r>
          </w:p>
          <w:p w14:paraId="260B984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A.统计展平台累计全校题库量、资源总量、资源类型分布、院系资源建设排行、题库题型情况、院系题库建设占比、教师资源上传排行。</w:t>
            </w:r>
          </w:p>
          <w:p w14:paraId="25DE678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B.统计展示近30日资源新增趋势。</w:t>
            </w:r>
          </w:p>
          <w:p w14:paraId="6035E68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3.教学大数据分析平台——移动端监控平台</w:t>
            </w:r>
          </w:p>
          <w:p w14:paraId="0ED8BB8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移动端分析系统提供多个监控入口，包括教学日报、签到监控、教学监控、学情分析、资源监控、日常监控等。解决教务管理者使用移动端即可对教学运行状况进行实时监控的需求。</w:t>
            </w:r>
          </w:p>
          <w:p w14:paraId="2B9E192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(1)教学日报</w:t>
            </w:r>
          </w:p>
          <w:p w14:paraId="6B36FBF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A.对本日的教学运行情况进行统计汇报，以课程、教师、学生三个维度展示具体数据。</w:t>
            </w:r>
          </w:p>
          <w:p w14:paraId="376C87D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B.课程维度统计今日自建课程运行数、新建课程数量、运行班级、资源上传数、运行班次、课堂活动数、师生讨论数，反馈今日学校的开课情况。</w:t>
            </w:r>
          </w:p>
          <w:p w14:paraId="59A553B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C.教师维度统计今日教师活动数、发布课堂活动数、发起讨论数、发布作业数、批阅作业数，反映今日教师的教学情况。</w:t>
            </w:r>
          </w:p>
          <w:p w14:paraId="368AA92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D.学生维度统计今日学生活动数、完成任务点数、参与课堂活动数、学生讨论数、完成作业数，反映今日学生的上课情况。</w:t>
            </w:r>
          </w:p>
          <w:p w14:paraId="0087B35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E.支持查看今日师生在线/访问趋势、互动/讨论趋势、资源上传趋势以及各院系使用数据、今日最活跃的5位教师、5位学生。</w:t>
            </w:r>
          </w:p>
          <w:p w14:paraId="70F8656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(2)签到监控</w:t>
            </w:r>
          </w:p>
          <w:p w14:paraId="0456F4D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A.展示全校今日学生签到情况，包括今日已发签到班级数、签到人次、整体签到率，展示学生签到实时动态、今日班级签到情况，以及学生签到榜TOP5。</w:t>
            </w:r>
          </w:p>
          <w:p w14:paraId="16FC9C9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B.以院系课程、学生维度展示签到率变化趋势，展示最近一月/一周学生的出勤情况。</w:t>
            </w:r>
          </w:p>
          <w:p w14:paraId="740F8885">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 教学监控</w:t>
            </w:r>
          </w:p>
          <w:p w14:paraId="12F53D5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通过采集平台使用数据，实时展示全校教师数、今日活跃教师、建课教师数、近日动态、活跃教师排行top10，并通过图表展示今日及历史平均单日的课程活动发放情况、课堂作业布置情况、课堂作业评阅情况、师生互动情况，通过趋势图展示本周师生访问量变化趋势、今日教师、学生讨论数对比。</w:t>
            </w:r>
          </w:p>
          <w:p w14:paraId="653F298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(4)学情分析</w:t>
            </w:r>
          </w:p>
          <w:p w14:paraId="432890E8">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通过采集平台使用数据，实时展示今日完成任务量、完成视频数、完成其他任务点数及学生实时动态，并通过图表展示学习终端占比、学生参与课堂活动详情、完成作业考试详情，通过趋势图展示近24小时访问量变化趋势。</w:t>
            </w:r>
          </w:p>
          <w:p w14:paraId="064BF9F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(5)资源监控</w:t>
            </w:r>
          </w:p>
          <w:p w14:paraId="2BC1188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通过采集平台使用数据，实时展示今日上传资源量、资源总量、上传最多资源类型实时动态，并通过图表展示各类型资源资源分布、上传资源量趋势、课程资源排名、学院资源排名、上传资源数教师排名。</w:t>
            </w:r>
          </w:p>
          <w:p w14:paraId="29D5C0F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(6)学生画像</w:t>
            </w:r>
          </w:p>
          <w:p w14:paraId="08579A3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A.通过学生的数据采集和分析，生成学生画像。</w:t>
            </w:r>
          </w:p>
          <w:p w14:paraId="23C51B4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B.学生画像</w:t>
            </w:r>
          </w:p>
          <w:p w14:paraId="5BB576E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包括其个人标签、平台学习表现、包含课堂表现考核维度、自主学习考核维度、学习完成率考核维度、到课率考核维度、学习成绩考核维度、平台活跃度考核维度等。</w:t>
            </w:r>
          </w:p>
          <w:p w14:paraId="5BA011A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C.学生数据</w:t>
            </w:r>
          </w:p>
          <w:p w14:paraId="26D300C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展示学生的所学课程、基础数据、学习分析、学习轨迹等具体学习数据。</w:t>
            </w:r>
          </w:p>
          <w:p w14:paraId="07D281F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(7)教师画像</w:t>
            </w:r>
          </w:p>
          <w:p w14:paraId="31D134EE">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A.通过教师的数据采集和分析，生成教师画像。</w:t>
            </w:r>
          </w:p>
          <w:p w14:paraId="41E8518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B.教师画像</w:t>
            </w:r>
          </w:p>
          <w:p w14:paraId="088C4AF7">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包括个人标签、平台教师评比、包含课堂互动考核维度、日常评测考核维度、在线时长考核维度、资源建设考核维度、学生成绩考核维度、活跃度考核维度等。</w:t>
            </w:r>
          </w:p>
          <w:p w14:paraId="09248B9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C.教学数据</w:t>
            </w:r>
          </w:p>
          <w:p w14:paraId="5A0B2F7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展示所教课程、基础数据、教学分析、教学轨迹等教学数据。</w:t>
            </w:r>
          </w:p>
          <w:p w14:paraId="7A28B06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(8)在线督导</w:t>
            </w:r>
          </w:p>
          <w:p w14:paraId="06039CB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A.展示网络课程数、课程活动数、课程资源数。支持查看活跃课程，包含课堂报告、学情统计、成绩统计。支持查看课程建设，包含教师团队、网络课程的班级情况、课程资源建设情况、课堂运行情况、活跃学生排行、综合成绩排行。</w:t>
            </w:r>
          </w:p>
          <w:p w14:paraId="53A098F6">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B.后台进行数据的分析汇总支持多终端展示，移动端大数据展示实时展示日常监控、教学监控、学情分析、签到监控、资源监控，打破时间、地域限制，最终实现实时监控、移动监控</w:t>
            </w:r>
          </w:p>
        </w:tc>
      </w:tr>
    </w:tbl>
    <w:p w14:paraId="7D364617">
      <w:pPr>
        <w:pageBreakBefore w:val="0"/>
        <w:kinsoku/>
        <w:wordWrap/>
        <w:overflowPunct/>
        <w:topLinePunct w:val="0"/>
        <w:autoSpaceDE/>
        <w:autoSpaceDN/>
        <w:bidi w:val="0"/>
        <w:adjustRightInd/>
        <w:spacing w:line="360" w:lineRule="auto"/>
        <w:ind w:left="0"/>
        <w:textAlignment w:val="auto"/>
        <w:rPr>
          <w:rFonts w:hint="eastAsia" w:ascii="宋体" w:hAnsi="宋体" w:eastAsia="宋体" w:cs="宋体"/>
          <w:sz w:val="24"/>
          <w:szCs w:val="24"/>
        </w:rPr>
      </w:pPr>
    </w:p>
    <w:p w14:paraId="553D1112">
      <w:pPr>
        <w:rPr>
          <w:rFonts w:hint="eastAsia" w:ascii="宋体" w:hAnsi="宋体" w:eastAsia="宋体" w:cs="宋体"/>
          <w:sz w:val="24"/>
          <w:szCs w:val="24"/>
        </w:rPr>
      </w:pPr>
      <w:r>
        <w:rPr>
          <w:rFonts w:hint="eastAsia" w:ascii="宋体" w:hAnsi="宋体" w:eastAsia="宋体" w:cs="宋体"/>
          <w:sz w:val="24"/>
          <w:szCs w:val="24"/>
        </w:rPr>
        <w:br w:type="page"/>
      </w:r>
    </w:p>
    <w:p w14:paraId="262BCA28">
      <w:pPr>
        <w:pStyle w:val="6"/>
        <w:pageBreakBefore w:val="0"/>
        <w:kinsoku/>
        <w:wordWrap/>
        <w:overflowPunct/>
        <w:topLinePunct w:val="0"/>
        <w:autoSpaceDE/>
        <w:autoSpaceDN/>
        <w:bidi w:val="0"/>
        <w:adjustRightInd/>
        <w:spacing w:before="0" w:after="0" w:line="360" w:lineRule="auto"/>
        <w:ind w:left="0"/>
        <w:textAlignment w:val="auto"/>
        <w:rPr>
          <w:rFonts w:hint="eastAsia" w:ascii="宋体" w:hAnsi="宋体" w:eastAsia="宋体" w:cs="宋体"/>
          <w:sz w:val="24"/>
          <w:szCs w:val="24"/>
        </w:rPr>
      </w:pPr>
      <w:bookmarkStart w:id="97" w:name="_Toc24134"/>
      <w:r>
        <w:rPr>
          <w:rFonts w:hint="eastAsia" w:ascii="宋体" w:hAnsi="宋体" w:eastAsia="宋体" w:cs="宋体"/>
          <w:sz w:val="24"/>
          <w:szCs w:val="24"/>
        </w:rPr>
        <w:t>2</w:t>
      </w:r>
      <w:r>
        <w:rPr>
          <w:rFonts w:hint="eastAsia" w:ascii="宋体" w:hAnsi="宋体" w:cs="宋体"/>
          <w:sz w:val="24"/>
          <w:szCs w:val="24"/>
          <w:lang w:val="en-US" w:eastAsia="zh-CN"/>
        </w:rPr>
        <w:t>.</w:t>
      </w:r>
      <w:r>
        <w:rPr>
          <w:rFonts w:hint="eastAsia" w:ascii="宋体" w:hAnsi="宋体" w:eastAsia="宋体" w:cs="宋体"/>
          <w:sz w:val="24"/>
          <w:szCs w:val="24"/>
        </w:rPr>
        <w:t>教学评价系统</w:t>
      </w:r>
      <w:bookmarkEnd w:id="97"/>
    </w:p>
    <w:tbl>
      <w:tblPr>
        <w:tblStyle w:val="37"/>
        <w:tblpPr w:leftFromText="180" w:rightFromText="180" w:vertAnchor="text" w:horzAnchor="page" w:tblpX="1154" w:tblpY="301"/>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2"/>
        <w:gridCol w:w="1728"/>
        <w:gridCol w:w="6520"/>
      </w:tblGrid>
      <w:tr w14:paraId="2A32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shd w:val="clear" w:color="auto" w:fill="auto"/>
            <w:vAlign w:val="center"/>
          </w:tcPr>
          <w:p w14:paraId="78F72649">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b/>
                <w:bCs/>
                <w:sz w:val="24"/>
                <w:szCs w:val="24"/>
              </w:rPr>
            </w:pPr>
            <w:r>
              <w:rPr>
                <w:rFonts w:hint="eastAsia" w:ascii="宋体" w:hAnsi="宋体" w:eastAsia="宋体" w:cs="宋体"/>
                <w:b/>
                <w:bCs/>
                <w:sz w:val="24"/>
                <w:szCs w:val="24"/>
              </w:rPr>
              <w:t>功能系统</w:t>
            </w:r>
          </w:p>
          <w:p w14:paraId="3C84C2D8">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vAlign w:val="center"/>
          </w:tcPr>
          <w:p w14:paraId="4C33A9EA">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r>
              <w:rPr>
                <w:rFonts w:hint="eastAsia" w:ascii="宋体" w:hAnsi="宋体" w:eastAsia="宋体" w:cs="宋体"/>
                <w:b/>
                <w:bCs/>
                <w:sz w:val="24"/>
                <w:szCs w:val="24"/>
              </w:rPr>
              <w:t>模块</w:t>
            </w:r>
          </w:p>
        </w:tc>
        <w:tc>
          <w:tcPr>
            <w:tcW w:w="6520" w:type="dxa"/>
            <w:shd w:val="clear" w:color="auto" w:fill="auto"/>
            <w:vAlign w:val="center"/>
          </w:tcPr>
          <w:p w14:paraId="750A60DA">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r>
              <w:rPr>
                <w:rFonts w:hint="eastAsia" w:ascii="宋体" w:hAnsi="宋体" w:eastAsia="宋体" w:cs="宋体"/>
                <w:b/>
                <w:bCs/>
                <w:sz w:val="24"/>
                <w:szCs w:val="24"/>
              </w:rPr>
              <w:t>功能要求</w:t>
            </w:r>
          </w:p>
        </w:tc>
      </w:tr>
      <w:tr w14:paraId="64AA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restart"/>
            <w:shd w:val="clear" w:color="auto" w:fill="auto"/>
          </w:tcPr>
          <w:p w14:paraId="7037588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r>
              <w:rPr>
                <w:rFonts w:hint="eastAsia" w:ascii="宋体" w:hAnsi="宋体" w:eastAsia="宋体" w:cs="宋体"/>
                <w:sz w:val="24"/>
                <w:szCs w:val="24"/>
              </w:rPr>
              <w:t>教学评价系统</w:t>
            </w:r>
          </w:p>
        </w:tc>
        <w:tc>
          <w:tcPr>
            <w:tcW w:w="1728" w:type="dxa"/>
            <w:shd w:val="clear" w:color="auto" w:fill="auto"/>
          </w:tcPr>
          <w:p w14:paraId="164B50BD">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基础技术要求</w:t>
            </w:r>
          </w:p>
        </w:tc>
        <w:tc>
          <w:tcPr>
            <w:tcW w:w="6520" w:type="dxa"/>
            <w:shd w:val="clear" w:color="auto" w:fill="auto"/>
          </w:tcPr>
          <w:p w14:paraId="6265308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1.支持多维度问卷发放模式，至少包括为：调查问卷、评价教师、评价学生、评价课程、评价课堂、听评课问卷、评课班问卷、督导评价等。实现信息技术与评价过程的深度融合。</w:t>
            </w:r>
          </w:p>
          <w:p w14:paraId="5F02E0D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2.系统设计满足大规模用户使用、支持分布式部署，应满足万人在线学习的性能要求。</w:t>
            </w:r>
          </w:p>
          <w:p w14:paraId="0C795ED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3.采用B/S结构，基于J2EE架构，页面采用Web2.0 AJAX开发，不需要另行安装插件就可以支持IE9及以上版本、safari、Firefox、chrome等浏览器。</w:t>
            </w:r>
          </w:p>
          <w:p w14:paraId="273949A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4.具有先进性、可移植性、开放性和兼容性，支持标准化多媒体课件。支持随用户使用量的增大而只需增加相应的硬件即可。</w:t>
            </w:r>
          </w:p>
          <w:p w14:paraId="5BCB982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支持Web服务器集群。具有安全策略和备份机制，可根据不同的业务要求采用不同的安全措施，保证发生故障时不影响整个系统的正常运行。提供各级数据备份机制能够每天非工作时段定时备份数据库。具有相关策略对知识产权进行保护。</w:t>
            </w:r>
          </w:p>
          <w:p w14:paraId="2C99267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6.不限注册用户数量，其用户信息、以及排选课信息可与教务系统通过对接方式同步到平台当中，学校信息化课程教学数据也需要对接到平台当中。</w:t>
            </w:r>
          </w:p>
          <w:p w14:paraId="0A65D80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7.角色管理：可建立学生、教师、管理员、督导、校领导、超级管理员等角色，各级管理员也可以根据自身的需求创建角色和为角色指定权限。</w:t>
            </w:r>
          </w:p>
          <w:p w14:paraId="001D903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8.权限管理：可为每个导航功能点分配访问、管理等不同的权限，管理员可以批量给用户分配、收回权限，具有权限整体移交功能。</w:t>
            </w:r>
          </w:p>
          <w:p w14:paraId="09323146">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9.机构和用户管理：管理员可以批量增加、删除、修改组织机构树，可单个、批量增加、删除、修改、查找用户信息。</w:t>
            </w:r>
          </w:p>
          <w:p w14:paraId="6599131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督导管理：可对督导人员进行管理，构建一、二级督导分类，以此来对督导进行分组，可设置组长，管理督导人员；可设置督导任务，督导的听评次数；可设置督导的管理院系范围，方便督导在听课评课时，只获取对应院系范围下的数据；支持下发督导通知，支持添加督促任务。</w:t>
            </w:r>
          </w:p>
          <w:p w14:paraId="3C7F08BB">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11.指标管理：可进行指标库管理，包括指标的增删改查，可单独添加也可批量导入，学校可自主搭建符合学校自身“属性”的指标体系。</w:t>
            </w:r>
          </w:p>
          <w:p w14:paraId="707ECA3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12.听评课报告：支持管理员在后台生成听评课校级报告，对督导领导的听课数据进行汇总分析，生在报告后支持在线编辑，同时支持导出word，报告包括：评价完成情况、教师覆盖情况分析、课程覆盖情况分析、教师教学质量分析、课程质量分析等。</w:t>
            </w:r>
          </w:p>
          <w:p w14:paraId="4B21A45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13.系统建设需与学校教务系统、统一身份认证平台进行对接，方便学校管理及师生使用。</w:t>
            </w:r>
          </w:p>
        </w:tc>
      </w:tr>
      <w:tr w14:paraId="2150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71C50907">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2EF83E6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评价系统基础设置</w:t>
            </w:r>
          </w:p>
        </w:tc>
        <w:tc>
          <w:tcPr>
            <w:tcW w:w="6520" w:type="dxa"/>
            <w:shd w:val="clear" w:color="auto" w:fill="auto"/>
          </w:tcPr>
          <w:p w14:paraId="047F3F81">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98" w:name="_Toc3875"/>
            <w:bookmarkStart w:id="99" w:name="_Toc1698866074"/>
            <w:bookmarkStart w:id="100" w:name="_Toc10873"/>
            <w:bookmarkStart w:id="101" w:name="_Toc173148845"/>
            <w:r>
              <w:rPr>
                <w:rFonts w:hint="eastAsia" w:ascii="宋体" w:hAnsi="宋体" w:eastAsia="宋体" w:cs="宋体"/>
                <w:sz w:val="24"/>
                <w:szCs w:val="24"/>
              </w:rPr>
              <w:t>1.后台管理模块</w:t>
            </w:r>
            <w:bookmarkEnd w:id="98"/>
            <w:bookmarkEnd w:id="99"/>
            <w:bookmarkEnd w:id="100"/>
            <w:bookmarkEnd w:id="101"/>
          </w:p>
          <w:p w14:paraId="20B3E6E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管理员登陆后台后，可以进入个人空间或停留在后台处理业务。</w:t>
            </w:r>
          </w:p>
          <w:p w14:paraId="30AEA1E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02" w:name="_Toc2047018853"/>
            <w:bookmarkStart w:id="103" w:name="_Toc6254"/>
            <w:bookmarkStart w:id="104" w:name="_Toc27205"/>
            <w:bookmarkStart w:id="105" w:name="_Toc173148846"/>
            <w:r>
              <w:rPr>
                <w:rFonts w:hint="eastAsia" w:ascii="宋体" w:hAnsi="宋体" w:eastAsia="宋体" w:cs="宋体"/>
                <w:sz w:val="24"/>
                <w:szCs w:val="24"/>
              </w:rPr>
              <w:t>2</w:t>
            </w:r>
            <w:bookmarkEnd w:id="102"/>
            <w:bookmarkEnd w:id="103"/>
            <w:r>
              <w:rPr>
                <w:rFonts w:hint="eastAsia" w:ascii="宋体" w:hAnsi="宋体" w:eastAsia="宋体" w:cs="宋体"/>
                <w:sz w:val="24"/>
                <w:szCs w:val="24"/>
              </w:rPr>
              <w:t>.系统管理</w:t>
            </w:r>
            <w:bookmarkEnd w:id="104"/>
            <w:bookmarkEnd w:id="105"/>
          </w:p>
          <w:p w14:paraId="368627A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（1）组织机构管理</w:t>
            </w:r>
          </w:p>
          <w:p w14:paraId="53AB5056">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1）管理员可以新建学校单位下的院系组织机构。</w:t>
            </w:r>
          </w:p>
          <w:p w14:paraId="6E35CEF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2）新建部门时需要填写包括部门的名称、部门简介、部门描述的填写，其中部门名称、部门简介是必填内容，部门描述可以由管理员选填。</w:t>
            </w:r>
          </w:p>
          <w:p w14:paraId="21514D1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3）每个院系部门还可以进行子级的添加，最多可以添加包括一级部门在内的5级子栏目。</w:t>
            </w:r>
          </w:p>
          <w:p w14:paraId="47066AB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4）包括一级部门机构在内的各级部门栏目都可以进行二次的编辑、删除等工作。</w:t>
            </w:r>
          </w:p>
          <w:p w14:paraId="5C3859F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5）一级部门可以进行顺序的上下移动。</w:t>
            </w:r>
          </w:p>
          <w:p w14:paraId="78DFA1F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（2）功能模块管理</w:t>
            </w:r>
          </w:p>
          <w:p w14:paraId="3655165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管理员可在此模块进行系统功能设置，包括各功能模块增加、编辑、删除、上下排序移动等功能。</w:t>
            </w:r>
          </w:p>
          <w:p w14:paraId="7945BA86">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（3）角色权限管理</w:t>
            </w:r>
          </w:p>
          <w:p w14:paraId="0311A11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1）可添加角色名称并为每个角色赋予相关的角色权限设置</w:t>
            </w:r>
          </w:p>
          <w:p w14:paraId="565EA7E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2）可设置每个角色下的人员名单，并为角色下的人员设置管理范围，范围可以是单个院系也可以是多个院系。</w:t>
            </w:r>
          </w:p>
          <w:p w14:paraId="085B547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（4）管理员账号管理</w:t>
            </w:r>
          </w:p>
          <w:p w14:paraId="32C4D93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1）可添加系统管理员账号，通过添加账号、姓名、所属学院、手机等进行添加。</w:t>
            </w:r>
          </w:p>
          <w:p w14:paraId="44CCCC7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2）可以配置管理员的管理范围，包括院系、教研室、问卷等。</w:t>
            </w:r>
          </w:p>
          <w:p w14:paraId="7FCDF79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3）可对已有的账号进行编辑，删除等操作。</w:t>
            </w:r>
          </w:p>
          <w:p w14:paraId="1BA0DC7D">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06" w:name="_Toc8164"/>
            <w:bookmarkStart w:id="107" w:name="_Toc15915"/>
            <w:bookmarkStart w:id="108" w:name="_Toc1557837431"/>
            <w:bookmarkStart w:id="109" w:name="_Toc173148847"/>
            <w:r>
              <w:rPr>
                <w:rFonts w:hint="eastAsia" w:ascii="宋体" w:hAnsi="宋体" w:eastAsia="宋体" w:cs="宋体"/>
                <w:sz w:val="24"/>
                <w:szCs w:val="24"/>
              </w:rPr>
              <w:t>3.基础数据管理</w:t>
            </w:r>
            <w:bookmarkEnd w:id="106"/>
            <w:bookmarkEnd w:id="107"/>
            <w:bookmarkEnd w:id="108"/>
            <w:bookmarkEnd w:id="109"/>
          </w:p>
          <w:p w14:paraId="05375F8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（1）课程管理</w:t>
            </w:r>
          </w:p>
          <w:p w14:paraId="3858C01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1）可添加评价工作所需课程信息，添加字段包括课程名称、课程代码、课程类型、所属院系、简介。</w:t>
            </w:r>
          </w:p>
          <w:p w14:paraId="3FCF255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2）可对已添加的课程信息进行编辑以及删除操作。</w:t>
            </w:r>
          </w:p>
          <w:p w14:paraId="08D7C69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3）可批量导入课程，通过系统自带模板批量导入课程信息。</w:t>
            </w:r>
          </w:p>
          <w:p w14:paraId="58EAFFE6">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（2）教师管理</w:t>
            </w:r>
          </w:p>
          <w:p w14:paraId="4A68015B">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1）可添加系统所需教师账号信息。</w:t>
            </w:r>
          </w:p>
          <w:p w14:paraId="1308E1F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2）可对已添加教师信息进行编辑、删除操作。</w:t>
            </w:r>
          </w:p>
          <w:p w14:paraId="56D2904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color w:val="000000" w:themeColor="text1"/>
                <w:sz w:val="24"/>
                <w:szCs w:val="24"/>
                <w14:textFill>
                  <w14:solidFill>
                    <w14:schemeClr w14:val="tx1"/>
                  </w14:solidFill>
                </w14:textFill>
              </w:rPr>
              <w:t>3）可一键同步系统对应的网络教学平台上的教师</w:t>
            </w:r>
            <w:r>
              <w:rPr>
                <w:rFonts w:hint="eastAsia" w:ascii="宋体" w:hAnsi="宋体" w:eastAsia="宋体" w:cs="宋体"/>
                <w:sz w:val="24"/>
                <w:szCs w:val="24"/>
              </w:rPr>
              <w:t>数据。</w:t>
            </w:r>
          </w:p>
          <w:p w14:paraId="66F51CA6">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4）可对教师类型进行管理，可添加教师类型，对添加完成的教师类型进行编辑与删除。</w:t>
            </w:r>
          </w:p>
          <w:p w14:paraId="645902F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5）可批量导入教师数据，通过系统自带模板批量导入教师信息。</w:t>
            </w:r>
          </w:p>
          <w:p w14:paraId="45D4995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（3）学生管理</w:t>
            </w:r>
          </w:p>
          <w:p w14:paraId="080AD0D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1）可添加系统所需学生账号信息。</w:t>
            </w:r>
          </w:p>
          <w:p w14:paraId="21FA406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2）可对已添加学生信息进行编辑、删除。</w:t>
            </w:r>
          </w:p>
          <w:p w14:paraId="1884FAF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3）可一键同步系统对应的网络教学平台上的学生数据。</w:t>
            </w:r>
          </w:p>
          <w:p w14:paraId="409CD03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4）可批量导入学生数据，通过系统自带模板批量导入学生信息。</w:t>
            </w:r>
          </w:p>
          <w:p w14:paraId="5AED8D5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（4）学期管理</w:t>
            </w:r>
          </w:p>
          <w:p w14:paraId="665388D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可添加对应学期，进行系统分类管理，可设置学期开始时间，结束时间以及可设置任一学期为系统当前学期。</w:t>
            </w:r>
          </w:p>
          <w:p w14:paraId="2DB551D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（5）年级管理</w:t>
            </w:r>
          </w:p>
          <w:p w14:paraId="20122FC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可添加对应年级，进行系统分类管理，可设置年级名称，入学时间以及对应学期。</w:t>
            </w:r>
          </w:p>
          <w:p w14:paraId="74BFAA6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（6）教师排课表管理</w:t>
            </w:r>
          </w:p>
          <w:p w14:paraId="77F810D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可对接学校教务系统，并对接教师的排课表，可一键查询教师排课信息，方便督导员进行听评课选择。</w:t>
            </w:r>
          </w:p>
          <w:p w14:paraId="02AB24E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（7）学生选课表管理</w:t>
            </w:r>
          </w:p>
          <w:p w14:paraId="7AB49F0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支持批量导出学生选课信息，也支持根据学生名单和教师排课表，自动生成学生选课表。</w:t>
            </w:r>
          </w:p>
          <w:p w14:paraId="7E46480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（8）督导管理</w:t>
            </w:r>
          </w:p>
          <w:p w14:paraId="69454B9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1）可对督导人员进行管理，构建一二级督导分类，以此来对督导进行分组，可设置组长；管理二级分类下的督导名单，可选择添加已有账号为督导，包括：“管理员、教师、学生”等多个数据来源。</w:t>
            </w:r>
          </w:p>
          <w:p w14:paraId="2270E79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设置督导的管理院系范围，方便督导在听课评课时，只获取对应院系范围下的数据，管理范围可分为三种维度设置：教师所属院系，课程所属院系，课程名称；可设置督导的听课次数，方便督导在评课时查看自己本学期的听课安排，以及进行各院系、及督导个人听课完成率的统计。</w:t>
            </w:r>
          </w:p>
          <w:p w14:paraId="60719DF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（3）班主任/辅导员管理</w:t>
            </w:r>
          </w:p>
          <w:p w14:paraId="01C5EE3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可以单个或批量指定班级的班主任或辅导员，班主任或辅导员可查看负责班级的评价进度，从而督促本班学生参与评价。</w:t>
            </w:r>
          </w:p>
        </w:tc>
      </w:tr>
      <w:tr w14:paraId="6C52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266C905C">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2DEAD823">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10" w:name="_Toc173148848"/>
            <w:bookmarkStart w:id="111" w:name="_Toc13865"/>
            <w:bookmarkStart w:id="112" w:name="_Toc21350"/>
            <w:bookmarkStart w:id="113" w:name="_Toc1739"/>
            <w:r>
              <w:rPr>
                <w:rFonts w:hint="eastAsia" w:ascii="宋体" w:hAnsi="宋体" w:eastAsia="宋体" w:cs="宋体"/>
                <w:b w:val="0"/>
                <w:sz w:val="24"/>
                <w:szCs w:val="24"/>
              </w:rPr>
              <w:t>听评课管理</w:t>
            </w:r>
            <w:bookmarkEnd w:id="110"/>
            <w:bookmarkEnd w:id="111"/>
            <w:bookmarkEnd w:id="112"/>
            <w:bookmarkEnd w:id="113"/>
          </w:p>
          <w:p w14:paraId="257291D4">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3751470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14" w:name="_Toc173148849"/>
            <w:bookmarkStart w:id="115" w:name="_Toc9572"/>
            <w:r>
              <w:rPr>
                <w:rFonts w:hint="eastAsia" w:ascii="宋体" w:hAnsi="宋体" w:eastAsia="宋体" w:cs="宋体"/>
                <w:sz w:val="24"/>
                <w:szCs w:val="24"/>
                <w:highlight w:val="none"/>
              </w:rPr>
              <w:t>1.全局设置</w:t>
            </w:r>
            <w:bookmarkEnd w:id="114"/>
            <w:bookmarkEnd w:id="115"/>
          </w:p>
          <w:p w14:paraId="441FEA82">
            <w:pPr>
              <w:pageBreakBefore w:val="0"/>
              <w:widowControl/>
              <w:kinsoku/>
              <w:wordWrap/>
              <w:overflowPunct/>
              <w:topLinePunct w:val="0"/>
              <w:autoSpaceDE/>
              <w:autoSpaceDN/>
              <w:bidi w:val="0"/>
              <w:adjustRightInd/>
              <w:spacing w:line="360" w:lineRule="auto"/>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（1）支持管理员在后台设置教师被听评次数上限，以“教师+课程”为单位设置被听评次数上限，管理员可自主设定上限值，“大于等于”上限值后用户将无法对其进行评价。</w:t>
            </w:r>
          </w:p>
          <w:p w14:paraId="177451D3">
            <w:pPr>
              <w:pageBreakBefore w:val="0"/>
              <w:widowControl/>
              <w:kinsoku/>
              <w:wordWrap/>
              <w:overflowPunct/>
              <w:topLinePunct w:val="0"/>
              <w:autoSpaceDE/>
              <w:autoSpaceDN/>
              <w:bidi w:val="0"/>
              <w:adjustRightInd/>
              <w:spacing w:line="360" w:lineRule="auto"/>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（2）支持设置督导巡课观看课堂视频时长，在观看规定时长以后才可以对课堂进行问卷评。</w:t>
            </w:r>
          </w:p>
          <w:p w14:paraId="6473C1E6">
            <w:pPr>
              <w:pageBreakBefore w:val="0"/>
              <w:widowControl/>
              <w:kinsoku/>
              <w:wordWrap/>
              <w:overflowPunct/>
              <w:topLinePunct w:val="0"/>
              <w:autoSpaceDE/>
              <w:autoSpaceDN/>
              <w:bidi w:val="0"/>
              <w:adjustRightInd/>
              <w:spacing w:line="360" w:lineRule="auto"/>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（3）支持设置评价人查看被评人课程的评价次数只统计到同学院的评价。</w:t>
            </w:r>
          </w:p>
          <w:p w14:paraId="47E281E0">
            <w:pPr>
              <w:pageBreakBefore w:val="0"/>
              <w:widowControl/>
              <w:kinsoku/>
              <w:wordWrap/>
              <w:overflowPunct/>
              <w:topLinePunct w:val="0"/>
              <w:autoSpaceDE/>
              <w:autoSpaceDN/>
              <w:bidi w:val="0"/>
              <w:adjustRightInd/>
              <w:spacing w:line="360" w:lineRule="auto"/>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（4）支持设置被评次数与校验评价人身份，开启后评价人在选择课程页面查看被评对象的被评次数时只计入评价人身份为督导的评价。</w:t>
            </w:r>
          </w:p>
          <w:p w14:paraId="579D48BD">
            <w:pPr>
              <w:pageBreakBefore w:val="0"/>
              <w:widowControl/>
              <w:kinsoku/>
              <w:wordWrap/>
              <w:overflowPunct/>
              <w:topLinePunct w:val="0"/>
              <w:autoSpaceDE/>
              <w:autoSpaceDN/>
              <w:bidi w:val="0"/>
              <w:adjustRightInd/>
              <w:spacing w:line="360" w:lineRule="auto"/>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（5）支持设置导出的评价记录携是否携带水印。</w:t>
            </w:r>
          </w:p>
          <w:p w14:paraId="47FC56BF">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（6）支持设置新教工课程，根据教师的入职时间，系统自行核算，判断在职时长"小于"X年的为新教师，此时该教师的课程将被标记为新教工课程。</w:t>
            </w:r>
          </w:p>
          <w:p w14:paraId="3698C04B">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（7）支持区分角色，开启此设置项后，评价人每次进入评课应用都需要先选择角色，选择角色后将展示对应角色的待评数据及评课问卷。</w:t>
            </w:r>
          </w:p>
          <w:p w14:paraId="1D15CE19">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（8）支持允许督导撤回评价，根据设置的天数，允许督导撤回X天内的评价记录。</w:t>
            </w:r>
          </w:p>
          <w:p w14:paraId="6890482E">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（9）支持设置教师是否收到被评通知，开启此设置项后，教师被听评记录均会在系统收件箱收到通知。</w:t>
            </w:r>
          </w:p>
          <w:p w14:paraId="022E0846">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（10）支持设置是否开启“直播课堂”，开启此设置向后可在督导听评课应用内跳转直播课堂页面。</w:t>
            </w:r>
          </w:p>
          <w:p w14:paraId="3B0006B3">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（11）支持设置教师资源上传的规定时间，不在时间范围内无法上传。</w:t>
            </w:r>
          </w:p>
          <w:p w14:paraId="0B0DCD63">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（12）支持设置问卷简答题是否只允许拍照上传图片，不允许从手机相册上传图片。</w:t>
            </w:r>
          </w:p>
          <w:p w14:paraId="2B8CF69A">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（13）支持为评价人设置在被评课开课前，提前为评价人发送提醒通知的时间。</w:t>
            </w:r>
          </w:p>
          <w:p w14:paraId="59DD4F28">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（14）支持设置被评教师邀请评价教师听课的维度，开启后评价人在邀请我听页面按照已勾选的维度查看指派和邀请。</w:t>
            </w:r>
          </w:p>
          <w:p w14:paraId="1A3289E0">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（15）支持设置巡课的课程数据展示字段，可根据情况勾选，勾选设置项后，评价人在选择课程页面仅展示已勾选的字段信息及筛选项。</w:t>
            </w:r>
          </w:p>
          <w:p w14:paraId="1FE00FC6">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（16）支持设置巡课界面是否显示水印。</w:t>
            </w:r>
          </w:p>
          <w:p w14:paraId="71C9D7A6">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（17）支持为评价人设置是否允许查看课程回放，开启此设置项后，支持评价人查看课程回放，关闭则不允许查看课程回放。</w:t>
            </w:r>
          </w:p>
          <w:p w14:paraId="6762E866">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（18）支持设置移动端是否允许查看，开启此设置项后，移动端允许查看直播/录播，关闭则不允许查看</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移动端</w:t>
            </w:r>
            <w:r>
              <w:rPr>
                <w:rFonts w:hint="eastAsia" w:ascii="宋体" w:hAnsi="宋体" w:eastAsia="宋体" w:cs="宋体"/>
                <w:sz w:val="24"/>
                <w:szCs w:val="24"/>
                <w:highlight w:val="none"/>
                <w:lang w:val="en-US" w:eastAsia="zh-CN"/>
              </w:rPr>
              <w:t>根据学校要求</w:t>
            </w:r>
            <w:r>
              <w:rPr>
                <w:rFonts w:hint="eastAsia" w:ascii="宋体" w:hAnsi="宋体" w:eastAsia="宋体" w:cs="宋体"/>
                <w:sz w:val="24"/>
                <w:szCs w:val="24"/>
                <w:highlight w:val="none"/>
              </w:rPr>
              <w:t>限制校内查看。</w:t>
            </w:r>
          </w:p>
          <w:p w14:paraId="587A7CE0">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（19）支持设置评价人在移动端查看课程时，是否能查看到教师上传的课程资源。</w:t>
            </w:r>
          </w:p>
          <w:p w14:paraId="6E1585D3">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（20）支持设置为评价人在个人空间选择课程页面是否可以看到“校区”。</w:t>
            </w:r>
          </w:p>
          <w:p w14:paraId="4ABBD16F">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（21）支持设置评价人评课页面是否显示职称字段。</w:t>
            </w:r>
          </w:p>
          <w:p w14:paraId="225E6AD0">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（22）支持设置评价人在个人空间选择课程页面是否展示“查看线上课”字段。</w:t>
            </w:r>
          </w:p>
          <w:p w14:paraId="1B347F16">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（23）支持设置评价人在听评课列表页面是否看查看“查看教学大纲”字段。</w:t>
            </w:r>
          </w:p>
          <w:p w14:paraId="47FC3A72">
            <w:pPr>
              <w:pageBreakBefore w:val="0"/>
              <w:widowControl/>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（24）支持设置对评价人在作答主观题时输入内容是否存在敏感词的校验，开启后评价人在作答主观题时输入包含敏感词限制的词汇内容时会提示“输入内容违规，请重新输入”。</w:t>
            </w:r>
          </w:p>
          <w:p w14:paraId="325AFDE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16" w:name="_Toc20447"/>
            <w:bookmarkStart w:id="117" w:name="_Toc173148850"/>
            <w:r>
              <w:rPr>
                <w:rFonts w:hint="eastAsia" w:ascii="宋体" w:hAnsi="宋体" w:eastAsia="宋体" w:cs="宋体"/>
                <w:sz w:val="24"/>
                <w:szCs w:val="24"/>
                <w:highlight w:val="none"/>
              </w:rPr>
              <w:t>2.重点课程</w:t>
            </w:r>
            <w:bookmarkEnd w:id="116"/>
            <w:bookmarkEnd w:id="117"/>
          </w:p>
          <w:p w14:paraId="67CA921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支持管理员在后台设置重点课程名单，设置完成后督导评课页面，对应的课程将被标记为重点课程。</w:t>
            </w:r>
          </w:p>
          <w:p w14:paraId="6153E8D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18" w:name="_Toc173148851"/>
            <w:bookmarkStart w:id="119" w:name="_Toc11912"/>
            <w:r>
              <w:rPr>
                <w:rFonts w:hint="eastAsia" w:ascii="宋体" w:hAnsi="宋体" w:eastAsia="宋体" w:cs="宋体"/>
                <w:sz w:val="24"/>
                <w:szCs w:val="24"/>
                <w:highlight w:val="none"/>
              </w:rPr>
              <w:t>3.提交反馈</w:t>
            </w:r>
            <w:bookmarkEnd w:id="118"/>
            <w:bookmarkEnd w:id="119"/>
          </w:p>
          <w:p w14:paraId="6B17F0B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支持教师在查看个人被评记录后提交反馈，管理员可在后台查看反馈记录。</w:t>
            </w:r>
          </w:p>
          <w:p w14:paraId="107BA02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20" w:name="_Toc173148852"/>
            <w:bookmarkStart w:id="121" w:name="_Toc25968"/>
            <w:r>
              <w:rPr>
                <w:rFonts w:hint="eastAsia" w:ascii="宋体" w:hAnsi="宋体" w:eastAsia="宋体" w:cs="宋体"/>
                <w:sz w:val="24"/>
                <w:szCs w:val="24"/>
                <w:highlight w:val="none"/>
              </w:rPr>
              <w:t>4.听评课问卷填写详情</w:t>
            </w:r>
            <w:bookmarkEnd w:id="120"/>
            <w:bookmarkEnd w:id="121"/>
          </w:p>
          <w:p w14:paraId="71BC178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支持在同一页面查看本学期全部听评课问卷的作答记录。支持设置管理范围的查看维度，包括督导所属院系、课程所属院系以及教师所属院系。支持隐藏督导个人信息。支持向被评教师下发整改任务。</w:t>
            </w:r>
          </w:p>
          <w:p w14:paraId="57DFF062">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22" w:name="_Toc16511"/>
            <w:bookmarkStart w:id="123" w:name="_Toc173148853"/>
            <w:r>
              <w:rPr>
                <w:rFonts w:hint="eastAsia" w:ascii="宋体" w:hAnsi="宋体" w:eastAsia="宋体" w:cs="宋体"/>
                <w:sz w:val="24"/>
                <w:szCs w:val="24"/>
                <w:highlight w:val="none"/>
              </w:rPr>
              <w:t>5.听评课反馈</w:t>
            </w:r>
            <w:bookmarkEnd w:id="122"/>
            <w:bookmarkEnd w:id="123"/>
          </w:p>
          <w:p w14:paraId="4515C521">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支持设置是否允许被评对象向管理员反馈评价意见；开启后被评对象可在被评记录页面提交反馈，管理员可在后台查看反馈详情。</w:t>
            </w:r>
          </w:p>
          <w:p w14:paraId="6F38618C">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24" w:name="_Toc1711"/>
            <w:bookmarkStart w:id="125" w:name="_Toc173148854"/>
            <w:r>
              <w:rPr>
                <w:rFonts w:hint="eastAsia" w:ascii="宋体" w:hAnsi="宋体" w:eastAsia="宋体" w:cs="宋体"/>
                <w:sz w:val="24"/>
                <w:szCs w:val="24"/>
                <w:highlight w:val="none"/>
              </w:rPr>
              <w:t>6.整改任务详情</w:t>
            </w:r>
            <w:bookmarkEnd w:id="124"/>
            <w:bookmarkEnd w:id="125"/>
          </w:p>
          <w:p w14:paraId="61031A8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支持查看教师提交的整改任务材料；支持查看教师的整改任务进行状态。</w:t>
            </w:r>
          </w:p>
          <w:p w14:paraId="4F1E0283">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7.学评课</w:t>
            </w:r>
          </w:p>
          <w:p w14:paraId="4D534863">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（1）支持设置评价人是否可以撤销评价，开启此设置项后，评价人可以撤销进行中且已作答的问卷，关闭此设置项，则评价人不能撤销问卷，同时系统默认为开启状态。</w:t>
            </w:r>
          </w:p>
          <w:p w14:paraId="0F0CCDEB">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（2）支持评价人问卷列表的待评问卷是否随机排列。</w:t>
            </w:r>
          </w:p>
          <w:p w14:paraId="79445C93">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（3）支持为评价人设置在完成评教后是否自动进入到新的未评教记录中进行评教。</w:t>
            </w:r>
          </w:p>
          <w:p w14:paraId="4EA07A0C">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8.分数区间设置</w:t>
            </w:r>
          </w:p>
          <w:p w14:paraId="7D7707EE">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支持设置不同等级和分数对评价得分的区间划分。</w:t>
            </w:r>
          </w:p>
          <w:p w14:paraId="5A78330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9.理想评分分布状态设置</w:t>
            </w:r>
          </w:p>
          <w:p w14:paraId="504AF0F5">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支持设置以正态分布形式展示督导评分的理想状态，管理员可自主设定相关参数，此参数对应的正态分布将作为督导评分数据的对比参照。</w:t>
            </w:r>
          </w:p>
          <w:p w14:paraId="660AB72D">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10.签名记录</w:t>
            </w:r>
          </w:p>
          <w:p w14:paraId="442220D3">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支持设置评价人在问卷作答页面是否上传的手写签名，开启此设置项后，评价人在问卷作答页面上传的手写签名会保存至该评价人下次作答时页面。</w:t>
            </w:r>
          </w:p>
        </w:tc>
      </w:tr>
      <w:tr w14:paraId="1977A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239F55AA">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32A62084">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26" w:name="_Toc23274"/>
            <w:bookmarkStart w:id="127" w:name="_Toc453078593"/>
            <w:bookmarkStart w:id="128" w:name="_Toc27124"/>
            <w:bookmarkStart w:id="129" w:name="_Toc23051"/>
            <w:bookmarkStart w:id="130" w:name="_Toc26159"/>
            <w:bookmarkStart w:id="131" w:name="_Toc173148855"/>
            <w:r>
              <w:rPr>
                <w:rFonts w:hint="eastAsia" w:ascii="宋体" w:hAnsi="宋体" w:eastAsia="宋体" w:cs="宋体"/>
                <w:b w:val="0"/>
                <w:sz w:val="24"/>
                <w:szCs w:val="24"/>
              </w:rPr>
              <w:t>评价</w:t>
            </w:r>
            <w:bookmarkEnd w:id="126"/>
            <w:bookmarkEnd w:id="127"/>
            <w:r>
              <w:rPr>
                <w:rFonts w:hint="eastAsia" w:ascii="宋体" w:hAnsi="宋体" w:eastAsia="宋体" w:cs="宋体"/>
                <w:b w:val="0"/>
                <w:sz w:val="24"/>
                <w:szCs w:val="24"/>
              </w:rPr>
              <w:t>问卷建设与发放</w:t>
            </w:r>
            <w:bookmarkEnd w:id="128"/>
            <w:bookmarkEnd w:id="129"/>
            <w:bookmarkEnd w:id="130"/>
            <w:bookmarkEnd w:id="131"/>
          </w:p>
          <w:p w14:paraId="2A3A45E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1898F34F">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32" w:name="_Toc173148856"/>
            <w:bookmarkStart w:id="133" w:name="_Toc10965"/>
            <w:r>
              <w:rPr>
                <w:rFonts w:hint="eastAsia" w:ascii="宋体" w:hAnsi="宋体" w:eastAsia="宋体" w:cs="宋体"/>
                <w:sz w:val="24"/>
                <w:szCs w:val="24"/>
                <w:highlight w:val="none"/>
              </w:rPr>
              <w:t>1.指标管理</w:t>
            </w:r>
            <w:bookmarkEnd w:id="132"/>
            <w:bookmarkEnd w:id="133"/>
          </w:p>
          <w:p w14:paraId="3EBAD43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可以新建评价指标，支持单个添加或批量导入，可以对指标进行分类。指标题型包括单选、多选、填空、简答、打分题、星级评定题、量表题、滑动题等题型，其中单选题多选题支持添加其他选项，作答人可自行填写选项答案。可以根据指标内容选择题型，并添加指标标题和具体内容，每个指标内不同选项可对应不同分值。</w:t>
            </w:r>
          </w:p>
          <w:p w14:paraId="206D57B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（2）支持对已建指标进行编辑、删除、查找等操作。</w:t>
            </w:r>
          </w:p>
          <w:p w14:paraId="1DCAF7B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34" w:name="_Toc17300"/>
            <w:bookmarkStart w:id="135" w:name="_Toc173148857"/>
            <w:r>
              <w:rPr>
                <w:rFonts w:hint="eastAsia" w:ascii="宋体" w:hAnsi="宋体" w:eastAsia="宋体" w:cs="宋体"/>
                <w:sz w:val="24"/>
                <w:szCs w:val="24"/>
                <w:highlight w:val="none"/>
              </w:rPr>
              <w:t>2.问卷管理</w:t>
            </w:r>
            <w:bookmarkEnd w:id="134"/>
            <w:bookmarkEnd w:id="135"/>
          </w:p>
          <w:p w14:paraId="0E8E51C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（1）学校可自主搭建不同的指标体系。支持新建问卷，支持输入标题、分类、说明信息，添加指标模块名称，比如：教师师德、教学效果等，可以在每个指标模块下直接录入子指标，或直接从指标库添加指标。</w:t>
            </w:r>
          </w:p>
          <w:p w14:paraId="04E4AD9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（2）系统提供预设指标库，支持直接从预设指标库中选择指标组合问卷。</w:t>
            </w:r>
          </w:p>
          <w:p w14:paraId="53E35ED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（3）支持对已有问卷进行编辑、预览、删除以及复制等操作。</w:t>
            </w:r>
          </w:p>
          <w:p w14:paraId="54B9CBF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（4）可对问卷类型进行定义，例如：评教</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评学</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活动反馈等等。</w:t>
            </w:r>
          </w:p>
          <w:p w14:paraId="76D2EAF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（5）可对问卷中指标设置指标权重，达到不同指标在问卷中权重不同的效果。</w:t>
            </w:r>
          </w:p>
          <w:p w14:paraId="148C177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（6）可对问卷设置使用权限，开启后院级管理员也可以使用该问卷。</w:t>
            </w:r>
          </w:p>
          <w:p w14:paraId="5D6BEF24">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36" w:name="_Toc21735"/>
            <w:bookmarkStart w:id="137" w:name="_Toc173148858"/>
            <w:r>
              <w:rPr>
                <w:rFonts w:hint="eastAsia" w:ascii="宋体" w:hAnsi="宋体" w:eastAsia="宋体" w:cs="宋体"/>
                <w:sz w:val="24"/>
                <w:szCs w:val="24"/>
                <w:highlight w:val="none"/>
              </w:rPr>
              <w:t>3，评价问卷发放管理</w:t>
            </w:r>
            <w:bookmarkEnd w:id="136"/>
            <w:bookmarkEnd w:id="137"/>
          </w:p>
          <w:p w14:paraId="10C20E8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（1）问卷发放方式</w:t>
            </w:r>
          </w:p>
          <w:p w14:paraId="7FB4DBD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问卷发放支持多种方式及业务，至少包括为：公开问卷、评价教师、评价学生、评价课程、评价课堂、听评课问卷、评课班问卷；发放督导评教问卷时可选择某个或者某几个督导分类进行定向投放，也可以选择具体的几位督导进行投放。</w:t>
            </w:r>
          </w:p>
          <w:p w14:paraId="5863804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1）发放调查问卷</w:t>
            </w:r>
          </w:p>
          <w:p w14:paraId="7C3E141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问卷发放成功后，自动生成的二维码及链接，支持发到微信群聊或者朋友圈，所有的人都可以提交评价。支持设置单一设备的作答次数上限；支持查看问卷的被评价情况，包括问卷的平均分、已评人数、以及问卷各指标选项的被提交占比。支持导出EXCEL和WORD两种格式的结果文档。</w:t>
            </w:r>
          </w:p>
          <w:p w14:paraId="7494A0F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2）评价教师</w:t>
            </w:r>
          </w:p>
          <w:p w14:paraId="04EF5CE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支持教师自评、同行互评、学生评价、管理员评价等多种场景，管理员可自定义选择评价人和被评价人，也可以根据学生选表数据生成评价关系。同行评价支持教师随机互评，可自定义设置每人被评次数。</w:t>
            </w:r>
          </w:p>
          <w:p w14:paraId="6DCCB10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3）评价学生</w:t>
            </w:r>
          </w:p>
          <w:p w14:paraId="60B178CB">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支持按人评价和按班级评价，评价方式支持学生自评、学生随机互评、教师评价、管理员评价。管理员可自定义选择评价人和被评价人，也可以根据学生选表数据生成评价关系。</w:t>
            </w:r>
          </w:p>
          <w:p w14:paraId="1373F6C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4）评价课程</w:t>
            </w:r>
          </w:p>
          <w:p w14:paraId="62CE69B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支持选课学生评价课程、自选学生评价课程、教师评价课程和管理员评价课程等几种方式；可以绑定“课程—教师”关系，以“课程—教师”为被评对象进行学生评价、教师评价和管理员评价。</w:t>
            </w:r>
          </w:p>
          <w:p w14:paraId="23BA40E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5）评价课堂</w:t>
            </w:r>
          </w:p>
          <w:p w14:paraId="3B5903A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支持学生随堂评价教师，根据课程表上课时间，在每堂课结束后自动发放问卷；支持学生按照课程周期评价教师，管理员可自定义课程时间阶段设置问卷发放， 比如设置当课程学时完成20%和40%时，系统自动发放评价问卷；支持课程开始后随机发放问卷，可根据选课表上的时间，设置随机发放次数。以上方式都能够查询添和批量添加被评教师，设置每份问卷作答的有效期，或设置问卷当天有效，有效日期截止到当天的24:00。</w:t>
            </w:r>
          </w:p>
          <w:p w14:paraId="60EE3C2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6）督导评价</w:t>
            </w:r>
          </w:p>
          <w:p w14:paraId="2E86117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支持督导、领导、同行教师对教师的课堂进行听评课。可搜索添加某个督导或直接添加某个分类下的督导人员；同行听评课权限可设置同院系、跨院系、全部院系。</w:t>
            </w:r>
          </w:p>
          <w:p w14:paraId="6857BFCA">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7）评价课班</w:t>
            </w:r>
          </w:p>
          <w:p w14:paraId="09659AE0">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支持选课学生评价教学班。</w:t>
            </w:r>
          </w:p>
          <w:p w14:paraId="19F34BD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（2）问卷发放设置</w:t>
            </w:r>
          </w:p>
          <w:p w14:paraId="25B0F6A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1）问卷发放时间：可自定义设置问卷的发放时间及截止时间。</w:t>
            </w:r>
          </w:p>
          <w:p w14:paraId="10F3616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2）问卷过滤设置：支持去掉评价的最高分及最低分，可自定义设置去掉的占比。</w:t>
            </w:r>
          </w:p>
          <w:p w14:paraId="63ED56A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问卷隐私设置：支持设置是否允许被评对象查看评价结果，是否允许评价成员查看评价统计。支持评价成员匿名评价，仅问卷创建者可以查看评价人信息，被评对象和评价人、其他类型人员查看评价结果时匿名。</w:t>
            </w:r>
          </w:p>
          <w:p w14:paraId="23215BF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4）问卷提交设置：移动端提交评价时支持定位评价人；支持限定评价人在某一分数区间的作答比例；支持限定评价人提交的A选项最大个数。</w:t>
            </w:r>
          </w:p>
          <w:p w14:paraId="51D302A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5）教师预警：教师综合得分低于某个分值时，系统可自动给教师发放预警通知； </w:t>
            </w:r>
          </w:p>
          <w:p w14:paraId="2718AEC9">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支持针对单个指标设置预警标准。</w:t>
            </w:r>
          </w:p>
          <w:p w14:paraId="78F615C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（3）已发放问卷设置更改</w:t>
            </w:r>
          </w:p>
          <w:p w14:paraId="13AD8AE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1）支持发放时间更改。支持对已发放问卷重新设定时间，管理员可随时自主延长或缩短问卷的“截止时间”，问卷的状态也会随时间而变化（进行中、已结束等）。</w:t>
            </w:r>
          </w:p>
          <w:p w14:paraId="03B73251">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2）支持评价设置更改：管理员可对已发放问卷的设置进行重新设定。</w:t>
            </w:r>
          </w:p>
          <w:p w14:paraId="2611F1D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3）通知设置：支持对问卷中的被评对象、全部评价人或未评评价人发放自定义通知。</w:t>
            </w:r>
          </w:p>
        </w:tc>
      </w:tr>
      <w:tr w14:paraId="13BD5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0" w:hRule="atLeast"/>
        </w:trPr>
        <w:tc>
          <w:tcPr>
            <w:tcW w:w="1752" w:type="dxa"/>
            <w:vMerge w:val="continue"/>
            <w:shd w:val="clear" w:color="auto" w:fill="auto"/>
          </w:tcPr>
          <w:p w14:paraId="1EB1A939">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20B5BF5C">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38" w:name="_Toc21663"/>
            <w:bookmarkStart w:id="139" w:name="_Toc2062383936"/>
            <w:bookmarkStart w:id="140" w:name="_Toc22432"/>
            <w:bookmarkStart w:id="141" w:name="_Toc1323"/>
            <w:bookmarkStart w:id="142" w:name="_Toc173148859"/>
            <w:bookmarkStart w:id="143" w:name="_Toc4490"/>
            <w:r>
              <w:rPr>
                <w:rFonts w:hint="eastAsia" w:ascii="宋体" w:hAnsi="宋体" w:eastAsia="宋体" w:cs="宋体"/>
                <w:b w:val="0"/>
                <w:sz w:val="24"/>
                <w:szCs w:val="24"/>
              </w:rPr>
              <w:t>师生</w:t>
            </w:r>
            <w:bookmarkEnd w:id="138"/>
            <w:bookmarkEnd w:id="139"/>
            <w:r>
              <w:rPr>
                <w:rFonts w:hint="eastAsia" w:ascii="宋体" w:hAnsi="宋体" w:eastAsia="宋体" w:cs="宋体"/>
                <w:b w:val="0"/>
                <w:sz w:val="24"/>
                <w:szCs w:val="24"/>
              </w:rPr>
              <w:t>评价</w:t>
            </w:r>
            <w:bookmarkEnd w:id="140"/>
            <w:bookmarkEnd w:id="141"/>
            <w:bookmarkEnd w:id="142"/>
            <w:bookmarkEnd w:id="143"/>
          </w:p>
          <w:p w14:paraId="777AE31E">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4067E6AA">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44" w:name="_Toc8919"/>
            <w:bookmarkStart w:id="145" w:name="_Toc173148860"/>
            <w:r>
              <w:rPr>
                <w:rFonts w:hint="eastAsia" w:ascii="宋体" w:hAnsi="宋体" w:eastAsia="宋体" w:cs="宋体"/>
                <w:sz w:val="24"/>
                <w:szCs w:val="24"/>
              </w:rPr>
              <w:t>1.评价问卷填写</w:t>
            </w:r>
            <w:bookmarkEnd w:id="144"/>
            <w:bookmarkEnd w:id="145"/>
          </w:p>
          <w:p w14:paraId="6D08EFD5">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（1）教师和学生在个人空间中，可看到个人相关的评价任务信息，可通过评价类型、评价任务状态、评价开始时间、结束时间、评价任务的标题等关键词进行搜索查看对应的评价任务。</w:t>
            </w:r>
          </w:p>
          <w:p w14:paraId="0AE5A3A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（2）评价问卷填写时，可以暂时保存评价内容或直接提交。</w:t>
            </w:r>
          </w:p>
          <w:p w14:paraId="26C53A3B">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完成评价后，用户可查看对应评价问卷的结果，评价结果包括用户个人的评价平均分、整张评价问卷的平均分以及已经参评的对象的信息，可查看问卷中每道题的个人回答情况以及全部评价对象的回答情况，如果是选择题可看到每道题的选择情况，打分题可以看到每道题的平均分信息。</w:t>
            </w:r>
          </w:p>
          <w:p w14:paraId="7757B21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（4）教师和学生可查看自己的被评记录，包括被评问卷的详情，每道题评价情况以及评价结果统计。</w:t>
            </w:r>
          </w:p>
          <w:p w14:paraId="7A58E3B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（5）评价终端支持移动端和</w:t>
            </w:r>
            <w:r>
              <w:rPr>
                <w:rFonts w:hint="eastAsia" w:ascii="宋体" w:hAnsi="宋体" w:cs="宋体"/>
                <w:sz w:val="24"/>
                <w:szCs w:val="24"/>
                <w:lang w:val="en-US" w:eastAsia="zh-CN"/>
              </w:rPr>
              <w:t>PC</w:t>
            </w:r>
            <w:r>
              <w:rPr>
                <w:rFonts w:hint="eastAsia" w:ascii="宋体" w:hAnsi="宋体" w:eastAsia="宋体" w:cs="宋体"/>
                <w:sz w:val="24"/>
                <w:szCs w:val="24"/>
              </w:rPr>
              <w:t>端，且数据互通。</w:t>
            </w:r>
          </w:p>
          <w:p w14:paraId="3F24D3F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46" w:name="_Toc173148861"/>
            <w:bookmarkStart w:id="147" w:name="_Toc27864"/>
            <w:r>
              <w:rPr>
                <w:rFonts w:hint="eastAsia" w:ascii="宋体" w:hAnsi="宋体" w:eastAsia="宋体" w:cs="宋体"/>
                <w:sz w:val="24"/>
                <w:szCs w:val="24"/>
              </w:rPr>
              <w:t>2.教师被评报告</w:t>
            </w:r>
            <w:bookmarkEnd w:id="146"/>
            <w:bookmarkEnd w:id="147"/>
          </w:p>
          <w:p w14:paraId="02E3DD7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教师可在PC端个人空间及移动端查看被评报告，包括教师个人得分、全校教师平均分、院系排名、全校排名、课堂得分对比、课程得分对比、指标得分对比、教师优良率统计、多学期指标得分对比等</w:t>
            </w:r>
          </w:p>
          <w:p w14:paraId="7AB4871B">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48" w:name="_Toc173148862"/>
            <w:bookmarkStart w:id="149" w:name="_Toc23158"/>
            <w:r>
              <w:rPr>
                <w:rFonts w:hint="eastAsia" w:ascii="宋体" w:hAnsi="宋体" w:eastAsia="宋体" w:cs="宋体"/>
                <w:sz w:val="24"/>
                <w:szCs w:val="24"/>
              </w:rPr>
              <w:t>3.评价过程监控</w:t>
            </w:r>
            <w:bookmarkEnd w:id="148"/>
            <w:bookmarkEnd w:id="149"/>
          </w:p>
          <w:p w14:paraId="7AB00554">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支持在系统上直接查看评价进程，可按照评价人、班级、院系不同维度查询，包括应答问卷次数、已答问卷次数、已答率，支持一键导出。</w:t>
            </w:r>
          </w:p>
          <w:p w14:paraId="4DC95549">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rPr>
            </w:pPr>
            <w:bookmarkStart w:id="150" w:name="_Toc173148863"/>
            <w:bookmarkStart w:id="151" w:name="_Toc20653"/>
            <w:r>
              <w:rPr>
                <w:rFonts w:hint="eastAsia" w:ascii="宋体" w:hAnsi="宋体" w:eastAsia="宋体" w:cs="宋体"/>
                <w:sz w:val="24"/>
                <w:szCs w:val="24"/>
              </w:rPr>
              <w:t>4.教师个人发问卷</w:t>
            </w:r>
            <w:bookmarkEnd w:id="150"/>
            <w:bookmarkEnd w:id="151"/>
          </w:p>
          <w:p w14:paraId="1D2AF31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支持教师个人组建问卷，可选择自主添加指标或选择管理员预置指标，组建完成后可发给个人的授课班级，查看学生作答详情；同时后台可记录所有教师的发放次数及发放记录。</w:t>
            </w:r>
          </w:p>
        </w:tc>
      </w:tr>
      <w:tr w14:paraId="573C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623A5F58">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7468A6BB">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52" w:name="_Toc23590"/>
            <w:bookmarkStart w:id="153" w:name="_Toc30152"/>
            <w:bookmarkStart w:id="154" w:name="_Toc173148864"/>
            <w:bookmarkStart w:id="155" w:name="_Toc2822"/>
            <w:r>
              <w:rPr>
                <w:rFonts w:hint="eastAsia" w:ascii="宋体" w:hAnsi="宋体" w:eastAsia="宋体" w:cs="宋体"/>
                <w:b w:val="0"/>
                <w:sz w:val="24"/>
                <w:szCs w:val="24"/>
              </w:rPr>
              <w:t>教学听评课</w:t>
            </w:r>
            <w:bookmarkEnd w:id="152"/>
            <w:bookmarkEnd w:id="153"/>
            <w:bookmarkEnd w:id="154"/>
            <w:bookmarkEnd w:id="155"/>
          </w:p>
          <w:p w14:paraId="6DD1461F">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107C0C93">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56" w:name="_Toc13936"/>
            <w:bookmarkStart w:id="157" w:name="_Toc173148865"/>
            <w:r>
              <w:rPr>
                <w:rFonts w:hint="eastAsia" w:ascii="宋体" w:hAnsi="宋体" w:eastAsia="宋体" w:cs="宋体"/>
                <w:sz w:val="24"/>
                <w:szCs w:val="24"/>
                <w:highlight w:val="none"/>
              </w:rPr>
              <w:t>1</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移动听评课</w:t>
            </w:r>
            <w:bookmarkEnd w:id="156"/>
            <w:bookmarkEnd w:id="157"/>
          </w:p>
          <w:p w14:paraId="01FB19E1">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作为移动评课的工具，通过现场观听，普通教师、学校管理者、督导员、学生就可以在手机上完成对上课教师某一方面、多方面或全方面的评价，并留存数据。</w:t>
            </w:r>
          </w:p>
          <w:p w14:paraId="191C823D">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选择听课：督导登录移动端，进入评课页面，可查看其督导范围下的排课安排，默认展示当天的数据，可通过开课院系、课程名称、教师姓名（工号）、学生所在学院、学生班级、年级、地点等筛选条件，定位到要听评的对象，点击进入评课页面，评课页面管理员可限制仅允许拍照上传图片。</w:t>
            </w:r>
          </w:p>
          <w:p w14:paraId="75BD2C29">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2）填写评课：不显示在教务系统中的排课，可输入节次信息，包括“开课学院（下拉选择）、课程名称（下拉选择）、教师姓名（下拉选择）、教学班级（下拉选择）、上课地点（下拉选择）、上课节次（下拉选择）”等信息，填写后可进行评课。</w:t>
            </w:r>
          </w:p>
          <w:p w14:paraId="7554151B">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（3）评课计划：督导可提前将想听评对象加入评课计划，到达指定时间后，无需再次查找听评对象，直接进入评课计划区域，填写问卷，提交评价。</w:t>
            </w:r>
          </w:p>
          <w:p w14:paraId="35BAA286">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（4）管理员指派任务：管理员指派督导听课任务后，督导可进入“邀请我听”区域，查看管理员指派的记录，选择接受或者忽略。</w:t>
            </w:r>
          </w:p>
          <w:p w14:paraId="53F9AFF1">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5）教师邀请听课：教师可邀请督导听课，可进行课程邀请及节次邀请两种方式，邀请时可选择某一督导分类下的所有督导，也可选择单个督导进行邀请，输入邀请说明，完成邀请。督导可查看教师邀请的具体信息，包括课程名称、教师、班级、时间、地点等，选择接受或者忽略。</w:t>
            </w:r>
          </w:p>
          <w:p w14:paraId="2CDF9269">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（6）查看已评记录：督导可查看自己的已评记录详情</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置于</w:t>
            </w:r>
            <w:r>
              <w:rPr>
                <w:rFonts w:hint="eastAsia" w:ascii="宋体" w:hAnsi="宋体" w:eastAsia="宋体" w:cs="宋体"/>
                <w:sz w:val="24"/>
                <w:szCs w:val="24"/>
                <w:highlight w:val="none"/>
              </w:rPr>
              <w:t>醒目位置）。</w:t>
            </w:r>
          </w:p>
          <w:p w14:paraId="1800822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（7）督导查看评课报告：督导在进行评课后，将基于督导个人的评课记录生成统计报告；可在PC个人空间及移动端查看内容，包括督导应评次数、已评次数、完成率、各学院听评次数统计等。</w:t>
            </w:r>
          </w:p>
          <w:p w14:paraId="668E4BB0">
            <w:pPr>
              <w:pageBreakBefore w:val="0"/>
              <w:kinsoku/>
              <w:wordWrap/>
              <w:overflowPunct/>
              <w:topLinePunct w:val="0"/>
              <w:autoSpaceDE/>
              <w:autoSpaceDN/>
              <w:bidi w:val="0"/>
              <w:adjustRightInd/>
              <w:spacing w:line="360" w:lineRule="auto"/>
              <w:ind w:left="0"/>
              <w:textAlignment w:val="auto"/>
              <w:outlineLvl w:val="9"/>
              <w:rPr>
                <w:rFonts w:hint="eastAsia" w:ascii="宋体" w:hAnsi="宋体" w:eastAsia="宋体" w:cs="宋体"/>
                <w:sz w:val="24"/>
                <w:szCs w:val="24"/>
                <w:highlight w:val="none"/>
              </w:rPr>
            </w:pPr>
            <w:bookmarkStart w:id="158" w:name="_Toc173148866"/>
            <w:bookmarkStart w:id="159" w:name="_Toc20607"/>
            <w:r>
              <w:rPr>
                <w:rFonts w:hint="eastAsia" w:ascii="宋体" w:hAnsi="宋体" w:eastAsia="宋体" w:cs="宋体"/>
                <w:sz w:val="24"/>
                <w:szCs w:val="24"/>
                <w:highlight w:val="none"/>
              </w:rPr>
              <w:t>2</w:t>
            </w:r>
            <w:r>
              <w:rPr>
                <w:rFonts w:hint="eastAsia" w:ascii="宋体" w:hAnsi="宋体" w:cs="宋体"/>
                <w:sz w:val="24"/>
                <w:szCs w:val="24"/>
                <w:highlight w:val="none"/>
                <w:lang w:val="en-US" w:eastAsia="zh-CN"/>
              </w:rPr>
              <w:t>.</w:t>
            </w:r>
            <w:r>
              <w:rPr>
                <w:rFonts w:hint="eastAsia" w:ascii="宋体" w:hAnsi="宋体" w:eastAsia="宋体" w:cs="宋体"/>
                <w:sz w:val="24"/>
                <w:szCs w:val="24"/>
                <w:highlight w:val="none"/>
              </w:rPr>
              <w:t>pc端听评课</w:t>
            </w:r>
            <w:bookmarkEnd w:id="158"/>
            <w:bookmarkEnd w:id="159"/>
          </w:p>
          <w:p w14:paraId="7BFA953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pc端除了支持选择听课、评课计划、完成指派评课任务、完成邀请听课、查看已评记录外，还支持查看教师网络课程建设情况，包括课程的基础数据、课程门户（进入课程门户）、班级任务、学情分析、课程日志信息等内容。</w:t>
            </w:r>
          </w:p>
        </w:tc>
      </w:tr>
      <w:tr w14:paraId="4F1D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48A67AB9">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35BEDC48">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60" w:name="_Toc8656"/>
            <w:bookmarkStart w:id="161" w:name="_Toc23817"/>
            <w:bookmarkStart w:id="162" w:name="_Toc27641"/>
            <w:bookmarkStart w:id="163" w:name="_Toc173148870"/>
            <w:r>
              <w:rPr>
                <w:rFonts w:hint="eastAsia" w:ascii="宋体" w:hAnsi="宋体" w:eastAsia="宋体" w:cs="宋体"/>
                <w:b w:val="0"/>
                <w:sz w:val="24"/>
                <w:szCs w:val="24"/>
              </w:rPr>
              <w:t>问卷数据回收</w:t>
            </w:r>
            <w:bookmarkEnd w:id="160"/>
            <w:bookmarkEnd w:id="161"/>
            <w:bookmarkEnd w:id="162"/>
            <w:bookmarkEnd w:id="163"/>
          </w:p>
          <w:p w14:paraId="76157E29">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3195DA1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1.问卷详情查看</w:t>
            </w:r>
          </w:p>
          <w:p w14:paraId="5CDC6D1C">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可以查看已发放问卷的详细信息和评价结果，可以看到各个评价人员列表，以及一些基本信息，包括被评对象、教师的账号、所属院系、评价人信息、问卷平均分、综合分数等。可以直接查看问卷内每一道题的得分情况和每个选项的占比。支持对已发放问卷结果数据设置打折系数。</w:t>
            </w:r>
          </w:p>
          <w:p w14:paraId="0F52B35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2.问卷结果导出</w:t>
            </w:r>
          </w:p>
          <w:p w14:paraId="72B63D0F">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导出问卷详情，可通过邮箱的形式导出问卷的统计详情，也可通过word或excel表格的形式进行导出。导出的内容包括评价结果（被评对象信息、最终平均分）和评价记录详情（被评对象信息、评价人员信息、课程信息、时间、每个评价的指标和结果）。</w:t>
            </w:r>
          </w:p>
          <w:p w14:paraId="5451545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3.支持针对已发放问卷补发被评对象及评价人。</w:t>
            </w:r>
          </w:p>
        </w:tc>
      </w:tr>
      <w:tr w14:paraId="2966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3F11EAA0">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2D62D7EA">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64" w:name="_Toc12383"/>
            <w:bookmarkStart w:id="165" w:name="_Toc4740"/>
            <w:bookmarkStart w:id="166" w:name="_Toc25791"/>
            <w:bookmarkStart w:id="167" w:name="_Toc173148871"/>
            <w:r>
              <w:rPr>
                <w:rFonts w:hint="eastAsia" w:ascii="宋体" w:hAnsi="宋体" w:eastAsia="宋体" w:cs="宋体"/>
                <w:b w:val="0"/>
                <w:sz w:val="24"/>
                <w:szCs w:val="24"/>
              </w:rPr>
              <w:t>统计分析</w:t>
            </w:r>
            <w:bookmarkEnd w:id="164"/>
            <w:bookmarkEnd w:id="165"/>
            <w:bookmarkEnd w:id="166"/>
            <w:bookmarkEnd w:id="167"/>
          </w:p>
          <w:p w14:paraId="4401F30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19D5A7F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1.统计分析维度包括评价教师分析、评价课程分析、随堂评教分析、听评课分析、评价班级分析、评价教师综合分析、教师画像、数据大屏。</w:t>
            </w:r>
          </w:p>
          <w:p w14:paraId="349986B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2.可按照评价任务为单位查看每一次评价任务的评价情况，包括评价任务的完成情况、评价问卷的提交情况、被评对象的评分排序、被评对象的分数分布图、院系平均分。各项统计均以饼状图、柱状图等图形或展示方式直观统计展示。</w:t>
            </w:r>
          </w:p>
          <w:p w14:paraId="00D13DF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3.选择某份评价教师问卷，可查看被评教师人数、参与评价人数、教师平均分、最高分、最低分、参评率、授课教师人数分布等，可查看当前问卷各院系平均得分及各分数区间人数占比、及院系各指标平均得分分布图、以及可查看教师的得分排行并支持导出；可以置标准参评率，设置后只分析大于标准参评率的评价结果。针对评价教师分析，可选择多份问卷设置不同权重，得出教师的综合得分，并可按照院系、姓名、分数等级进行筛选查看。</w:t>
            </w:r>
          </w:p>
          <w:p w14:paraId="76423A3D">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4.支持按照问卷、指标、时间段、时间点、学院、课程进行筛选，查看随堂评教问卷下，各院系的得分和折线图对比情况。支持查看某个班级对某个课程每节课的评价分数和参评率，可以以折线图的形式展现每节课对比情况。支持查看本学期随堂评教情况排名。</w:t>
            </w:r>
          </w:p>
          <w:p w14:paraId="65C12162">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5.支持管理员查看督导听评课任务完成情况、各院系听评课完成率对比、已评价课程/教师情况，也可以查看被听评教师按院系、按指标、按学院教师的得分情况以及总体分析。</w:t>
            </w:r>
          </w:p>
          <w:p w14:paraId="3D2A8F48">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rPr>
              <w:t>6.支持管理员查看评价班级分析，包括被评班级总数、参与评价人数</w:t>
            </w:r>
            <w:r>
              <w:rPr>
                <w:rFonts w:hint="eastAsia" w:ascii="宋体" w:hAnsi="宋体" w:eastAsia="宋体" w:cs="宋体"/>
                <w:sz w:val="24"/>
                <w:szCs w:val="24"/>
                <w:highlight w:val="none"/>
              </w:rPr>
              <w:t>、班级平均分、参评率、各院系被评班级分布、各院系班级平均分及区间分布、各院系班级平均分排名、班级平均分排名等。</w:t>
            </w:r>
          </w:p>
          <w:p w14:paraId="24C79F77">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7.支持统计督导的工作量，可查看每位督导已完成听评次数（</w:t>
            </w:r>
            <w:r>
              <w:rPr>
                <w:rFonts w:hint="eastAsia" w:ascii="宋体" w:hAnsi="宋体" w:eastAsia="宋体" w:cs="宋体"/>
                <w:sz w:val="24"/>
                <w:szCs w:val="24"/>
                <w:highlight w:val="none"/>
                <w:lang w:val="en-US" w:eastAsia="zh-CN"/>
              </w:rPr>
              <w:t>不</w:t>
            </w:r>
            <w:r>
              <w:rPr>
                <w:rFonts w:hint="eastAsia" w:ascii="宋体" w:hAnsi="宋体" w:eastAsia="宋体" w:cs="宋体"/>
                <w:sz w:val="24"/>
                <w:szCs w:val="24"/>
                <w:highlight w:val="none"/>
              </w:rPr>
              <w:t>仅显示对学院的次数，</w:t>
            </w:r>
            <w:r>
              <w:rPr>
                <w:rFonts w:hint="eastAsia" w:ascii="宋体" w:hAnsi="宋体" w:eastAsia="宋体" w:cs="宋体"/>
                <w:sz w:val="24"/>
                <w:szCs w:val="24"/>
                <w:highlight w:val="none"/>
                <w:lang w:val="en-US" w:eastAsia="zh-CN"/>
              </w:rPr>
              <w:t>还</w:t>
            </w:r>
            <w:r>
              <w:rPr>
                <w:rFonts w:hint="eastAsia" w:ascii="宋体" w:hAnsi="宋体" w:eastAsia="宋体" w:cs="宋体"/>
                <w:sz w:val="24"/>
                <w:szCs w:val="24"/>
                <w:highlight w:val="none"/>
              </w:rPr>
              <w:t>需要</w:t>
            </w:r>
            <w:r>
              <w:rPr>
                <w:rFonts w:hint="eastAsia" w:ascii="宋体" w:hAnsi="宋体" w:eastAsia="宋体" w:cs="宋体"/>
                <w:sz w:val="24"/>
                <w:szCs w:val="24"/>
                <w:highlight w:val="none"/>
                <w:lang w:val="en-US" w:eastAsia="zh-CN"/>
              </w:rPr>
              <w:t>显示</w:t>
            </w:r>
            <w:r>
              <w:rPr>
                <w:rFonts w:hint="eastAsia" w:ascii="宋体" w:hAnsi="宋体" w:eastAsia="宋体" w:cs="宋体"/>
                <w:sz w:val="24"/>
                <w:szCs w:val="24"/>
                <w:highlight w:val="none"/>
              </w:rPr>
              <w:t>个人听评总数）、督导任务听评次数、未完成次数、完成率等。也可以二级院系维度呈现督导情况，包括各个二级院系的参评人数、人次、被听课人数、授课教师数、评课覆盖率等。</w:t>
            </w:r>
          </w:p>
          <w:p w14:paraId="193D57B3">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highlight w:val="none"/>
              </w:rPr>
              <w:t>8.管理员可查看评价教师的</w:t>
            </w:r>
            <w:r>
              <w:rPr>
                <w:rFonts w:hint="eastAsia" w:ascii="宋体" w:hAnsi="宋体" w:eastAsia="宋体" w:cs="宋体"/>
                <w:sz w:val="24"/>
                <w:szCs w:val="24"/>
              </w:rPr>
              <w:t>综合数据，通过选择学期和评价问卷，可查看本学期教师的综合评价统计数据、“授课教师人数分布”、“指标平均分”、“院系平均分及区间分布”、“各维度优良率统计”。</w:t>
            </w:r>
          </w:p>
          <w:p w14:paraId="615A1BBB">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9.支持后台自动生成教师个人画像，对督导领导的听课数据、学生的评教数据进行汇总分析。画像内容包括开设课程门数、被评次数、个人平均分与院系、全校平均分对比情况、个人历年平均得分趋势等。</w:t>
            </w:r>
          </w:p>
          <w:p w14:paraId="58E6CD7E">
            <w:pPr>
              <w:pageBreakBefore w:val="0"/>
              <w:widowControl/>
              <w:kinsoku/>
              <w:wordWrap/>
              <w:overflowPunct/>
              <w:topLinePunct w:val="0"/>
              <w:autoSpaceDE/>
              <w:autoSpaceDN/>
              <w:bidi w:val="0"/>
              <w:adjustRightInd/>
              <w:snapToGrid w:val="0"/>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10.支持根据本学期听评课数据与学评教数据汇总，以数据大屏的形式直观展示。包括院系教师排名、课程质量排名、被评教师数等统计数据。</w:t>
            </w:r>
          </w:p>
        </w:tc>
      </w:tr>
      <w:tr w14:paraId="17A0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527B8B81">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68A3C899">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68" w:name="_Toc13801"/>
            <w:r>
              <w:rPr>
                <w:rFonts w:hint="eastAsia" w:ascii="宋体" w:hAnsi="宋体" w:eastAsia="宋体" w:cs="宋体"/>
                <w:b w:val="0"/>
                <w:sz w:val="24"/>
                <w:szCs w:val="24"/>
              </w:rPr>
              <w:t>听评课报告</w:t>
            </w:r>
            <w:bookmarkEnd w:id="168"/>
          </w:p>
        </w:tc>
        <w:tc>
          <w:tcPr>
            <w:tcW w:w="6520" w:type="dxa"/>
            <w:shd w:val="clear" w:color="auto" w:fill="auto"/>
          </w:tcPr>
          <w:p w14:paraId="6E5395A2">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管理员在后台生成听评课校级报告，对督导领导的听课数据进行汇总分析，生在报告后支持在线编辑，同时支持导出word，报告包括：评价完成情况、教师覆盖情况分析、课程覆盖情况分析、教师教学质量分析、课程质量分析等。</w:t>
            </w:r>
          </w:p>
        </w:tc>
      </w:tr>
      <w:tr w14:paraId="3F80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7C74B8E8">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24E6901F">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69" w:name="_Toc24481"/>
            <w:bookmarkStart w:id="170" w:name="_Toc5298"/>
            <w:bookmarkStart w:id="171" w:name="_Toc173148873"/>
            <w:bookmarkStart w:id="172" w:name="_Toc5656"/>
            <w:r>
              <w:rPr>
                <w:rFonts w:hint="eastAsia" w:ascii="宋体" w:hAnsi="宋体" w:eastAsia="宋体" w:cs="宋体"/>
                <w:b w:val="0"/>
                <w:sz w:val="24"/>
                <w:szCs w:val="24"/>
              </w:rPr>
              <w:t>学评教报告</w:t>
            </w:r>
            <w:bookmarkEnd w:id="169"/>
            <w:bookmarkEnd w:id="170"/>
            <w:bookmarkEnd w:id="171"/>
            <w:bookmarkEnd w:id="172"/>
          </w:p>
          <w:p w14:paraId="3C33C835">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29947604">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管理员在后台生成学评教校级/院级报告，对学生的评教数据进行汇总分析，生在报告后支持在线编辑，同时支持导出word，报告包括：评价完成情况、教师覆盖情况分析、课程覆盖情况分析、教师教学质量分析、课程质量分析等。</w:t>
            </w:r>
          </w:p>
        </w:tc>
      </w:tr>
      <w:tr w14:paraId="0477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37FDC474">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1D6672FB">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73" w:name="_Toc173148874"/>
            <w:bookmarkStart w:id="174" w:name="_Toc8104"/>
            <w:bookmarkStart w:id="175" w:name="_Toc20216"/>
            <w:bookmarkStart w:id="176" w:name="_Toc21973"/>
            <w:r>
              <w:rPr>
                <w:rFonts w:hint="eastAsia" w:ascii="宋体" w:hAnsi="宋体" w:eastAsia="宋体" w:cs="宋体"/>
                <w:b w:val="0"/>
                <w:sz w:val="24"/>
                <w:szCs w:val="24"/>
              </w:rPr>
              <w:t>综合质量报告</w:t>
            </w:r>
            <w:bookmarkEnd w:id="173"/>
            <w:bookmarkEnd w:id="174"/>
            <w:bookmarkEnd w:id="175"/>
            <w:bookmarkEnd w:id="176"/>
          </w:p>
          <w:p w14:paraId="7E55BCAE">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3A345393">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管理员在后台生成综合质量报告，对督导领导的听课数据、学生的评教数据进行汇总分析，生在报告后支持在线编辑，同时支持导出word，报告包括：评价完成情况、教师覆盖情况分析、课程覆盖情况分析、教师教学质量分析、课程质量分析等。</w:t>
            </w:r>
          </w:p>
        </w:tc>
      </w:tr>
      <w:tr w14:paraId="4420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66083E3F">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6548D286">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77" w:name="_Toc173148875"/>
            <w:bookmarkStart w:id="178" w:name="_Toc10637"/>
            <w:bookmarkStart w:id="179" w:name="_Toc18362"/>
            <w:bookmarkStart w:id="180" w:name="_Toc7602"/>
            <w:r>
              <w:rPr>
                <w:rFonts w:hint="eastAsia" w:ascii="宋体" w:hAnsi="宋体" w:eastAsia="宋体" w:cs="宋体"/>
                <w:b w:val="0"/>
                <w:sz w:val="24"/>
                <w:szCs w:val="24"/>
              </w:rPr>
              <w:t>教师个人报告</w:t>
            </w:r>
            <w:bookmarkEnd w:id="177"/>
            <w:bookmarkEnd w:id="178"/>
            <w:bookmarkEnd w:id="179"/>
            <w:bookmarkEnd w:id="180"/>
          </w:p>
          <w:p w14:paraId="35C13E24">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p>
        </w:tc>
        <w:tc>
          <w:tcPr>
            <w:tcW w:w="6520" w:type="dxa"/>
            <w:shd w:val="clear" w:color="auto" w:fill="auto"/>
          </w:tcPr>
          <w:p w14:paraId="5179AE4A">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支持管理员在后台生成教师个人报告，对督导领导的听课数据、学生的评教数据进行汇总分析，生在报告后支持在线编辑，同时支持导出word，报告包括：选中问卷指标平均得分等。</w:t>
            </w:r>
          </w:p>
        </w:tc>
      </w:tr>
      <w:tr w14:paraId="7055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2" w:type="dxa"/>
            <w:vMerge w:val="continue"/>
            <w:shd w:val="clear" w:color="auto" w:fill="auto"/>
          </w:tcPr>
          <w:p w14:paraId="2015BD68">
            <w:pPr>
              <w:pageBreakBefore w:val="0"/>
              <w:kinsoku/>
              <w:wordWrap/>
              <w:overflowPunct/>
              <w:topLinePunct w:val="0"/>
              <w:autoSpaceDE/>
              <w:autoSpaceDN/>
              <w:bidi w:val="0"/>
              <w:adjustRightInd/>
              <w:spacing w:line="360" w:lineRule="auto"/>
              <w:ind w:left="0"/>
              <w:jc w:val="center"/>
              <w:textAlignment w:val="auto"/>
              <w:outlineLvl w:val="9"/>
              <w:rPr>
                <w:rFonts w:hint="eastAsia" w:ascii="宋体" w:hAnsi="宋体" w:eastAsia="宋体" w:cs="宋体"/>
                <w:sz w:val="24"/>
                <w:szCs w:val="24"/>
              </w:rPr>
            </w:pPr>
          </w:p>
        </w:tc>
        <w:tc>
          <w:tcPr>
            <w:tcW w:w="1728" w:type="dxa"/>
            <w:shd w:val="clear" w:color="auto" w:fill="auto"/>
          </w:tcPr>
          <w:p w14:paraId="7D100EF3">
            <w:pPr>
              <w:pageBreakBefore w:val="0"/>
              <w:kinsoku/>
              <w:wordWrap/>
              <w:overflowPunct/>
              <w:topLinePunct w:val="0"/>
              <w:autoSpaceDE/>
              <w:autoSpaceDN/>
              <w:bidi w:val="0"/>
              <w:adjustRightInd/>
              <w:spacing w:before="0" w:after="0" w:line="360" w:lineRule="auto"/>
              <w:ind w:left="0"/>
              <w:jc w:val="left"/>
              <w:textAlignment w:val="auto"/>
              <w:outlineLvl w:val="9"/>
              <w:rPr>
                <w:rFonts w:hint="eastAsia" w:ascii="宋体" w:hAnsi="宋体" w:eastAsia="宋体" w:cs="宋体"/>
                <w:b w:val="0"/>
                <w:sz w:val="24"/>
                <w:szCs w:val="24"/>
              </w:rPr>
            </w:pPr>
            <w:bookmarkStart w:id="181" w:name="_Toc30991"/>
            <w:r>
              <w:rPr>
                <w:rFonts w:hint="eastAsia" w:ascii="宋体" w:hAnsi="宋体" w:eastAsia="宋体" w:cs="宋体"/>
                <w:b w:val="0"/>
                <w:sz w:val="24"/>
                <w:szCs w:val="24"/>
              </w:rPr>
              <w:t>教师个人画像</w:t>
            </w:r>
            <w:bookmarkEnd w:id="181"/>
          </w:p>
        </w:tc>
        <w:tc>
          <w:tcPr>
            <w:tcW w:w="6520" w:type="dxa"/>
            <w:shd w:val="clear" w:color="auto" w:fill="auto"/>
          </w:tcPr>
          <w:p w14:paraId="51CAE8E4">
            <w:pPr>
              <w:pageBreakBefore w:val="0"/>
              <w:kinsoku/>
              <w:wordWrap/>
              <w:overflowPunct/>
              <w:topLinePunct w:val="0"/>
              <w:autoSpaceDE/>
              <w:autoSpaceDN/>
              <w:bidi w:val="0"/>
              <w:adjustRightInd/>
              <w:spacing w:line="360" w:lineRule="auto"/>
              <w:ind w:left="0"/>
              <w:jc w:val="left"/>
              <w:textAlignment w:val="auto"/>
              <w:outlineLvl w:val="9"/>
              <w:rPr>
                <w:rFonts w:hint="eastAsia" w:ascii="宋体" w:hAnsi="宋体" w:eastAsia="宋体" w:cs="宋体"/>
                <w:sz w:val="24"/>
                <w:szCs w:val="24"/>
              </w:rPr>
            </w:pPr>
            <w:r>
              <w:rPr>
                <w:rFonts w:hint="eastAsia" w:ascii="宋体" w:hAnsi="宋体" w:eastAsia="宋体" w:cs="宋体"/>
                <w:sz w:val="24"/>
                <w:szCs w:val="24"/>
              </w:rPr>
              <w:t>支持后台自动生成教师个人画像，对督导领导的听课数据、学生的评教数据进行汇总分析。画像内容包括开设课程门数、被评次数、个人平均分与院系、全校平均分对比情况、个人历年平均得分趋势等。</w:t>
            </w:r>
          </w:p>
        </w:tc>
      </w:tr>
    </w:tbl>
    <w:p w14:paraId="16FD24AC"/>
    <w:p w14:paraId="0874875F">
      <w:pPr>
        <w:pStyle w:val="16"/>
      </w:pPr>
    </w:p>
    <w:p w14:paraId="1EE9999C">
      <w:pPr>
        <w:pageBreakBefore w:val="0"/>
        <w:kinsoku/>
        <w:wordWrap/>
        <w:overflowPunct/>
        <w:topLinePunct w:val="0"/>
        <w:autoSpaceDE/>
        <w:autoSpaceDN/>
        <w:bidi w:val="0"/>
        <w:adjustRightInd/>
        <w:snapToGrid/>
        <w:spacing w:line="360" w:lineRule="auto"/>
        <w:ind w:left="0" w:firstLine="562" w:firstLineChars="200"/>
        <w:rPr>
          <w:rStyle w:val="55"/>
          <w:rFonts w:ascii="宋体" w:hAnsi="宋体" w:cs="宋体"/>
          <w:color w:val="auto"/>
          <w:sz w:val="28"/>
          <w:szCs w:val="28"/>
          <w:highlight w:val="none"/>
        </w:rPr>
      </w:pPr>
    </w:p>
    <w:p w14:paraId="57688156">
      <w:pPr>
        <w:rPr>
          <w:rStyle w:val="55"/>
          <w:rFonts w:hint="eastAsia" w:ascii="宋体" w:hAnsi="宋体" w:cs="宋体"/>
          <w:b/>
          <w:bCs/>
          <w:color w:val="auto"/>
          <w:sz w:val="28"/>
          <w:szCs w:val="28"/>
          <w:highlight w:val="none"/>
        </w:rPr>
      </w:pPr>
      <w:r>
        <w:rPr>
          <w:rStyle w:val="55"/>
          <w:rFonts w:hint="eastAsia" w:ascii="宋体" w:hAnsi="宋体" w:cs="宋体"/>
          <w:b/>
          <w:bCs/>
          <w:color w:val="auto"/>
          <w:sz w:val="28"/>
          <w:szCs w:val="28"/>
          <w:highlight w:val="none"/>
        </w:rPr>
        <w:br w:type="page"/>
      </w:r>
    </w:p>
    <w:p w14:paraId="0E9C6D7B">
      <w:pPr>
        <w:pStyle w:val="4"/>
        <w:spacing w:before="0"/>
        <w:jc w:val="center"/>
        <w:rPr>
          <w:rFonts w:ascii="宋体" w:hAnsi="宋体" w:cs="宋体"/>
          <w:color w:val="auto"/>
          <w:sz w:val="28"/>
          <w:szCs w:val="28"/>
          <w:highlight w:val="none"/>
          <w:lang w:val="zh-CN"/>
        </w:rPr>
      </w:pPr>
      <w:bookmarkStart w:id="182" w:name="_Toc13709"/>
      <w:r>
        <w:rPr>
          <w:rStyle w:val="55"/>
          <w:rFonts w:hint="eastAsia" w:ascii="宋体" w:hAnsi="宋体" w:cs="宋体"/>
          <w:b/>
          <w:bCs/>
          <w:color w:val="auto"/>
          <w:sz w:val="28"/>
          <w:szCs w:val="28"/>
          <w:highlight w:val="none"/>
        </w:rPr>
        <w:t>第</w:t>
      </w:r>
      <w:r>
        <w:rPr>
          <w:rStyle w:val="55"/>
          <w:rFonts w:hint="eastAsia" w:ascii="宋体" w:hAnsi="宋体" w:cs="宋体"/>
          <w:b/>
          <w:bCs/>
          <w:color w:val="auto"/>
          <w:sz w:val="28"/>
          <w:szCs w:val="28"/>
          <w:highlight w:val="none"/>
          <w:lang w:val="zh-CN"/>
        </w:rPr>
        <w:t>五</w:t>
      </w:r>
      <w:r>
        <w:rPr>
          <w:rStyle w:val="55"/>
          <w:rFonts w:hint="eastAsia" w:ascii="宋体" w:hAnsi="宋体" w:cs="宋体"/>
          <w:b/>
          <w:bCs/>
          <w:color w:val="auto"/>
          <w:sz w:val="28"/>
          <w:szCs w:val="28"/>
          <w:highlight w:val="none"/>
        </w:rPr>
        <w:t>章 响应文件格式</w:t>
      </w:r>
      <w:bookmarkEnd w:id="77"/>
      <w:bookmarkEnd w:id="182"/>
    </w:p>
    <w:p w14:paraId="1BFE3CC0">
      <w:pPr>
        <w:jc w:val="left"/>
        <w:rPr>
          <w:rFonts w:ascii="宋体" w:hAnsi="宋体" w:cs="宋体"/>
          <w:b/>
          <w:color w:val="auto"/>
          <w:sz w:val="28"/>
          <w:szCs w:val="11"/>
          <w:highlight w:val="none"/>
        </w:rPr>
      </w:pPr>
      <w:r>
        <w:rPr>
          <w:rFonts w:hint="eastAsia" w:ascii="宋体" w:hAnsi="宋体" w:cs="宋体"/>
          <w:b/>
          <w:color w:val="auto"/>
          <w:sz w:val="28"/>
          <w:szCs w:val="11"/>
          <w:highlight w:val="none"/>
        </w:rPr>
        <w:t>密封封面</w:t>
      </w:r>
    </w:p>
    <w:p w14:paraId="14647A61">
      <w:pPr>
        <w:autoSpaceDE w:val="0"/>
        <w:autoSpaceDN w:val="0"/>
        <w:spacing w:line="360" w:lineRule="auto"/>
        <w:jc w:val="right"/>
        <w:rPr>
          <w:rFonts w:ascii="宋体" w:hAnsi="宋体" w:cs="宋体"/>
          <w:b/>
          <w:bCs/>
          <w:color w:val="auto"/>
          <w:sz w:val="72"/>
          <w:highlight w:val="none"/>
        </w:rPr>
      </w:pPr>
      <w:r>
        <w:rPr>
          <w:rFonts w:hint="eastAsia" w:ascii="宋体" w:hAnsi="宋体" w:cs="宋体"/>
          <w:b/>
          <w:bCs/>
          <w:color w:val="auto"/>
          <w:sz w:val="24"/>
          <w:highlight w:val="none"/>
          <w:lang w:val="zh-CN"/>
        </w:rPr>
        <w:t>（请在此位置标明“正本”或“副本”</w:t>
      </w:r>
      <w:r>
        <w:rPr>
          <w:rFonts w:hint="eastAsia" w:ascii="宋体" w:hAnsi="宋体" w:cs="宋体"/>
          <w:b/>
          <w:bCs/>
          <w:color w:val="auto"/>
          <w:sz w:val="24"/>
          <w:highlight w:val="none"/>
        </w:rPr>
        <w:t>或“电子版”</w:t>
      </w:r>
      <w:r>
        <w:rPr>
          <w:rFonts w:hint="eastAsia" w:ascii="宋体" w:hAnsi="宋体" w:cs="宋体"/>
          <w:b/>
          <w:bCs/>
          <w:color w:val="auto"/>
          <w:sz w:val="24"/>
          <w:highlight w:val="none"/>
          <w:lang w:val="zh-CN"/>
        </w:rPr>
        <w:t>字样）</w:t>
      </w:r>
    </w:p>
    <w:p w14:paraId="0C9F1690">
      <w:pPr>
        <w:autoSpaceDN w:val="0"/>
        <w:adjustRightInd w:val="0"/>
        <w:spacing w:line="360" w:lineRule="auto"/>
        <w:rPr>
          <w:rFonts w:ascii="宋体" w:hAnsi="宋体" w:cs="宋体"/>
          <w:color w:val="auto"/>
          <w:sz w:val="24"/>
          <w:highlight w:val="none"/>
          <w:u w:val="single"/>
        </w:rPr>
      </w:pPr>
    </w:p>
    <w:p w14:paraId="08EFF7E8">
      <w:pPr>
        <w:autoSpaceDN w:val="0"/>
        <w:adjustRightInd w:val="0"/>
        <w:spacing w:line="360" w:lineRule="auto"/>
        <w:rPr>
          <w:rFonts w:ascii="宋体" w:hAnsi="宋体" w:cs="宋体"/>
          <w:b/>
          <w:bCs/>
          <w:color w:val="auto"/>
          <w:sz w:val="24"/>
          <w:highlight w:val="none"/>
          <w:u w:val="single"/>
        </w:rPr>
      </w:pPr>
      <w:r>
        <w:rPr>
          <w:rFonts w:hint="eastAsia" w:ascii="宋体" w:hAnsi="宋体" w:cs="宋体"/>
          <w:b/>
          <w:bCs/>
          <w:color w:val="auto"/>
          <w:sz w:val="28"/>
          <w:szCs w:val="28"/>
          <w:highlight w:val="none"/>
        </w:rPr>
        <w:t>项目名称：</w:t>
      </w:r>
      <w:r>
        <w:rPr>
          <w:rFonts w:hint="eastAsia" w:ascii="宋体" w:hAnsi="宋体" w:cs="宋体"/>
          <w:b/>
          <w:bCs/>
          <w:color w:val="auto"/>
          <w:sz w:val="28"/>
          <w:szCs w:val="28"/>
          <w:highlight w:val="none"/>
          <w:u w:val="single"/>
        </w:rPr>
        <w:t xml:space="preserve">                                  </w:t>
      </w:r>
    </w:p>
    <w:p w14:paraId="253FC854">
      <w:pPr>
        <w:rPr>
          <w:rFonts w:ascii="宋体" w:hAnsi="宋体" w:cs="宋体"/>
          <w:b/>
          <w:color w:val="auto"/>
          <w:sz w:val="28"/>
          <w:szCs w:val="11"/>
          <w:highlight w:val="none"/>
          <w:u w:val="single"/>
        </w:rPr>
      </w:pPr>
      <w:r>
        <w:rPr>
          <w:rFonts w:hint="eastAsia" w:ascii="宋体" w:hAnsi="宋体" w:cs="宋体"/>
          <w:b/>
          <w:color w:val="auto"/>
          <w:sz w:val="28"/>
          <w:szCs w:val="11"/>
          <w:highlight w:val="none"/>
        </w:rPr>
        <w:t>项目编号：</w:t>
      </w:r>
      <w:r>
        <w:rPr>
          <w:rFonts w:hint="eastAsia" w:ascii="宋体" w:hAnsi="宋体" w:cs="宋体"/>
          <w:b/>
          <w:color w:val="auto"/>
          <w:sz w:val="28"/>
          <w:szCs w:val="11"/>
          <w:highlight w:val="none"/>
          <w:u w:val="single"/>
        </w:rPr>
        <w:t xml:space="preserve">                    </w:t>
      </w:r>
    </w:p>
    <w:p w14:paraId="241C8EA2">
      <w:pPr>
        <w:rPr>
          <w:rFonts w:ascii="宋体" w:hAnsi="宋体" w:cs="宋体"/>
          <w:b/>
          <w:color w:val="auto"/>
          <w:sz w:val="28"/>
          <w:szCs w:val="11"/>
          <w:highlight w:val="none"/>
          <w:u w:val="single"/>
        </w:rPr>
      </w:pPr>
      <w:r>
        <w:rPr>
          <w:rFonts w:hint="eastAsia" w:ascii="宋体" w:hAnsi="宋体" w:cs="宋体"/>
          <w:b/>
          <w:color w:val="auto"/>
          <w:sz w:val="28"/>
          <w:szCs w:val="11"/>
          <w:highlight w:val="none"/>
          <w:u w:val="single"/>
        </w:rPr>
        <w:t xml:space="preserve">              </w:t>
      </w:r>
    </w:p>
    <w:p w14:paraId="1994EF43">
      <w:pPr>
        <w:spacing w:line="440" w:lineRule="exact"/>
        <w:rPr>
          <w:rFonts w:ascii="宋体" w:hAnsi="宋体" w:cs="宋体"/>
          <w:color w:val="auto"/>
          <w:sz w:val="20"/>
          <w:szCs w:val="20"/>
          <w:highlight w:val="none"/>
        </w:rPr>
      </w:pPr>
    </w:p>
    <w:p w14:paraId="2DB03A33">
      <w:pPr>
        <w:pStyle w:val="18"/>
        <w:ind w:firstLine="400"/>
        <w:rPr>
          <w:color w:val="auto"/>
          <w:highlight w:val="none"/>
        </w:rPr>
      </w:pPr>
    </w:p>
    <w:p w14:paraId="18E3DD37">
      <w:pPr>
        <w:jc w:val="center"/>
        <w:rPr>
          <w:rFonts w:ascii="宋体" w:hAnsi="宋体" w:cs="宋体"/>
          <w:b/>
          <w:color w:val="auto"/>
          <w:sz w:val="44"/>
          <w:szCs w:val="44"/>
          <w:highlight w:val="none"/>
        </w:rPr>
      </w:pPr>
      <w:r>
        <w:rPr>
          <w:rFonts w:hint="eastAsia" w:ascii="宋体" w:hAnsi="宋体" w:cs="宋体"/>
          <w:b/>
          <w:color w:val="auto"/>
          <w:sz w:val="44"/>
          <w:szCs w:val="44"/>
          <w:highlight w:val="none"/>
        </w:rPr>
        <w:t>响  应  文  件</w:t>
      </w:r>
    </w:p>
    <w:p w14:paraId="58353E7A">
      <w:pPr>
        <w:rPr>
          <w:rFonts w:ascii="宋体" w:hAnsi="宋体" w:cs="宋体"/>
          <w:color w:val="auto"/>
          <w:sz w:val="28"/>
          <w:szCs w:val="28"/>
          <w:highlight w:val="none"/>
        </w:rPr>
      </w:pPr>
    </w:p>
    <w:p w14:paraId="4391A687">
      <w:pPr>
        <w:jc w:val="center"/>
        <w:rPr>
          <w:rFonts w:ascii="宋体" w:hAnsi="宋体" w:cs="宋体"/>
          <w:color w:val="auto"/>
          <w:sz w:val="28"/>
          <w:szCs w:val="28"/>
          <w:highlight w:val="none"/>
        </w:rPr>
      </w:pPr>
      <w:r>
        <w:rPr>
          <w:rFonts w:hint="eastAsia" w:ascii="宋体" w:hAnsi="宋体" w:cs="宋体"/>
          <w:color w:val="auto"/>
          <w:sz w:val="28"/>
          <w:szCs w:val="28"/>
          <w:highlight w:val="none"/>
        </w:rPr>
        <w:t>在</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年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月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 xml:space="preserve">日 </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时</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分前不得开启</w:t>
      </w:r>
    </w:p>
    <w:p w14:paraId="1DC52FD8">
      <w:pPr>
        <w:rPr>
          <w:rFonts w:ascii="宋体" w:hAnsi="宋体" w:cs="宋体"/>
          <w:color w:val="auto"/>
          <w:sz w:val="28"/>
          <w:szCs w:val="28"/>
          <w:highlight w:val="none"/>
        </w:rPr>
      </w:pPr>
    </w:p>
    <w:p w14:paraId="320C9EAE">
      <w:pPr>
        <w:rPr>
          <w:rFonts w:ascii="宋体" w:hAnsi="宋体" w:cs="宋体"/>
          <w:color w:val="auto"/>
          <w:sz w:val="28"/>
          <w:szCs w:val="28"/>
          <w:highlight w:val="none"/>
        </w:rPr>
      </w:pPr>
    </w:p>
    <w:p w14:paraId="5ED38AEC">
      <w:pPr>
        <w:rPr>
          <w:rFonts w:ascii="宋体" w:hAnsi="宋体" w:cs="宋体"/>
          <w:color w:val="auto"/>
          <w:sz w:val="28"/>
          <w:szCs w:val="28"/>
          <w:highlight w:val="none"/>
        </w:rPr>
      </w:pPr>
    </w:p>
    <w:p w14:paraId="3A2B6DFB">
      <w:pPr>
        <w:rPr>
          <w:rFonts w:ascii="宋体" w:hAnsi="宋体" w:cs="宋体"/>
          <w:color w:val="auto"/>
          <w:sz w:val="28"/>
          <w:szCs w:val="28"/>
          <w:highlight w:val="none"/>
        </w:rPr>
      </w:pPr>
    </w:p>
    <w:p w14:paraId="607E7423">
      <w:pPr>
        <w:rPr>
          <w:rFonts w:ascii="宋体" w:hAnsi="宋体" w:cs="宋体"/>
          <w:color w:val="auto"/>
          <w:sz w:val="28"/>
          <w:szCs w:val="28"/>
          <w:highlight w:val="none"/>
        </w:rPr>
      </w:pPr>
    </w:p>
    <w:p w14:paraId="326F6F98">
      <w:pPr>
        <w:jc w:val="center"/>
        <w:rPr>
          <w:rFonts w:ascii="宋体" w:hAnsi="宋体" w:cs="宋体"/>
          <w:color w:val="auto"/>
          <w:sz w:val="28"/>
          <w:szCs w:val="28"/>
          <w:highlight w:val="none"/>
          <w:u w:val="single"/>
        </w:rPr>
      </w:pPr>
      <w:r>
        <w:rPr>
          <w:rFonts w:hint="eastAsia" w:ascii="宋体" w:hAnsi="宋体" w:cs="宋体"/>
          <w:color w:val="auto"/>
          <w:sz w:val="28"/>
          <w:szCs w:val="28"/>
          <w:highlight w:val="none"/>
        </w:rPr>
        <w:t>供应商：</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（盖单位章）</w:t>
      </w:r>
    </w:p>
    <w:p w14:paraId="2517049F">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法定代表人或其委托代理人：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（签字）</w:t>
      </w:r>
    </w:p>
    <w:p w14:paraId="02EC00D8">
      <w:pPr>
        <w:jc w:val="center"/>
        <w:rPr>
          <w:rFonts w:ascii="宋体" w:hAnsi="宋体" w:cs="宋体"/>
          <w:color w:val="auto"/>
          <w:sz w:val="28"/>
          <w:szCs w:val="28"/>
          <w:highlight w:val="none"/>
        </w:rPr>
      </w:pPr>
      <w:r>
        <w:rPr>
          <w:rFonts w:hint="eastAsia" w:ascii="宋体" w:hAnsi="宋体" w:cs="宋体"/>
          <w:color w:val="auto"/>
          <w:sz w:val="28"/>
          <w:szCs w:val="28"/>
          <w:highlight w:val="none"/>
        </w:rPr>
        <w:t>日期：</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14:paraId="1AB696FF">
      <w:pPr>
        <w:spacing w:line="540" w:lineRule="exact"/>
        <w:rPr>
          <w:rFonts w:ascii="宋体" w:hAnsi="宋体" w:cs="宋体"/>
          <w:color w:val="auto"/>
          <w:sz w:val="24"/>
          <w:highlight w:val="none"/>
        </w:rPr>
      </w:pPr>
    </w:p>
    <w:p w14:paraId="5C9719C3">
      <w:pPr>
        <w:ind w:firstLine="480" w:firstLineChars="200"/>
        <w:jc w:val="center"/>
        <w:rPr>
          <w:rFonts w:ascii="宋体" w:hAnsi="宋体" w:cs="宋体"/>
          <w:color w:val="auto"/>
          <w:sz w:val="24"/>
          <w:highlight w:val="none"/>
        </w:rPr>
      </w:pPr>
    </w:p>
    <w:p w14:paraId="45A35D69">
      <w:pPr>
        <w:rPr>
          <w:rFonts w:ascii="宋体" w:hAnsi="宋体" w:cs="宋体"/>
          <w:color w:val="auto"/>
          <w:sz w:val="32"/>
          <w:szCs w:val="32"/>
          <w:highlight w:val="none"/>
        </w:rPr>
      </w:pPr>
      <w:r>
        <w:rPr>
          <w:rFonts w:hint="eastAsia" w:ascii="宋体" w:hAnsi="宋体" w:cs="宋体"/>
          <w:color w:val="auto"/>
          <w:sz w:val="32"/>
          <w:szCs w:val="32"/>
          <w:highlight w:val="none"/>
        </w:rPr>
        <w:br w:type="page"/>
      </w:r>
    </w:p>
    <w:p w14:paraId="5CC4CBE6">
      <w:pPr>
        <w:jc w:val="left"/>
        <w:rPr>
          <w:rFonts w:ascii="宋体" w:hAnsi="宋体" w:cs="宋体"/>
          <w:b/>
          <w:color w:val="auto"/>
          <w:sz w:val="28"/>
          <w:szCs w:val="11"/>
          <w:highlight w:val="none"/>
        </w:rPr>
      </w:pPr>
      <w:r>
        <w:rPr>
          <w:rFonts w:hint="eastAsia" w:ascii="宋体" w:hAnsi="宋体" w:cs="宋体"/>
          <w:b/>
          <w:color w:val="auto"/>
          <w:sz w:val="28"/>
          <w:szCs w:val="11"/>
          <w:highlight w:val="none"/>
        </w:rPr>
        <w:t>响应文件封面</w:t>
      </w:r>
    </w:p>
    <w:p w14:paraId="40D38EBB">
      <w:pPr>
        <w:autoSpaceDE w:val="0"/>
        <w:autoSpaceDN w:val="0"/>
        <w:spacing w:line="360" w:lineRule="auto"/>
        <w:jc w:val="right"/>
        <w:rPr>
          <w:rFonts w:ascii="宋体" w:hAnsi="宋体" w:cs="宋体"/>
          <w:b/>
          <w:bCs/>
          <w:color w:val="auto"/>
          <w:sz w:val="72"/>
          <w:highlight w:val="none"/>
        </w:rPr>
      </w:pPr>
      <w:r>
        <w:rPr>
          <w:rFonts w:hint="eastAsia" w:ascii="宋体" w:hAnsi="宋体" w:cs="宋体"/>
          <w:b/>
          <w:bCs/>
          <w:color w:val="auto"/>
          <w:sz w:val="24"/>
          <w:highlight w:val="none"/>
          <w:lang w:val="zh-CN"/>
        </w:rPr>
        <w:t>（请在此位置标明“正本”或“副本</w:t>
      </w:r>
      <w:r>
        <w:rPr>
          <w:rFonts w:hint="eastAsia" w:ascii="宋体" w:hAnsi="宋体" w:cs="宋体"/>
          <w:b/>
          <w:bCs/>
          <w:color w:val="auto"/>
          <w:sz w:val="24"/>
          <w:highlight w:val="none"/>
        </w:rPr>
        <w:t>”</w:t>
      </w:r>
      <w:r>
        <w:rPr>
          <w:rFonts w:hint="eastAsia" w:ascii="宋体" w:hAnsi="宋体" w:cs="宋体"/>
          <w:b/>
          <w:bCs/>
          <w:color w:val="auto"/>
          <w:sz w:val="24"/>
          <w:highlight w:val="none"/>
          <w:lang w:val="zh-CN"/>
        </w:rPr>
        <w:t>字样）</w:t>
      </w:r>
    </w:p>
    <w:p w14:paraId="01E81DF6">
      <w:pPr>
        <w:autoSpaceDN w:val="0"/>
        <w:adjustRightInd w:val="0"/>
        <w:spacing w:line="360" w:lineRule="auto"/>
        <w:rPr>
          <w:rFonts w:ascii="宋体" w:hAnsi="宋体" w:cs="宋体"/>
          <w:color w:val="auto"/>
          <w:sz w:val="24"/>
          <w:highlight w:val="none"/>
          <w:u w:val="single"/>
        </w:rPr>
      </w:pPr>
    </w:p>
    <w:p w14:paraId="2970FE5C">
      <w:pPr>
        <w:autoSpaceDN w:val="0"/>
        <w:adjustRightInd w:val="0"/>
        <w:spacing w:line="360" w:lineRule="auto"/>
        <w:rPr>
          <w:rFonts w:ascii="宋体" w:hAnsi="宋体" w:cs="宋体"/>
          <w:b/>
          <w:bCs/>
          <w:color w:val="auto"/>
          <w:sz w:val="24"/>
          <w:highlight w:val="none"/>
          <w:u w:val="single"/>
        </w:rPr>
      </w:pPr>
      <w:r>
        <w:rPr>
          <w:rFonts w:hint="eastAsia" w:ascii="宋体" w:hAnsi="宋体" w:cs="宋体"/>
          <w:b/>
          <w:bCs/>
          <w:color w:val="auto"/>
          <w:sz w:val="28"/>
          <w:szCs w:val="28"/>
          <w:highlight w:val="none"/>
        </w:rPr>
        <w:t>项目名称：</w:t>
      </w:r>
      <w:r>
        <w:rPr>
          <w:rFonts w:hint="eastAsia" w:ascii="宋体" w:hAnsi="宋体" w:cs="宋体"/>
          <w:b/>
          <w:bCs/>
          <w:color w:val="auto"/>
          <w:sz w:val="28"/>
          <w:szCs w:val="28"/>
          <w:highlight w:val="none"/>
          <w:u w:val="single"/>
        </w:rPr>
        <w:t xml:space="preserve">                                  </w:t>
      </w:r>
    </w:p>
    <w:p w14:paraId="20E7358F">
      <w:pPr>
        <w:rPr>
          <w:rFonts w:ascii="宋体" w:hAnsi="宋体" w:cs="宋体"/>
          <w:b/>
          <w:color w:val="auto"/>
          <w:sz w:val="28"/>
          <w:szCs w:val="11"/>
          <w:highlight w:val="none"/>
          <w:u w:val="single"/>
        </w:rPr>
      </w:pPr>
      <w:r>
        <w:rPr>
          <w:rFonts w:hint="eastAsia" w:ascii="宋体" w:hAnsi="宋体" w:cs="宋体"/>
          <w:b/>
          <w:color w:val="auto"/>
          <w:sz w:val="28"/>
          <w:szCs w:val="11"/>
          <w:highlight w:val="none"/>
        </w:rPr>
        <w:t>项目编号：</w:t>
      </w:r>
      <w:r>
        <w:rPr>
          <w:rFonts w:hint="eastAsia" w:ascii="宋体" w:hAnsi="宋体" w:cs="宋体"/>
          <w:b/>
          <w:color w:val="auto"/>
          <w:sz w:val="28"/>
          <w:szCs w:val="11"/>
          <w:highlight w:val="none"/>
          <w:u w:val="single"/>
        </w:rPr>
        <w:t xml:space="preserve">                    </w:t>
      </w:r>
    </w:p>
    <w:p w14:paraId="3CB403F0">
      <w:pPr>
        <w:rPr>
          <w:rFonts w:ascii="宋体" w:hAnsi="宋体" w:cs="宋体"/>
          <w:b/>
          <w:color w:val="auto"/>
          <w:sz w:val="28"/>
          <w:szCs w:val="11"/>
          <w:highlight w:val="none"/>
          <w:u w:val="single"/>
        </w:rPr>
      </w:pPr>
      <w:r>
        <w:rPr>
          <w:rFonts w:hint="eastAsia" w:ascii="宋体" w:hAnsi="宋体" w:cs="宋体"/>
          <w:b/>
          <w:color w:val="auto"/>
          <w:sz w:val="28"/>
          <w:szCs w:val="11"/>
          <w:highlight w:val="none"/>
          <w:u w:val="single"/>
        </w:rPr>
        <w:t xml:space="preserve">              </w:t>
      </w:r>
    </w:p>
    <w:p w14:paraId="5DD447E5">
      <w:pPr>
        <w:spacing w:line="440" w:lineRule="exact"/>
        <w:rPr>
          <w:rFonts w:ascii="宋体" w:hAnsi="宋体" w:cs="宋体"/>
          <w:color w:val="auto"/>
          <w:sz w:val="20"/>
          <w:szCs w:val="20"/>
          <w:highlight w:val="none"/>
        </w:rPr>
      </w:pPr>
    </w:p>
    <w:p w14:paraId="5815A177">
      <w:pPr>
        <w:pStyle w:val="18"/>
        <w:ind w:firstLine="400"/>
        <w:rPr>
          <w:color w:val="auto"/>
          <w:highlight w:val="none"/>
        </w:rPr>
      </w:pPr>
    </w:p>
    <w:p w14:paraId="1733C3AE">
      <w:pPr>
        <w:jc w:val="center"/>
        <w:rPr>
          <w:rFonts w:ascii="宋体" w:hAnsi="宋体" w:cs="宋体"/>
          <w:b/>
          <w:color w:val="auto"/>
          <w:sz w:val="44"/>
          <w:szCs w:val="44"/>
          <w:highlight w:val="none"/>
        </w:rPr>
      </w:pPr>
      <w:r>
        <w:rPr>
          <w:rFonts w:hint="eastAsia" w:ascii="宋体" w:hAnsi="宋体" w:cs="宋体"/>
          <w:b/>
          <w:color w:val="auto"/>
          <w:sz w:val="44"/>
          <w:szCs w:val="44"/>
          <w:highlight w:val="none"/>
        </w:rPr>
        <w:t>响  应  文  件</w:t>
      </w:r>
    </w:p>
    <w:p w14:paraId="38673494">
      <w:pPr>
        <w:rPr>
          <w:rFonts w:ascii="宋体" w:hAnsi="宋体" w:cs="宋体"/>
          <w:color w:val="auto"/>
          <w:sz w:val="28"/>
          <w:szCs w:val="28"/>
          <w:highlight w:val="none"/>
        </w:rPr>
      </w:pPr>
    </w:p>
    <w:p w14:paraId="66368301">
      <w:pPr>
        <w:rPr>
          <w:rFonts w:ascii="宋体" w:hAnsi="宋体" w:cs="宋体"/>
          <w:color w:val="auto"/>
          <w:sz w:val="28"/>
          <w:szCs w:val="28"/>
          <w:highlight w:val="none"/>
        </w:rPr>
      </w:pPr>
    </w:p>
    <w:p w14:paraId="041B34CD">
      <w:pPr>
        <w:rPr>
          <w:rFonts w:ascii="宋体" w:hAnsi="宋体" w:cs="宋体"/>
          <w:color w:val="auto"/>
          <w:sz w:val="28"/>
          <w:szCs w:val="28"/>
          <w:highlight w:val="none"/>
        </w:rPr>
      </w:pPr>
    </w:p>
    <w:p w14:paraId="72C2F00D">
      <w:pPr>
        <w:rPr>
          <w:rFonts w:ascii="宋体" w:hAnsi="宋体" w:cs="宋体"/>
          <w:color w:val="auto"/>
          <w:sz w:val="28"/>
          <w:szCs w:val="28"/>
          <w:highlight w:val="none"/>
        </w:rPr>
      </w:pPr>
    </w:p>
    <w:p w14:paraId="15282C26">
      <w:pPr>
        <w:rPr>
          <w:rFonts w:ascii="宋体" w:hAnsi="宋体" w:cs="宋体"/>
          <w:color w:val="auto"/>
          <w:sz w:val="28"/>
          <w:szCs w:val="28"/>
          <w:highlight w:val="none"/>
        </w:rPr>
      </w:pPr>
    </w:p>
    <w:p w14:paraId="2B800C5C">
      <w:pPr>
        <w:rPr>
          <w:rFonts w:ascii="宋体" w:hAnsi="宋体" w:cs="宋体"/>
          <w:color w:val="auto"/>
          <w:sz w:val="28"/>
          <w:szCs w:val="28"/>
          <w:highlight w:val="none"/>
        </w:rPr>
      </w:pPr>
    </w:p>
    <w:p w14:paraId="608691E6">
      <w:pPr>
        <w:rPr>
          <w:rFonts w:ascii="宋体" w:hAnsi="宋体" w:cs="宋体"/>
          <w:color w:val="auto"/>
          <w:sz w:val="28"/>
          <w:szCs w:val="28"/>
          <w:highlight w:val="none"/>
        </w:rPr>
      </w:pPr>
    </w:p>
    <w:p w14:paraId="446AAD7B">
      <w:pPr>
        <w:jc w:val="center"/>
        <w:rPr>
          <w:rFonts w:ascii="宋体" w:hAnsi="宋体" w:cs="宋体"/>
          <w:color w:val="auto"/>
          <w:sz w:val="28"/>
          <w:szCs w:val="28"/>
          <w:highlight w:val="none"/>
          <w:u w:val="single"/>
        </w:rPr>
      </w:pPr>
      <w:r>
        <w:rPr>
          <w:rFonts w:hint="eastAsia" w:ascii="宋体" w:hAnsi="宋体" w:cs="宋体"/>
          <w:color w:val="auto"/>
          <w:sz w:val="28"/>
          <w:szCs w:val="28"/>
          <w:highlight w:val="none"/>
        </w:rPr>
        <w:t>供应商：</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（盖单位章）</w:t>
      </w:r>
    </w:p>
    <w:p w14:paraId="3154B454">
      <w:pPr>
        <w:jc w:val="center"/>
        <w:rPr>
          <w:rFonts w:ascii="宋体" w:hAnsi="宋体" w:cs="宋体"/>
          <w:color w:val="auto"/>
          <w:sz w:val="28"/>
          <w:szCs w:val="28"/>
          <w:highlight w:val="none"/>
        </w:rPr>
      </w:pPr>
      <w:r>
        <w:rPr>
          <w:rFonts w:hint="eastAsia" w:ascii="宋体" w:hAnsi="宋体" w:cs="宋体"/>
          <w:color w:val="auto"/>
          <w:sz w:val="28"/>
          <w:szCs w:val="28"/>
          <w:highlight w:val="none"/>
        </w:rPr>
        <w:t>法定代表人或其委托代理人：</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（签字）</w:t>
      </w:r>
    </w:p>
    <w:p w14:paraId="44BABD46">
      <w:pPr>
        <w:jc w:val="center"/>
        <w:rPr>
          <w:rFonts w:ascii="宋体" w:hAnsi="宋体" w:cs="宋体"/>
          <w:color w:val="auto"/>
          <w:sz w:val="28"/>
          <w:szCs w:val="28"/>
          <w:highlight w:val="none"/>
        </w:rPr>
      </w:pPr>
      <w:r>
        <w:rPr>
          <w:rFonts w:hint="eastAsia" w:ascii="宋体" w:hAnsi="宋体" w:cs="宋体"/>
          <w:color w:val="auto"/>
          <w:sz w:val="28"/>
          <w:szCs w:val="28"/>
          <w:highlight w:val="none"/>
        </w:rPr>
        <w:t>日期：</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年</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月</w:t>
      </w:r>
      <w:r>
        <w:rPr>
          <w:rFonts w:hint="eastAsia" w:ascii="宋体" w:hAnsi="宋体" w:cs="宋体"/>
          <w:color w:val="auto"/>
          <w:sz w:val="28"/>
          <w:szCs w:val="28"/>
          <w:highlight w:val="none"/>
          <w:u w:val="single"/>
        </w:rPr>
        <w:t xml:space="preserve">      </w:t>
      </w:r>
      <w:r>
        <w:rPr>
          <w:rFonts w:hint="eastAsia" w:ascii="宋体" w:hAnsi="宋体" w:cs="宋体"/>
          <w:color w:val="auto"/>
          <w:sz w:val="28"/>
          <w:szCs w:val="28"/>
          <w:highlight w:val="none"/>
        </w:rPr>
        <w:t>日</w:t>
      </w:r>
    </w:p>
    <w:p w14:paraId="0E3DDAC3">
      <w:pP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5DE4DE4A">
      <w:pPr>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一、投标函</w:t>
      </w:r>
    </w:p>
    <w:p w14:paraId="5C1180F3">
      <w:pPr>
        <w:autoSpaceDE w:val="0"/>
        <w:autoSpaceDN w:val="0"/>
        <w:spacing w:line="312" w:lineRule="auto"/>
        <w:ind w:firstLine="480" w:firstLineChars="200"/>
        <w:contextualSpacing/>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致：（采购人）</w:t>
      </w:r>
    </w:p>
    <w:p w14:paraId="56F00C94">
      <w:pPr>
        <w:autoSpaceDE w:val="0"/>
        <w:autoSpaceDN w:val="0"/>
        <w:spacing w:line="312" w:lineRule="auto"/>
        <w:ind w:firstLine="480" w:firstLineChars="200"/>
        <w:contextualSpacing/>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根据贵方</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（项目名称）</w:t>
      </w:r>
      <w:r>
        <w:rPr>
          <w:rFonts w:hint="eastAsia" w:ascii="宋体" w:hAnsi="宋体" w:cs="宋体"/>
          <w:b/>
          <w:color w:val="auto"/>
          <w:sz w:val="24"/>
          <w:szCs w:val="24"/>
          <w:highlight w:val="none"/>
          <w:u w:val="single"/>
          <w:lang w:val="zh-CN"/>
        </w:rPr>
        <w:t xml:space="preserve">         </w:t>
      </w:r>
      <w:r>
        <w:rPr>
          <w:rFonts w:hint="eastAsia" w:ascii="宋体" w:hAnsi="宋体" w:cs="宋体"/>
          <w:color w:val="auto"/>
          <w:sz w:val="24"/>
          <w:szCs w:val="24"/>
          <w:highlight w:val="none"/>
          <w:lang w:val="zh-CN"/>
        </w:rPr>
        <w:t>（项目编号）谈判邀请，正式授权下述签字人</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(姓名和职务)代表</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（供应商名称），提交响应文件并参加谈判。</w:t>
      </w:r>
    </w:p>
    <w:p w14:paraId="36248E16">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据此函，签字人兹宣布同意如下：</w:t>
      </w:r>
    </w:p>
    <w:p w14:paraId="01F96EDE">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1、</w:t>
      </w:r>
      <w:r>
        <w:rPr>
          <w:rFonts w:hint="eastAsia" w:ascii="宋体" w:hAnsi="宋体" w:cs="宋体"/>
          <w:b/>
          <w:color w:val="auto"/>
          <w:sz w:val="24"/>
          <w:szCs w:val="24"/>
          <w:highlight w:val="none"/>
          <w:lang w:val="zh-CN"/>
        </w:rPr>
        <w:t>我们的资格条件完全符合政府采购法和本次采购要求</w:t>
      </w:r>
      <w:r>
        <w:rPr>
          <w:rFonts w:hint="eastAsia" w:ascii="宋体" w:hAnsi="宋体" w:cs="宋体"/>
          <w:color w:val="auto"/>
          <w:sz w:val="24"/>
          <w:szCs w:val="24"/>
          <w:highlight w:val="none"/>
          <w:lang w:val="zh-CN"/>
        </w:rPr>
        <w:t>，</w:t>
      </w:r>
      <w:r>
        <w:rPr>
          <w:rFonts w:hint="eastAsia" w:ascii="宋体" w:hAnsi="宋体" w:cs="宋体"/>
          <w:color w:val="auto"/>
          <w:sz w:val="24"/>
          <w:szCs w:val="32"/>
          <w:highlight w:val="none"/>
        </w:rPr>
        <w:t>我们</w:t>
      </w:r>
      <w:r>
        <w:rPr>
          <w:rFonts w:hint="eastAsia" w:ascii="宋体" w:hAnsi="宋体" w:cs="宋体"/>
          <w:color w:val="auto"/>
          <w:sz w:val="24"/>
          <w:szCs w:val="24"/>
          <w:highlight w:val="none"/>
          <w:lang w:val="zh-CN"/>
        </w:rPr>
        <w:t>同意并向贵方提供了与本次采购活动有关的所有证据和资料</w:t>
      </w:r>
      <w:r>
        <w:rPr>
          <w:rFonts w:hint="eastAsia" w:ascii="宋体" w:hAnsi="宋体" w:cs="宋体"/>
          <w:color w:val="auto"/>
          <w:sz w:val="24"/>
          <w:szCs w:val="32"/>
          <w:highlight w:val="none"/>
        </w:rPr>
        <w:t>。</w:t>
      </w:r>
    </w:p>
    <w:p w14:paraId="107CE57C">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2、</w:t>
      </w:r>
      <w:r>
        <w:rPr>
          <w:rFonts w:hint="eastAsia" w:ascii="宋体" w:hAnsi="宋体" w:cs="宋体"/>
          <w:color w:val="auto"/>
          <w:sz w:val="24"/>
          <w:szCs w:val="24"/>
          <w:highlight w:val="none"/>
          <w:lang w:val="zh-CN"/>
        </w:rPr>
        <w:t>按单一来源采购文件要求，我们的</w:t>
      </w:r>
      <w:r>
        <w:rPr>
          <w:rFonts w:hint="eastAsia" w:ascii="宋体" w:hAnsi="宋体" w:cs="宋体"/>
          <w:color w:val="auto"/>
          <w:sz w:val="24"/>
          <w:szCs w:val="32"/>
          <w:highlight w:val="none"/>
        </w:rPr>
        <w:t>项目总报价</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元人民币（大写：</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w:t>
      </w: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其中</w:t>
      </w:r>
      <w:r>
        <w:rPr>
          <w:rFonts w:hint="eastAsia" w:ascii="宋体" w:hAnsi="宋体" w:cs="宋体"/>
          <w:color w:val="auto"/>
          <w:sz w:val="24"/>
          <w:szCs w:val="32"/>
          <w:highlight w:val="none"/>
          <w:u w:val="single"/>
          <w:lang w:val="en-US" w:eastAsia="zh-CN"/>
        </w:rPr>
        <w:t xml:space="preserve">      元/年</w:t>
      </w:r>
      <w:r>
        <w:rPr>
          <w:rFonts w:hint="eastAsia" w:ascii="宋体" w:hAnsi="宋体" w:cs="宋体"/>
          <w:color w:val="auto"/>
          <w:sz w:val="24"/>
          <w:szCs w:val="32"/>
          <w:highlight w:val="none"/>
        </w:rPr>
        <w:t>。</w:t>
      </w:r>
    </w:p>
    <w:p w14:paraId="2C265128">
      <w:pPr>
        <w:spacing w:line="312" w:lineRule="auto"/>
        <w:ind w:firstLine="480" w:firstLineChars="200"/>
        <w:contextualSpacing/>
        <w:rPr>
          <w:rFonts w:hint="eastAsia" w:ascii="宋体" w:hAnsi="宋体" w:eastAsia="宋体" w:cs="宋体"/>
          <w:color w:val="auto"/>
          <w:sz w:val="24"/>
          <w:szCs w:val="24"/>
          <w:highlight w:val="none"/>
          <w:lang w:eastAsia="zh-CN"/>
        </w:rPr>
      </w:pPr>
      <w:r>
        <w:rPr>
          <w:rFonts w:hint="eastAsia" w:ascii="宋体" w:hAnsi="宋体" w:cs="宋体"/>
          <w:color w:val="auto"/>
          <w:sz w:val="24"/>
          <w:szCs w:val="32"/>
          <w:highlight w:val="none"/>
        </w:rPr>
        <w:t>3、服务期：</w:t>
      </w:r>
      <w:r>
        <w:rPr>
          <w:rFonts w:hint="eastAsia" w:ascii="宋体" w:hAnsi="宋体" w:eastAsia="宋体" w:cs="宋体"/>
          <w:sz w:val="24"/>
          <w:szCs w:val="24"/>
          <w:highlight w:val="none"/>
        </w:rPr>
        <w:t>自项目合同签订之日起服务期 2 年</w:t>
      </w:r>
      <w:r>
        <w:rPr>
          <w:rFonts w:hint="eastAsia" w:ascii="宋体" w:hAnsi="宋体" w:cs="宋体"/>
          <w:color w:val="auto"/>
          <w:sz w:val="24"/>
          <w:szCs w:val="32"/>
          <w:highlight w:val="none"/>
          <w:lang w:val="en-US" w:eastAsia="zh-CN"/>
        </w:rPr>
        <w:t xml:space="preserve"> </w:t>
      </w:r>
    </w:p>
    <w:p w14:paraId="0CA09B9C">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4、</w:t>
      </w:r>
      <w:r>
        <w:rPr>
          <w:rFonts w:hint="eastAsia" w:ascii="宋体" w:hAnsi="宋体" w:cs="宋体"/>
          <w:color w:val="auto"/>
          <w:sz w:val="24"/>
          <w:szCs w:val="24"/>
          <w:highlight w:val="none"/>
          <w:lang w:val="zh-CN"/>
        </w:rPr>
        <w:t>我们已详细审核全部单一来源采购文件及其有效补充文件，我们放弃对单一来源采购文件任何误解的权利，提交响应文件后，</w:t>
      </w:r>
      <w:r>
        <w:rPr>
          <w:rFonts w:hint="eastAsia" w:ascii="宋体" w:hAnsi="宋体" w:cs="宋体"/>
          <w:b/>
          <w:color w:val="auto"/>
          <w:sz w:val="24"/>
          <w:szCs w:val="24"/>
          <w:highlight w:val="none"/>
          <w:lang w:val="zh-CN"/>
        </w:rPr>
        <w:t>不对单一来源采购文件本身提出质疑</w:t>
      </w:r>
      <w:r>
        <w:rPr>
          <w:rFonts w:hint="eastAsia" w:ascii="宋体" w:hAnsi="宋体" w:cs="宋体"/>
          <w:color w:val="auto"/>
          <w:sz w:val="24"/>
          <w:szCs w:val="24"/>
          <w:highlight w:val="none"/>
          <w:lang w:val="zh-CN"/>
        </w:rPr>
        <w:t>。否则，属于不诚信和故意扰乱政府采购活动行为，我们将无条件接受处罚。</w:t>
      </w:r>
    </w:p>
    <w:p w14:paraId="01A75283">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5、一旦我方成交，我方将根据</w:t>
      </w:r>
      <w:r>
        <w:rPr>
          <w:rFonts w:hint="eastAsia" w:ascii="宋体" w:hAnsi="宋体" w:cs="宋体"/>
          <w:color w:val="auto"/>
          <w:sz w:val="24"/>
          <w:szCs w:val="24"/>
          <w:highlight w:val="none"/>
          <w:lang w:val="zh-CN"/>
        </w:rPr>
        <w:t>单一来源采购文件</w:t>
      </w:r>
      <w:r>
        <w:rPr>
          <w:rFonts w:hint="eastAsia" w:ascii="宋体" w:hAnsi="宋体" w:cs="宋体"/>
          <w:color w:val="auto"/>
          <w:sz w:val="24"/>
          <w:szCs w:val="32"/>
          <w:highlight w:val="none"/>
        </w:rPr>
        <w:t>的规定，严格履行合同，保证于承诺的时间内完成本项目规定的所有内容。</w:t>
      </w:r>
    </w:p>
    <w:p w14:paraId="01900B92">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6、</w:t>
      </w:r>
      <w:r>
        <w:rPr>
          <w:rFonts w:hint="eastAsia" w:ascii="宋体" w:hAnsi="宋体" w:cs="宋体"/>
          <w:color w:val="auto"/>
          <w:sz w:val="24"/>
          <w:szCs w:val="24"/>
          <w:highlight w:val="none"/>
          <w:lang w:val="zh-CN"/>
        </w:rPr>
        <w:t>报价有效期：报价截止之日起90日历日。</w:t>
      </w:r>
    </w:p>
    <w:p w14:paraId="4907955E">
      <w:pPr>
        <w:spacing w:line="312"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32"/>
          <w:highlight w:val="none"/>
        </w:rPr>
        <w:t>7、我方决不</w:t>
      </w:r>
      <w:r>
        <w:rPr>
          <w:rFonts w:hint="eastAsia" w:ascii="宋体" w:hAnsi="宋体" w:cs="宋体"/>
          <w:color w:val="auto"/>
          <w:sz w:val="24"/>
          <w:szCs w:val="24"/>
          <w:highlight w:val="none"/>
        </w:rPr>
        <w:t>提供虚假材料谋取成交、</w:t>
      </w:r>
      <w:r>
        <w:rPr>
          <w:rFonts w:hint="eastAsia" w:ascii="宋体" w:hAnsi="宋体" w:cs="宋体"/>
          <w:color w:val="auto"/>
          <w:sz w:val="24"/>
          <w:szCs w:val="32"/>
          <w:highlight w:val="none"/>
        </w:rPr>
        <w:t>决不</w:t>
      </w:r>
      <w:r>
        <w:rPr>
          <w:rFonts w:hint="eastAsia" w:ascii="宋体" w:hAnsi="宋体" w:cs="宋体"/>
          <w:color w:val="auto"/>
          <w:sz w:val="24"/>
          <w:szCs w:val="24"/>
          <w:highlight w:val="none"/>
        </w:rPr>
        <w:t>采取不正当手段诋毁、排挤其他供应商、</w:t>
      </w:r>
      <w:r>
        <w:rPr>
          <w:rFonts w:hint="eastAsia" w:ascii="宋体" w:hAnsi="宋体" w:cs="宋体"/>
          <w:color w:val="auto"/>
          <w:sz w:val="24"/>
          <w:szCs w:val="32"/>
          <w:highlight w:val="none"/>
        </w:rPr>
        <w:t>决不</w:t>
      </w:r>
      <w:r>
        <w:rPr>
          <w:rFonts w:hint="eastAsia" w:ascii="宋体" w:hAnsi="宋体" w:cs="宋体"/>
          <w:color w:val="auto"/>
          <w:sz w:val="24"/>
          <w:szCs w:val="24"/>
          <w:highlight w:val="none"/>
        </w:rPr>
        <w:t>与采购人、其它供应商或者采购代理恶意串通、</w:t>
      </w:r>
      <w:r>
        <w:rPr>
          <w:rFonts w:hint="eastAsia" w:ascii="宋体" w:hAnsi="宋体" w:cs="宋体"/>
          <w:color w:val="auto"/>
          <w:sz w:val="24"/>
          <w:szCs w:val="32"/>
          <w:highlight w:val="none"/>
        </w:rPr>
        <w:t>决不</w:t>
      </w:r>
      <w:r>
        <w:rPr>
          <w:rFonts w:hint="eastAsia" w:ascii="宋体" w:hAnsi="宋体" w:cs="宋体"/>
          <w:color w:val="auto"/>
          <w:sz w:val="24"/>
          <w:szCs w:val="24"/>
          <w:highlight w:val="none"/>
        </w:rPr>
        <w:t>向</w:t>
      </w:r>
      <w:r>
        <w:rPr>
          <w:rFonts w:hint="eastAsia" w:ascii="宋体" w:hAnsi="宋体" w:cs="宋体"/>
          <w:color w:val="auto"/>
          <w:sz w:val="24"/>
          <w:szCs w:val="32"/>
          <w:highlight w:val="none"/>
        </w:rPr>
        <w:t>采购人、采购代理工作人员和谈判小组进行商业贿赂</w:t>
      </w:r>
      <w:r>
        <w:rPr>
          <w:rFonts w:hint="eastAsia" w:ascii="宋体" w:hAnsi="宋体" w:cs="宋体"/>
          <w:color w:val="auto"/>
          <w:sz w:val="24"/>
          <w:szCs w:val="24"/>
          <w:highlight w:val="none"/>
        </w:rPr>
        <w:t>、决不拒绝有关部门监督检查或提供虚假情况，如有违反，</w:t>
      </w:r>
      <w:r>
        <w:rPr>
          <w:rFonts w:hint="eastAsia" w:ascii="宋体" w:hAnsi="宋体" w:cs="宋体"/>
          <w:color w:val="auto"/>
          <w:sz w:val="24"/>
          <w:szCs w:val="32"/>
          <w:highlight w:val="none"/>
        </w:rPr>
        <w:t>无条件接受贵方及相关管理部门的处罚。</w:t>
      </w:r>
    </w:p>
    <w:p w14:paraId="1A26048D">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8、我方</w:t>
      </w:r>
      <w:r>
        <w:rPr>
          <w:rFonts w:hint="eastAsia" w:ascii="宋体" w:hAnsi="宋体" w:cs="宋体"/>
          <w:snapToGrid w:val="0"/>
          <w:color w:val="auto"/>
          <w:sz w:val="24"/>
          <w:szCs w:val="24"/>
          <w:highlight w:val="none"/>
        </w:rPr>
        <w:t>增值税发票信息</w:t>
      </w:r>
      <w:r>
        <w:rPr>
          <w:rFonts w:hint="eastAsia" w:ascii="宋体" w:hAnsi="宋体" w:cs="宋体"/>
          <w:color w:val="auto"/>
          <w:sz w:val="24"/>
          <w:szCs w:val="32"/>
          <w:highlight w:val="none"/>
        </w:rPr>
        <w:t>：</w:t>
      </w:r>
    </w:p>
    <w:p w14:paraId="7EF14C0D">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 xml:space="preserve">纳税人识别号或统一社会信用代码: </w:t>
      </w:r>
      <w:r>
        <w:rPr>
          <w:rFonts w:hint="eastAsia" w:ascii="宋体" w:hAnsi="宋体" w:cs="宋体"/>
          <w:color w:val="auto"/>
          <w:sz w:val="24"/>
          <w:szCs w:val="32"/>
          <w:highlight w:val="none"/>
          <w:u w:val="single"/>
        </w:rPr>
        <w:t xml:space="preserve">                  </w:t>
      </w:r>
    </w:p>
    <w:p w14:paraId="6CE67779">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snapToGrid w:val="0"/>
          <w:color w:val="auto"/>
          <w:sz w:val="24"/>
          <w:szCs w:val="24"/>
          <w:highlight w:val="none"/>
        </w:rPr>
        <w:t>地    址：</w:t>
      </w:r>
      <w:r>
        <w:rPr>
          <w:rFonts w:hint="eastAsia" w:ascii="宋体" w:hAnsi="宋体" w:cs="宋体"/>
          <w:color w:val="auto"/>
          <w:sz w:val="24"/>
          <w:szCs w:val="32"/>
          <w:highlight w:val="none"/>
        </w:rPr>
        <w:t xml:space="preserve">  </w:t>
      </w:r>
      <w:r>
        <w:rPr>
          <w:rFonts w:hint="eastAsia" w:ascii="宋体" w:hAnsi="宋体" w:cs="宋体"/>
          <w:color w:val="auto"/>
          <w:sz w:val="24"/>
          <w:szCs w:val="32"/>
          <w:highlight w:val="none"/>
          <w:u w:val="single"/>
        </w:rPr>
        <w:t xml:space="preserve">                     </w:t>
      </w:r>
    </w:p>
    <w:p w14:paraId="6D16A081">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snapToGrid w:val="0"/>
          <w:color w:val="auto"/>
          <w:sz w:val="24"/>
          <w:szCs w:val="24"/>
          <w:highlight w:val="none"/>
        </w:rPr>
        <w:t>电话号码：</w:t>
      </w:r>
      <w:r>
        <w:rPr>
          <w:rFonts w:hint="eastAsia" w:ascii="宋体" w:hAnsi="宋体" w:cs="宋体"/>
          <w:color w:val="auto"/>
          <w:sz w:val="24"/>
          <w:szCs w:val="32"/>
          <w:highlight w:val="none"/>
        </w:rPr>
        <w:t xml:space="preserve">  </w:t>
      </w:r>
      <w:r>
        <w:rPr>
          <w:rFonts w:hint="eastAsia" w:ascii="宋体" w:hAnsi="宋体" w:cs="宋体"/>
          <w:color w:val="auto"/>
          <w:sz w:val="24"/>
          <w:szCs w:val="32"/>
          <w:highlight w:val="none"/>
          <w:u w:val="single"/>
        </w:rPr>
        <w:t xml:space="preserve">                      </w:t>
      </w:r>
    </w:p>
    <w:p w14:paraId="1A31CAFA">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开户银行：</w:t>
      </w:r>
      <w:r>
        <w:rPr>
          <w:rFonts w:hint="eastAsia" w:ascii="宋体" w:hAnsi="宋体" w:cs="宋体"/>
          <w:color w:val="auto"/>
          <w:sz w:val="24"/>
          <w:szCs w:val="32"/>
          <w:highlight w:val="none"/>
          <w:u w:val="single"/>
        </w:rPr>
        <w:t xml:space="preserve">                       </w:t>
      </w:r>
    </w:p>
    <w:p w14:paraId="073C2F55">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帐    号：</w:t>
      </w:r>
      <w:r>
        <w:rPr>
          <w:rFonts w:hint="eastAsia" w:ascii="宋体" w:hAnsi="宋体" w:cs="宋体"/>
          <w:color w:val="auto"/>
          <w:sz w:val="24"/>
          <w:szCs w:val="32"/>
          <w:highlight w:val="none"/>
          <w:u w:val="single"/>
        </w:rPr>
        <w:t xml:space="preserve">                       </w:t>
      </w:r>
    </w:p>
    <w:p w14:paraId="35C20928">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7、我方正式通讯方式为：</w:t>
      </w:r>
    </w:p>
    <w:p w14:paraId="715A6927">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地   址：</w:t>
      </w:r>
      <w:r>
        <w:rPr>
          <w:rFonts w:hint="eastAsia" w:ascii="宋体" w:hAnsi="宋体" w:cs="宋体"/>
          <w:color w:val="auto"/>
          <w:sz w:val="24"/>
          <w:szCs w:val="32"/>
          <w:highlight w:val="none"/>
          <w:u w:val="single"/>
        </w:rPr>
        <w:t xml:space="preserve">                       </w:t>
      </w:r>
    </w:p>
    <w:p w14:paraId="2B88A487">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电   话：</w:t>
      </w:r>
      <w:r>
        <w:rPr>
          <w:rFonts w:hint="eastAsia" w:ascii="宋体" w:hAnsi="宋体" w:cs="宋体"/>
          <w:color w:val="auto"/>
          <w:sz w:val="24"/>
          <w:szCs w:val="32"/>
          <w:highlight w:val="none"/>
          <w:u w:val="single"/>
        </w:rPr>
        <w:t xml:space="preserve">                       </w:t>
      </w:r>
    </w:p>
    <w:p w14:paraId="4F2A6C38">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传   真：</w:t>
      </w:r>
      <w:r>
        <w:rPr>
          <w:rFonts w:hint="eastAsia" w:ascii="宋体" w:hAnsi="宋体" w:cs="宋体"/>
          <w:color w:val="auto"/>
          <w:sz w:val="24"/>
          <w:szCs w:val="32"/>
          <w:highlight w:val="none"/>
          <w:u w:val="single"/>
        </w:rPr>
        <w:t xml:space="preserve">                       </w:t>
      </w:r>
    </w:p>
    <w:p w14:paraId="648C241B">
      <w:pPr>
        <w:spacing w:line="312" w:lineRule="auto"/>
        <w:ind w:firstLine="480" w:firstLineChars="200"/>
        <w:contextualSpacing/>
        <w:rPr>
          <w:rFonts w:ascii="宋体" w:hAnsi="宋体" w:cs="宋体"/>
          <w:color w:val="auto"/>
          <w:sz w:val="24"/>
          <w:szCs w:val="32"/>
          <w:highlight w:val="none"/>
          <w:u w:val="single"/>
        </w:rPr>
      </w:pPr>
      <w:r>
        <w:rPr>
          <w:rFonts w:hint="eastAsia" w:ascii="宋体" w:hAnsi="宋体" w:cs="宋体"/>
          <w:color w:val="auto"/>
          <w:sz w:val="24"/>
          <w:szCs w:val="32"/>
          <w:highlight w:val="none"/>
        </w:rPr>
        <w:t>供应商授权代表姓名（签字）：</w:t>
      </w:r>
      <w:r>
        <w:rPr>
          <w:rFonts w:hint="eastAsia" w:ascii="宋体" w:hAnsi="宋体" w:cs="宋体"/>
          <w:color w:val="auto"/>
          <w:sz w:val="24"/>
          <w:szCs w:val="32"/>
          <w:highlight w:val="none"/>
          <w:u w:val="single"/>
        </w:rPr>
        <w:t xml:space="preserve">         </w:t>
      </w:r>
    </w:p>
    <w:p w14:paraId="7596BFA1">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供应商名称（公章）：</w:t>
      </w:r>
      <w:r>
        <w:rPr>
          <w:rFonts w:hint="eastAsia" w:ascii="宋体" w:hAnsi="宋体" w:cs="宋体"/>
          <w:color w:val="auto"/>
          <w:sz w:val="24"/>
          <w:szCs w:val="32"/>
          <w:highlight w:val="none"/>
          <w:u w:val="single"/>
        </w:rPr>
        <w:t xml:space="preserve">                 </w:t>
      </w:r>
    </w:p>
    <w:p w14:paraId="38D95FD4">
      <w:pPr>
        <w:spacing w:line="312" w:lineRule="auto"/>
        <w:ind w:firstLine="480" w:firstLineChars="200"/>
        <w:contextualSpacing/>
        <w:rPr>
          <w:rFonts w:ascii="宋体" w:hAnsi="宋体" w:cs="宋体"/>
          <w:color w:val="auto"/>
          <w:sz w:val="24"/>
          <w:szCs w:val="32"/>
          <w:highlight w:val="none"/>
        </w:rPr>
      </w:pPr>
      <w:r>
        <w:rPr>
          <w:rFonts w:hint="eastAsia" w:ascii="宋体" w:hAnsi="宋体" w:cs="宋体"/>
          <w:color w:val="auto"/>
          <w:sz w:val="24"/>
          <w:szCs w:val="32"/>
          <w:highlight w:val="none"/>
        </w:rPr>
        <w:t>日    期：</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年</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月</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日</w:t>
      </w:r>
    </w:p>
    <w:p w14:paraId="0FAB7DD0">
      <w:pPr>
        <w:spacing w:line="360" w:lineRule="auto"/>
        <w:jc w:val="center"/>
        <w:rPr>
          <w:b/>
          <w:color w:val="auto"/>
          <w:sz w:val="28"/>
          <w:highlight w:val="none"/>
        </w:rPr>
      </w:pPr>
      <w:bookmarkStart w:id="183" w:name="_Toc21385"/>
      <w:bookmarkStart w:id="184" w:name="_Toc9661"/>
      <w:r>
        <w:rPr>
          <w:rFonts w:hint="eastAsia" w:ascii="宋体" w:hAnsi="宋体" w:cs="宋体"/>
          <w:color w:val="auto"/>
          <w:sz w:val="28"/>
          <w:szCs w:val="28"/>
          <w:highlight w:val="none"/>
        </w:rPr>
        <w:t>二、</w:t>
      </w:r>
      <w:r>
        <w:rPr>
          <w:b/>
          <w:color w:val="auto"/>
          <w:sz w:val="28"/>
          <w:szCs w:val="28"/>
          <w:highlight w:val="none"/>
        </w:rPr>
        <w:t>分项报价表</w:t>
      </w:r>
      <w:bookmarkEnd w:id="183"/>
      <w:bookmarkEnd w:id="184"/>
    </w:p>
    <w:p w14:paraId="1CAC686C">
      <w:pPr>
        <w:jc w:val="center"/>
        <w:rPr>
          <w:rFonts w:ascii="宋体" w:hAnsi="宋体" w:cs="宋体"/>
          <w:color w:val="auto"/>
          <w:sz w:val="28"/>
          <w:szCs w:val="28"/>
          <w:highlight w:val="none"/>
        </w:rPr>
      </w:pPr>
      <w:r>
        <w:rPr>
          <w:rFonts w:hint="eastAsia" w:ascii="宋体" w:hAnsi="宋体" w:cs="宋体"/>
          <w:color w:val="auto"/>
          <w:sz w:val="28"/>
          <w:szCs w:val="28"/>
          <w:highlight w:val="none"/>
          <w:lang w:val="zh-CN"/>
        </w:rPr>
        <w:t>（如果有，格式自拟）</w:t>
      </w:r>
    </w:p>
    <w:p w14:paraId="1DE05828">
      <w:pPr>
        <w:jc w:val="center"/>
        <w:rPr>
          <w:rFonts w:ascii="宋体" w:hAnsi="宋体" w:cs="宋体"/>
          <w:color w:val="auto"/>
          <w:sz w:val="28"/>
          <w:szCs w:val="28"/>
          <w:highlight w:val="none"/>
        </w:rPr>
      </w:pPr>
      <w:r>
        <w:rPr>
          <w:rFonts w:hint="eastAsia" w:ascii="宋体" w:hAnsi="宋体" w:cs="宋体"/>
          <w:color w:val="auto"/>
          <w:sz w:val="28"/>
          <w:szCs w:val="28"/>
          <w:highlight w:val="none"/>
        </w:rPr>
        <w:br w:type="page"/>
      </w:r>
    </w:p>
    <w:p w14:paraId="264CFFD8">
      <w:pPr>
        <w:autoSpaceDE w:val="0"/>
        <w:autoSpaceDN w:val="0"/>
        <w:spacing w:line="360" w:lineRule="auto"/>
        <w:jc w:val="center"/>
        <w:rPr>
          <w:rFonts w:ascii="宋体" w:hAnsi="宋体" w:cs="宋体"/>
          <w:b/>
          <w:bCs/>
          <w:color w:val="auto"/>
          <w:sz w:val="28"/>
          <w:szCs w:val="28"/>
          <w:highlight w:val="none"/>
          <w:lang w:val="zh-CN" w:bidi="zh-CN"/>
        </w:rPr>
      </w:pPr>
      <w:bookmarkStart w:id="185" w:name="_Toc13305"/>
      <w:bookmarkStart w:id="186" w:name="_Toc8085"/>
      <w:r>
        <w:rPr>
          <w:rFonts w:hint="eastAsia" w:ascii="宋体" w:hAnsi="宋体" w:cs="宋体"/>
          <w:b/>
          <w:bCs/>
          <w:color w:val="auto"/>
          <w:sz w:val="28"/>
          <w:szCs w:val="28"/>
          <w:highlight w:val="none"/>
          <w:lang w:bidi="zh-CN"/>
        </w:rPr>
        <w:t>三</w:t>
      </w:r>
      <w:r>
        <w:rPr>
          <w:rFonts w:hint="eastAsia" w:ascii="宋体" w:hAnsi="宋体" w:cs="宋体"/>
          <w:b/>
          <w:bCs/>
          <w:color w:val="auto"/>
          <w:sz w:val="28"/>
          <w:szCs w:val="28"/>
          <w:highlight w:val="none"/>
          <w:lang w:val="zh-CN" w:bidi="zh-CN"/>
        </w:rPr>
        <w:t>、</w:t>
      </w:r>
      <w:r>
        <w:rPr>
          <w:rFonts w:ascii="宋体" w:hAnsi="宋体"/>
          <w:b/>
          <w:snapToGrid w:val="0"/>
          <w:color w:val="auto"/>
          <w:kern w:val="0"/>
          <w:sz w:val="28"/>
          <w:highlight w:val="none"/>
        </w:rPr>
        <w:t>法定代表人身份证明</w:t>
      </w:r>
      <w:bookmarkEnd w:id="185"/>
      <w:bookmarkEnd w:id="186"/>
    </w:p>
    <w:p w14:paraId="5AFD843C">
      <w:pPr>
        <w:pStyle w:val="47"/>
        <w:ind w:firstLine="420"/>
        <w:rPr>
          <w:color w:val="auto"/>
          <w:highlight w:val="none"/>
          <w:lang w:bidi="zh-CN"/>
        </w:rPr>
      </w:pPr>
    </w:p>
    <w:p w14:paraId="388FB79A">
      <w:pPr>
        <w:topLinePunct/>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供应商名称：</w:t>
      </w:r>
      <w:r>
        <w:rPr>
          <w:rFonts w:hint="eastAsia" w:ascii="黑体" w:hAnsi="黑体" w:eastAsia="黑体"/>
          <w:snapToGrid w:val="0"/>
          <w:color w:val="auto"/>
          <w:kern w:val="0"/>
          <w:sz w:val="24"/>
          <w:highlight w:val="none"/>
          <w:u w:val="single"/>
        </w:rPr>
        <w:t xml:space="preserve">                              </w:t>
      </w:r>
    </w:p>
    <w:p w14:paraId="73F7A36C">
      <w:pPr>
        <w:topLinePunct/>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姓名：</w:t>
      </w:r>
      <w:r>
        <w:rPr>
          <w:rFonts w:hint="eastAsia" w:ascii="黑体" w:hAnsi="黑体" w:eastAsia="黑体"/>
          <w:snapToGrid w:val="0"/>
          <w:color w:val="auto"/>
          <w:kern w:val="0"/>
          <w:sz w:val="24"/>
          <w:highlight w:val="none"/>
          <w:u w:val="single"/>
        </w:rPr>
        <w:t xml:space="preserve">          </w:t>
      </w:r>
      <w:r>
        <w:rPr>
          <w:rFonts w:hint="eastAsia" w:ascii="宋体" w:hAnsi="宋体"/>
          <w:color w:val="auto"/>
          <w:sz w:val="24"/>
          <w:highlight w:val="none"/>
        </w:rPr>
        <w:t>性别：</w:t>
      </w:r>
      <w:r>
        <w:rPr>
          <w:rFonts w:hint="eastAsia" w:ascii="黑体" w:hAnsi="黑体" w:eastAsia="黑体"/>
          <w:snapToGrid w:val="0"/>
          <w:color w:val="auto"/>
          <w:kern w:val="0"/>
          <w:sz w:val="24"/>
          <w:highlight w:val="none"/>
          <w:u w:val="single"/>
        </w:rPr>
        <w:t xml:space="preserve">          </w:t>
      </w:r>
      <w:r>
        <w:rPr>
          <w:rFonts w:hint="eastAsia" w:ascii="宋体" w:hAnsi="宋体"/>
          <w:color w:val="auto"/>
          <w:sz w:val="24"/>
          <w:highlight w:val="none"/>
        </w:rPr>
        <w:t>年龄：</w:t>
      </w:r>
      <w:r>
        <w:rPr>
          <w:rFonts w:hint="eastAsia" w:ascii="黑体" w:hAnsi="黑体" w:eastAsia="黑体"/>
          <w:snapToGrid w:val="0"/>
          <w:color w:val="auto"/>
          <w:kern w:val="0"/>
          <w:sz w:val="24"/>
          <w:highlight w:val="none"/>
          <w:u w:val="single"/>
        </w:rPr>
        <w:t xml:space="preserve">          </w:t>
      </w:r>
      <w:r>
        <w:rPr>
          <w:rFonts w:hint="eastAsia" w:ascii="宋体" w:hAnsi="宋体"/>
          <w:color w:val="auto"/>
          <w:sz w:val="24"/>
          <w:highlight w:val="none"/>
        </w:rPr>
        <w:t>职务：</w:t>
      </w:r>
      <w:r>
        <w:rPr>
          <w:rFonts w:hint="eastAsia" w:ascii="黑体" w:hAnsi="黑体" w:eastAsia="黑体"/>
          <w:snapToGrid w:val="0"/>
          <w:color w:val="auto"/>
          <w:kern w:val="0"/>
          <w:sz w:val="24"/>
          <w:highlight w:val="none"/>
          <w:u w:val="single"/>
        </w:rPr>
        <w:t xml:space="preserve">          </w:t>
      </w:r>
    </w:p>
    <w:p w14:paraId="7197930C">
      <w:pPr>
        <w:topLinePunct/>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系</w:t>
      </w:r>
      <w:r>
        <w:rPr>
          <w:rFonts w:hint="eastAsia" w:ascii="黑体" w:hAnsi="黑体" w:eastAsia="黑体"/>
          <w:snapToGrid w:val="0"/>
          <w:color w:val="auto"/>
          <w:kern w:val="0"/>
          <w:sz w:val="24"/>
          <w:highlight w:val="none"/>
          <w:u w:val="single"/>
        </w:rPr>
        <w:t xml:space="preserve">                        </w:t>
      </w:r>
      <w:r>
        <w:rPr>
          <w:rFonts w:hint="eastAsia" w:ascii="宋体" w:hAnsi="宋体"/>
          <w:color w:val="auto"/>
          <w:sz w:val="24"/>
          <w:highlight w:val="none"/>
        </w:rPr>
        <w:t>（供应商名称）的法定代表人。</w:t>
      </w:r>
    </w:p>
    <w:p w14:paraId="47FBD649">
      <w:pPr>
        <w:topLinePunct/>
        <w:adjustRightInd w:val="0"/>
        <w:snapToGrid w:val="0"/>
        <w:spacing w:line="360" w:lineRule="auto"/>
        <w:ind w:firstLine="480" w:firstLineChars="200"/>
        <w:jc w:val="left"/>
        <w:rPr>
          <w:rFonts w:ascii="宋体" w:hAnsi="宋体"/>
          <w:snapToGrid w:val="0"/>
          <w:color w:val="auto"/>
          <w:kern w:val="0"/>
          <w:sz w:val="24"/>
          <w:highlight w:val="none"/>
        </w:rPr>
      </w:pPr>
      <w:r>
        <w:rPr>
          <w:rFonts w:hint="eastAsia" w:ascii="宋体" w:hAnsi="宋体"/>
          <w:color w:val="auto"/>
          <w:sz w:val="24"/>
          <w:highlight w:val="none"/>
        </w:rPr>
        <w:t>特此证明。</w:t>
      </w:r>
    </w:p>
    <w:p w14:paraId="2C6675E4">
      <w:pPr>
        <w:autoSpaceDE w:val="0"/>
        <w:autoSpaceDN w:val="0"/>
        <w:spacing w:line="360" w:lineRule="auto"/>
        <w:jc w:val="left"/>
        <w:rPr>
          <w:rFonts w:ascii="宋体" w:hAnsi="宋体" w:cs="宋体"/>
          <w:color w:val="auto"/>
          <w:sz w:val="24"/>
          <w:highlight w:val="none"/>
          <w:lang w:val="zh-CN" w:bidi="zh-CN"/>
        </w:rPr>
      </w:pPr>
    </w:p>
    <w:p w14:paraId="3EB21DA5">
      <w:pPr>
        <w:autoSpaceDE w:val="0"/>
        <w:autoSpaceDN w:val="0"/>
        <w:spacing w:before="2" w:line="360" w:lineRule="auto"/>
        <w:jc w:val="left"/>
        <w:rPr>
          <w:rFonts w:ascii="宋体" w:hAnsi="宋体" w:cs="宋体"/>
          <w:color w:val="auto"/>
          <w:sz w:val="24"/>
          <w:highlight w:val="none"/>
          <w:lang w:val="zh-CN" w:bidi="zh-CN"/>
        </w:rPr>
      </w:pPr>
    </w:p>
    <w:p w14:paraId="36E078DB">
      <w:pPr>
        <w:autoSpaceDE w:val="0"/>
        <w:autoSpaceDN w:val="0"/>
        <w:spacing w:before="71" w:line="360" w:lineRule="auto"/>
        <w:ind w:left="1097"/>
        <w:jc w:val="left"/>
        <w:rPr>
          <w:rFonts w:ascii="宋体" w:hAnsi="宋体" w:cs="宋体"/>
          <w:color w:val="auto"/>
          <w:sz w:val="24"/>
          <w:highlight w:val="none"/>
          <w:lang w:val="zh-CN" w:bidi="zh-CN"/>
        </w:rPr>
      </w:pPr>
      <w:r>
        <w:rPr>
          <w:rFonts w:hint="eastAsia" w:ascii="宋体" w:hAnsi="宋体" w:cs="宋体"/>
          <w:color w:val="auto"/>
          <w:sz w:val="24"/>
          <w:highlight w:val="none"/>
          <w:lang w:val="zh-CN" w:bidi="zh-CN"/>
        </w:rPr>
        <w:t xml:space="preserve">                             </w:t>
      </w:r>
      <w:r>
        <w:rPr>
          <w:rFonts w:hint="eastAsia" w:ascii="宋体" w:hAnsi="宋体" w:cs="宋体"/>
          <w:color w:val="auto"/>
          <w:sz w:val="24"/>
          <w:highlight w:val="none"/>
        </w:rPr>
        <w:t>供应商</w:t>
      </w:r>
      <w:r>
        <w:rPr>
          <w:rFonts w:hint="eastAsia" w:ascii="宋体" w:hAnsi="宋体" w:cs="宋体"/>
          <w:color w:val="auto"/>
          <w:sz w:val="24"/>
          <w:highlight w:val="none"/>
          <w:lang w:val="zh-CN"/>
        </w:rPr>
        <w:t>名称：（盖章）</w:t>
      </w:r>
    </w:p>
    <w:p w14:paraId="6445FAE9">
      <w:pPr>
        <w:tabs>
          <w:tab w:val="left" w:pos="5100"/>
          <w:tab w:val="left" w:pos="6099"/>
          <w:tab w:val="left" w:pos="6800"/>
          <w:tab w:val="left" w:pos="7400"/>
        </w:tabs>
        <w:autoSpaceDE w:val="0"/>
        <w:autoSpaceDN w:val="0"/>
        <w:spacing w:before="135" w:line="360" w:lineRule="auto"/>
        <w:ind w:left="4599"/>
        <w:jc w:val="left"/>
        <w:rPr>
          <w:rFonts w:ascii="宋体" w:hAnsi="宋体" w:cs="宋体"/>
          <w:color w:val="auto"/>
          <w:sz w:val="24"/>
          <w:highlight w:val="none"/>
          <w:lang w:val="zh-CN" w:bidi="zh-CN"/>
        </w:rPr>
      </w:pPr>
      <w:r>
        <w:rPr>
          <w:rFonts w:ascii="宋体" w:hAnsi="宋体" w:cs="宋体"/>
          <w:color w:val="auto"/>
          <w:sz w:val="24"/>
          <w:highlight w:val="none"/>
          <w:lang w:val="zh-CN" w:bidi="zh-CN"/>
        </w:rPr>
        <w:t>日</w:t>
      </w:r>
      <w:r>
        <w:rPr>
          <w:rFonts w:ascii="宋体" w:hAnsi="宋体" w:cs="宋体"/>
          <w:color w:val="auto"/>
          <w:sz w:val="24"/>
          <w:highlight w:val="none"/>
          <w:lang w:val="zh-CN" w:bidi="zh-CN"/>
        </w:rPr>
        <w:tab/>
      </w:r>
      <w:r>
        <w:rPr>
          <w:rFonts w:ascii="宋体" w:hAnsi="宋体" w:cs="宋体"/>
          <w:color w:val="auto"/>
          <w:sz w:val="24"/>
          <w:highlight w:val="none"/>
          <w:lang w:val="zh-CN" w:bidi="zh-CN"/>
        </w:rPr>
        <w:t>期：</w:t>
      </w:r>
      <w:r>
        <w:rPr>
          <w:rFonts w:ascii="宋体" w:hAnsi="宋体" w:cs="宋体"/>
          <w:color w:val="auto"/>
          <w:sz w:val="24"/>
          <w:highlight w:val="none"/>
          <w:lang w:val="zh-CN" w:bidi="zh-CN"/>
        </w:rPr>
        <w:tab/>
      </w:r>
      <w:r>
        <w:rPr>
          <w:rFonts w:ascii="宋体" w:hAnsi="宋体" w:cs="宋体"/>
          <w:color w:val="auto"/>
          <w:sz w:val="24"/>
          <w:highlight w:val="none"/>
          <w:lang w:val="zh-CN" w:bidi="zh-CN"/>
        </w:rPr>
        <w:t>年</w:t>
      </w:r>
      <w:r>
        <w:rPr>
          <w:rFonts w:ascii="宋体" w:hAnsi="宋体" w:cs="宋体"/>
          <w:color w:val="auto"/>
          <w:sz w:val="24"/>
          <w:highlight w:val="none"/>
          <w:lang w:val="zh-CN" w:bidi="zh-CN"/>
        </w:rPr>
        <w:tab/>
      </w:r>
      <w:r>
        <w:rPr>
          <w:rFonts w:ascii="宋体" w:hAnsi="宋体" w:cs="宋体"/>
          <w:color w:val="auto"/>
          <w:sz w:val="24"/>
          <w:highlight w:val="none"/>
          <w:lang w:val="zh-CN" w:bidi="zh-CN"/>
        </w:rPr>
        <w:t>月</w:t>
      </w:r>
      <w:r>
        <w:rPr>
          <w:rFonts w:ascii="宋体" w:hAnsi="宋体" w:cs="宋体"/>
          <w:color w:val="auto"/>
          <w:sz w:val="24"/>
          <w:highlight w:val="none"/>
          <w:lang w:val="zh-CN" w:bidi="zh-CN"/>
        </w:rPr>
        <w:tab/>
      </w:r>
      <w:r>
        <w:rPr>
          <w:rFonts w:ascii="宋体" w:hAnsi="宋体" w:cs="宋体"/>
          <w:color w:val="auto"/>
          <w:sz w:val="24"/>
          <w:highlight w:val="none"/>
          <w:lang w:val="zh-CN" w:bidi="zh-CN"/>
        </w:rPr>
        <w:t>日</w:t>
      </w:r>
    </w:p>
    <w:p w14:paraId="652F018E">
      <w:pPr>
        <w:pStyle w:val="47"/>
        <w:rPr>
          <w:rFonts w:ascii="宋体" w:hAnsi="宋体" w:cs="宋体"/>
          <w:color w:val="auto"/>
          <w:sz w:val="24"/>
          <w:szCs w:val="24"/>
          <w:highlight w:val="none"/>
          <w:lang w:bidi="zh-CN"/>
        </w:rPr>
      </w:pPr>
    </w:p>
    <w:p w14:paraId="3607FE76">
      <w:pPr>
        <w:pStyle w:val="47"/>
        <w:rPr>
          <w:rFonts w:ascii="宋体" w:hAnsi="宋体" w:cs="宋体"/>
          <w:color w:val="auto"/>
          <w:sz w:val="24"/>
          <w:szCs w:val="24"/>
          <w:highlight w:val="none"/>
          <w:lang w:bidi="zh-CN"/>
        </w:rPr>
      </w:pPr>
    </w:p>
    <w:p w14:paraId="42370728">
      <w:pPr>
        <w:pStyle w:val="47"/>
        <w:rPr>
          <w:rFonts w:ascii="宋体" w:hAnsi="宋体" w:cs="宋体"/>
          <w:color w:val="auto"/>
          <w:sz w:val="24"/>
          <w:szCs w:val="24"/>
          <w:highlight w:val="none"/>
          <w:lang w:bidi="zh-CN"/>
        </w:rPr>
      </w:pPr>
    </w:p>
    <w:p w14:paraId="366EBB1F">
      <w:pPr>
        <w:pStyle w:val="47"/>
        <w:rPr>
          <w:rFonts w:ascii="宋体" w:hAnsi="宋体" w:cs="宋体"/>
          <w:color w:val="auto"/>
          <w:sz w:val="24"/>
          <w:szCs w:val="24"/>
          <w:highlight w:val="none"/>
          <w:lang w:bidi="zh-CN"/>
        </w:rPr>
      </w:pPr>
    </w:p>
    <w:p w14:paraId="04096B06">
      <w:pPr>
        <w:pStyle w:val="47"/>
        <w:rPr>
          <w:rFonts w:ascii="宋体" w:hAnsi="宋体" w:cs="宋体"/>
          <w:color w:val="auto"/>
          <w:sz w:val="24"/>
          <w:szCs w:val="24"/>
          <w:highlight w:val="none"/>
          <w:lang w:bidi="zh-CN"/>
        </w:rPr>
      </w:pPr>
    </w:p>
    <w:p w14:paraId="3862AE06">
      <w:pPr>
        <w:pStyle w:val="47"/>
        <w:rPr>
          <w:rFonts w:ascii="宋体" w:hAnsi="宋体" w:cs="宋体"/>
          <w:color w:val="auto"/>
          <w:sz w:val="24"/>
          <w:szCs w:val="24"/>
          <w:highlight w:val="none"/>
          <w:lang w:bidi="zh-CN"/>
        </w:rPr>
      </w:pPr>
    </w:p>
    <w:p w14:paraId="14C5C3B4">
      <w:pPr>
        <w:pStyle w:val="47"/>
        <w:rPr>
          <w:rFonts w:ascii="宋体" w:hAnsi="宋体" w:cs="宋体"/>
          <w:color w:val="auto"/>
          <w:sz w:val="24"/>
          <w:szCs w:val="24"/>
          <w:highlight w:val="none"/>
          <w:lang w:bidi="zh-CN"/>
        </w:rPr>
      </w:pPr>
    </w:p>
    <w:tbl>
      <w:tblPr>
        <w:tblStyle w:val="37"/>
        <w:tblW w:w="0" w:type="auto"/>
        <w:tblInd w:w="0" w:type="dxa"/>
        <w:tblBorders>
          <w:top w:val="dotDash" w:color="000000" w:sz="4" w:space="0"/>
          <w:left w:val="dotDash" w:color="000000" w:sz="4" w:space="0"/>
          <w:bottom w:val="dotDash" w:color="000000" w:sz="4" w:space="0"/>
          <w:right w:val="dotDash" w:color="000000" w:sz="4" w:space="0"/>
          <w:insideH w:val="dotDash" w:color="000000" w:sz="4" w:space="0"/>
          <w:insideV w:val="single" w:color="000000" w:sz="6" w:space="0"/>
        </w:tblBorders>
        <w:tblLayout w:type="fixed"/>
        <w:tblCellMar>
          <w:top w:w="0" w:type="dxa"/>
          <w:left w:w="108" w:type="dxa"/>
          <w:bottom w:w="0" w:type="dxa"/>
          <w:right w:w="108" w:type="dxa"/>
        </w:tblCellMar>
      </w:tblPr>
      <w:tblGrid>
        <w:gridCol w:w="8400"/>
      </w:tblGrid>
      <w:tr w14:paraId="327A458B">
        <w:tblPrEx>
          <w:tblBorders>
            <w:top w:val="dotDash" w:color="000000" w:sz="4" w:space="0"/>
            <w:left w:val="dotDash" w:color="000000" w:sz="4" w:space="0"/>
            <w:bottom w:val="dotDash" w:color="000000" w:sz="4" w:space="0"/>
            <w:right w:val="dotDash" w:color="000000" w:sz="4" w:space="0"/>
            <w:insideH w:val="dotDash" w:color="000000" w:sz="4" w:space="0"/>
            <w:insideV w:val="single" w:color="000000" w:sz="6" w:space="0"/>
          </w:tblBorders>
          <w:tblCellMar>
            <w:top w:w="0" w:type="dxa"/>
            <w:left w:w="108" w:type="dxa"/>
            <w:bottom w:w="0" w:type="dxa"/>
            <w:right w:w="108" w:type="dxa"/>
          </w:tblCellMar>
        </w:tblPrEx>
        <w:trPr>
          <w:trHeight w:val="2599" w:hRule="atLeast"/>
        </w:trPr>
        <w:tc>
          <w:tcPr>
            <w:tcW w:w="8400" w:type="dxa"/>
          </w:tcPr>
          <w:p w14:paraId="4A865C0D">
            <w:pPr>
              <w:spacing w:line="360" w:lineRule="auto"/>
              <w:ind w:firstLine="100"/>
              <w:jc w:val="left"/>
              <w:rPr>
                <w:rFonts w:ascii="宋体" w:hAnsi="宋体" w:cs="宋体"/>
                <w:color w:val="auto"/>
                <w:sz w:val="24"/>
                <w:highlight w:val="none"/>
              </w:rPr>
            </w:pPr>
            <w:r>
              <w:rPr>
                <w:rFonts w:hint="eastAsia" w:ascii="宋体" w:hAnsi="宋体" w:cs="宋体"/>
                <w:color w:val="auto"/>
                <w:sz w:val="24"/>
                <w:highlight w:val="none"/>
              </w:rPr>
              <w:t>粘贴法定代表人（身份证复印件）</w:t>
            </w:r>
          </w:p>
        </w:tc>
      </w:tr>
    </w:tbl>
    <w:p w14:paraId="2CB4B924">
      <w:pPr>
        <w:jc w:val="center"/>
        <w:rPr>
          <w:rFonts w:ascii="宋体" w:hAnsi="宋体" w:cs="宋体"/>
          <w:b/>
          <w:bCs/>
          <w:color w:val="auto"/>
          <w:sz w:val="28"/>
          <w:szCs w:val="28"/>
          <w:highlight w:val="none"/>
        </w:rPr>
      </w:pPr>
      <w:r>
        <w:rPr>
          <w:rFonts w:ascii="宋体" w:hAnsi="宋体" w:cs="宋体"/>
          <w:color w:val="auto"/>
          <w:sz w:val="24"/>
          <w:highlight w:val="none"/>
          <w:lang w:val="zh-CN" w:bidi="zh-CN"/>
        </w:rPr>
        <w:br w:type="page"/>
      </w:r>
      <w:r>
        <w:rPr>
          <w:rFonts w:hint="eastAsia" w:ascii="宋体" w:hAnsi="宋体" w:cs="宋体"/>
          <w:b/>
          <w:bCs/>
          <w:color w:val="auto"/>
          <w:sz w:val="28"/>
          <w:szCs w:val="28"/>
          <w:highlight w:val="none"/>
        </w:rPr>
        <w:t>四、法定代表人授权书</w:t>
      </w:r>
    </w:p>
    <w:p w14:paraId="0578A534">
      <w:pPr>
        <w:autoSpaceDE w:val="0"/>
        <w:autoSpaceDN w:val="0"/>
        <w:adjustRightInd w:val="0"/>
        <w:spacing w:line="360" w:lineRule="auto"/>
        <w:rPr>
          <w:rFonts w:ascii="宋体" w:hAnsi="宋体" w:cs="宋体"/>
          <w:color w:val="auto"/>
          <w:sz w:val="24"/>
          <w:szCs w:val="24"/>
          <w:highlight w:val="none"/>
          <w:lang w:val="zh-CN"/>
        </w:rPr>
      </w:pPr>
      <w:r>
        <w:rPr>
          <w:rFonts w:hint="eastAsia" w:ascii="宋体" w:hAnsi="宋体" w:cs="宋体"/>
          <w:bCs/>
          <w:color w:val="auto"/>
          <w:sz w:val="24"/>
          <w:szCs w:val="24"/>
          <w:highlight w:val="none"/>
        </w:rPr>
        <w:t>致</w:t>
      </w:r>
      <w:r>
        <w:rPr>
          <w:rFonts w:hint="eastAsia" w:ascii="宋体" w:hAnsi="宋体" w:cs="宋体"/>
          <w:bCs/>
          <w:color w:val="auto"/>
          <w:sz w:val="24"/>
          <w:szCs w:val="24"/>
          <w:highlight w:val="none"/>
          <w:u w:val="single"/>
        </w:rPr>
        <w:t xml:space="preserve">    （采购人）        </w:t>
      </w:r>
      <w:r>
        <w:rPr>
          <w:rFonts w:hint="eastAsia" w:ascii="宋体" w:hAnsi="宋体" w:cs="宋体"/>
          <w:bCs/>
          <w:color w:val="auto"/>
          <w:sz w:val="24"/>
          <w:szCs w:val="24"/>
          <w:highlight w:val="none"/>
        </w:rPr>
        <w:t>：</w:t>
      </w:r>
    </w:p>
    <w:p w14:paraId="341E4AD9">
      <w:pPr>
        <w:autoSpaceDE w:val="0"/>
        <w:autoSpaceDN w:val="0"/>
        <w:adjustRightInd w:val="0"/>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本授权书声明：注册于</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（供应商住址）的</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lang w:val="zh-CN"/>
        </w:rPr>
        <w:t>（供应商名称）法定代表人</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（法定代表人姓名 ）代表本公司授权在下面签字的</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（供应商代表姓名 ）为本公司的合法代理人，就贵方组织的</w:t>
      </w:r>
      <w:r>
        <w:rPr>
          <w:rFonts w:hint="eastAsia" w:ascii="宋体" w:hAnsi="宋体" w:cs="宋体"/>
          <w:color w:val="auto"/>
          <w:sz w:val="24"/>
          <w:szCs w:val="24"/>
          <w:highlight w:val="none"/>
          <w:u w:val="single"/>
          <w:lang w:val="zh-CN"/>
        </w:rPr>
        <w:t xml:space="preserve">                    </w:t>
      </w:r>
      <w:r>
        <w:rPr>
          <w:rFonts w:hint="eastAsia" w:ascii="宋体" w:hAnsi="宋体" w:cs="宋体"/>
          <w:color w:val="auto"/>
          <w:sz w:val="24"/>
          <w:szCs w:val="24"/>
          <w:highlight w:val="none"/>
          <w:lang w:val="zh-CN"/>
        </w:rPr>
        <w:t>（项目名称）</w:t>
      </w:r>
      <w:r>
        <w:rPr>
          <w:rFonts w:hint="eastAsia" w:ascii="宋体" w:hAnsi="宋体" w:cs="宋体"/>
          <w:b/>
          <w:color w:val="auto"/>
          <w:sz w:val="24"/>
          <w:szCs w:val="24"/>
          <w:highlight w:val="none"/>
          <w:u w:val="single"/>
          <w:lang w:val="zh-CN"/>
        </w:rPr>
        <w:t xml:space="preserve">              </w:t>
      </w:r>
      <w:r>
        <w:rPr>
          <w:rFonts w:hint="eastAsia" w:ascii="宋体" w:hAnsi="宋体" w:cs="宋体"/>
          <w:color w:val="auto"/>
          <w:sz w:val="24"/>
          <w:szCs w:val="24"/>
          <w:highlight w:val="none"/>
          <w:lang w:val="zh-CN"/>
        </w:rPr>
        <w:t>（项目编号），以本公司名义处理一切与之有关的事务。</w:t>
      </w:r>
    </w:p>
    <w:p w14:paraId="365170A6">
      <w:pPr>
        <w:autoSpaceDE w:val="0"/>
        <w:autoSpaceDN w:val="0"/>
        <w:adjustRightInd w:val="0"/>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 xml:space="preserve"> </w:t>
      </w:r>
    </w:p>
    <w:p w14:paraId="2B6744F3">
      <w:pPr>
        <w:autoSpaceDE w:val="0"/>
        <w:autoSpaceDN w:val="0"/>
        <w:adjustRightInd w:val="0"/>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法定代表人签字或盖章：</w:t>
      </w:r>
    </w:p>
    <w:p w14:paraId="533D67DF">
      <w:pPr>
        <w:autoSpaceDE w:val="0"/>
        <w:autoSpaceDN w:val="0"/>
        <w:adjustRightInd w:val="0"/>
        <w:spacing w:line="360" w:lineRule="auto"/>
        <w:ind w:firstLine="480" w:firstLineChars="20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被授权人签字：</w:t>
      </w:r>
    </w:p>
    <w:p w14:paraId="3FA36B14">
      <w:pPr>
        <w:tabs>
          <w:tab w:val="left" w:pos="1440"/>
        </w:tabs>
        <w:autoSpaceDE w:val="0"/>
        <w:autoSpaceDN w:val="0"/>
        <w:adjustRightInd w:val="0"/>
        <w:spacing w:line="360" w:lineRule="auto"/>
        <w:ind w:firstLine="420"/>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日        期：        年    月    日</w:t>
      </w:r>
    </w:p>
    <w:tbl>
      <w:tblPr>
        <w:tblStyle w:val="37"/>
        <w:tblW w:w="0" w:type="auto"/>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040"/>
      </w:tblGrid>
      <w:tr w14:paraId="4634C632">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rPr>
        <w:tc>
          <w:tcPr>
            <w:tcW w:w="5040" w:type="dxa"/>
          </w:tcPr>
          <w:p w14:paraId="235B18F7">
            <w:pPr>
              <w:spacing w:line="440" w:lineRule="exact"/>
              <w:ind w:firstLine="240" w:firstLineChars="100"/>
              <w:jc w:val="left"/>
              <w:rPr>
                <w:rFonts w:ascii="宋体" w:hAnsi="宋体" w:cs="宋体"/>
                <w:color w:val="auto"/>
                <w:sz w:val="24"/>
                <w:szCs w:val="24"/>
                <w:highlight w:val="none"/>
              </w:rPr>
            </w:pPr>
            <w:r>
              <w:rPr>
                <w:rFonts w:hint="eastAsia" w:ascii="宋体" w:hAnsi="宋体" w:cs="宋体"/>
                <w:color w:val="auto"/>
                <w:sz w:val="24"/>
                <w:szCs w:val="24"/>
                <w:highlight w:val="none"/>
              </w:rPr>
              <w:t>粘贴法定代表人（身份证复印件）</w:t>
            </w:r>
          </w:p>
        </w:tc>
      </w:tr>
    </w:tbl>
    <w:p w14:paraId="1485E5B4">
      <w:pPr>
        <w:pStyle w:val="33"/>
        <w:spacing w:before="0" w:beforeAutospacing="0" w:after="0" w:afterAutospacing="0" w:line="520" w:lineRule="exact"/>
        <w:rPr>
          <w:color w:val="auto"/>
          <w:highlight w:val="none"/>
        </w:rPr>
      </w:pPr>
    </w:p>
    <w:tbl>
      <w:tblPr>
        <w:tblStyle w:val="37"/>
        <w:tblW w:w="0" w:type="auto"/>
        <w:tblCellSpacing w:w="20" w:type="dxa"/>
        <w:tblInd w:w="0" w:type="dxa"/>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Layout w:type="fixed"/>
        <w:tblCellMar>
          <w:top w:w="0" w:type="dxa"/>
          <w:left w:w="108" w:type="dxa"/>
          <w:bottom w:w="0" w:type="dxa"/>
          <w:right w:w="108" w:type="dxa"/>
        </w:tblCellMar>
      </w:tblPr>
      <w:tblGrid>
        <w:gridCol w:w="5120"/>
      </w:tblGrid>
      <w:tr w14:paraId="15B09197">
        <w:tblPrEx>
          <w:tblBorders>
            <w:top w:val="dotDash" w:color="auto" w:sz="4" w:space="0"/>
            <w:left w:val="dotDash" w:color="auto" w:sz="4" w:space="0"/>
            <w:bottom w:val="dotDash" w:color="auto" w:sz="4" w:space="0"/>
            <w:right w:val="dotDash" w:color="auto" w:sz="4" w:space="0"/>
            <w:insideH w:val="dotDash" w:color="auto" w:sz="4" w:space="0"/>
            <w:insideV w:val="single" w:color="auto" w:sz="6" w:space="0"/>
          </w:tblBorders>
          <w:tblCellMar>
            <w:top w:w="0" w:type="dxa"/>
            <w:left w:w="108" w:type="dxa"/>
            <w:bottom w:w="0" w:type="dxa"/>
            <w:right w:w="108" w:type="dxa"/>
          </w:tblCellMar>
        </w:tblPrEx>
        <w:trPr>
          <w:trHeight w:val="2729" w:hRule="atLeast"/>
          <w:tblCellSpacing w:w="20" w:type="dxa"/>
        </w:trPr>
        <w:tc>
          <w:tcPr>
            <w:tcW w:w="5040" w:type="dxa"/>
          </w:tcPr>
          <w:p w14:paraId="30DC6856">
            <w:pPr>
              <w:spacing w:line="440" w:lineRule="exact"/>
              <w:ind w:firstLine="240" w:firstLineChars="100"/>
              <w:jc w:val="left"/>
              <w:rPr>
                <w:rFonts w:ascii="宋体" w:hAnsi="宋体" w:cs="宋体"/>
                <w:color w:val="auto"/>
                <w:sz w:val="24"/>
                <w:szCs w:val="24"/>
                <w:highlight w:val="none"/>
              </w:rPr>
            </w:pPr>
            <w:r>
              <w:rPr>
                <w:rFonts w:hint="eastAsia" w:ascii="宋体" w:hAnsi="宋体" w:cs="宋体"/>
                <w:color w:val="auto"/>
                <w:sz w:val="24"/>
                <w:szCs w:val="24"/>
                <w:highlight w:val="none"/>
              </w:rPr>
              <w:t>粘贴被授权人（身份证复印件）</w:t>
            </w:r>
          </w:p>
          <w:p w14:paraId="5AF2CB20">
            <w:pPr>
              <w:spacing w:line="440" w:lineRule="exact"/>
              <w:ind w:firstLine="240" w:firstLineChars="100"/>
              <w:jc w:val="left"/>
              <w:rPr>
                <w:rFonts w:ascii="宋体" w:hAnsi="宋体" w:cs="宋体"/>
                <w:color w:val="auto"/>
                <w:sz w:val="24"/>
                <w:szCs w:val="24"/>
                <w:highlight w:val="none"/>
              </w:rPr>
            </w:pPr>
          </w:p>
          <w:p w14:paraId="39742AE5">
            <w:pPr>
              <w:spacing w:line="440" w:lineRule="exact"/>
              <w:ind w:firstLine="240" w:firstLineChars="100"/>
              <w:jc w:val="left"/>
              <w:rPr>
                <w:rFonts w:ascii="宋体" w:hAnsi="宋体" w:cs="宋体"/>
                <w:color w:val="auto"/>
                <w:sz w:val="24"/>
                <w:szCs w:val="24"/>
                <w:highlight w:val="none"/>
              </w:rPr>
            </w:pPr>
          </w:p>
          <w:p w14:paraId="0CD44E3E">
            <w:pPr>
              <w:spacing w:line="440" w:lineRule="exact"/>
              <w:ind w:firstLine="240" w:firstLineChars="100"/>
              <w:jc w:val="left"/>
              <w:rPr>
                <w:rFonts w:ascii="宋体" w:hAnsi="宋体" w:cs="宋体"/>
                <w:color w:val="auto"/>
                <w:sz w:val="24"/>
                <w:szCs w:val="24"/>
                <w:highlight w:val="none"/>
              </w:rPr>
            </w:pPr>
          </w:p>
        </w:tc>
      </w:tr>
    </w:tbl>
    <w:p w14:paraId="68A9258A">
      <w:pPr>
        <w:spacing w:line="360" w:lineRule="auto"/>
        <w:rPr>
          <w:rFonts w:ascii="宋体" w:hAnsi="宋体" w:cs="宋体"/>
          <w:color w:val="auto"/>
          <w:highlight w:val="none"/>
        </w:rPr>
      </w:pPr>
    </w:p>
    <w:p w14:paraId="71DF9A22">
      <w:pPr>
        <w:spacing w:line="360" w:lineRule="auto"/>
        <w:rPr>
          <w:rFonts w:ascii="宋体" w:hAnsi="宋体" w:cs="宋体"/>
          <w:color w:val="auto"/>
          <w:highlight w:val="none"/>
        </w:rPr>
      </w:pPr>
      <w:r>
        <w:rPr>
          <w:rFonts w:hint="eastAsia" w:ascii="宋体" w:hAnsi="宋体" w:cs="宋体"/>
          <w:color w:val="auto"/>
          <w:highlight w:val="none"/>
        </w:rPr>
        <w:t>注：如果是法定代表人直接参与投标的可以不提供授权书</w:t>
      </w:r>
    </w:p>
    <w:p w14:paraId="59119C16">
      <w:pPr>
        <w:pStyle w:val="33"/>
        <w:rPr>
          <w:color w:val="auto"/>
          <w:highlight w:val="none"/>
        </w:rPr>
      </w:pPr>
    </w:p>
    <w:p w14:paraId="77770140">
      <w:pPr>
        <w:rPr>
          <w:rFonts w:ascii="宋体" w:hAnsi="宋体" w:cs="宋体"/>
          <w:color w:val="auto"/>
          <w:sz w:val="28"/>
          <w:szCs w:val="28"/>
          <w:highlight w:val="none"/>
        </w:rPr>
      </w:pPr>
      <w:r>
        <w:rPr>
          <w:rFonts w:hint="eastAsia" w:ascii="宋体" w:hAnsi="宋体" w:cs="宋体"/>
          <w:color w:val="auto"/>
          <w:highlight w:val="none"/>
        </w:rPr>
        <w:br w:type="page"/>
      </w:r>
      <w:bookmarkStart w:id="187" w:name="_Toc529893219"/>
    </w:p>
    <w:bookmarkEnd w:id="187"/>
    <w:p w14:paraId="1834128C">
      <w:pPr>
        <w:spacing w:line="360" w:lineRule="auto"/>
        <w:jc w:val="center"/>
        <w:rPr>
          <w:rFonts w:ascii="宋体" w:hAnsi="宋体" w:cs="宋体"/>
          <w:b/>
          <w:bCs/>
          <w:color w:val="auto"/>
          <w:sz w:val="28"/>
          <w:szCs w:val="28"/>
          <w:highlight w:val="none"/>
        </w:rPr>
      </w:pPr>
      <w:bookmarkStart w:id="188" w:name="_Toc20772"/>
      <w:bookmarkStart w:id="189" w:name="_Toc27096"/>
      <w:r>
        <w:rPr>
          <w:rFonts w:hint="eastAsia" w:ascii="宋体" w:hAnsi="宋体" w:cs="宋体"/>
          <w:b/>
          <w:bCs/>
          <w:color w:val="auto"/>
          <w:sz w:val="28"/>
          <w:szCs w:val="28"/>
          <w:highlight w:val="none"/>
        </w:rPr>
        <w:t>五、资格审查资料</w:t>
      </w:r>
      <w:bookmarkEnd w:id="188"/>
      <w:bookmarkEnd w:id="189"/>
    </w:p>
    <w:p w14:paraId="4A626A24">
      <w:pPr>
        <w:spacing w:line="360" w:lineRule="auto"/>
        <w:jc w:val="center"/>
        <w:rPr>
          <w:rFonts w:ascii="宋体" w:hAnsi="宋体" w:cs="宋体"/>
          <w:b/>
          <w:color w:val="auto"/>
          <w:sz w:val="32"/>
          <w:szCs w:val="32"/>
          <w:highlight w:val="none"/>
        </w:rPr>
      </w:pPr>
      <w:r>
        <w:rPr>
          <w:rFonts w:hint="eastAsia" w:ascii="宋体" w:hAnsi="宋体" w:cs="宋体"/>
          <w:b/>
          <w:bCs/>
          <w:color w:val="auto"/>
          <w:sz w:val="28"/>
          <w:szCs w:val="28"/>
          <w:highlight w:val="none"/>
        </w:rPr>
        <w:t>资格审查响应对照表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5699"/>
        <w:gridCol w:w="1912"/>
        <w:gridCol w:w="855"/>
      </w:tblGrid>
      <w:tr w14:paraId="145E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0B657D53">
            <w:pPr>
              <w:snapToGrid w:val="0"/>
              <w:spacing w:line="336"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5699" w:type="dxa"/>
            <w:vAlign w:val="center"/>
          </w:tcPr>
          <w:p w14:paraId="4FA7BAC5">
            <w:pPr>
              <w:snapToGrid w:val="0"/>
              <w:spacing w:line="336" w:lineRule="auto"/>
              <w:jc w:val="center"/>
              <w:rPr>
                <w:rFonts w:ascii="宋体" w:hAnsi="宋体" w:cs="宋体"/>
                <w:b/>
                <w:color w:val="auto"/>
                <w:sz w:val="24"/>
                <w:highlight w:val="none"/>
              </w:rPr>
            </w:pPr>
            <w:r>
              <w:rPr>
                <w:rFonts w:hint="eastAsia" w:ascii="宋体" w:hAnsi="宋体" w:cs="宋体"/>
                <w:b/>
                <w:color w:val="auto"/>
                <w:sz w:val="24"/>
                <w:highlight w:val="none"/>
              </w:rPr>
              <w:t>资格审查响应内容</w:t>
            </w:r>
          </w:p>
        </w:tc>
        <w:tc>
          <w:tcPr>
            <w:tcW w:w="1912" w:type="dxa"/>
            <w:vAlign w:val="center"/>
          </w:tcPr>
          <w:p w14:paraId="53BE575E">
            <w:pPr>
              <w:snapToGrid w:val="0"/>
              <w:spacing w:line="336" w:lineRule="auto"/>
              <w:jc w:val="center"/>
              <w:rPr>
                <w:rFonts w:ascii="宋体" w:hAnsi="宋体" w:cs="宋体"/>
                <w:b/>
                <w:color w:val="auto"/>
                <w:sz w:val="24"/>
                <w:highlight w:val="none"/>
              </w:rPr>
            </w:pPr>
            <w:r>
              <w:rPr>
                <w:rFonts w:hint="eastAsia" w:ascii="宋体" w:hAnsi="宋体" w:cs="宋体"/>
                <w:b/>
                <w:color w:val="auto"/>
                <w:sz w:val="24"/>
                <w:highlight w:val="none"/>
              </w:rPr>
              <w:t>是否响应</w:t>
            </w:r>
          </w:p>
          <w:p w14:paraId="68964CCB">
            <w:pPr>
              <w:snapToGrid w:val="0"/>
              <w:spacing w:line="336" w:lineRule="auto"/>
              <w:jc w:val="center"/>
              <w:rPr>
                <w:rFonts w:ascii="宋体" w:hAnsi="宋体" w:cs="宋体"/>
                <w:b/>
                <w:color w:val="auto"/>
                <w:sz w:val="24"/>
                <w:highlight w:val="none"/>
              </w:rPr>
            </w:pPr>
            <w:r>
              <w:rPr>
                <w:rFonts w:hint="eastAsia" w:ascii="宋体" w:hAnsi="宋体" w:cs="宋体"/>
                <w:b/>
                <w:color w:val="auto"/>
                <w:sz w:val="24"/>
                <w:highlight w:val="none"/>
              </w:rPr>
              <w:t>（填是或者否）</w:t>
            </w:r>
          </w:p>
        </w:tc>
        <w:tc>
          <w:tcPr>
            <w:tcW w:w="855" w:type="dxa"/>
            <w:vAlign w:val="center"/>
          </w:tcPr>
          <w:p w14:paraId="511F8471">
            <w:pPr>
              <w:snapToGrid w:val="0"/>
              <w:spacing w:line="336" w:lineRule="auto"/>
              <w:jc w:val="center"/>
              <w:rPr>
                <w:rFonts w:ascii="宋体" w:hAnsi="宋体" w:cs="宋体"/>
                <w:b/>
                <w:color w:val="auto"/>
                <w:sz w:val="24"/>
                <w:highlight w:val="none"/>
              </w:rPr>
            </w:pPr>
            <w:r>
              <w:rPr>
                <w:rFonts w:hint="eastAsia" w:ascii="宋体" w:hAnsi="宋体" w:cs="宋体"/>
                <w:b/>
                <w:color w:val="auto"/>
                <w:sz w:val="24"/>
                <w:highlight w:val="none"/>
              </w:rPr>
              <w:t>对应页码</w:t>
            </w:r>
          </w:p>
        </w:tc>
      </w:tr>
      <w:tr w14:paraId="0A5C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75A3535B">
            <w:pPr>
              <w:spacing w:line="336" w:lineRule="auto"/>
              <w:jc w:val="center"/>
              <w:rPr>
                <w:rFonts w:ascii="宋体" w:hAnsi="宋体" w:cs="宋体"/>
                <w:b/>
                <w:color w:val="auto"/>
                <w:sz w:val="24"/>
                <w:highlight w:val="none"/>
              </w:rPr>
            </w:pPr>
            <w:r>
              <w:rPr>
                <w:rFonts w:hint="eastAsia" w:ascii="宋体" w:hAnsi="宋体" w:cs="宋体"/>
                <w:bCs/>
                <w:color w:val="auto"/>
                <w:sz w:val="24"/>
                <w:highlight w:val="none"/>
              </w:rPr>
              <w:t>1</w:t>
            </w:r>
          </w:p>
        </w:tc>
        <w:tc>
          <w:tcPr>
            <w:tcW w:w="5699" w:type="dxa"/>
            <w:vAlign w:val="center"/>
          </w:tcPr>
          <w:p w14:paraId="54557DFF">
            <w:pPr>
              <w:spacing w:line="360" w:lineRule="auto"/>
              <w:rPr>
                <w:rFonts w:ascii="宋体" w:hAnsi="宋体" w:cs="宋体"/>
                <w:iCs/>
                <w:color w:val="auto"/>
                <w:sz w:val="24"/>
                <w:highlight w:val="none"/>
              </w:rPr>
            </w:pPr>
            <w:r>
              <w:rPr>
                <w:rFonts w:hint="eastAsia" w:ascii="宋体" w:hAnsi="宋体" w:cs="宋体"/>
                <w:color w:val="auto"/>
                <w:sz w:val="24"/>
                <w:szCs w:val="24"/>
                <w:highlight w:val="none"/>
              </w:rPr>
              <w:t xml:space="preserve">具有独立承担民事责任的能力，依法注册登记、具有独立法人资格，提供法人或其他组织的营业执照等证明文件，复印件加盖公章。 </w:t>
            </w:r>
          </w:p>
        </w:tc>
        <w:tc>
          <w:tcPr>
            <w:tcW w:w="1912" w:type="dxa"/>
            <w:vAlign w:val="center"/>
          </w:tcPr>
          <w:p w14:paraId="73F9EBFB">
            <w:pPr>
              <w:spacing w:line="336" w:lineRule="auto"/>
              <w:rPr>
                <w:rFonts w:ascii="宋体" w:hAnsi="宋体" w:cs="宋体"/>
                <w:b/>
                <w:color w:val="auto"/>
                <w:sz w:val="24"/>
                <w:highlight w:val="none"/>
              </w:rPr>
            </w:pPr>
          </w:p>
        </w:tc>
        <w:tc>
          <w:tcPr>
            <w:tcW w:w="855" w:type="dxa"/>
            <w:vAlign w:val="center"/>
          </w:tcPr>
          <w:p w14:paraId="1AECBC05">
            <w:pPr>
              <w:spacing w:line="336" w:lineRule="auto"/>
              <w:rPr>
                <w:rFonts w:ascii="宋体" w:hAnsi="宋体" w:cs="宋体"/>
                <w:b/>
                <w:color w:val="auto"/>
                <w:sz w:val="24"/>
                <w:highlight w:val="none"/>
              </w:rPr>
            </w:pPr>
          </w:p>
        </w:tc>
      </w:tr>
      <w:tr w14:paraId="0B69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05100166">
            <w:pPr>
              <w:spacing w:line="336"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5699" w:type="dxa"/>
            <w:vAlign w:val="center"/>
          </w:tcPr>
          <w:p w14:paraId="53938087">
            <w:pPr>
              <w:spacing w:line="360" w:lineRule="auto"/>
              <w:rPr>
                <w:rFonts w:ascii="宋体" w:hAnsi="宋体" w:cs="宋体"/>
                <w:iCs/>
                <w:color w:val="auto"/>
                <w:sz w:val="24"/>
                <w:highlight w:val="none"/>
              </w:rPr>
            </w:pPr>
            <w:r>
              <w:rPr>
                <w:rFonts w:hint="eastAsia" w:ascii="宋体" w:hAnsi="宋体" w:cs="宋体"/>
                <w:color w:val="auto"/>
                <w:sz w:val="24"/>
                <w:szCs w:val="24"/>
                <w:highlight w:val="none"/>
              </w:rPr>
              <w:t xml:space="preserve">具有良好的商业信誉和健全的财务会计制度，提供距开标时间六个月内任意一月份的财务状况报告（至少包括资产负债表和利润表）（法人或者其他组织成立未满三个月的可以不提供），或其银行出具的资信证书（复印件）（开标前六个月内），或其上一年度经审计的财务报告复印件加盖公章。 </w:t>
            </w:r>
          </w:p>
        </w:tc>
        <w:tc>
          <w:tcPr>
            <w:tcW w:w="1912" w:type="dxa"/>
            <w:vAlign w:val="center"/>
          </w:tcPr>
          <w:p w14:paraId="4913ECDF">
            <w:pPr>
              <w:spacing w:line="336" w:lineRule="auto"/>
              <w:rPr>
                <w:rFonts w:ascii="宋体" w:hAnsi="宋体" w:cs="宋体"/>
                <w:color w:val="auto"/>
                <w:sz w:val="24"/>
                <w:highlight w:val="none"/>
              </w:rPr>
            </w:pPr>
          </w:p>
        </w:tc>
        <w:tc>
          <w:tcPr>
            <w:tcW w:w="855" w:type="dxa"/>
            <w:vAlign w:val="center"/>
          </w:tcPr>
          <w:p w14:paraId="2EA5419C">
            <w:pPr>
              <w:spacing w:line="336" w:lineRule="auto"/>
              <w:rPr>
                <w:rFonts w:ascii="宋体" w:hAnsi="宋体" w:cs="宋体"/>
                <w:color w:val="auto"/>
                <w:sz w:val="24"/>
                <w:highlight w:val="none"/>
              </w:rPr>
            </w:pPr>
          </w:p>
        </w:tc>
      </w:tr>
      <w:tr w14:paraId="7E3DD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0EEF2389">
            <w:pPr>
              <w:spacing w:line="336"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5699" w:type="dxa"/>
            <w:vAlign w:val="center"/>
          </w:tcPr>
          <w:p w14:paraId="0C151124">
            <w:pPr>
              <w:spacing w:line="360" w:lineRule="auto"/>
              <w:rPr>
                <w:rFonts w:ascii="宋体" w:hAnsi="宋体" w:cs="宋体"/>
                <w:iCs/>
                <w:color w:val="auto"/>
                <w:sz w:val="24"/>
                <w:highlight w:val="none"/>
              </w:rPr>
            </w:pPr>
            <w:r>
              <w:rPr>
                <w:rFonts w:hint="eastAsia" w:ascii="宋体" w:hAnsi="宋体" w:cs="宋体"/>
                <w:color w:val="auto"/>
                <w:sz w:val="24"/>
                <w:szCs w:val="24"/>
                <w:highlight w:val="none"/>
              </w:rPr>
              <w:t xml:space="preserve">具有履行合同所必需的设备和专业技术能力（根据项目需求提供履行合同所必需的设备和专业技术能力的书面声明。） </w:t>
            </w:r>
          </w:p>
        </w:tc>
        <w:tc>
          <w:tcPr>
            <w:tcW w:w="1912" w:type="dxa"/>
            <w:vAlign w:val="center"/>
          </w:tcPr>
          <w:p w14:paraId="01B74DD8">
            <w:pPr>
              <w:spacing w:line="336" w:lineRule="auto"/>
              <w:rPr>
                <w:rFonts w:ascii="宋体" w:hAnsi="宋体" w:cs="宋体"/>
                <w:color w:val="auto"/>
                <w:sz w:val="24"/>
                <w:highlight w:val="none"/>
              </w:rPr>
            </w:pPr>
          </w:p>
        </w:tc>
        <w:tc>
          <w:tcPr>
            <w:tcW w:w="855" w:type="dxa"/>
            <w:vAlign w:val="center"/>
          </w:tcPr>
          <w:p w14:paraId="2CB31042">
            <w:pPr>
              <w:spacing w:line="336" w:lineRule="auto"/>
              <w:rPr>
                <w:rFonts w:ascii="宋体" w:hAnsi="宋体" w:cs="宋体"/>
                <w:color w:val="auto"/>
                <w:sz w:val="24"/>
                <w:highlight w:val="none"/>
              </w:rPr>
            </w:pPr>
          </w:p>
        </w:tc>
      </w:tr>
      <w:tr w14:paraId="3B0D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vAlign w:val="center"/>
          </w:tcPr>
          <w:p w14:paraId="64150507">
            <w:pPr>
              <w:spacing w:line="336"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5699" w:type="dxa"/>
            <w:vAlign w:val="center"/>
          </w:tcPr>
          <w:p w14:paraId="25EBBFCB">
            <w:pPr>
              <w:spacing w:line="360" w:lineRule="auto"/>
              <w:rPr>
                <w:rFonts w:ascii="宋体" w:hAnsi="宋体" w:cs="宋体"/>
                <w:iCs/>
                <w:color w:val="auto"/>
                <w:sz w:val="24"/>
                <w:highlight w:val="none"/>
              </w:rPr>
            </w:pPr>
            <w:r>
              <w:rPr>
                <w:rFonts w:hint="eastAsia" w:ascii="宋体" w:hAnsi="宋体" w:cs="宋体"/>
                <w:color w:val="auto"/>
                <w:sz w:val="24"/>
                <w:szCs w:val="24"/>
                <w:highlight w:val="none"/>
              </w:rPr>
              <w:t xml:space="preserve">承诺在近三年经营活动中没有违法记录：需提供参加本次投标活动前3年内在经营活动中没有重大违法记录的书面声明。 </w:t>
            </w:r>
          </w:p>
        </w:tc>
        <w:tc>
          <w:tcPr>
            <w:tcW w:w="1912" w:type="dxa"/>
            <w:vAlign w:val="center"/>
          </w:tcPr>
          <w:p w14:paraId="4EB36C30">
            <w:pPr>
              <w:spacing w:line="336" w:lineRule="auto"/>
              <w:rPr>
                <w:rFonts w:ascii="宋体" w:hAnsi="宋体" w:cs="宋体"/>
                <w:color w:val="auto"/>
                <w:sz w:val="24"/>
                <w:highlight w:val="none"/>
              </w:rPr>
            </w:pPr>
          </w:p>
        </w:tc>
        <w:tc>
          <w:tcPr>
            <w:tcW w:w="855" w:type="dxa"/>
            <w:vAlign w:val="center"/>
          </w:tcPr>
          <w:p w14:paraId="27B455E1">
            <w:pPr>
              <w:spacing w:line="336" w:lineRule="auto"/>
              <w:rPr>
                <w:rFonts w:ascii="宋体" w:hAnsi="宋体" w:cs="宋体"/>
                <w:color w:val="auto"/>
                <w:sz w:val="24"/>
                <w:highlight w:val="none"/>
              </w:rPr>
            </w:pPr>
          </w:p>
        </w:tc>
      </w:tr>
      <w:tr w14:paraId="22077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57A7D9E0">
            <w:pPr>
              <w:spacing w:line="336"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5699" w:type="dxa"/>
            <w:vAlign w:val="center"/>
          </w:tcPr>
          <w:p w14:paraId="1AFD49C5">
            <w:pPr>
              <w:spacing w:line="360" w:lineRule="auto"/>
              <w:rPr>
                <w:rFonts w:hint="eastAsia" w:ascii="宋体" w:hAnsi="宋体" w:eastAsia="宋体" w:cs="宋体"/>
                <w:iCs/>
                <w:color w:val="auto"/>
                <w:sz w:val="24"/>
                <w:highlight w:val="none"/>
                <w:lang w:eastAsia="zh-CN"/>
              </w:rPr>
            </w:pPr>
            <w:r>
              <w:rPr>
                <w:rFonts w:hint="eastAsia" w:ascii="宋体" w:hAnsi="宋体" w:cs="宋体"/>
                <w:color w:val="auto"/>
                <w:sz w:val="24"/>
                <w:szCs w:val="24"/>
                <w:highlight w:val="none"/>
              </w:rPr>
              <w:t>有依法缴纳税收的良好记录，提供距开标时间六个月内任意一月份的纳税凭据复印件加盖公章（依法免税的应提供相应文件说明）</w:t>
            </w:r>
            <w:r>
              <w:rPr>
                <w:rFonts w:hint="eastAsia" w:ascii="宋体" w:hAnsi="宋体" w:cs="宋体"/>
                <w:color w:val="auto"/>
                <w:sz w:val="24"/>
                <w:szCs w:val="24"/>
                <w:highlight w:val="none"/>
                <w:lang w:eastAsia="zh-CN"/>
              </w:rPr>
              <w:t>。</w:t>
            </w:r>
          </w:p>
        </w:tc>
        <w:tc>
          <w:tcPr>
            <w:tcW w:w="1912" w:type="dxa"/>
            <w:vAlign w:val="center"/>
          </w:tcPr>
          <w:p w14:paraId="4AD0E882">
            <w:pPr>
              <w:spacing w:line="336" w:lineRule="auto"/>
              <w:rPr>
                <w:rFonts w:ascii="宋体" w:hAnsi="宋体" w:cs="宋体"/>
                <w:color w:val="auto"/>
                <w:sz w:val="24"/>
                <w:highlight w:val="none"/>
              </w:rPr>
            </w:pPr>
          </w:p>
        </w:tc>
        <w:tc>
          <w:tcPr>
            <w:tcW w:w="855" w:type="dxa"/>
            <w:vAlign w:val="center"/>
          </w:tcPr>
          <w:p w14:paraId="18FAE190">
            <w:pPr>
              <w:spacing w:line="336" w:lineRule="auto"/>
              <w:rPr>
                <w:rFonts w:ascii="宋体" w:hAnsi="宋体" w:cs="宋体"/>
                <w:color w:val="auto"/>
                <w:sz w:val="24"/>
                <w:highlight w:val="none"/>
              </w:rPr>
            </w:pPr>
          </w:p>
        </w:tc>
      </w:tr>
      <w:tr w14:paraId="24BD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646" w:type="dxa"/>
            <w:vAlign w:val="center"/>
          </w:tcPr>
          <w:p w14:paraId="605E7D6F">
            <w:pPr>
              <w:spacing w:line="336"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5699" w:type="dxa"/>
            <w:vAlign w:val="center"/>
          </w:tcPr>
          <w:p w14:paraId="5141CFAC">
            <w:pPr>
              <w:spacing w:line="360" w:lineRule="auto"/>
              <w:rPr>
                <w:rFonts w:ascii="宋体" w:hAnsi="宋体" w:cs="宋体"/>
                <w:iCs/>
                <w:color w:val="auto"/>
                <w:sz w:val="24"/>
                <w:highlight w:val="none"/>
              </w:rPr>
            </w:pPr>
            <w:r>
              <w:rPr>
                <w:rFonts w:hint="eastAsia" w:ascii="宋体" w:hAnsi="宋体" w:cs="宋体"/>
                <w:color w:val="auto"/>
                <w:sz w:val="24"/>
                <w:szCs w:val="24"/>
                <w:highlight w:val="none"/>
              </w:rPr>
              <w:t>有依法缴纳社会保障资金的良好记录，提供距开标时间六个月内任意一月份的依法缴纳社会保障资金的凭据复印件加盖公章。</w:t>
            </w:r>
          </w:p>
        </w:tc>
        <w:tc>
          <w:tcPr>
            <w:tcW w:w="1912" w:type="dxa"/>
            <w:vAlign w:val="center"/>
          </w:tcPr>
          <w:p w14:paraId="475336AD">
            <w:pPr>
              <w:spacing w:line="336" w:lineRule="auto"/>
              <w:rPr>
                <w:rFonts w:ascii="宋体" w:hAnsi="宋体" w:cs="宋体"/>
                <w:color w:val="auto"/>
                <w:sz w:val="24"/>
                <w:highlight w:val="none"/>
              </w:rPr>
            </w:pPr>
          </w:p>
        </w:tc>
        <w:tc>
          <w:tcPr>
            <w:tcW w:w="855" w:type="dxa"/>
            <w:vAlign w:val="center"/>
          </w:tcPr>
          <w:p w14:paraId="5FF79C1D">
            <w:pPr>
              <w:spacing w:line="336" w:lineRule="auto"/>
              <w:rPr>
                <w:rFonts w:ascii="宋体" w:hAnsi="宋体" w:cs="宋体"/>
                <w:color w:val="auto"/>
                <w:sz w:val="24"/>
                <w:highlight w:val="none"/>
              </w:rPr>
            </w:pPr>
          </w:p>
        </w:tc>
      </w:tr>
    </w:tbl>
    <w:p w14:paraId="580039FD">
      <w:pPr>
        <w:spacing w:line="360" w:lineRule="auto"/>
        <w:rPr>
          <w:rFonts w:ascii="宋体" w:hAnsi="宋体" w:cs="宋体"/>
          <w:color w:val="auto"/>
          <w:sz w:val="24"/>
          <w:szCs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lang w:val="en-US" w:eastAsia="zh-CN"/>
        </w:rPr>
        <w:t>1.</w:t>
      </w:r>
      <w:r>
        <w:rPr>
          <w:rFonts w:hint="eastAsia" w:ascii="宋体" w:hAnsi="宋体" w:cs="宋体"/>
          <w:color w:val="auto"/>
          <w:sz w:val="24"/>
          <w:szCs w:val="24"/>
          <w:highlight w:val="none"/>
        </w:rPr>
        <w:t xml:space="preserve">具有独立承担民事责任的能力，依法注册登记、具有独立法人资格，提供法人或其他组织的营业执照等证明文件，复印件加盖公章。 </w:t>
      </w:r>
    </w:p>
    <w:p w14:paraId="76EA6D6C">
      <w:pP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br w:type="page"/>
      </w:r>
    </w:p>
    <w:p w14:paraId="2D3068AB">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 xml:space="preserve">具有良好的商业信誉和健全的财务会计制度，提供距开标时间六个月内任意一月份的财务状况报告（至少包括资产负债表和利润表）（法人或者其他组织成立未满三个月的可以不提供），或其银行出具的资信证书（复印件）（开标前六个月内），或其上一年度经审计的财务报告复印件加盖公章。 </w:t>
      </w:r>
    </w:p>
    <w:p w14:paraId="016CEF44">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2C3EE1E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 xml:space="preserve">具有履行合同所必需的设备和专业技术能力（根据项目需求提供履行合同所必需的设备和专业技术能力的书面声明。） </w:t>
      </w:r>
    </w:p>
    <w:p w14:paraId="338FF1DC">
      <w:pPr>
        <w:spacing w:line="440" w:lineRule="exact"/>
        <w:rPr>
          <w:rFonts w:ascii="宋体" w:hAnsi="宋体" w:cs="宋体"/>
          <w:color w:val="auto"/>
          <w:sz w:val="24"/>
          <w:highlight w:val="none"/>
        </w:rPr>
      </w:pPr>
    </w:p>
    <w:p w14:paraId="778910EF">
      <w:pPr>
        <w:spacing w:line="360" w:lineRule="auto"/>
        <w:jc w:val="center"/>
        <w:rPr>
          <w:rFonts w:ascii="宋体" w:hAnsi="宋体" w:cs="宋体"/>
          <w:bCs/>
          <w:color w:val="auto"/>
          <w:sz w:val="30"/>
          <w:szCs w:val="30"/>
          <w:highlight w:val="none"/>
        </w:rPr>
      </w:pPr>
      <w:r>
        <w:rPr>
          <w:rFonts w:hint="eastAsia" w:ascii="宋体" w:hAnsi="宋体" w:cs="宋体"/>
          <w:bCs/>
          <w:color w:val="auto"/>
          <w:sz w:val="28"/>
          <w:szCs w:val="28"/>
          <w:highlight w:val="none"/>
        </w:rPr>
        <w:t>具备履行合同所必需的设备和专业技术能力的书面声明</w:t>
      </w:r>
    </w:p>
    <w:p w14:paraId="03A0760E">
      <w:pPr>
        <w:spacing w:line="360" w:lineRule="auto"/>
        <w:ind w:firstLine="480" w:firstLineChars="200"/>
        <w:rPr>
          <w:rFonts w:ascii="宋体" w:hAnsi="宋体" w:cs="宋体"/>
          <w:bCs/>
          <w:color w:val="auto"/>
          <w:sz w:val="24"/>
          <w:highlight w:val="none"/>
        </w:rPr>
      </w:pPr>
    </w:p>
    <w:p w14:paraId="4682D088">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我单位郑重声明：我单位具备履行本项采购合同所必需的设备和专业技术能力，为履行本项采购合同我公司具备如下主要设备和主要专业技术能力：</w:t>
      </w:r>
    </w:p>
    <w:p w14:paraId="01C576F2">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主要设备有：</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r>
        <w:rPr>
          <w:rFonts w:hint="eastAsia" w:ascii="宋体" w:hAnsi="宋体" w:cs="宋体"/>
          <w:color w:val="auto"/>
          <w:highlight w:val="none"/>
        </w:rPr>
        <w:t>( 若有 )</w:t>
      </w:r>
    </w:p>
    <w:p w14:paraId="09C1A51A">
      <w:pPr>
        <w:spacing w:line="360" w:lineRule="auto"/>
        <w:ind w:firstLine="480" w:firstLineChars="200"/>
        <w:rPr>
          <w:rFonts w:ascii="宋体" w:hAnsi="宋体" w:cs="宋体"/>
          <w:bCs/>
          <w:color w:val="auto"/>
          <w:sz w:val="24"/>
          <w:highlight w:val="none"/>
        </w:rPr>
      </w:pPr>
      <w:r>
        <w:rPr>
          <w:rFonts w:hint="eastAsia" w:ascii="宋体" w:hAnsi="宋体" w:cs="宋体"/>
          <w:bCs/>
          <w:color w:val="auto"/>
          <w:sz w:val="24"/>
          <w:highlight w:val="none"/>
        </w:rPr>
        <w:t>主要专业技术能力有：</w:t>
      </w:r>
      <w:r>
        <w:rPr>
          <w:rFonts w:hint="eastAsia" w:ascii="宋体" w:hAnsi="宋体" w:cs="宋体"/>
          <w:bCs/>
          <w:color w:val="auto"/>
          <w:sz w:val="24"/>
          <w:highlight w:val="none"/>
          <w:u w:val="single"/>
        </w:rPr>
        <w:t xml:space="preserve">              </w:t>
      </w:r>
      <w:r>
        <w:rPr>
          <w:rFonts w:hint="eastAsia" w:ascii="宋体" w:hAnsi="宋体" w:cs="宋体"/>
          <w:bCs/>
          <w:color w:val="auto"/>
          <w:sz w:val="24"/>
          <w:highlight w:val="none"/>
        </w:rPr>
        <w:t>。</w:t>
      </w:r>
      <w:r>
        <w:rPr>
          <w:rFonts w:hint="eastAsia" w:ascii="宋体" w:hAnsi="宋体" w:cs="宋体"/>
          <w:color w:val="auto"/>
          <w:highlight w:val="none"/>
        </w:rPr>
        <w:t>( 若有 )</w:t>
      </w:r>
    </w:p>
    <w:p w14:paraId="138F7BF8">
      <w:pPr>
        <w:autoSpaceDE w:val="0"/>
        <w:autoSpaceDN w:val="0"/>
        <w:adjustRightInd w:val="0"/>
        <w:snapToGrid w:val="0"/>
        <w:spacing w:line="360" w:lineRule="auto"/>
        <w:ind w:firstLine="480" w:firstLineChars="200"/>
        <w:rPr>
          <w:rFonts w:ascii="宋体" w:hAnsi="宋体" w:cs="宋体"/>
          <w:color w:val="auto"/>
          <w:sz w:val="24"/>
          <w:highlight w:val="none"/>
          <w:lang w:val="zh-CN"/>
        </w:rPr>
      </w:pPr>
    </w:p>
    <w:p w14:paraId="62F7F3A0">
      <w:pPr>
        <w:spacing w:line="440" w:lineRule="exact"/>
        <w:ind w:firstLine="4560" w:firstLineChars="1900"/>
        <w:rPr>
          <w:rFonts w:ascii="宋体" w:hAnsi="宋体" w:cs="宋体"/>
          <w:color w:val="auto"/>
          <w:sz w:val="24"/>
          <w:highlight w:val="none"/>
        </w:rPr>
      </w:pPr>
      <w:r>
        <w:rPr>
          <w:rFonts w:hint="eastAsia" w:ascii="宋体" w:hAnsi="宋体" w:cs="宋体"/>
          <w:color w:val="auto"/>
          <w:sz w:val="24"/>
          <w:highlight w:val="none"/>
        </w:rPr>
        <w:t>声明人：（盖章）</w:t>
      </w:r>
    </w:p>
    <w:p w14:paraId="1132B5F4">
      <w:pPr>
        <w:spacing w:line="440" w:lineRule="exact"/>
        <w:rPr>
          <w:rFonts w:ascii="宋体" w:hAnsi="宋体" w:cs="宋体"/>
          <w:color w:val="auto"/>
          <w:sz w:val="24"/>
          <w:highlight w:val="none"/>
        </w:rPr>
      </w:pPr>
      <w:r>
        <w:rPr>
          <w:rFonts w:hint="eastAsia" w:ascii="宋体" w:hAnsi="宋体" w:cs="宋体"/>
          <w:color w:val="auto"/>
          <w:sz w:val="24"/>
          <w:highlight w:val="none"/>
        </w:rPr>
        <w:t xml:space="preserve">                                      日  期：      年    月    日</w:t>
      </w:r>
    </w:p>
    <w:p w14:paraId="52330B3E">
      <w:pPr>
        <w:spacing w:line="360" w:lineRule="auto"/>
        <w:rPr>
          <w:rFonts w:ascii="宋体" w:hAnsi="宋体" w:cs="宋体"/>
          <w:color w:val="auto"/>
          <w:sz w:val="24"/>
          <w:szCs w:val="24"/>
          <w:highlight w:val="none"/>
        </w:rPr>
      </w:pPr>
      <w:r>
        <w:rPr>
          <w:rFonts w:hint="eastAsia" w:ascii="宋体" w:hAnsi="宋体" w:cs="宋体"/>
          <w:color w:val="auto"/>
          <w:sz w:val="24"/>
          <w:highlight w:val="none"/>
        </w:rPr>
        <w:br w:type="page"/>
      </w:r>
      <w:r>
        <w:rPr>
          <w:rFonts w:hint="eastAsia" w:ascii="宋体" w:hAnsi="宋体" w:cs="宋体"/>
          <w:color w:val="auto"/>
          <w:sz w:val="24"/>
          <w:highlight w:val="none"/>
          <w:lang w:val="en-US" w:eastAsia="zh-CN"/>
        </w:rPr>
        <w:t>4.</w:t>
      </w:r>
      <w:r>
        <w:rPr>
          <w:rFonts w:hint="eastAsia" w:ascii="宋体" w:hAnsi="宋体" w:cs="宋体"/>
          <w:color w:val="auto"/>
          <w:sz w:val="24"/>
          <w:szCs w:val="24"/>
          <w:highlight w:val="none"/>
        </w:rPr>
        <w:t xml:space="preserve">承诺在近三年经营活动中没有违法记录：需提供参加本次投标活动前3年内在经营活动中没有重大违法记录的书面声明。 </w:t>
      </w:r>
    </w:p>
    <w:p w14:paraId="783C06A5">
      <w:pPr>
        <w:spacing w:line="440" w:lineRule="exact"/>
        <w:rPr>
          <w:rFonts w:ascii="宋体" w:hAnsi="宋体" w:cs="宋体"/>
          <w:color w:val="auto"/>
          <w:sz w:val="24"/>
          <w:highlight w:val="none"/>
        </w:rPr>
      </w:pPr>
    </w:p>
    <w:p w14:paraId="7AAEDCDB">
      <w:pPr>
        <w:autoSpaceDE w:val="0"/>
        <w:autoSpaceDN w:val="0"/>
        <w:adjustRightInd w:val="0"/>
        <w:spacing w:line="360" w:lineRule="auto"/>
        <w:jc w:val="center"/>
        <w:rPr>
          <w:rFonts w:ascii="宋体" w:hAnsi="宋体" w:cs="宋体"/>
          <w:color w:val="auto"/>
          <w:sz w:val="32"/>
          <w:szCs w:val="32"/>
          <w:highlight w:val="none"/>
          <w:lang w:val="zh-CN"/>
        </w:rPr>
      </w:pPr>
      <w:r>
        <w:rPr>
          <w:rFonts w:hint="eastAsia" w:ascii="宋体" w:hAnsi="宋体" w:cs="宋体"/>
          <w:color w:val="auto"/>
          <w:sz w:val="28"/>
          <w:szCs w:val="28"/>
          <w:highlight w:val="none"/>
          <w:lang w:val="zh-CN"/>
        </w:rPr>
        <w:t>无重大违法记录声明函</w:t>
      </w:r>
    </w:p>
    <w:p w14:paraId="56003AC2">
      <w:pPr>
        <w:pStyle w:val="47"/>
        <w:ind w:firstLine="420"/>
        <w:rPr>
          <w:rFonts w:cs="宋体"/>
          <w:color w:val="auto"/>
          <w:highlight w:val="none"/>
        </w:rPr>
      </w:pPr>
    </w:p>
    <w:p w14:paraId="5037B1BC">
      <w:pPr>
        <w:autoSpaceDE w:val="0"/>
        <w:autoSpaceDN w:val="0"/>
        <w:spacing w:before="1" w:line="360" w:lineRule="auto"/>
        <w:jc w:val="left"/>
        <w:rPr>
          <w:rFonts w:ascii="宋体" w:hAnsi="宋体" w:cs="宋体"/>
          <w:color w:val="auto"/>
          <w:kern w:val="0"/>
          <w:sz w:val="24"/>
          <w:highlight w:val="none"/>
          <w:u w:val="single"/>
          <w:lang w:val="zh-CN" w:bidi="zh-CN"/>
        </w:rPr>
      </w:pPr>
      <w:r>
        <w:rPr>
          <w:rFonts w:hint="eastAsia" w:ascii="宋体" w:hAnsi="宋体" w:cs="宋体"/>
          <w:color w:val="auto"/>
          <w:kern w:val="0"/>
          <w:sz w:val="24"/>
          <w:highlight w:val="none"/>
          <w:u w:val="single"/>
          <w:lang w:val="zh-CN" w:bidi="zh-CN"/>
        </w:rPr>
        <w:t>（</w:t>
      </w:r>
      <w:r>
        <w:rPr>
          <w:rFonts w:hint="eastAsia" w:ascii="宋体" w:hAnsi="宋体" w:cs="宋体"/>
          <w:color w:val="auto"/>
          <w:kern w:val="0"/>
          <w:sz w:val="24"/>
          <w:highlight w:val="none"/>
          <w:u w:val="single"/>
          <w:lang w:bidi="zh-CN"/>
        </w:rPr>
        <w:t>采购</w:t>
      </w:r>
      <w:r>
        <w:rPr>
          <w:rFonts w:hint="eastAsia" w:ascii="宋体" w:hAnsi="宋体" w:cs="宋体"/>
          <w:color w:val="auto"/>
          <w:kern w:val="0"/>
          <w:sz w:val="24"/>
          <w:highlight w:val="none"/>
          <w:u w:val="single"/>
          <w:lang w:val="zh-CN" w:bidi="zh-CN"/>
        </w:rPr>
        <w:t>人） ：</w:t>
      </w:r>
    </w:p>
    <w:p w14:paraId="57EAF5F1">
      <w:pPr>
        <w:spacing w:line="360" w:lineRule="auto"/>
        <w:rPr>
          <w:rFonts w:ascii="宋体" w:hAnsi="宋体" w:cs="宋体"/>
          <w:color w:val="auto"/>
          <w:sz w:val="24"/>
          <w:highlight w:val="none"/>
        </w:rPr>
      </w:pPr>
    </w:p>
    <w:p w14:paraId="22A3065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我单位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szCs w:val="24"/>
          <w:highlight w:val="none"/>
        </w:rPr>
        <w:t>供应商</w:t>
      </w:r>
      <w:r>
        <w:rPr>
          <w:rFonts w:hint="eastAsia" w:ascii="宋体" w:hAnsi="宋体" w:cs="宋体"/>
          <w:color w:val="auto"/>
          <w:sz w:val="24"/>
          <w:highlight w:val="none"/>
        </w:rPr>
        <w:t>名称）郑重声明：</w:t>
      </w:r>
    </w:p>
    <w:p w14:paraId="187DE16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参加本次投标活动前3年内在经营活动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（在下划线上如实填写：有或没有）重大违法记录。</w:t>
      </w:r>
    </w:p>
    <w:p w14:paraId="1740DB0F">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84EB30D">
      <w:pPr>
        <w:spacing w:line="360" w:lineRule="auto"/>
        <w:rPr>
          <w:rFonts w:ascii="宋体" w:hAnsi="宋体" w:cs="宋体"/>
          <w:color w:val="auto"/>
          <w:sz w:val="24"/>
          <w:highlight w:val="none"/>
        </w:rPr>
      </w:pPr>
    </w:p>
    <w:p w14:paraId="3A29DFD0">
      <w:pPr>
        <w:spacing w:line="360" w:lineRule="auto"/>
        <w:ind w:firstLine="6000" w:firstLineChars="2500"/>
        <w:rPr>
          <w:rFonts w:ascii="宋体" w:hAnsi="宋体" w:cs="宋体"/>
          <w:color w:val="auto"/>
          <w:sz w:val="24"/>
          <w:highlight w:val="none"/>
        </w:rPr>
      </w:pPr>
      <w:r>
        <w:rPr>
          <w:rFonts w:hint="eastAsia" w:ascii="宋体" w:hAnsi="宋体" w:cs="宋体"/>
          <w:color w:val="auto"/>
          <w:sz w:val="24"/>
          <w:highlight w:val="none"/>
        </w:rPr>
        <w:t xml:space="preserve">声明人（盖章）： </w:t>
      </w:r>
    </w:p>
    <w:p w14:paraId="232DDE65">
      <w:pPr>
        <w:spacing w:line="360" w:lineRule="auto"/>
        <w:jc w:val="right"/>
        <w:rPr>
          <w:rFonts w:ascii="宋体" w:hAnsi="宋体" w:cs="宋体"/>
          <w:color w:val="auto"/>
          <w:sz w:val="24"/>
          <w:highlight w:val="none"/>
        </w:rPr>
      </w:pPr>
      <w:r>
        <w:rPr>
          <w:rFonts w:hint="eastAsia" w:ascii="宋体" w:hAnsi="宋体" w:cs="宋体"/>
          <w:color w:val="auto"/>
          <w:sz w:val="24"/>
          <w:highlight w:val="none"/>
        </w:rPr>
        <w:t xml:space="preserve">                                                日  期：    年    月   日</w:t>
      </w:r>
    </w:p>
    <w:p w14:paraId="24722BD0">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rPr>
        <w:br w:type="page"/>
      </w:r>
      <w:r>
        <w:rPr>
          <w:rFonts w:hint="eastAsia" w:ascii="宋体" w:hAnsi="宋体" w:cs="宋体"/>
          <w:color w:val="auto"/>
          <w:sz w:val="24"/>
          <w:highlight w:val="none"/>
          <w:lang w:val="en-US" w:eastAsia="zh-CN"/>
        </w:rPr>
        <w:t>5.</w:t>
      </w:r>
      <w:r>
        <w:rPr>
          <w:rFonts w:hint="eastAsia" w:ascii="宋体" w:hAnsi="宋体" w:cs="宋体"/>
          <w:color w:val="auto"/>
          <w:sz w:val="24"/>
          <w:szCs w:val="24"/>
          <w:highlight w:val="none"/>
        </w:rPr>
        <w:t>有依法缴纳税收的良好记录，提供距开标时间六个月内任意一月份的纳税凭据复印件加盖公章（依法免税的应提供相应文件说明）</w:t>
      </w:r>
      <w:r>
        <w:rPr>
          <w:rFonts w:hint="eastAsia" w:ascii="宋体" w:hAnsi="宋体" w:cs="宋体"/>
          <w:color w:val="auto"/>
          <w:sz w:val="24"/>
          <w:szCs w:val="24"/>
          <w:highlight w:val="none"/>
          <w:lang w:eastAsia="zh-CN"/>
        </w:rPr>
        <w:t>。</w:t>
      </w:r>
    </w:p>
    <w:p w14:paraId="2215B7D3">
      <w:pPr>
        <w:rPr>
          <w:rFonts w:hint="eastAsia" w:ascii="宋体" w:hAnsi="宋体" w:cs="宋体"/>
          <w:color w:val="auto"/>
          <w:sz w:val="24"/>
          <w:szCs w:val="24"/>
          <w:highlight w:val="none"/>
        </w:rPr>
      </w:pPr>
      <w:r>
        <w:rPr>
          <w:rFonts w:hint="eastAsia" w:ascii="宋体" w:hAnsi="宋体" w:cs="宋体"/>
          <w:color w:val="auto"/>
          <w:sz w:val="24"/>
          <w:szCs w:val="24"/>
          <w:highlight w:val="none"/>
        </w:rPr>
        <w:br w:type="page"/>
      </w:r>
    </w:p>
    <w:p w14:paraId="7DC0E3E5">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有依法缴纳社会保障资金的良好记录，提供距开标时间六个月内任意一月份的依法缴纳社会保障资金的凭据复印件加盖公章。</w:t>
      </w:r>
    </w:p>
    <w:p w14:paraId="6E43F00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5AAEBDC6">
      <w:pPr>
        <w:rPr>
          <w:rFonts w:hint="eastAsia" w:ascii="宋体" w:hAnsi="宋体" w:cs="宋体"/>
          <w:color w:val="auto"/>
          <w:sz w:val="24"/>
          <w:szCs w:val="24"/>
          <w:highlight w:val="none"/>
        </w:rPr>
      </w:pPr>
      <w:r>
        <w:rPr>
          <w:rFonts w:hint="eastAsia" w:ascii="宋体" w:hAnsi="宋体" w:cs="宋体"/>
          <w:color w:val="auto"/>
          <w:sz w:val="24"/>
          <w:highlight w:val="none"/>
        </w:rPr>
        <w:br w:type="page"/>
      </w:r>
      <w:bookmarkStart w:id="194" w:name="_GoBack"/>
      <w:bookmarkEnd w:id="194"/>
    </w:p>
    <w:p w14:paraId="39C553E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cs="宋体"/>
          <w:b/>
          <w:color w:val="auto"/>
          <w:sz w:val="28"/>
          <w:highlight w:val="none"/>
          <w:lang w:bidi="ar"/>
        </w:rPr>
      </w:pPr>
      <w:bookmarkStart w:id="190" w:name="_Toc29614"/>
      <w:bookmarkStart w:id="191" w:name="_Toc7708"/>
      <w:r>
        <w:rPr>
          <w:rFonts w:hint="eastAsia" w:ascii="宋体" w:hAnsi="宋体" w:cs="宋体"/>
          <w:b/>
          <w:color w:val="auto"/>
          <w:sz w:val="28"/>
          <w:szCs w:val="28"/>
          <w:highlight w:val="none"/>
        </w:rPr>
        <w:t>六、</w:t>
      </w:r>
      <w:bookmarkEnd w:id="190"/>
      <w:r>
        <w:rPr>
          <w:rFonts w:hint="eastAsia" w:ascii="宋体" w:cs="宋体"/>
          <w:b/>
          <w:color w:val="auto"/>
          <w:sz w:val="28"/>
          <w:highlight w:val="none"/>
          <w:lang w:bidi="ar"/>
        </w:rPr>
        <w:t>技术/商务偏离表</w:t>
      </w:r>
      <w:bookmarkEnd w:id="191"/>
    </w:p>
    <w:p w14:paraId="5BA8C7A1">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81" w:firstLineChars="100"/>
        <w:jc w:val="center"/>
        <w:rPr>
          <w:rFonts w:ascii="宋体" w:cs="宋体"/>
          <w:b/>
          <w:color w:val="auto"/>
          <w:sz w:val="28"/>
          <w:highlight w:val="none"/>
        </w:rPr>
      </w:pPr>
    </w:p>
    <w:tbl>
      <w:tblPr>
        <w:tblStyle w:val="37"/>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021"/>
        <w:gridCol w:w="1700"/>
        <w:gridCol w:w="2579"/>
        <w:gridCol w:w="2042"/>
        <w:gridCol w:w="2287"/>
      </w:tblGrid>
      <w:tr w14:paraId="560D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738" w:hRule="atLeast"/>
          <w:jc w:val="center"/>
        </w:trPr>
        <w:tc>
          <w:tcPr>
            <w:tcW w:w="1021" w:type="dxa"/>
            <w:vAlign w:val="center"/>
          </w:tcPr>
          <w:p w14:paraId="47EFD7D0">
            <w:pPr>
              <w:pStyle w:val="2"/>
              <w:spacing w:line="360" w:lineRule="auto"/>
              <w:jc w:val="center"/>
              <w:rPr>
                <w:rFonts w:ascii="宋体" w:cs="宋体"/>
                <w:color w:val="auto"/>
                <w:highlight w:val="none"/>
                <w:lang w:bidi="ar"/>
              </w:rPr>
            </w:pPr>
            <w:r>
              <w:rPr>
                <w:rFonts w:ascii="宋体" w:cs="宋体"/>
                <w:color w:val="auto"/>
                <w:highlight w:val="none"/>
                <w:lang w:bidi="ar"/>
              </w:rPr>
              <w:t>序号</w:t>
            </w:r>
          </w:p>
        </w:tc>
        <w:tc>
          <w:tcPr>
            <w:tcW w:w="1700" w:type="dxa"/>
            <w:vAlign w:val="center"/>
          </w:tcPr>
          <w:p w14:paraId="2B67FBC8">
            <w:pPr>
              <w:pStyle w:val="2"/>
              <w:spacing w:line="360" w:lineRule="auto"/>
              <w:jc w:val="center"/>
              <w:rPr>
                <w:rFonts w:ascii="宋体" w:cs="宋体"/>
                <w:color w:val="auto"/>
                <w:highlight w:val="none"/>
                <w:lang w:bidi="ar"/>
              </w:rPr>
            </w:pPr>
            <w:r>
              <w:rPr>
                <w:rFonts w:ascii="宋体" w:cs="宋体"/>
                <w:color w:val="auto"/>
                <w:highlight w:val="none"/>
                <w:lang w:bidi="ar"/>
              </w:rPr>
              <w:t>条款条目</w:t>
            </w:r>
          </w:p>
        </w:tc>
        <w:tc>
          <w:tcPr>
            <w:tcW w:w="2579" w:type="dxa"/>
            <w:vAlign w:val="center"/>
          </w:tcPr>
          <w:p w14:paraId="18D3B6BD">
            <w:pPr>
              <w:pStyle w:val="2"/>
              <w:spacing w:line="360" w:lineRule="auto"/>
              <w:jc w:val="center"/>
              <w:rPr>
                <w:rFonts w:ascii="宋体" w:cs="宋体"/>
                <w:color w:val="auto"/>
                <w:highlight w:val="none"/>
                <w:lang w:bidi="ar"/>
              </w:rPr>
            </w:pPr>
            <w:r>
              <w:rPr>
                <w:rFonts w:hint="eastAsia" w:ascii="宋体" w:cs="宋体"/>
                <w:color w:val="auto"/>
                <w:highlight w:val="none"/>
                <w:lang w:bidi="ar"/>
              </w:rPr>
              <w:t>《采购文件》内容</w:t>
            </w:r>
          </w:p>
        </w:tc>
        <w:tc>
          <w:tcPr>
            <w:tcW w:w="2042" w:type="dxa"/>
            <w:vAlign w:val="center"/>
          </w:tcPr>
          <w:p w14:paraId="02BB0CAC">
            <w:pPr>
              <w:pStyle w:val="2"/>
              <w:spacing w:line="360" w:lineRule="auto"/>
              <w:jc w:val="center"/>
              <w:rPr>
                <w:rFonts w:ascii="宋体" w:cs="宋体"/>
                <w:color w:val="auto"/>
                <w:highlight w:val="none"/>
                <w:lang w:bidi="ar"/>
              </w:rPr>
            </w:pPr>
            <w:r>
              <w:rPr>
                <w:rFonts w:hint="eastAsia" w:ascii="宋体" w:cs="宋体"/>
                <w:color w:val="auto"/>
                <w:highlight w:val="none"/>
                <w:lang w:bidi="ar"/>
              </w:rPr>
              <w:t>谈判响应</w:t>
            </w:r>
            <w:r>
              <w:rPr>
                <w:rFonts w:ascii="宋体" w:cs="宋体"/>
                <w:color w:val="auto"/>
                <w:highlight w:val="none"/>
                <w:lang w:bidi="ar"/>
              </w:rPr>
              <w:t>文件响应</w:t>
            </w:r>
          </w:p>
        </w:tc>
        <w:tc>
          <w:tcPr>
            <w:tcW w:w="2287" w:type="dxa"/>
            <w:vAlign w:val="center"/>
          </w:tcPr>
          <w:p w14:paraId="7D16ECD1">
            <w:pPr>
              <w:pStyle w:val="2"/>
              <w:spacing w:line="360" w:lineRule="auto"/>
              <w:jc w:val="center"/>
              <w:rPr>
                <w:rFonts w:ascii="宋体" w:cs="宋体"/>
                <w:color w:val="auto"/>
                <w:highlight w:val="none"/>
                <w:lang w:bidi="ar"/>
              </w:rPr>
            </w:pPr>
            <w:r>
              <w:rPr>
                <w:rFonts w:ascii="宋体" w:cs="宋体"/>
                <w:color w:val="auto"/>
                <w:highlight w:val="none"/>
                <w:lang w:bidi="ar"/>
              </w:rPr>
              <w:t>偏离描述</w:t>
            </w:r>
          </w:p>
        </w:tc>
      </w:tr>
      <w:tr w14:paraId="1C0AD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7A031B3D">
            <w:pPr>
              <w:pStyle w:val="2"/>
              <w:spacing w:line="360" w:lineRule="auto"/>
              <w:rPr>
                <w:rFonts w:ascii="宋体" w:cs="Arial"/>
                <w:color w:val="auto"/>
                <w:szCs w:val="21"/>
                <w:highlight w:val="none"/>
                <w:lang w:bidi="ar"/>
              </w:rPr>
            </w:pPr>
          </w:p>
        </w:tc>
        <w:tc>
          <w:tcPr>
            <w:tcW w:w="1700" w:type="dxa"/>
          </w:tcPr>
          <w:p w14:paraId="0407F2FC">
            <w:pPr>
              <w:pStyle w:val="2"/>
              <w:spacing w:line="360" w:lineRule="auto"/>
              <w:rPr>
                <w:rFonts w:ascii="宋体"/>
                <w:color w:val="auto"/>
                <w:szCs w:val="21"/>
                <w:highlight w:val="none"/>
                <w:lang w:bidi="ar"/>
              </w:rPr>
            </w:pPr>
          </w:p>
        </w:tc>
        <w:tc>
          <w:tcPr>
            <w:tcW w:w="2579" w:type="dxa"/>
          </w:tcPr>
          <w:p w14:paraId="56DB7A03">
            <w:pPr>
              <w:pStyle w:val="2"/>
              <w:spacing w:line="360" w:lineRule="auto"/>
              <w:rPr>
                <w:rFonts w:ascii="宋体"/>
                <w:color w:val="auto"/>
                <w:szCs w:val="21"/>
                <w:highlight w:val="none"/>
                <w:lang w:bidi="ar"/>
              </w:rPr>
            </w:pPr>
          </w:p>
        </w:tc>
        <w:tc>
          <w:tcPr>
            <w:tcW w:w="2042" w:type="dxa"/>
          </w:tcPr>
          <w:p w14:paraId="350E232D">
            <w:pPr>
              <w:pStyle w:val="2"/>
              <w:spacing w:line="360" w:lineRule="auto"/>
              <w:rPr>
                <w:rFonts w:ascii="宋体"/>
                <w:color w:val="auto"/>
                <w:szCs w:val="21"/>
                <w:highlight w:val="none"/>
                <w:lang w:bidi="ar"/>
              </w:rPr>
            </w:pPr>
          </w:p>
        </w:tc>
        <w:tc>
          <w:tcPr>
            <w:tcW w:w="2287" w:type="dxa"/>
          </w:tcPr>
          <w:p w14:paraId="6C01982F">
            <w:pPr>
              <w:pStyle w:val="2"/>
              <w:spacing w:line="360" w:lineRule="auto"/>
              <w:rPr>
                <w:rFonts w:ascii="宋体"/>
                <w:color w:val="auto"/>
                <w:szCs w:val="21"/>
                <w:highlight w:val="none"/>
                <w:lang w:bidi="ar"/>
              </w:rPr>
            </w:pPr>
          </w:p>
        </w:tc>
      </w:tr>
      <w:tr w14:paraId="32A0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61216B85">
            <w:pPr>
              <w:pStyle w:val="2"/>
              <w:spacing w:line="360" w:lineRule="auto"/>
              <w:rPr>
                <w:rFonts w:ascii="宋体" w:cs="Arial"/>
                <w:color w:val="auto"/>
                <w:szCs w:val="21"/>
                <w:highlight w:val="none"/>
                <w:lang w:bidi="ar"/>
              </w:rPr>
            </w:pPr>
          </w:p>
        </w:tc>
        <w:tc>
          <w:tcPr>
            <w:tcW w:w="1700" w:type="dxa"/>
          </w:tcPr>
          <w:p w14:paraId="5F68A6B0">
            <w:pPr>
              <w:pStyle w:val="2"/>
              <w:spacing w:line="360" w:lineRule="auto"/>
              <w:rPr>
                <w:rFonts w:ascii="宋体" w:cs="Arial"/>
                <w:color w:val="auto"/>
                <w:szCs w:val="21"/>
                <w:highlight w:val="none"/>
                <w:lang w:bidi="ar"/>
              </w:rPr>
            </w:pPr>
          </w:p>
        </w:tc>
        <w:tc>
          <w:tcPr>
            <w:tcW w:w="2579" w:type="dxa"/>
          </w:tcPr>
          <w:p w14:paraId="1F60BD1D">
            <w:pPr>
              <w:pStyle w:val="2"/>
              <w:spacing w:line="360" w:lineRule="auto"/>
              <w:rPr>
                <w:rFonts w:ascii="宋体" w:cs="Arial"/>
                <w:color w:val="auto"/>
                <w:szCs w:val="21"/>
                <w:highlight w:val="none"/>
                <w:lang w:bidi="ar"/>
              </w:rPr>
            </w:pPr>
          </w:p>
        </w:tc>
        <w:tc>
          <w:tcPr>
            <w:tcW w:w="2042" w:type="dxa"/>
          </w:tcPr>
          <w:p w14:paraId="258C4743">
            <w:pPr>
              <w:pStyle w:val="2"/>
              <w:spacing w:line="360" w:lineRule="auto"/>
              <w:rPr>
                <w:rFonts w:ascii="宋体" w:cs="Arial"/>
                <w:color w:val="auto"/>
                <w:szCs w:val="21"/>
                <w:highlight w:val="none"/>
                <w:lang w:bidi="ar"/>
              </w:rPr>
            </w:pPr>
          </w:p>
        </w:tc>
        <w:tc>
          <w:tcPr>
            <w:tcW w:w="2287" w:type="dxa"/>
          </w:tcPr>
          <w:p w14:paraId="05655A19">
            <w:pPr>
              <w:pStyle w:val="2"/>
              <w:spacing w:line="360" w:lineRule="auto"/>
              <w:rPr>
                <w:rFonts w:ascii="宋体" w:cs="Arial"/>
                <w:color w:val="auto"/>
                <w:szCs w:val="21"/>
                <w:highlight w:val="none"/>
                <w:lang w:bidi="ar"/>
              </w:rPr>
            </w:pPr>
          </w:p>
        </w:tc>
      </w:tr>
      <w:tr w14:paraId="2E2E6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18CE92D4">
            <w:pPr>
              <w:pStyle w:val="2"/>
              <w:spacing w:line="360" w:lineRule="auto"/>
              <w:rPr>
                <w:rFonts w:ascii="宋体" w:cs="Arial"/>
                <w:color w:val="auto"/>
                <w:szCs w:val="21"/>
                <w:highlight w:val="none"/>
                <w:lang w:bidi="ar"/>
              </w:rPr>
            </w:pPr>
          </w:p>
        </w:tc>
        <w:tc>
          <w:tcPr>
            <w:tcW w:w="1700" w:type="dxa"/>
          </w:tcPr>
          <w:p w14:paraId="7960F6A2">
            <w:pPr>
              <w:pStyle w:val="2"/>
              <w:spacing w:line="360" w:lineRule="auto"/>
              <w:rPr>
                <w:rFonts w:ascii="宋体" w:cs="Arial"/>
                <w:color w:val="auto"/>
                <w:szCs w:val="21"/>
                <w:highlight w:val="none"/>
                <w:lang w:bidi="ar"/>
              </w:rPr>
            </w:pPr>
          </w:p>
        </w:tc>
        <w:tc>
          <w:tcPr>
            <w:tcW w:w="2579" w:type="dxa"/>
          </w:tcPr>
          <w:p w14:paraId="140232C2">
            <w:pPr>
              <w:pStyle w:val="2"/>
              <w:spacing w:line="360" w:lineRule="auto"/>
              <w:rPr>
                <w:rFonts w:ascii="宋体" w:cs="Arial"/>
                <w:color w:val="auto"/>
                <w:szCs w:val="21"/>
                <w:highlight w:val="none"/>
                <w:lang w:bidi="ar"/>
              </w:rPr>
            </w:pPr>
          </w:p>
        </w:tc>
        <w:tc>
          <w:tcPr>
            <w:tcW w:w="2042" w:type="dxa"/>
          </w:tcPr>
          <w:p w14:paraId="4B143955">
            <w:pPr>
              <w:pStyle w:val="2"/>
              <w:spacing w:line="360" w:lineRule="auto"/>
              <w:rPr>
                <w:rFonts w:ascii="宋体" w:cs="Arial"/>
                <w:color w:val="auto"/>
                <w:szCs w:val="21"/>
                <w:highlight w:val="none"/>
                <w:lang w:bidi="ar"/>
              </w:rPr>
            </w:pPr>
          </w:p>
        </w:tc>
        <w:tc>
          <w:tcPr>
            <w:tcW w:w="2287" w:type="dxa"/>
          </w:tcPr>
          <w:p w14:paraId="3056A7D7">
            <w:pPr>
              <w:pStyle w:val="2"/>
              <w:spacing w:line="360" w:lineRule="auto"/>
              <w:rPr>
                <w:rFonts w:ascii="宋体" w:cs="Arial"/>
                <w:color w:val="auto"/>
                <w:szCs w:val="21"/>
                <w:highlight w:val="none"/>
                <w:lang w:bidi="ar"/>
              </w:rPr>
            </w:pPr>
          </w:p>
        </w:tc>
      </w:tr>
      <w:tr w14:paraId="09E1F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52288FC7">
            <w:pPr>
              <w:pStyle w:val="2"/>
              <w:spacing w:line="360" w:lineRule="auto"/>
              <w:rPr>
                <w:rFonts w:ascii="宋体" w:cs="Arial"/>
                <w:color w:val="auto"/>
                <w:szCs w:val="21"/>
                <w:highlight w:val="none"/>
                <w:lang w:bidi="ar"/>
              </w:rPr>
            </w:pPr>
          </w:p>
        </w:tc>
        <w:tc>
          <w:tcPr>
            <w:tcW w:w="1700" w:type="dxa"/>
          </w:tcPr>
          <w:p w14:paraId="213D9698">
            <w:pPr>
              <w:pStyle w:val="2"/>
              <w:spacing w:line="360" w:lineRule="auto"/>
              <w:rPr>
                <w:rFonts w:ascii="宋体" w:cs="Arial"/>
                <w:color w:val="auto"/>
                <w:szCs w:val="21"/>
                <w:highlight w:val="none"/>
                <w:lang w:bidi="ar"/>
              </w:rPr>
            </w:pPr>
          </w:p>
        </w:tc>
        <w:tc>
          <w:tcPr>
            <w:tcW w:w="2579" w:type="dxa"/>
          </w:tcPr>
          <w:p w14:paraId="53F5518B">
            <w:pPr>
              <w:pStyle w:val="2"/>
              <w:spacing w:line="360" w:lineRule="auto"/>
              <w:rPr>
                <w:rFonts w:ascii="宋体" w:cs="Arial"/>
                <w:color w:val="auto"/>
                <w:szCs w:val="21"/>
                <w:highlight w:val="none"/>
                <w:lang w:bidi="ar"/>
              </w:rPr>
            </w:pPr>
          </w:p>
        </w:tc>
        <w:tc>
          <w:tcPr>
            <w:tcW w:w="2042" w:type="dxa"/>
          </w:tcPr>
          <w:p w14:paraId="3FF20749">
            <w:pPr>
              <w:pStyle w:val="2"/>
              <w:spacing w:line="360" w:lineRule="auto"/>
              <w:rPr>
                <w:rFonts w:ascii="宋体" w:cs="Arial"/>
                <w:color w:val="auto"/>
                <w:szCs w:val="21"/>
                <w:highlight w:val="none"/>
                <w:lang w:bidi="ar"/>
              </w:rPr>
            </w:pPr>
          </w:p>
        </w:tc>
        <w:tc>
          <w:tcPr>
            <w:tcW w:w="2287" w:type="dxa"/>
          </w:tcPr>
          <w:p w14:paraId="3F1B7CA5">
            <w:pPr>
              <w:pStyle w:val="2"/>
              <w:spacing w:line="360" w:lineRule="auto"/>
              <w:rPr>
                <w:rFonts w:ascii="宋体" w:cs="Arial"/>
                <w:color w:val="auto"/>
                <w:szCs w:val="21"/>
                <w:highlight w:val="none"/>
                <w:lang w:bidi="ar"/>
              </w:rPr>
            </w:pPr>
          </w:p>
        </w:tc>
      </w:tr>
      <w:tr w14:paraId="5718C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3ADFE8CD">
            <w:pPr>
              <w:pStyle w:val="2"/>
              <w:spacing w:line="360" w:lineRule="auto"/>
              <w:rPr>
                <w:rFonts w:ascii="宋体" w:cs="Arial"/>
                <w:color w:val="auto"/>
                <w:szCs w:val="21"/>
                <w:highlight w:val="none"/>
                <w:lang w:bidi="ar"/>
              </w:rPr>
            </w:pPr>
          </w:p>
        </w:tc>
        <w:tc>
          <w:tcPr>
            <w:tcW w:w="1700" w:type="dxa"/>
          </w:tcPr>
          <w:p w14:paraId="2F255DB6">
            <w:pPr>
              <w:pStyle w:val="2"/>
              <w:spacing w:line="360" w:lineRule="auto"/>
              <w:rPr>
                <w:rFonts w:ascii="宋体" w:cs="Arial"/>
                <w:color w:val="auto"/>
                <w:szCs w:val="21"/>
                <w:highlight w:val="none"/>
                <w:lang w:bidi="ar"/>
              </w:rPr>
            </w:pPr>
          </w:p>
        </w:tc>
        <w:tc>
          <w:tcPr>
            <w:tcW w:w="2579" w:type="dxa"/>
          </w:tcPr>
          <w:p w14:paraId="742D7551">
            <w:pPr>
              <w:pStyle w:val="2"/>
              <w:spacing w:line="360" w:lineRule="auto"/>
              <w:rPr>
                <w:rFonts w:ascii="宋体" w:cs="Arial"/>
                <w:color w:val="auto"/>
                <w:szCs w:val="21"/>
                <w:highlight w:val="none"/>
                <w:lang w:bidi="ar"/>
              </w:rPr>
            </w:pPr>
          </w:p>
        </w:tc>
        <w:tc>
          <w:tcPr>
            <w:tcW w:w="2042" w:type="dxa"/>
          </w:tcPr>
          <w:p w14:paraId="1305E105">
            <w:pPr>
              <w:pStyle w:val="2"/>
              <w:spacing w:line="360" w:lineRule="auto"/>
              <w:rPr>
                <w:rFonts w:ascii="宋体" w:cs="Arial"/>
                <w:color w:val="auto"/>
                <w:szCs w:val="21"/>
                <w:highlight w:val="none"/>
                <w:lang w:bidi="ar"/>
              </w:rPr>
            </w:pPr>
          </w:p>
        </w:tc>
        <w:tc>
          <w:tcPr>
            <w:tcW w:w="2287" w:type="dxa"/>
          </w:tcPr>
          <w:p w14:paraId="45CCF8F9">
            <w:pPr>
              <w:pStyle w:val="2"/>
              <w:spacing w:line="360" w:lineRule="auto"/>
              <w:rPr>
                <w:rFonts w:ascii="宋体" w:cs="Arial"/>
                <w:color w:val="auto"/>
                <w:szCs w:val="21"/>
                <w:highlight w:val="none"/>
                <w:lang w:bidi="ar"/>
              </w:rPr>
            </w:pPr>
          </w:p>
        </w:tc>
      </w:tr>
      <w:tr w14:paraId="5D7C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2A54DCC9">
            <w:pPr>
              <w:pStyle w:val="2"/>
              <w:spacing w:line="360" w:lineRule="auto"/>
              <w:rPr>
                <w:rFonts w:ascii="宋体" w:cs="Arial"/>
                <w:color w:val="auto"/>
                <w:szCs w:val="21"/>
                <w:highlight w:val="none"/>
                <w:lang w:bidi="ar"/>
              </w:rPr>
            </w:pPr>
          </w:p>
        </w:tc>
        <w:tc>
          <w:tcPr>
            <w:tcW w:w="1700" w:type="dxa"/>
          </w:tcPr>
          <w:p w14:paraId="638A804C">
            <w:pPr>
              <w:pStyle w:val="2"/>
              <w:spacing w:line="360" w:lineRule="auto"/>
              <w:rPr>
                <w:rFonts w:ascii="宋体" w:cs="Arial"/>
                <w:color w:val="auto"/>
                <w:szCs w:val="21"/>
                <w:highlight w:val="none"/>
                <w:lang w:bidi="ar"/>
              </w:rPr>
            </w:pPr>
          </w:p>
        </w:tc>
        <w:tc>
          <w:tcPr>
            <w:tcW w:w="2579" w:type="dxa"/>
          </w:tcPr>
          <w:p w14:paraId="4C0F59BF">
            <w:pPr>
              <w:pStyle w:val="2"/>
              <w:spacing w:line="360" w:lineRule="auto"/>
              <w:rPr>
                <w:rFonts w:ascii="宋体" w:cs="Arial"/>
                <w:color w:val="auto"/>
                <w:szCs w:val="21"/>
                <w:highlight w:val="none"/>
                <w:lang w:bidi="ar"/>
              </w:rPr>
            </w:pPr>
          </w:p>
        </w:tc>
        <w:tc>
          <w:tcPr>
            <w:tcW w:w="2042" w:type="dxa"/>
          </w:tcPr>
          <w:p w14:paraId="32231DA9">
            <w:pPr>
              <w:pStyle w:val="2"/>
              <w:spacing w:line="360" w:lineRule="auto"/>
              <w:rPr>
                <w:rFonts w:ascii="宋体" w:cs="Arial"/>
                <w:color w:val="auto"/>
                <w:szCs w:val="21"/>
                <w:highlight w:val="none"/>
                <w:lang w:bidi="ar"/>
              </w:rPr>
            </w:pPr>
          </w:p>
        </w:tc>
        <w:tc>
          <w:tcPr>
            <w:tcW w:w="2287" w:type="dxa"/>
          </w:tcPr>
          <w:p w14:paraId="47C13F47">
            <w:pPr>
              <w:pStyle w:val="2"/>
              <w:spacing w:line="360" w:lineRule="auto"/>
              <w:rPr>
                <w:rFonts w:ascii="宋体" w:cs="Arial"/>
                <w:color w:val="auto"/>
                <w:szCs w:val="21"/>
                <w:highlight w:val="none"/>
                <w:lang w:bidi="ar"/>
              </w:rPr>
            </w:pPr>
          </w:p>
        </w:tc>
      </w:tr>
      <w:tr w14:paraId="26D95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6A7DBEAC">
            <w:pPr>
              <w:pStyle w:val="2"/>
              <w:spacing w:line="360" w:lineRule="auto"/>
              <w:rPr>
                <w:rFonts w:ascii="宋体" w:cs="Arial"/>
                <w:color w:val="auto"/>
                <w:szCs w:val="21"/>
                <w:highlight w:val="none"/>
                <w:lang w:bidi="ar"/>
              </w:rPr>
            </w:pPr>
          </w:p>
        </w:tc>
        <w:tc>
          <w:tcPr>
            <w:tcW w:w="1700" w:type="dxa"/>
          </w:tcPr>
          <w:p w14:paraId="722E53CF">
            <w:pPr>
              <w:pStyle w:val="2"/>
              <w:spacing w:line="360" w:lineRule="auto"/>
              <w:rPr>
                <w:rFonts w:ascii="宋体" w:cs="Arial"/>
                <w:color w:val="auto"/>
                <w:szCs w:val="21"/>
                <w:highlight w:val="none"/>
                <w:lang w:bidi="ar"/>
              </w:rPr>
            </w:pPr>
          </w:p>
        </w:tc>
        <w:tc>
          <w:tcPr>
            <w:tcW w:w="2579" w:type="dxa"/>
          </w:tcPr>
          <w:p w14:paraId="4BA107C2">
            <w:pPr>
              <w:pStyle w:val="2"/>
              <w:spacing w:line="360" w:lineRule="auto"/>
              <w:rPr>
                <w:rFonts w:ascii="宋体" w:cs="Arial"/>
                <w:color w:val="auto"/>
                <w:szCs w:val="21"/>
                <w:highlight w:val="none"/>
                <w:lang w:bidi="ar"/>
              </w:rPr>
            </w:pPr>
          </w:p>
        </w:tc>
        <w:tc>
          <w:tcPr>
            <w:tcW w:w="2042" w:type="dxa"/>
          </w:tcPr>
          <w:p w14:paraId="7E9846B5">
            <w:pPr>
              <w:pStyle w:val="2"/>
              <w:spacing w:line="360" w:lineRule="auto"/>
              <w:rPr>
                <w:rFonts w:ascii="宋体" w:cs="Arial"/>
                <w:color w:val="auto"/>
                <w:szCs w:val="21"/>
                <w:highlight w:val="none"/>
                <w:lang w:bidi="ar"/>
              </w:rPr>
            </w:pPr>
          </w:p>
        </w:tc>
        <w:tc>
          <w:tcPr>
            <w:tcW w:w="2287" w:type="dxa"/>
          </w:tcPr>
          <w:p w14:paraId="088910CB">
            <w:pPr>
              <w:pStyle w:val="2"/>
              <w:spacing w:line="360" w:lineRule="auto"/>
              <w:rPr>
                <w:rFonts w:ascii="宋体" w:cs="Arial"/>
                <w:color w:val="auto"/>
                <w:szCs w:val="21"/>
                <w:highlight w:val="none"/>
                <w:lang w:bidi="ar"/>
              </w:rPr>
            </w:pPr>
          </w:p>
        </w:tc>
      </w:tr>
      <w:tr w14:paraId="7B999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410B66A7">
            <w:pPr>
              <w:pStyle w:val="2"/>
              <w:spacing w:line="360" w:lineRule="auto"/>
              <w:rPr>
                <w:rFonts w:ascii="宋体" w:cs="Arial"/>
                <w:color w:val="auto"/>
                <w:szCs w:val="21"/>
                <w:highlight w:val="none"/>
                <w:lang w:bidi="ar"/>
              </w:rPr>
            </w:pPr>
          </w:p>
        </w:tc>
        <w:tc>
          <w:tcPr>
            <w:tcW w:w="1700" w:type="dxa"/>
          </w:tcPr>
          <w:p w14:paraId="108135CC">
            <w:pPr>
              <w:pStyle w:val="2"/>
              <w:spacing w:line="360" w:lineRule="auto"/>
              <w:rPr>
                <w:rFonts w:ascii="宋体" w:cs="Arial"/>
                <w:color w:val="auto"/>
                <w:szCs w:val="21"/>
                <w:highlight w:val="none"/>
                <w:lang w:bidi="ar"/>
              </w:rPr>
            </w:pPr>
          </w:p>
        </w:tc>
        <w:tc>
          <w:tcPr>
            <w:tcW w:w="2579" w:type="dxa"/>
          </w:tcPr>
          <w:p w14:paraId="7006AEDB">
            <w:pPr>
              <w:pStyle w:val="2"/>
              <w:spacing w:line="360" w:lineRule="auto"/>
              <w:rPr>
                <w:rFonts w:ascii="宋体" w:cs="Arial"/>
                <w:color w:val="auto"/>
                <w:szCs w:val="21"/>
                <w:highlight w:val="none"/>
                <w:lang w:bidi="ar"/>
              </w:rPr>
            </w:pPr>
          </w:p>
        </w:tc>
        <w:tc>
          <w:tcPr>
            <w:tcW w:w="2042" w:type="dxa"/>
          </w:tcPr>
          <w:p w14:paraId="5CC8BFEA">
            <w:pPr>
              <w:pStyle w:val="2"/>
              <w:spacing w:line="360" w:lineRule="auto"/>
              <w:rPr>
                <w:rFonts w:ascii="宋体" w:cs="Arial"/>
                <w:color w:val="auto"/>
                <w:szCs w:val="21"/>
                <w:highlight w:val="none"/>
                <w:lang w:bidi="ar"/>
              </w:rPr>
            </w:pPr>
          </w:p>
        </w:tc>
        <w:tc>
          <w:tcPr>
            <w:tcW w:w="2287" w:type="dxa"/>
          </w:tcPr>
          <w:p w14:paraId="59C0BD12">
            <w:pPr>
              <w:pStyle w:val="2"/>
              <w:spacing w:line="360" w:lineRule="auto"/>
              <w:rPr>
                <w:rFonts w:ascii="宋体" w:cs="Arial"/>
                <w:color w:val="auto"/>
                <w:szCs w:val="21"/>
                <w:highlight w:val="none"/>
                <w:lang w:bidi="ar"/>
              </w:rPr>
            </w:pPr>
          </w:p>
        </w:tc>
      </w:tr>
      <w:tr w14:paraId="19DA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6BA7FE94">
            <w:pPr>
              <w:pStyle w:val="2"/>
              <w:spacing w:line="360" w:lineRule="auto"/>
              <w:rPr>
                <w:rFonts w:ascii="宋体" w:cs="Arial"/>
                <w:color w:val="auto"/>
                <w:szCs w:val="21"/>
                <w:highlight w:val="none"/>
                <w:lang w:bidi="ar"/>
              </w:rPr>
            </w:pPr>
          </w:p>
        </w:tc>
        <w:tc>
          <w:tcPr>
            <w:tcW w:w="1700" w:type="dxa"/>
          </w:tcPr>
          <w:p w14:paraId="1BD474D4">
            <w:pPr>
              <w:pStyle w:val="2"/>
              <w:spacing w:line="360" w:lineRule="auto"/>
              <w:rPr>
                <w:rFonts w:ascii="宋体" w:cs="Arial"/>
                <w:color w:val="auto"/>
                <w:szCs w:val="21"/>
                <w:highlight w:val="none"/>
                <w:lang w:bidi="ar"/>
              </w:rPr>
            </w:pPr>
          </w:p>
        </w:tc>
        <w:tc>
          <w:tcPr>
            <w:tcW w:w="2579" w:type="dxa"/>
          </w:tcPr>
          <w:p w14:paraId="00DD8B20">
            <w:pPr>
              <w:pStyle w:val="2"/>
              <w:spacing w:line="360" w:lineRule="auto"/>
              <w:rPr>
                <w:rFonts w:ascii="宋体" w:cs="Arial"/>
                <w:color w:val="auto"/>
                <w:szCs w:val="21"/>
                <w:highlight w:val="none"/>
                <w:lang w:bidi="ar"/>
              </w:rPr>
            </w:pPr>
          </w:p>
        </w:tc>
        <w:tc>
          <w:tcPr>
            <w:tcW w:w="2042" w:type="dxa"/>
          </w:tcPr>
          <w:p w14:paraId="37D744FB">
            <w:pPr>
              <w:pStyle w:val="2"/>
              <w:spacing w:line="360" w:lineRule="auto"/>
              <w:rPr>
                <w:rFonts w:ascii="宋体" w:cs="Arial"/>
                <w:color w:val="auto"/>
                <w:szCs w:val="21"/>
                <w:highlight w:val="none"/>
                <w:lang w:bidi="ar"/>
              </w:rPr>
            </w:pPr>
          </w:p>
        </w:tc>
        <w:tc>
          <w:tcPr>
            <w:tcW w:w="2287" w:type="dxa"/>
          </w:tcPr>
          <w:p w14:paraId="495C92C7">
            <w:pPr>
              <w:pStyle w:val="2"/>
              <w:spacing w:line="360" w:lineRule="auto"/>
              <w:rPr>
                <w:rFonts w:ascii="宋体" w:cs="Arial"/>
                <w:color w:val="auto"/>
                <w:szCs w:val="21"/>
                <w:highlight w:val="none"/>
                <w:lang w:bidi="ar"/>
              </w:rPr>
            </w:pPr>
          </w:p>
        </w:tc>
      </w:tr>
      <w:tr w14:paraId="1CE0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3D8FA7A4">
            <w:pPr>
              <w:pStyle w:val="2"/>
              <w:spacing w:line="360" w:lineRule="auto"/>
              <w:rPr>
                <w:rFonts w:ascii="宋体" w:cs="Arial"/>
                <w:color w:val="auto"/>
                <w:szCs w:val="21"/>
                <w:highlight w:val="none"/>
                <w:lang w:bidi="ar"/>
              </w:rPr>
            </w:pPr>
          </w:p>
        </w:tc>
        <w:tc>
          <w:tcPr>
            <w:tcW w:w="1700" w:type="dxa"/>
          </w:tcPr>
          <w:p w14:paraId="57F24FEE">
            <w:pPr>
              <w:pStyle w:val="2"/>
              <w:spacing w:line="360" w:lineRule="auto"/>
              <w:rPr>
                <w:rFonts w:ascii="宋体" w:cs="Arial"/>
                <w:color w:val="auto"/>
                <w:szCs w:val="21"/>
                <w:highlight w:val="none"/>
                <w:lang w:bidi="ar"/>
              </w:rPr>
            </w:pPr>
          </w:p>
        </w:tc>
        <w:tc>
          <w:tcPr>
            <w:tcW w:w="2579" w:type="dxa"/>
          </w:tcPr>
          <w:p w14:paraId="7C047839">
            <w:pPr>
              <w:pStyle w:val="2"/>
              <w:spacing w:line="360" w:lineRule="auto"/>
              <w:rPr>
                <w:rFonts w:ascii="宋体" w:cs="Arial"/>
                <w:color w:val="auto"/>
                <w:szCs w:val="21"/>
                <w:highlight w:val="none"/>
                <w:lang w:bidi="ar"/>
              </w:rPr>
            </w:pPr>
          </w:p>
        </w:tc>
        <w:tc>
          <w:tcPr>
            <w:tcW w:w="2042" w:type="dxa"/>
          </w:tcPr>
          <w:p w14:paraId="4071BC97">
            <w:pPr>
              <w:pStyle w:val="2"/>
              <w:spacing w:line="360" w:lineRule="auto"/>
              <w:rPr>
                <w:rFonts w:ascii="宋体" w:cs="Arial"/>
                <w:color w:val="auto"/>
                <w:szCs w:val="21"/>
                <w:highlight w:val="none"/>
                <w:lang w:bidi="ar"/>
              </w:rPr>
            </w:pPr>
          </w:p>
        </w:tc>
        <w:tc>
          <w:tcPr>
            <w:tcW w:w="2287" w:type="dxa"/>
          </w:tcPr>
          <w:p w14:paraId="5DBA74CC">
            <w:pPr>
              <w:pStyle w:val="2"/>
              <w:spacing w:line="360" w:lineRule="auto"/>
              <w:rPr>
                <w:rFonts w:ascii="宋体" w:cs="Arial"/>
                <w:color w:val="auto"/>
                <w:szCs w:val="21"/>
                <w:highlight w:val="none"/>
                <w:lang w:bidi="ar"/>
              </w:rPr>
            </w:pPr>
          </w:p>
        </w:tc>
      </w:tr>
      <w:tr w14:paraId="309C8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0D51C49C">
            <w:pPr>
              <w:pStyle w:val="2"/>
              <w:spacing w:line="360" w:lineRule="auto"/>
              <w:rPr>
                <w:rFonts w:ascii="宋体" w:cs="Arial"/>
                <w:color w:val="auto"/>
                <w:szCs w:val="21"/>
                <w:highlight w:val="none"/>
                <w:lang w:bidi="ar"/>
              </w:rPr>
            </w:pPr>
          </w:p>
        </w:tc>
        <w:tc>
          <w:tcPr>
            <w:tcW w:w="1700" w:type="dxa"/>
          </w:tcPr>
          <w:p w14:paraId="213249A6">
            <w:pPr>
              <w:pStyle w:val="2"/>
              <w:spacing w:line="360" w:lineRule="auto"/>
              <w:rPr>
                <w:rFonts w:ascii="宋体" w:cs="Arial"/>
                <w:color w:val="auto"/>
                <w:szCs w:val="21"/>
                <w:highlight w:val="none"/>
                <w:lang w:bidi="ar"/>
              </w:rPr>
            </w:pPr>
          </w:p>
        </w:tc>
        <w:tc>
          <w:tcPr>
            <w:tcW w:w="2579" w:type="dxa"/>
          </w:tcPr>
          <w:p w14:paraId="60978E06">
            <w:pPr>
              <w:pStyle w:val="2"/>
              <w:spacing w:line="360" w:lineRule="auto"/>
              <w:rPr>
                <w:rFonts w:ascii="宋体" w:cs="Arial"/>
                <w:color w:val="auto"/>
                <w:szCs w:val="21"/>
                <w:highlight w:val="none"/>
                <w:lang w:bidi="ar"/>
              </w:rPr>
            </w:pPr>
          </w:p>
        </w:tc>
        <w:tc>
          <w:tcPr>
            <w:tcW w:w="2042" w:type="dxa"/>
          </w:tcPr>
          <w:p w14:paraId="129C3100">
            <w:pPr>
              <w:pStyle w:val="2"/>
              <w:spacing w:line="360" w:lineRule="auto"/>
              <w:rPr>
                <w:rFonts w:ascii="宋体" w:cs="Arial"/>
                <w:color w:val="auto"/>
                <w:szCs w:val="21"/>
                <w:highlight w:val="none"/>
                <w:lang w:bidi="ar"/>
              </w:rPr>
            </w:pPr>
          </w:p>
        </w:tc>
        <w:tc>
          <w:tcPr>
            <w:tcW w:w="2287" w:type="dxa"/>
          </w:tcPr>
          <w:p w14:paraId="3B85A7B7">
            <w:pPr>
              <w:pStyle w:val="2"/>
              <w:spacing w:line="360" w:lineRule="auto"/>
              <w:rPr>
                <w:rFonts w:ascii="宋体" w:cs="Arial"/>
                <w:color w:val="auto"/>
                <w:szCs w:val="21"/>
                <w:highlight w:val="none"/>
                <w:lang w:bidi="ar"/>
              </w:rPr>
            </w:pPr>
          </w:p>
        </w:tc>
      </w:tr>
      <w:tr w14:paraId="58C93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07667885">
            <w:pPr>
              <w:pStyle w:val="2"/>
              <w:spacing w:line="360" w:lineRule="auto"/>
              <w:rPr>
                <w:rFonts w:ascii="宋体" w:cs="Arial"/>
                <w:color w:val="auto"/>
                <w:szCs w:val="21"/>
                <w:highlight w:val="none"/>
                <w:lang w:bidi="ar"/>
              </w:rPr>
            </w:pPr>
          </w:p>
        </w:tc>
        <w:tc>
          <w:tcPr>
            <w:tcW w:w="1700" w:type="dxa"/>
          </w:tcPr>
          <w:p w14:paraId="4E94D1AD">
            <w:pPr>
              <w:pStyle w:val="2"/>
              <w:spacing w:line="360" w:lineRule="auto"/>
              <w:rPr>
                <w:rFonts w:ascii="宋体" w:cs="Arial"/>
                <w:color w:val="auto"/>
                <w:szCs w:val="21"/>
                <w:highlight w:val="none"/>
                <w:lang w:bidi="ar"/>
              </w:rPr>
            </w:pPr>
          </w:p>
        </w:tc>
        <w:tc>
          <w:tcPr>
            <w:tcW w:w="2579" w:type="dxa"/>
          </w:tcPr>
          <w:p w14:paraId="58279F2E">
            <w:pPr>
              <w:pStyle w:val="2"/>
              <w:spacing w:line="360" w:lineRule="auto"/>
              <w:rPr>
                <w:rFonts w:ascii="宋体" w:cs="Arial"/>
                <w:color w:val="auto"/>
                <w:szCs w:val="21"/>
                <w:highlight w:val="none"/>
                <w:lang w:bidi="ar"/>
              </w:rPr>
            </w:pPr>
          </w:p>
        </w:tc>
        <w:tc>
          <w:tcPr>
            <w:tcW w:w="2042" w:type="dxa"/>
          </w:tcPr>
          <w:p w14:paraId="26C3698F">
            <w:pPr>
              <w:pStyle w:val="2"/>
              <w:spacing w:line="360" w:lineRule="auto"/>
              <w:rPr>
                <w:rFonts w:ascii="宋体" w:cs="Arial"/>
                <w:color w:val="auto"/>
                <w:szCs w:val="21"/>
                <w:highlight w:val="none"/>
                <w:lang w:bidi="ar"/>
              </w:rPr>
            </w:pPr>
          </w:p>
        </w:tc>
        <w:tc>
          <w:tcPr>
            <w:tcW w:w="2287" w:type="dxa"/>
          </w:tcPr>
          <w:p w14:paraId="09F25CAA">
            <w:pPr>
              <w:pStyle w:val="2"/>
              <w:spacing w:line="360" w:lineRule="auto"/>
              <w:rPr>
                <w:rFonts w:ascii="宋体" w:cs="Arial"/>
                <w:color w:val="auto"/>
                <w:szCs w:val="21"/>
                <w:highlight w:val="none"/>
                <w:lang w:bidi="ar"/>
              </w:rPr>
            </w:pPr>
          </w:p>
        </w:tc>
      </w:tr>
      <w:tr w14:paraId="63D6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155ADAF6">
            <w:pPr>
              <w:pStyle w:val="2"/>
              <w:spacing w:line="360" w:lineRule="auto"/>
              <w:rPr>
                <w:rFonts w:ascii="宋体" w:cs="Arial"/>
                <w:color w:val="auto"/>
                <w:szCs w:val="21"/>
                <w:highlight w:val="none"/>
                <w:lang w:bidi="ar"/>
              </w:rPr>
            </w:pPr>
          </w:p>
        </w:tc>
        <w:tc>
          <w:tcPr>
            <w:tcW w:w="1700" w:type="dxa"/>
          </w:tcPr>
          <w:p w14:paraId="78C6674F">
            <w:pPr>
              <w:pStyle w:val="2"/>
              <w:spacing w:line="360" w:lineRule="auto"/>
              <w:rPr>
                <w:rFonts w:ascii="宋体" w:cs="Arial"/>
                <w:color w:val="auto"/>
                <w:szCs w:val="21"/>
                <w:highlight w:val="none"/>
                <w:lang w:bidi="ar"/>
              </w:rPr>
            </w:pPr>
          </w:p>
        </w:tc>
        <w:tc>
          <w:tcPr>
            <w:tcW w:w="2579" w:type="dxa"/>
          </w:tcPr>
          <w:p w14:paraId="417EC63C">
            <w:pPr>
              <w:pStyle w:val="2"/>
              <w:spacing w:line="360" w:lineRule="auto"/>
              <w:rPr>
                <w:rFonts w:ascii="宋体" w:cs="Arial"/>
                <w:color w:val="auto"/>
                <w:szCs w:val="21"/>
                <w:highlight w:val="none"/>
                <w:lang w:bidi="ar"/>
              </w:rPr>
            </w:pPr>
          </w:p>
        </w:tc>
        <w:tc>
          <w:tcPr>
            <w:tcW w:w="2042" w:type="dxa"/>
          </w:tcPr>
          <w:p w14:paraId="5EFC018A">
            <w:pPr>
              <w:pStyle w:val="2"/>
              <w:spacing w:line="360" w:lineRule="auto"/>
              <w:rPr>
                <w:rFonts w:ascii="宋体" w:cs="Arial"/>
                <w:color w:val="auto"/>
                <w:szCs w:val="21"/>
                <w:highlight w:val="none"/>
                <w:lang w:bidi="ar"/>
              </w:rPr>
            </w:pPr>
          </w:p>
        </w:tc>
        <w:tc>
          <w:tcPr>
            <w:tcW w:w="2287" w:type="dxa"/>
          </w:tcPr>
          <w:p w14:paraId="1D44FE90">
            <w:pPr>
              <w:pStyle w:val="2"/>
              <w:spacing w:line="360" w:lineRule="auto"/>
              <w:rPr>
                <w:rFonts w:ascii="宋体" w:cs="Arial"/>
                <w:color w:val="auto"/>
                <w:szCs w:val="21"/>
                <w:highlight w:val="none"/>
                <w:lang w:bidi="ar"/>
              </w:rPr>
            </w:pPr>
          </w:p>
        </w:tc>
      </w:tr>
      <w:tr w14:paraId="787A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jc w:val="center"/>
        </w:trPr>
        <w:tc>
          <w:tcPr>
            <w:tcW w:w="1021" w:type="dxa"/>
          </w:tcPr>
          <w:p w14:paraId="149F3562">
            <w:pPr>
              <w:pStyle w:val="2"/>
              <w:spacing w:line="360" w:lineRule="auto"/>
              <w:rPr>
                <w:rFonts w:ascii="宋体" w:cs="Arial"/>
                <w:color w:val="auto"/>
                <w:szCs w:val="21"/>
                <w:highlight w:val="none"/>
                <w:lang w:bidi="ar"/>
              </w:rPr>
            </w:pPr>
          </w:p>
        </w:tc>
        <w:tc>
          <w:tcPr>
            <w:tcW w:w="1700" w:type="dxa"/>
          </w:tcPr>
          <w:p w14:paraId="297107DE">
            <w:pPr>
              <w:pStyle w:val="2"/>
              <w:spacing w:line="360" w:lineRule="auto"/>
              <w:rPr>
                <w:rFonts w:ascii="宋体" w:cs="Arial"/>
                <w:color w:val="auto"/>
                <w:szCs w:val="21"/>
                <w:highlight w:val="none"/>
                <w:lang w:bidi="ar"/>
              </w:rPr>
            </w:pPr>
          </w:p>
        </w:tc>
        <w:tc>
          <w:tcPr>
            <w:tcW w:w="2579" w:type="dxa"/>
          </w:tcPr>
          <w:p w14:paraId="342857E2">
            <w:pPr>
              <w:pStyle w:val="2"/>
              <w:spacing w:line="360" w:lineRule="auto"/>
              <w:rPr>
                <w:rFonts w:ascii="宋体" w:cs="Arial"/>
                <w:color w:val="auto"/>
                <w:szCs w:val="21"/>
                <w:highlight w:val="none"/>
                <w:lang w:bidi="ar"/>
              </w:rPr>
            </w:pPr>
          </w:p>
        </w:tc>
        <w:tc>
          <w:tcPr>
            <w:tcW w:w="2042" w:type="dxa"/>
          </w:tcPr>
          <w:p w14:paraId="25583375">
            <w:pPr>
              <w:pStyle w:val="2"/>
              <w:spacing w:line="360" w:lineRule="auto"/>
              <w:rPr>
                <w:rFonts w:ascii="宋体" w:cs="Arial"/>
                <w:color w:val="auto"/>
                <w:szCs w:val="21"/>
                <w:highlight w:val="none"/>
                <w:lang w:bidi="ar"/>
              </w:rPr>
            </w:pPr>
          </w:p>
        </w:tc>
        <w:tc>
          <w:tcPr>
            <w:tcW w:w="2287" w:type="dxa"/>
          </w:tcPr>
          <w:p w14:paraId="181A9A1C">
            <w:pPr>
              <w:pStyle w:val="2"/>
              <w:spacing w:line="360" w:lineRule="auto"/>
              <w:rPr>
                <w:rFonts w:ascii="宋体" w:cs="Arial"/>
                <w:color w:val="auto"/>
                <w:szCs w:val="21"/>
                <w:highlight w:val="none"/>
                <w:lang w:bidi="ar"/>
              </w:rPr>
            </w:pPr>
          </w:p>
        </w:tc>
      </w:tr>
    </w:tbl>
    <w:p w14:paraId="400D9833">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40" w:firstLineChars="100"/>
        <w:rPr>
          <w:rFonts w:ascii="宋体" w:cs="宋体"/>
          <w:color w:val="auto"/>
          <w:sz w:val="24"/>
          <w:highlight w:val="none"/>
        </w:rPr>
      </w:pPr>
    </w:p>
    <w:p w14:paraId="3FC1D622">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40" w:firstLineChars="100"/>
        <w:rPr>
          <w:rFonts w:ascii="宋体" w:cs="宋体"/>
          <w:color w:val="auto"/>
          <w:sz w:val="24"/>
          <w:highlight w:val="none"/>
        </w:rPr>
      </w:pPr>
      <w:r>
        <w:rPr>
          <w:rFonts w:hint="eastAsia" w:ascii="宋体" w:cs="宋体"/>
          <w:color w:val="auto"/>
          <w:sz w:val="24"/>
          <w:highlight w:val="none"/>
          <w:lang w:bidi="ar"/>
        </w:rPr>
        <w:t>说明：1.如与单一来源采购文件的要求存在偏差，请填写上表；</w:t>
      </w:r>
    </w:p>
    <w:p w14:paraId="3DE81458">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40" w:firstLineChars="100"/>
        <w:rPr>
          <w:rFonts w:ascii="宋体" w:cs="宋体"/>
          <w:color w:val="auto"/>
          <w:sz w:val="24"/>
          <w:highlight w:val="none"/>
        </w:rPr>
      </w:pPr>
      <w:r>
        <w:rPr>
          <w:rFonts w:hint="eastAsia" w:ascii="宋体" w:cs="宋体"/>
          <w:color w:val="auto"/>
          <w:sz w:val="24"/>
          <w:highlight w:val="none"/>
          <w:lang w:bidi="ar"/>
        </w:rPr>
        <w:t xml:space="preserve">      2.如与单一来源采购文件的要求无偏差，请填写“无”。</w:t>
      </w:r>
    </w:p>
    <w:p w14:paraId="30325BBA">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240" w:firstLineChars="100"/>
        <w:rPr>
          <w:rFonts w:ascii="宋体" w:cs="宋体"/>
          <w:color w:val="auto"/>
          <w:sz w:val="24"/>
          <w:highlight w:val="none"/>
          <w:lang w:bidi="ar"/>
        </w:rPr>
      </w:pPr>
    </w:p>
    <w:p w14:paraId="774ECA26">
      <w:pPr>
        <w:tabs>
          <w:tab w:val="left" w:pos="0"/>
        </w:tabs>
        <w:snapToGrid w:val="0"/>
        <w:spacing w:line="360" w:lineRule="auto"/>
        <w:ind w:right="-58" w:firstLine="420"/>
        <w:rPr>
          <w:color w:val="auto"/>
          <w:sz w:val="24"/>
          <w:highlight w:val="none"/>
        </w:rPr>
      </w:pPr>
      <w:r>
        <w:rPr>
          <w:rFonts w:hint="eastAsia"/>
          <w:color w:val="auto"/>
          <w:sz w:val="24"/>
          <w:highlight w:val="none"/>
        </w:rPr>
        <w:t xml:space="preserve">                        供应商</w:t>
      </w:r>
      <w:r>
        <w:rPr>
          <w:color w:val="auto"/>
          <w:sz w:val="24"/>
          <w:highlight w:val="none"/>
        </w:rPr>
        <w:t>（公章）</w:t>
      </w:r>
      <w:r>
        <w:rPr>
          <w:rFonts w:hint="eastAsia"/>
          <w:color w:val="auto"/>
          <w:sz w:val="24"/>
          <w:highlight w:val="none"/>
        </w:rPr>
        <w:t>：</w:t>
      </w:r>
    </w:p>
    <w:p w14:paraId="461A46E7">
      <w:pPr>
        <w:pStyle w:val="123"/>
        <w:tabs>
          <w:tab w:val="left" w:pos="4540"/>
        </w:tabs>
        <w:spacing w:line="360" w:lineRule="auto"/>
        <w:ind w:left="1202" w:firstLine="480"/>
        <w:jc w:val="both"/>
        <w:rPr>
          <w:rFonts w:ascii="Calibri" w:hAnsi="Calibri" w:cs="Times New Roman"/>
          <w:color w:val="auto"/>
          <w:kern w:val="2"/>
          <w:szCs w:val="24"/>
          <w:highlight w:val="none"/>
        </w:rPr>
      </w:pPr>
      <w:r>
        <w:rPr>
          <w:rFonts w:hint="eastAsia" w:ascii="Calibri" w:hAnsi="Calibri" w:cs="Times New Roman"/>
          <w:color w:val="auto"/>
          <w:kern w:val="2"/>
          <w:szCs w:val="24"/>
          <w:highlight w:val="none"/>
        </w:rPr>
        <w:t xml:space="preserve">       法定代表人（或授权代理人）</w:t>
      </w:r>
      <w:r>
        <w:rPr>
          <w:rFonts w:ascii="Calibri" w:hAnsi="Calibri" w:cs="Times New Roman"/>
          <w:color w:val="auto"/>
          <w:kern w:val="2"/>
          <w:szCs w:val="24"/>
          <w:highlight w:val="none"/>
        </w:rPr>
        <w:t>签字：</w:t>
      </w:r>
    </w:p>
    <w:p w14:paraId="618002F0">
      <w:pPr>
        <w:pStyle w:val="123"/>
        <w:tabs>
          <w:tab w:val="left" w:pos="4540"/>
        </w:tabs>
        <w:spacing w:line="360" w:lineRule="auto"/>
        <w:ind w:left="1202" w:firstLine="480"/>
        <w:jc w:val="both"/>
        <w:rPr>
          <w:rFonts w:ascii="Calibri" w:hAnsi="Calibri" w:cs="Times New Roman"/>
          <w:color w:val="auto"/>
          <w:kern w:val="2"/>
          <w:szCs w:val="24"/>
          <w:highlight w:val="none"/>
        </w:rPr>
      </w:pPr>
      <w:r>
        <w:rPr>
          <w:rFonts w:hint="eastAsia" w:ascii="Calibri" w:hAnsi="Calibri" w:cs="Times New Roman"/>
          <w:color w:val="auto"/>
          <w:kern w:val="2"/>
          <w:szCs w:val="24"/>
          <w:highlight w:val="none"/>
        </w:rPr>
        <w:t xml:space="preserve">              </w:t>
      </w:r>
      <w:r>
        <w:rPr>
          <w:rFonts w:ascii="Calibri" w:hAnsi="Calibri" w:cs="Times New Roman"/>
          <w:color w:val="auto"/>
          <w:kern w:val="2"/>
          <w:szCs w:val="24"/>
          <w:highlight w:val="none"/>
        </w:rPr>
        <w:t>日     期：</w:t>
      </w:r>
    </w:p>
    <w:p w14:paraId="2FAD5786">
      <w:pPr>
        <w:spacing w:line="440" w:lineRule="exact"/>
        <w:rPr>
          <w:color w:val="auto"/>
          <w:sz w:val="24"/>
          <w:highlight w:val="none"/>
        </w:rPr>
        <w:sectPr>
          <w:footerReference r:id="rId7" w:type="first"/>
          <w:footerReference r:id="rId6" w:type="default"/>
          <w:pgSz w:w="11906" w:h="16838"/>
          <w:pgMar w:top="1134" w:right="1134" w:bottom="1134" w:left="1134" w:header="851" w:footer="992" w:gutter="0"/>
          <w:pgNumType w:start="1"/>
          <w:cols w:space="720" w:num="1"/>
          <w:titlePg/>
          <w:docGrid w:type="lines" w:linePitch="321" w:charSpace="0"/>
        </w:sectPr>
      </w:pPr>
    </w:p>
    <w:p w14:paraId="2699874E">
      <w:pPr>
        <w:spacing w:line="520" w:lineRule="exact"/>
        <w:rPr>
          <w:rFonts w:hint="default" w:ascii="宋体" w:hAnsi="宋体" w:eastAsia="宋体" w:cs="宋体"/>
          <w:b/>
          <w:bCs/>
          <w:color w:val="auto"/>
          <w:sz w:val="28"/>
          <w:szCs w:val="44"/>
          <w:highlight w:val="none"/>
          <w:lang w:val="en-US" w:eastAsia="zh-CN"/>
        </w:rPr>
      </w:pPr>
      <w:bookmarkStart w:id="192" w:name="_Toc22745"/>
      <w:bookmarkStart w:id="193" w:name="_Toc30483"/>
      <w:r>
        <w:rPr>
          <w:rFonts w:hint="eastAsia" w:ascii="宋体" w:hAnsi="宋体" w:cs="宋体"/>
          <w:b/>
          <w:bCs/>
          <w:color w:val="auto"/>
          <w:sz w:val="28"/>
          <w:szCs w:val="44"/>
          <w:highlight w:val="none"/>
        </w:rPr>
        <w:t>七、</w:t>
      </w:r>
      <w:bookmarkEnd w:id="192"/>
      <w:bookmarkEnd w:id="193"/>
      <w:r>
        <w:rPr>
          <w:rFonts w:hint="eastAsia" w:ascii="宋体" w:hAnsi="宋体" w:cs="宋体"/>
          <w:b/>
          <w:bCs/>
          <w:color w:val="auto"/>
          <w:sz w:val="28"/>
          <w:szCs w:val="44"/>
          <w:highlight w:val="none"/>
        </w:rPr>
        <w:t>技术方案、服务承诺、培训承诺</w:t>
      </w:r>
      <w:r>
        <w:rPr>
          <w:rFonts w:hint="eastAsia" w:ascii="宋体" w:hAnsi="宋体" w:cs="宋体"/>
          <w:b/>
          <w:bCs/>
          <w:color w:val="auto"/>
          <w:sz w:val="28"/>
          <w:szCs w:val="44"/>
          <w:highlight w:val="none"/>
          <w:lang w:eastAsia="zh-CN"/>
        </w:rPr>
        <w:t>、</w:t>
      </w:r>
      <w:r>
        <w:rPr>
          <w:rFonts w:hint="eastAsia" w:ascii="宋体" w:hAnsi="宋体" w:cs="宋体"/>
          <w:b/>
          <w:bCs/>
          <w:color w:val="auto"/>
          <w:sz w:val="28"/>
          <w:szCs w:val="44"/>
          <w:highlight w:val="none"/>
          <w:lang w:val="en-US" w:eastAsia="zh-CN"/>
        </w:rPr>
        <w:t>运维方案</w:t>
      </w:r>
    </w:p>
    <w:p w14:paraId="40FD75D0">
      <w:pPr>
        <w:spacing w:line="520" w:lineRule="exact"/>
        <w:rPr>
          <w:rFonts w:ascii="宋体" w:hAnsi="宋体" w:cs="宋体"/>
          <w:color w:val="auto"/>
          <w:sz w:val="24"/>
          <w:highlight w:val="none"/>
        </w:rPr>
      </w:pPr>
      <w:r>
        <w:rPr>
          <w:rFonts w:hint="eastAsia" w:ascii="宋体" w:hAnsi="宋体"/>
          <w:color w:val="auto"/>
          <w:sz w:val="24"/>
          <w:highlight w:val="none"/>
        </w:rPr>
        <w:t>（由供应商自行拟定）</w:t>
      </w:r>
    </w:p>
    <w:p w14:paraId="56CB01FE">
      <w:pPr>
        <w:rPr>
          <w:rFonts w:ascii="宋体" w:hAnsi="宋体" w:cs="宋体"/>
          <w:color w:val="auto"/>
          <w:highlight w:val="none"/>
        </w:rPr>
      </w:pPr>
    </w:p>
    <w:sectPr>
      <w:footerReference r:id="rId8" w:type="default"/>
      <w:pgSz w:w="11906" w:h="16838"/>
      <w:pgMar w:top="1440" w:right="1797" w:bottom="1276" w:left="1797" w:header="1020"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10609060101010101"/>
    <w:charset w:val="86"/>
    <w:family w:val="modern"/>
    <w:pitch w:val="default"/>
    <w:sig w:usb0="00000000" w:usb1="00000000" w:usb2="00000016" w:usb3="00000000" w:csb0="00040001" w:csb1="00000000"/>
  </w:font>
  <w:font w:name="幼圆">
    <w:panose1 w:val="0201050906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altName w:val="方正舒体"/>
    <w:panose1 w:val="02010601030101010101"/>
    <w:charset w:val="86"/>
    <w:family w:val="roma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长城仿宋">
    <w:altName w:val="黑体"/>
    <w:panose1 w:val="00000000000000000000"/>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3CA90">
    <w:pPr>
      <w:pStyle w:val="26"/>
      <w:spacing w:line="24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BCA4C">
    <w:pPr>
      <w:pStyle w:val="26"/>
      <w:spacing w:line="240" w:lineRule="exac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3" name="Text Box 7"/>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202181A7">
                          <w:pPr>
                            <w:pStyle w:val="26"/>
                          </w:pPr>
                          <w:r>
                            <w:fldChar w:fldCharType="begin"/>
                          </w:r>
                          <w:r>
                            <w:instrText xml:space="preserve"> PAGE  \* MERGEFORMAT </w:instrText>
                          </w:r>
                          <w:r>
                            <w:fldChar w:fldCharType="separate"/>
                          </w:r>
                          <w:r>
                            <w:t>12</w:t>
                          </w:r>
                          <w:r>
                            <w:fldChar w:fldCharType="end"/>
                          </w:r>
                        </w:p>
                      </w:txbxContent>
                    </wps:txbx>
                    <wps:bodyPr rot="0" vert="horz" wrap="none" lIns="0" tIns="0" rIns="0" bIns="0" anchor="t" anchorCtr="0" upright="1">
                      <a:spAutoFit/>
                    </wps:bodyPr>
                  </wps:wsp>
                </a:graphicData>
              </a:graphic>
            </wp:anchor>
          </w:drawing>
        </mc:Choice>
        <mc:Fallback>
          <w:pict>
            <v:shape id="Text Box 7"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rpb8P0QAAAAMBAAAPAAAAAAAAAAEAIAAAACIAAABkcnMvZG93bnJldi54bWxQSwEC&#10;FAAUAAAACACHTuJAPNE4CvsBAAABBAAADgAAAAAAAAABACAAAAAgAQAAZHJzL2Uyb0RvYy54bWxQ&#10;SwUGAAAAAAYABgBZAQAAjQUAAAAA&#10;">
              <v:fill on="f" focussize="0,0"/>
              <v:stroke on="f"/>
              <v:imagedata o:title=""/>
              <o:lock v:ext="edit" aspectratio="f"/>
              <v:textbox inset="0mm,0mm,0mm,0mm" style="mso-fit-shape-to-text:t;">
                <w:txbxContent>
                  <w:p w14:paraId="202181A7">
                    <w:pPr>
                      <w:pStyle w:val="2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571B1">
    <w:pPr>
      <w:pStyle w:val="2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47955"/>
              <wp:effectExtent l="0" t="0" r="0" b="0"/>
              <wp:wrapNone/>
              <wp:docPr id="2" name="Text Box 8"/>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14:paraId="5D7876EF">
                          <w:pPr>
                            <w:pStyle w:val="26"/>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Text Box 8" o:spid="_x0000_s1026" o:spt="202" type="#_x0000_t202" style="position:absolute;left:0pt;margin-top:0pt;height:11.65pt;width:4.55pt;mso-position-horizontal:center;mso-position-horizontal-relative:margin;mso-wrap-style:none;z-index:251660288;mso-width-relative:page;mso-height-relative:page;" filled="f" stroked="f" coordsize="21600,21600" o:gfxdata="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fLHALRAAAAAgEAAA8AAAAAAAAAAQAgAAAAIgAAAGRycy9kb3ducmV2LnhtbFBLAQIU&#10;ABQAAAAIAIdO4kBzWCyD+gEAAAAEAAAOAAAAAAAAAAEAIAAAACABAABkcnMvZTJvRG9jLnhtbFBL&#10;BQYAAAAABgAGAFkBAACMBQAAAAA=&#10;">
              <v:fill on="f" focussize="0,0"/>
              <v:stroke on="f"/>
              <v:imagedata o:title=""/>
              <o:lock v:ext="edit" aspectratio="f"/>
              <v:textbox inset="0mm,0mm,0mm,0mm" style="mso-fit-shape-to-text:t;">
                <w:txbxContent>
                  <w:p w14:paraId="5D7876EF">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346BE">
    <w:pPr>
      <w:pStyle w:val="26"/>
      <w:spacing w:line="240" w:lineRule="exac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47955"/>
              <wp:effectExtent l="0" t="0" r="0" b="0"/>
              <wp:wrapNone/>
              <wp:docPr id="1" name="Text Box 9"/>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wps:spPr>
                    <wps:txbx>
                      <w:txbxContent>
                        <w:p w14:paraId="119710AE">
                          <w:pPr>
                            <w:pStyle w:val="26"/>
                          </w:pPr>
                          <w:r>
                            <w:fldChar w:fldCharType="begin"/>
                          </w:r>
                          <w:r>
                            <w:instrText xml:space="preserve"> PAGE  \* MERGEFORMAT </w:instrText>
                          </w:r>
                          <w:r>
                            <w:fldChar w:fldCharType="separate"/>
                          </w:r>
                          <w:r>
                            <w:t>32</w:t>
                          </w:r>
                          <w:r>
                            <w:fldChar w:fldCharType="end"/>
                          </w:r>
                        </w:p>
                      </w:txbxContent>
                    </wps:txbx>
                    <wps:bodyPr rot="0" vert="horz" wrap="none" lIns="0" tIns="0" rIns="0" bIns="0" anchor="t" anchorCtr="0" upright="1">
                      <a:spAutoFit/>
                    </wps:bodyPr>
                  </wps:wsp>
                </a:graphicData>
              </a:graphic>
            </wp:anchor>
          </w:drawing>
        </mc:Choice>
        <mc:Fallback>
          <w:pict>
            <v:shape id="Text Box 9" o:spid="_x0000_s1026" o:spt="202" type="#_x0000_t202" style="position:absolute;left:0pt;margin-top:0pt;height:11.65pt;width:9.05pt;mso-position-horizontal:center;mso-position-horizontal-relative:margin;mso-wrap-style:none;z-index:251661312;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ulvw/RAAAAAwEAAA8AAAAAAAAAAQAgAAAAIgAAAGRycy9kb3ducmV2LnhtbFBLAQIU&#10;ABQAAAAIAIdO4kCXgpeM+gEAAAEEAAAOAAAAAAAAAAEAIAAAACABAABkcnMvZTJvRG9jLnhtbFBL&#10;BQYAAAAABgAGAFkBAACMBQAAAAA=&#10;">
              <v:fill on="f" focussize="0,0"/>
              <v:stroke on="f"/>
              <v:imagedata o:title=""/>
              <o:lock v:ext="edit" aspectratio="f"/>
              <v:textbox inset="0mm,0mm,0mm,0mm" style="mso-fit-shape-to-text:t;">
                <w:txbxContent>
                  <w:p w14:paraId="119710AE">
                    <w:pPr>
                      <w:pStyle w:val="26"/>
                    </w:pPr>
                    <w:r>
                      <w:fldChar w:fldCharType="begin"/>
                    </w:r>
                    <w:r>
                      <w:instrText xml:space="preserve"> PAGE  \* MERGEFORMAT </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815F3">
    <w:pPr>
      <w:pStyle w:val="27"/>
      <w:pBdr>
        <w:bottom w:val="none" w:color="auto" w:sz="0" w:space="1"/>
      </w:pBdr>
      <w:tabs>
        <w:tab w:val="clear" w:pos="8306"/>
      </w:tabs>
      <w:ind w:right="84" w:rightChars="40"/>
      <w:jc w:val="both"/>
      <w:rPr>
        <w:rFonts w:ascii="楷体" w:hAnsi="楷体" w:eastAsia="楷体" w:cs="楷体"/>
      </w:rPr>
    </w:pPr>
    <w:r>
      <w:rPr>
        <w:rFonts w:hint="eastAsia" w:ascii="楷体" w:hAnsi="楷体" w:eastAsia="楷体" w:cs="楷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64AD2">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0018D7"/>
    <w:multiLevelType w:val="singleLevel"/>
    <w:tmpl w:val="AC0018D7"/>
    <w:lvl w:ilvl="0" w:tentative="0">
      <w:start w:val="1"/>
      <w:numFmt w:val="decimal"/>
      <w:suff w:val="space"/>
      <w:lvlText w:val="%1."/>
      <w:lvlJc w:val="left"/>
    </w:lvl>
  </w:abstractNum>
  <w:abstractNum w:abstractNumId="1">
    <w:nsid w:val="00000001"/>
    <w:multiLevelType w:val="multilevel"/>
    <w:tmpl w:val="00000001"/>
    <w:lvl w:ilvl="0" w:tentative="0">
      <w:start w:val="1"/>
      <w:numFmt w:val="lowerLetter"/>
      <w:lvlText w:val="%1)"/>
      <w:lvlJc w:val="left"/>
      <w:pPr>
        <w:tabs>
          <w:tab w:val="left" w:pos="990"/>
        </w:tabs>
        <w:ind w:left="990" w:hanging="360"/>
      </w:pPr>
      <w:rPr>
        <w:rFonts w:hint="eastAsia"/>
      </w:rPr>
    </w:lvl>
    <w:lvl w:ilvl="1" w:tentative="0">
      <w:start w:val="1"/>
      <w:numFmt w:val="lowerLetter"/>
      <w:pStyle w:val="93"/>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2">
    <w:nsid w:val="00000002"/>
    <w:multiLevelType w:val="multilevel"/>
    <w:tmpl w:val="00000002"/>
    <w:lvl w:ilvl="0" w:tentative="0">
      <w:start w:val="1"/>
      <w:numFmt w:val="none"/>
      <w:pStyle w:val="116"/>
      <w:lvlText w:val=""/>
      <w:lvlJc w:val="left"/>
      <w:pPr>
        <w:tabs>
          <w:tab w:val="left" w:pos="1140"/>
        </w:tabs>
        <w:ind w:left="840" w:hanging="420"/>
      </w:pPr>
      <w:rPr>
        <w:rFonts w:hint="eastAsia" w:ascii="宋体" w:hAnsi="Times New Roman" w:eastAsia="宋体"/>
        <w:b w:val="0"/>
        <w:bCs w:val="0"/>
        <w:i w:val="0"/>
        <w:iCs w:val="0"/>
        <w:sz w:val="18"/>
        <w:szCs w:val="18"/>
      </w:rPr>
    </w:lvl>
    <w:lvl w:ilvl="1" w:tentative="0">
      <w:start w:val="1"/>
      <w:numFmt w:val="decimal"/>
      <w:lvlText w:val="%2."/>
      <w:lvlJc w:val="left"/>
      <w:pPr>
        <w:tabs>
          <w:tab w:val="left" w:pos="780"/>
        </w:tabs>
        <w:ind w:left="780"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53208E"/>
    <w:multiLevelType w:val="multilevel"/>
    <w:tmpl w:val="0053208E"/>
    <w:lvl w:ilvl="0" w:tentative="0">
      <w:start w:val="1"/>
      <w:numFmt w:val="decimal"/>
      <w:pStyle w:val="113"/>
      <w:lvlText w:val="%1."/>
      <w:lvlJc w:val="left"/>
      <w:pPr>
        <w:tabs>
          <w:tab w:val="left" w:pos="360"/>
        </w:tabs>
      </w:pPr>
      <w:rPr>
        <w:rFonts w:hint="eastAsia"/>
      </w:rPr>
    </w:lvl>
    <w:lvl w:ilvl="1" w:tentative="0">
      <w:start w:val="1"/>
      <w:numFmt w:val="decimal"/>
      <w:pStyle w:val="94"/>
      <w:lvlText w:val="%1.%2"/>
      <w:lvlJc w:val="left"/>
      <w:pPr>
        <w:tabs>
          <w:tab w:val="left" w:pos="720"/>
        </w:tabs>
      </w:pPr>
      <w:rPr>
        <w:rFonts w:hint="eastAsia"/>
        <w:b w:val="0"/>
        <w:bCs w:val="0"/>
        <w:i w:val="0"/>
        <w:iCs w:val="0"/>
      </w:rPr>
    </w:lvl>
    <w:lvl w:ilvl="2" w:tentative="0">
      <w:start w:val="1"/>
      <w:numFmt w:val="decimal"/>
      <w:pStyle w:val="104"/>
      <w:lvlText w:val="%1.%2.%3"/>
      <w:lvlJc w:val="left"/>
      <w:pPr>
        <w:tabs>
          <w:tab w:val="left" w:pos="720"/>
        </w:tabs>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85E3118"/>
    <w:multiLevelType w:val="singleLevel"/>
    <w:tmpl w:val="085E3118"/>
    <w:lvl w:ilvl="0" w:tentative="0">
      <w:start w:val="1"/>
      <w:numFmt w:val="decimal"/>
      <w:lvlText w:val="%1."/>
      <w:lvlJc w:val="left"/>
      <w:pPr>
        <w:tabs>
          <w:tab w:val="left" w:pos="312"/>
        </w:tabs>
      </w:pPr>
    </w:lvl>
  </w:abstractNum>
  <w:abstractNum w:abstractNumId="5">
    <w:nsid w:val="6381869E"/>
    <w:multiLevelType w:val="singleLevel"/>
    <w:tmpl w:val="6381869E"/>
    <w:lvl w:ilvl="0" w:tentative="0">
      <w:start w:val="1"/>
      <w:numFmt w:val="decimal"/>
      <w:lvlText w:val="%1."/>
      <w:lvlJc w:val="left"/>
      <w:pPr>
        <w:tabs>
          <w:tab w:val="left" w:pos="312"/>
        </w:tabs>
      </w:pPr>
    </w:lvl>
  </w:abstractNum>
  <w:abstractNum w:abstractNumId="6">
    <w:nsid w:val="7C5D7E07"/>
    <w:multiLevelType w:val="singleLevel"/>
    <w:tmpl w:val="7C5D7E07"/>
    <w:lvl w:ilvl="0" w:tentative="0">
      <w:start w:val="12"/>
      <w:numFmt w:val="decimal"/>
      <w:suff w:val="nothing"/>
      <w:lvlText w:val="（%1）"/>
      <w:lvlJc w:val="left"/>
    </w:lvl>
  </w:abstractNum>
  <w:num w:numId="1">
    <w:abstractNumId w:val="1"/>
  </w:num>
  <w:num w:numId="2">
    <w:abstractNumId w:val="3"/>
  </w:num>
  <w:num w:numId="3">
    <w:abstractNumId w:val="2"/>
  </w:num>
  <w:num w:numId="4">
    <w:abstractNumId w:val="0"/>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hNjk0NDQ0ZGMxOGE0YWQzZjRjZmMyNTBlMDRkZmQifQ=="/>
  </w:docVars>
  <w:rsids>
    <w:rsidRoot w:val="00A21846"/>
    <w:rsid w:val="001E3ED8"/>
    <w:rsid w:val="00263B77"/>
    <w:rsid w:val="0029435D"/>
    <w:rsid w:val="0039603F"/>
    <w:rsid w:val="003C6B13"/>
    <w:rsid w:val="003D417F"/>
    <w:rsid w:val="0051074E"/>
    <w:rsid w:val="005E4382"/>
    <w:rsid w:val="006A5071"/>
    <w:rsid w:val="00A02A52"/>
    <w:rsid w:val="00A1651F"/>
    <w:rsid w:val="00A21846"/>
    <w:rsid w:val="00A54CF1"/>
    <w:rsid w:val="00AE0C10"/>
    <w:rsid w:val="00AE38ED"/>
    <w:rsid w:val="00AE6F06"/>
    <w:rsid w:val="00B72EB8"/>
    <w:rsid w:val="00C27DBD"/>
    <w:rsid w:val="00CF4723"/>
    <w:rsid w:val="00E944BE"/>
    <w:rsid w:val="05323C80"/>
    <w:rsid w:val="09631BFE"/>
    <w:rsid w:val="0A227ED3"/>
    <w:rsid w:val="0A4E74B3"/>
    <w:rsid w:val="0B3A3EA2"/>
    <w:rsid w:val="0C094186"/>
    <w:rsid w:val="0FE663C2"/>
    <w:rsid w:val="13864617"/>
    <w:rsid w:val="13A6740F"/>
    <w:rsid w:val="1713221D"/>
    <w:rsid w:val="1A385F51"/>
    <w:rsid w:val="213B5E42"/>
    <w:rsid w:val="22834A9B"/>
    <w:rsid w:val="29235C68"/>
    <w:rsid w:val="29571DFA"/>
    <w:rsid w:val="2A241BCE"/>
    <w:rsid w:val="2AC83296"/>
    <w:rsid w:val="3838311F"/>
    <w:rsid w:val="385050F9"/>
    <w:rsid w:val="38CB5080"/>
    <w:rsid w:val="3A394D92"/>
    <w:rsid w:val="3CC153A4"/>
    <w:rsid w:val="3FFD1131"/>
    <w:rsid w:val="42FE5433"/>
    <w:rsid w:val="48FD385A"/>
    <w:rsid w:val="499A0E14"/>
    <w:rsid w:val="49FE49E7"/>
    <w:rsid w:val="4CDD4FF8"/>
    <w:rsid w:val="4DB71D3A"/>
    <w:rsid w:val="4F3D53B2"/>
    <w:rsid w:val="5752122B"/>
    <w:rsid w:val="5CF310FC"/>
    <w:rsid w:val="63AF0497"/>
    <w:rsid w:val="660B1854"/>
    <w:rsid w:val="66943555"/>
    <w:rsid w:val="66A96C42"/>
    <w:rsid w:val="6D3548A0"/>
    <w:rsid w:val="6F006F9B"/>
    <w:rsid w:val="6F3A0FFC"/>
    <w:rsid w:val="72470E1E"/>
    <w:rsid w:val="771A632D"/>
    <w:rsid w:val="7BBC1470"/>
    <w:rsid w:val="7C241BCE"/>
    <w:rsid w:val="7C2A7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64"/>
    <w:qFormat/>
    <w:uiPriority w:val="0"/>
    <w:pPr>
      <w:keepNext/>
      <w:keepLines/>
      <w:spacing w:before="260" w:after="260" w:line="416" w:lineRule="auto"/>
      <w:outlineLvl w:val="1"/>
    </w:pPr>
    <w:rPr>
      <w:rFonts w:ascii="Cambria" w:hAnsi="Cambria" w:cs="Cambria"/>
      <w:b/>
      <w:kern w:val="0"/>
      <w:sz w:val="32"/>
      <w:szCs w:val="32"/>
    </w:rPr>
  </w:style>
  <w:style w:type="paragraph" w:styleId="6">
    <w:name w:val="heading 3"/>
    <w:basedOn w:val="1"/>
    <w:next w:val="7"/>
    <w:link w:val="74"/>
    <w:qFormat/>
    <w:uiPriority w:val="0"/>
    <w:pPr>
      <w:keepNext/>
      <w:keepLines/>
      <w:spacing w:before="260" w:after="260" w:line="416" w:lineRule="auto"/>
      <w:outlineLvl w:val="2"/>
    </w:pPr>
    <w:rPr>
      <w:rFonts w:ascii="Calibri" w:hAnsi="Calibri"/>
      <w:b/>
      <w:bCs/>
      <w:kern w:val="0"/>
      <w:sz w:val="32"/>
      <w:szCs w:val="32"/>
    </w:rPr>
  </w:style>
  <w:style w:type="paragraph" w:styleId="8">
    <w:name w:val="heading 4"/>
    <w:basedOn w:val="1"/>
    <w:next w:val="1"/>
    <w:link w:val="62"/>
    <w:qFormat/>
    <w:uiPriority w:val="0"/>
    <w:pPr>
      <w:keepNext/>
      <w:keepLines/>
      <w:spacing w:before="280" w:after="290" w:line="376" w:lineRule="auto"/>
      <w:outlineLvl w:val="3"/>
    </w:pPr>
    <w:rPr>
      <w:rFonts w:ascii="Cambria" w:hAnsi="Cambria"/>
      <w:b/>
      <w:bCs/>
      <w:sz w:val="28"/>
      <w:szCs w:val="28"/>
    </w:rPr>
  </w:style>
  <w:style w:type="paragraph" w:styleId="9">
    <w:name w:val="heading 5"/>
    <w:basedOn w:val="1"/>
    <w:next w:val="1"/>
    <w:link w:val="87"/>
    <w:qFormat/>
    <w:uiPriority w:val="0"/>
    <w:pPr>
      <w:keepNext/>
      <w:keepLines/>
      <w:spacing w:before="280" w:after="290" w:line="376" w:lineRule="auto"/>
      <w:outlineLvl w:val="4"/>
    </w:pPr>
    <w:rPr>
      <w:rFonts w:ascii="Calibri" w:hAnsi="Calibri"/>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0"/>
    <w:qFormat/>
    <w:uiPriority w:val="0"/>
    <w:rPr>
      <w:rFonts w:ascii="FangSong_GB2312" w:hAnsi="宋体" w:eastAsia="FangSong_GB2312"/>
      <w:kern w:val="0"/>
      <w:sz w:val="24"/>
      <w:szCs w:val="24"/>
    </w:rPr>
  </w:style>
  <w:style w:type="paragraph" w:customStyle="1" w:styleId="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7">
    <w:name w:val="Normal Indent"/>
    <w:basedOn w:val="1"/>
    <w:link w:val="79"/>
    <w:qFormat/>
    <w:uiPriority w:val="0"/>
    <w:pPr>
      <w:adjustRightInd w:val="0"/>
      <w:spacing w:line="360" w:lineRule="atLeast"/>
      <w:ind w:firstLine="420"/>
      <w:jc w:val="left"/>
      <w:textAlignment w:val="baseline"/>
    </w:pPr>
    <w:rPr>
      <w:kern w:val="0"/>
      <w:szCs w:val="21"/>
    </w:rPr>
  </w:style>
  <w:style w:type="paragraph" w:styleId="10">
    <w:name w:val="caption"/>
    <w:basedOn w:val="1"/>
    <w:next w:val="1"/>
    <w:qFormat/>
    <w:uiPriority w:val="0"/>
    <w:rPr>
      <w:rFonts w:ascii="Cambria" w:hAnsi="Cambria" w:eastAsia="黑体"/>
      <w:sz w:val="20"/>
      <w:szCs w:val="20"/>
    </w:rPr>
  </w:style>
  <w:style w:type="paragraph" w:styleId="11">
    <w:name w:val="Document Map"/>
    <w:basedOn w:val="1"/>
    <w:link w:val="56"/>
    <w:qFormat/>
    <w:uiPriority w:val="0"/>
    <w:rPr>
      <w:rFonts w:ascii="宋体"/>
      <w:sz w:val="18"/>
      <w:szCs w:val="18"/>
    </w:rPr>
  </w:style>
  <w:style w:type="paragraph" w:styleId="12">
    <w:name w:val="annotation text"/>
    <w:basedOn w:val="1"/>
    <w:link w:val="54"/>
    <w:qFormat/>
    <w:uiPriority w:val="0"/>
    <w:pPr>
      <w:jc w:val="left"/>
    </w:pPr>
    <w:rPr>
      <w:kern w:val="0"/>
      <w:sz w:val="20"/>
      <w:szCs w:val="21"/>
    </w:rPr>
  </w:style>
  <w:style w:type="paragraph" w:styleId="13">
    <w:name w:val="Body Text Indent"/>
    <w:basedOn w:val="1"/>
    <w:link w:val="75"/>
    <w:qFormat/>
    <w:uiPriority w:val="0"/>
    <w:pPr>
      <w:snapToGrid w:val="0"/>
      <w:spacing w:line="440" w:lineRule="exact"/>
      <w:ind w:firstLine="403" w:firstLineChars="192"/>
    </w:pPr>
    <w:rPr>
      <w:rFonts w:ascii="宋体" w:hAnsi="宋体"/>
      <w:kern w:val="0"/>
      <w:sz w:val="20"/>
      <w:szCs w:val="21"/>
    </w:rPr>
  </w:style>
  <w:style w:type="paragraph" w:styleId="14">
    <w:name w:val="Block Text"/>
    <w:basedOn w:val="1"/>
    <w:qFormat/>
    <w:uiPriority w:val="99"/>
    <w:pPr>
      <w:spacing w:after="120"/>
      <w:ind w:left="1440" w:leftChars="700" w:right="1440" w:rightChars="700"/>
    </w:pPr>
  </w:style>
  <w:style w:type="paragraph" w:styleId="15">
    <w:name w:val="toc 3"/>
    <w:basedOn w:val="1"/>
    <w:next w:val="1"/>
    <w:qFormat/>
    <w:uiPriority w:val="39"/>
    <w:pPr>
      <w:ind w:left="840" w:leftChars="400"/>
    </w:pPr>
    <w:rPr>
      <w:rFonts w:ascii="Calibri" w:hAnsi="Calibri"/>
    </w:rPr>
  </w:style>
  <w:style w:type="paragraph" w:styleId="16">
    <w:name w:val="Plain Text"/>
    <w:basedOn w:val="1"/>
    <w:link w:val="89"/>
    <w:qFormat/>
    <w:uiPriority w:val="0"/>
    <w:rPr>
      <w:rFonts w:ascii="宋体" w:hAnsi="Courier New"/>
      <w:kern w:val="0"/>
      <w:sz w:val="28"/>
      <w:szCs w:val="28"/>
    </w:rPr>
  </w:style>
  <w:style w:type="paragraph" w:styleId="17">
    <w:name w:val="Date"/>
    <w:basedOn w:val="1"/>
    <w:next w:val="1"/>
    <w:link w:val="66"/>
    <w:qFormat/>
    <w:uiPriority w:val="0"/>
    <w:pPr>
      <w:ind w:left="100" w:leftChars="2500"/>
    </w:pPr>
    <w:rPr>
      <w:kern w:val="0"/>
      <w:sz w:val="20"/>
      <w:szCs w:val="21"/>
    </w:rPr>
  </w:style>
  <w:style w:type="paragraph" w:styleId="18">
    <w:name w:val="Body Text Indent 2"/>
    <w:basedOn w:val="1"/>
    <w:next w:val="19"/>
    <w:link w:val="91"/>
    <w:qFormat/>
    <w:uiPriority w:val="0"/>
    <w:pPr>
      <w:snapToGrid w:val="0"/>
      <w:spacing w:line="440" w:lineRule="exact"/>
      <w:ind w:firstLine="420" w:firstLineChars="200"/>
    </w:pPr>
    <w:rPr>
      <w:rFonts w:ascii="宋体" w:hAnsi="宋体"/>
      <w:kern w:val="0"/>
      <w:sz w:val="20"/>
      <w:szCs w:val="21"/>
    </w:rPr>
  </w:style>
  <w:style w:type="paragraph" w:customStyle="1" w:styleId="19">
    <w:name w:val="xl75"/>
    <w:basedOn w:val="1"/>
    <w:next w:val="20"/>
    <w:qFormat/>
    <w:uiPriority w:val="0"/>
    <w:pPr>
      <w:widowControl/>
      <w:spacing w:before="280" w:after="280"/>
      <w:ind w:left="200" w:firstLine="5320"/>
      <w:jc w:val="center"/>
    </w:pPr>
    <w:rPr>
      <w:rFonts w:ascii="宋体"/>
    </w:rPr>
  </w:style>
  <w:style w:type="paragraph" w:customStyle="1" w:styleId="20">
    <w:name w:val="Test2"/>
    <w:basedOn w:val="5"/>
    <w:next w:val="21"/>
    <w:qFormat/>
    <w:uiPriority w:val="0"/>
    <w:pPr>
      <w:widowControl/>
      <w:spacing w:before="156" w:after="156" w:line="480" w:lineRule="exact"/>
      <w:ind w:left="200" w:firstLine="14"/>
      <w:jc w:val="center"/>
    </w:pPr>
  </w:style>
  <w:style w:type="paragraph" w:customStyle="1" w:styleId="21">
    <w:name w:val="xl59"/>
    <w:basedOn w:val="1"/>
    <w:next w:val="22"/>
    <w:qFormat/>
    <w:uiPriority w:val="0"/>
    <w:pPr>
      <w:widowControl/>
      <w:spacing w:before="280" w:after="280"/>
      <w:ind w:left="200" w:firstLine="5320"/>
      <w:jc w:val="center"/>
    </w:pPr>
    <w:rPr>
      <w:rFonts w:ascii="Calibri"/>
    </w:rPr>
  </w:style>
  <w:style w:type="paragraph" w:customStyle="1" w:styleId="22">
    <w:name w:val="方案正文"/>
    <w:basedOn w:val="1"/>
    <w:next w:val="23"/>
    <w:qFormat/>
    <w:uiPriority w:val="0"/>
    <w:pPr>
      <w:spacing w:before="156" w:line="360" w:lineRule="auto"/>
      <w:ind w:left="359" w:firstLine="3687"/>
    </w:pPr>
  </w:style>
  <w:style w:type="paragraph" w:customStyle="1" w:styleId="23">
    <w:name w:val="小四 段落 宋体 Char Char Char Char"/>
    <w:basedOn w:val="1"/>
    <w:next w:val="24"/>
    <w:qFormat/>
    <w:uiPriority w:val="0"/>
    <w:pPr>
      <w:spacing w:line="360" w:lineRule="auto"/>
      <w:ind w:left="480" w:right="-33" w:firstLine="3808"/>
    </w:pPr>
  </w:style>
  <w:style w:type="paragraph" w:customStyle="1" w:styleId="24">
    <w:name w:val="flType"/>
    <w:next w:val="1"/>
    <w:qFormat/>
    <w:uiPriority w:val="0"/>
    <w:pPr>
      <w:widowControl w:val="0"/>
      <w:spacing w:after="284" w:line="113" w:lineRule="atLeast"/>
      <w:ind w:firstLine="4608"/>
      <w:jc w:val="center"/>
    </w:pPr>
    <w:rPr>
      <w:rFonts w:ascii="Calibri" w:hAnsi="Times New Roman" w:eastAsia="宋体" w:cs="Times New Roman"/>
      <w:lang w:val="en-US" w:eastAsia="zh-CN" w:bidi="ar-SA"/>
    </w:rPr>
  </w:style>
  <w:style w:type="paragraph" w:styleId="25">
    <w:name w:val="Balloon Text"/>
    <w:basedOn w:val="1"/>
    <w:link w:val="92"/>
    <w:qFormat/>
    <w:uiPriority w:val="0"/>
    <w:rPr>
      <w:kern w:val="0"/>
      <w:sz w:val="18"/>
      <w:szCs w:val="18"/>
    </w:rPr>
  </w:style>
  <w:style w:type="paragraph" w:styleId="26">
    <w:name w:val="footer"/>
    <w:basedOn w:val="1"/>
    <w:link w:val="58"/>
    <w:qFormat/>
    <w:uiPriority w:val="0"/>
    <w:pPr>
      <w:tabs>
        <w:tab w:val="center" w:pos="4153"/>
        <w:tab w:val="right" w:pos="8306"/>
      </w:tabs>
      <w:autoSpaceDE w:val="0"/>
      <w:autoSpaceDN w:val="0"/>
      <w:adjustRightInd w:val="0"/>
      <w:snapToGrid w:val="0"/>
      <w:jc w:val="left"/>
    </w:pPr>
    <w:rPr>
      <w:rFonts w:ascii="宋体"/>
      <w:kern w:val="0"/>
      <w:sz w:val="18"/>
      <w:szCs w:val="18"/>
    </w:rPr>
  </w:style>
  <w:style w:type="paragraph" w:styleId="27">
    <w:name w:val="header"/>
    <w:basedOn w:val="1"/>
    <w:link w:val="76"/>
    <w:qFormat/>
    <w:uiPriority w:val="0"/>
    <w:pPr>
      <w:pBdr>
        <w:bottom w:val="single" w:color="auto" w:sz="6" w:space="1"/>
      </w:pBdr>
      <w:tabs>
        <w:tab w:val="center" w:pos="4153"/>
        <w:tab w:val="right" w:pos="8306"/>
      </w:tabs>
      <w:autoSpaceDE w:val="0"/>
      <w:autoSpaceDN w:val="0"/>
      <w:adjustRightInd w:val="0"/>
      <w:snapToGrid w:val="0"/>
      <w:jc w:val="center"/>
    </w:pPr>
    <w:rPr>
      <w:rFonts w:ascii="宋体"/>
      <w:kern w:val="0"/>
      <w:sz w:val="18"/>
      <w:szCs w:val="18"/>
    </w:rPr>
  </w:style>
  <w:style w:type="paragraph" w:styleId="28">
    <w:name w:val="toc 1"/>
    <w:basedOn w:val="1"/>
    <w:next w:val="1"/>
    <w:qFormat/>
    <w:uiPriority w:val="39"/>
    <w:rPr>
      <w:rFonts w:ascii="Calibri" w:hAnsi="Calibri"/>
    </w:rPr>
  </w:style>
  <w:style w:type="paragraph" w:styleId="29">
    <w:name w:val="Subtitle"/>
    <w:basedOn w:val="1"/>
    <w:next w:val="1"/>
    <w:link w:val="78"/>
    <w:qFormat/>
    <w:uiPriority w:val="0"/>
    <w:pPr>
      <w:spacing w:before="240" w:after="60" w:line="312" w:lineRule="auto"/>
      <w:jc w:val="center"/>
      <w:outlineLvl w:val="1"/>
    </w:pPr>
    <w:rPr>
      <w:rFonts w:ascii="Cambria" w:hAnsi="Cambria"/>
      <w:b/>
      <w:bCs/>
      <w:kern w:val="28"/>
      <w:sz w:val="32"/>
      <w:szCs w:val="32"/>
    </w:rPr>
  </w:style>
  <w:style w:type="paragraph" w:styleId="30">
    <w:name w:val="Body Text Indent 3"/>
    <w:basedOn w:val="1"/>
    <w:qFormat/>
    <w:uiPriority w:val="0"/>
    <w:pPr>
      <w:autoSpaceDE w:val="0"/>
      <w:autoSpaceDN w:val="0"/>
      <w:adjustRightInd w:val="0"/>
      <w:spacing w:beforeLines="50" w:afterLines="50"/>
      <w:ind w:left="2" w:firstLine="703" w:firstLineChars="251"/>
    </w:pPr>
    <w:rPr>
      <w:rFonts w:eastAsia="幼圆"/>
      <w:kern w:val="0"/>
      <w:sz w:val="28"/>
      <w:szCs w:val="28"/>
    </w:rPr>
  </w:style>
  <w:style w:type="paragraph" w:styleId="31">
    <w:name w:val="toc 2"/>
    <w:basedOn w:val="1"/>
    <w:next w:val="1"/>
    <w:qFormat/>
    <w:uiPriority w:val="39"/>
    <w:pPr>
      <w:ind w:left="420" w:leftChars="200"/>
    </w:pPr>
    <w:rPr>
      <w:rFonts w:ascii="Calibri" w:hAnsi="Calibri"/>
    </w:rPr>
  </w:style>
  <w:style w:type="paragraph" w:styleId="3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34">
    <w:name w:val="Title"/>
    <w:basedOn w:val="1"/>
    <w:next w:val="1"/>
    <w:link w:val="90"/>
    <w:qFormat/>
    <w:uiPriority w:val="0"/>
    <w:pPr>
      <w:spacing w:before="240" w:after="60"/>
      <w:jc w:val="center"/>
      <w:outlineLvl w:val="0"/>
    </w:pPr>
    <w:rPr>
      <w:rFonts w:ascii="Cambria" w:hAnsi="Cambria"/>
      <w:b/>
      <w:bCs/>
      <w:sz w:val="32"/>
      <w:szCs w:val="32"/>
    </w:rPr>
  </w:style>
  <w:style w:type="paragraph" w:styleId="35">
    <w:name w:val="annotation subject"/>
    <w:basedOn w:val="12"/>
    <w:next w:val="12"/>
    <w:link w:val="61"/>
    <w:qFormat/>
    <w:uiPriority w:val="0"/>
    <w:rPr>
      <w:b/>
      <w:bCs/>
      <w:kern w:val="2"/>
      <w:sz w:val="21"/>
      <w:szCs w:val="22"/>
    </w:rPr>
  </w:style>
  <w:style w:type="paragraph" w:styleId="36">
    <w:name w:val="Body Text First Indent"/>
    <w:basedOn w:val="2"/>
    <w:link w:val="83"/>
    <w:qFormat/>
    <w:uiPriority w:val="0"/>
    <w:pPr>
      <w:spacing w:after="120"/>
      <w:ind w:firstLine="420" w:firstLineChars="100"/>
    </w:pPr>
    <w:rPr>
      <w:rFonts w:ascii="Calibri" w:hAnsi="Calibri" w:eastAsia="宋体"/>
      <w:sz w:val="20"/>
      <w:szCs w:val="20"/>
    </w:rPr>
  </w:style>
  <w:style w:type="table" w:styleId="38">
    <w:name w:val="Table Grid"/>
    <w:basedOn w:val="3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rFonts w:ascii="Times New Roman" w:hAnsi="Times New Roman" w:eastAsia="宋体" w:cs="Times New Roman"/>
      <w:b/>
      <w:bCs/>
    </w:rPr>
  </w:style>
  <w:style w:type="character" w:styleId="41">
    <w:name w:val="page number"/>
    <w:qFormat/>
    <w:uiPriority w:val="0"/>
    <w:rPr>
      <w:rFonts w:ascii="Times New Roman" w:hAnsi="Times New Roman" w:eastAsia="宋体" w:cs="Times New Roman"/>
    </w:rPr>
  </w:style>
  <w:style w:type="character" w:styleId="42">
    <w:name w:val="FollowedHyperlink"/>
    <w:qFormat/>
    <w:uiPriority w:val="0"/>
    <w:rPr>
      <w:rFonts w:ascii="Times New Roman" w:hAnsi="Times New Roman" w:eastAsia="宋体" w:cs="Times New Roman"/>
      <w:color w:val="800080"/>
      <w:u w:val="single"/>
    </w:rPr>
  </w:style>
  <w:style w:type="character" w:styleId="43">
    <w:name w:val="Emphasis"/>
    <w:qFormat/>
    <w:uiPriority w:val="0"/>
    <w:rPr>
      <w:rFonts w:ascii="Times New Roman" w:hAnsi="Times New Roman" w:eastAsia="宋体" w:cs="Times New Roman"/>
      <w:i/>
      <w:iCs/>
    </w:rPr>
  </w:style>
  <w:style w:type="character" w:styleId="44">
    <w:name w:val="Hyperlink"/>
    <w:qFormat/>
    <w:uiPriority w:val="0"/>
    <w:rPr>
      <w:rFonts w:ascii="Times New Roman" w:hAnsi="Times New Roman" w:eastAsia="宋体" w:cs="Times New Roman"/>
      <w:color w:val="0000FF"/>
      <w:u w:val="single"/>
    </w:rPr>
  </w:style>
  <w:style w:type="character" w:styleId="45">
    <w:name w:val="annotation reference"/>
    <w:qFormat/>
    <w:uiPriority w:val="0"/>
    <w:rPr>
      <w:rFonts w:ascii="Times New Roman" w:hAnsi="Times New Roman" w:eastAsia="宋体" w:cs="Times New Roman"/>
      <w:sz w:val="21"/>
      <w:szCs w:val="21"/>
    </w:rPr>
  </w:style>
  <w:style w:type="paragraph" w:customStyle="1" w:styleId="46">
    <w:name w:val="章正文"/>
    <w:basedOn w:val="1"/>
    <w:qFormat/>
    <w:locked/>
    <w:uiPriority w:val="0"/>
    <w:pPr>
      <w:spacing w:beforeLines="50" w:after="120" w:line="300" w:lineRule="auto"/>
      <w:ind w:firstLine="480"/>
    </w:pPr>
    <w:rPr>
      <w:rFonts w:ascii="Helvetica" w:hAnsi="Helvetica"/>
      <w:kern w:val="0"/>
    </w:rPr>
  </w:style>
  <w:style w:type="paragraph" w:customStyle="1" w:styleId="47">
    <w:name w:val="首行缩进"/>
    <w:basedOn w:val="1"/>
    <w:qFormat/>
    <w:uiPriority w:val="0"/>
    <w:pPr>
      <w:ind w:firstLine="480" w:firstLineChars="200"/>
    </w:pPr>
    <w:rPr>
      <w:szCs w:val="20"/>
      <w:lang w:val="zh-CN"/>
    </w:rPr>
  </w:style>
  <w:style w:type="character" w:customStyle="1" w:styleId="48">
    <w:name w:val="qxdate"/>
    <w:qFormat/>
    <w:uiPriority w:val="0"/>
    <w:rPr>
      <w:rFonts w:ascii="Times New Roman" w:hAnsi="Times New Roman" w:eastAsia="宋体" w:cs="Times New Roman"/>
      <w:color w:val="333333"/>
      <w:sz w:val="18"/>
      <w:szCs w:val="18"/>
    </w:rPr>
  </w:style>
  <w:style w:type="character" w:customStyle="1" w:styleId="49">
    <w:name w:val="纯文本 Char1"/>
    <w:qFormat/>
    <w:uiPriority w:val="0"/>
    <w:rPr>
      <w:rFonts w:ascii="宋体" w:hAnsi="Courier New" w:eastAsia="宋体" w:cs="Courier New"/>
      <w:szCs w:val="21"/>
    </w:rPr>
  </w:style>
  <w:style w:type="character" w:customStyle="1" w:styleId="50">
    <w:name w:val="正文文本 字符"/>
    <w:link w:val="2"/>
    <w:qFormat/>
    <w:uiPriority w:val="0"/>
    <w:rPr>
      <w:rFonts w:ascii="FangSong_GB2312" w:hAnsi="宋体" w:eastAsia="FangSong_GB2312" w:cs="FangSong_GB2312"/>
      <w:sz w:val="24"/>
      <w:szCs w:val="24"/>
    </w:rPr>
  </w:style>
  <w:style w:type="character" w:customStyle="1" w:styleId="51">
    <w:name w:val="cfdate"/>
    <w:qFormat/>
    <w:uiPriority w:val="0"/>
    <w:rPr>
      <w:rFonts w:ascii="Times New Roman" w:hAnsi="Times New Roman" w:eastAsia="宋体" w:cs="Times New Roman"/>
      <w:color w:val="333333"/>
      <w:sz w:val="18"/>
      <w:szCs w:val="18"/>
    </w:rPr>
  </w:style>
  <w:style w:type="character" w:customStyle="1" w:styleId="52">
    <w:name w:val="正文首行缩进 Char1"/>
    <w:qFormat/>
    <w:uiPriority w:val="0"/>
    <w:rPr>
      <w:rFonts w:ascii="Times New Roman" w:hAnsi="Times New Roman" w:eastAsia="宋体" w:cs="Times New Roman"/>
      <w:sz w:val="24"/>
      <w:szCs w:val="24"/>
    </w:rPr>
  </w:style>
  <w:style w:type="character" w:customStyle="1" w:styleId="53">
    <w:name w:val="redfilenumber"/>
    <w:qFormat/>
    <w:uiPriority w:val="0"/>
    <w:rPr>
      <w:rFonts w:ascii="Times New Roman" w:hAnsi="Times New Roman" w:eastAsia="宋体" w:cs="Times New Roman"/>
      <w:color w:val="BA2636"/>
      <w:sz w:val="18"/>
      <w:szCs w:val="18"/>
    </w:rPr>
  </w:style>
  <w:style w:type="character" w:customStyle="1" w:styleId="54">
    <w:name w:val="批注文字 字符"/>
    <w:link w:val="12"/>
    <w:qFormat/>
    <w:uiPriority w:val="0"/>
    <w:rPr>
      <w:rFonts w:ascii="Times New Roman" w:hAnsi="Times New Roman" w:eastAsia="宋体" w:cs="Times New Roman"/>
      <w:szCs w:val="21"/>
    </w:rPr>
  </w:style>
  <w:style w:type="character" w:customStyle="1" w:styleId="55">
    <w:name w:val="标题 1 字符"/>
    <w:link w:val="4"/>
    <w:qFormat/>
    <w:uiPriority w:val="0"/>
    <w:rPr>
      <w:rFonts w:ascii="Times New Roman" w:hAnsi="Times New Roman" w:eastAsia="宋体" w:cs="Times New Roman"/>
      <w:b/>
      <w:bCs/>
      <w:kern w:val="44"/>
      <w:sz w:val="44"/>
      <w:szCs w:val="44"/>
    </w:rPr>
  </w:style>
  <w:style w:type="character" w:customStyle="1" w:styleId="56">
    <w:name w:val="文档结构图 字符"/>
    <w:link w:val="11"/>
    <w:qFormat/>
    <w:uiPriority w:val="0"/>
    <w:rPr>
      <w:rFonts w:ascii="宋体" w:hAnsi="Times New Roman" w:eastAsia="宋体" w:cs="Times New Roman"/>
      <w:kern w:val="2"/>
      <w:sz w:val="18"/>
      <w:szCs w:val="18"/>
    </w:rPr>
  </w:style>
  <w:style w:type="character" w:customStyle="1" w:styleId="57">
    <w:name w:val="font51"/>
    <w:qFormat/>
    <w:uiPriority w:val="0"/>
    <w:rPr>
      <w:rFonts w:hint="default" w:ascii="Tahoma" w:hAnsi="Tahoma" w:eastAsia="Tahoma" w:cs="Tahoma"/>
      <w:color w:val="000000"/>
      <w:sz w:val="22"/>
      <w:szCs w:val="22"/>
      <w:u w:val="none"/>
    </w:rPr>
  </w:style>
  <w:style w:type="character" w:customStyle="1" w:styleId="58">
    <w:name w:val="页脚 字符"/>
    <w:link w:val="26"/>
    <w:qFormat/>
    <w:uiPriority w:val="0"/>
    <w:rPr>
      <w:rFonts w:ascii="宋体" w:hAnsi="Times New Roman" w:eastAsia="宋体" w:cs="Times New Roman"/>
      <w:kern w:val="0"/>
      <w:sz w:val="18"/>
      <w:szCs w:val="18"/>
    </w:rPr>
  </w:style>
  <w:style w:type="character" w:customStyle="1" w:styleId="59">
    <w:name w:val="z-窗体底端 Char"/>
    <w:link w:val="60"/>
    <w:qFormat/>
    <w:uiPriority w:val="0"/>
    <w:rPr>
      <w:rFonts w:ascii="Arial" w:hAnsi="Arial" w:eastAsia="宋体" w:cs="Arial"/>
      <w:vanish/>
      <w:kern w:val="0"/>
      <w:sz w:val="16"/>
      <w:szCs w:val="16"/>
    </w:rPr>
  </w:style>
  <w:style w:type="paragraph" w:customStyle="1" w:styleId="60">
    <w:name w:val="HTML Bottom of Form_96f35790-887a-414f-b31a-7e4669d65aca"/>
    <w:basedOn w:val="1"/>
    <w:next w:val="1"/>
    <w:link w:val="59"/>
    <w:qFormat/>
    <w:uiPriority w:val="0"/>
    <w:pPr>
      <w:widowControl/>
      <w:pBdr>
        <w:top w:val="single" w:color="auto" w:sz="6" w:space="1"/>
      </w:pBdr>
      <w:jc w:val="center"/>
    </w:pPr>
    <w:rPr>
      <w:rFonts w:ascii="Arial" w:hAnsi="Arial"/>
      <w:vanish/>
      <w:kern w:val="0"/>
      <w:sz w:val="16"/>
      <w:szCs w:val="16"/>
    </w:rPr>
  </w:style>
  <w:style w:type="character" w:customStyle="1" w:styleId="61">
    <w:name w:val="批注主题 字符"/>
    <w:link w:val="35"/>
    <w:qFormat/>
    <w:uiPriority w:val="0"/>
    <w:rPr>
      <w:rFonts w:ascii="Times New Roman" w:hAnsi="Times New Roman" w:eastAsia="宋体" w:cs="Times New Roman"/>
      <w:b/>
      <w:bCs/>
      <w:kern w:val="2"/>
      <w:sz w:val="21"/>
      <w:szCs w:val="22"/>
    </w:rPr>
  </w:style>
  <w:style w:type="character" w:customStyle="1" w:styleId="62">
    <w:name w:val="标题 4 字符"/>
    <w:link w:val="8"/>
    <w:qFormat/>
    <w:uiPriority w:val="0"/>
    <w:rPr>
      <w:rFonts w:ascii="Cambria" w:hAnsi="Cambria" w:eastAsia="宋体" w:cs="Times New Roman"/>
      <w:b/>
      <w:bCs/>
      <w:kern w:val="2"/>
      <w:sz w:val="28"/>
      <w:szCs w:val="28"/>
    </w:rPr>
  </w:style>
  <w:style w:type="character" w:customStyle="1" w:styleId="63">
    <w:name w:val="font21"/>
    <w:qFormat/>
    <w:uiPriority w:val="0"/>
    <w:rPr>
      <w:rFonts w:hint="eastAsia" w:ascii="宋体" w:hAnsi="宋体" w:eastAsia="宋体" w:cs="宋体"/>
      <w:color w:val="000000"/>
      <w:sz w:val="24"/>
      <w:szCs w:val="24"/>
      <w:u w:val="none"/>
    </w:rPr>
  </w:style>
  <w:style w:type="character" w:customStyle="1" w:styleId="64">
    <w:name w:val="标题 2 字符"/>
    <w:link w:val="5"/>
    <w:qFormat/>
    <w:uiPriority w:val="0"/>
    <w:rPr>
      <w:rFonts w:hint="default" w:ascii="Cambria" w:hAnsi="Cambria" w:eastAsia="宋体" w:cs="Cambria"/>
      <w:b/>
      <w:sz w:val="32"/>
      <w:szCs w:val="32"/>
      <w:lang w:bidi="ar-SA"/>
    </w:rPr>
  </w:style>
  <w:style w:type="character" w:customStyle="1" w:styleId="65">
    <w:name w:val="纯文本 Char2"/>
    <w:qFormat/>
    <w:uiPriority w:val="0"/>
    <w:rPr>
      <w:rFonts w:ascii="宋体" w:hAnsi="Courier New" w:eastAsia="宋体" w:cs="Times New Roman"/>
      <w:kern w:val="2"/>
      <w:sz w:val="21"/>
      <w:lang w:val="en-US" w:eastAsia="zh-CN" w:bidi="ar-SA"/>
    </w:rPr>
  </w:style>
  <w:style w:type="character" w:customStyle="1" w:styleId="66">
    <w:name w:val="日期 字符"/>
    <w:link w:val="17"/>
    <w:qFormat/>
    <w:uiPriority w:val="0"/>
    <w:rPr>
      <w:rFonts w:ascii="Times New Roman" w:hAnsi="Times New Roman" w:eastAsia="宋体" w:cs="Times New Roman"/>
      <w:szCs w:val="21"/>
    </w:rPr>
  </w:style>
  <w:style w:type="character" w:customStyle="1" w:styleId="67">
    <w:name w:val="标题 2 Char"/>
    <w:qFormat/>
    <w:uiPriority w:val="0"/>
    <w:rPr>
      <w:rFonts w:ascii="Cambria" w:hAnsi="Cambria" w:eastAsia="宋体" w:cs="Times New Roman"/>
      <w:b/>
      <w:bCs/>
      <w:sz w:val="32"/>
      <w:szCs w:val="32"/>
    </w:rPr>
  </w:style>
  <w:style w:type="character" w:customStyle="1" w:styleId="68">
    <w:name w:val="font11"/>
    <w:qFormat/>
    <w:uiPriority w:val="0"/>
    <w:rPr>
      <w:rFonts w:hint="eastAsia" w:ascii="宋体" w:hAnsi="宋体" w:eastAsia="宋体" w:cs="宋体"/>
      <w:color w:val="000000"/>
      <w:sz w:val="22"/>
      <w:szCs w:val="22"/>
      <w:u w:val="none"/>
    </w:rPr>
  </w:style>
  <w:style w:type="character" w:customStyle="1" w:styleId="69">
    <w:name w:val="gjfg"/>
    <w:basedOn w:val="39"/>
    <w:qFormat/>
    <w:uiPriority w:val="0"/>
    <w:rPr>
      <w:rFonts w:ascii="Times New Roman" w:hAnsi="Times New Roman" w:eastAsia="宋体" w:cs="Times New Roman"/>
    </w:rPr>
  </w:style>
  <w:style w:type="character" w:customStyle="1" w:styleId="70">
    <w:name w:val="z-窗体顶端 Char"/>
    <w:link w:val="71"/>
    <w:qFormat/>
    <w:uiPriority w:val="0"/>
    <w:rPr>
      <w:rFonts w:ascii="Arial" w:hAnsi="Arial" w:eastAsia="宋体" w:cs="Arial"/>
      <w:vanish/>
      <w:kern w:val="0"/>
      <w:sz w:val="16"/>
      <w:szCs w:val="16"/>
    </w:rPr>
  </w:style>
  <w:style w:type="paragraph" w:customStyle="1" w:styleId="71">
    <w:name w:val="HTML Top of Form_28607e88-dbbc-478f-ad69-604d008db421"/>
    <w:basedOn w:val="1"/>
    <w:next w:val="1"/>
    <w:link w:val="70"/>
    <w:qFormat/>
    <w:uiPriority w:val="0"/>
    <w:pPr>
      <w:widowControl/>
      <w:pBdr>
        <w:bottom w:val="single" w:color="auto" w:sz="6" w:space="1"/>
      </w:pBdr>
      <w:jc w:val="center"/>
    </w:pPr>
    <w:rPr>
      <w:rFonts w:ascii="Arial" w:hAnsi="Arial"/>
      <w:vanish/>
      <w:kern w:val="0"/>
      <w:sz w:val="16"/>
      <w:szCs w:val="16"/>
    </w:rPr>
  </w:style>
  <w:style w:type="character" w:customStyle="1" w:styleId="72">
    <w:name w:val="正文首行缩进 Char2"/>
    <w:qFormat/>
    <w:uiPriority w:val="0"/>
    <w:rPr>
      <w:rFonts w:ascii="FangSong_GB2312" w:hAnsi="宋体" w:eastAsia="FangSong_GB2312" w:cs="FangSong_GB2312"/>
      <w:kern w:val="2"/>
      <w:sz w:val="21"/>
      <w:szCs w:val="22"/>
    </w:rPr>
  </w:style>
  <w:style w:type="character" w:customStyle="1" w:styleId="73">
    <w:name w:val="font31"/>
    <w:basedOn w:val="39"/>
    <w:qFormat/>
    <w:uiPriority w:val="0"/>
    <w:rPr>
      <w:rFonts w:hint="eastAsia" w:ascii="宋体" w:hAnsi="宋体" w:eastAsia="宋体" w:cs="宋体"/>
      <w:color w:val="000000"/>
      <w:sz w:val="20"/>
      <w:szCs w:val="20"/>
      <w:u w:val="none"/>
    </w:rPr>
  </w:style>
  <w:style w:type="character" w:customStyle="1" w:styleId="74">
    <w:name w:val="标题 3 字符"/>
    <w:link w:val="6"/>
    <w:qFormat/>
    <w:uiPriority w:val="0"/>
    <w:rPr>
      <w:rFonts w:ascii="Calibri" w:hAnsi="Calibri" w:eastAsia="宋体" w:cs="Times New Roman"/>
      <w:b/>
      <w:bCs/>
      <w:kern w:val="0"/>
      <w:sz w:val="32"/>
      <w:szCs w:val="32"/>
    </w:rPr>
  </w:style>
  <w:style w:type="character" w:customStyle="1" w:styleId="75">
    <w:name w:val="正文文本缩进 字符"/>
    <w:link w:val="13"/>
    <w:qFormat/>
    <w:uiPriority w:val="0"/>
    <w:rPr>
      <w:rFonts w:ascii="宋体" w:hAnsi="宋体" w:eastAsia="宋体" w:cs="宋体"/>
      <w:szCs w:val="21"/>
    </w:rPr>
  </w:style>
  <w:style w:type="character" w:customStyle="1" w:styleId="76">
    <w:name w:val="页眉 字符"/>
    <w:link w:val="27"/>
    <w:qFormat/>
    <w:uiPriority w:val="0"/>
    <w:rPr>
      <w:rFonts w:ascii="宋体" w:hAnsi="Times New Roman" w:eastAsia="宋体" w:cs="Times New Roman"/>
      <w:kern w:val="0"/>
      <w:sz w:val="18"/>
      <w:szCs w:val="18"/>
    </w:rPr>
  </w:style>
  <w:style w:type="character" w:customStyle="1" w:styleId="77">
    <w:name w:val="redfilefwwh"/>
    <w:qFormat/>
    <w:uiPriority w:val="0"/>
    <w:rPr>
      <w:rFonts w:ascii="Times New Roman" w:hAnsi="Times New Roman" w:eastAsia="宋体" w:cs="Times New Roman"/>
      <w:color w:val="BA2636"/>
      <w:sz w:val="18"/>
      <w:szCs w:val="18"/>
    </w:rPr>
  </w:style>
  <w:style w:type="character" w:customStyle="1" w:styleId="78">
    <w:name w:val="副标题 字符"/>
    <w:link w:val="29"/>
    <w:qFormat/>
    <w:uiPriority w:val="0"/>
    <w:rPr>
      <w:rFonts w:ascii="Cambria" w:hAnsi="Cambria" w:eastAsia="宋体" w:cs="Times New Roman"/>
      <w:b/>
      <w:bCs/>
      <w:kern w:val="28"/>
      <w:sz w:val="32"/>
      <w:szCs w:val="32"/>
    </w:rPr>
  </w:style>
  <w:style w:type="character" w:customStyle="1" w:styleId="79">
    <w:name w:val="正文缩进 字符"/>
    <w:link w:val="7"/>
    <w:qFormat/>
    <w:uiPriority w:val="0"/>
    <w:rPr>
      <w:rFonts w:ascii="Times New Roman" w:hAnsi="Times New Roman" w:eastAsia="宋体" w:cs="Times New Roman"/>
      <w:sz w:val="21"/>
      <w:szCs w:val="21"/>
    </w:rPr>
  </w:style>
  <w:style w:type="character" w:customStyle="1" w:styleId="80">
    <w:name w:val="font71"/>
    <w:qFormat/>
    <w:uiPriority w:val="0"/>
    <w:rPr>
      <w:rFonts w:hint="default" w:ascii="方正小标宋简体" w:hAnsi="方正小标宋简体" w:eastAsia="方正小标宋简体" w:cs="方正小标宋简体"/>
      <w:b/>
      <w:color w:val="000000"/>
      <w:sz w:val="20"/>
      <w:szCs w:val="20"/>
      <w:u w:val="none"/>
    </w:rPr>
  </w:style>
  <w:style w:type="character" w:customStyle="1" w:styleId="81">
    <w:name w:val="1page sec3 Char"/>
    <w:qFormat/>
    <w:uiPriority w:val="0"/>
    <w:rPr>
      <w:rFonts w:ascii="Times New Roman" w:hAnsi="Times New Roman" w:eastAsia="宋体" w:cs="Times New Roman"/>
      <w:kern w:val="2"/>
      <w:sz w:val="18"/>
      <w:szCs w:val="18"/>
      <w:lang w:val="en-US" w:eastAsia="zh-CN" w:bidi="ar-SA"/>
    </w:rPr>
  </w:style>
  <w:style w:type="character" w:customStyle="1" w:styleId="82">
    <w:name w:val="正文文字 Char Char"/>
    <w:qFormat/>
    <w:uiPriority w:val="0"/>
    <w:rPr>
      <w:rFonts w:ascii="FangSong_GB2312" w:hAnsi="宋体" w:eastAsia="FangSong_GB2312" w:cs="FangSong_GB2312"/>
      <w:sz w:val="24"/>
      <w:szCs w:val="24"/>
    </w:rPr>
  </w:style>
  <w:style w:type="character" w:customStyle="1" w:styleId="83">
    <w:name w:val="正文文本首行缩进 字符"/>
    <w:link w:val="36"/>
    <w:qFormat/>
    <w:uiPriority w:val="0"/>
    <w:rPr>
      <w:rFonts w:ascii="Calibri" w:hAnsi="Calibri" w:eastAsia="宋体" w:cs="Times New Roman"/>
    </w:rPr>
  </w:style>
  <w:style w:type="character" w:customStyle="1" w:styleId="84">
    <w:name w:val="中等深浅列表 1 - 强调文字颜色 61"/>
    <w:qFormat/>
    <w:uiPriority w:val="0"/>
    <w:rPr>
      <w:rFonts w:ascii="Times New Roman" w:hAnsi="Times New Roman" w:eastAsia="宋体" w:cs="Times New Roman"/>
      <w:i/>
      <w:iCs/>
      <w:color w:val="808080"/>
    </w:rPr>
  </w:style>
  <w:style w:type="character" w:customStyle="1" w:styleId="85">
    <w:name w:val="Char Char13"/>
    <w:qFormat/>
    <w:uiPriority w:val="0"/>
    <w:rPr>
      <w:rFonts w:ascii="Times New Roman" w:hAnsi="Times New Roman" w:eastAsia="宋体" w:cs="Times New Roman"/>
      <w:b/>
      <w:bCs/>
      <w:kern w:val="44"/>
      <w:sz w:val="44"/>
      <w:szCs w:val="44"/>
    </w:rPr>
  </w:style>
  <w:style w:type="character" w:customStyle="1" w:styleId="86">
    <w:name w:val="displayarti"/>
    <w:qFormat/>
    <w:uiPriority w:val="0"/>
    <w:rPr>
      <w:rFonts w:ascii="Times New Roman" w:hAnsi="Times New Roman" w:eastAsia="宋体" w:cs="Times New Roman"/>
      <w:color w:val="FFFFFF"/>
      <w:shd w:val="clear" w:color="auto" w:fill="A00000"/>
    </w:rPr>
  </w:style>
  <w:style w:type="character" w:customStyle="1" w:styleId="87">
    <w:name w:val="标题 5 字符"/>
    <w:link w:val="9"/>
    <w:qFormat/>
    <w:uiPriority w:val="0"/>
    <w:rPr>
      <w:rFonts w:ascii="Calibri" w:hAnsi="Calibri" w:eastAsia="宋体" w:cs="Times New Roman"/>
      <w:b/>
      <w:bCs/>
      <w:kern w:val="2"/>
      <w:sz w:val="28"/>
      <w:szCs w:val="28"/>
    </w:rPr>
  </w:style>
  <w:style w:type="character" w:customStyle="1" w:styleId="88">
    <w:name w:val="Char Char5"/>
    <w:qFormat/>
    <w:uiPriority w:val="0"/>
    <w:rPr>
      <w:rFonts w:ascii="宋体" w:hAnsi="Courier New" w:eastAsia="宋体" w:cs="宋体"/>
      <w:kern w:val="2"/>
      <w:sz w:val="28"/>
      <w:szCs w:val="28"/>
      <w:lang w:val="en-US" w:eastAsia="zh-CN"/>
    </w:rPr>
  </w:style>
  <w:style w:type="character" w:customStyle="1" w:styleId="89">
    <w:name w:val="纯文本 字符"/>
    <w:link w:val="16"/>
    <w:qFormat/>
    <w:uiPriority w:val="0"/>
    <w:rPr>
      <w:rFonts w:ascii="宋体" w:hAnsi="Courier New" w:eastAsia="宋体" w:cs="宋体"/>
      <w:sz w:val="28"/>
      <w:szCs w:val="28"/>
    </w:rPr>
  </w:style>
  <w:style w:type="character" w:customStyle="1" w:styleId="90">
    <w:name w:val="标题 字符"/>
    <w:link w:val="34"/>
    <w:qFormat/>
    <w:uiPriority w:val="0"/>
    <w:rPr>
      <w:rFonts w:ascii="Cambria" w:hAnsi="Cambria" w:eastAsia="宋体" w:cs="Times New Roman"/>
      <w:b/>
      <w:bCs/>
      <w:kern w:val="2"/>
      <w:sz w:val="32"/>
      <w:szCs w:val="32"/>
    </w:rPr>
  </w:style>
  <w:style w:type="character" w:customStyle="1" w:styleId="91">
    <w:name w:val="正文文本缩进 2 字符"/>
    <w:link w:val="18"/>
    <w:qFormat/>
    <w:uiPriority w:val="0"/>
    <w:rPr>
      <w:rFonts w:ascii="宋体" w:hAnsi="宋体" w:eastAsia="宋体" w:cs="宋体"/>
      <w:szCs w:val="21"/>
    </w:rPr>
  </w:style>
  <w:style w:type="character" w:customStyle="1" w:styleId="92">
    <w:name w:val="批注框文本 字符"/>
    <w:link w:val="25"/>
    <w:qFormat/>
    <w:uiPriority w:val="0"/>
    <w:rPr>
      <w:rFonts w:ascii="Times New Roman" w:hAnsi="Times New Roman" w:eastAsia="宋体" w:cs="Times New Roman"/>
      <w:sz w:val="18"/>
      <w:szCs w:val="18"/>
    </w:rPr>
  </w:style>
  <w:style w:type="paragraph" w:customStyle="1" w:styleId="93">
    <w:name w:val="程序1.1"/>
    <w:qFormat/>
    <w:uiPriority w:val="0"/>
    <w:pPr>
      <w:numPr>
        <w:ilvl w:val="1"/>
        <w:numId w:val="1"/>
      </w:numPr>
      <w:tabs>
        <w:tab w:val="clear" w:pos="1470"/>
      </w:tabs>
      <w:adjustRightInd w:val="0"/>
      <w:snapToGrid w:val="0"/>
    </w:pPr>
    <w:rPr>
      <w:rFonts w:ascii="Times New Roman" w:hAnsi="Times New Roman" w:eastAsia="宋体" w:cs="Times New Roman"/>
      <w:sz w:val="21"/>
      <w:szCs w:val="21"/>
      <w:lang w:val="en-US" w:eastAsia="zh-CN" w:bidi="ar-SA"/>
    </w:rPr>
  </w:style>
  <w:style w:type="paragraph" w:customStyle="1" w:styleId="94">
    <w:name w:val="程序1.1.1"/>
    <w:qFormat/>
    <w:uiPriority w:val="0"/>
    <w:pPr>
      <w:numPr>
        <w:ilvl w:val="1"/>
        <w:numId w:val="2"/>
      </w:numPr>
      <w:tabs>
        <w:tab w:val="clear" w:pos="720"/>
      </w:tabs>
      <w:adjustRightInd w:val="0"/>
      <w:snapToGrid w:val="0"/>
    </w:pPr>
    <w:rPr>
      <w:rFonts w:ascii="Times New Roman" w:hAnsi="Times New Roman" w:eastAsia="宋体" w:cs="Times New Roman"/>
      <w:sz w:val="21"/>
      <w:szCs w:val="21"/>
      <w:lang w:val="en-US" w:eastAsia="zh-CN" w:bidi="ar-SA"/>
    </w:rPr>
  </w:style>
  <w:style w:type="paragraph" w:customStyle="1" w:styleId="95">
    <w:name w:val="章标题"/>
    <w:next w:val="1"/>
    <w:qFormat/>
    <w:uiPriority w:val="0"/>
    <w:pPr>
      <w:spacing w:beforeLines="50" w:afterLines="50"/>
      <w:jc w:val="both"/>
      <w:outlineLvl w:val="1"/>
    </w:pPr>
    <w:rPr>
      <w:rFonts w:ascii="黑体" w:hAnsi="Times New Roman" w:eastAsia="黑体" w:cs="黑体"/>
      <w:sz w:val="21"/>
      <w:szCs w:val="21"/>
      <w:lang w:val="en-US" w:eastAsia="zh-CN" w:bidi="ar-SA"/>
    </w:rPr>
  </w:style>
  <w:style w:type="paragraph" w:customStyle="1" w:styleId="96">
    <w:name w:val="前言、引言标题"/>
    <w:next w:val="1"/>
    <w:qFormat/>
    <w:uiPriority w:val="0"/>
    <w:pPr>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97">
    <w:name w:val="Char"/>
    <w:basedOn w:val="1"/>
    <w:qFormat/>
    <w:uiPriority w:val="0"/>
    <w:pPr>
      <w:widowControl/>
      <w:spacing w:after="160" w:line="240" w:lineRule="exact"/>
      <w:jc w:val="left"/>
    </w:pPr>
    <w:rPr>
      <w:rFonts w:ascii="Verdana" w:hAnsi="Verdana" w:cs="Verdana"/>
      <w:kern w:val="0"/>
      <w:sz w:val="18"/>
      <w:szCs w:val="18"/>
      <w:lang w:eastAsia="en-US"/>
    </w:rPr>
  </w:style>
  <w:style w:type="paragraph" w:customStyle="1" w:styleId="98">
    <w:name w:val="二级条标题"/>
    <w:basedOn w:val="99"/>
    <w:next w:val="1"/>
    <w:qFormat/>
    <w:uiPriority w:val="0"/>
    <w:pPr>
      <w:outlineLvl w:val="3"/>
    </w:pPr>
    <w:rPr>
      <w:rFonts w:eastAsia="宋体"/>
    </w:rPr>
  </w:style>
  <w:style w:type="paragraph" w:customStyle="1" w:styleId="99">
    <w:name w:val="一级条标题"/>
    <w:next w:val="1"/>
    <w:qFormat/>
    <w:uiPriority w:val="0"/>
    <w:pPr>
      <w:outlineLvl w:val="2"/>
    </w:pPr>
    <w:rPr>
      <w:rFonts w:ascii="Times New Roman" w:hAnsi="Times New Roman" w:eastAsia="黑体" w:cs="Times New Roman"/>
      <w:sz w:val="21"/>
      <w:szCs w:val="21"/>
      <w:lang w:val="en-US" w:eastAsia="zh-CN" w:bidi="ar-SA"/>
    </w:rPr>
  </w:style>
  <w:style w:type="paragraph" w:customStyle="1" w:styleId="100">
    <w:name w:val="彩色列表1"/>
    <w:basedOn w:val="1"/>
    <w:qFormat/>
    <w:uiPriority w:val="34"/>
    <w:pPr>
      <w:ind w:firstLine="420" w:firstLineChars="200"/>
    </w:pPr>
    <w:rPr>
      <w:rFonts w:ascii="Calibri" w:hAnsi="Calibri"/>
    </w:rPr>
  </w:style>
  <w:style w:type="paragraph" w:customStyle="1" w:styleId="101">
    <w:name w:val="五级条标题"/>
    <w:basedOn w:val="102"/>
    <w:next w:val="1"/>
    <w:qFormat/>
    <w:uiPriority w:val="0"/>
    <w:pPr>
      <w:outlineLvl w:val="6"/>
    </w:pPr>
  </w:style>
  <w:style w:type="paragraph" w:customStyle="1" w:styleId="102">
    <w:name w:val="四级条标题"/>
    <w:basedOn w:val="103"/>
    <w:next w:val="1"/>
    <w:qFormat/>
    <w:uiPriority w:val="0"/>
    <w:pPr>
      <w:outlineLvl w:val="5"/>
    </w:pPr>
  </w:style>
  <w:style w:type="paragraph" w:customStyle="1" w:styleId="103">
    <w:name w:val="三级条标题"/>
    <w:basedOn w:val="98"/>
    <w:next w:val="1"/>
    <w:qFormat/>
    <w:uiPriority w:val="0"/>
    <w:pPr>
      <w:outlineLvl w:val="4"/>
    </w:pPr>
  </w:style>
  <w:style w:type="paragraph" w:customStyle="1" w:styleId="104">
    <w:name w:val="字母编号"/>
    <w:qFormat/>
    <w:uiPriority w:val="0"/>
    <w:pPr>
      <w:numPr>
        <w:ilvl w:val="2"/>
        <w:numId w:val="2"/>
      </w:numPr>
      <w:tabs>
        <w:tab w:val="clear" w:pos="720"/>
      </w:tabs>
      <w:adjustRightInd w:val="0"/>
      <w:snapToGrid w:val="0"/>
    </w:pPr>
    <w:rPr>
      <w:rFonts w:ascii="Times New Roman" w:hAnsi="Times New Roman" w:eastAsia="宋体" w:cs="Times New Roman"/>
      <w:sz w:val="21"/>
      <w:szCs w:val="21"/>
      <w:lang w:val="en-US" w:eastAsia="zh-CN" w:bidi="ar-SA"/>
    </w:rPr>
  </w:style>
  <w:style w:type="paragraph" w:customStyle="1" w:styleId="105">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eastAsia="宋体" w:cs="宋体"/>
      <w:b/>
      <w:bCs/>
      <w:spacing w:val="20"/>
      <w:w w:val="148"/>
      <w:sz w:val="52"/>
      <w:szCs w:val="52"/>
      <w:lang w:val="en-US" w:eastAsia="zh-CN" w:bidi="ar-SA"/>
    </w:rPr>
  </w:style>
  <w:style w:type="paragraph" w:customStyle="1" w:styleId="106">
    <w:name w:val="_Style 10"/>
    <w:basedOn w:val="1"/>
    <w:next w:val="1"/>
    <w:qFormat/>
    <w:uiPriority w:val="0"/>
    <w:pPr>
      <w:widowControl/>
      <w:pBdr>
        <w:top w:val="single" w:color="auto" w:sz="6" w:space="1"/>
      </w:pBdr>
      <w:jc w:val="center"/>
    </w:pPr>
    <w:rPr>
      <w:rFonts w:ascii="Arial" w:hAnsi="Arial"/>
      <w:vanish/>
      <w:kern w:val="0"/>
      <w:sz w:val="16"/>
      <w:szCs w:val="16"/>
    </w:rPr>
  </w:style>
  <w:style w:type="paragraph" w:customStyle="1" w:styleId="107">
    <w:name w:val="二级目录"/>
    <w:next w:val="1"/>
    <w:qFormat/>
    <w:uiPriority w:val="0"/>
    <w:pPr>
      <w:tabs>
        <w:tab w:val="left" w:pos="720"/>
      </w:tabs>
      <w:ind w:left="720" w:hanging="720"/>
      <w:outlineLvl w:val="1"/>
    </w:pPr>
    <w:rPr>
      <w:rFonts w:ascii="Times New Roman" w:hAnsi="Times New Roman" w:eastAsia="Times New Roman" w:cs="Times New Roman"/>
      <w:b/>
      <w:kern w:val="2"/>
      <w:sz w:val="30"/>
      <w:szCs w:val="28"/>
      <w:lang w:val="en-US" w:eastAsia="zh-CN" w:bidi="ar-SA"/>
    </w:rPr>
  </w:style>
  <w:style w:type="paragraph" w:customStyle="1" w:styleId="108">
    <w:name w:val="表中文字"/>
    <w:basedOn w:val="1"/>
    <w:qFormat/>
    <w:uiPriority w:val="0"/>
    <w:rPr>
      <w:kern w:val="0"/>
      <w:sz w:val="24"/>
      <w:szCs w:val="24"/>
    </w:rPr>
  </w:style>
  <w:style w:type="paragraph" w:customStyle="1" w:styleId="109">
    <w:name w:val="列出段落1"/>
    <w:basedOn w:val="1"/>
    <w:qFormat/>
    <w:uiPriority w:val="0"/>
    <w:pPr>
      <w:ind w:firstLine="420" w:firstLineChars="200"/>
    </w:pPr>
  </w:style>
  <w:style w:type="paragraph" w:customStyle="1" w:styleId="110">
    <w:name w:val="wellhope正文"/>
    <w:basedOn w:val="1"/>
    <w:qFormat/>
    <w:uiPriority w:val="0"/>
    <w:pPr>
      <w:spacing w:before="60" w:after="60" w:line="360" w:lineRule="auto"/>
      <w:ind w:firstLine="425"/>
    </w:pPr>
    <w:rPr>
      <w:sz w:val="24"/>
      <w:szCs w:val="20"/>
    </w:rPr>
  </w:style>
  <w:style w:type="paragraph" w:customStyle="1" w:styleId="111">
    <w:name w:val="普通正文"/>
    <w:basedOn w:val="1"/>
    <w:qFormat/>
    <w:uiPriority w:val="0"/>
    <w:pPr>
      <w:adjustRightInd w:val="0"/>
      <w:spacing w:before="120" w:after="120" w:line="360" w:lineRule="auto"/>
      <w:ind w:firstLine="480" w:firstLineChars="200"/>
      <w:jc w:val="left"/>
      <w:textAlignment w:val="baseline"/>
    </w:pPr>
    <w:rPr>
      <w:rFonts w:ascii="Arial" w:hAnsi="Arial"/>
      <w:kern w:val="0"/>
      <w:sz w:val="24"/>
      <w:szCs w:val="24"/>
    </w:rPr>
  </w:style>
  <w:style w:type="paragraph" w:customStyle="1" w:styleId="112">
    <w:name w:val="表内文字"/>
    <w:basedOn w:val="1"/>
    <w:qFormat/>
    <w:uiPriority w:val="0"/>
    <w:pPr>
      <w:adjustRightInd w:val="0"/>
      <w:snapToGrid w:val="0"/>
      <w:spacing w:line="500" w:lineRule="atLeast"/>
      <w:jc w:val="center"/>
    </w:pPr>
    <w:rPr>
      <w:rFonts w:ascii="黑体" w:hAnsi="黑体" w:eastAsia="长城仿宋" w:cs="黑体"/>
      <w:sz w:val="24"/>
    </w:rPr>
  </w:style>
  <w:style w:type="paragraph" w:customStyle="1" w:styleId="113">
    <w:name w:val="程序1"/>
    <w:next w:val="1"/>
    <w:qFormat/>
    <w:uiPriority w:val="0"/>
    <w:pPr>
      <w:numPr>
        <w:ilvl w:val="0"/>
        <w:numId w:val="2"/>
      </w:numPr>
      <w:adjustRightInd w:val="0"/>
      <w:snapToGrid w:val="0"/>
      <w:spacing w:beforeLines="50" w:afterLines="50"/>
      <w:ind w:left="360" w:hanging="360"/>
    </w:pPr>
    <w:rPr>
      <w:rFonts w:ascii="Times New Roman" w:hAnsi="Times New Roman" w:eastAsia="宋体" w:cs="Times New Roman"/>
      <w:b/>
      <w:bCs/>
      <w:sz w:val="24"/>
      <w:szCs w:val="24"/>
      <w:lang w:val="en-US" w:eastAsia="zh-CN" w:bidi="ar-SA"/>
    </w:rPr>
  </w:style>
  <w:style w:type="paragraph" w:customStyle="1" w:styleId="114">
    <w:name w:val="默认段落字体 Para Char Char"/>
    <w:basedOn w:val="1"/>
    <w:qFormat/>
    <w:uiPriority w:val="0"/>
    <w:rPr>
      <w:szCs w:val="24"/>
    </w:rPr>
  </w:style>
  <w:style w:type="paragraph" w:customStyle="1" w:styleId="115">
    <w:name w:val="Char1"/>
    <w:basedOn w:val="1"/>
    <w:qFormat/>
    <w:uiPriority w:val="0"/>
    <w:pPr>
      <w:widowControl/>
      <w:spacing w:after="160" w:line="240" w:lineRule="exact"/>
      <w:jc w:val="left"/>
    </w:pPr>
    <w:rPr>
      <w:rFonts w:ascii="Verdana" w:hAnsi="Verdana" w:cs="Verdana"/>
      <w:kern w:val="0"/>
      <w:sz w:val="18"/>
      <w:szCs w:val="18"/>
      <w:lang w:eastAsia="en-US"/>
    </w:rPr>
  </w:style>
  <w:style w:type="paragraph" w:customStyle="1" w:styleId="116">
    <w:name w:val="注："/>
    <w:next w:val="1"/>
    <w:qFormat/>
    <w:uiPriority w:val="0"/>
    <w:pPr>
      <w:widowControl w:val="0"/>
      <w:numPr>
        <w:ilvl w:val="0"/>
        <w:numId w:val="3"/>
      </w:numPr>
      <w:autoSpaceDE w:val="0"/>
      <w:autoSpaceDN w:val="0"/>
      <w:jc w:val="both"/>
    </w:pPr>
    <w:rPr>
      <w:rFonts w:ascii="宋体" w:hAnsi="Times New Roman" w:eastAsia="宋体" w:cs="宋体"/>
      <w:sz w:val="18"/>
      <w:szCs w:val="18"/>
      <w:lang w:val="en-US" w:eastAsia="zh-CN" w:bidi="ar-SA"/>
    </w:rPr>
  </w:style>
  <w:style w:type="paragraph" w:customStyle="1" w:styleId="117">
    <w:name w:val="p0"/>
    <w:basedOn w:val="1"/>
    <w:qFormat/>
    <w:uiPriority w:val="0"/>
    <w:pPr>
      <w:widowControl/>
    </w:pPr>
    <w:rPr>
      <w:kern w:val="0"/>
      <w:szCs w:val="21"/>
    </w:rPr>
  </w:style>
  <w:style w:type="paragraph" w:customStyle="1" w:styleId="118">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119">
    <w:name w:val="_Style 1"/>
    <w:basedOn w:val="1"/>
    <w:qFormat/>
    <w:uiPriority w:val="0"/>
    <w:pPr>
      <w:ind w:firstLine="420" w:firstLineChars="200"/>
    </w:pPr>
  </w:style>
  <w:style w:type="paragraph" w:customStyle="1" w:styleId="120">
    <w:name w:val="Note Level 2"/>
    <w:basedOn w:val="1"/>
    <w:next w:val="1"/>
    <w:qFormat/>
    <w:uiPriority w:val="1"/>
    <w:pPr>
      <w:snapToGrid w:val="0"/>
      <w:jc w:val="left"/>
    </w:pPr>
    <w:rPr>
      <w:rFonts w:ascii="等线" w:hAnsi="等线"/>
    </w:rPr>
  </w:style>
  <w:style w:type="paragraph" w:customStyle="1" w:styleId="121">
    <w:name w:val="Body text|1"/>
    <w:basedOn w:val="1"/>
    <w:qFormat/>
    <w:uiPriority w:val="0"/>
    <w:pPr>
      <w:spacing w:after="170" w:line="480" w:lineRule="auto"/>
      <w:ind w:firstLine="400"/>
    </w:pPr>
    <w:rPr>
      <w:rFonts w:ascii="宋体" w:hAnsi="宋体" w:cs="宋体"/>
      <w:sz w:val="20"/>
      <w:szCs w:val="20"/>
      <w:lang w:val="zh-TW" w:eastAsia="zh-TW" w:bidi="zh-TW"/>
    </w:rPr>
  </w:style>
  <w:style w:type="paragraph" w:customStyle="1" w:styleId="122">
    <w:name w:val="Other|1"/>
    <w:basedOn w:val="1"/>
    <w:qFormat/>
    <w:uiPriority w:val="0"/>
    <w:pPr>
      <w:spacing w:line="274" w:lineRule="exact"/>
      <w:ind w:firstLine="180"/>
    </w:pPr>
    <w:rPr>
      <w:rFonts w:ascii="宋体" w:hAnsi="宋体" w:cs="宋体"/>
      <w:sz w:val="20"/>
      <w:szCs w:val="20"/>
      <w:lang w:val="zh-TW" w:eastAsia="zh-TW" w:bidi="zh-TW"/>
    </w:rPr>
  </w:style>
  <w:style w:type="paragraph" w:customStyle="1" w:styleId="123">
    <w:name w:val="正文缩进1"/>
    <w:basedOn w:val="1"/>
    <w:qFormat/>
    <w:uiPriority w:val="0"/>
    <w:pPr>
      <w:adjustRightInd w:val="0"/>
      <w:spacing w:line="360" w:lineRule="atLeast"/>
      <w:ind w:left="1200" w:hanging="1200" w:firstLineChars="200"/>
      <w:jc w:val="center"/>
      <w:textAlignment w:val="baseline"/>
    </w:pPr>
    <w:rPr>
      <w:rFonts w:ascii="宋体" w:hAnsi="宋体" w:cs="宋体"/>
      <w:kern w:val="0"/>
      <w:sz w:val="24"/>
      <w:szCs w:val="20"/>
    </w:rPr>
  </w:style>
  <w:style w:type="paragraph" w:customStyle="1" w:styleId="124">
    <w:name w:val="List Paragraph1"/>
    <w:basedOn w:val="1"/>
    <w:qFormat/>
    <w:uiPriority w:val="34"/>
    <w:pPr>
      <w:ind w:firstLine="420" w:firstLineChars="200"/>
    </w:pPr>
  </w:style>
  <w:style w:type="paragraph" w:styleId="125">
    <w:name w:val="List Paragraph"/>
    <w:basedOn w:val="1"/>
    <w:qFormat/>
    <w:uiPriority w:val="0"/>
    <w:pPr>
      <w:widowControl/>
      <w:ind w:firstLine="420" w:firstLineChars="200"/>
      <w:jc w:val="left"/>
    </w:pPr>
    <w:rPr>
      <w:kern w:val="0"/>
      <w:sz w:val="20"/>
      <w:szCs w:val="20"/>
    </w:rPr>
  </w:style>
  <w:style w:type="paragraph" w:customStyle="1" w:styleId="126">
    <w:name w:val="正文空2格  1."/>
    <w:basedOn w:val="1"/>
    <w:qFormat/>
    <w:uiPriority w:val="0"/>
    <w:pPr>
      <w:adjustRightInd w:val="0"/>
      <w:spacing w:line="360" w:lineRule="auto"/>
      <w:ind w:firstLine="480" w:firstLineChars="200"/>
      <w:textAlignment w:val="baseline"/>
    </w:pPr>
    <w:rPr>
      <w:rFonts w:ascii="宋体" w:eastAsia="仿宋" w:cs="宋体"/>
      <w:kern w:val="0"/>
      <w:sz w:val="28"/>
      <w:szCs w:val="20"/>
    </w:rPr>
  </w:style>
  <w:style w:type="character" w:customStyle="1" w:styleId="127">
    <w:name w:val="font41"/>
    <w:basedOn w:val="39"/>
    <w:qFormat/>
    <w:uiPriority w:val="0"/>
    <w:rPr>
      <w:rFonts w:ascii="Arial" w:hAnsi="Arial" w:cs="Arial"/>
      <w:color w:val="000000"/>
      <w:sz w:val="21"/>
      <w:szCs w:val="21"/>
      <w:u w:val="none"/>
    </w:rPr>
  </w:style>
  <w:style w:type="paragraph" w:customStyle="1" w:styleId="128">
    <w:name w:val="！正文"/>
    <w:basedOn w:val="1"/>
    <w:qFormat/>
    <w:uiPriority w:val="0"/>
    <w:pPr>
      <w:spacing w:line="480" w:lineRule="exact"/>
      <w:ind w:firstLine="200" w:firstLineChars="200"/>
    </w:pPr>
    <w:rPr>
      <w:rFonts w:ascii="宋体" w:hAnsi="宋体"/>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81</Pages>
  <Words>30637</Words>
  <Characters>32119</Characters>
  <Lines>113</Lines>
  <Paragraphs>32</Paragraphs>
  <TotalTime>9</TotalTime>
  <ScaleCrop>false</ScaleCrop>
  <LinksUpToDate>false</LinksUpToDate>
  <CharactersWithSpaces>32812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2024-07-24T09:46:00Z</dcterms:created>
  <dc:creator>江苏省省级机关政府采购中心</dc:creator>
  <cp:lastModifiedBy>怪小孩</cp:lastModifiedBy>
  <cp:lastPrinted>2022-11-04T11:15:00Z</cp:lastPrinted>
  <dcterms:modified xsi:type="dcterms:W3CDTF">2024-10-21T10:00:10Z</dcterms:modified>
  <dc:title>采 购 文 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E69AB99CA10E45E9BB138E9ED6A98831_13</vt:lpwstr>
  </property>
</Properties>
</file>