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76575" cy="76200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3076574"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2pt;height:60.0pt;mso-wrap-distance-left:0.0pt;mso-wrap-distance-top:0.0pt;mso-wrap-distance-right:0.0pt;mso-wrap-distance-bottom:0.0pt;" stroked="f">
                <v:path textboxrect="0,0,0,0"/>
                <v:imagedata r:id="rId14" o:title=""/>
              </v:shape>
            </w:pict>
          </mc:Fallback>
        </mc:AlternateConten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ind w:firstLine="320"/>
        <w:jc w:val="righ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pStyle w:val="938"/>
        <w:jc w:val="center"/>
        <w:rPr>
          <w:rFonts w:hint="eastAsia" w:ascii="宋体" w:hAnsi="宋体" w:eastAsia="宋体" w:cs="宋体"/>
          <w:b/>
          <w:color w:val="auto"/>
          <w:spacing w:val="76"/>
          <w:sz w:val="96"/>
          <w:szCs w:val="22"/>
          <w:highlight w:val="none"/>
        </w:rPr>
      </w:pPr>
      <w:r>
        <w:rPr>
          <w:rFonts w:hint="eastAsia" w:ascii="宋体" w:hAnsi="宋体" w:eastAsia="宋体" w:cs="宋体"/>
          <w:color w:val="auto"/>
          <w:spacing w:val="76"/>
          <w:sz w:val="144"/>
          <w:highlight w:val="none"/>
        </w:rPr>
        <w:t xml:space="preserve">招标文件</w:t>
      </w:r>
      <w:r/>
    </w:p>
    <w:p>
      <w:pPr>
        <w:pStyle w:val="952"/>
        <w:rPr>
          <w:rFonts w:hint="eastAsia" w:ascii="宋体" w:hAnsi="宋体" w:eastAsia="宋体" w:cs="宋体"/>
          <w:color w:val="auto"/>
          <w:spacing w:val="76"/>
          <w:sz w:val="156"/>
          <w:highlight w:val="none"/>
        </w:rPr>
      </w:pPr>
      <w:r>
        <w:rPr>
          <w:rFonts w:hint="eastAsia" w:ascii="宋体" w:hAnsi="宋体" w:eastAsia="宋体" w:cs="宋体"/>
          <w:color w:val="auto"/>
          <w:spacing w:val="76"/>
          <w:sz w:val="156"/>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ind w:left="2699" w:hanging="1506"/>
        <w:spacing w:line="360" w:lineRule="auto"/>
        <w:rPr>
          <w:rFonts w:hint="eastAsia" w:ascii="宋体" w:hAnsi="宋体" w:eastAsia="宋体" w:cs="宋体"/>
          <w:b/>
          <w:bCs/>
          <w:color w:val="auto"/>
          <w:sz w:val="30"/>
          <w:szCs w:val="30"/>
          <w:highlight w:val="none"/>
          <w:lang w:eastAsia="zh-CN"/>
        </w:rPr>
        <w:outlineLvl w:val="0"/>
      </w:pPr>
      <w:r/>
      <w:bookmarkStart w:id="0" w:name="_Toc8600"/>
      <w:r/>
      <w:bookmarkStart w:id="1" w:name="_Toc6644"/>
      <w:r>
        <w:rPr>
          <w:rFonts w:hint="eastAsia" w:ascii="宋体" w:hAnsi="宋体" w:eastAsia="宋体" w:cs="宋体"/>
          <w:b/>
          <w:bCs/>
          <w:color w:val="auto"/>
          <w:sz w:val="30"/>
          <w:szCs w:val="30"/>
          <w:highlight w:val="none"/>
        </w:rPr>
        <w:t xml:space="preserve">项目名称：</w:t>
      </w:r>
      <w:bookmarkEnd w:id="0"/>
      <w:r>
        <w:rPr>
          <w:rFonts w:hint="eastAsia" w:ascii="宋体" w:hAnsi="宋体" w:cs="宋体"/>
          <w:b/>
          <w:bCs/>
          <w:color w:val="auto"/>
          <w:sz w:val="30"/>
          <w:szCs w:val="30"/>
          <w:highlight w:val="none"/>
          <w:lang w:eastAsia="zh-CN"/>
        </w:rPr>
        <w:t xml:space="preserve">睢宁县农业农村局高标准农田项目建后管护保险服务</w:t>
      </w:r>
      <w:bookmarkEnd w:id="1"/>
      <w:r/>
      <w:r/>
    </w:p>
    <w:p>
      <w:pPr>
        <w:pStyle w:val="938"/>
        <w:ind w:firstLine="1205"/>
        <w:spacing w:line="360" w:lineRule="auto"/>
        <w:rPr>
          <w:rFonts w:hint="eastAsia" w:ascii="宋体" w:hAnsi="宋体" w:eastAsia="宋体" w:cs="宋体"/>
          <w:b/>
          <w:bCs/>
          <w:color w:val="auto"/>
          <w:sz w:val="30"/>
          <w:szCs w:val="30"/>
          <w:highlight w:val="none"/>
        </w:rPr>
        <w:outlineLvl w:val="0"/>
      </w:pPr>
      <w:r/>
      <w:bookmarkStart w:id="2" w:name="_Toc3036"/>
      <w:r/>
      <w:bookmarkStart w:id="3" w:name="_Toc16368"/>
      <w:r>
        <w:rPr>
          <w:rFonts w:hint="eastAsia" w:ascii="宋体" w:hAnsi="宋体" w:eastAsia="宋体" w:cs="宋体"/>
          <w:b/>
          <w:bCs/>
          <w:color w:val="auto"/>
          <w:sz w:val="30"/>
          <w:szCs w:val="30"/>
          <w:highlight w:val="none"/>
        </w:rPr>
        <w:t xml:space="preserve">项目编号：</w:t>
      </w:r>
      <w:bookmarkEnd w:id="2"/>
      <w:r>
        <w:rPr>
          <w:rFonts w:hint="eastAsia" w:ascii="宋体" w:hAnsi="宋体" w:cs="宋体"/>
          <w:b/>
          <w:bCs/>
          <w:color w:val="auto"/>
          <w:sz w:val="30"/>
          <w:szCs w:val="30"/>
          <w:highlight w:val="none"/>
          <w:lang w:eastAsia="zh-CN"/>
        </w:rPr>
        <w:t xml:space="preserve">JSZC-320324-JSZR-G2024-0086</w:t>
      </w:r>
      <w:bookmarkEnd w:id="3"/>
      <w:r>
        <w:rPr>
          <w:rFonts w:hint="eastAsia" w:ascii="宋体" w:hAnsi="宋体" w:eastAsia="宋体" w:cs="宋体"/>
          <w:b/>
          <w:bCs/>
          <w:color w:val="auto"/>
          <w:sz w:val="30"/>
          <w:szCs w:val="30"/>
          <w:highlight w:val="none"/>
        </w:rPr>
        <w:t xml:space="preserve">  </w:t>
      </w:r>
      <w:r/>
    </w:p>
    <w:p>
      <w:pPr>
        <w:pStyle w:val="938"/>
        <w:ind w:firstLine="1205"/>
        <w:spacing w:line="360" w:lineRule="auto"/>
        <w:rPr>
          <w:rFonts w:hint="eastAsia" w:ascii="宋体" w:hAnsi="宋体" w:eastAsia="宋体" w:cs="宋体"/>
          <w:b/>
          <w:bCs/>
          <w:color w:val="auto"/>
          <w:sz w:val="30"/>
          <w:szCs w:val="30"/>
          <w:highlight w:val="none"/>
          <w:lang w:eastAsia="zh-CN"/>
        </w:rPr>
        <w:outlineLvl w:val="0"/>
      </w:pPr>
      <w:r/>
      <w:bookmarkStart w:id="4" w:name="_Toc23347"/>
      <w:r/>
      <w:bookmarkStart w:id="5" w:name="_Toc27985"/>
      <w:r>
        <w:rPr>
          <w:rFonts w:hint="eastAsia" w:ascii="宋体" w:hAnsi="宋体" w:eastAsia="宋体" w:cs="宋体"/>
          <w:b/>
          <w:bCs/>
          <w:color w:val="auto"/>
          <w:sz w:val="30"/>
          <w:szCs w:val="30"/>
          <w:highlight w:val="none"/>
        </w:rPr>
        <w:t xml:space="preserve">招 标 人：</w:t>
      </w:r>
      <w:bookmarkEnd w:id="4"/>
      <w:r>
        <w:rPr>
          <w:rFonts w:hint="eastAsia" w:ascii="宋体" w:hAnsi="宋体" w:eastAsia="宋体" w:cs="宋体"/>
          <w:b/>
          <w:bCs/>
          <w:color w:val="auto"/>
          <w:sz w:val="30"/>
          <w:szCs w:val="30"/>
          <w:highlight w:val="none"/>
          <w:lang w:eastAsia="zh-CN"/>
        </w:rPr>
        <w:t xml:space="preserve">睢宁县农业农村局</w:t>
      </w:r>
      <w:bookmarkEnd w:id="5"/>
      <w:r/>
      <w:r/>
    </w:p>
    <w:p>
      <w:pPr>
        <w:pStyle w:val="946"/>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left="0" w:right="14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46"/>
        <w:ind w:left="0" w:right="147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8"/>
        <w:ind w:firstLine="1205"/>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采购代理机构：江苏中瑞建设项目管理有限公司</w:t>
      </w:r>
      <w:r/>
    </w:p>
    <w:p>
      <w:pPr>
        <w:pStyle w:val="953"/>
        <w:ind w:firstLine="0"/>
        <w:jc w:val="center"/>
        <w:spacing w:line="5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rPr>
        <w:t xml:space="preserve">月</w:t>
      </w:r>
      <w:r/>
    </w:p>
    <w:p>
      <w:pPr>
        <w:pStyle w:val="953"/>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953"/>
        <w:ind w:firstLine="0"/>
        <w:jc w:val="center"/>
        <w:rPr>
          <w:rFonts w:hint="eastAsia" w:ascii="宋体" w:hAnsi="宋体" w:eastAsia="宋体" w:cs="宋体"/>
          <w:b/>
          <w:color w:val="auto"/>
          <w:sz w:val="44"/>
          <w:highlight w:val="none"/>
        </w:rPr>
        <w:sectPr>
          <w:headerReference w:type="default" r:id="rId8"/>
          <w:footerReference w:type="even" r:id="rId10"/>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b/>
          <w:color w:val="auto"/>
          <w:sz w:val="44"/>
          <w:highlight w:val="none"/>
        </w:rPr>
      </w:r>
      <w:r/>
    </w:p>
    <w:sdt>
      <w:sdtPr>
        <w15:appearance w15:val="boundingBox"/>
        <w15:color w:val="dbdbdb"/>
        <w:id w:val="147468201"/>
        <w:docPartObj>
          <w:docPartGallery w:val="Table of Contents"/>
          <w:docPartUnique w:val="true"/>
        </w:docPartObj>
        <w:rPr>
          <w:rFonts w:ascii="宋体" w:hAnsi="宋体" w:eastAsia="宋体" w:cstheme="minorBidi"/>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sz w:val="21"/>
              <w:szCs w:val="24"/>
              <w:highlight w:val="none"/>
              <w:lang w:val="en-US" w:eastAsia="zh-CN" w:bidi="ar-SA"/>
            </w:rPr>
          </w:pPr>
          <w:r>
            <w:rPr>
              <w:rFonts w:ascii="宋体" w:hAnsi="宋体" w:eastAsia="宋体" w:cstheme="minorBidi"/>
              <w:sz w:val="21"/>
              <w:szCs w:val="24"/>
              <w:highlight w:val="none"/>
              <w:lang w:val="en-US" w:eastAsia="zh-CN" w:bidi="ar-SA"/>
            </w:rPr>
          </w:r>
          <w:r/>
        </w:p>
        <w:p>
          <w:pPr>
            <w:ind w:left="0" w:right="0" w:firstLine="0"/>
            <w:jc w:val="center"/>
            <w:spacing w:before="0" w:after="0"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目录</w:t>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_Toc12817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_Toc12817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_Toc4367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_Toc4367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_Toc14804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_Toc14804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_Toc11014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_Toc11014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61"/>
            <w:spacing w:line="360" w:lineRule="auto"/>
            <w:tabs>
              <w:tab w:val="right" w:pos="9014" w:leader="dot"/>
            </w:tabs>
            <w:rPr>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_Toc8207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第七章  投标文件相关格式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_Toc8207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sdtContent>
    </w:sdt>
    <w:p>
      <w:pPr>
        <w:pStyle w:val="734"/>
        <w:spacing w:line="520" w:lineRule="exact"/>
        <w:rPr>
          <w:rFonts w:hint="eastAsia" w:ascii="宋体" w:hAnsi="宋体" w:eastAsia="宋体" w:cs="宋体"/>
          <w:color w:val="auto"/>
          <w:sz w:val="24"/>
          <w:szCs w:val="24"/>
          <w:highlight w:val="none"/>
        </w:rPr>
        <w:sectPr>
          <w:headerReference w:type="default" r:id="rId9"/>
          <w:footerReference w:type="default" r:id="rId11"/>
          <w:footnotePr/>
          <w:endnotePr/>
          <w:type w:val="nextPage"/>
          <w:pgSz w:w="11906" w:h="16838" w:orient="portrait"/>
          <w:pgMar w:top="1588" w:right="1418" w:bottom="1474" w:left="1474" w:header="851" w:footer="992" w:gutter="0"/>
          <w:pgNumType w:start="1"/>
          <w:cols w:num="1" w:sep="0" w:space="1701" w:equalWidth="1"/>
          <w:docGrid w:linePitch="360"/>
        </w:sectPr>
        <w:outlineLvl w:val="9"/>
      </w:pPr>
      <w:r>
        <w:rPr>
          <w:rFonts w:hint="eastAsia" w:ascii="宋体" w:hAnsi="宋体" w:eastAsia="宋体" w:cs="宋体"/>
          <w:color w:val="auto"/>
          <w:sz w:val="24"/>
          <w:szCs w:val="24"/>
          <w:highlight w:val="none"/>
        </w:rPr>
      </w:r>
      <w:r/>
    </w:p>
    <w:p>
      <w:pPr>
        <w:pStyle w:val="789"/>
        <w:ind w:left="0" w:right="0" w:firstLine="0"/>
        <w:jc w:val="center"/>
        <w:spacing w:line="312" w:lineRule="auto"/>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789"/>
        <w:ind w:left="0" w:right="0" w:firstLine="0"/>
        <w:jc w:val="center"/>
        <w:spacing w:line="312" w:lineRule="auto"/>
        <w:rPr>
          <w:rFonts w:hint="eastAsia" w:ascii="宋体" w:hAnsi="宋体" w:eastAsia="宋体" w:cs="宋体"/>
          <w:b/>
          <w:bCs/>
          <w:color w:val="auto"/>
          <w:szCs w:val="28"/>
          <w:highlight w:val="none"/>
        </w:rPr>
        <w:outlineLvl w:val="0"/>
      </w:pPr>
      <w:r/>
      <w:bookmarkStart w:id="6" w:name="_Toc4960"/>
      <w:r>
        <w:rPr>
          <w:rFonts w:hint="eastAsia" w:ascii="宋体" w:hAnsi="宋体" w:eastAsia="宋体" w:cs="宋体"/>
          <w:b/>
          <w:bCs/>
          <w:color w:val="auto"/>
          <w:szCs w:val="28"/>
          <w:highlight w:val="none"/>
        </w:rPr>
        <w:t xml:space="preserve">招标文件</w:t>
      </w:r>
      <w:bookmarkEnd w:id="6"/>
      <w:r/>
      <w:r/>
    </w:p>
    <w:p>
      <w:pPr>
        <w:ind w:firstLine="480"/>
        <w:jc w:val="left"/>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pStyle w:val="734"/>
        <w:spacing w:line="520" w:lineRule="exact"/>
        <w:rPr>
          <w:rFonts w:hint="eastAsia" w:ascii="宋体" w:hAnsi="宋体" w:eastAsia="宋体" w:cs="宋体"/>
          <w:color w:val="auto"/>
          <w:sz w:val="24"/>
          <w:szCs w:val="24"/>
          <w:highlight w:val="none"/>
        </w:rPr>
      </w:pPr>
      <w:r/>
      <w:bookmarkStart w:id="7" w:name="_Toc12817"/>
      <w:r>
        <w:rPr>
          <w:rFonts w:hint="eastAsia" w:ascii="宋体" w:hAnsi="宋体" w:eastAsia="宋体" w:cs="宋体"/>
          <w:color w:val="auto"/>
          <w:sz w:val="24"/>
          <w:szCs w:val="24"/>
          <w:highlight w:val="none"/>
        </w:rPr>
        <w:t xml:space="preserve">第一章  投标邀请</w:t>
      </w:r>
      <w:bookmarkEnd w:id="7"/>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江苏中瑞建设项目管理有限公司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睢宁县农业农村局</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睢宁县农业农村局高标准农田项目建后管护保险服务</w:t>
      </w:r>
      <w:r>
        <w:rPr>
          <w:rFonts w:hint="eastAsia" w:ascii="宋体" w:hAnsi="宋体" w:eastAsia="宋体" w:cs="宋体"/>
          <w:color w:val="auto"/>
          <w:sz w:val="24"/>
          <w:highlight w:val="none"/>
        </w:rPr>
        <w:t xml:space="preserve">进行公开招标采购，现邀请符合相关条件的投标人投标。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w:t>
      </w:r>
      <w:r>
        <w:rPr>
          <w:rFonts w:hint="eastAsia" w:ascii="宋体" w:hAnsi="宋体" w:eastAsia="宋体" w:cs="宋体"/>
          <w:color w:val="auto"/>
          <w:sz w:val="24"/>
          <w:highlight w:val="none"/>
          <w:lang w:eastAsia="zh-CN"/>
        </w:rPr>
        <w:t xml:space="preserve">睢宁县农业农村局高标准农田项目建后管护保险服务</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(二)项目编号：</w:t>
      </w:r>
      <w:r>
        <w:rPr>
          <w:rFonts w:hint="eastAsia" w:ascii="宋体" w:hAnsi="宋体" w:eastAsia="宋体" w:cs="宋体"/>
          <w:color w:val="auto"/>
          <w:sz w:val="24"/>
          <w:highlight w:val="none"/>
          <w:lang w:eastAsia="zh-CN"/>
        </w:rPr>
        <w:t xml:space="preserve">JSZC-320324-JSZR-G2024-0086</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二、对投标人的资格要求：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详见本项目公开招标公告。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（1）潜在供应商访问电子招标投标交易平台的网络地址和方法：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③“CA数字证书”的获取：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（2）采购代理机构将数据电文形式的招标文件加载至电子招标投标交易平台，供潜在供应商下载或者查阅。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（一）投标截止时间：</w:t>
      </w:r>
      <w:r>
        <w:rPr>
          <w:rFonts w:hint="eastAsia" w:ascii="宋体" w:hAnsi="宋体" w:eastAsia="宋体" w:cs="宋体"/>
          <w:color w:val="auto"/>
          <w:sz w:val="24"/>
          <w:highlight w:val="none"/>
          <w:lang w:eastAsia="zh-CN"/>
        </w:rPr>
        <w:t xml:space="preserve">2024年</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08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09:20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（二）线上开标时间：</w:t>
      </w:r>
      <w:r>
        <w:rPr>
          <w:rFonts w:hint="eastAsia" w:ascii="宋体" w:hAnsi="宋体" w:eastAsia="宋体" w:cs="宋体"/>
          <w:color w:val="auto"/>
          <w:sz w:val="24"/>
          <w:highlight w:val="none"/>
          <w:lang w:eastAsia="zh-CN"/>
        </w:rPr>
        <w:t xml:space="preserve">2024年</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08日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09:20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（三）线上开标地点：“苏采云”系统（网址： 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1.采购人：</w:t>
      </w:r>
      <w:r>
        <w:rPr>
          <w:rFonts w:hint="eastAsia" w:ascii="宋体" w:hAnsi="宋体" w:eastAsia="宋体" w:cs="宋体"/>
          <w:color w:val="auto"/>
          <w:sz w:val="24"/>
          <w:highlight w:val="none"/>
          <w:lang w:eastAsia="zh-CN"/>
        </w:rPr>
        <w:t xml:space="preserve">睢宁县农业农村局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2.地址：</w:t>
      </w:r>
      <w:r>
        <w:rPr>
          <w:rFonts w:hint="eastAsia" w:ascii="宋体" w:hAnsi="宋体" w:eastAsia="宋体" w:cs="宋体"/>
          <w:color w:val="auto"/>
          <w:sz w:val="24"/>
          <w:highlight w:val="none"/>
          <w:lang w:eastAsia="zh-CN"/>
        </w:rPr>
        <w:t xml:space="preserve">睢宁县永康路商务服务中心13楼</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3.项目联系人：</w:t>
      </w:r>
      <w:r>
        <w:rPr>
          <w:rFonts w:hint="eastAsia" w:ascii="宋体" w:hAnsi="宋体" w:eastAsia="宋体" w:cs="宋体"/>
          <w:color w:val="auto"/>
          <w:sz w:val="24"/>
          <w:highlight w:val="none"/>
          <w:lang w:val="en-US" w:eastAsia="zh-CN"/>
        </w:rPr>
        <w:t xml:space="preserve"> 李思雨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4.联系方式：</w:t>
      </w:r>
      <w:r>
        <w:rPr>
          <w:rFonts w:hint="eastAsia" w:ascii="宋体" w:hAnsi="宋体" w:eastAsia="宋体" w:cs="宋体"/>
          <w:color w:val="auto"/>
          <w:sz w:val="24"/>
          <w:highlight w:val="none"/>
          <w:lang w:val="en-US" w:eastAsia="zh-CN"/>
        </w:rPr>
        <w:t xml:space="preserve"> 0516-80378906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spacing w:line="360" w:lineRule="auto"/>
        <w:rPr>
          <w:rFonts w:hint="eastAsia" w:ascii="宋体" w:hAnsi="宋体" w:eastAsia="宋体" w:cs="宋体"/>
          <w:color w:val="auto"/>
          <w:sz w:val="24"/>
          <w:highlight w:val="none"/>
        </w:rPr>
      </w:pPr>
      <w:r/>
      <w:bookmarkStart w:id="8" w:name="_Toc8307"/>
      <w:r/>
      <w:bookmarkStart w:id="9" w:name="_Toc32161"/>
      <w:r>
        <w:rPr>
          <w:rFonts w:hint="eastAsia" w:ascii="宋体" w:hAnsi="宋体" w:eastAsia="宋体" w:cs="宋体"/>
          <w:color w:val="auto"/>
          <w:sz w:val="24"/>
          <w:highlight w:val="none"/>
        </w:rPr>
        <w:t xml:space="preserve">1.名称：江苏中瑞建设项目管理有限公司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2.地址：徐州市云龙区郭庄路世茂广场SOHO3号楼17楼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3.采购项目联系人：赵士通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4.联系方式：0516-83836677</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4"/>
        <w:rPr>
          <w:rFonts w:hint="eastAsia" w:ascii="宋体" w:hAnsi="宋体" w:eastAsia="宋体" w:cs="宋体"/>
          <w:color w:val="auto"/>
          <w:sz w:val="24"/>
          <w:szCs w:val="24"/>
          <w:highlight w:val="none"/>
        </w:rPr>
      </w:pPr>
      <w:r/>
      <w:bookmarkStart w:id="10" w:name="_Toc4367"/>
      <w:r>
        <w:rPr>
          <w:rFonts w:hint="eastAsia" w:ascii="宋体" w:hAnsi="宋体" w:eastAsia="宋体" w:cs="宋体"/>
          <w:color w:val="auto"/>
          <w:sz w:val="24"/>
          <w:szCs w:val="24"/>
          <w:highlight w:val="none"/>
        </w:rPr>
        <w:t xml:space="preserve">第二章  投标人须知</w:t>
      </w:r>
      <w:bookmarkEnd w:id="8"/>
      <w:r/>
      <w:bookmarkEnd w:id="9"/>
      <w:r/>
      <w:bookmarkEnd w:id="10"/>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一、总则</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二、招标</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三、投标</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五、评标</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六、定标</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八、询问和质疑</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九、电子招标投标交易平台</w:t>
      </w:r>
      <w:r/>
    </w:p>
    <w:p>
      <w:pPr>
        <w:pStyle w:val="940"/>
        <w:ind w:left="420"/>
        <w:spacing w:line="6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一、总则</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（一）采购人。采购人即指依法进行政府采购的国家机关、事业单位和团体组织。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（二）政府招标采购方式。政府采购货物或服务（以下简称“货物服务”）的招标方式，分为公开招标和邀请招标。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（五）采购人委托采购代理机构代理招标的，采购代理机构必须在采购人委托的范围内依法开展采购活动。</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（六）投标人的资格条件：</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投标人是指响应招标、参加投标竞争的法人、其他组织或者自然人。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2.投标人授权代表系指法定代表人或受法人委托的受托人。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二、招标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（八）招标文件应包括以下内容：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第三章，投标资料表；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第四章，评标标准；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第五章，拟签订的合同文本；</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第六章，采购需求；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第七章，投标文件相关格式。</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（九）招标文件澄清或者修改：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2.现场考察以本文件第三章《投标资料表》中的要求为准。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3.开标前答疑会以本文件第三章《投标资料表》中的要求为准。</w:t>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三、投标</w:t>
      </w:r>
      <w:r/>
    </w:p>
    <w:p>
      <w:pPr>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（十二）投标文件的构成：</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1.投标文件的构成以本文件第三章《投标资料表》中的要求为准。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2.投标人应当提交的资格、资信证明文件，以本文件第三章《投标资料表》中的所提要求为准。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（十三）投标函和价格表、商务条件、提供服务的时间：</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1.投标函和价格表的要求见本章（十二）、（十三），格式见本文件第七章《投标文件相关格式》中《投标函》和《开标一览表》。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2.商务条件以本文件第三章《投标资料表》中的要求为准。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3.提供服务的时间，以本文件第三章《投标资料表》中所提要求为准。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（十四）投标报价要求：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1.投标人应按照招标文件的要求报出分项价格和总价。</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2.投标人应按照招标文件的要求进行报价，如投标人作出偏离，应在《偏离表》中列出。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3.采购人不支付报价以外的任何费用。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5.投标人只能提交一个投标价格，投标人提交多个价格的投标文件，在资格性、符合性检查时按照无效投标处理。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（十五）投标货币。以本文件第三章《投标资料表》中所提要求为准。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（十六）投标有效期：</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1.投标有效期为开标之日后90天。采购人可以要求对投标有效期延长一次，但该延长期最长不得超过30天。</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（十七）投标文件的编制要求和签署要求：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（2）投标人应对 CA 证书妥善保管，如被他人盗用投标，因此带来的结果均由投标人自行承担。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（3）投标人应当对招标文件提出的要求和条件作出实质性响应，并在电子投标系统逐条应答。</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（4）投标人应对要求提供的资格证明文件（如资质证书、资格证书）、技术资料（如白皮书、彩页、手册、检测报告等）原件扫描上传至投标系统。</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（十八）投标文件的盖章要求：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投标文件的盖章要求，以本文件第三章《投标资料表》中所提要求为准。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（二十二）本项目不允许分包。</w:t>
      </w:r>
      <w:r/>
    </w:p>
    <w:p>
      <w:pPr>
        <w:ind w:firstLine="480"/>
        <w:spacing w:line="52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jc w:val="left"/>
        <w:spacing w:line="52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在评标过程中发现投标人有上述情形的，评标委员会应当认定其投标无效，并书面报告本级财政部门。</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（二十四）有下列情形之一的，其投标无效：</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3.不同投标人的投标文件中，所载明的项目管理成员或联系人为同一人；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6.电子投标文件未按规定期限投标的；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7.电子投标文件未按招标文件要求签章的；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8.投标人未在规定时间内解密电子投标文件的；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9.投标文件未按招标文件规定的内容和要求填写的；没有在投标系统指定位置上传对应文件、材料的；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10.不具备招标文件中规定的资格要求的，不实质性响应招标文件的；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11.报价超过招标文件中规定的预算金额或者最高限价的；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12.投标文件含有采购人不能接受的附加条件的；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13.法律、法规和招标文件规定的其他无效情形。</w:t>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四、开标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（二十五）开标：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2.开标由采购代理机构主持，邀请投标人参加。</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3.所有投标单位使用 CA 证书在开标时间时，解密各自投标文件，投标人不足3家的，不得评标。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8"/>
          <w:szCs w:val="28"/>
          <w:highlight w:val="none"/>
        </w:rPr>
        <w:t xml:space="preserve">五、评标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1.评标工作由采购代理机构负责组织，并履行下列职责：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（9）处理与评标有关的其他事项。</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2.评标委员会负责具体评标事务，并独立履行下列职责：</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（5）向采购人、采购代理机构或有关部门报告评标中发现的违法行为。</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（二十七）评标方法分为最低评标价法和综合评分法。</w:t>
      </w:r>
      <w:r/>
    </w:p>
    <w:p>
      <w:pPr>
        <w:ind w:firstLine="36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（二十八）评标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1.评标工作程序：</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（1）投标文件初审。</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①资格性审查。</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②符合性审查。</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（2）澄清有关问题。</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（3）比较与评价。</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（4）推荐中标候选供应商名单。</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（5）编写评审报告（评标报告）。</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最低评标价法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（二十九）投标文件报价出现前后不一致的，按照下列规定修正：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4.总价金额与按单价合计金额不一致的，以单价金额计算结果为准。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eastAsia="宋体" w:cs="宋体"/>
          <w:i/>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457"/>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（三十二）废标条款：</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w:t>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六、定标</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（三十三）采购代理机构应当在评标结束后2个工作日内将评标报告送采购人。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（三十四）采购人应当自收到评标报告之日起5个工作日内，在评标报告确定的中标候选人名单中按顺序确定中标人。</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七、政府采购合同</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（三十六）签订政府采购合同（合同签订方式）：</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1.中标人应在政府采购合同签订后，向采购人提交本文件第三章《投标资料表》中规定金额的履约保证金。</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562"/>
        <w:jc w:val="center"/>
        <w:spacing w:line="5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八、询问和质疑</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1" w:name="_Toc3607"/>
      <w:r/>
      <w:bookmarkEnd w:id="11"/>
      <w:r/>
      <w:r/>
    </w:p>
    <w:p>
      <w:pPr>
        <w:pStyle w:val="940"/>
        <w:ind w:left="42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九、电子招标投标交易平台</w:t>
      </w:r>
      <w:r/>
    </w:p>
    <w:p>
      <w:pPr>
        <w:pStyle w:val="940"/>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4"/>
        <w:rPr>
          <w:rFonts w:hint="eastAsia" w:ascii="宋体" w:hAnsi="宋体" w:eastAsia="宋体" w:cs="宋体"/>
          <w:color w:val="auto"/>
          <w:sz w:val="24"/>
          <w:szCs w:val="24"/>
          <w:highlight w:val="none"/>
        </w:rPr>
      </w:pPr>
      <w:r/>
      <w:bookmarkStart w:id="12" w:name="_Toc14804"/>
      <w:r>
        <w:rPr>
          <w:rFonts w:hint="eastAsia" w:ascii="宋体" w:hAnsi="宋体" w:eastAsia="宋体" w:cs="宋体"/>
          <w:color w:val="auto"/>
          <w:sz w:val="24"/>
          <w:szCs w:val="24"/>
          <w:highlight w:val="none"/>
        </w:rPr>
        <w:t xml:space="preserve">第三章  投标资料表</w:t>
      </w:r>
      <w:bookmarkEnd w:id="12"/>
      <w:r/>
      <w:r/>
    </w:p>
    <w:p>
      <w:pPr>
        <w:pStyle w:val="767"/>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44"/>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91"/>
        <w:gridCol w:w="8007"/>
      </w:tblGrid>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睢宁县农业农村局</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 </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本项目采购代理机构：江苏中瑞建设项目管理有限公司</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(六)</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投标人的资格条件：</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一、符合《中华人民共和国政府采购法》第二十二条的规定；</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b/>
                <w:bCs/>
                <w:color w:val="auto"/>
                <w:sz w:val="24"/>
                <w:highlight w:val="none"/>
              </w:rPr>
              <w:t xml:space="preserve">此项目不属于专门面向中小微企业采购的项目</w:t>
            </w:r>
            <w:r>
              <w:rPr>
                <w:rFonts w:hint="eastAsia" w:ascii="宋体" w:hAnsi="宋体" w:eastAsia="宋体" w:cs="宋体"/>
                <w:color w:val="auto"/>
                <w:sz w:val="24"/>
                <w:highlight w:val="none"/>
              </w:rPr>
              <w:t xml:space="preserve">。</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一、本项目不接受联合体参与采购活动。</w:t>
            </w:r>
            <w:r/>
          </w:p>
          <w:p>
            <w:pPr>
              <w:ind w:left="480" w:hanging="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二、单位负责人为同一人或者存在直接控股、管理关系的不同供应商，不得参加同一合同项下的政府采购活动。</w:t>
            </w:r>
            <w:r/>
          </w:p>
          <w:p>
            <w:pPr>
              <w:ind w:left="480" w:hanging="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四、查询及使用供应商信用记录：</w:t>
            </w:r>
            <w:r/>
          </w:p>
          <w:p>
            <w:pPr>
              <w:ind w:firstLine="36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(一)由采购人查询信用信息。</w:t>
            </w:r>
            <w:r/>
          </w:p>
          <w:p>
            <w:pPr>
              <w:ind w:firstLine="36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(二)查询渠道包括：</w:t>
            </w:r>
            <w:r/>
          </w:p>
          <w:p>
            <w:pPr>
              <w:ind w:firstLine="60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60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36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(三)截止时点（查询环节）：资格审查结束前。</w:t>
            </w:r>
            <w:r/>
          </w:p>
          <w:p>
            <w:pPr>
              <w:ind w:left="900" w:hanging="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ind w:firstLine="36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(五)信用信息的使用规则：</w:t>
            </w:r>
            <w:r/>
          </w:p>
          <w:p>
            <w:pPr>
              <w:spacing w:line="400" w:lineRule="exact"/>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招标代理服务费由中标人支付，标准</w:t>
            </w:r>
            <w:r>
              <w:rPr>
                <w:rFonts w:hint="eastAsia" w:ascii="宋体" w:hAnsi="宋体" w:eastAsia="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附件《招标代理服务收费标准》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58"/>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（九）1</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pStyle w:val="95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pStyle w:val="958"/>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58"/>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（九）2</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pStyle w:val="9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491" w:type="dxa"/>
            <w:vAlign w:val="center"/>
            <w:textDirection w:val="lrTb"/>
            <w:noWrap w:val="false"/>
          </w:tcPr>
          <w:p>
            <w:pPr>
              <w:pStyle w:val="958"/>
              <w:jc w:val="center"/>
              <w:spacing w:line="288"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（九）3</w:t>
            </w:r>
            <w:r/>
          </w:p>
        </w:tc>
        <w:tc>
          <w:tcPr>
            <w:tcBorders>
              <w:top w:val="single" w:color="auto" w:sz="4" w:space="0"/>
              <w:left w:val="single" w:color="auto" w:sz="4" w:space="0"/>
              <w:bottom w:val="single" w:color="auto" w:sz="4" w:space="0"/>
              <w:right w:val="single" w:color="auto" w:sz="4" w:space="0"/>
            </w:tcBorders>
            <w:tcW w:w="8007" w:type="dxa"/>
            <w:vAlign w:val="center"/>
            <w:textDirection w:val="lrTb"/>
            <w:noWrap w:val="false"/>
          </w:tcPr>
          <w:p>
            <w:pPr>
              <w:pStyle w:val="9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p>
        </w:tc>
      </w:tr>
      <w:tr>
        <w:trPr>
          <w:trHeight w:val="482"/>
        </w:trPr>
        <w:tc>
          <w:tcPr>
            <w:tcBorders>
              <w:top w:val="single" w:color="auto" w:sz="4" w:space="0"/>
              <w:left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Borders>
              <w:top w:val="single" w:color="auto" w:sz="4" w:space="0"/>
              <w:left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(十二)1</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(十二)2</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线上投标文件编制要求：</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请按照以下要求（包括但不限于以下要求）制作：</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一、基本目录</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1、《开标一览表》（加盖电子签章，政府采购客户端工具输入报价自动生成）；</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2、投标人认为需要提供的其他资料（如有）</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必须提供</w:t>
            </w:r>
            <w:r>
              <w:rPr>
                <w:rFonts w:hint="eastAsia" w:ascii="宋体" w:hAnsi="宋体" w:eastAsia="宋体" w:cs="宋体"/>
                <w:b/>
                <w:color w:val="auto"/>
                <w:sz w:val="24"/>
                <w:highlight w:val="none"/>
                <w:lang w:val="en-US" w:eastAsia="zh-CN"/>
              </w:rPr>
              <w:t xml:space="preserve">原件扫描件</w:t>
            </w:r>
            <w:r>
              <w:rPr>
                <w:rFonts w:hint="eastAsia" w:ascii="宋体" w:hAnsi="宋体" w:eastAsia="宋体" w:cs="宋体"/>
                <w:b/>
                <w:color w:val="auto"/>
                <w:sz w:val="24"/>
                <w:highlight w:val="none"/>
              </w:rPr>
              <w:t xml:space="preserve">，否则</w:t>
            </w:r>
            <w:r>
              <w:rPr>
                <w:rFonts w:hint="eastAsia" w:ascii="宋体" w:hAnsi="宋体" w:eastAsia="宋体" w:cs="宋体"/>
                <w:b/>
                <w:color w:val="auto"/>
                <w:sz w:val="24"/>
                <w:highlight w:val="none"/>
                <w:lang w:val="en-US" w:eastAsia="zh-CN"/>
              </w:rPr>
              <w:t xml:space="preserve">资格审查不合格</w:t>
            </w:r>
            <w:r>
              <w:rPr>
                <w:rFonts w:hint="eastAsia" w:ascii="宋体" w:hAnsi="宋体" w:eastAsia="宋体" w:cs="宋体"/>
                <w:b/>
                <w:color w:val="auto"/>
                <w:sz w:val="24"/>
                <w:highlight w:val="none"/>
              </w:rPr>
              <w:t xml:space="preserve">）</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1、投标人合法有效的法人的营业执照(或事业单位法人证书)或其他组织应提供合法证明文件(加盖电子签章)。</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2、财务状况报告：</w:t>
            </w:r>
            <w:r/>
          </w:p>
          <w:p>
            <w:pPr>
              <w:pStyle w:val="94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财务状况报告（即提供投标人的本项目开标时间前6个月内任何时间的资产负债表、利润表各一份或提供投标人上年度财务报告或投标人的本项目开标时间前6个月内银行出具的资信证明）；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highlight w:val="none"/>
              </w:rPr>
              <w:t xml:space="preserve">加盖电子签章</w:t>
            </w:r>
            <w:r>
              <w:rPr>
                <w:rFonts w:hint="eastAsia" w:ascii="宋体" w:hAnsi="宋体" w:eastAsia="宋体" w:cs="宋体"/>
                <w:b/>
                <w:bCs/>
                <w:color w:val="auto"/>
                <w:sz w:val="24"/>
                <w:szCs w:val="24"/>
                <w:highlight w:val="none"/>
                <w:lang w:eastAsia="zh-CN"/>
              </w:rPr>
              <w:t xml:space="preserve">）</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3、投标人的本项目开标时间前6个月内（不含开标当月）任何1月的依法缴纳税收和社会保障资金的相关材料；依法免税或不需要缴纳社会保障资金的投标人应提供相应其依法免税或不需要缴纳社会保障资金的证明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highlight w:val="none"/>
              </w:rPr>
              <w:t xml:space="preserve">加盖电子签章</w:t>
            </w:r>
            <w:r>
              <w:rPr>
                <w:rFonts w:hint="eastAsia" w:ascii="宋体" w:hAnsi="宋体" w:eastAsia="宋体" w:cs="宋体"/>
                <w:b/>
                <w:bCs/>
                <w:color w:val="auto"/>
                <w:sz w:val="24"/>
                <w:szCs w:val="24"/>
                <w:highlight w:val="none"/>
                <w:lang w:eastAsia="zh-CN"/>
              </w:rPr>
              <w:t xml:space="preserve">）</w:t>
            </w:r>
            <w:r/>
          </w:p>
          <w:p>
            <w:pPr>
              <w:pStyle w:val="94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pStyle w:val="958"/>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5、投标人参加政府采购活动前3年内在经营活动中没有重大违法记录的书面声明（加盖电子签章，格式见招标文件第七章《投标文件相关格式》）。</w:t>
            </w:r>
            <w:r/>
          </w:p>
          <w:p>
            <w:pPr>
              <w:pStyle w:val="958"/>
              <w:spacing w:line="264"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rPr>
              <w:t xml:space="preserve">6</w:t>
            </w:r>
            <w:r>
              <w:rPr>
                <w:rFonts w:hint="eastAsia" w:ascii="宋体" w:hAnsi="宋体" w:eastAsia="宋体" w:cs="宋体"/>
                <w:b/>
                <w:bCs/>
                <w:color w:val="auto"/>
                <w:sz w:val="24"/>
                <w:highlight w:val="none"/>
              </w:rPr>
              <w:t xml:space="preserve">、投标人</w:t>
            </w:r>
            <w:r>
              <w:rPr>
                <w:rFonts w:hint="eastAsia" w:ascii="宋体" w:hAnsi="宋体" w:eastAsia="宋体" w:cs="宋体"/>
                <w:b/>
                <w:bCs/>
                <w:color w:val="auto"/>
                <w:sz w:val="24"/>
                <w:highlight w:val="none"/>
                <w:lang w:eastAsia="zh-CN"/>
              </w:rPr>
              <w:t xml:space="preserve">须提供</w:t>
            </w:r>
            <w:r>
              <w:rPr>
                <w:rFonts w:hint="eastAsia" w:ascii="宋体" w:hAnsi="宋体" w:eastAsia="宋体" w:cs="宋体"/>
                <w:b/>
                <w:bCs/>
                <w:color w:val="auto"/>
                <w:sz w:val="24"/>
                <w:highlight w:val="none"/>
              </w:rPr>
              <w:t xml:space="preserve">信用记录</w:t>
            </w:r>
            <w:r>
              <w:rPr>
                <w:rFonts w:hint="eastAsia" w:ascii="宋体" w:hAnsi="宋体" w:eastAsia="宋体" w:cs="宋体"/>
                <w:b/>
                <w:bCs/>
                <w:color w:val="auto"/>
                <w:sz w:val="24"/>
                <w:highlight w:val="none"/>
                <w:lang w:eastAsia="zh-CN"/>
              </w:rPr>
              <w:t xml:space="preserve">截图</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未被</w:t>
            </w:r>
            <w:r>
              <w:rPr>
                <w:rFonts w:hint="eastAsia" w:ascii="宋体" w:hAnsi="宋体" w:eastAsia="宋体" w:cs="宋体"/>
                <w:b/>
                <w:bCs/>
                <w:color w:val="auto"/>
                <w:sz w:val="24"/>
                <w:highlight w:val="none"/>
              </w:rPr>
              <w:t xml:space="preserve">列入失信被执行人、重大税收违法案件当事人名单、政府采购严重违法失信行为记录名单</w:t>
            </w:r>
            <w:r>
              <w:rPr>
                <w:rFonts w:hint="eastAsia" w:ascii="宋体" w:hAnsi="宋体" w:eastAsia="宋体" w:cs="宋体"/>
                <w:b/>
                <w:bCs/>
                <w:color w:val="auto"/>
                <w:sz w:val="24"/>
                <w:highlight w:val="none"/>
                <w:lang w:eastAsia="zh-CN"/>
              </w:rPr>
              <w:t xml:space="preserve">。</w:t>
            </w:r>
            <w:r/>
          </w:p>
          <w:p>
            <w:pPr>
              <w:pStyle w:val="958"/>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查询渠道包括：</w:t>
            </w:r>
            <w:r/>
          </w:p>
          <w:p>
            <w:pPr>
              <w:pStyle w:val="958"/>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①“信用中国”网（</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"http://www.creditchina.gov.cn/"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www.creditchina.gov.cn</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 xml:space="preserve">）；</w:t>
            </w:r>
            <w:r/>
          </w:p>
          <w:p>
            <w:pPr>
              <w:pStyle w:val="958"/>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②“中国政府采购网”（</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"http://www.ccgp.gov.cn/"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www.ccgp.gov.cn</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 xml:space="preserve">）；</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本项目的特定资格要求：</w:t>
            </w:r>
            <w:r/>
          </w:p>
          <w:p>
            <w:pPr>
              <w:pStyle w:val="958"/>
              <w:spacing w:line="264" w:lineRule="auto"/>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投标人须为经中国银行保险监督管理委员会批准的在徐州市有授权经营服务的财产保险公司（以经营保险业务许可证、营业执照中信息为准）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highlight w:val="none"/>
              </w:rPr>
              <w:t xml:space="preserve">加盖电子签章</w:t>
            </w:r>
            <w:r>
              <w:rPr>
                <w:rFonts w:hint="eastAsia" w:ascii="宋体" w:hAnsi="宋体" w:eastAsia="宋体" w:cs="宋体"/>
                <w:b/>
                <w:bCs/>
                <w:color w:val="auto"/>
                <w:sz w:val="24"/>
                <w:szCs w:val="24"/>
                <w:highlight w:val="none"/>
                <w:lang w:eastAsia="zh-CN"/>
              </w:rPr>
              <w:t xml:space="preserve">）</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以分(支)机构名义参与本次投标活动的，其民事责任由总公司承担；同一保险机构的不同分(支)公司，不得同时参加本项目投标。(提供总公司出具的针对本项目投标的授权文件)。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highlight w:val="none"/>
              </w:rPr>
              <w:t xml:space="preserve">加盖电子签章</w:t>
            </w:r>
            <w:r>
              <w:rPr>
                <w:rFonts w:hint="eastAsia" w:ascii="宋体" w:hAnsi="宋体" w:eastAsia="宋体" w:cs="宋体"/>
                <w:b/>
                <w:bCs/>
                <w:color w:val="auto"/>
                <w:sz w:val="24"/>
                <w:szCs w:val="24"/>
                <w:highlight w:val="none"/>
                <w:lang w:eastAsia="zh-CN"/>
              </w:rPr>
              <w:t xml:space="preserve">）</w:t>
            </w:r>
            <w:r/>
          </w:p>
          <w:p>
            <w:pPr>
              <w:pStyle w:val="958"/>
              <w:spacing w:line="264"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三、符合条件（必须提供，否则投标无效）</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（一）报价</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1、《开标一览表》（加盖电子签章，格式见招标文件第七章《投标文件相关格式》。）</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2、《分项价格表》（加盖电子签章，格式见招标文件第七章《投标文件相关格式》。）</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（二）商务资信</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1、《投标函》（加盖电子签章，格式见招标文件第七章《投标文件相关格式》。）</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《法定代表人身份证明》</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《授权委托书》（加盖电子签章，格式见招标文件第七章《投标文件相关格式》）</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（三）技术响应</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1、《偏离表》（加盖电子签章，格式见招标文件第七章《投标文件相关格式》。）</w:t>
            </w:r>
            <w:r/>
          </w:p>
          <w:p>
            <w:pPr>
              <w:pStyle w:val="958"/>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四、综合评审评分项</w:t>
            </w:r>
            <w:r/>
          </w:p>
          <w:p>
            <w:pPr>
              <w:jc w:val="both"/>
              <w:spacing w:line="400" w:lineRule="atLeast"/>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（一）投标人综合实力</w:t>
            </w:r>
            <w:r>
              <w:rPr>
                <w:rFonts w:hint="eastAsia" w:ascii="宋体" w:hAnsi="宋体" w:eastAsia="宋体" w:cs="宋体"/>
                <w:bCs/>
                <w:color w:val="auto"/>
                <w:sz w:val="24"/>
                <w:szCs w:val="24"/>
                <w:highlight w:val="none"/>
              </w:rPr>
              <w:t xml:space="preserve">（要求见招标文件第四章《评标标准》第六章《采购需求》）；</w:t>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服务方案</w:t>
            </w:r>
            <w:r>
              <w:rPr>
                <w:rFonts w:hint="eastAsia" w:ascii="宋体" w:hAnsi="宋体" w:eastAsia="宋体" w:cs="宋体"/>
                <w:bCs/>
                <w:color w:val="auto"/>
                <w:sz w:val="24"/>
                <w:szCs w:val="24"/>
                <w:highlight w:val="none"/>
              </w:rPr>
              <w:t xml:space="preserve">（要求见招标文件第四章《评标标准》第六章《采购需求》）</w:t>
            </w:r>
            <w:r>
              <w:rPr>
                <w:rFonts w:hint="eastAsia" w:ascii="宋体" w:hAnsi="宋体" w:eastAsia="宋体" w:cs="宋体"/>
                <w:bCs/>
                <w:color w:val="auto"/>
                <w:sz w:val="24"/>
                <w:szCs w:val="24"/>
                <w:highlight w:val="none"/>
                <w:lang w:eastAsia="zh-CN"/>
              </w:rPr>
              <w:t xml:space="preserve">。</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五、报价折扣证明</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w:t>
            </w:r>
            <w:r>
              <w:rPr>
                <w:rFonts w:hint="eastAsia" w:ascii="宋体" w:hAnsi="宋体" w:eastAsia="宋体" w:cs="宋体"/>
                <w:color w:val="auto"/>
                <w:sz w:val="24"/>
                <w:highlight w:val="none"/>
                <w:lang w:val="en-US" w:eastAsia="zh-CN"/>
              </w:rPr>
              <w:t xml:space="preserve">如</w:t>
            </w:r>
            <w:r>
              <w:rPr>
                <w:rFonts w:hint="eastAsia" w:ascii="宋体" w:hAnsi="宋体" w:eastAsia="宋体" w:cs="宋体"/>
                <w:color w:val="auto"/>
                <w:sz w:val="24"/>
                <w:highlight w:val="none"/>
              </w:rPr>
              <w:t xml:space="preserve">为中小企业（含中型、小型、微型企业，下同）的，</w:t>
            </w:r>
            <w:r>
              <w:rPr>
                <w:rFonts w:hint="eastAsia" w:ascii="宋体" w:hAnsi="宋体" w:eastAsia="宋体" w:cs="宋体"/>
                <w:color w:val="auto"/>
                <w:sz w:val="24"/>
                <w:highlight w:val="none"/>
                <w:lang w:val="en-US" w:eastAsia="zh-CN"/>
              </w:rPr>
              <w:t xml:space="preserve">需</w:t>
            </w:r>
            <w:r>
              <w:rPr>
                <w:rFonts w:hint="eastAsia" w:ascii="宋体" w:hAnsi="宋体" w:eastAsia="宋体" w:cs="宋体"/>
                <w:color w:val="auto"/>
                <w:sz w:val="24"/>
                <w:highlight w:val="none"/>
              </w:rPr>
              <w:t xml:space="preserve">提供《中小企业声明函》（加盖电子签章，格式见招标文件第七章《投标文件相关格式》）。《中小企业声明函》查询渠道参考工业和信息化部发布的中小企业规模自测小程序。</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2、投标人为监狱企业的，提供省级以上监狱管理局、戒毒管理局（含新疆生产建设兵团）出具的属于监狱企业的证明文件原件的扫描件。</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注：具体以《财政部 司法部关于政府采购支持监狱企业发展有关问题的通知》（财库〔2014〕68号）的规定为准。 </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3、投标人为享受政府采购支持政策的残疾人福利性单位的，提供《残疾人福利性单位声明函》（加盖电子签章，格式见招标文件第七章《投标文件相关格式》）。</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（二）依法与安置的每位残疾人签订了一年以上（含一年）的劳动合同或服务协议；</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firstLine="480"/>
              <w:spacing w:line="264"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958"/>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注：1、投标人应对以上文件的合法性、真实性负责。</w:t>
            </w:r>
            <w:r/>
          </w:p>
          <w:p>
            <w:pPr>
              <w:pStyle w:val="958"/>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签订合同前，中标人必须向采购人提交其投标文件中所有扫描件的原件，采购人核查无误后，签订合同。如中标人不能在采购人规定的时间内向采购人提供，将被采购人视为放弃中标资格。</w:t>
            </w:r>
            <w:r/>
          </w:p>
          <w:p>
            <w:pPr>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3、线下纸质投标文件：中标人领取中标通知书时须向代理机构提交纸质胶装投标文件一正四副，后期招标人如有需要中标人仍需免费提供。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1.招标文件第四章《评标标准》中《评分细则》</w:t>
            </w:r>
            <w:r/>
          </w:p>
          <w:p>
            <w:pPr>
              <w:ind w:right="28"/>
              <w:jc w:val="left"/>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2.本文件第三章《投标资料表》中(十二)1和(十二)2</w:t>
            </w:r>
            <w:r/>
          </w:p>
        </w:tc>
      </w:tr>
      <w:tr>
        <w:trPr>
          <w:trHeight w:val="90"/>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提供服务的时间：见本文件第五章 《拟签订的合同文本》及或本文件第六章《采购需求》。</w:t>
            </w:r>
            <w:r/>
          </w:p>
        </w:tc>
      </w:tr>
      <w:tr>
        <w:trPr>
          <w:trHeight w:val="682"/>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762"/>
              <w:ind w:left="0" w:right="-118"/>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采购预算金额：</w:t>
            </w:r>
            <w:r>
              <w:rPr>
                <w:rFonts w:hint="eastAsia" w:ascii="宋体" w:hAnsi="宋体" w:eastAsia="宋体" w:cs="宋体"/>
                <w:b/>
                <w:bCs/>
                <w:color w:val="auto"/>
                <w:sz w:val="24"/>
                <w:highlight w:val="none"/>
                <w:lang w:val="en-US" w:eastAsia="zh-CN"/>
              </w:rPr>
              <w:t xml:space="preserve">599.00万元</w:t>
            </w:r>
            <w:r>
              <w:rPr>
                <w:rFonts w:hint="eastAsia" w:ascii="宋体" w:hAnsi="宋体" w:eastAsia="宋体" w:cs="宋体"/>
                <w:b/>
                <w:bCs/>
                <w:color w:val="auto"/>
                <w:sz w:val="24"/>
                <w:highlight w:val="none"/>
              </w:rPr>
              <w:t xml:space="preserve">。报价包含完成合同服务的全部费用。用户不再支付报价以外的任何费用。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94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投标人应当通过“苏采云”系统提交数据电文形式的投标文件（即电子投标）。</w:t>
            </w:r>
            <w:r/>
          </w:p>
          <w:p>
            <w:pPr>
              <w:pStyle w:val="94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特别说明：通过“苏采云”系统提交政府采购客户端工具导出加密的投标文件（后缀名为zip）。</w:t>
            </w:r>
            <w:r>
              <w:rPr>
                <w:rFonts w:hint="eastAsia" w:ascii="宋体" w:hAnsi="宋体" w:eastAsia="宋体" w:cs="宋体"/>
                <w:b/>
                <w:color w:val="auto"/>
                <w:sz w:val="24"/>
                <w:szCs w:val="24"/>
                <w:highlight w:val="none"/>
              </w:rPr>
              <w:t xml:space="preserve">投标文件不得超过150M</w:t>
            </w:r>
            <w:r>
              <w:rPr>
                <w:rFonts w:hint="eastAsia" w:ascii="宋体" w:hAnsi="宋体" w:eastAsia="宋体" w:cs="宋体"/>
                <w:bCs/>
                <w:color w:val="auto"/>
                <w:sz w:val="24"/>
                <w:szCs w:val="24"/>
                <w:highlight w:val="none"/>
              </w:rPr>
              <w:t xml:space="preserve">！</w:t>
            </w:r>
            <w:r/>
          </w:p>
          <w:p>
            <w:pPr>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(十八)4</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jc w:val="left"/>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jc w:val="left"/>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投标文件的提交与接收： </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1.投标文件提交与接收时间：提交投标文件截止时间（2024年</w:t>
            </w:r>
            <w:r>
              <w:rPr>
                <w:rFonts w:hint="eastAsia" w:ascii="宋体" w:hAnsi="宋体" w:cs="宋体"/>
                <w:color w:val="auto"/>
                <w:sz w:val="24"/>
                <w:highlight w:val="none"/>
                <w:lang w:val="en-US" w:eastAsia="zh-CN"/>
              </w:rPr>
              <w:t xml:space="preserve">08月08</w:t>
            </w: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lang w:eastAsia="zh-CN"/>
              </w:rPr>
              <w:t xml:space="preserve">09:20</w:t>
            </w:r>
            <w:r>
              <w:rPr>
                <w:rFonts w:hint="eastAsia" w:ascii="宋体" w:hAnsi="宋体" w:eastAsia="宋体" w:cs="宋体"/>
                <w:color w:val="auto"/>
                <w:sz w:val="24"/>
                <w:highlight w:val="none"/>
              </w:rPr>
              <w:t xml:space="preserve">）前。</w:t>
            </w:r>
            <w:r/>
          </w:p>
          <w:p>
            <w:pPr>
              <w:jc w:val="left"/>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jc w:val="left"/>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rPr>
              <w:t xml:space="preserve">开标时间</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08月08</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09:20</w:t>
            </w:r>
            <w:r>
              <w:rPr>
                <w:rFonts w:hint="eastAsia" w:ascii="宋体" w:hAnsi="宋体" w:eastAsia="宋体" w:cs="宋体"/>
                <w:color w:val="auto"/>
                <w:sz w:val="24"/>
                <w:highlight w:val="none"/>
              </w:rPr>
              <w:t xml:space="preserve">（北京时间）</w:t>
            </w:r>
            <w:r/>
          </w:p>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ind w:left="0" w:right="0" w:firstLine="0"/>
              <w:jc w:val="left"/>
              <w:spacing w:before="0" w:after="0" w:line="400"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w:t>
            </w:r>
            <w:r/>
          </w:p>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二、采用综合评分法的，按评审后得分由高到低顺序排列。得分相同的，按保额报价由高到低排列；保额报价相同的，按理赔服务得分顺序由高到低排列；理赔服务得分相同的，由采购人确定中标人。</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94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1.评标中需要投标人对投标文件澄清或者说明的，应当通过“苏采云”系统交换数据电文。在评标期间，请投标人保持在线。</w:t>
            </w:r>
            <w:r/>
          </w:p>
          <w:p>
            <w:pPr>
              <w:pStyle w:val="94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4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40"/>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491" w:type="dxa"/>
            <w:vAlign w:val="top"/>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w:t>
            </w: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007" w:type="dxa"/>
            <w:vAlign w:val="top"/>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履约保证金：</w:t>
            </w:r>
            <w:r>
              <w:rPr>
                <w:rFonts w:hint="eastAsia" w:ascii="宋体" w:hAnsi="宋体" w:eastAsia="宋体" w:cs="宋体"/>
                <w:color w:val="auto"/>
                <w:sz w:val="24"/>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pStyle w:val="94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询问和质疑</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pStyle w:val="940"/>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质疑接收人：赵士通；联系电话：0516-83836677；</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办公地址：徐州市云龙区郭庄路世茂广场SOHO3 号楼17楼</w:t>
            </w:r>
            <w:r/>
          </w:p>
        </w:tc>
      </w:tr>
      <w:tr>
        <w:trPr/>
        <w:tc>
          <w:tcPr>
            <w:tcBorders>
              <w:top w:val="single" w:color="auto" w:sz="4" w:space="0"/>
              <w:left w:val="single" w:color="auto" w:sz="4" w:space="0"/>
              <w:bottom w:val="single" w:color="auto" w:sz="4" w:space="0"/>
              <w:right w:val="single" w:color="auto" w:sz="4" w:space="0"/>
            </w:tcBorders>
            <w:tcW w:w="1491" w:type="dxa"/>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附件说明</w:t>
            </w:r>
            <w:r/>
          </w:p>
        </w:tc>
        <w:tc>
          <w:tcPr>
            <w:tcBorders>
              <w:top w:val="single" w:color="auto" w:sz="4" w:space="0"/>
              <w:left w:val="single" w:color="auto" w:sz="4" w:space="0"/>
              <w:bottom w:val="single" w:color="auto" w:sz="4" w:space="0"/>
              <w:right w:val="single" w:color="auto" w:sz="4" w:space="0"/>
            </w:tcBorders>
            <w:tcW w:w="8007" w:type="dxa"/>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spacing w:line="520" w:lineRule="exac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本章附件：</w:t>
      </w:r>
      <w:r>
        <w:rPr>
          <w:rFonts w:hint="eastAsia" w:ascii="宋体" w:hAnsi="宋体" w:eastAsia="宋体" w:cs="宋体"/>
          <w:b/>
          <w:color w:val="auto"/>
          <w:sz w:val="30"/>
          <w:szCs w:val="30"/>
          <w:highlight w:val="none"/>
        </w:rPr>
        <w:t xml:space="preserve">招标代理服务收费标准</w:t>
      </w:r>
      <w:bookmarkStart w:id="44" w:name="_GoBack"/>
      <w:r/>
      <w:bookmarkEnd w:id="44"/>
      <w:r/>
      <w:r/>
    </w:p>
    <w:tbl>
      <w:tblPr>
        <w:tblStyle w:val="744"/>
        <w:tblW w:w="4998" w:type="pct"/>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6"/>
        <w:gridCol w:w="1440"/>
        <w:gridCol w:w="1578"/>
        <w:gridCol w:w="1399"/>
        <w:gridCol w:w="1946"/>
      </w:tblGrid>
      <w:tr>
        <w:trPr>
          <w:jc w:val="center"/>
          <w:trHeight w:val="735"/>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w:t>
            </w:r>
            <w:r/>
          </w:p>
        </w:tc>
        <w:tc>
          <w:tcPr>
            <w:tcBorders>
              <w:top w:val="single" w:color="000000" w:sz="4" w:space="0"/>
              <w:left w:val="single" w:color="000000" w:sz="4" w:space="0"/>
              <w:bottom w:val="single" w:color="000000" w:sz="4" w:space="0"/>
              <w:right w:val="single" w:color="000000" w:sz="4" w:space="0"/>
            </w:tcBorders>
            <w:tcW w:w="1141"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收费上限</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141" w:type="pct"/>
            <w:vAlign w:val="center"/>
            <w:vMerge w:val="restart"/>
            <w:textDirection w:val="lrTb"/>
            <w:noWrap w:val="false"/>
          </w:tcPr>
          <w:p>
            <w:pPr>
              <w:ind w:firstLine="280"/>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最低5千元</w:t>
            </w:r>
            <w:r/>
          </w:p>
          <w:p>
            <w:pPr>
              <w:ind w:firstLine="280"/>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最高15万元</w:t>
            </w:r>
            <w:r/>
          </w:p>
          <w:p>
            <w:pPr>
              <w:ind w:firstLine="280"/>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100万~500万</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0.70%</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500万~1000万</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l000万~5000万</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0.35%</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5000万~l亿</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0.20%</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1亿~5亿</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5亿~10亿</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0.035%</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0.035%</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10亿~50亿</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0.008%</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0.008%</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50亿~100亿</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0.006%</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0.006%</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100亿以上</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0.004%</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0.004%</w:t>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备注：非政府采购项目收费标准，由采购人与代理机构自行商议。</w:t>
      </w:r>
      <w:r/>
    </w:p>
    <w:p>
      <w:pP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1.按上表计算的收费为代理服务全过程的收费金额。各社会代理机构不再收取采购文件制作售卖费用。</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2.代理服务费按差额定率累进法计算。</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3.代理服务费基准金额（按差额定率累进法计算的）=中标金额（按差额定率累进法计算的）*费率（%）</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5.计算出的代理服务费应收取金额如低于5千元，按5千元收取；如高于15万元，按15万元收取。</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6.定点类等无金额或事先不能计算出价格总额的项目，按中标（成交）金额100万元计算服务费。</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r>
      <w:r>
        <w:rPr>
          <w:rFonts w:hint="eastAsia" w:ascii="宋体" w:hAnsi="宋体" w:eastAsia="宋体" w:cs="宋体"/>
          <w:color w:val="auto"/>
          <w:sz w:val="24"/>
          <w:highlight w:val="none"/>
          <w:lang w:eastAsia="zh-CN"/>
        </w:rPr>
        <w:t xml:space="preserve">7.多个采购包（标段）项目按总项目中标（成交）金额收费，最高不超过15万元。</w:t>
      </w: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25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5" w:name="_Toc18813"/>
      <w:r>
        <w:rPr>
          <w:rFonts w:hint="eastAsia" w:ascii="宋体" w:hAnsi="宋体" w:eastAsia="宋体" w:cs="宋体"/>
          <w:color w:val="auto"/>
          <w:highlight w:val="none"/>
        </w:rPr>
        <w:fldChar w:fldCharType="begin"/>
      </w:r>
      <w:r>
        <w:rPr>
          <w:rFonts w:hint="eastAsia" w:ascii="宋体" w:hAnsi="宋体" w:eastAsia="宋体" w:cs="宋体"/>
          <w:color w:val="auto"/>
          <w:sz w:val="28"/>
          <w:szCs w:val="28"/>
          <w:highlight w:val="none"/>
        </w:rPr>
        <w:instrText xml:space="preserve"> HYPERLINK "http://jszfcg.jsczt.cn/jszc/onlyoffice/6.4.2-6/web-apps/apps/documenteditor/main/index.html?_dc=6.4.2-6&amp;lang=zh&amp;customer=ONLYOFFICE&amp;frameEditorId=iframePage</w:instrText>
      </w:r>
      <w:r>
        <w:rPr>
          <w:rFonts w:hint="eastAsia" w:ascii="宋体" w:hAnsi="宋体" w:eastAsia="宋体" w:cs="宋体"/>
          <w:color w:val="auto"/>
          <w:sz w:val="28"/>
          <w:szCs w:val="28"/>
          <w:highlight w:val="none"/>
        </w:rPr>
        <w:instrText xml:space="preserve">&amp;parentOrigin=http://jszfcg.jsczt.cn#_Toc32057" \o "http://jszfcg.jsczt.cn/jszc/onlyoffice/6.4.2-6/web-apps/apps/documenteditor/main/index.html?_dc=6.4.2-6&amp;lang=zh&amp;customer=ONLYOFFICE&amp;frameEditorId=iframePage&amp;parentOrigin=http://jszfcg.jsczt.cn#_Toc32057" </w:instrText>
      </w:r>
      <w:r>
        <w:rPr>
          <w:rFonts w:hint="eastAsia" w:ascii="宋体" w:hAnsi="宋体" w:eastAsia="宋体" w:cs="宋体"/>
          <w:color w:val="auto"/>
          <w:highlight w:val="none"/>
        </w:rPr>
        <w:fldChar w:fldCharType="separate"/>
      </w:r>
      <w:r>
        <w:rPr>
          <w:rStyle w:val="786"/>
          <w:rFonts w:hint="eastAsia" w:ascii="宋体" w:hAnsi="宋体" w:eastAsia="宋体" w:cs="宋体"/>
          <w:b/>
          <w:color w:val="auto"/>
          <w:sz w:val="28"/>
          <w:szCs w:val="28"/>
          <w:highlight w:val="none"/>
          <w:u w:val="none"/>
        </w:rPr>
        <w:t xml:space="preserve">第四章  评标标准</w:t>
      </w:r>
      <w:r>
        <w:rPr>
          <w:rStyle w:val="786"/>
          <w:rFonts w:hint="eastAsia" w:ascii="宋体" w:hAnsi="宋体" w:eastAsia="宋体" w:cs="宋体"/>
          <w:b/>
          <w:color w:val="auto"/>
          <w:sz w:val="28"/>
          <w:szCs w:val="28"/>
          <w:highlight w:val="none"/>
          <w:u w:val="none"/>
        </w:rPr>
        <w:fldChar w:fldCharType="end"/>
      </w:r>
      <w:bookmarkEnd w:id="15"/>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8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4"/>
        <w:gridCol w:w="1287"/>
        <w:gridCol w:w="5989"/>
      </w:tblGrid>
      <w:tr>
        <w:trPr>
          <w:jc w:val="center"/>
        </w:trPr>
        <w:tc>
          <w:tcPr>
            <w:tcW w:w="730" w:type="pct"/>
            <w:vAlign w:val="center"/>
            <w:textDirection w:val="lrTb"/>
            <w:noWrap w:val="false"/>
          </w:tcPr>
          <w:p>
            <w:pPr>
              <w:jc w:val="center"/>
              <w:keepLines w:val="0"/>
              <w:keepNext w:val="0"/>
              <w:pageBreakBefore w:val="0"/>
              <w:spacing w:line="420" w:lineRule="exact"/>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项目</w:t>
            </w:r>
            <w:r/>
          </w:p>
        </w:tc>
        <w:tc>
          <w:tcPr>
            <w:gridSpan w:val="2"/>
            <w:tcW w:w="4269" w:type="pct"/>
            <w:vAlign w:val="center"/>
            <w:textDirection w:val="lrTb"/>
            <w:noWrap w:val="false"/>
          </w:tcPr>
          <w:p>
            <w:pPr>
              <w:jc w:val="center"/>
              <w:keepLines w:val="0"/>
              <w:keepNext w:val="0"/>
              <w:pageBreakBefore w:val="0"/>
              <w:spacing w:line="420" w:lineRule="exact"/>
              <w:rPr>
                <w:rFonts w:hint="eastAsia" w:ascii="宋体" w:hAnsi="宋体" w:eastAsia="宋体" w:cs="宋体"/>
                <w:b/>
                <w:color w:val="auto"/>
                <w:sz w:val="21"/>
                <w:szCs w:val="21"/>
                <w:highlight w:val="none"/>
                <w:vertAlign w:val="baseline"/>
              </w:rPr>
            </w:pPr>
            <w:r>
              <w:rPr>
                <w:rFonts w:hint="eastAsia" w:ascii="宋体" w:hAnsi="宋体" w:eastAsia="宋体" w:cs="宋体"/>
                <w:color w:val="auto"/>
                <w:sz w:val="21"/>
                <w:szCs w:val="21"/>
                <w:highlight w:val="none"/>
              </w:rPr>
              <w:t xml:space="preserve">评  分  依  据</w:t>
            </w:r>
            <w:r/>
          </w:p>
        </w:tc>
      </w:tr>
      <w:tr>
        <w:trPr>
          <w:jc w:val="center"/>
        </w:trPr>
        <w:tc>
          <w:tcPr>
            <w:tcW w:w="730" w:type="pct"/>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价格</w:t>
            </w:r>
            <w:r/>
          </w:p>
          <w:p>
            <w:pPr>
              <w:jc w:val="center"/>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tc>
        <w:tc>
          <w:tcPr>
            <w:gridSpan w:val="2"/>
            <w:tcW w:w="4269"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各投标人价格得分=最低报价÷各投标人评审价格×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 </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各投标人评审价格=《开标一览表》中的“总价”-《分项价格表》中的““小型和微型和监狱企业和享受政府采购支持政策的残疾人福利性单位”总价合计”*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p>
        </w:tc>
      </w:tr>
      <w:tr>
        <w:trPr>
          <w:jc w:val="center"/>
          <w:trHeight w:val="1047"/>
        </w:trPr>
        <w:tc>
          <w:tcPr>
            <w:tcW w:w="730" w:type="pct"/>
            <w:vAlign w:val="center"/>
            <w:vMerge w:val="restart"/>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 xml:space="preserve">投标人综合实力（40分）</w:t>
            </w:r>
            <w:r/>
          </w:p>
        </w:tc>
        <w:tc>
          <w:tcPr>
            <w:tcW w:w="755" w:type="pct"/>
            <w:vAlign w:val="center"/>
            <w:vMerge w:val="restart"/>
            <w:textDirection w:val="lrTb"/>
            <w:noWrap w:val="false"/>
          </w:tcPr>
          <w:p>
            <w:pPr>
              <w:jc w:val="center"/>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投标人成功案例</w:t>
            </w:r>
            <w:r/>
          </w:p>
          <w:p>
            <w:pPr>
              <w:jc w:val="center"/>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分）</w:t>
            </w:r>
            <w:r/>
          </w:p>
        </w:tc>
        <w:tc>
          <w:tcPr>
            <w:tcW w:w="3514"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投标人或省内其他地市分支机构有高标准农田潜在缺陷保险理赔案例，每有一项得5分，本项最高得10分。</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注：本项需提供承保凭证原件扫描件，否则不得分。</w:t>
            </w:r>
            <w:r/>
          </w:p>
        </w:tc>
      </w:tr>
      <w:tr>
        <w:trPr>
          <w:jc w:val="center"/>
          <w:trHeight w:val="1017"/>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vMerge w:val="continue"/>
            <w:textDirection w:val="lrTb"/>
            <w:noWrap w:val="false"/>
          </w:tcPr>
          <w:p>
            <w:pPr>
              <w:jc w:val="center"/>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3514"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投标人或省内其他地市分支机构有高标准农田潜在缺陷保险（含）共保成功案例，每有一项得2.5分，本项最高得5分。</w:t>
            </w:r>
            <w:r/>
          </w:p>
          <w:p>
            <w:pPr>
              <w:pStyle w:val="949"/>
              <w:jc w:val="both"/>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注：本项需提供承保凭证原件扫描件，否则不得分。</w:t>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vMerge w:val="restart"/>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农业保险新技术设备应用（10分）</w:t>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根据投标人配置服务于本项目三农服务车辆，每持有 1 辆得 1 分，最高得 6 分。</w:t>
            </w:r>
            <w:r/>
          </w:p>
          <w:p>
            <w:pPr>
              <w:keepLines w:val="0"/>
              <w:keepNext w:val="0"/>
              <w:pageBreakBefore w:val="0"/>
              <w:spacing w:line="4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注：服务车辆行驶证所有人属于投标人或投标人的上一级公司，车身有规范明显的“三农服务”标识的车辆，要求提供查勘车辆照片及行驶证原件扫描件，否则不得分。</w:t>
            </w:r>
            <w:r/>
          </w:p>
        </w:tc>
      </w:tr>
      <w:tr>
        <w:trPr>
          <w:jc w:val="center"/>
          <w:trHeight w:val="1264"/>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根据投标人配置服务于本项目的无人机，每持有1 架得 1 分，最高得 4 分。</w:t>
            </w:r>
            <w:r/>
          </w:p>
          <w:p>
            <w:pPr>
              <w:keepLines w:val="0"/>
              <w:keepNext w:val="0"/>
              <w:pageBreakBefore w:val="0"/>
              <w:spacing w:line="4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注：提供投标人或投标人的上一级公司购买无人机发票原件扫描件以及无人机查勘照片，否则不得分）。</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vMerge w:val="restart"/>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服务机构建设（15分）</w:t>
            </w:r>
            <w:r/>
          </w:p>
        </w:tc>
        <w:tc>
          <w:tcPr>
            <w:tcW w:w="3514"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农业保险部门设置。投标人设有专门的农业保险经营部门的得 5分，没有不得分</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注：要求提供投标人农险部成立证明文件、HR 系统或业务系统中有农业保险部门设置的截图等。</w:t>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3514"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乡镇服务机构设置。投标人在睢宁县建有专门的农业保险乡镇服务机构，并且正常营业。有 1 个得 2 分，最高得10分，没有不得分。</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注：要求乡镇网点为投标人所有，并提供保险监督管理机构批准颁发的经营保险业务许可证及工商行政管理机关颁发的营业执照。</w:t>
            </w:r>
            <w:r/>
          </w:p>
        </w:tc>
      </w:tr>
      <w:tr>
        <w:trPr>
          <w:jc w:val="center"/>
        </w:trPr>
        <w:tc>
          <w:tcPr>
            <w:tcW w:w="730" w:type="pct"/>
            <w:vAlign w:val="center"/>
            <w:vMerge w:val="restart"/>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
              </w:rPr>
              <w:t xml:space="preserve">服务方案（50分）</w:t>
            </w:r>
            <w:r/>
          </w:p>
        </w:tc>
        <w:tc>
          <w:tcPr>
            <w:tcW w:w="755"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承保服务（15分）</w:t>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投标人针对本保险项目，在承保服务等方面提出相应的服务措施，评委在投标之间进行横向比较综合打分，优秀得 15 分，较好得10 分，一般得5 分，较差得 3 分，未提供不得分。</w:t>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理赔服务（15分）</w:t>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投标人针对本保险项目，理赔服务手续、流程是否便捷等，评委在投标人之间进行横向比较综合打分，优秀得 15 分，较好得 10 分， 一般得 5 分，较差得 3 分，未提供不得分。 </w:t>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团队人员配置</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投标人在本项目配置专业团队，具体落实各项服务内容，评委根据投标人主要负责人任职情况和团队成员配置情况进行横向比较综合打分，优秀得 15 分，较好得 10 分，一般得 5 分，较差得 3 分，未提供不得分。 </w:t>
            </w:r>
            <w:r/>
          </w:p>
        </w:tc>
      </w:tr>
      <w:tr>
        <w:trPr>
          <w:jc w:val="center"/>
        </w:trPr>
        <w:tc>
          <w:tcPr>
            <w:tcW w:w="730" w:type="pct"/>
            <w:vAlign w:val="center"/>
            <w:vMerge w:val="continue"/>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755"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后续服务（5分）</w:t>
            </w:r>
            <w:r/>
          </w:p>
        </w:tc>
        <w:tc>
          <w:tcPr>
            <w:tcW w:w="3514" w:type="pct"/>
            <w:vAlign w:val="center"/>
            <w:textDirection w:val="lrTb"/>
            <w:noWrap w:val="false"/>
          </w:tcPr>
          <w:p>
            <w:pPr>
              <w:keepLines w:val="0"/>
              <w:keepNext w:val="0"/>
              <w:pageBreakBefore w:val="0"/>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后续服务内容及承诺全面、可行。磋商小组横向比较评审分档给分，优秀者得 5 分；良好者得 3 分；一般者得 2 分；较差者得 1 分，未提供不得分。 </w:t>
            </w:r>
            <w:r/>
          </w:p>
          <w:p>
            <w:pPr>
              <w:jc w:val="left"/>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eastAsia="zh-CN"/>
        </w:rPr>
        <w:t xml:space="preserve">本章说明：</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1、本项目采用综合评分法。</w:t>
      </w:r>
      <w:r/>
    </w:p>
    <w:p>
      <w:pPr>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2、评分结果精确到小数点后两位。</w:t>
      </w:r>
      <w:r/>
    </w:p>
    <w:p>
      <w:pPr>
        <w:rPr>
          <w:rFonts w:hint="eastAsia" w:ascii="宋体" w:hAnsi="宋体" w:eastAsia="宋体" w:cs="宋体"/>
          <w:b/>
          <w:bCs/>
          <w:color w:val="auto"/>
          <w:sz w:val="28"/>
          <w:szCs w:val="28"/>
          <w:highlight w:val="none"/>
        </w:rPr>
      </w:pPr>
      <w:r/>
      <w:bookmarkStart w:id="16" w:name="_Toc1731"/>
      <w:r/>
      <w:bookmarkStart w:id="17" w:name="_Toc21810"/>
      <w:r>
        <w:rPr>
          <w:rFonts w:hint="eastAsia" w:ascii="宋体" w:hAnsi="宋体" w:eastAsia="宋体" w:cs="宋体"/>
          <w:b/>
          <w:bCs/>
          <w:color w:val="auto"/>
          <w:sz w:val="28"/>
          <w:szCs w:val="28"/>
          <w:highlight w:val="none"/>
        </w:rPr>
        <w:br w:type="page" w:clear="all"/>
      </w:r>
      <w:r/>
    </w:p>
    <w:p>
      <w:pPr>
        <w:jc w:val="center"/>
        <w:rPr>
          <w:rFonts w:hint="eastAsia" w:ascii="宋体" w:hAnsi="宋体" w:eastAsia="宋体" w:cs="宋体"/>
          <w:b/>
          <w:bCs/>
          <w:color w:val="auto"/>
          <w:sz w:val="48"/>
          <w:szCs w:val="48"/>
          <w:highlight w:val="none"/>
        </w:rPr>
        <w:outlineLvl w:val="0"/>
      </w:pPr>
      <w:r/>
      <w:bookmarkStart w:id="18" w:name="_Toc11014"/>
      <w:r>
        <w:rPr>
          <w:rFonts w:hint="eastAsia" w:ascii="宋体" w:hAnsi="宋体" w:eastAsia="宋体" w:cs="宋体"/>
          <w:b/>
          <w:bCs/>
          <w:color w:val="auto"/>
          <w:sz w:val="28"/>
          <w:szCs w:val="28"/>
          <w:highlight w:val="none"/>
        </w:rPr>
        <w:t xml:space="preserve">第五章  拟签订的合同文本</w:t>
      </w:r>
      <w:bookmarkEnd w:id="18"/>
      <w:r/>
      <w:r/>
    </w:p>
    <w:p>
      <w:pPr>
        <w:pStyle w:val="9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pStyle w:val="9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95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同</w:t>
      </w: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采购人：</w:t>
      </w:r>
      <w:r/>
    </w:p>
    <w:p>
      <w:pPr>
        <w:pStyle w:val="95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中标供应商：</w:t>
      </w:r>
      <w:r/>
    </w:p>
    <w:p>
      <w:pPr>
        <w:pStyle w:val="95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合同签订日期：   年   月   日</w:t>
      </w:r>
      <w:r/>
    </w:p>
    <w:p>
      <w:pPr>
        <w:pStyle w:val="940"/>
        <w:ind w:firstLine="562"/>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40"/>
        <w:ind w:firstLine="562"/>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40"/>
        <w:ind w:firstLine="562"/>
        <w:spacing w:line="3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940"/>
        <w:ind w:firstLine="562"/>
        <w:spacing w:line="36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友情提醒：采购人与中标、成交人应当在中标、成交通知书发出之日起三十日内，按照采购文件确定的事项签订政府采购合同。</w:t>
      </w:r>
      <w:r/>
    </w:p>
    <w:p>
      <w:pPr>
        <w:pStyle w:val="940"/>
        <w:ind w:firstLine="562"/>
        <w:spacing w:line="36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numPr>
          <w:ilvl w:val="0"/>
          <w:numId w:val="0"/>
        </w:numPr>
        <w:jc w:val="center"/>
        <w:spacing w:line="360" w:lineRule="auto"/>
        <w:rPr>
          <w:rStyle w:val="968"/>
          <w:rFonts w:hint="eastAsia" w:ascii="宋体" w:hAnsi="宋体" w:eastAsia="宋体" w:cs="宋体"/>
          <w:b/>
          <w:color w:val="auto"/>
          <w:highlight w:val="none"/>
          <w:lang w:val="en-US" w:eastAsia="zh-CN"/>
        </w:rPr>
      </w:pPr>
      <w:r/>
      <w:bookmarkStart w:id="19" w:name="_Toc2444"/>
      <w:r>
        <w:rPr>
          <w:rStyle w:val="968"/>
          <w:rFonts w:hint="eastAsia" w:ascii="宋体" w:hAnsi="宋体" w:eastAsia="宋体" w:cs="宋体"/>
          <w:b/>
          <w:color w:val="auto"/>
          <w:highlight w:val="none"/>
          <w:lang w:val="en-US" w:eastAsia="zh-CN"/>
        </w:rPr>
        <w:t xml:space="preserve">服务合同 </w:t>
      </w:r>
      <w:bookmarkEnd w:id="19"/>
      <w:r/>
      <w:r/>
    </w:p>
    <w:p>
      <w:pPr>
        <w:jc w:val="left"/>
        <w:keepLines w:val="0"/>
        <w:keepNext w:val="0"/>
        <w:widowControl/>
        <w:rPr>
          <w:rFonts w:hint="eastAsia" w:ascii="宋体" w:hAnsi="宋体" w:eastAsia="宋体" w:cs="宋体"/>
          <w:color w:val="auto"/>
          <w:sz w:val="28"/>
          <w:szCs w:val="28"/>
          <w:highlight w:val="none"/>
          <w:lang w:val="en-US"/>
        </w:rPr>
        <w:suppressLineNumbers w:val="0"/>
      </w:pPr>
      <w:r>
        <w:rPr>
          <w:rFonts w:hint="eastAsia" w:ascii="宋体" w:hAnsi="宋体" w:eastAsia="宋体" w:cs="宋体"/>
          <w:color w:val="auto"/>
          <w:sz w:val="28"/>
          <w:szCs w:val="28"/>
          <w:highlight w:val="none"/>
          <w:lang w:val="en-US" w:eastAsia="zh-CN" w:bidi="ar"/>
        </w:rPr>
        <w:t xml:space="preserve">甲方(投保人):睢宁县农业农村局</w:t>
      </w:r>
      <w:r/>
    </w:p>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乙方(保险人): </w:t>
      </w:r>
      <w:r/>
    </w:p>
    <w:p>
      <w:pPr>
        <w:ind w:firstLine="560"/>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为进一步提升睢宁县高标准农田建设项目管理水平，提高农田建设工程质量和加强建后维护保障机制，巩固高标准农田建设成果，确保项目长久持续发挥效益，根据苏财农(2021) 75 号文件和县政府第 15 次常务会议纪要精神，结合我县实际，为睢宁县2019年（含）之前已上图入库的高标准农田建设项目采购高标准农田建后管护、质量缺陷保险附加维修服务保险服务，2019年（含）以前建成项目，共80.64万亩，总投资145789万元，保险公司承担全部风险维修责任。</w:t>
      </w:r>
      <w:r/>
    </w:p>
    <w:p>
      <w:pPr>
        <w:ind w:firstLine="560"/>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为积极、稳妥地推进该项工作，确保承保的高标准农田试点项目得到充分保障，甲乙双方达成如下协议: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一、保障标的 </w:t>
      </w:r>
      <w:r/>
    </w:p>
    <w:p>
      <w:pPr>
        <w:ind w:firstLine="560"/>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本项目为睢宁县改革创新试点项目，保障标的是睢宁县年2019年（含）之前已上图入库的高标准农田建设项目。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二、保险责任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（一）高标准农田建设工程质量潜在缺陷责任保险</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在保险期间内，保险单载明的建设工程竣工验收合格,并经保险人委托的工程质量风险管理机构检查通过的，在正常使用条件下，因建设工程质量潜在缺陷发生下列情形，造成建设工程的损坏，经被保险人向保险人提出索赔申请，保险人按照本保险合同的约定负责赔偿修理、加固或重置的费用：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(1)工程结构的整体或局部出现影响正常使用或影响结构安全的裂缝、变形、破损、断裂、坍塌；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(2)工程结构产生超出设计允许范围的不均匀沉降；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(3)有防渗漏要求的工程出现渗漏。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保险事故发生后，事先经保险人书面同意，被保险人为防止或减少建设工程的损失所支付的必要的、合理的费用，保险人按照本合同的约定也负责赔偿。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(二)附加维修费用损失补偿保险</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在保险期间内，保险单载明的高标准农田建设工程及附属设施在日常使用过程中因存在安全事故隐患，或发生故障无法正常运行需要对工程设施进行维修的，被保险人为保证其安全运行所实际支出的工程设施维修费用、重置费用、人工费用等必要且合理的费用（以下简称“维修费用”）， 保险人按照本附加险合同的约定负责赔偿。 </w:t>
      </w:r>
      <w:r/>
    </w:p>
    <w:p>
      <w:pPr>
        <w:jc w:val="left"/>
        <w:keepLines w:val="0"/>
        <w:keepNext w:val="0"/>
        <w:widowControl/>
        <w:rPr>
          <w:rFonts w:hint="eastAsia" w:ascii="宋体" w:hAnsi="宋体" w:eastAsia="宋体" w:cs="宋体"/>
          <w:b w:val="0"/>
          <w:bCs w:val="0"/>
          <w:color w:val="auto"/>
          <w:sz w:val="31"/>
          <w:szCs w:val="31"/>
          <w:highlight w:val="none"/>
          <w:lang w:val="en-US" w:eastAsia="zh-CN" w:bidi="ar"/>
        </w:rPr>
        <w:suppressLineNumbers w:val="0"/>
      </w:pPr>
      <w:r>
        <w:rPr>
          <w:rFonts w:hint="eastAsia" w:ascii="宋体" w:hAnsi="宋体" w:eastAsia="宋体" w:cs="宋体"/>
          <w:b w:val="0"/>
          <w:bCs w:val="0"/>
          <w:color w:val="auto"/>
          <w:sz w:val="31"/>
          <w:szCs w:val="31"/>
          <w:highlight w:val="none"/>
          <w:lang w:val="en-US" w:eastAsia="zh-CN" w:bidi="ar"/>
        </w:rPr>
        <w:t xml:space="preserve">（三）附加农田输配电工程责任保险</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在保险期间内，保险载明的农田输配电工程完工并竣工验收合格，经保险人委托的工程质量风险管理机构检查通过；</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在保险责任期内，在正常使用条件下，因农田输配电工程的潜在缺陷而损坏的，由保险人按照本附加保险合同的约定负责赔偿修理、加固或重置的费用。</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三、责任限额 </w:t>
      </w:r>
      <w:r/>
    </w:p>
    <w:p>
      <w:pPr>
        <w:ind w:firstLine="560"/>
        <w:jc w:val="left"/>
        <w:keepLines w:val="0"/>
        <w:keepNext w:val="0"/>
        <w:widowControl/>
        <w:rPr>
          <w:rFonts w:hint="eastAsia" w:ascii="宋体" w:hAnsi="宋体" w:eastAsia="宋体" w:cs="宋体"/>
          <w:b/>
          <w:bCs/>
          <w:color w:val="auto"/>
          <w:sz w:val="31"/>
          <w:szCs w:val="31"/>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维修费用损失补偿保险：累计赔偿限额118650万元， 每次事故免赔1000 元。</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四、保险期间 </w:t>
      </w:r>
      <w:r/>
    </w:p>
    <w:p>
      <w:pPr>
        <w:jc w:val="left"/>
        <w:keepLines w:val="0"/>
        <w:keepNext w:val="0"/>
        <w:widowControl/>
        <w:rPr>
          <w:rFonts w:hint="eastAsia" w:ascii="宋体" w:hAnsi="宋体" w:eastAsia="宋体" w:cs="宋体"/>
          <w:b/>
          <w:bCs/>
          <w:color w:val="auto"/>
          <w:sz w:val="31"/>
          <w:szCs w:val="31"/>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自保险标的投保开始，3年一期，自合同签订之日起满三年。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五、保费标准及使用范围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sz w:val="31"/>
          <w:szCs w:val="31"/>
          <w:highlight w:val="none"/>
          <w:lang w:val="en-US" w:eastAsia="zh-CN" w:bidi="ar"/>
        </w:rPr>
        <w:t xml:space="preserve">（一）保费标准 </w:t>
      </w:r>
      <w:r/>
    </w:p>
    <w:p>
      <w:pPr>
        <w:ind w:firstLine="560"/>
        <w:jc w:val="left"/>
        <w:keepLines w:val="0"/>
        <w:keepNext w:val="0"/>
        <w:widowControl/>
        <w:rPr>
          <w:rFonts w:hint="eastAsia" w:ascii="宋体" w:hAnsi="宋体" w:eastAsia="宋体" w:cs="宋体"/>
          <w:color w:val="auto"/>
          <w:sz w:val="31"/>
          <w:szCs w:val="31"/>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以实际中标金额作为保险项目总价，累计不超过599万元。合同签订后，乙方向甲方出具保单及保险费发票后分三次付清。</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（二）使用范围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1、工程质量管理和日常管护服务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由保险公司聘请的经政府主管部门认可的第三方机构统筹规划、采取网格化管理方式承担高标准农田实体工程的工程质量和日常管护工作，减轻政府人力资源成本负担。充分发挥农网布局和渠道优势，积极运用信息化手段，对新建或存量高标准农田提供高效优质管护服务。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2、损毁修复保障服务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对于定期集中管养或日常养护检查中发现的影响或可能影响正常使用的损毁问题，需要及时修复的，由负责管养工作的专员或农田实际使用人向保险公司报案，保险公司的专项理赔查勘团队进行查勘定损，将相关信息整理后报告给区农业农村局主管部门和项目所在乡镇，经三方确认后，由保险公司组织施工单位及时进行修复，并支付损失赔偿。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3、监管机制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农业农村局及项目所在单位乡镇政府对第三方服务公司的管护情况进行全程监督，包括服务情况和维修单位的维修进度与质量。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六、双方义务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1"/>
          <w:szCs w:val="31"/>
          <w:highlight w:val="none"/>
          <w:lang w:val="en-US" w:eastAsia="zh-CN" w:bidi="ar"/>
        </w:rPr>
        <w:t xml:space="preserve">（一）甲方义务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1、甲方应积极推动本保险项目的实施，及时支付保险费。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2、甲方要广泛宣传该项保险的重要意义，支持和指导乙方制定相应维保方案和开展维保工作。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3、甲方应指导高标准农田维护保养中应注意的各项事宣，以便乙方及时做好相关义务。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(二)乙方义务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1、乙方应针对本项目成立支公司分管领导担任组长的专门服务小组，做好本保险的承保及理赔服务工作。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2、乙方应针对新建工程，委托经过政府主管部门认可的风险管理机构,开展立项初期风险检查、勘察设计质量检查、施工过程质量检查。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3、乙方应建立巡防队伍，对承保的项目依据保险责任内容，定期进行巡检，巡检中发现的问题及时向甲乙双方和建设单位进行汇报，对于保险责任范围内的项目，由乙方对实际支出的工程设施维修费用、重置费用、人工费用等必要且合理的费用负责赔偿。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4、乙方工作人员每季度定期到甲方服务至少二次，包括收取理赔材料，听取理赔反馈意见等。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5、乙方应建立理赔绿色通道，对责任明确、双方达成赔付意见且材料齐全的案件，承诺在收到案件之日起十个工作日内完成赔付；对于责任明确、材料齐全，但需要调查的案件，承诺在收到案件之日起三十个工作日内完成赔付。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6、乙方负责向甲方提供保险专业知识的培训，项目相关创新工作在报纸上进行宣传。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7、乙方要与甲方建立信息管理交流和沟通机制，实行动态管理。与甲方共回召开工作例会，通报保险事故状况、理赔进展状况、赔付水平和共同解决需双方协调的事宜；每半年向甲方提供理赔分析报告。                     8、乙方定期收集整理相关赔付资料并形成档案，签字盖章后报送甲方一份</w:t>
      </w:r>
      <w:r/>
    </w:p>
    <w:p>
      <w:pPr>
        <w:jc w:val="left"/>
        <w:keepLines w:val="0"/>
        <w:keepNext w:val="0"/>
        <w:widowControl/>
        <w:rPr>
          <w:rFonts w:hint="eastAsia" w:ascii="宋体" w:hAnsi="宋体" w:eastAsia="宋体" w:cs="宋体"/>
          <w:b/>
          <w:bCs/>
          <w:color w:val="auto"/>
          <w:sz w:val="30"/>
          <w:szCs w:val="30"/>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存档。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七、一般条款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(一)协议有效期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本项目管护期10年，本合同为前3年，如果保险期限结束后，存在遗留问题，双方须共同协商、配合直至保单涉及的各项遗留事宜最终处理完毕为止。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协议期满，如双方无异议，在同等情况下，乙方优先续签协议。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(二)协议修改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对于本协议的未尽事宜或遇政策调整，协议如需进行修改、补充或完善的，双方必须就所修改的内容签订书面协议修改书，作为本协议的补充协议，补充协议与本协议具有同等法律效力。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(三)保密条款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sz w:val="28"/>
          <w:szCs w:val="28"/>
          <w:highlight w:val="none"/>
          <w:lang w:val="en-US" w:eastAsia="zh-CN" w:bidi="ar"/>
        </w:rPr>
        <w:t xml:space="preserve">自本合同生效之日起，甲乙双方不得将本合同涉及的信息及资料泄露给其他方，必要情况需征询甲乙双方同意。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八、争议解决方式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有关本协议的争议应通过友好协商解决，如果协商不成，依法问保险事故发生地人民法院起诉。 </w:t>
      </w:r>
      <w:r/>
    </w:p>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30"/>
          <w:szCs w:val="30"/>
          <w:highlight w:val="none"/>
          <w:lang w:val="en-US" w:eastAsia="zh-CN" w:bidi="ar"/>
        </w:rPr>
        <w:t xml:space="preserve">九、其他事项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(一)本合同自双方签字盖章之日起生效。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(二)本协议一式肆份，甲乙双方各执贰份，均具其有同等效力。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甲方:                                     乙方： </w:t>
      </w:r>
      <w:r/>
    </w:p>
    <w:p>
      <w:pPr>
        <w:jc w:val="left"/>
        <w:keepLines w:val="0"/>
        <w:keepNext w:val="0"/>
        <w:widowControl/>
        <w:rPr>
          <w:rFonts w:hint="eastAsia" w:ascii="宋体" w:hAnsi="宋体" w:eastAsia="宋体" w:cs="宋体"/>
          <w:color w:val="auto"/>
          <w:sz w:val="28"/>
          <w:szCs w:val="28"/>
          <w:highlight w:val="none"/>
          <w:lang w:val="en-US" w:eastAsia="zh-CN" w:bidi="ar"/>
        </w:rPr>
        <w:suppressLineNumbers w:val="0"/>
      </w:pPr>
      <w:r>
        <w:rPr>
          <w:rFonts w:hint="eastAsia" w:ascii="宋体" w:hAnsi="宋体" w:eastAsia="宋体" w:cs="宋体"/>
          <w:color w:val="auto"/>
          <w:sz w:val="28"/>
          <w:szCs w:val="28"/>
          <w:highlight w:val="none"/>
          <w:lang w:val="en-US" w:eastAsia="zh-CN" w:bidi="ar"/>
        </w:rPr>
        <w:t xml:space="preserve">负责人：（签章）                          负责人：（签章） </w:t>
      </w:r>
      <w:r/>
    </w:p>
    <w:p>
      <w:pPr>
        <w:jc w:val="left"/>
        <w:keepLines w:val="0"/>
        <w:keepNext w:val="0"/>
        <w:widowControl/>
        <w:rPr>
          <w:rStyle w:val="968"/>
          <w:rFonts w:hint="eastAsia" w:ascii="宋体" w:hAnsi="宋体" w:eastAsia="宋体" w:cs="宋体"/>
          <w:b/>
          <w:color w:val="auto"/>
          <w:highlight w:val="none"/>
          <w:lang w:val="en-US" w:eastAsia="zh-CN"/>
        </w:rPr>
        <w:suppressLineNumbers w:val="0"/>
      </w:pPr>
      <w:r>
        <w:rPr>
          <w:rFonts w:hint="eastAsia" w:ascii="宋体" w:hAnsi="宋体" w:eastAsia="宋体" w:cs="宋体"/>
          <w:color w:val="auto"/>
          <w:sz w:val="28"/>
          <w:szCs w:val="28"/>
          <w:highlight w:val="none"/>
          <w:lang w:val="en-US" w:eastAsia="zh-CN" w:bidi="ar"/>
        </w:rPr>
        <w:t xml:space="preserve">年 月 日                                  年 月 日</w:t>
      </w:r>
      <w:r/>
    </w:p>
    <w:p>
      <w:pPr>
        <w:pStyle w:val="96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pStyle w:val="734"/>
        <w:jc w:val="center"/>
        <w:rPr>
          <w:rFonts w:hint="eastAsia" w:ascii="宋体" w:hAnsi="宋体" w:eastAsia="宋体" w:cs="宋体"/>
          <w:color w:val="auto"/>
          <w:sz w:val="28"/>
          <w:szCs w:val="28"/>
          <w:highlight w:val="none"/>
        </w:rPr>
      </w:pPr>
      <w:r/>
      <w:bookmarkStart w:id="20" w:name="_Toc1674"/>
      <w:r>
        <w:rPr>
          <w:rFonts w:hint="eastAsia" w:ascii="宋体" w:hAnsi="宋体" w:eastAsia="宋体" w:cs="宋体"/>
          <w:color w:val="auto"/>
          <w:sz w:val="28"/>
          <w:szCs w:val="28"/>
          <w:highlight w:val="none"/>
        </w:rPr>
        <w:t xml:space="preserve">第六章  采购需求</w:t>
      </w:r>
      <w:bookmarkEnd w:id="20"/>
      <w:r/>
      <w:bookmarkEnd w:id="16"/>
      <w:r/>
      <w:bookmarkEnd w:id="17"/>
      <w:r/>
      <w:r/>
    </w:p>
    <w:p>
      <w:pPr>
        <w:ind w:firstLine="480"/>
        <w:spacing w:line="400" w:lineRule="atLeast"/>
        <w:tabs>
          <w:tab w:val="left" w:pos="1212" w:leader="none"/>
        </w:tabs>
        <w:rPr>
          <w:rFonts w:hint="eastAsia" w:ascii="宋体" w:hAnsi="宋体" w:eastAsia="宋体" w:cs="宋体"/>
          <w:b/>
          <w:bCs/>
          <w:color w:val="auto"/>
          <w:sz w:val="24"/>
          <w:highlight w:val="none"/>
        </w:rPr>
      </w:pPr>
      <w:r/>
      <w:bookmarkStart w:id="21" w:name="_Toc22112"/>
      <w:r>
        <w:rPr>
          <w:rFonts w:hint="eastAsia" w:ascii="宋体" w:hAnsi="宋体" w:eastAsia="宋体" w:cs="宋体"/>
          <w:b/>
          <w:bCs/>
          <w:color w:val="auto"/>
          <w:sz w:val="24"/>
          <w:highlight w:val="none"/>
        </w:rPr>
        <w:t xml:space="preserve">一、本顶目不接受超过</w:t>
      </w:r>
      <w:r>
        <w:rPr>
          <w:rFonts w:hint="eastAsia" w:ascii="宋体" w:hAnsi="宋体" w:eastAsia="宋体" w:cs="宋体"/>
          <w:b/>
          <w:bCs/>
          <w:color w:val="auto"/>
          <w:sz w:val="24"/>
          <w:highlight w:val="none"/>
          <w:lang w:val="en-US" w:eastAsia="zh-CN"/>
        </w:rPr>
        <w:t xml:space="preserve">599.00万元</w:t>
      </w:r>
      <w:r>
        <w:rPr>
          <w:rFonts w:hint="eastAsia" w:ascii="宋体" w:hAnsi="宋体" w:eastAsia="宋体" w:cs="宋体"/>
          <w:b/>
          <w:bCs/>
          <w:color w:val="auto"/>
          <w:sz w:val="24"/>
          <w:highlight w:val="none"/>
        </w:rPr>
        <w:t xml:space="preserve">（人民币）《采购项目算金额、最高限价)的报价。</w:t>
      </w:r>
      <w:r/>
    </w:p>
    <w:p>
      <w:pPr>
        <w:ind w:firstLine="480"/>
        <w:jc w:val="left"/>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val="en-US" w:eastAsia="zh-CN"/>
        </w:rPr>
        <w:t xml:space="preserve">项目概况及背景</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为进一步提升睢宁县高标准农田建设项目管理水平，提高农田建设工程质量和加强建后维护保障机制，巩固高标准农田建设成果，确保项目长久持续发挥效益，根据苏财农(2021) 75 号文件和县政府第 15 次</w:t>
      </w:r>
      <w:r>
        <w:rPr>
          <w:rFonts w:hint="eastAsia" w:ascii="宋体" w:hAnsi="宋体" w:eastAsia="宋体" w:cs="宋体"/>
          <w:color w:val="auto"/>
          <w:sz w:val="24"/>
          <w:highlight w:val="none"/>
          <w:lang w:val="en-US" w:eastAsia="zh-CN"/>
        </w:rPr>
        <w:t xml:space="preserve">常务</w:t>
      </w:r>
      <w:r>
        <w:rPr>
          <w:rFonts w:hint="eastAsia" w:ascii="宋体" w:hAnsi="宋体" w:eastAsia="宋体" w:cs="宋体"/>
          <w:color w:val="auto"/>
          <w:sz w:val="24"/>
          <w:highlight w:val="none"/>
        </w:rPr>
        <w:t xml:space="preserve">会议纪要精神，结合我县实际，为睢宁县2019年（含）之前已上图入库的高标准农田建设项目采购高标准农田建后管护、质量缺陷保险附加维修服务保险服务，2019年（含）以前建成项目，共</w:t>
      </w:r>
      <w:r>
        <w:rPr>
          <w:rFonts w:hint="eastAsia" w:ascii="宋体" w:hAnsi="宋体" w:eastAsia="宋体" w:cs="宋体"/>
          <w:color w:val="auto"/>
          <w:sz w:val="24"/>
          <w:highlight w:val="none"/>
          <w:lang w:eastAsia="zh-CN"/>
        </w:rPr>
        <w:t xml:space="preserve">80.64</w:t>
      </w:r>
      <w:r>
        <w:rPr>
          <w:rFonts w:hint="eastAsia" w:ascii="宋体" w:hAnsi="宋体" w:eastAsia="宋体" w:cs="宋体"/>
          <w:color w:val="auto"/>
          <w:sz w:val="24"/>
          <w:highlight w:val="none"/>
        </w:rPr>
        <w:t xml:space="preserve">万亩，总投资</w:t>
      </w:r>
      <w:r>
        <w:rPr>
          <w:rFonts w:hint="eastAsia" w:ascii="宋体" w:hAnsi="宋体" w:eastAsia="宋体" w:cs="宋体"/>
          <w:color w:val="auto"/>
          <w:sz w:val="24"/>
          <w:highlight w:val="none"/>
          <w:lang w:eastAsia="zh-CN"/>
        </w:rPr>
        <w:t xml:space="preserve">145789</w:t>
      </w:r>
      <w:r>
        <w:rPr>
          <w:rFonts w:hint="eastAsia" w:ascii="宋体" w:hAnsi="宋体" w:eastAsia="宋体" w:cs="宋体"/>
          <w:color w:val="auto"/>
          <w:sz w:val="24"/>
          <w:highlight w:val="none"/>
        </w:rPr>
        <w:t xml:space="preserve">万元，按每亩1500元标准的2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进行投保，总控制价为1502万元，管护期10年。保险公司承担全部风险维修责任。</w:t>
      </w:r>
      <w:r/>
    </w:p>
    <w:p>
      <w:pPr>
        <w:ind w:firstLine="480"/>
        <w:spacing w:line="400" w:lineRule="atLeast"/>
        <w:tabs>
          <w:tab w:val="left" w:pos="1212"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lang w:val="en-US" w:eastAsia="zh-CN"/>
        </w:rPr>
        <w:t xml:space="preserve">服务要求：</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1.在睢宁县范围有经银保监部门批准设立的服务机构，并内设专门的农业保险经营部门；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2.成立由投标人分管领导任组长，业务部门负责人和相关人员为成员的专项服务小组，负责该项工作的沟通、协调、承保、理赔、服务工作，保障该项工作优质运行；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3.建立健全适应</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发展需要的基层服务体系。包括承保理赔服务能力、基层网点建设、网点设施配备、专业人员配置，选聘保险协办员，建立农险专家库；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4.制定合理的承保方案和规范的服务机构管理制度，具有农业再保险和大灾风险安排以及风险应对预案；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5.建立多元化</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承保理赔纠纷协调机制，妥善化解可能出现的矛盾和争议，努力实现各类农业经营主体愿保尽保；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6.及时宣传</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和国家相关支农惠农政策，科学推动防灾减灾工作，切实加强对</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从业人员的业务培训；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7.及时与政府部门进行</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信息交换和数据共享；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8.合理开发和探索优化政策性</w:t>
      </w:r>
      <w:r>
        <w:rPr>
          <w:rFonts w:hint="eastAsia" w:ascii="宋体" w:hAnsi="宋体" w:eastAsia="宋体" w:cs="宋体"/>
          <w:color w:val="auto"/>
          <w:sz w:val="24"/>
          <w:highlight w:val="none"/>
          <w:lang w:eastAsia="zh-CN"/>
        </w:rPr>
        <w:t xml:space="preserve">高标准农田建后管护、质量缺陷保险附加维修服务保险</w:t>
      </w:r>
      <w:r>
        <w:rPr>
          <w:rFonts w:hint="eastAsia" w:ascii="宋体" w:hAnsi="宋体" w:eastAsia="宋体" w:cs="宋体"/>
          <w:color w:val="auto"/>
          <w:sz w:val="24"/>
          <w:highlight w:val="none"/>
        </w:rPr>
        <w:t xml:space="preserve">险种。</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保险</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 </w:t>
      </w:r>
      <w:r/>
    </w:p>
    <w:p>
      <w:pPr>
        <w:ind w:firstLine="480"/>
        <w:spacing w:line="400" w:lineRule="atLeast"/>
        <w:tabs>
          <w:tab w:val="left" w:pos="1212"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保险种类</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高标准农田建设工程质量潜在缺陷责任保险</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保险期间内，保险单载明的建设工程竣工验收合格,并经保险人委托的工程质量风险管理机构检查通过的，在正常使用条件下，因建设工程质量潜在缺陷发生下列情形，造成建设工程的损坏，经被保险人向保险人提出索赔申请，保险人按照本保险合同的约定负责赔偿修理、加固或重置的费用：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(1)工程结构的整体或局部出现影响正常使用或影响结构安全的裂缝、变形、破损、断裂、坍塌；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(2)工程结构产生超出设计允许范围的不均匀沉降；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(3)有防渗漏要求的工程出现渗漏。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保险事故发生后，事先经保险人书面同意，被保险人为防止或减少建设工程的损失所支付的必要的、合理的费用，保险人按照本合同的约定也负责赔偿。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附加维修费用损失补偿保险</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保险期间内，保险单载明的高标准农田建设工程及附属设施在日常使用过程中因存在安全事故隐患，或发生故障无法正常运行需要对工程设施进行维修的，被保险人为保证其安全运行所实际支出的工程设施维修费用、重置费用、人工费用等必要且合理的费用（以下简称“维修费用”）， 保险人按照本附加险合同的约定负责赔偿。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附加农田输配电工程责任保险</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在保险期间内，保险载明的农田输配电工程完工并竣工验收合格，经保险人委托的工程质量风险管理机构检查通过；</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在保险责任期内，在正常使用条件下，因农田输配电工程的潜在缺陷而损坏的，由保险人按照本附加保险合同的约定负责赔偿修理、加固或重置的费用。</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责任限额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维修费用损失补偿保险：累计赔偿限额118650万元， 每次事故免赔1000 元。</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保险期间 </w:t>
      </w:r>
      <w:r/>
    </w:p>
    <w:p>
      <w:pPr>
        <w:ind w:firstLine="480"/>
        <w:spacing w:line="400" w:lineRule="atLeast"/>
        <w:tabs>
          <w:tab w:val="left" w:pos="121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本项目管护期10年，本合同为前3年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自保险标的投保开始，3年一期，自合同签订之日起满三年。 </w:t>
      </w:r>
      <w:r/>
    </w:p>
    <w:p>
      <w:pPr>
        <w:ind w:firstLine="480"/>
        <w:jc w:val="left"/>
        <w:spacing w:line="300" w:lineRule="exact"/>
        <w:rPr>
          <w:rFonts w:ascii="宋体" w:eastAsia="宋体" w:cs="黑体"/>
          <w:color w:val="auto"/>
          <w:highlight w:val="none"/>
        </w:rPr>
      </w:pP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、其他要求：见招标文件第五章《合同主要条款》。</w:t>
      </w:r>
      <w:r>
        <w:rPr>
          <w:rFonts w:hint="eastAsia" w:ascii="宋体" w:hAnsi="宋体" w:eastAsia="宋体" w:cs="宋体"/>
          <w:color w:val="auto"/>
          <w:sz w:val="28"/>
          <w:szCs w:val="28"/>
          <w:highlight w:val="none"/>
        </w:rPr>
        <w:br w:type="page" w:clear="all"/>
      </w:r>
      <w:r>
        <w:rPr>
          <w:rFonts w:ascii="宋体" w:eastAsia="宋体" w:cs="黑体"/>
          <w:color w:val="auto"/>
          <w:highlight w:val="none"/>
        </w:rPr>
      </w:r>
      <w:r/>
    </w:p>
    <w:p>
      <w:pPr>
        <w:pStyle w:val="734"/>
        <w:ind w:firstLine="1968"/>
        <w:jc w:val="both"/>
        <w:rPr>
          <w:rFonts w:hint="eastAsia" w:ascii="宋体" w:hAnsi="宋体" w:eastAsia="宋体" w:cs="宋体"/>
          <w:color w:val="auto"/>
          <w:sz w:val="28"/>
          <w:szCs w:val="28"/>
          <w:highlight w:val="none"/>
        </w:rPr>
      </w:pPr>
      <w:r/>
      <w:bookmarkStart w:id="22" w:name="_Toc8207"/>
      <w:r>
        <w:rPr>
          <w:rFonts w:hint="eastAsia" w:ascii="宋体" w:hAnsi="宋体" w:eastAsia="宋体" w:cs="宋体"/>
          <w:color w:val="auto"/>
          <w:sz w:val="28"/>
          <w:szCs w:val="28"/>
          <w:highlight w:val="none"/>
        </w:rPr>
        <w:t xml:space="preserve">第七章  投标文件相关格式</w:t>
      </w:r>
      <w:bookmarkEnd w:id="21"/>
      <w:r/>
      <w:bookmarkEnd w:id="22"/>
      <w:r/>
      <w:r/>
    </w:p>
    <w:p>
      <w:pPr>
        <w:pStyle w:val="734"/>
        <w:rPr>
          <w:rFonts w:hint="eastAsia" w:ascii="宋体" w:hAnsi="宋体" w:eastAsia="宋体" w:cs="宋体"/>
          <w:color w:val="auto"/>
          <w:sz w:val="28"/>
          <w:szCs w:val="28"/>
          <w:highlight w:val="none"/>
        </w:rPr>
      </w:pPr>
      <w:r/>
      <w:bookmarkStart w:id="23" w:name="_Toc21366"/>
      <w:r>
        <w:rPr>
          <w:rFonts w:hint="eastAsia" w:ascii="宋体" w:hAnsi="宋体" w:eastAsia="宋体" w:cs="宋体"/>
          <w:color w:val="auto"/>
          <w:sz w:val="28"/>
          <w:szCs w:val="28"/>
          <w:highlight w:val="none"/>
        </w:rPr>
        <w:t xml:space="preserve">一、投标函</w:t>
      </w:r>
      <w:bookmarkEnd w:id="23"/>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江苏中瑞建设项目管理有限公司</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睢宁县农业农村局高标准农田项目建后管护保险服务</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lang w:eastAsia="zh-CN"/>
        </w:rPr>
        <w:t xml:space="preserve">JSZC-320324-JSZR-G2024-0086</w:t>
      </w:r>
      <w:r>
        <w:rPr>
          <w:rFonts w:hint="eastAsia" w:ascii="宋体" w:hAnsi="宋体" w:eastAsia="宋体" w:cs="宋体"/>
          <w:color w:val="auto"/>
          <w:sz w:val="24"/>
          <w:highlight w:val="none"/>
        </w:rPr>
        <w:t xml:space="preserve">号]招标文件，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投标人唯一投标报价见《开标一览表》。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投标人将按招标文件的规定履行合同责任和义务。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投标有效期为开标之日后90天。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投标人同意提供按照贵方可能要求的与其投标有关的一切数据或资料，完全理解贵方不一定接受最低价的投标或收到的任何投标。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投标人同意在授予合同后，按照有关规定支付公证费(如有)。</w:t>
      </w:r>
      <w:r/>
    </w:p>
    <w:p>
      <w:pPr>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江苏中瑞建设项目管理有限公司有权将我单位本项目的《开标一览表》和《分项价格表》予以公示，公示的方式由江苏中瑞建设项目管理有限公司确定。</w:t>
      </w:r>
      <w:r/>
    </w:p>
    <w:p>
      <w:pPr>
        <w:ind w:right="29"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与本投标有关的一切正式往来信函请寄：</w:t>
      </w:r>
      <w:r/>
    </w:p>
    <w:p>
      <w:pPr>
        <w:ind w:firstLine="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电话：           传真： </w:t>
      </w:r>
      <w:r/>
    </w:p>
    <w:p>
      <w:pPr>
        <w:ind w:firstLine="21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  </w:t>
      </w:r>
      <w:r/>
    </w:p>
    <w:p>
      <w:pPr>
        <w:ind w:firstLine="3600"/>
        <w:spacing w:line="48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t xml:space="preserve">日期：     年    月    日</w:t>
      </w: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二、开标一览表</w:t>
      </w:r>
      <w:r/>
    </w:p>
    <w:p>
      <w:pPr>
        <w:ind w:firstLine="480"/>
        <w:spacing w:line="52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睢宁县农业农村局高标准农田项目建后管护保险服务</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p>
    <w:p>
      <w:pPr>
        <w:pStyle w:val="938"/>
        <w:ind w:firstLine="60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货币单位：人民币元</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44"/>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2587"/>
        <w:gridCol w:w="2688"/>
      </w:tblGrid>
      <w:tr>
        <w:trPr>
          <w:cantSplit/>
          <w:jc w:val="center"/>
          <w:trHeight w:val="1163"/>
        </w:trPr>
        <w:tc>
          <w:tcPr>
            <w:tcW w:w="190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1518"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项目内容</w:t>
            </w:r>
            <w:r/>
          </w:p>
        </w:tc>
        <w:tc>
          <w:tcPr>
            <w:tcW w:w="1576"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总价（小写）</w:t>
            </w:r>
            <w:r/>
          </w:p>
        </w:tc>
      </w:tr>
      <w:tr>
        <w:trPr>
          <w:cantSplit/>
          <w:jc w:val="center"/>
          <w:trHeight w:val="1214"/>
        </w:trPr>
        <w:tc>
          <w:tcPr>
            <w:tcW w:w="190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睢宁县农业农村局高标准农田项目建后管护保险服务</w:t>
            </w:r>
            <w:r/>
          </w:p>
        </w:tc>
        <w:tc>
          <w:tcPr>
            <w:tcW w:w="1518"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详见投标文件</w:t>
            </w:r>
            <w:r/>
          </w:p>
        </w:tc>
        <w:tc>
          <w:tcPr>
            <w:tcW w:w="1576"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1452"/>
        </w:trPr>
        <w:tc>
          <w:tcPr>
            <w:tcW w:w="1904"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总价（大写）：</w:t>
            </w:r>
            <w:r/>
          </w:p>
        </w:tc>
        <w:tc>
          <w:tcPr>
            <w:gridSpan w:val="2"/>
            <w:tcW w:w="3095" w:type="pct"/>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965"/>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2、报价大小写不一致以大写为准；</w:t>
      </w:r>
      <w:r/>
    </w:p>
    <w:p>
      <w:pPr>
        <w:pStyle w:val="96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投标人授权代表：（签字或电子签章）  </w:t>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三、分项价格表</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eastAsia="zh-CN"/>
        </w:rPr>
        <w:t xml:space="preserve">睢宁县农业农村局高标准农田项目建后管护保险服务</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投标人授权代表：（签字或签章）  </w:t>
      </w:r>
      <w:r/>
    </w:p>
    <w:p>
      <w:pPr>
        <w:ind w:firstLine="49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1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2.享受政府采购支持政策的残疾人福利性单位应满足的条件以《关于促进残疾人就业政府采购政策的通知》（财库〔2017〕141号）的规定为准。</w:t>
      </w:r>
      <w:r/>
    </w:p>
    <w:p>
      <w:pPr>
        <w:ind w:firstLine="53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3．投标人为“微型”或“小型”或“残疾人福利性单位”的，须算出“小型和微型和监狱企业和残疾人福利性单位” 总价合计”。</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注：1．如果不提供详细分项报价将视为没有实质性响应招标文件。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投标人对以上数据的真实性负责。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采购人或采购代理机构有权将以上内容进行公示。</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3654"/>
        <w:spacing w:line="480" w:lineRule="exact"/>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四、偏离表</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eastAsia="zh-CN"/>
        </w:rPr>
        <w:t xml:space="preserve">睢宁县农业农村局高标准农田项目建后管护保险服务</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tbl>
      <w:tblPr>
        <w:tblStyle w:val="744"/>
        <w:tblW w:w="0" w:type="auto"/>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2"/>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84"/>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84"/>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8"/>
          <w:highlight w:val="none"/>
        </w:rPr>
        <w:t xml:space="preserve">五、法定代表人身份证明或授权委托书</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若法定代表人亲自签署文件则按下列格式：</w:t>
      </w:r>
      <w:r/>
    </w:p>
    <w:p>
      <w:pPr>
        <w:rPr>
          <w:rFonts w:ascii="宋体" w:hAnsi="宋体" w:cs="宋体"/>
          <w:color w:val="auto"/>
          <w:sz w:val="24"/>
          <w:highlight w:val="none"/>
        </w:rPr>
      </w:pPr>
      <w:r>
        <w:rPr>
          <w:rFonts w:ascii="宋体" w:hAnsi="宋体" w:cs="宋体"/>
          <w:color w:val="auto"/>
          <w:sz w:val="24"/>
          <w:highlight w:val="none"/>
        </w:rPr>
      </w:r>
      <w:r/>
    </w:p>
    <w:p>
      <w:pPr>
        <w:ind w:left="3158"/>
        <w:spacing w:before="40"/>
        <w:rPr>
          <w:rFonts w:ascii="宋体" w:hAnsi="宋体" w:cs="宋体"/>
          <w:color w:val="auto"/>
          <w:sz w:val="24"/>
          <w:highlight w:val="none"/>
        </w:rPr>
      </w:pPr>
      <w:r>
        <w:rPr>
          <w:rFonts w:hint="eastAsia" w:ascii="宋体" w:hAnsi="宋体" w:cs="宋体"/>
          <w:color w:val="auto"/>
          <w:sz w:val="24"/>
          <w:highlight w:val="none"/>
        </w:rPr>
        <w:t xml:space="preserve">法定代表人身份证明</w:t>
      </w:r>
      <w:r/>
    </w:p>
    <w:p>
      <w:pPr>
        <w:pStyle w:val="751"/>
        <w:rPr>
          <w:rFonts w:ascii="宋体" w:hAnsi="宋体" w:cs="宋体"/>
          <w:color w:val="auto"/>
          <w:highlight w:val="none"/>
        </w:rPr>
      </w:pPr>
      <w:r>
        <w:rPr>
          <w:rFonts w:ascii="宋体" w:hAnsi="宋体" w:cs="宋体"/>
          <w:color w:val="auto"/>
          <w:highlight w:val="none"/>
        </w:rPr>
      </w:r>
      <w:r/>
    </w:p>
    <w:p>
      <w:pPr>
        <w:pStyle w:val="751"/>
        <w:rPr>
          <w:rFonts w:ascii="宋体" w:hAnsi="宋体" w:cs="宋体"/>
          <w:color w:val="auto"/>
          <w:highlight w:val="none"/>
        </w:rPr>
      </w:pPr>
      <w:r>
        <w:rPr>
          <w:rFonts w:ascii="宋体" w:hAnsi="宋体" w:cs="宋体"/>
          <w:color w:val="auto"/>
          <w:highlight w:val="none"/>
        </w:rPr>
      </w:r>
      <w:r/>
    </w:p>
    <w:p>
      <w:pPr>
        <w:pStyle w:val="751"/>
        <w:spacing w:before="11"/>
        <w:rPr>
          <w:rFonts w:ascii="宋体" w:hAnsi="宋体" w:cs="宋体"/>
          <w:color w:val="auto"/>
          <w:highlight w:val="none"/>
        </w:rPr>
      </w:pPr>
      <w:r>
        <w:rPr>
          <w:rFonts w:ascii="宋体" w:hAnsi="宋体" w:cs="宋体"/>
          <w:color w:val="auto"/>
          <w:highlight w:val="none"/>
        </w:rPr>
      </w:r>
      <w:r/>
    </w:p>
    <w:p>
      <w:pPr>
        <w:ind w:left="215"/>
        <w:spacing w:before="66"/>
        <w:rPr>
          <w:rFonts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pStyle w:val="751"/>
        <w:rPr>
          <w:rFonts w:ascii="宋体" w:hAnsi="宋体" w:cs="宋体"/>
          <w:color w:val="auto"/>
          <w:highlight w:val="none"/>
        </w:rPr>
      </w:pPr>
      <w:r>
        <w:rPr>
          <w:rFonts w:ascii="宋体" w:hAnsi="宋体" w:cs="宋体"/>
          <w:color w:val="auto"/>
          <w:highlight w:val="none"/>
        </w:rPr>
      </w:r>
      <w:r/>
    </w:p>
    <w:p>
      <w:pPr>
        <w:pStyle w:val="751"/>
        <w:spacing w:before="9"/>
        <w:rPr>
          <w:rFonts w:ascii="宋体" w:hAnsi="宋体" w:cs="宋体"/>
          <w:color w:val="auto"/>
          <w:highlight w:val="none"/>
        </w:rPr>
      </w:pPr>
      <w:r>
        <w:rPr>
          <w:rFonts w:ascii="宋体" w:hAnsi="宋体" w:cs="宋体"/>
          <w:color w:val="auto"/>
          <w:highlight w:val="none"/>
        </w:rPr>
      </w:r>
      <w:r/>
    </w:p>
    <w:p>
      <w:pPr>
        <w:ind w:left="215"/>
        <w:spacing w:line="360" w:lineRule="auto"/>
        <w:tabs>
          <w:tab w:val="left" w:pos="2495" w:leader="none"/>
          <w:tab w:val="left" w:pos="6215" w:leader="none"/>
          <w:tab w:val="left" w:pos="7655" w:leader="none"/>
        </w:tabs>
        <w:rPr>
          <w:rFonts w:ascii="宋体" w:hAnsi="宋体" w:cs="宋体"/>
          <w:color w:val="auto"/>
          <w:sz w:val="24"/>
          <w:highlight w:val="non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（法定代表人亲笔签字）性别：</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年龄：</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职务：</w:t>
      </w:r>
      <w:r/>
    </w:p>
    <w:p>
      <w:pPr>
        <w:ind w:left="215"/>
        <w:spacing w:line="360" w:lineRule="auto"/>
        <w:tabs>
          <w:tab w:val="left" w:pos="1895" w:leader="none"/>
        </w:tabs>
        <w:rPr>
          <w:rFonts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名称）的法定代表人。</w:t>
      </w:r>
      <w:r/>
    </w:p>
    <w:p>
      <w:pPr>
        <w:ind w:left="215"/>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pStyle w:val="751"/>
        <w:rPr>
          <w:rFonts w:ascii="宋体" w:hAnsi="宋体" w:cs="宋体"/>
          <w:color w:val="auto"/>
          <w:highlight w:val="none"/>
        </w:rPr>
      </w:pPr>
      <w:r>
        <w:rPr>
          <w:rFonts w:ascii="宋体" w:hAnsi="宋体" w:cs="宋体"/>
          <w:color w:val="auto"/>
          <w:highlight w:val="none"/>
        </w:rPr>
      </w:r>
      <w:r/>
    </w:p>
    <w:p>
      <w:pPr>
        <w:pStyle w:val="751"/>
        <w:rPr>
          <w:rFonts w:ascii="宋体" w:hAnsi="宋体" w:cs="宋体"/>
          <w:color w:val="auto"/>
          <w:highlight w:val="none"/>
        </w:rPr>
      </w:pPr>
      <w:r>
        <w:rPr>
          <w:rFonts w:ascii="宋体" w:hAnsi="宋体" w:cs="宋体"/>
          <w:color w:val="auto"/>
          <w:highlight w:val="none"/>
        </w:rPr>
      </w:r>
      <w:r/>
    </w:p>
    <w:p>
      <w:pPr>
        <w:ind w:left="215"/>
        <w:rPr>
          <w:rFonts w:ascii="宋体" w:hAnsi="宋体" w:cs="宋体"/>
          <w:color w:val="auto"/>
          <w:sz w:val="24"/>
          <w:highlight w:val="none"/>
        </w:rPr>
      </w:pPr>
      <w:r>
        <w:rPr>
          <w:rFonts w:hint="eastAsia" w:ascii="宋体" w:hAnsi="宋体" w:cs="宋体"/>
          <w:color w:val="auto"/>
          <w:sz w:val="24"/>
          <w:highlight w:val="none"/>
        </w:rPr>
        <w:t xml:space="preserve">附：法定代表人身份证复印件。</w:t>
      </w:r>
      <w:r/>
    </w:p>
    <w:p>
      <w:pPr>
        <w:pStyle w:val="751"/>
        <w:rPr>
          <w:rFonts w:ascii="宋体" w:hAnsi="宋体" w:cs="宋体"/>
          <w:color w:val="auto"/>
          <w:highlight w:val="none"/>
        </w:rPr>
      </w:pPr>
      <w:r>
        <w:rPr>
          <w:rFonts w:ascii="宋体" w:hAnsi="宋体" w:cs="宋体"/>
          <w:color w:val="auto"/>
          <w:highlight w:val="none"/>
        </w:rPr>
      </w:r>
      <w:r/>
    </w:p>
    <w:p>
      <w:pPr>
        <w:pStyle w:val="751"/>
        <w:rPr>
          <w:rFonts w:ascii="宋体" w:hAnsi="宋体" w:cs="宋体"/>
          <w:color w:val="auto"/>
          <w:highlight w:val="none"/>
        </w:rPr>
      </w:pPr>
      <w:r>
        <w:rPr>
          <w:rFonts w:ascii="宋体" w:hAnsi="宋体" w:cs="宋体"/>
          <w:color w:val="auto"/>
          <w:highlight w:val="none"/>
        </w:rPr>
      </w:r>
      <w:r/>
    </w:p>
    <w:p>
      <w:pPr>
        <w:pStyle w:val="751"/>
        <w:rPr>
          <w:rFonts w:ascii="宋体" w:hAnsi="宋体" w:cs="宋体"/>
          <w:color w:val="auto"/>
          <w:highlight w:val="none"/>
        </w:rPr>
      </w:pPr>
      <w:r>
        <w:rPr>
          <w:rFonts w:ascii="宋体" w:hAnsi="宋体" w:cs="宋体"/>
          <w:color w:val="auto"/>
          <w:highlight w:val="none"/>
        </w:rPr>
      </w:r>
      <w:r/>
    </w:p>
    <w:p>
      <w:pPr>
        <w:pStyle w:val="751"/>
        <w:spacing w:before="10"/>
        <w:rPr>
          <w:rFonts w:ascii="宋体" w:hAnsi="宋体" w:cs="宋体"/>
          <w:color w:val="auto"/>
          <w:highlight w:val="none"/>
        </w:rPr>
      </w:pPr>
      <w:r>
        <w:rPr>
          <w:rFonts w:ascii="宋体" w:hAnsi="宋体" w:cs="宋体"/>
          <w:color w:val="auto"/>
          <w:highlight w:val="none"/>
        </w:rPr>
      </w:r>
      <w:r/>
    </w:p>
    <w:p>
      <w:pPr>
        <w:ind w:left="3369"/>
        <w:tabs>
          <w:tab w:val="left" w:pos="5529" w:leader="none"/>
        </w:tabs>
        <w:rPr>
          <w:rFonts w:ascii="宋体" w:hAnsi="宋体" w:cs="宋体"/>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电子签章</w:t>
      </w:r>
      <w:r>
        <w:rPr>
          <w:rFonts w:hint="eastAsia" w:ascii="宋体" w:hAnsi="宋体" w:cs="宋体"/>
          <w:color w:val="auto"/>
          <w:sz w:val="24"/>
          <w:highlight w:val="none"/>
        </w:rPr>
        <w:t xml:space="preserve">)</w:t>
      </w:r>
      <w:r/>
    </w:p>
    <w:p>
      <w:pPr>
        <w:pStyle w:val="751"/>
        <w:spacing w:before="7"/>
        <w:rPr>
          <w:rFonts w:ascii="宋体" w:hAnsi="宋体" w:cs="宋体"/>
          <w:color w:val="auto"/>
          <w:highlight w:val="none"/>
        </w:rPr>
      </w:pPr>
      <w:r>
        <w:rPr>
          <w:rFonts w:ascii="宋体" w:hAnsi="宋体" w:cs="宋体"/>
          <w:color w:val="auto"/>
          <w:highlight w:val="none"/>
        </w:rPr>
      </w:r>
      <w:r/>
    </w:p>
    <w:p>
      <w:pPr>
        <w:ind w:right="406"/>
        <w:jc w:val="center"/>
        <w:spacing w:before="74"/>
        <w:tabs>
          <w:tab w:val="left" w:pos="719" w:leader="none"/>
          <w:tab w:val="left" w:pos="1559" w:leader="none"/>
          <w:tab w:val="left" w:pos="2279" w:leader="none"/>
        </w:tabs>
        <w:rPr>
          <w:rFonts w:ascii="宋体" w:hAnsi="宋体" w:cs="宋体"/>
          <w:color w:val="auto"/>
          <w:sz w:val="24"/>
          <w:highlight w:val="none"/>
        </w:rPr>
      </w:pPr>
      <w:r>
        <w:rPr>
          <w:rFonts w:hint="eastAsia" w:ascii="宋体" w:hAnsi="宋体" w:cs="宋体"/>
          <w:color w:val="auto"/>
          <w:sz w:val="24"/>
          <w:highlight w:val="none"/>
          <w:u w:val="single"/>
        </w:rPr>
        <w:tab/>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日</w:t>
      </w:r>
      <w:r/>
    </w:p>
    <w:p>
      <w:pPr>
        <w:pStyle w:val="751"/>
        <w:rPr>
          <w:rFonts w:ascii="宋体" w:hAnsi="宋体" w:cs="宋体"/>
          <w:color w:val="auto"/>
          <w:highlight w:val="none"/>
        </w:rPr>
      </w:pPr>
      <w:r>
        <w:rPr>
          <w:rFonts w:ascii="宋体" w:hAnsi="宋体" w:cs="宋体"/>
          <w:color w:val="auto"/>
          <w:highlight w:val="none"/>
        </w:rPr>
      </w:r>
      <w:r/>
    </w:p>
    <w:p>
      <w:pPr>
        <w:pStyle w:val="751"/>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（法定代表人身份证扫描件附后)</w:t>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hint="eastAsia" w:ascii="宋体" w:hAnsi="宋体" w:cs="宋体"/>
          <w:b/>
          <w:color w:val="auto"/>
          <w:sz w:val="36"/>
          <w:highlight w:val="none"/>
        </w:rPr>
        <w:t xml:space="preserve">授权委托书</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睢宁县农业农村局高标准农田项目建后管护保险服务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：JSZC-320324-JSZR-G2024-0086</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ind w:firstLine="4470"/>
        <w:jc w:val="center"/>
        <w:rPr>
          <w:rFonts w:hint="eastAsia" w:ascii="宋体" w:hAnsi="宋体" w:eastAsia="宋体" w:cs="宋体"/>
          <w:b/>
          <w:bCs/>
          <w:color w:val="auto"/>
          <w:sz w:val="28"/>
          <w:szCs w:val="28"/>
          <w:highlight w:val="none"/>
        </w:rPr>
      </w:pPr>
      <w:r>
        <w:rPr>
          <w:rFonts w:hint="eastAsia" w:ascii="宋体" w:hAnsi="宋体" w:cs="宋体"/>
          <w:color w:val="auto"/>
          <w:sz w:val="24"/>
          <w:highlight w:val="none"/>
        </w:rPr>
        <w:t xml:space="preserve">（受托人身份证扫描件附后)</w:t>
      </w:r>
      <w:r>
        <w:rPr>
          <w:rFonts w:hint="eastAsia" w:ascii="宋体" w:hAnsi="宋体" w:eastAsia="宋体" w:cs="宋体"/>
          <w:b/>
          <w:color w:val="auto"/>
          <w:sz w:val="36"/>
          <w:szCs w:val="36"/>
          <w:highlight w:val="none"/>
        </w:rPr>
        <w:br w:type="page" w:clear="all"/>
      </w:r>
      <w:r>
        <w:rPr>
          <w:rFonts w:hint="eastAsia" w:ascii="宋体" w:hAnsi="宋体" w:eastAsia="宋体" w:cs="宋体"/>
          <w:color w:val="auto"/>
          <w:sz w:val="24"/>
          <w:highlight w:val="none"/>
        </w:rPr>
        <w:t xml:space="preserve"> </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、中小企业声明函</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eastAsia="zh-CN"/>
        </w:rPr>
        <w:t xml:space="preserve">睢宁县农业农村局高标准农田项目建后管护保险服务</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p>
    <w:p>
      <w:pPr>
        <w:ind w:firstLine="480"/>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本公司郑重声明，根据《政府采购促进中小企业发展暂行办法》（财库﹝2020﹞46 号）的规定，本公司参加</w:t>
      </w:r>
      <w:r>
        <w:rPr>
          <w:rStyle w:val="963"/>
          <w:rFonts w:hint="eastAsia" w:ascii="宋体" w:hAnsi="宋体" w:eastAsia="宋体" w:cs="宋体"/>
          <w:color w:val="auto"/>
          <w:sz w:val="24"/>
          <w:highlight w:val="none"/>
          <w:u w:val="single"/>
        </w:rPr>
        <w:t xml:space="preserve">（单位名称）</w:t>
      </w:r>
      <w:r>
        <w:rPr>
          <w:rStyle w:val="963"/>
          <w:rFonts w:hint="eastAsia" w:ascii="宋体" w:hAnsi="宋体" w:eastAsia="宋体" w:cs="宋体"/>
          <w:color w:val="auto"/>
          <w:sz w:val="24"/>
          <w:highlight w:val="none"/>
        </w:rPr>
        <w:t xml:space="preserve">的</w:t>
      </w:r>
      <w:r>
        <w:rPr>
          <w:rStyle w:val="963"/>
          <w:rFonts w:hint="eastAsia" w:ascii="宋体" w:hAnsi="宋体" w:eastAsia="宋体" w:cs="宋体"/>
          <w:color w:val="auto"/>
          <w:sz w:val="24"/>
          <w:highlight w:val="none"/>
          <w:u w:val="single"/>
        </w:rPr>
        <w:t xml:space="preserve">（项目名称）</w:t>
      </w:r>
      <w:r>
        <w:rPr>
          <w:rStyle w:val="963"/>
          <w:rFonts w:hint="eastAsia" w:ascii="宋体" w:hAnsi="宋体" w:eastAsia="宋体" w:cs="宋体"/>
          <w:color w:val="auto"/>
          <w:sz w:val="24"/>
          <w:highlight w:val="none"/>
        </w:rPr>
        <w:t xml:space="preserve">采购活动，服务全部由符合政策要求的中小企业承接。相关企业的具体情况如下：</w:t>
      </w:r>
      <w:r/>
    </w:p>
    <w:p>
      <w:pPr>
        <w:spacing w:line="360" w:lineRule="auto"/>
        <w:rPr>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（其他服务业）</w:t>
      </w:r>
      <w:r>
        <w:rPr>
          <w:rFonts w:hint="eastAsia" w:ascii="宋体" w:hAnsi="宋体" w:eastAsia="宋体" w:cs="宋体"/>
          <w:color w:val="auto"/>
          <w:sz w:val="24"/>
          <w:highlight w:val="none"/>
        </w:rPr>
        <w:t xml:space="preserve">； 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企业</w:t>
      </w:r>
      <w:r>
        <w:rPr>
          <w:rFonts w:hint="eastAsia" w:ascii="宋体" w:hAnsi="宋体" w:eastAsia="宋体" w:cs="宋体"/>
          <w:color w:val="auto"/>
          <w:sz w:val="24"/>
          <w:highlight w:val="none"/>
        </w:rPr>
        <w:t xml:space="preserve">（中型企业、小型企业、微型企业</w:t>
      </w:r>
      <w:r>
        <w:rPr>
          <w:rFonts w:hint="eastAsia" w:ascii="宋体" w:hAnsi="宋体" w:eastAsia="宋体" w:cs="宋体"/>
          <w:b/>
          <w:color w:val="auto"/>
          <w:sz w:val="24"/>
          <w:highlight w:val="none"/>
          <w:u w:val="single"/>
        </w:rPr>
        <w:t xml:space="preserve">请填空！</w:t>
      </w:r>
      <w:r>
        <w:rPr>
          <w:rFonts w:hint="eastAsia" w:ascii="宋体" w:hAnsi="宋体" w:eastAsia="宋体" w:cs="宋体"/>
          <w:color w:val="auto"/>
          <w:sz w:val="24"/>
          <w:highlight w:val="none"/>
        </w:rPr>
        <w:t xml:space="preserve">）；</w:t>
      </w:r>
      <w:r/>
    </w:p>
    <w:p>
      <w:pPr>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（其他服务业）</w:t>
      </w:r>
      <w:r>
        <w:rPr>
          <w:rFonts w:hint="eastAsia" w:ascii="宋体" w:hAnsi="宋体" w:eastAsia="宋体" w:cs="宋体"/>
          <w:color w:val="auto"/>
          <w:sz w:val="24"/>
          <w:highlight w:val="none"/>
        </w:rPr>
        <w:t xml:space="preserve">； 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企业 </w:t>
      </w:r>
      <w:r>
        <w:rPr>
          <w:rFonts w:hint="eastAsia" w:ascii="宋体" w:hAnsi="宋体" w:eastAsia="宋体" w:cs="宋体"/>
          <w:color w:val="auto"/>
          <w:sz w:val="24"/>
          <w:highlight w:val="none"/>
        </w:rPr>
        <w:t xml:space="preserve">（中型企业、小型企业、微型企业</w:t>
      </w:r>
      <w:r>
        <w:rPr>
          <w:rFonts w:hint="eastAsia" w:ascii="宋体" w:hAnsi="宋体" w:eastAsia="宋体" w:cs="宋体"/>
          <w:b/>
          <w:color w:val="auto"/>
          <w:sz w:val="24"/>
          <w:highlight w:val="none"/>
          <w:u w:val="single"/>
        </w:rPr>
        <w:t xml:space="preserve">请填空！</w:t>
      </w:r>
      <w:r>
        <w:rPr>
          <w:rFonts w:hint="eastAsia" w:ascii="宋体" w:hAnsi="宋体" w:eastAsia="宋体" w:cs="宋体"/>
          <w:color w:val="auto"/>
          <w:sz w:val="24"/>
          <w:highlight w:val="none"/>
        </w:rPr>
        <w:t xml:space="preserve">）；</w:t>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Style w:val="963"/>
          <w:rFonts w:hint="eastAsia" w:ascii="宋体" w:hAnsi="宋体" w:eastAsia="宋体" w:cs="宋体"/>
          <w:b/>
          <w:bCs/>
          <w:color w:val="auto"/>
          <w:sz w:val="24"/>
          <w:highlight w:val="none"/>
        </w:rPr>
      </w:pPr>
      <w:r>
        <w:rPr>
          <w:rStyle w:val="963"/>
          <w:rFonts w:hint="eastAsia" w:ascii="宋体" w:hAnsi="宋体" w:eastAsia="宋体" w:cs="宋体"/>
          <w:b/>
          <w:bCs/>
          <w:color w:val="auto"/>
          <w:sz w:val="24"/>
          <w:highlight w:val="none"/>
        </w:rPr>
        <w:t xml:space="preserve">...</w:t>
      </w:r>
      <w:r/>
    </w:p>
    <w:p>
      <w:pPr>
        <w:ind w:firstLine="482"/>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jc w:val="left"/>
        <w:spacing w:line="36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　　本企业对上述声明内容的真实性负责。如有虚假，将依法承担相应责任。</w:t>
      </w:r>
      <w:r/>
    </w:p>
    <w:p>
      <w:pPr>
        <w:ind w:firstLine="480"/>
        <w:jc w:val="left"/>
        <w:spacing w:line="360" w:lineRule="auto"/>
        <w:rPr>
          <w:rStyle w:val="963"/>
          <w:rFonts w:hint="eastAsia" w:ascii="宋体" w:hAnsi="宋体" w:eastAsia="宋体" w:cs="宋体"/>
          <w:color w:val="auto"/>
          <w:sz w:val="24"/>
          <w:szCs w:val="22"/>
          <w:highlight w:val="none"/>
        </w:rPr>
      </w:pPr>
      <w:r>
        <w:rPr>
          <w:rStyle w:val="963"/>
          <w:rFonts w:hint="eastAsia" w:ascii="宋体" w:hAnsi="宋体" w:eastAsia="宋体" w:cs="宋体"/>
          <w:color w:val="auto"/>
          <w:sz w:val="24"/>
          <w:highlight w:val="none"/>
        </w:rPr>
        <w:t xml:space="preserve">注：本采</w:t>
      </w:r>
      <w:r>
        <w:rPr>
          <w:rStyle w:val="963"/>
          <w:rFonts w:hint="eastAsia" w:ascii="宋体" w:hAnsi="宋体" w:eastAsia="宋体" w:cs="宋体"/>
          <w:color w:val="auto"/>
          <w:sz w:val="24"/>
          <w:szCs w:val="22"/>
          <w:highlight w:val="none"/>
        </w:rPr>
        <w:t xml:space="preserve">购</w:t>
      </w:r>
      <w:r>
        <w:rPr>
          <w:rStyle w:val="963"/>
          <w:rFonts w:hint="eastAsia" w:ascii="宋体" w:hAnsi="宋体" w:eastAsia="宋体" w:cs="宋体"/>
          <w:color w:val="auto"/>
          <w:sz w:val="24"/>
          <w:highlight w:val="none"/>
        </w:rPr>
        <w:t xml:space="preserve">项目</w:t>
      </w:r>
      <w:r>
        <w:rPr>
          <w:rStyle w:val="963"/>
          <w:rFonts w:hint="eastAsia" w:ascii="宋体" w:hAnsi="宋体" w:eastAsia="宋体" w:cs="宋体"/>
          <w:color w:val="auto"/>
          <w:sz w:val="24"/>
          <w:szCs w:val="22"/>
          <w:highlight w:val="none"/>
        </w:rPr>
        <w:t xml:space="preserve">属于</w:t>
      </w:r>
      <w:r>
        <w:rPr>
          <w:rStyle w:val="963"/>
          <w:rFonts w:hint="eastAsia" w:ascii="宋体" w:hAnsi="宋体" w:eastAsia="宋体" w:cs="宋体"/>
          <w:color w:val="auto"/>
          <w:sz w:val="24"/>
          <w:szCs w:val="22"/>
          <w:highlight w:val="none"/>
          <w:u w:val="single"/>
        </w:rPr>
        <w:t xml:space="preserve">“</w:t>
      </w:r>
      <w:r>
        <w:rPr>
          <w:rStyle w:val="963"/>
          <w:rFonts w:hint="eastAsia" w:ascii="宋体" w:hAnsi="宋体" w:eastAsia="宋体" w:cs="宋体"/>
          <w:b/>
          <w:bCs/>
          <w:color w:val="auto"/>
          <w:sz w:val="24"/>
          <w:szCs w:val="22"/>
          <w:highlight w:val="none"/>
          <w:u w:val="single"/>
        </w:rPr>
        <w:t xml:space="preserve">其他未列明行业</w:t>
      </w:r>
      <w:r>
        <w:rPr>
          <w:rStyle w:val="963"/>
          <w:rFonts w:hint="eastAsia" w:ascii="宋体" w:hAnsi="宋体" w:eastAsia="宋体" w:cs="宋体"/>
          <w:color w:val="auto"/>
          <w:sz w:val="24"/>
          <w:szCs w:val="22"/>
          <w:highlight w:val="none"/>
          <w:u w:val="single"/>
        </w:rPr>
        <w:t xml:space="preserve">”</w:t>
      </w:r>
      <w:r>
        <w:rPr>
          <w:rStyle w:val="963"/>
          <w:rFonts w:hint="eastAsia" w:ascii="宋体" w:hAnsi="宋体" w:eastAsia="宋体" w:cs="宋体"/>
          <w:color w:val="auto"/>
          <w:sz w:val="24"/>
          <w:szCs w:val="22"/>
          <w:highlight w:val="none"/>
        </w:rPr>
        <w:t xml:space="preserve">。</w:t>
      </w:r>
      <w:r/>
    </w:p>
    <w:p>
      <w:pPr>
        <w:jc w:val="left"/>
        <w:spacing w:line="360" w:lineRule="auto"/>
        <w:rPr>
          <w:rStyle w:val="96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520" w:firstLine="420"/>
        <w:jc w:val="left"/>
        <w:spacing w:line="48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电子签章</w:t>
      </w:r>
      <w:r>
        <w:rPr>
          <w:rStyle w:val="963"/>
          <w:rFonts w:hint="eastAsia" w:ascii="宋体" w:hAnsi="宋体" w:eastAsia="宋体" w:cs="宋体"/>
          <w:color w:val="auto"/>
          <w:sz w:val="24"/>
          <w:highlight w:val="none"/>
        </w:rPr>
        <w:t xml:space="preserve">）</w:t>
      </w:r>
      <w:r/>
    </w:p>
    <w:p>
      <w:pPr>
        <w:ind w:left="2520" w:firstLine="0"/>
        <w:jc w:val="left"/>
        <w:spacing w:line="480" w:lineRule="auto"/>
        <w:rPr>
          <w:rStyle w:val="963"/>
          <w:rFonts w:hint="eastAsia" w:ascii="宋体" w:hAnsi="宋体" w:eastAsia="宋体" w:cs="宋体"/>
          <w:color w:val="auto"/>
          <w:sz w:val="24"/>
          <w:highlight w:val="none"/>
        </w:rPr>
      </w:pPr>
      <w:r>
        <w:rPr>
          <w:rStyle w:val="963"/>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rPr>
        <w:t xml:space="preserve">法定代表人或授权代表</w:t>
      </w:r>
      <w:r>
        <w:rPr>
          <w:rStyle w:val="963"/>
          <w:rFonts w:hint="eastAsia" w:ascii="宋体" w:hAnsi="宋体" w:eastAsia="宋体" w:cs="宋体"/>
          <w:color w:val="auto"/>
          <w:sz w:val="24"/>
          <w:highlight w:val="none"/>
        </w:rPr>
        <w:t xml:space="preserve">：（签字或电子签章）  </w:t>
      </w:r>
      <w:r/>
    </w:p>
    <w:p>
      <w:pPr>
        <w:ind w:left="2520" w:firstLine="42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2、《中小企业声明函》查询渠道参考工业和信息化部发布的中小企业规模自测小程序。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5"/>
        <w:jc w:val="cente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697480" cy="5394960"/>
                <wp:effectExtent l="0" t="0" r="7620" b="1524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697480" cy="539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2.4pt;height:424.8pt;mso-wrap-distance-left:0.0pt;mso-wrap-distance-top:0.0pt;mso-wrap-distance-right:0.0pt;mso-wrap-distance-bottom:0.0pt;" stroked="f">
                <v:path textboxrect="0,0,0,0"/>
                <v:imagedata r:id="rId15" o:title=""/>
              </v:shape>
            </w:pict>
          </mc:Fallback>
        </mc:AlternateContent>
      </w:r>
      <w:r/>
    </w:p>
    <w:p>
      <w:pPr>
        <w:ind w:firstLine="480"/>
        <w:jc w:val="center"/>
        <w:spacing w:line="480" w:lineRule="exact"/>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九、残疾人福利性单位声明函格式</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z w:val="24"/>
          <w:highlight w:val="none"/>
          <w:lang w:eastAsia="zh-CN"/>
        </w:rPr>
        <w:t xml:space="preserve">睢宁县农业农村局高标准农田项目建后管护保险服务</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204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十、投标人参加政府采购活动前3年内在经营活动中没有重大违法记录的书面声明格式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 </w:t>
      </w:r>
      <w:r>
        <w:rPr>
          <w:rFonts w:hint="eastAsia" w:ascii="宋体" w:hAnsi="宋体" w:eastAsia="宋体" w:cs="宋体"/>
          <w:color w:val="auto"/>
          <w:sz w:val="24"/>
          <w:highlight w:val="none"/>
          <w:lang w:eastAsia="zh-CN"/>
        </w:rPr>
        <w:t xml:space="preserve">睢宁县农业农村局高标准农田项目建后管护保险服务</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JSZC-320324-JSZR-G2024-0086</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81"/>
        <w:ind w:firstLine="480"/>
        <w:spacing w:before="0" w:beforeAutospacing="0" w:after="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0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9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3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十一、具备履行合同所必需的设备和专业技术能力的书面声明</w:t>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（附证明材料原件的扫描件）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所必需的设备和专业技术能力，具体为：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格式自拟（证明材料复印件附后）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2"/>
        <w:ind w:left="1470" w:right="147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562"/>
        <w:jc w:val="center"/>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十二、预付款保函支付条款模板</w:t>
      </w:r>
      <w:r/>
    </w:p>
    <w:p>
      <w:pPr>
        <w:ind w:firstLine="424"/>
        <w:spacing w:line="480" w:lineRule="exact"/>
        <w:rPr>
          <w:rFonts w:hint="eastAsia" w:ascii="宋体" w:hAnsi="宋体" w:eastAsia="宋体" w:cs="宋体"/>
          <w:b/>
          <w:color w:val="auto"/>
          <w:highlight w:val="none"/>
        </w:rPr>
        <w:outlineLvl w:val="0"/>
      </w:pPr>
      <w:r/>
      <w:bookmarkStart w:id="24" w:name="_Toc12973"/>
      <w:r/>
      <w:bookmarkStart w:id="25" w:name="_Toc7098"/>
      <w:r/>
      <w:bookmarkStart w:id="26" w:name="_Toc8265"/>
      <w:r/>
      <w:bookmarkStart w:id="27" w:name="_Toc25867"/>
      <w:r>
        <w:rPr>
          <w:rFonts w:hint="eastAsia" w:ascii="宋体" w:hAnsi="宋体" w:eastAsia="宋体" w:cs="宋体"/>
          <w:b/>
          <w:color w:val="auto"/>
          <w:highlight w:val="none"/>
        </w:rPr>
        <w:t xml:space="preserve">符合条件一：提交预付款保函的</w:t>
      </w:r>
      <w:bookmarkEnd w:id="24"/>
      <w:r/>
      <w:bookmarkEnd w:id="25"/>
      <w:r/>
      <w:bookmarkEnd w:id="26"/>
      <w:r/>
      <w:bookmarkEnd w:id="27"/>
      <w:r/>
      <w:r/>
    </w:p>
    <w:p>
      <w:pPr>
        <w:ind w:firstLine="422"/>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        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4"/>
        <w:spacing w:line="480" w:lineRule="exact"/>
        <w:rPr>
          <w:rFonts w:hint="eastAsia" w:ascii="宋体" w:hAnsi="宋体" w:eastAsia="宋体" w:cs="宋体"/>
          <w:b/>
          <w:color w:val="auto"/>
          <w:highlight w:val="none"/>
        </w:rPr>
        <w:outlineLvl w:val="0"/>
      </w:pPr>
      <w:r/>
      <w:bookmarkStart w:id="28" w:name="_Toc27100"/>
      <w:r/>
      <w:bookmarkStart w:id="29" w:name="_Toc25772"/>
      <w:r/>
      <w:bookmarkStart w:id="30" w:name="_Toc28930"/>
      <w:r/>
      <w:bookmarkStart w:id="31" w:name="_Toc13123"/>
      <w:r>
        <w:rPr>
          <w:rFonts w:hint="eastAsia" w:ascii="宋体" w:hAnsi="宋体" w:eastAsia="宋体" w:cs="宋体"/>
          <w:b/>
          <w:color w:val="auto"/>
          <w:highlight w:val="none"/>
        </w:rPr>
        <w:t xml:space="preserve">……</w:t>
      </w:r>
      <w:bookmarkEnd w:id="28"/>
      <w:r/>
      <w:bookmarkEnd w:id="29"/>
      <w:r/>
      <w:bookmarkEnd w:id="30"/>
      <w:r/>
      <w:bookmarkEnd w:id="31"/>
      <w:r/>
      <w:r/>
    </w:p>
    <w:p>
      <w:pPr>
        <w:ind w:firstLine="424"/>
        <w:spacing w:line="480" w:lineRule="exact"/>
        <w:rPr>
          <w:rFonts w:hint="eastAsia" w:ascii="宋体" w:hAnsi="宋体" w:eastAsia="宋体" w:cs="宋体"/>
          <w:b/>
          <w:color w:val="auto"/>
          <w:highlight w:val="none"/>
        </w:rPr>
        <w:outlineLvl w:val="0"/>
      </w:pPr>
      <w:r/>
      <w:bookmarkStart w:id="32" w:name="_Toc10601"/>
      <w:r/>
      <w:bookmarkStart w:id="33" w:name="_Toc27445"/>
      <w:r/>
      <w:bookmarkStart w:id="34" w:name="_Toc14312"/>
      <w:r/>
      <w:bookmarkStart w:id="35" w:name="_Toc2332"/>
      <w:r>
        <w:rPr>
          <w:rFonts w:hint="eastAsia" w:ascii="宋体" w:hAnsi="宋体" w:eastAsia="宋体" w:cs="宋体"/>
          <w:b/>
          <w:color w:val="auto"/>
          <w:highlight w:val="none"/>
        </w:rPr>
        <w:t xml:space="preserve">符合条件二：不提交预付款保函的</w:t>
      </w:r>
      <w:bookmarkEnd w:id="32"/>
      <w:r/>
      <w:bookmarkEnd w:id="33"/>
      <w:r/>
      <w:bookmarkEnd w:id="34"/>
      <w:r/>
      <w:bookmarkEnd w:id="35"/>
      <w:r/>
      <w:r/>
    </w:p>
    <w:p>
      <w:pPr>
        <w:ind w:firstLine="422"/>
        <w:spacing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4"/>
        <w:spacing w:line="480" w:lineRule="exact"/>
        <w:rPr>
          <w:rFonts w:hint="eastAsia" w:ascii="宋体" w:hAnsi="宋体" w:eastAsia="宋体" w:cs="宋体"/>
          <w:b/>
          <w:color w:val="auto"/>
          <w:highlight w:val="none"/>
        </w:rPr>
        <w:outlineLvl w:val="0"/>
      </w:pPr>
      <w:r/>
      <w:bookmarkStart w:id="36" w:name="_Toc7855"/>
      <w:r/>
      <w:bookmarkStart w:id="37" w:name="_Toc24051"/>
      <w:r/>
      <w:bookmarkStart w:id="38" w:name="_Toc23738"/>
      <w:r/>
      <w:bookmarkStart w:id="39" w:name="_Toc3242"/>
      <w:r>
        <w:rPr>
          <w:rFonts w:hint="eastAsia" w:ascii="宋体" w:hAnsi="宋体" w:eastAsia="宋体" w:cs="宋体"/>
          <w:b/>
          <w:color w:val="auto"/>
          <w:highlight w:val="none"/>
        </w:rPr>
        <w:t xml:space="preserve">……</w:t>
      </w:r>
      <w:bookmarkEnd w:id="36"/>
      <w:r/>
      <w:bookmarkEnd w:id="37"/>
      <w:r/>
      <w:bookmarkEnd w:id="38"/>
      <w:r/>
      <w:bookmarkEnd w:id="39"/>
      <w:r/>
      <w:r/>
    </w:p>
    <w:p>
      <w:pPr>
        <w:ind w:left="140" w:firstLine="424"/>
        <w:spacing w:line="480" w:lineRule="exact"/>
        <w:rPr>
          <w:rFonts w:hint="eastAsia" w:ascii="宋体" w:hAnsi="宋体" w:eastAsia="宋体" w:cs="宋体"/>
          <w:b/>
          <w:color w:val="auto"/>
          <w:highlight w:val="none"/>
        </w:rPr>
        <w:outlineLvl w:val="0"/>
      </w:pPr>
      <w:r/>
      <w:bookmarkStart w:id="40" w:name="_Toc15772"/>
      <w:r/>
      <w:bookmarkStart w:id="41" w:name="_Toc1193"/>
      <w:r/>
      <w:bookmarkStart w:id="42" w:name="_Toc5140"/>
      <w:r/>
      <w:bookmarkStart w:id="43" w:name="_Toc18652"/>
      <w:r>
        <w:rPr>
          <w:rFonts w:hint="eastAsia" w:ascii="宋体" w:hAnsi="宋体" w:eastAsia="宋体" w:cs="宋体"/>
          <w:b/>
          <w:color w:val="auto"/>
          <w:highlight w:val="none"/>
        </w:rPr>
        <w:t xml:space="preserve">注:</w:t>
      </w:r>
      <w:bookmarkEnd w:id="40"/>
      <w:r/>
      <w:bookmarkEnd w:id="41"/>
      <w:r/>
      <w:bookmarkEnd w:id="42"/>
      <w:r/>
      <w:bookmarkEnd w:id="43"/>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left="140" w:firstLine="422"/>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8"/>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938"/>
        <w:ind w:firstLine="480"/>
        <w:spacing w:line="520" w:lineRule="exact"/>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本章附件：</w:t>
      </w:r>
      <w:r>
        <w:rPr>
          <w:rFonts w:hint="eastAsia" w:ascii="宋体" w:hAnsi="宋体" w:eastAsia="宋体" w:cs="宋体"/>
          <w:b/>
          <w:color w:val="auto"/>
          <w:sz w:val="24"/>
          <w:highlight w:val="none"/>
        </w:rPr>
        <w:t xml:space="preserve">招标代理服务收费标准</w:t>
      </w:r>
      <w:r/>
    </w:p>
    <w:tbl>
      <w:tblPr>
        <w:tblStyle w:val="744"/>
        <w:tblW w:w="4998" w:type="pct"/>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6"/>
        <w:gridCol w:w="1440"/>
        <w:gridCol w:w="1578"/>
        <w:gridCol w:w="1399"/>
        <w:gridCol w:w="1946"/>
      </w:tblGrid>
      <w:tr>
        <w:trPr>
          <w:jc w:val="center"/>
          <w:trHeight w:val="735"/>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中标金额</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货物</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收费上限</w:t>
            </w:r>
            <w:r>
              <w:rPr>
                <w:rFonts w:hint="eastAsia" w:ascii="宋体" w:hAnsi="宋体" w:eastAsia="宋体" w:cs="宋体"/>
                <w:color w:val="auto"/>
                <w:sz w:val="24"/>
                <w:szCs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100万以下</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1.50%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1.50%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restart"/>
            <w:textDirection w:val="lrTb"/>
            <w:noWrap w:val="false"/>
          </w:tcPr>
          <w:p>
            <w:pPr>
              <w:ind w:firstLine="0"/>
              <w:jc w:val="center"/>
              <w:spacing w:line="0" w:lineRule="atLeast"/>
              <w:widowControl/>
            </w:pPr>
            <w:r>
              <w:rPr>
                <w:rFonts w:hint="eastAsia" w:ascii="宋体" w:hAnsi="宋体" w:eastAsia="宋体" w:cs="宋体"/>
                <w:color w:val="auto"/>
                <w:sz w:val="24"/>
                <w:szCs w:val="24"/>
                <w:highlight w:val="none"/>
              </w:rPr>
              <w:t xml:space="preserve">最低5千元</w:t>
            </w:r>
            <w:r>
              <w:rPr>
                <w:rFonts w:hint="eastAsia" w:ascii="宋体" w:hAnsi="宋体" w:eastAsia="宋体" w:cs="宋体"/>
                <w:color w:val="auto"/>
                <w:sz w:val="24"/>
                <w:szCs w:val="24"/>
                <w:highlight w:val="none"/>
              </w:rPr>
            </w:r>
            <w:r/>
          </w:p>
          <w:p>
            <w:pPr>
              <w:ind w:firstLine="0"/>
              <w:jc w:val="center"/>
              <w:spacing w:line="0" w:lineRule="atLeast"/>
              <w:widowControl/>
            </w:pPr>
            <w:r>
              <w:rPr>
                <w:rFonts w:hint="eastAsia" w:ascii="宋体" w:hAnsi="宋体" w:eastAsia="宋体" w:cs="宋体"/>
                <w:color w:val="auto"/>
                <w:sz w:val="24"/>
                <w:szCs w:val="24"/>
                <w:highlight w:val="none"/>
              </w:rPr>
              <w:t xml:space="preserve">最高15万元</w:t>
            </w:r>
            <w:r>
              <w:rPr>
                <w:rFonts w:hint="eastAsia" w:ascii="宋体" w:hAnsi="宋体" w:eastAsia="宋体" w:cs="宋体"/>
                <w:color w:val="auto"/>
                <w:sz w:val="24"/>
                <w:szCs w:val="24"/>
                <w:highlight w:val="none"/>
              </w:rPr>
            </w:r>
            <w:r/>
          </w:p>
          <w:p>
            <w:pPr>
              <w:ind w:firstLine="280"/>
              <w:jc w:val="center"/>
              <w:spacing w:line="0" w:lineRule="atLeast"/>
              <w:widowControl/>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100万~500万</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0.80%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0.70%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500万~1000万</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0.80%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0.45%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0.55%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l000万~5000万</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0.50%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0.25%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0.35%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5000万~l亿</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0.25%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0.10%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1亿~5亿</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5亿~10亿</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0.035%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0.035%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0.035%</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10亿~50亿</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0.008%</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0.008%</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0.008%</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50亿~100亿</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0.006%</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0.006%</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0.006%</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126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100亿以上</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0.004%</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0.004%</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spacing w:line="0" w:lineRule="atLeas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0.004%</w:t>
            </w: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41" w:type="pct"/>
            <w:vAlign w:val="center"/>
            <w:vMerge w:val="continue"/>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tc>
      </w:tr>
    </w:tbl>
    <w:p>
      <w:pPr>
        <w:spacing w:line="560" w:lineRule="exact"/>
        <w:widowControl/>
      </w:pPr>
      <w:r>
        <w:rPr>
          <w:rFonts w:hint="eastAsia" w:ascii="宋体" w:hAnsi="宋体" w:eastAsia="宋体" w:cs="宋体"/>
          <w:b/>
          <w:bCs/>
          <w:color w:val="auto"/>
          <w:sz w:val="24"/>
          <w:highlight w:val="none"/>
        </w:rPr>
        <w:t xml:space="preserve">备注：非政府采购项目收费标准，由采购人与代理机构自行商议。</w:t>
      </w:r>
      <w:r>
        <w:rPr>
          <w:rFonts w:hint="eastAsia" w:ascii="宋体" w:hAnsi="宋体" w:eastAsia="宋体" w:cs="宋体"/>
          <w:b/>
          <w:bCs/>
          <w:color w:val="auto"/>
          <w:sz w:val="24"/>
          <w:highlight w:val="none"/>
        </w:rPr>
      </w:r>
      <w:r/>
    </w:p>
    <w:p>
      <w:pPr>
        <w:spacing w:line="560" w:lineRule="exact"/>
        <w:widowControl/>
      </w:pP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1.按上表计算的收费为代理服务全过程的收费金额。各社会代理机构不再收取采购文件制作售卖费用。</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2.代理服务费按差额定率累进法计算。</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3.代理服务费基准金额（按差额定率累进法计算的）=中标金额（按差额定率累进法计算的）*费率（%）</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5.计算出的代理服务费应收取金额如低于5千元，按5千元收取；如高于15万元，按15万元收取。</w:t>
      </w:r>
      <w:r>
        <w:rPr>
          <w:rFonts w:hint="eastAsia" w:ascii="宋体" w:hAnsi="宋体" w:eastAsia="宋体" w:cs="宋体"/>
          <w:color w:val="auto"/>
          <w:sz w:val="24"/>
          <w:highlight w:val="none"/>
          <w:lang w:eastAsia="zh-CN"/>
        </w:rPr>
      </w:r>
      <w:r/>
    </w:p>
    <w:p>
      <w:pPr>
        <w:ind w:firstLine="480"/>
        <w:keepLines w:val="0"/>
        <w:keepNext w:val="0"/>
        <w:pageBreakBefore w:val="0"/>
        <w:spacing w:line="360" w:lineRule="auto"/>
        <w:widowControl/>
      </w:pPr>
      <w:r>
        <w:rPr>
          <w:rFonts w:hint="eastAsia" w:ascii="宋体" w:hAnsi="宋体" w:eastAsia="宋体" w:cs="宋体"/>
          <w:color w:val="auto"/>
          <w:sz w:val="24"/>
          <w:highlight w:val="none"/>
          <w:lang w:eastAsia="zh-CN"/>
        </w:rPr>
        <w:t xml:space="preserve">6.定点类等无金额或事先不能计算出价格总额的项目，按中标（成交）金额100万元计算服务费。</w:t>
      </w:r>
      <w:r>
        <w:rPr>
          <w:rFonts w:hint="eastAsia" w:ascii="宋体" w:hAnsi="宋体" w:eastAsia="宋体" w:cs="宋体"/>
          <w:color w:val="auto"/>
          <w:sz w:val="24"/>
          <w:szCs w:val="24"/>
          <w:highlight w:val="none"/>
          <w:lang w:eastAsia="zh-CN"/>
        </w:rPr>
      </w:r>
      <w:r/>
    </w:p>
    <w:p>
      <w:pPr>
        <w:ind w:firstLine="480"/>
        <w:keepLines w:val="0"/>
        <w:keepNext w:val="0"/>
        <w:pageBreakBefore w:val="0"/>
        <w:spacing w:line="360" w:lineRule="auto"/>
        <w:widowControl/>
        <w:rPr>
          <w:rFonts w:hint="eastAsia" w:ascii="宋体" w:hAnsi="宋体" w:eastAsia="宋体" w:cs="宋体"/>
          <w:b/>
          <w:bCs/>
          <w:color w:val="auto"/>
          <w:highlight w:val="none"/>
          <w:lang w:eastAsia="zh-CN"/>
        </w:rPr>
      </w:pPr>
      <w:r>
        <w:rPr>
          <w:rFonts w:hint="eastAsia" w:ascii="宋体" w:hAnsi="宋体" w:eastAsia="宋体" w:cs="宋体"/>
          <w:color w:val="auto"/>
          <w:sz w:val="24"/>
          <w:highlight w:val="none"/>
          <w:lang w:eastAsia="zh-CN"/>
        </w:rPr>
      </w:r>
      <w:r>
        <w:rPr>
          <w:rFonts w:hint="eastAsia" w:ascii="宋体" w:hAnsi="宋体" w:eastAsia="宋体" w:cs="宋体"/>
          <w:color w:val="auto"/>
          <w:sz w:val="24"/>
          <w:highlight w:val="none"/>
          <w:lang w:eastAsia="zh-CN"/>
        </w:rPr>
        <w:t xml:space="preserve">7.多个采购包（标段）项目按总项目中标（成交）金额收费，最高不超过15万元。</w:t>
      </w:r>
      <w:r>
        <w:rPr>
          <w:rFonts w:hint="eastAsia" w:ascii="宋体" w:hAnsi="宋体" w:eastAsia="宋体" w:cs="宋体"/>
          <w:color w:val="auto"/>
          <w:sz w:val="24"/>
          <w:szCs w:val="24"/>
          <w:highlight w:val="none"/>
          <w:lang w:eastAsia="zh-CN"/>
        </w:rPr>
      </w:r>
      <w:r/>
    </w:p>
    <w:p>
      <w:pPr>
        <w:pStyle w:val="938"/>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Cambria">
    <w:panose1 w:val="02040503050406030204"/>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56"/>
      </w:rPr>
      <w:framePr w:wrap="around" w:vAnchor="text" w:hAnchor="margin" w:xAlign="center" w:y="1"/>
    </w:pPr>
    <w:r>
      <w:fldChar w:fldCharType="begin"/>
    </w:r>
    <w:r>
      <w:rPr>
        <w:rStyle w:val="956"/>
      </w:rPr>
      <w:instrText xml:space="preserve">PAGE  </w:instrText>
    </w:r>
    <w:r>
      <w:fldChar w:fldCharType="end"/>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2 Char"/>
    <w:basedOn w:val="743"/>
    <w:link w:val="735"/>
    <w:uiPriority w:val="9"/>
    <w:rPr>
      <w:rFonts w:ascii="Arial" w:hAnsi="Arial" w:eastAsia="Arial" w:cs="Arial"/>
      <w:sz w:val="34"/>
    </w:rPr>
  </w:style>
  <w:style w:type="character" w:styleId="720">
    <w:name w:val="Heading 5 Char"/>
    <w:basedOn w:val="743"/>
    <w:link w:val="738"/>
    <w:uiPriority w:val="9"/>
    <w:rPr>
      <w:rFonts w:ascii="Arial" w:hAnsi="Arial" w:eastAsia="Arial" w:cs="Arial"/>
      <w:b/>
      <w:bCs/>
      <w:sz w:val="24"/>
      <w:szCs w:val="24"/>
    </w:rPr>
  </w:style>
  <w:style w:type="character" w:styleId="721">
    <w:name w:val="Heading 6 Char"/>
    <w:basedOn w:val="743"/>
    <w:link w:val="739"/>
    <w:uiPriority w:val="9"/>
    <w:rPr>
      <w:rFonts w:ascii="Arial" w:hAnsi="Arial" w:eastAsia="Arial" w:cs="Arial"/>
      <w:b/>
      <w:bCs/>
      <w:sz w:val="22"/>
      <w:szCs w:val="22"/>
    </w:rPr>
  </w:style>
  <w:style w:type="character" w:styleId="722">
    <w:name w:val="Heading 7 Char"/>
    <w:basedOn w:val="743"/>
    <w:link w:val="740"/>
    <w:uiPriority w:val="9"/>
    <w:rPr>
      <w:rFonts w:ascii="Arial" w:hAnsi="Arial" w:eastAsia="Arial" w:cs="Arial"/>
      <w:b/>
      <w:bCs/>
      <w:i/>
      <w:iCs/>
      <w:sz w:val="22"/>
      <w:szCs w:val="22"/>
    </w:rPr>
  </w:style>
  <w:style w:type="character" w:styleId="723">
    <w:name w:val="Heading 8 Char"/>
    <w:basedOn w:val="743"/>
    <w:link w:val="741"/>
    <w:uiPriority w:val="9"/>
    <w:rPr>
      <w:rFonts w:ascii="Arial" w:hAnsi="Arial" w:eastAsia="Arial" w:cs="Arial"/>
      <w:i/>
      <w:iCs/>
      <w:sz w:val="22"/>
      <w:szCs w:val="22"/>
    </w:rPr>
  </w:style>
  <w:style w:type="character" w:styleId="724">
    <w:name w:val="Heading 9 Char"/>
    <w:basedOn w:val="743"/>
    <w:link w:val="742"/>
    <w:uiPriority w:val="9"/>
    <w:rPr>
      <w:rFonts w:ascii="Arial" w:hAnsi="Arial" w:eastAsia="Arial" w:cs="Arial"/>
      <w:i/>
      <w:iCs/>
      <w:sz w:val="21"/>
      <w:szCs w:val="21"/>
    </w:rPr>
  </w:style>
  <w:style w:type="paragraph" w:styleId="725">
    <w:name w:val="List Paragraph"/>
    <w:basedOn w:val="733"/>
    <w:uiPriority w:val="34"/>
    <w:qFormat/>
    <w:pPr>
      <w:contextualSpacing/>
      <w:ind w:left="720"/>
    </w:pPr>
  </w:style>
  <w:style w:type="character" w:styleId="726">
    <w:name w:val="Title Char"/>
    <w:basedOn w:val="743"/>
    <w:link w:val="782"/>
    <w:uiPriority w:val="10"/>
    <w:rPr>
      <w:sz w:val="48"/>
      <w:szCs w:val="48"/>
    </w:rPr>
  </w:style>
  <w:style w:type="character" w:styleId="727">
    <w:name w:val="Subtitle Char"/>
    <w:basedOn w:val="743"/>
    <w:link w:val="774"/>
    <w:uiPriority w:val="11"/>
    <w:rPr>
      <w:sz w:val="24"/>
      <w:szCs w:val="24"/>
    </w:rPr>
  </w:style>
  <w:style w:type="character" w:styleId="728">
    <w:name w:val="Quote Char"/>
    <w:link w:val="802"/>
    <w:uiPriority w:val="29"/>
    <w:rPr>
      <w:i/>
    </w:rPr>
  </w:style>
  <w:style w:type="character" w:styleId="729">
    <w:name w:val="Intense Quote Char"/>
    <w:link w:val="804"/>
    <w:uiPriority w:val="30"/>
    <w:rPr>
      <w:i/>
    </w:rPr>
  </w:style>
  <w:style w:type="character" w:styleId="730">
    <w:name w:val="Header Char"/>
    <w:basedOn w:val="743"/>
    <w:link w:val="771"/>
    <w:uiPriority w:val="99"/>
  </w:style>
  <w:style w:type="character" w:styleId="731">
    <w:name w:val="Endnote Text Char"/>
    <w:link w:val="768"/>
    <w:uiPriority w:val="99"/>
    <w:rPr>
      <w:sz w:val="20"/>
    </w:rPr>
  </w:style>
  <w:style w:type="paragraph" w:styleId="732">
    <w:name w:val="TOC Heading"/>
    <w:uiPriority w:val="39"/>
    <w:unhideWhenUsed/>
  </w:style>
  <w:style w:type="paragraph" w:styleId="733" w:default="1">
    <w:name w:val="Normal"/>
    <w:next w:val="74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4">
    <w:name w:val="Heading 1"/>
    <w:basedOn w:val="733"/>
    <w:next w:val="733"/>
    <w:link w:val="968"/>
    <w:uiPriority w:val="99"/>
    <w:qFormat/>
    <w:pPr>
      <w:jc w:val="center"/>
      <w:keepLines/>
      <w:keepNext/>
      <w:spacing w:line="578" w:lineRule="auto"/>
      <w:outlineLvl w:val="0"/>
    </w:pPr>
    <w:rPr>
      <w:rFonts w:eastAsia="新宋体"/>
      <w:b/>
      <w:bCs/>
      <w:sz w:val="30"/>
      <w:szCs w:val="44"/>
    </w:rPr>
  </w:style>
  <w:style w:type="paragraph" w:styleId="735">
    <w:name w:val="Heading 2"/>
    <w:basedOn w:val="733"/>
    <w:next w:val="733"/>
    <w:link w:val="791"/>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0"/>
    <w:qFormat/>
    <w:pPr>
      <w:keepLines/>
      <w:keepNext/>
      <w:spacing w:before="280" w:after="290" w:line="376" w:lineRule="auto"/>
      <w:outlineLvl w:val="3"/>
    </w:pPr>
    <w:rPr>
      <w:rFonts w:ascii="Cambria" w:hAnsi="Cambria"/>
      <w:b/>
      <w:bCs/>
      <w:sz w:val="28"/>
      <w:szCs w:val="28"/>
    </w:rPr>
  </w:style>
  <w:style w:type="paragraph" w:styleId="738">
    <w:name w:val="Heading 5"/>
    <w:basedOn w:val="733"/>
    <w:next w:val="733"/>
    <w:link w:val="794"/>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795"/>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97"/>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98"/>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Body Text Indent"/>
    <w:basedOn w:val="733"/>
    <w:next w:val="746"/>
    <w:uiPriority w:val="0"/>
    <w:qFormat/>
    <w:pPr>
      <w:ind w:left="420"/>
      <w:spacing w:after="120"/>
    </w:pPr>
    <w:rPr>
      <w:rFonts w:ascii="Calibri" w:hAnsi="Calibri"/>
    </w:rPr>
  </w:style>
  <w:style w:type="paragraph" w:styleId="746">
    <w:name w:val="envelope return"/>
    <w:basedOn w:val="733"/>
    <w:uiPriority w:val="0"/>
    <w:qFormat/>
    <w:rPr>
      <w:rFonts w:ascii="Arial" w:hAnsi="Arial"/>
    </w:rPr>
  </w:style>
  <w:style w:type="paragraph" w:styleId="747">
    <w:name w:val="toc 7"/>
    <w:basedOn w:val="733"/>
    <w:next w:val="733"/>
    <w:uiPriority w:val="39"/>
    <w:unhideWhenUsed/>
    <w:qFormat/>
    <w:pPr>
      <w:ind w:left="1701"/>
      <w:spacing w:after="57"/>
    </w:pPr>
  </w:style>
  <w:style w:type="paragraph" w:styleId="748">
    <w:name w:val="Caption"/>
    <w:basedOn w:val="733"/>
    <w:next w:val="7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9">
    <w:name w:val="index 5"/>
    <w:basedOn w:val="733"/>
    <w:next w:val="733"/>
    <w:uiPriority w:val="0"/>
    <w:qFormat/>
    <w:pPr>
      <w:ind w:left="798"/>
      <w:jc w:val="left"/>
    </w:pPr>
    <w:rPr>
      <w:rFonts w:ascii="Calibri" w:hAnsi="Calibri"/>
    </w:rPr>
  </w:style>
  <w:style w:type="paragraph" w:styleId="750">
    <w:name w:val="annotation text"/>
    <w:basedOn w:val="733"/>
    <w:uiPriority w:val="99"/>
    <w:semiHidden/>
    <w:unhideWhenUsed/>
    <w:qFormat/>
    <w:pPr>
      <w:jc w:val="left"/>
    </w:pPr>
  </w:style>
  <w:style w:type="paragraph" w:styleId="751">
    <w:name w:val="Body Text"/>
    <w:basedOn w:val="733"/>
    <w:next w:val="752"/>
    <w:uiPriority w:val="0"/>
    <w:qFormat/>
    <w:pPr>
      <w:spacing w:after="120"/>
    </w:pPr>
  </w:style>
  <w:style w:type="paragraph" w:styleId="752" w:customStyle="1">
    <w:name w:val="一级条标题"/>
    <w:basedOn w:val="753"/>
    <w:next w:val="7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3" w:customStyle="1">
    <w:name w:val="章标题"/>
    <w:next w:val="73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54" w:customStyle="1">
    <w:name w:val="段"/>
    <w:basedOn w:val="755"/>
    <w:next w:val="733"/>
    <w:uiPriority w:val="0"/>
    <w:qFormat/>
    <w:pPr>
      <w:ind w:firstLine="200"/>
    </w:pPr>
    <w:rPr>
      <w:rFonts w:ascii="宋体"/>
    </w:rPr>
  </w:style>
  <w:style w:type="paragraph" w:styleId="755" w:customStyle="1">
    <w:name w:val="正文11"/>
    <w:next w:val="756"/>
    <w:link w:val="963"/>
    <w:uiPriority w:val="0"/>
    <w:qFormat/>
    <w:pPr>
      <w:jc w:val="both"/>
    </w:pPr>
    <w:rPr>
      <w:rFonts w:ascii="Times New Roman" w:hAnsi="Times New Roman" w:eastAsia="宋体" w:cs="Times New Roman"/>
      <w:lang w:val="en-US" w:eastAsia="zh-CN" w:bidi="ar-SA"/>
    </w:rPr>
  </w:style>
  <w:style w:type="paragraph" w:styleId="756" w:customStyle="1">
    <w:name w:val="正文首行缩进11"/>
    <w:basedOn w:val="757"/>
    <w:next w:val="759"/>
    <w:uiPriority w:val="0"/>
    <w:qFormat/>
    <w:pPr>
      <w:ind w:firstLine="200"/>
      <w:spacing w:line="360" w:lineRule="auto"/>
    </w:pPr>
    <w:rPr>
      <w:rFonts w:ascii="仿宋_GB2312" w:hAnsi="Calibri" w:eastAsia="仿宋_GB2312"/>
      <w:sz w:val="30"/>
      <w:szCs w:val="30"/>
    </w:rPr>
  </w:style>
  <w:style w:type="paragraph" w:styleId="757" w:customStyle="1">
    <w:name w:val="正文文本11"/>
    <w:basedOn w:val="758"/>
    <w:next w:val="755"/>
    <w:uiPriority w:val="0"/>
    <w:qFormat/>
    <w:pPr>
      <w:spacing w:after="120"/>
    </w:pPr>
  </w:style>
  <w:style w:type="paragraph" w:styleId="758" w:customStyle="1">
    <w:name w:val="正文112"/>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首行缩进 211"/>
    <w:basedOn w:val="760"/>
    <w:uiPriority w:val="0"/>
    <w:qFormat/>
    <w:pPr>
      <w:ind w:firstLine="420"/>
    </w:pPr>
    <w:rPr>
      <w:sz w:val="24"/>
    </w:rPr>
  </w:style>
  <w:style w:type="paragraph" w:styleId="760" w:customStyle="1">
    <w:name w:val="正文文本缩进11"/>
    <w:basedOn w:val="758"/>
    <w:next w:val="761"/>
    <w:uiPriority w:val="0"/>
    <w:qFormat/>
    <w:pPr>
      <w:ind w:firstLine="538"/>
    </w:pPr>
    <w:rPr>
      <w:sz w:val="28"/>
    </w:rPr>
  </w:style>
  <w:style w:type="paragraph" w:styleId="761" w:customStyle="1">
    <w:name w:val="寄信人地址11"/>
    <w:basedOn w:val="733"/>
    <w:uiPriority w:val="0"/>
    <w:qFormat/>
    <w:rPr>
      <w:rFonts w:ascii="Arial" w:hAnsi="Arial"/>
    </w:rPr>
  </w:style>
  <w:style w:type="paragraph" w:styleId="762">
    <w:name w:val="Block Text"/>
    <w:basedOn w:val="733"/>
    <w:next w:val="733"/>
    <w:uiPriority w:val="99"/>
    <w:unhideWhenUsed/>
    <w:qFormat/>
    <w:pPr>
      <w:ind w:left="1440" w:right="1440"/>
      <w:spacing w:after="120"/>
    </w:pPr>
    <w:rPr>
      <w:rFonts w:ascii="Calibri" w:hAnsi="Calibri"/>
    </w:rPr>
  </w:style>
  <w:style w:type="paragraph" w:styleId="763">
    <w:name w:val="index 4"/>
    <w:basedOn w:val="733"/>
    <w:next w:val="733"/>
    <w:uiPriority w:val="99"/>
    <w:qFormat/>
    <w:pPr>
      <w:ind w:left="600"/>
    </w:pPr>
    <w:rPr>
      <w:rFonts w:ascii="Calibri" w:hAnsi="Calibri"/>
    </w:rPr>
  </w:style>
  <w:style w:type="paragraph" w:styleId="764">
    <w:name w:val="toc 5"/>
    <w:basedOn w:val="733"/>
    <w:next w:val="733"/>
    <w:uiPriority w:val="39"/>
    <w:unhideWhenUsed/>
    <w:qFormat/>
    <w:pPr>
      <w:ind w:left="1134"/>
      <w:spacing w:after="57"/>
    </w:pPr>
  </w:style>
  <w:style w:type="paragraph" w:styleId="765">
    <w:name w:val="toc 3"/>
    <w:basedOn w:val="733"/>
    <w:next w:val="733"/>
    <w:uiPriority w:val="39"/>
    <w:unhideWhenUsed/>
    <w:qFormat/>
    <w:pPr>
      <w:ind w:left="567"/>
      <w:spacing w:after="57"/>
    </w:pPr>
  </w:style>
  <w:style w:type="paragraph" w:styleId="766">
    <w:name w:val="toc 8"/>
    <w:basedOn w:val="733"/>
    <w:next w:val="733"/>
    <w:uiPriority w:val="39"/>
    <w:unhideWhenUsed/>
    <w:qFormat/>
    <w:pPr>
      <w:ind w:left="1984"/>
      <w:spacing w:after="57"/>
    </w:pPr>
  </w:style>
  <w:style w:type="paragraph" w:styleId="767">
    <w:name w:val="Date"/>
    <w:basedOn w:val="733"/>
    <w:next w:val="733"/>
    <w:uiPriority w:val="0"/>
    <w:qFormat/>
    <w:rPr>
      <w:rFonts w:eastAsia="仿宋_GB2312"/>
      <w:sz w:val="28"/>
      <w:szCs w:val="20"/>
    </w:rPr>
  </w:style>
  <w:style w:type="paragraph" w:styleId="768">
    <w:name w:val="endnote text"/>
    <w:basedOn w:val="733"/>
    <w:link w:val="935"/>
    <w:uiPriority w:val="99"/>
    <w:semiHidden/>
    <w:unhideWhenUsed/>
    <w:qFormat/>
    <w:rPr>
      <w:sz w:val="20"/>
    </w:rPr>
  </w:style>
  <w:style w:type="paragraph" w:styleId="769">
    <w:name w:val="Balloon Text"/>
    <w:basedOn w:val="733"/>
    <w:link w:val="966"/>
    <w:uiPriority w:val="99"/>
    <w:semiHidden/>
    <w:unhideWhenUsed/>
    <w:qFormat/>
    <w:rPr>
      <w:sz w:val="18"/>
      <w:szCs w:val="18"/>
    </w:rPr>
  </w:style>
  <w:style w:type="paragraph" w:styleId="770">
    <w:name w:val="Footer"/>
    <w:basedOn w:val="733"/>
    <w:uiPriority w:val="99"/>
    <w:qFormat/>
    <w:pPr>
      <w:jc w:val="left"/>
      <w:tabs>
        <w:tab w:val="center" w:pos="4153" w:leader="none"/>
        <w:tab w:val="right" w:pos="8306" w:leader="none"/>
      </w:tabs>
    </w:pPr>
    <w:rPr>
      <w:sz w:val="18"/>
      <w:szCs w:val="18"/>
    </w:rPr>
  </w:style>
  <w:style w:type="paragraph" w:styleId="771">
    <w:name w:val="Header"/>
    <w:basedOn w:val="733"/>
    <w:link w:val="806"/>
    <w:uiPriority w:val="99"/>
    <w:unhideWhenUsed/>
    <w:qFormat/>
    <w:pPr>
      <w:tabs>
        <w:tab w:val="center" w:pos="7143" w:leader="none"/>
        <w:tab w:val="right" w:pos="14287" w:leader="none"/>
      </w:tabs>
    </w:pPr>
  </w:style>
  <w:style w:type="paragraph" w:styleId="772">
    <w:name w:val="toc 1"/>
    <w:basedOn w:val="733"/>
    <w:next w:val="733"/>
    <w:uiPriority w:val="39"/>
    <w:unhideWhenUsed/>
    <w:qFormat/>
    <w:pPr>
      <w:spacing w:after="57"/>
    </w:pPr>
  </w:style>
  <w:style w:type="paragraph" w:styleId="773">
    <w:name w:val="toc 4"/>
    <w:basedOn w:val="733"/>
    <w:next w:val="733"/>
    <w:uiPriority w:val="39"/>
    <w:unhideWhenUsed/>
    <w:qFormat/>
    <w:pPr>
      <w:ind w:left="850"/>
      <w:spacing w:after="57"/>
    </w:pPr>
  </w:style>
  <w:style w:type="paragraph" w:styleId="774">
    <w:name w:val="Subtitle"/>
    <w:basedOn w:val="733"/>
    <w:next w:val="733"/>
    <w:link w:val="801"/>
    <w:uiPriority w:val="11"/>
    <w:qFormat/>
    <w:pPr>
      <w:spacing w:before="200" w:after="200"/>
    </w:pPr>
    <w:rPr>
      <w:sz w:val="24"/>
    </w:rPr>
  </w:style>
  <w:style w:type="paragraph" w:styleId="775">
    <w:name w:val="footnote text"/>
    <w:basedOn w:val="733"/>
    <w:next w:val="749"/>
    <w:uiPriority w:val="99"/>
    <w:semiHidden/>
    <w:unhideWhenUsed/>
    <w:qFormat/>
    <w:pPr>
      <w:spacing w:after="40"/>
    </w:pPr>
    <w:rPr>
      <w:sz w:val="18"/>
    </w:rPr>
  </w:style>
  <w:style w:type="paragraph" w:styleId="776">
    <w:name w:val="toc 6"/>
    <w:basedOn w:val="733"/>
    <w:next w:val="733"/>
    <w:uiPriority w:val="39"/>
    <w:unhideWhenUsed/>
    <w:qFormat/>
    <w:pPr>
      <w:ind w:left="1417"/>
      <w:spacing w:after="57"/>
    </w:pPr>
  </w:style>
  <w:style w:type="paragraph" w:styleId="777">
    <w:name w:val="table of figures"/>
    <w:basedOn w:val="733"/>
    <w:next w:val="733"/>
    <w:uiPriority w:val="99"/>
    <w:unhideWhenUsed/>
    <w:qFormat/>
  </w:style>
  <w:style w:type="paragraph" w:styleId="778">
    <w:name w:val="toc 2"/>
    <w:basedOn w:val="733"/>
    <w:next w:val="733"/>
    <w:uiPriority w:val="39"/>
    <w:unhideWhenUsed/>
    <w:qFormat/>
    <w:pPr>
      <w:ind w:left="283"/>
      <w:spacing w:after="57"/>
    </w:pPr>
  </w:style>
  <w:style w:type="paragraph" w:styleId="779">
    <w:name w:val="toc 9"/>
    <w:basedOn w:val="733"/>
    <w:next w:val="733"/>
    <w:uiPriority w:val="39"/>
    <w:unhideWhenUsed/>
    <w:qFormat/>
    <w:pPr>
      <w:ind w:left="2268"/>
      <w:spacing w:after="57"/>
    </w:pPr>
  </w:style>
  <w:style w:type="paragraph" w:styleId="780">
    <w:name w:val="Body Text 2"/>
    <w:basedOn w:val="733"/>
    <w:next w:val="751"/>
    <w:uiPriority w:val="99"/>
    <w:qFormat/>
    <w:pPr>
      <w:spacing w:after="120" w:line="480" w:lineRule="auto"/>
    </w:pPr>
    <w:rPr>
      <w:sz w:val="20"/>
    </w:rPr>
  </w:style>
  <w:style w:type="paragraph" w:styleId="781">
    <w:name w:val="Normal (Web)"/>
    <w:basedOn w:val="733"/>
    <w:uiPriority w:val="99"/>
    <w:qFormat/>
    <w:pPr>
      <w:jc w:val="left"/>
      <w:spacing w:before="100" w:beforeAutospacing="1" w:after="100" w:afterAutospacing="1"/>
      <w:widowControl/>
    </w:pPr>
    <w:rPr>
      <w:rFonts w:ascii="宋体" w:hAnsi="宋体" w:cs="宋体"/>
      <w:sz w:val="24"/>
    </w:rPr>
  </w:style>
  <w:style w:type="paragraph" w:styleId="782">
    <w:name w:val="Title"/>
    <w:basedOn w:val="733"/>
    <w:next w:val="733"/>
    <w:link w:val="800"/>
    <w:uiPriority w:val="10"/>
    <w:qFormat/>
    <w:pPr>
      <w:contextualSpacing/>
      <w:spacing w:before="300" w:after="200"/>
    </w:pPr>
    <w:rPr>
      <w:sz w:val="48"/>
      <w:szCs w:val="48"/>
    </w:rPr>
  </w:style>
  <w:style w:type="paragraph" w:styleId="783">
    <w:name w:val="Body Text First Indent 2"/>
    <w:basedOn w:val="745"/>
    <w:uiPriority w:val="0"/>
    <w:qFormat/>
    <w:pPr>
      <w:ind w:firstLine="420"/>
      <w:spacing w:line="360" w:lineRule="auto"/>
    </w:pPr>
    <w:rPr>
      <w:color w:val="000000"/>
      <w:sz w:val="20"/>
    </w:rPr>
  </w:style>
  <w:style w:type="table" w:styleId="784">
    <w:name w:val="Table Grid"/>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basedOn w:val="743"/>
    <w:uiPriority w:val="99"/>
    <w:semiHidden/>
    <w:unhideWhenUsed/>
    <w:qFormat/>
    <w:rPr>
      <w:vertAlign w:val="superscript"/>
    </w:rPr>
  </w:style>
  <w:style w:type="character" w:styleId="786">
    <w:name w:val="Hyperlink"/>
    <w:uiPriority w:val="99"/>
    <w:unhideWhenUsed/>
    <w:qFormat/>
    <w:rPr>
      <w:color w:val="0563c1" w:themeColor="hyperlink"/>
      <w:u w:val="single"/>
      <w14:textFill>
        <w14:solidFill>
          <w14:schemeClr w14:val="hlink"/>
        </w14:solidFill>
      </w14:textFill>
    </w:rPr>
  </w:style>
  <w:style w:type="character" w:styleId="787">
    <w:name w:val="footnote reference"/>
    <w:basedOn w:val="743"/>
    <w:uiPriority w:val="99"/>
    <w:unhideWhenUsed/>
    <w:qFormat/>
    <w:rPr>
      <w:vertAlign w:val="superscript"/>
    </w:rPr>
  </w:style>
  <w:style w:type="paragraph" w:styleId="788" w:customStyle="1">
    <w:name w:val="PlainText1"/>
    <w:basedOn w:val="733"/>
    <w:uiPriority w:val="0"/>
    <w:qFormat/>
    <w:pPr>
      <w:jc w:val="left"/>
    </w:pPr>
    <w:rPr>
      <w:rFonts w:ascii="宋体" w:hAnsi="Courier New"/>
      <w:szCs w:val="20"/>
    </w:rPr>
  </w:style>
  <w:style w:type="paragraph" w:styleId="789" w:customStyle="1">
    <w:name w:val="文本块111"/>
    <w:basedOn w:val="733"/>
    <w:uiPriority w:val="0"/>
    <w:qFormat/>
    <w:pPr>
      <w:ind w:left="256" w:right="6" w:firstLine="624"/>
    </w:pPr>
    <w:rPr>
      <w:rFonts w:eastAsia="仿宋_GB2312"/>
      <w:sz w:val="28"/>
      <w:szCs w:val="20"/>
    </w:rPr>
  </w:style>
  <w:style w:type="character" w:styleId="790" w:customStyle="1">
    <w:name w:val="Heading 1 Char"/>
    <w:basedOn w:val="743"/>
    <w:uiPriority w:val="9"/>
    <w:qFormat/>
    <w:rPr>
      <w:rFonts w:ascii="Arial" w:hAnsi="Arial" w:eastAsia="Arial" w:cs="Arial"/>
      <w:sz w:val="40"/>
      <w:szCs w:val="40"/>
    </w:rPr>
  </w:style>
  <w:style w:type="character" w:styleId="791" w:customStyle="1">
    <w:name w:val="标题 2 Char"/>
    <w:basedOn w:val="743"/>
    <w:link w:val="735"/>
    <w:uiPriority w:val="9"/>
    <w:qFormat/>
    <w:rPr>
      <w:rFonts w:ascii="Arial" w:hAnsi="Arial" w:eastAsia="Arial" w:cs="Arial"/>
      <w:sz w:val="34"/>
    </w:rPr>
  </w:style>
  <w:style w:type="character" w:styleId="792" w:customStyle="1">
    <w:name w:val="Heading 3 Char"/>
    <w:basedOn w:val="743"/>
    <w:uiPriority w:val="9"/>
    <w:qFormat/>
    <w:rPr>
      <w:rFonts w:ascii="Arial" w:hAnsi="Arial" w:eastAsia="Arial" w:cs="Arial"/>
      <w:sz w:val="30"/>
      <w:szCs w:val="30"/>
    </w:rPr>
  </w:style>
  <w:style w:type="character" w:styleId="793" w:customStyle="1">
    <w:name w:val="Heading 4 Char"/>
    <w:basedOn w:val="743"/>
    <w:uiPriority w:val="9"/>
    <w:qFormat/>
    <w:rPr>
      <w:rFonts w:ascii="Arial" w:hAnsi="Arial" w:eastAsia="Arial" w:cs="Arial"/>
      <w:b/>
      <w:bCs/>
      <w:sz w:val="26"/>
      <w:szCs w:val="26"/>
    </w:rPr>
  </w:style>
  <w:style w:type="character" w:styleId="794" w:customStyle="1">
    <w:name w:val="标题 5 Char"/>
    <w:basedOn w:val="743"/>
    <w:link w:val="738"/>
    <w:uiPriority w:val="9"/>
    <w:qFormat/>
    <w:rPr>
      <w:rFonts w:ascii="Arial" w:hAnsi="Arial" w:eastAsia="Arial" w:cs="Arial"/>
      <w:b/>
      <w:bCs/>
      <w:sz w:val="24"/>
      <w:szCs w:val="24"/>
    </w:rPr>
  </w:style>
  <w:style w:type="character" w:styleId="795" w:customStyle="1">
    <w:name w:val="标题 6 Char"/>
    <w:basedOn w:val="743"/>
    <w:link w:val="739"/>
    <w:uiPriority w:val="9"/>
    <w:qFormat/>
    <w:rPr>
      <w:rFonts w:ascii="Arial" w:hAnsi="Arial" w:eastAsia="Arial" w:cs="Arial"/>
      <w:b/>
      <w:bCs/>
      <w:sz w:val="22"/>
      <w:szCs w:val="22"/>
    </w:rPr>
  </w:style>
  <w:style w:type="character" w:styleId="796" w:customStyle="1">
    <w:name w:val="标题 7 Char"/>
    <w:basedOn w:val="743"/>
    <w:link w:val="740"/>
    <w:uiPriority w:val="9"/>
    <w:qFormat/>
    <w:rPr>
      <w:rFonts w:ascii="Arial" w:hAnsi="Arial" w:eastAsia="Arial" w:cs="Arial"/>
      <w:b/>
      <w:bCs/>
      <w:i/>
      <w:iCs/>
      <w:sz w:val="22"/>
      <w:szCs w:val="22"/>
    </w:rPr>
  </w:style>
  <w:style w:type="character" w:styleId="797" w:customStyle="1">
    <w:name w:val="标题 8 Char"/>
    <w:basedOn w:val="743"/>
    <w:link w:val="741"/>
    <w:uiPriority w:val="9"/>
    <w:qFormat/>
    <w:rPr>
      <w:rFonts w:ascii="Arial" w:hAnsi="Arial" w:eastAsia="Arial" w:cs="Arial"/>
      <w:i/>
      <w:iCs/>
      <w:sz w:val="22"/>
      <w:szCs w:val="22"/>
    </w:rPr>
  </w:style>
  <w:style w:type="character" w:styleId="798" w:customStyle="1">
    <w:name w:val="标题 9 Char"/>
    <w:basedOn w:val="743"/>
    <w:link w:val="742"/>
    <w:uiPriority w:val="9"/>
    <w:qFormat/>
    <w:rPr>
      <w:rFonts w:ascii="Arial" w:hAnsi="Arial" w:eastAsia="Arial" w:cs="Arial"/>
      <w:i/>
      <w:iCs/>
      <w:sz w:val="21"/>
      <w:szCs w:val="21"/>
    </w:rPr>
  </w:style>
  <w:style w:type="paragraph" w:styleId="799">
    <w:name w:val="No Spacing"/>
    <w:uiPriority w:val="1"/>
    <w:qFormat/>
    <w:rPr>
      <w:rFonts w:asciiTheme="minorHAnsi" w:hAnsiTheme="minorHAnsi" w:eastAsiaTheme="minorEastAsia" w:cstheme="minorBidi"/>
      <w:lang w:val="en-US" w:eastAsia="zh-CN" w:bidi="ar-SA"/>
    </w:rPr>
  </w:style>
  <w:style w:type="character" w:styleId="800" w:customStyle="1">
    <w:name w:val="标题 Char"/>
    <w:basedOn w:val="743"/>
    <w:link w:val="782"/>
    <w:uiPriority w:val="10"/>
    <w:qFormat/>
    <w:rPr>
      <w:sz w:val="48"/>
      <w:szCs w:val="48"/>
    </w:rPr>
  </w:style>
  <w:style w:type="character" w:styleId="801" w:customStyle="1">
    <w:name w:val="副标题 Char"/>
    <w:basedOn w:val="743"/>
    <w:link w:val="774"/>
    <w:uiPriority w:val="11"/>
    <w:qFormat/>
    <w:rPr>
      <w:sz w:val="24"/>
      <w:szCs w:val="24"/>
    </w:rPr>
  </w:style>
  <w:style w:type="paragraph" w:styleId="802">
    <w:name w:val="Quote"/>
    <w:basedOn w:val="733"/>
    <w:next w:val="733"/>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733"/>
    <w:next w:val="733"/>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页眉 Char"/>
    <w:basedOn w:val="743"/>
    <w:link w:val="771"/>
    <w:uiPriority w:val="99"/>
    <w:qFormat/>
  </w:style>
  <w:style w:type="character" w:styleId="807" w:customStyle="1">
    <w:name w:val="Footer Char"/>
    <w:basedOn w:val="743"/>
    <w:uiPriority w:val="99"/>
    <w:qFormat/>
  </w:style>
  <w:style w:type="character" w:styleId="808" w:customStyle="1">
    <w:name w:val="Caption Char"/>
    <w:uiPriority w:val="99"/>
    <w:qFormat/>
  </w:style>
  <w:style w:type="table" w:styleId="809"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4" w:customStyle="1">
    <w:name w:val="Grid Table 6 Colorful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4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4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4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4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4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4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4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basedOn w:val="74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4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4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4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4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4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4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List Table 7 Colorful"/>
    <w:basedOn w:val="74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4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4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4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4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4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4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Footnote Text Char"/>
    <w:uiPriority w:val="99"/>
    <w:qFormat/>
    <w:rPr>
      <w:sz w:val="18"/>
    </w:rPr>
  </w:style>
  <w:style w:type="character" w:styleId="935" w:customStyle="1">
    <w:name w:val="尾注文本 Char"/>
    <w:link w:val="768"/>
    <w:uiPriority w:val="99"/>
    <w:qFormat/>
    <w:rPr>
      <w:sz w:val="20"/>
    </w:rPr>
  </w:style>
  <w:style w:type="paragraph" w:styleId="936" w:customStyle="1">
    <w:name w:val="TOC 标题1"/>
    <w:uiPriority w:val="39"/>
    <w:unhideWhenUsed/>
    <w:qFormat/>
    <w:rPr>
      <w:rFonts w:asciiTheme="minorHAnsi" w:hAnsiTheme="minorHAnsi" w:eastAsiaTheme="minorEastAsia" w:cstheme="minorBidi"/>
      <w:lang w:val="en-US" w:eastAsia="zh-CN" w:bidi="ar-SA"/>
    </w:rPr>
  </w:style>
  <w:style w:type="paragraph" w:styleId="93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38" w:customStyle="1">
    <w:name w:val="正文111"/>
    <w:next w:val="939"/>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正文文本缩进1"/>
    <w:basedOn w:val="940"/>
    <w:next w:val="943"/>
    <w:uiPriority w:val="0"/>
    <w:qFormat/>
    <w:pPr>
      <w:ind w:left="420"/>
      <w:spacing w:after="120"/>
    </w:pPr>
  </w:style>
  <w:style w:type="paragraph" w:styleId="940" w:customStyle="1">
    <w:name w:val="正文1"/>
    <w:basedOn w:val="938"/>
    <w:next w:val="941"/>
    <w:link w:val="956"/>
    <w:uiPriority w:val="0"/>
    <w:qFormat/>
    <w:rPr>
      <w:rFonts w:ascii="Times New Roman" w:hAnsi="Times New Roman" w:eastAsia="宋体" w:cs="Times New Roman"/>
      <w:lang w:val="en-US" w:eastAsia="zh-CN" w:bidi="ar-SA"/>
    </w:rPr>
  </w:style>
  <w:style w:type="paragraph" w:styleId="941" w:customStyle="1">
    <w:name w:val="脚注文本1"/>
    <w:basedOn w:val="940"/>
    <w:next w:val="942"/>
    <w:uiPriority w:val="0"/>
    <w:qFormat/>
    <w:rPr>
      <w:rFonts w:ascii="宋体" w:eastAsia="Times New Roman"/>
      <w:sz w:val="18"/>
      <w:szCs w:val="18"/>
    </w:rPr>
  </w:style>
  <w:style w:type="paragraph" w:styleId="942" w:customStyle="1">
    <w:name w:val="索引 51"/>
    <w:basedOn w:val="940"/>
    <w:next w:val="940"/>
    <w:uiPriority w:val="0"/>
    <w:qFormat/>
    <w:pPr>
      <w:ind w:left="798"/>
    </w:pPr>
    <w:rPr>
      <w:rFonts w:ascii="Calibri" w:hAnsi="Calibri"/>
    </w:rPr>
  </w:style>
  <w:style w:type="paragraph" w:styleId="943" w:customStyle="1">
    <w:name w:val="寄信人地址1"/>
    <w:basedOn w:val="938"/>
    <w:uiPriority w:val="0"/>
    <w:qFormat/>
    <w:pPr>
      <w:ind w:firstLine="200"/>
    </w:pPr>
    <w:rPr>
      <w:rFonts w:ascii="Arial" w:hAnsi="Arial" w:eastAsia="仿宋_GB2312"/>
    </w:rPr>
  </w:style>
  <w:style w:type="paragraph" w:styleId="944" w:customStyle="1">
    <w:name w:val="正文首行缩进1"/>
    <w:basedOn w:val="757"/>
    <w:next w:val="945"/>
    <w:uiPriority w:val="0"/>
    <w:qFormat/>
    <w:pPr>
      <w:ind w:firstLine="200"/>
      <w:spacing w:line="360" w:lineRule="auto"/>
    </w:pPr>
    <w:rPr>
      <w:rFonts w:ascii="仿宋_GB2312" w:eastAsia="仿宋_GB2312"/>
      <w:sz w:val="30"/>
      <w:szCs w:val="30"/>
    </w:rPr>
  </w:style>
  <w:style w:type="paragraph" w:styleId="945" w:customStyle="1">
    <w:name w:val="正文首行缩进 21"/>
    <w:basedOn w:val="939"/>
    <w:next w:val="938"/>
    <w:uiPriority w:val="0"/>
    <w:qFormat/>
    <w:pPr>
      <w:ind w:firstLine="420"/>
    </w:pPr>
    <w:rPr>
      <w:rFonts w:ascii="宋体" w:hAnsi="宋体"/>
      <w:sz w:val="20"/>
      <w:szCs w:val="20"/>
    </w:rPr>
  </w:style>
  <w:style w:type="paragraph" w:styleId="946" w:customStyle="1">
    <w:name w:val="文本块1"/>
    <w:basedOn w:val="938"/>
    <w:next w:val="947"/>
    <w:uiPriority w:val="0"/>
    <w:qFormat/>
    <w:pPr>
      <w:ind w:left="256" w:right="6" w:firstLine="624"/>
    </w:pPr>
    <w:rPr>
      <w:rFonts w:eastAsia="仿宋"/>
      <w:sz w:val="28"/>
      <w:szCs w:val="20"/>
    </w:rPr>
  </w:style>
  <w:style w:type="paragraph" w:styleId="947" w:customStyle="1">
    <w:name w:val="标题 411"/>
    <w:basedOn w:val="948"/>
    <w:next w:val="755"/>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正文12"/>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标题 21"/>
    <w:basedOn w:val="755"/>
    <w:next w:val="733"/>
    <w:uiPriority w:val="0"/>
    <w:qFormat/>
    <w:pPr>
      <w:jc w:val="center"/>
      <w:outlineLvl w:val="1"/>
    </w:pPr>
    <w:rPr>
      <w:b/>
      <w:bCs/>
      <w:sz w:val="21"/>
      <w:szCs w:val="21"/>
    </w:rPr>
  </w:style>
  <w:style w:type="paragraph" w:styleId="950" w:customStyle="1">
    <w:name w:val="正文文本1"/>
    <w:basedOn w:val="940"/>
    <w:next w:val="940"/>
    <w:uiPriority w:val="0"/>
    <w:qFormat/>
    <w:pPr>
      <w:spacing w:after="120"/>
    </w:pPr>
    <w:rPr>
      <w:lang w:eastAsia="en-US"/>
    </w:rPr>
  </w:style>
  <w:style w:type="paragraph" w:styleId="951" w:customStyle="1">
    <w:name w:val="索引 41"/>
    <w:basedOn w:val="940"/>
    <w:next w:val="940"/>
    <w:uiPriority w:val="0"/>
    <w:qFormat/>
    <w:pPr>
      <w:ind w:left="600"/>
    </w:pPr>
    <w:rPr>
      <w:rFonts w:ascii="Calibri" w:hAnsi="Calibri"/>
      <w:sz w:val="22"/>
      <w:szCs w:val="22"/>
    </w:rPr>
  </w:style>
  <w:style w:type="paragraph" w:styleId="952" w:customStyle="1">
    <w:name w:val="UserStyle_0"/>
    <w:basedOn w:val="938"/>
    <w:next w:val="938"/>
    <w:uiPriority w:val="0"/>
    <w:qFormat/>
  </w:style>
  <w:style w:type="paragraph" w:styleId="953" w:customStyle="1">
    <w:name w:val="正文缩进1"/>
    <w:basedOn w:val="938"/>
    <w:next w:val="938"/>
    <w:uiPriority w:val="0"/>
    <w:qFormat/>
    <w:pPr>
      <w:ind w:firstLine="420"/>
    </w:pPr>
    <w:rPr>
      <w:lang w:val="zh-CN"/>
    </w:rPr>
  </w:style>
  <w:style w:type="paragraph" w:styleId="954" w:customStyle="1">
    <w:name w:val="页眉1"/>
    <w:basedOn w:val="940"/>
    <w:uiPriority w:val="0"/>
    <w:qFormat/>
    <w:pPr>
      <w:jc w:val="center"/>
      <w:tabs>
        <w:tab w:val="center" w:pos="4153" w:leader="none"/>
        <w:tab w:val="right" w:pos="8306" w:leader="none"/>
      </w:tabs>
      <w:pBdr>
        <w:bottom w:val="single" w:color="000000" w:sz="6" w:space="1"/>
      </w:pBdr>
    </w:pPr>
    <w:rPr>
      <w:sz w:val="18"/>
      <w:szCs w:val="18"/>
    </w:rPr>
  </w:style>
  <w:style w:type="paragraph" w:styleId="955" w:customStyle="1">
    <w:name w:val="页脚1"/>
    <w:basedOn w:val="940"/>
    <w:uiPriority w:val="0"/>
    <w:qFormat/>
    <w:pPr>
      <w:tabs>
        <w:tab w:val="center" w:pos="4153" w:leader="none"/>
        <w:tab w:val="right" w:pos="8306" w:leader="none"/>
      </w:tabs>
    </w:pPr>
    <w:rPr>
      <w:sz w:val="18"/>
      <w:szCs w:val="18"/>
    </w:rPr>
  </w:style>
  <w:style w:type="character" w:styleId="956" w:customStyle="1">
    <w:name w:val="页码1"/>
    <w:basedOn w:val="957"/>
    <w:link w:val="940"/>
    <w:uiPriority w:val="0"/>
    <w:qFormat/>
    <w:rPr>
      <w:rFonts w:hint="default" w:ascii="Times New Roman" w:hAnsi="Times New Roman" w:eastAsia="宋体" w:cs="Times New Roman"/>
      <w:lang w:val="en-US" w:eastAsia="zh-CN" w:bidi="ar-SA"/>
    </w:rPr>
  </w:style>
  <w:style w:type="character" w:styleId="957" w:customStyle="1">
    <w:name w:val="默认段落字体1"/>
    <w:uiPriority w:val="0"/>
    <w:qFormat/>
  </w:style>
  <w:style w:type="paragraph" w:styleId="958" w:customStyle="1">
    <w:name w:val="正文121"/>
    <w:next w:val="959"/>
    <w:uiPriority w:val="0"/>
    <w:qFormat/>
    <w:pPr>
      <w:jc w:val="both"/>
      <w:widowControl w:val="off"/>
    </w:pPr>
    <w:rPr>
      <w:rFonts w:ascii="Calibri" w:hAnsi="Calibri" w:eastAsia="宋体" w:cs="Times New Roman"/>
      <w:sz w:val="21"/>
      <w:szCs w:val="24"/>
      <w:lang w:val="en-US" w:eastAsia="zh-CN" w:bidi="ar-SA"/>
    </w:rPr>
  </w:style>
  <w:style w:type="paragraph" w:styleId="959" w:customStyle="1">
    <w:name w:val="BlockQuote"/>
    <w:basedOn w:val="958"/>
    <w:uiPriority w:val="0"/>
    <w:qFormat/>
    <w:pPr>
      <w:ind w:left="256" w:right="6" w:firstLine="624"/>
    </w:pPr>
    <w:rPr>
      <w:rFonts w:eastAsia="仿宋_GB2312"/>
      <w:sz w:val="28"/>
    </w:rPr>
  </w:style>
  <w:style w:type="paragraph" w:styleId="960" w:customStyle="1">
    <w:name w:val="Table Paragraph"/>
    <w:basedOn w:val="733"/>
    <w:uiPriority w:val="1"/>
    <w:qFormat/>
    <w:rPr>
      <w:rFonts w:ascii="宋体" w:hAnsi="宋体" w:eastAsia="宋体" w:cs="宋体"/>
      <w:lang w:val="zh-CN" w:bidi="zh-CN"/>
    </w:rPr>
  </w:style>
  <w:style w:type="paragraph" w:styleId="961" w:customStyle="1">
    <w:name w:val="WPSOffice手动目录 1"/>
    <w:uiPriority w:val="0"/>
    <w:qFormat/>
    <w:rPr>
      <w:rFonts w:asciiTheme="minorHAnsi" w:hAnsiTheme="minorHAnsi" w:eastAsiaTheme="minorEastAsia" w:cstheme="minorBidi"/>
      <w:lang w:val="en-US" w:eastAsia="zh-CN" w:bidi="ar-SA"/>
    </w:rPr>
  </w:style>
  <w:style w:type="paragraph" w:styleId="962" w:customStyle="1">
    <w:name w:val="列出段落1"/>
    <w:basedOn w:val="733"/>
    <w:uiPriority w:val="0"/>
    <w:qFormat/>
    <w:pPr>
      <w:ind w:firstLine="420"/>
    </w:pPr>
    <w:rPr>
      <w:szCs w:val="20"/>
    </w:rPr>
  </w:style>
  <w:style w:type="character" w:styleId="963" w:customStyle="1">
    <w:name w:val="NormalCharacter1"/>
    <w:link w:val="755"/>
    <w:uiPriority w:val="0"/>
    <w:qFormat/>
    <w:rPr>
      <w:rFonts w:hint="default" w:ascii="Times New Roman" w:hAnsi="Times New Roman" w:eastAsia="宋体" w:cs="Times New Roman"/>
      <w:lang w:val="en-US" w:eastAsia="zh-CN" w:bidi="ar-SA"/>
    </w:rPr>
  </w:style>
  <w:style w:type="paragraph" w:styleId="964" w:customStyle="1">
    <w:name w:val="目录 11"/>
    <w:basedOn w:val="940"/>
    <w:next w:val="940"/>
    <w:uiPriority w:val="0"/>
    <w:qFormat/>
  </w:style>
  <w:style w:type="paragraph" w:styleId="965" w:customStyle="1">
    <w:name w:val="正文1111"/>
    <w:next w:val="946"/>
    <w:uiPriority w:val="0"/>
    <w:qFormat/>
    <w:pPr>
      <w:jc w:val="both"/>
      <w:widowControl w:val="off"/>
    </w:pPr>
    <w:rPr>
      <w:rFonts w:ascii="Times New Roman" w:hAnsi="Times New Roman" w:eastAsia="宋体" w:cs="Times New Roman"/>
      <w:sz w:val="21"/>
      <w:szCs w:val="24"/>
      <w:lang w:val="en-US" w:eastAsia="zh-CN" w:bidi="ar-SA"/>
    </w:rPr>
  </w:style>
  <w:style w:type="character" w:styleId="966" w:customStyle="1">
    <w:name w:val="批注框文本 Char"/>
    <w:basedOn w:val="743"/>
    <w:link w:val="769"/>
    <w:uiPriority w:val="99"/>
    <w:semiHidden/>
    <w:qFormat/>
    <w:rPr>
      <w:sz w:val="18"/>
      <w:szCs w:val="18"/>
    </w:rPr>
  </w:style>
  <w:style w:type="paragraph" w:styleId="967" w:customStyle="1">
    <w:name w:val="正文文本12"/>
    <w:basedOn w:val="733"/>
    <w:next w:val="733"/>
    <w:uiPriority w:val="99"/>
    <w:qFormat/>
    <w:pPr>
      <w:spacing w:after="120"/>
    </w:pPr>
    <w:rPr>
      <w:rFonts w:ascii="Calibri" w:hAnsi="Calibri" w:eastAsia="宋体"/>
    </w:rPr>
  </w:style>
  <w:style w:type="character" w:styleId="968" w:customStyle="1">
    <w:name w:val="标题 1 字符"/>
    <w:link w:val="734"/>
    <w:uiPriority w:val="0"/>
    <w:qFormat/>
    <w:rPr>
      <w:rFonts w:eastAsia="新宋体"/>
      <w:b/>
      <w:bCs/>
      <w:sz w:val="30"/>
      <w:szCs w:val="44"/>
    </w:rPr>
  </w:style>
  <w:style w:type="paragraph" w:styleId="969" w:customStyle="1">
    <w:name w:val="首行缩进"/>
    <w:basedOn w:val="733"/>
    <w:uiPriority w:val="0"/>
    <w:qFormat/>
    <w:pPr>
      <w:ind w:firstLine="480"/>
    </w:pPr>
    <w:rPr>
      <w:szCs w:val="20"/>
      <w:lang w:val="zh-CN"/>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中瑞事业一部</cp:lastModifiedBy>
  <cp:revision>5</cp:revision>
  <dcterms:created xsi:type="dcterms:W3CDTF">2014-10-29T12:08:00Z</dcterms:created>
  <dcterms:modified xsi:type="dcterms:W3CDTF">2024-07-17T07:25:44Z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BFA12552D854400096FFBCA3FAD9418B_13</vt:lpwstr>
  </property>
</Properties>
</file>