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bookmarkStart w:id="0" w:name="EB3ace3d43b98b41779337deb808be6fa3"/>
      <w:r>
        <w:rPr>
          <w:rFonts w:hint="eastAsia" w:ascii="仿宋" w:hAnsi="仿宋" w:eastAsia="仿宋" w:cs="仿宋"/>
          <w:color w:val="000080"/>
          <w:sz w:val="20"/>
          <w:szCs w:val="20"/>
          <w:highlight w:val="none"/>
          <w:shd w:val="clear" w:color="auto" w:fill="ffffff"/>
        </w:rPr>
        <w:t xml:space="preserve"> </w:t>
      </w:r>
      <w:bookmarkEnd w:id="0"/>
      <w:r/>
      <w:bookmarkStart w:id="1" w:name="EB57dd2a69e2b54b0cb3f5c2f03a1ab7bf"/>
      <w:r>
        <w:rPr>
          <w:rFonts w:hint="eastAsia" w:ascii="仿宋" w:hAnsi="仿宋" w:eastAsia="仿宋" w:cs="仿宋"/>
          <w:color w:val="000080"/>
          <w:sz w:val="20"/>
          <w:szCs w:val="20"/>
          <w:highlight w:val="none"/>
          <w:shd w:val="clear" w:color="auto" w:fill="ffffff"/>
        </w:rPr>
        <w:t xml:space="preserve"> </w:t>
      </w:r>
      <w:bookmarkEnd w:id="1"/>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120" w:beforeAutospacing="0" w:after="120" w:afterAutospacing="0" w:line="360" w:lineRule="auto"/>
        <w:rPr>
          <w:rFonts w:hint="eastAsia" w:ascii="仿宋" w:hAnsi="仿宋" w:eastAsia="仿宋" w:cs="仿宋"/>
          <w:highlight w:val="none"/>
        </w:rPr>
      </w:pPr>
      <w:r>
        <w:rPr>
          <w:rFonts w:hint="eastAsia" w:ascii="仿宋" w:hAnsi="仿宋" w:eastAsia="仿宋" w:cs="仿宋"/>
          <w:b/>
          <w:bCs/>
          <w:color w:val="000000"/>
          <w:sz w:val="84"/>
          <w:szCs w:val="84"/>
          <w:highlight w:val="none"/>
        </w:rPr>
        <w:t xml:space="preserve">招 标 文 件</w:t>
      </w:r>
      <w:r>
        <w:rPr>
          <w:rFonts w:hint="eastAsia" w:ascii="仿宋" w:hAnsi="仿宋" w:eastAsia="仿宋" w:cs="仿宋"/>
          <w:b/>
          <w:bCs/>
          <w:color w:val="000000"/>
          <w:sz w:val="32"/>
          <w:szCs w:val="32"/>
          <w:highlight w:val="none"/>
        </w:rPr>
        <w:t xml:space="preserve">    </w:t>
      </w:r>
      <w:r>
        <w:rPr>
          <w:rFonts w:hint="eastAsia" w:ascii="仿宋" w:hAnsi="仿宋" w:eastAsia="仿宋" w:cs="仿宋"/>
          <w:highlight w:val="none"/>
        </w:rPr>
      </w:r>
      <w:r/>
    </w:p>
    <w:p>
      <w:pPr>
        <w:pStyle w:val="830"/>
        <w:ind w:firstLine="643"/>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项目名称：泗洪县城市生命线安全建设工程（一期）软件平台采购项目</w:t>
      </w:r>
      <w:r>
        <w:rPr>
          <w:rFonts w:hint="eastAsia" w:ascii="仿宋" w:hAnsi="仿宋" w:eastAsia="仿宋" w:cs="仿宋"/>
          <w:highlight w:val="none"/>
        </w:rPr>
      </w:r>
      <w:r/>
    </w:p>
    <w:p>
      <w:pPr>
        <w:pStyle w:val="830"/>
        <w:ind w:firstLine="643"/>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项目编号：JSZC-321324-JZCG-G2024-0035   </w:t>
      </w:r>
      <w:r>
        <w:rPr>
          <w:rFonts w:hint="eastAsia" w:ascii="仿宋" w:hAnsi="仿宋" w:eastAsia="仿宋" w:cs="仿宋"/>
          <w:highlight w:val="none"/>
        </w:rPr>
      </w:r>
      <w:r/>
    </w:p>
    <w:p>
      <w:pPr>
        <w:pStyle w:val="830"/>
        <w:ind w:firstLine="602"/>
        <w:jc w:val="both"/>
        <w:spacing w:before="0" w:beforeAutospacing="0" w:after="0" w:afterAutospacing="0" w:line="600" w:lineRule="auto"/>
        <w:rPr>
          <w:rFonts w:hint="eastAsia" w:ascii="仿宋" w:hAnsi="仿宋" w:eastAsia="仿宋" w:cs="仿宋"/>
          <w:highlight w:val="none"/>
        </w:rPr>
      </w:pPr>
      <w:r>
        <w:rPr>
          <w:rFonts w:hint="eastAsia" w:ascii="仿宋" w:hAnsi="仿宋" w:eastAsia="仿宋" w:cs="仿宋"/>
          <w:b/>
          <w:bCs/>
          <w:color w:val="000000"/>
          <w:sz w:val="30"/>
          <w:szCs w:val="30"/>
          <w:highlight w:val="none"/>
        </w:rPr>
        <w:t xml:space="preserve"> </w:t>
      </w:r>
      <w:r>
        <w:rPr>
          <w:rFonts w:hint="eastAsia" w:ascii="仿宋" w:hAnsi="仿宋" w:eastAsia="仿宋" w:cs="仿宋"/>
          <w:color w:val="000000"/>
          <w:sz w:val="21"/>
          <w:szCs w:val="21"/>
          <w:highlight w:val="none"/>
        </w:rPr>
        <w:t xml:space="preserve">  </w:t>
      </w:r>
      <w:r>
        <w:rPr>
          <w:rFonts w:hint="eastAsia" w:ascii="仿宋" w:hAnsi="仿宋" w:eastAsia="仿宋" w:cs="仿宋"/>
          <w:b/>
          <w:bCs/>
          <w:color w:val="000000"/>
          <w:sz w:val="30"/>
          <w:szCs w:val="30"/>
          <w:highlight w:val="none"/>
        </w:rPr>
        <w:t xml:space="preserve">（服务类项目，</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b/>
          <w:bCs/>
          <w:color w:val="000000"/>
          <w:sz w:val="30"/>
          <w:szCs w:val="30"/>
          <w:highlight w:val="none"/>
          <w:u w:val="single"/>
        </w:rPr>
        <w:t xml:space="preserve">本项目非</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b/>
          <w:bCs/>
          <w:color w:val="000000"/>
          <w:sz w:val="30"/>
          <w:szCs w:val="30"/>
          <w:highlight w:val="none"/>
        </w:rPr>
        <w:t xml:space="preserve">专门面向中小企业）</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120" w:beforeAutospacing="0" w:after="120" w:afterAutospacing="0" w:line="360" w:lineRule="auto"/>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采  购  人 ：</w:t>
      </w:r>
      <w:r>
        <w:rPr>
          <w:rFonts w:hint="eastAsia" w:ascii="仿宋" w:hAnsi="仿宋" w:eastAsia="仿宋" w:cs="仿宋"/>
          <w:b/>
          <w:bCs/>
          <w:color w:val="000000"/>
          <w:sz w:val="32"/>
          <w:szCs w:val="32"/>
          <w:highlight w:val="none"/>
          <w:u w:val="single"/>
        </w:rPr>
        <w:t xml:space="preserve">  泗洪县住房和城乡建设局</w:t>
      </w:r>
      <w:r>
        <w:rPr>
          <w:rFonts w:hint="eastAsia" w:ascii="仿宋" w:hAnsi="仿宋" w:eastAsia="仿宋" w:cs="仿宋"/>
          <w:highlight w:val="none"/>
        </w:rPr>
      </w:r>
      <w:r/>
    </w:p>
    <w:p>
      <w:pPr>
        <w:pStyle w:val="830"/>
        <w:jc w:val="center"/>
        <w:spacing w:before="120" w:beforeAutospacing="0" w:after="120" w:afterAutospacing="0" w:line="360" w:lineRule="auto"/>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采购代理机构：</w:t>
      </w:r>
      <w:r>
        <w:rPr>
          <w:rFonts w:hint="eastAsia" w:ascii="仿宋" w:hAnsi="仿宋" w:eastAsia="仿宋" w:cs="仿宋"/>
          <w:b/>
          <w:bCs/>
          <w:color w:val="000000"/>
          <w:sz w:val="32"/>
          <w:szCs w:val="32"/>
          <w:highlight w:val="none"/>
          <w:u w:val="single"/>
        </w:rPr>
        <w:t xml:space="preserve"> 泗洪县公共资源交易中心</w:t>
      </w:r>
      <w:r>
        <w:rPr>
          <w:rFonts w:hint="eastAsia" w:ascii="仿宋" w:hAnsi="仿宋" w:eastAsia="仿宋" w:cs="仿宋"/>
          <w:highlight w:val="none"/>
        </w:rPr>
      </w:r>
      <w:r/>
    </w:p>
    <w:p>
      <w:pPr>
        <w:pStyle w:val="830"/>
        <w:ind w:firstLine="2570"/>
        <w:jc w:val="both"/>
        <w:spacing w:before="120" w:beforeAutospacing="0" w:after="120" w:afterAutospacing="0"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30"/>
        <w:ind w:firstLine="2570"/>
        <w:jc w:val="both"/>
        <w:spacing w:before="120" w:beforeAutospacing="0" w:after="120" w:afterAutospacing="0" w:line="360" w:lineRule="auto"/>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2024 年</w:t>
      </w:r>
      <w:r>
        <w:rPr>
          <w:rFonts w:hint="eastAsia" w:ascii="仿宋" w:hAnsi="仿宋" w:eastAsia="仿宋" w:cs="仿宋"/>
          <w:b/>
          <w:bCs/>
          <w:color w:val="000000"/>
          <w:sz w:val="32"/>
          <w:szCs w:val="32"/>
          <w:highlight w:val="none"/>
          <w:lang w:val="en-US" w:eastAsia="zh-CN"/>
        </w:rPr>
        <w:t xml:space="preserve">1</w:t>
      </w:r>
      <w:r>
        <w:rPr>
          <w:rFonts w:hint="eastAsia" w:ascii="仿宋" w:hAnsi="仿宋" w:eastAsia="仿宋" w:cs="仿宋"/>
          <w:b/>
          <w:bCs/>
          <w:color w:val="000000"/>
          <w:sz w:val="32"/>
          <w:szCs w:val="32"/>
          <w:highlight w:val="none"/>
          <w:lang w:val="en-US" w:eastAsia="zh-CN"/>
        </w:rPr>
        <w:t xml:space="preserve">1</w:t>
      </w:r>
      <w:r>
        <w:rPr>
          <w:rFonts w:hint="eastAsia" w:ascii="仿宋" w:hAnsi="仿宋" w:eastAsia="仿宋" w:cs="仿宋"/>
          <w:b/>
          <w:bCs/>
          <w:color w:val="000000"/>
          <w:sz w:val="32"/>
          <w:szCs w:val="32"/>
          <w:highlight w:val="none"/>
        </w:rPr>
        <w:t xml:space="preserve">月</w:t>
      </w:r>
      <w:r>
        <w:rPr>
          <w:rFonts w:hint="eastAsia" w:ascii="仿宋" w:hAnsi="仿宋" w:eastAsia="仿宋" w:cs="仿宋"/>
          <w:b/>
          <w:bCs/>
          <w:color w:val="000000"/>
          <w:sz w:val="32"/>
          <w:szCs w:val="32"/>
          <w:highlight w:val="none"/>
          <w:lang w:val="en-US" w:eastAsia="zh-CN"/>
        </w:rPr>
        <w:t xml:space="preserve">1</w:t>
      </w:r>
      <w:r>
        <w:rPr>
          <w:rFonts w:hint="eastAsia" w:ascii="仿宋" w:hAnsi="仿宋" w:eastAsia="仿宋" w:cs="仿宋"/>
          <w:b/>
          <w:bCs/>
          <w:color w:val="000000"/>
          <w:sz w:val="32"/>
          <w:szCs w:val="32"/>
          <w:highlight w:val="none"/>
          <w:lang w:val="en-US" w:eastAsia="zh-CN"/>
        </w:rPr>
        <w:t xml:space="preserve">9</w:t>
      </w:r>
      <w:r>
        <w:rPr>
          <w:rFonts w:hint="eastAsia" w:ascii="仿宋" w:hAnsi="仿宋" w:eastAsia="仿宋" w:cs="仿宋"/>
          <w:b/>
          <w:bCs/>
          <w:color w:val="000000"/>
          <w:sz w:val="32"/>
          <w:szCs w:val="32"/>
          <w:highlight w:val="none"/>
        </w:rPr>
        <w:t xml:space="preserve">日</w:t>
      </w:r>
      <w:r>
        <w:rPr>
          <w:rFonts w:hint="eastAsia" w:ascii="仿宋" w:hAnsi="仿宋" w:eastAsia="仿宋" w:cs="仿宋"/>
          <w:highlight w:val="none"/>
        </w:rPr>
      </w:r>
      <w:r/>
    </w:p>
    <w:p>
      <w:pPr>
        <w:pStyle w:val="830"/>
        <w:jc w:val="center"/>
        <w:keepLines/>
        <w:keepNext/>
        <w:pageBreakBefore/>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2"/>
          <w:szCs w:val="32"/>
          <w:highlight w:val="none"/>
          <w:shd w:val="clear" w:color="auto" w:fill="ffffff"/>
        </w:rPr>
        <w:t xml:space="preserve">目 录</w:t>
      </w:r>
      <w:r>
        <w:rPr>
          <w:rFonts w:hint="eastAsia" w:ascii="仿宋" w:hAnsi="仿宋" w:eastAsia="仿宋" w:cs="仿宋"/>
          <w:highlight w:val="none"/>
        </w:rPr>
      </w:r>
      <w:r/>
    </w:p>
    <w:p>
      <w:pPr>
        <w:pStyle w:val="830"/>
        <w:spacing w:before="120" w:beforeAutospacing="0" w:after="120" w:afterAutospacing="0"/>
        <w:tabs>
          <w:tab w:val="left" w:pos="8851" w:leader="none"/>
        </w:tabs>
        <w:rPr>
          <w:rFonts w:hint="eastAsia" w:ascii="仿宋" w:hAnsi="仿宋" w:eastAsia="仿宋" w:cs="仿宋"/>
          <w:highlight w:val="none"/>
        </w:rPr>
      </w:pPr>
      <w:r/>
      <w:bookmarkStart w:id="2" w:name="_Toc81575152"/>
      <w:r/>
      <w:bookmarkStart w:id="3" w:name="_Toc176774443"/>
      <w:r/>
      <w:bookmarkStart w:id="4" w:name="_Toc81575189"/>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 \l "_Toc32137" </w:instrText>
      </w:r>
      <w:r>
        <w:rPr>
          <w:rFonts w:hint="eastAsia" w:ascii="仿宋" w:hAnsi="仿宋" w:eastAsia="仿宋" w:cs="仿宋"/>
          <w:highlight w:val="none"/>
        </w:rPr>
        <w:fldChar w:fldCharType="separate"/>
      </w:r>
      <w:r>
        <w:rPr>
          <w:rStyle w:val="832"/>
          <w:rFonts w:hint="eastAsia" w:ascii="仿宋" w:hAnsi="仿宋" w:eastAsia="仿宋" w:cs="仿宋"/>
          <w:b/>
          <w:bCs/>
          <w:color w:val="000000"/>
          <w:sz w:val="20"/>
          <w:szCs w:val="20"/>
          <w:highlight w:val="none"/>
          <w:shd w:val="clear" w:color="auto" w:fill="ffffff"/>
        </w:rPr>
        <w:t xml:space="preserve">第一部分  投标邀请函                                                          </w:t>
      </w:r>
      <w:r>
        <w:rPr>
          <w:rStyle w:val="832"/>
          <w:rFonts w:hint="eastAsia" w:ascii="仿宋" w:hAnsi="仿宋" w:eastAsia="仿宋" w:cs="仿宋"/>
          <w:b/>
          <w:bCs/>
          <w:color w:val="000000"/>
          <w:sz w:val="20"/>
          <w:szCs w:val="20"/>
          <w:highlight w:val="none"/>
        </w:rPr>
        <w:t xml:space="preserve">3</w:t>
      </w:r>
      <w:r>
        <w:rPr>
          <w:rFonts w:hint="eastAsia" w:ascii="仿宋" w:hAnsi="仿宋" w:eastAsia="仿宋" w:cs="仿宋"/>
          <w:highlight w:val="none"/>
        </w:rPr>
        <w:fldChar w:fldCharType="end"/>
      </w:r>
      <w:r>
        <w:rPr>
          <w:rFonts w:hint="eastAsia" w:ascii="仿宋" w:hAnsi="仿宋" w:eastAsia="仿宋" w:cs="仿宋"/>
          <w:highlight w:val="none"/>
        </w:rPr>
      </w:r>
      <w:r/>
    </w:p>
    <w:p>
      <w:pPr>
        <w:pStyle w:val="830"/>
        <w:spacing w:before="120" w:beforeAutospacing="0" w:after="120" w:afterAutospacing="0"/>
        <w:tabs>
          <w:tab w:val="left" w:pos="8851" w:leader="none"/>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 \l "_Toc11566" </w:instrText>
      </w:r>
      <w:r>
        <w:rPr>
          <w:rFonts w:hint="eastAsia" w:ascii="仿宋" w:hAnsi="仿宋" w:eastAsia="仿宋" w:cs="仿宋"/>
          <w:highlight w:val="none"/>
        </w:rPr>
        <w:fldChar w:fldCharType="separate"/>
      </w:r>
      <w:r>
        <w:rPr>
          <w:rStyle w:val="832"/>
          <w:rFonts w:hint="eastAsia" w:ascii="仿宋" w:hAnsi="仿宋" w:eastAsia="仿宋" w:cs="仿宋"/>
          <w:b/>
          <w:bCs/>
          <w:color w:val="000000"/>
          <w:sz w:val="20"/>
          <w:szCs w:val="20"/>
          <w:highlight w:val="none"/>
          <w:shd w:val="clear" w:color="auto" w:fill="ffffff"/>
        </w:rPr>
        <w:t xml:space="preserve">第二部分  投标人须知                                                          </w:t>
      </w:r>
      <w:r>
        <w:rPr>
          <w:rStyle w:val="832"/>
          <w:rFonts w:hint="eastAsia" w:ascii="仿宋" w:hAnsi="仿宋" w:eastAsia="仿宋" w:cs="仿宋"/>
          <w:b/>
          <w:bCs/>
          <w:color w:val="000000"/>
          <w:sz w:val="20"/>
          <w:szCs w:val="20"/>
          <w:highlight w:val="none"/>
        </w:rPr>
        <w:t xml:space="preserve">7</w:t>
      </w:r>
      <w:r>
        <w:rPr>
          <w:rFonts w:hint="eastAsia" w:ascii="仿宋" w:hAnsi="仿宋" w:eastAsia="仿宋" w:cs="仿宋"/>
          <w:highlight w:val="none"/>
        </w:rPr>
        <w:fldChar w:fldCharType="end"/>
      </w:r>
      <w:r>
        <w:rPr>
          <w:rFonts w:hint="eastAsia" w:ascii="仿宋" w:hAnsi="仿宋" w:eastAsia="仿宋" w:cs="仿宋"/>
          <w:highlight w:val="none"/>
        </w:rPr>
      </w:r>
      <w:r/>
    </w:p>
    <w:p>
      <w:pPr>
        <w:pStyle w:val="830"/>
        <w:spacing w:before="120" w:beforeAutospacing="0" w:after="120" w:afterAutospacing="0"/>
        <w:tabs>
          <w:tab w:val="left" w:pos="8851" w:leader="none"/>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 \l "_Toc28162" </w:instrText>
      </w:r>
      <w:r>
        <w:rPr>
          <w:rFonts w:hint="eastAsia" w:ascii="仿宋" w:hAnsi="仿宋" w:eastAsia="仿宋" w:cs="仿宋"/>
          <w:highlight w:val="none"/>
        </w:rPr>
        <w:fldChar w:fldCharType="separate"/>
      </w:r>
      <w:r>
        <w:rPr>
          <w:rStyle w:val="832"/>
          <w:rFonts w:hint="eastAsia" w:ascii="仿宋" w:hAnsi="仿宋" w:eastAsia="仿宋" w:cs="仿宋"/>
          <w:b/>
          <w:bCs/>
          <w:color w:val="000000"/>
          <w:sz w:val="20"/>
          <w:szCs w:val="20"/>
          <w:highlight w:val="none"/>
          <w:shd w:val="clear" w:color="auto" w:fill="ffffff"/>
        </w:rPr>
        <w:t xml:space="preserve">第三部分  资格审查及评标办法                                                  </w:t>
      </w:r>
      <w:r>
        <w:rPr>
          <w:rStyle w:val="832"/>
          <w:rFonts w:hint="eastAsia" w:ascii="仿宋" w:hAnsi="仿宋" w:eastAsia="仿宋" w:cs="仿宋"/>
          <w:b/>
          <w:bCs/>
          <w:color w:val="000000"/>
          <w:sz w:val="20"/>
          <w:szCs w:val="20"/>
          <w:highlight w:val="none"/>
        </w:rPr>
        <w:t xml:space="preserve">2</w:t>
      </w:r>
      <w:r>
        <w:rPr>
          <w:rFonts w:hint="eastAsia" w:ascii="仿宋" w:hAnsi="仿宋" w:eastAsia="仿宋" w:cs="仿宋"/>
          <w:highlight w:val="none"/>
        </w:rPr>
        <w:fldChar w:fldCharType="end"/>
      </w:r>
      <w:r>
        <w:rPr>
          <w:rFonts w:hint="eastAsia" w:ascii="仿宋" w:hAnsi="仿宋" w:eastAsia="仿宋" w:cs="仿宋"/>
          <w:b/>
          <w:bCs/>
          <w:color w:val="000000"/>
          <w:sz w:val="20"/>
          <w:szCs w:val="20"/>
          <w:highlight w:val="none"/>
        </w:rPr>
        <w:t xml:space="preserve">5</w:t>
      </w:r>
      <w:r>
        <w:rPr>
          <w:rFonts w:hint="eastAsia" w:ascii="仿宋" w:hAnsi="仿宋" w:eastAsia="仿宋" w:cs="仿宋"/>
          <w:highlight w:val="none"/>
        </w:rPr>
      </w:r>
      <w:r/>
    </w:p>
    <w:p>
      <w:pPr>
        <w:pStyle w:val="830"/>
        <w:spacing w:before="120" w:beforeAutospacing="0" w:after="120" w:afterAutospacing="0"/>
        <w:tabs>
          <w:tab w:val="left" w:pos="8851" w:leader="none"/>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 \l "_Toc7839" </w:instrText>
      </w:r>
      <w:r>
        <w:rPr>
          <w:rFonts w:hint="eastAsia" w:ascii="仿宋" w:hAnsi="仿宋" w:eastAsia="仿宋" w:cs="仿宋"/>
          <w:highlight w:val="none"/>
        </w:rPr>
        <w:fldChar w:fldCharType="separate"/>
      </w:r>
      <w:r>
        <w:rPr>
          <w:rStyle w:val="832"/>
          <w:rFonts w:hint="eastAsia" w:ascii="仿宋" w:hAnsi="仿宋" w:eastAsia="仿宋" w:cs="仿宋"/>
          <w:b/>
          <w:bCs/>
          <w:color w:val="000000"/>
          <w:sz w:val="20"/>
          <w:szCs w:val="20"/>
          <w:highlight w:val="none"/>
          <w:shd w:val="clear" w:color="auto" w:fill="ffffff"/>
        </w:rPr>
        <w:t xml:space="preserve">第四部分  采购需求                                                            </w:t>
      </w:r>
      <w:r>
        <w:rPr>
          <w:rStyle w:val="832"/>
          <w:rFonts w:hint="eastAsia" w:ascii="仿宋" w:hAnsi="仿宋" w:eastAsia="仿宋" w:cs="仿宋"/>
          <w:b/>
          <w:bCs/>
          <w:color w:val="000000"/>
          <w:sz w:val="20"/>
          <w:szCs w:val="20"/>
          <w:highlight w:val="none"/>
        </w:rPr>
        <w:t xml:space="preserve">2</w:t>
      </w:r>
      <w:r>
        <w:rPr>
          <w:rFonts w:hint="eastAsia" w:ascii="仿宋" w:hAnsi="仿宋" w:eastAsia="仿宋" w:cs="仿宋"/>
          <w:highlight w:val="none"/>
        </w:rPr>
        <w:fldChar w:fldCharType="end"/>
      </w:r>
      <w:r>
        <w:rPr>
          <w:rFonts w:hint="eastAsia" w:ascii="仿宋" w:hAnsi="仿宋" w:eastAsia="仿宋" w:cs="仿宋"/>
          <w:b/>
          <w:bCs/>
          <w:color w:val="000000"/>
          <w:sz w:val="20"/>
          <w:szCs w:val="20"/>
          <w:highlight w:val="none"/>
        </w:rPr>
        <w:t xml:space="preserve">9</w:t>
      </w:r>
      <w:r>
        <w:rPr>
          <w:rFonts w:hint="eastAsia" w:ascii="仿宋" w:hAnsi="仿宋" w:eastAsia="仿宋" w:cs="仿宋"/>
          <w:highlight w:val="none"/>
        </w:rPr>
      </w:r>
      <w:r/>
    </w:p>
    <w:p>
      <w:pPr>
        <w:pStyle w:val="830"/>
        <w:spacing w:before="120" w:beforeAutospacing="0" w:after="120" w:afterAutospacing="0"/>
        <w:tabs>
          <w:tab w:val="left" w:pos="8851" w:leader="none"/>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 \l "_Toc11053" </w:instrText>
      </w:r>
      <w:r>
        <w:rPr>
          <w:rFonts w:hint="eastAsia" w:ascii="仿宋" w:hAnsi="仿宋" w:eastAsia="仿宋" w:cs="仿宋"/>
          <w:highlight w:val="none"/>
        </w:rPr>
        <w:fldChar w:fldCharType="separate"/>
      </w:r>
      <w:r>
        <w:rPr>
          <w:rStyle w:val="832"/>
          <w:rFonts w:hint="eastAsia" w:ascii="仿宋" w:hAnsi="仿宋" w:eastAsia="仿宋" w:cs="仿宋"/>
          <w:b/>
          <w:bCs/>
          <w:color w:val="000000"/>
          <w:sz w:val="20"/>
          <w:szCs w:val="20"/>
          <w:highlight w:val="none"/>
          <w:shd w:val="clear" w:color="auto" w:fill="ffffff"/>
        </w:rPr>
        <w:t xml:space="preserve">第五部分  合同格式及条款                                                      </w:t>
      </w:r>
      <w:r>
        <w:rPr>
          <w:rStyle w:val="832"/>
          <w:rFonts w:hint="eastAsia" w:ascii="仿宋" w:hAnsi="仿宋" w:eastAsia="仿宋" w:cs="仿宋"/>
          <w:b/>
          <w:bCs/>
          <w:color w:val="000000"/>
          <w:sz w:val="20"/>
          <w:szCs w:val="20"/>
          <w:highlight w:val="none"/>
        </w:rPr>
        <w:t xml:space="preserve">4</w:t>
      </w:r>
      <w:r>
        <w:rPr>
          <w:rFonts w:hint="eastAsia" w:ascii="仿宋" w:hAnsi="仿宋" w:eastAsia="仿宋" w:cs="仿宋"/>
          <w:highlight w:val="none"/>
        </w:rPr>
        <w:fldChar w:fldCharType="end"/>
      </w:r>
      <w:r>
        <w:rPr>
          <w:rFonts w:hint="eastAsia" w:ascii="仿宋" w:hAnsi="仿宋" w:eastAsia="仿宋" w:cs="仿宋"/>
          <w:b/>
          <w:bCs/>
          <w:color w:val="000000"/>
          <w:sz w:val="20"/>
          <w:szCs w:val="20"/>
          <w:highlight w:val="none"/>
        </w:rPr>
        <w:t xml:space="preserve">2</w:t>
      </w:r>
      <w:r>
        <w:rPr>
          <w:rFonts w:hint="eastAsia" w:ascii="仿宋" w:hAnsi="仿宋" w:eastAsia="仿宋" w:cs="仿宋"/>
          <w:highlight w:val="none"/>
        </w:rPr>
      </w:r>
      <w:r/>
    </w:p>
    <w:p>
      <w:pPr>
        <w:pStyle w:val="830"/>
        <w:spacing w:before="120" w:beforeAutospacing="0" w:after="120" w:afterAutospacing="0"/>
        <w:tabs>
          <w:tab w:val="left" w:pos="8851" w:leader="none"/>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 \l "_Toc19649" </w:instrText>
      </w:r>
      <w:r>
        <w:rPr>
          <w:rFonts w:hint="eastAsia" w:ascii="仿宋" w:hAnsi="仿宋" w:eastAsia="仿宋" w:cs="仿宋"/>
          <w:highlight w:val="none"/>
        </w:rPr>
        <w:fldChar w:fldCharType="separate"/>
      </w:r>
      <w:r>
        <w:rPr>
          <w:rStyle w:val="832"/>
          <w:rFonts w:hint="eastAsia" w:ascii="仿宋" w:hAnsi="仿宋" w:eastAsia="仿宋" w:cs="仿宋"/>
          <w:b/>
          <w:bCs/>
          <w:color w:val="000000"/>
          <w:sz w:val="20"/>
          <w:szCs w:val="20"/>
          <w:highlight w:val="none"/>
          <w:shd w:val="clear" w:color="auto" w:fill="ffffff"/>
        </w:rPr>
        <w:t xml:space="preserve">第六部分  投标文件格式                                                        </w:t>
      </w:r>
      <w:r>
        <w:rPr>
          <w:rStyle w:val="832"/>
          <w:rFonts w:hint="eastAsia" w:ascii="仿宋" w:hAnsi="仿宋" w:eastAsia="仿宋" w:cs="仿宋"/>
          <w:b/>
          <w:bCs/>
          <w:color w:val="000000"/>
          <w:sz w:val="20"/>
          <w:szCs w:val="20"/>
          <w:highlight w:val="none"/>
        </w:rPr>
        <w:t xml:space="preserve">5</w:t>
      </w:r>
      <w:r>
        <w:rPr>
          <w:rFonts w:hint="eastAsia" w:ascii="仿宋" w:hAnsi="仿宋" w:eastAsia="仿宋" w:cs="仿宋"/>
          <w:highlight w:val="none"/>
        </w:rPr>
        <w:fldChar w:fldCharType="end"/>
      </w:r>
      <w:r>
        <w:rPr>
          <w:rFonts w:hint="eastAsia" w:ascii="仿宋" w:hAnsi="仿宋" w:eastAsia="仿宋" w:cs="仿宋"/>
          <w:b/>
          <w:bCs/>
          <w:color w:val="000000"/>
          <w:sz w:val="20"/>
          <w:szCs w:val="20"/>
          <w:highlight w:val="none"/>
        </w:rPr>
        <w:t xml:space="preserve">9</w:t>
      </w:r>
      <w:r>
        <w:rPr>
          <w:rFonts w:hint="eastAsia" w:ascii="仿宋" w:hAnsi="仿宋" w:eastAsia="仿宋" w:cs="仿宋"/>
          <w:highlight w:val="none"/>
        </w:rPr>
      </w:r>
      <w:r/>
    </w:p>
    <w:p>
      <w:pPr>
        <w:pStyle w:val="830"/>
        <w:jc w:val="center"/>
        <w:keepLines/>
        <w:keepNext/>
        <w:pageBreakBefore/>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44"/>
          <w:szCs w:val="44"/>
          <w:highlight w:val="none"/>
          <w:shd w:val="clear" w:color="auto" w:fill="ffffff"/>
        </w:rPr>
        <w:t xml:space="preserve">第一部分  投标邀请函</w:t>
      </w:r>
      <w:bookmarkEnd w:id="2"/>
      <w:r/>
      <w:bookmarkEnd w:id="3"/>
      <w:r/>
      <w:bookmarkEnd w:id="4"/>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受</w:t>
      </w:r>
      <w:r>
        <w:rPr>
          <w:rFonts w:hint="eastAsia" w:ascii="仿宋" w:hAnsi="仿宋" w:eastAsia="仿宋" w:cs="仿宋"/>
          <w:b/>
          <w:bCs/>
          <w:color w:val="000000"/>
          <w:highlight w:val="none"/>
          <w:u w:val="single"/>
        </w:rPr>
        <w:t xml:space="preserve">泗洪县住房和城乡建设局</w:t>
      </w:r>
      <w:r>
        <w:rPr>
          <w:rFonts w:hint="eastAsia" w:ascii="仿宋" w:hAnsi="仿宋" w:eastAsia="仿宋" w:cs="仿宋"/>
          <w:color w:val="000000"/>
          <w:highlight w:val="none"/>
        </w:rPr>
        <w:t xml:space="preserve">的委托，</w:t>
      </w:r>
      <w:r>
        <w:rPr>
          <w:rFonts w:hint="eastAsia" w:ascii="仿宋" w:hAnsi="仿宋" w:eastAsia="仿宋" w:cs="仿宋"/>
          <w:b/>
          <w:bCs/>
          <w:color w:val="000000"/>
          <w:highlight w:val="none"/>
          <w:u w:val="single"/>
        </w:rPr>
        <w:t xml:space="preserve">泗洪县公共资源交易中心</w:t>
      </w:r>
      <w:r>
        <w:rPr>
          <w:rFonts w:hint="eastAsia" w:ascii="仿宋" w:hAnsi="仿宋" w:eastAsia="仿宋" w:cs="仿宋"/>
          <w:color w:val="000000"/>
          <w:highlight w:val="none"/>
        </w:rPr>
        <w:t xml:space="preserve">就</w:t>
      </w:r>
      <w:r>
        <w:rPr>
          <w:rFonts w:hint="eastAsia" w:ascii="仿宋" w:hAnsi="仿宋" w:eastAsia="仿宋" w:cs="仿宋"/>
          <w:b/>
          <w:bCs/>
          <w:color w:val="000000"/>
          <w:highlight w:val="none"/>
          <w:u w:val="single"/>
        </w:rPr>
        <w:t xml:space="preserve">泗洪县城市生命线安全建设工程（一期）软件平台采购项目（编号</w:t>
      </w:r>
      <w:r>
        <w:rPr>
          <w:rFonts w:hint="eastAsia" w:ascii="仿宋" w:hAnsi="仿宋" w:eastAsia="仿宋" w:cs="仿宋"/>
          <w:b/>
          <w:bCs/>
          <w:color w:val="000000"/>
          <w:highlight w:val="none"/>
          <w:u w:val="single"/>
          <w:lang w:eastAsia="zh-CN"/>
        </w:rPr>
        <w:t xml:space="preserve">JSZC-321324-JZCG-G2024-0035</w:t>
      </w:r>
      <w:r>
        <w:rPr>
          <w:rFonts w:hint="eastAsia" w:ascii="仿宋" w:hAnsi="仿宋" w:eastAsia="仿宋" w:cs="仿宋"/>
          <w:b/>
          <w:bCs/>
          <w:color w:val="000000"/>
          <w:highlight w:val="none"/>
          <w:u w:val="single"/>
        </w:rPr>
        <w:t xml:space="preserve">）</w:t>
      </w:r>
      <w:r>
        <w:rPr>
          <w:rFonts w:hint="eastAsia" w:ascii="仿宋" w:hAnsi="仿宋" w:eastAsia="仿宋" w:cs="仿宋"/>
          <w:color w:val="000000"/>
          <w:highlight w:val="none"/>
        </w:rPr>
        <w:t xml:space="preserve">公开招标采购，欢迎符合条件的投标人投标。</w:t>
      </w:r>
      <w:r>
        <w:rPr>
          <w:rFonts w:hint="eastAsia" w:ascii="仿宋" w:hAnsi="仿宋" w:eastAsia="仿宋" w:cs="仿宋"/>
          <w:highlight w:val="none"/>
        </w:rPr>
      </w:r>
      <w:r/>
    </w:p>
    <w:p>
      <w:pPr>
        <w:pStyle w:val="830"/>
        <w:ind w:firstLine="480"/>
        <w:jc w:val="both"/>
        <w:spacing w:before="0" w:beforeAutospacing="0" w:after="0" w:afterAutospacing="0"/>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highlight w:val="none"/>
        </w:rPr>
        <w:t xml:space="preserve">项目概况</w:t>
      </w:r>
      <w:r>
        <w:rPr>
          <w:rFonts w:hint="eastAsia" w:ascii="仿宋" w:hAnsi="仿宋" w:eastAsia="仿宋" w:cs="仿宋"/>
          <w:highlight w:val="none"/>
        </w:rPr>
      </w:r>
      <w:r/>
    </w:p>
    <w:p>
      <w:pPr>
        <w:pStyle w:val="830"/>
        <w:ind w:firstLine="482"/>
        <w:jc w:val="both"/>
        <w:spacing w:before="0" w:beforeAutospacing="0" w:after="0" w:afterAutospacing="0"/>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highlight w:val="none"/>
          <w:u w:val="single"/>
        </w:rPr>
        <w:t xml:space="preserve">泗洪县城市生命线安全建设工程（一期）软件平台采购项目</w:t>
      </w:r>
      <w:r>
        <w:rPr>
          <w:rFonts w:hint="eastAsia" w:ascii="仿宋" w:hAnsi="仿宋" w:eastAsia="仿宋" w:cs="仿宋"/>
          <w:color w:val="000000"/>
          <w:highlight w:val="none"/>
        </w:rPr>
        <w:t xml:space="preserve">招标项目的潜在投标人可在</w:t>
      </w:r>
      <w:r>
        <w:rPr>
          <w:rFonts w:hint="eastAsia" w:ascii="仿宋" w:hAnsi="仿宋" w:eastAsia="仿宋" w:cs="仿宋"/>
          <w:color w:val="000000"/>
          <w:highlight w:val="none"/>
          <w:u w:val="single"/>
        </w:rPr>
        <w:t xml:space="preserve">“宿迁市政府采购网”自行免费下载</w:t>
      </w:r>
      <w:r>
        <w:rPr>
          <w:rFonts w:hint="eastAsia" w:ascii="仿宋" w:hAnsi="仿宋" w:eastAsia="仿宋" w:cs="仿宋"/>
          <w:color w:val="000000"/>
          <w:highlight w:val="none"/>
        </w:rPr>
        <w:t xml:space="preserve">招标文件，并于</w:t>
      </w:r>
      <w:r>
        <w:rPr>
          <w:rFonts w:hint="eastAsia" w:ascii="仿宋" w:hAnsi="仿宋" w:eastAsia="仿宋" w:cs="仿宋"/>
          <w:color w:val="000000"/>
          <w:highlight w:val="none"/>
          <w:u w:val="single"/>
        </w:rPr>
        <w:t xml:space="preserve"> 2024年1</w:t>
      </w:r>
      <w:r>
        <w:rPr>
          <w:rFonts w:hint="eastAsia" w:ascii="仿宋" w:hAnsi="仿宋" w:eastAsia="仿宋" w:cs="仿宋"/>
          <w:color w:val="000000"/>
          <w:highlight w:val="none"/>
          <w:u w:val="single"/>
          <w:lang w:val="en-US" w:eastAsia="zh-CN"/>
        </w:rPr>
        <w:t xml:space="preserve">2</w:t>
      </w:r>
      <w:r>
        <w:rPr>
          <w:rFonts w:hint="eastAsia" w:ascii="仿宋" w:hAnsi="仿宋" w:eastAsia="仿宋" w:cs="仿宋"/>
          <w:color w:val="000000"/>
          <w:highlight w:val="none"/>
          <w:u w:val="single"/>
        </w:rPr>
        <w:t xml:space="preserve">月</w:t>
      </w:r>
      <w:r>
        <w:rPr>
          <w:rFonts w:hint="eastAsia" w:ascii="仿宋" w:hAnsi="仿宋" w:eastAsia="仿宋" w:cs="仿宋"/>
          <w:color w:val="000000"/>
          <w:highlight w:val="none"/>
          <w:u w:val="single"/>
          <w:lang w:val="en-US" w:eastAsia="zh-CN"/>
        </w:rPr>
        <w:t xml:space="preserve">11</w:t>
      </w:r>
      <w:r>
        <w:rPr>
          <w:rFonts w:hint="eastAsia" w:ascii="仿宋" w:hAnsi="仿宋" w:eastAsia="仿宋" w:cs="仿宋"/>
          <w:color w:val="000000"/>
          <w:highlight w:val="none"/>
          <w:u w:val="single"/>
        </w:rPr>
        <w:t xml:space="preserve">日9点00分（</w:t>
      </w:r>
      <w:r>
        <w:rPr>
          <w:rFonts w:hint="eastAsia" w:ascii="仿宋" w:hAnsi="仿宋" w:eastAsia="仿宋" w:cs="仿宋"/>
          <w:color w:val="000000"/>
          <w:highlight w:val="none"/>
        </w:rPr>
        <w:t xml:space="preserve">北京时间）前递交投标文件。</w:t>
      </w:r>
      <w:r>
        <w:rPr>
          <w:rFonts w:hint="eastAsia" w:ascii="仿宋" w:hAnsi="仿宋" w:eastAsia="仿宋" w:cs="仿宋"/>
          <w:highlight w:val="none"/>
        </w:rPr>
      </w:r>
      <w:r/>
    </w:p>
    <w:p>
      <w:pPr>
        <w:pStyle w:val="821"/>
        <w:ind w:firstLine="467"/>
        <w:jc w:val="both"/>
        <w:keepLines/>
        <w:keepNext/>
        <w:spacing w:before="0" w:beforeAutospacing="0" w:after="0" w:afterAutospacing="0" w:line="0" w:lineRule="atLeast"/>
        <w:rPr>
          <w:rFonts w:hint="eastAsia" w:ascii="仿宋" w:hAnsi="仿宋" w:eastAsia="仿宋" w:cs="仿宋"/>
          <w:highlight w:val="none"/>
        </w:rPr>
      </w:pPr>
      <w:r/>
      <w:bookmarkStart w:id="5" w:name="_Toc176774444"/>
      <w:r/>
      <w:bookmarkStart w:id="6" w:name="_Toc35393621"/>
      <w:r/>
      <w:bookmarkStart w:id="7" w:name="_Toc28359002"/>
      <w:r/>
      <w:bookmarkStart w:id="8" w:name="_Hlk24379207"/>
      <w:r/>
      <w:bookmarkStart w:id="9" w:name="_Toc38985263"/>
      <w:r/>
      <w:bookmarkStart w:id="10" w:name="_Toc35393790"/>
      <w:r/>
      <w:bookmarkStart w:id="11" w:name="_Toc28359079"/>
      <w:r>
        <w:rPr>
          <w:rFonts w:hint="eastAsia" w:ascii="仿宋" w:hAnsi="仿宋" w:eastAsia="仿宋" w:cs="仿宋"/>
          <w:color w:val="000000"/>
          <w:sz w:val="30"/>
          <w:szCs w:val="30"/>
          <w:highlight w:val="none"/>
        </w:rPr>
        <w:t xml:space="preserve">一、项目基本情况</w:t>
      </w:r>
      <w:bookmarkEnd w:id="5"/>
      <w:r/>
      <w:bookmarkEnd w:id="6"/>
      <w:r/>
      <w:bookmarkEnd w:id="7"/>
      <w:r/>
      <w:bookmarkEnd w:id="8"/>
      <w:r/>
      <w:bookmarkEnd w:id="9"/>
      <w:r/>
      <w:bookmarkEnd w:id="10"/>
      <w:r/>
      <w:bookmarkEnd w:id="11"/>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1.项目编号：</w:t>
      </w:r>
      <w:r>
        <w:rPr>
          <w:rFonts w:hint="eastAsia" w:ascii="仿宋" w:hAnsi="仿宋" w:eastAsia="仿宋" w:cs="仿宋"/>
          <w:color w:val="000000"/>
          <w:highlight w:val="none"/>
          <w:lang w:eastAsia="zh-CN"/>
        </w:rPr>
        <w:t xml:space="preserve">JSZC-321324-JZCG-G2024-0035</w:t>
      </w:r>
      <w:r>
        <w:rPr>
          <w:rFonts w:hint="eastAsia" w:ascii="仿宋" w:hAnsi="仿宋" w:eastAsia="仿宋" w:cs="仿宋"/>
          <w:color w:val="000000"/>
          <w:highlight w:val="none"/>
        </w:rPr>
        <w:t xml:space="preserve">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2.项目名称：泗洪县城市生命线安全建设工程（一期）软件平台采购项目</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3.预算金额：</w:t>
      </w:r>
      <w:r>
        <w:rPr>
          <w:rFonts w:hint="eastAsia" w:ascii="仿宋" w:hAnsi="仿宋" w:eastAsia="仿宋" w:cs="仿宋"/>
          <w:color w:val="000000"/>
          <w:highlight w:val="none"/>
          <w:lang w:eastAsia="zh-CN"/>
        </w:rPr>
        <w:t xml:space="preserve">1090万元</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4.本项目</w:t>
      </w:r>
      <w:r>
        <w:rPr>
          <w:rFonts w:hint="eastAsia" w:ascii="仿宋" w:hAnsi="仿宋" w:eastAsia="仿宋" w:cs="仿宋"/>
          <w:color w:val="000000"/>
          <w:highlight w:val="none"/>
          <w:u w:val="single"/>
        </w:rPr>
        <w:t xml:space="preserve"> 设定 </w:t>
      </w:r>
      <w:r>
        <w:rPr>
          <w:rFonts w:hint="eastAsia" w:ascii="仿宋" w:hAnsi="仿宋" w:eastAsia="仿宋" w:cs="仿宋"/>
          <w:color w:val="000000"/>
          <w:highlight w:val="none"/>
        </w:rPr>
        <w:t xml:space="preserve">最高限价，最高限价为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eastAsia="zh-CN"/>
        </w:rPr>
        <w:t xml:space="preserve">1065万元</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t xml:space="preserve">超出</w:t>
      </w:r>
      <w:r>
        <w:rPr>
          <w:rFonts w:hint="eastAsia" w:ascii="仿宋" w:hAnsi="仿宋" w:eastAsia="仿宋" w:cs="仿宋"/>
          <w:color w:val="000000"/>
          <w:highlight w:val="none"/>
        </w:rPr>
        <w:t xml:space="preserve">此</w:t>
      </w:r>
      <w:r>
        <w:rPr>
          <w:rFonts w:hint="eastAsia" w:ascii="仿宋" w:hAnsi="仿宋" w:eastAsia="仿宋" w:cs="仿宋"/>
          <w:color w:val="000000"/>
          <w:highlight w:val="none"/>
        </w:rPr>
        <w:t xml:space="preserve">限价</w:t>
      </w:r>
      <w:r>
        <w:rPr>
          <w:rFonts w:hint="eastAsia" w:ascii="仿宋" w:hAnsi="仿宋" w:eastAsia="仿宋" w:cs="仿宋"/>
          <w:color w:val="000000"/>
          <w:highlight w:val="none"/>
        </w:rPr>
        <w:t xml:space="preserve">做</w:t>
      </w:r>
      <w:r>
        <w:rPr>
          <w:rFonts w:hint="eastAsia" w:ascii="仿宋" w:hAnsi="仿宋" w:eastAsia="仿宋" w:cs="仿宋"/>
          <w:color w:val="000000"/>
          <w:highlight w:val="none"/>
        </w:rPr>
        <w:t xml:space="preserve">无效标</w:t>
      </w:r>
      <w:r>
        <w:rPr>
          <w:rFonts w:hint="eastAsia" w:ascii="仿宋" w:hAnsi="仿宋" w:eastAsia="仿宋" w:cs="仿宋"/>
          <w:color w:val="000000"/>
          <w:highlight w:val="none"/>
        </w:rPr>
        <w:t xml:space="preserve">处理</w:t>
      </w:r>
      <w:r>
        <w:rPr>
          <w:rFonts w:hint="eastAsia" w:ascii="仿宋" w:hAnsi="仿宋" w:eastAsia="仿宋" w:cs="仿宋"/>
          <w:color w:val="000000"/>
          <w:highlight w:val="none"/>
        </w:rPr>
        <w:t xml:space="preserve">。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5.采购需求（简介）：</w:t>
      </w:r>
      <w:bookmarkStart w:id="12" w:name="EB7e2bda627d9e41d081892610823f4004"/>
      <w:r>
        <w:rPr>
          <w:rFonts w:hint="eastAsia" w:ascii="仿宋" w:hAnsi="仿宋" w:eastAsia="仿宋" w:cs="仿宋"/>
          <w:color w:val="000000"/>
          <w:highlight w:val="none"/>
        </w:rPr>
        <w:t xml:space="preserve">泗洪县住房和城乡建设局拟采购泗洪县城市生命线安全建设工程（一期）软件平台，数据资源建设、监管平台建设与复用、支撑中台复用等，负责县级系统平台与市相关系统数据对接，负责本次项目建设内容涉及的各类软硬件设备联动调试。详见采购需求内容。</w:t>
      </w:r>
      <w:bookmarkEnd w:id="12"/>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6.合同履行期限：建设期</w:t>
      </w: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个月，服务期：</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年。</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7.本项目</w:t>
      </w:r>
      <w:r>
        <w:rPr>
          <w:rFonts w:hint="eastAsia" w:ascii="仿宋" w:hAnsi="仿宋" w:eastAsia="仿宋" w:cs="仿宋"/>
          <w:color w:val="000000"/>
          <w:highlight w:val="none"/>
          <w:u w:val="single"/>
        </w:rPr>
        <w:t xml:space="preserve"> 不接受 </w:t>
      </w:r>
      <w:r>
        <w:rPr>
          <w:rFonts w:hint="eastAsia" w:ascii="仿宋" w:hAnsi="仿宋" w:eastAsia="仿宋" w:cs="仿宋"/>
          <w:color w:val="000000"/>
          <w:highlight w:val="none"/>
        </w:rPr>
        <w:t xml:space="preserve">联合体投标。</w:t>
      </w:r>
      <w:r>
        <w:rPr>
          <w:rFonts w:hint="eastAsia" w:ascii="仿宋" w:hAnsi="仿宋" w:eastAsia="仿宋" w:cs="仿宋"/>
          <w:highlight w:val="none"/>
        </w:rPr>
      </w:r>
      <w:r/>
    </w:p>
    <w:p>
      <w:pPr>
        <w:pStyle w:val="821"/>
        <w:ind w:firstLine="467"/>
        <w:jc w:val="both"/>
        <w:keepLines/>
        <w:keepNext/>
        <w:spacing w:before="0" w:beforeAutospacing="0" w:after="0" w:afterAutospacing="0" w:line="0" w:lineRule="atLeast"/>
        <w:rPr>
          <w:rFonts w:hint="eastAsia" w:ascii="仿宋" w:hAnsi="仿宋" w:eastAsia="仿宋" w:cs="仿宋"/>
          <w:highlight w:val="none"/>
        </w:rPr>
      </w:pPr>
      <w:r/>
      <w:bookmarkStart w:id="13" w:name="_Toc38985264"/>
      <w:r/>
      <w:bookmarkStart w:id="14" w:name="_Toc28359080"/>
      <w:r/>
      <w:bookmarkStart w:id="15" w:name="_Toc28359003"/>
      <w:r/>
      <w:bookmarkStart w:id="16" w:name="_Toc35393791"/>
      <w:r/>
      <w:bookmarkStart w:id="17" w:name="_Toc176774445"/>
      <w:r/>
      <w:bookmarkStart w:id="18" w:name="_Toc35393622"/>
      <w:r>
        <w:rPr>
          <w:rFonts w:hint="eastAsia" w:ascii="仿宋" w:hAnsi="仿宋" w:eastAsia="仿宋" w:cs="仿宋"/>
          <w:color w:val="000000"/>
          <w:sz w:val="30"/>
          <w:szCs w:val="30"/>
          <w:highlight w:val="none"/>
        </w:rPr>
        <w:t xml:space="preserve">二、申请人的资格要求：</w:t>
      </w:r>
      <w:bookmarkEnd w:id="13"/>
      <w:r/>
      <w:bookmarkEnd w:id="14"/>
      <w:r/>
      <w:bookmarkEnd w:id="15"/>
      <w:r/>
      <w:bookmarkEnd w:id="16"/>
      <w:r/>
      <w:bookmarkEnd w:id="17"/>
      <w:r/>
      <w:bookmarkEnd w:id="18"/>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19" w:name="_Toc38985265"/>
      <w:r/>
      <w:bookmarkStart w:id="20" w:name="_Toc28359081"/>
      <w:r/>
      <w:bookmarkStart w:id="21" w:name="_Toc28359004"/>
      <w:r/>
      <w:bookmarkStart w:id="22" w:name="_Toc35393792"/>
      <w:r/>
      <w:bookmarkStart w:id="23" w:name="_Toc35393623"/>
      <w:r>
        <w:rPr>
          <w:rFonts w:hint="eastAsia" w:ascii="仿宋" w:hAnsi="仿宋" w:eastAsia="仿宋" w:cs="仿宋"/>
          <w:color w:val="000000"/>
          <w:highlight w:val="none"/>
        </w:rPr>
        <w:t xml:space="preserve">（一）通用资格要求</w:t>
      </w:r>
      <w:bookmarkEnd w:id="19"/>
      <w:r/>
      <w:bookmarkEnd w:id="20"/>
      <w:r/>
      <w:bookmarkEnd w:id="21"/>
      <w:r/>
      <w:bookmarkEnd w:id="22"/>
      <w:r/>
      <w:bookmarkEnd w:id="23"/>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1.</w:t>
      </w:r>
      <w:bookmarkStart w:id="24" w:name="OLE_LINK2"/>
      <w:r>
        <w:rPr>
          <w:rFonts w:hint="eastAsia" w:ascii="仿宋" w:hAnsi="仿宋" w:eastAsia="仿宋" w:cs="仿宋"/>
          <w:color w:val="000000"/>
          <w:highlight w:val="none"/>
        </w:rPr>
        <w:t xml:space="preserve">具备《中华人民共和国政府采购法》第二十二条第一款规定的6项条件（按要求提供</w:t>
      </w:r>
      <w:bookmarkStart w:id="25" w:name="OLE_LINK3"/>
      <w:r>
        <w:rPr>
          <w:rFonts w:hint="eastAsia" w:ascii="仿宋" w:hAnsi="仿宋" w:eastAsia="仿宋" w:cs="仿宋"/>
          <w:color w:val="000000"/>
          <w:highlight w:val="none"/>
        </w:rPr>
        <w:t xml:space="preserve">投标声明及承诺函</w:t>
      </w:r>
      <w:bookmarkEnd w:id="25"/>
      <w:r>
        <w:rPr>
          <w:rFonts w:hint="eastAsia" w:ascii="仿宋" w:hAnsi="仿宋" w:eastAsia="仿宋" w:cs="仿宋"/>
          <w:color w:val="000000"/>
          <w:highlight w:val="none"/>
        </w:rPr>
        <w:t xml:space="preserve">）。</w:t>
      </w:r>
      <w:bookmarkEnd w:id="24"/>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2.信用信息。信用信息查询渠道：“信用中国”网（www.creditchina.gov.cn）、“中国政府采购”网（www.ccgp.gov.cn）、江苏政府采购网（www.ccgp-jiangsu.gov.cn）。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仿宋" w:hAnsi="仿宋" w:eastAsia="仿宋" w:cs="仿宋"/>
          <w:highlight w:val="none"/>
        </w:rPr>
      </w:r>
      <w:r/>
    </w:p>
    <w:p>
      <w:pPr>
        <w:pStyle w:val="830"/>
        <w:ind w:firstLine="480"/>
        <w:jc w:val="both"/>
        <w:spacing w:before="0" w:beforeAutospacing="0" w:after="0" w:afterAutospacing="0" w:line="0" w:lineRule="atLeast"/>
        <w:tabs>
          <w:tab w:val="left" w:pos="312" w:leader="none"/>
        </w:tabs>
        <w:rPr>
          <w:rFonts w:hint="eastAsia" w:ascii="仿宋" w:hAnsi="仿宋" w:eastAsia="仿宋" w:cs="仿宋"/>
          <w:highlight w:val="none"/>
        </w:rPr>
      </w:pPr>
      <w:r>
        <w:rPr>
          <w:rFonts w:hint="eastAsia" w:ascii="仿宋" w:hAnsi="仿宋" w:eastAsia="仿宋" w:cs="仿宋"/>
          <w:color w:val="000000"/>
          <w:highlight w:val="none"/>
        </w:rPr>
        <w:t xml:space="preserve">3.落实政府采购政策需满足的资格要求：本项目为预留份额面向中小微企业采购，按要求预留预算的80%面向中小微企业。</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（二）本项目的特定资格要求：无。</w:t>
      </w:r>
      <w:r>
        <w:rPr>
          <w:rFonts w:hint="eastAsia" w:ascii="仿宋" w:hAnsi="仿宋" w:eastAsia="仿宋" w:cs="仿宋"/>
          <w:highlight w:val="none"/>
        </w:rPr>
      </w:r>
      <w:r/>
    </w:p>
    <w:p>
      <w:pPr>
        <w:pStyle w:val="821"/>
        <w:ind w:firstLine="467"/>
        <w:jc w:val="both"/>
        <w:keepLines/>
        <w:keepNext/>
        <w:spacing w:before="0" w:beforeAutospacing="0" w:after="0" w:afterAutospacing="0" w:line="0" w:lineRule="atLeast"/>
        <w:rPr>
          <w:rFonts w:hint="eastAsia" w:ascii="仿宋" w:hAnsi="仿宋" w:eastAsia="仿宋" w:cs="仿宋"/>
          <w:highlight w:val="none"/>
        </w:rPr>
      </w:pPr>
      <w:r/>
      <w:bookmarkStart w:id="26" w:name="_Toc176774446"/>
      <w:r>
        <w:rPr>
          <w:rFonts w:hint="eastAsia" w:ascii="仿宋" w:hAnsi="仿宋" w:eastAsia="仿宋" w:cs="仿宋"/>
          <w:color w:val="000000"/>
          <w:sz w:val="30"/>
          <w:szCs w:val="30"/>
          <w:highlight w:val="none"/>
        </w:rPr>
        <w:t xml:space="preserve">三、获取招标文件</w:t>
      </w:r>
      <w:bookmarkEnd w:id="26"/>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27" w:name="_Toc28359082"/>
      <w:r/>
      <w:bookmarkStart w:id="28" w:name="_Toc35393624"/>
      <w:r/>
      <w:bookmarkStart w:id="29" w:name="_Toc38985266"/>
      <w:r/>
      <w:bookmarkStart w:id="30" w:name="_Toc28359005"/>
      <w:r/>
      <w:bookmarkStart w:id="31" w:name="_Toc35393793"/>
      <w:r>
        <w:rPr>
          <w:rFonts w:hint="eastAsia" w:ascii="仿宋" w:hAnsi="仿宋" w:eastAsia="仿宋" w:cs="仿宋"/>
          <w:color w:val="000000"/>
          <w:highlight w:val="none"/>
        </w:rPr>
        <w:t xml:space="preserve">1. 时间：2024- </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21 </w:t>
      </w:r>
      <w:r>
        <w:rPr>
          <w:rFonts w:hint="eastAsia" w:ascii="仿宋" w:hAnsi="仿宋" w:eastAsia="仿宋" w:cs="仿宋"/>
          <w:color w:val="000000"/>
          <w:highlight w:val="none"/>
        </w:rPr>
        <w:t xml:space="preserve"> 00:00 - 2024-1</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27 </w:t>
      </w:r>
      <w:r>
        <w:rPr>
          <w:rFonts w:hint="eastAsia" w:ascii="仿宋" w:hAnsi="仿宋" w:eastAsia="仿宋" w:cs="仿宋"/>
          <w:color w:val="000000"/>
          <w:highlight w:val="none"/>
        </w:rPr>
        <w:t xml:space="preserve">  23:59 ，每天上午00:00-12:00，下午12:00-23:59 （北京时间，法定节假日除外）</w:t>
      </w:r>
      <w:bookmarkEnd w:id="27"/>
      <w:r/>
      <w:bookmarkEnd w:id="28"/>
      <w:r/>
      <w:bookmarkEnd w:id="29"/>
      <w:r/>
      <w:bookmarkEnd w:id="30"/>
      <w:r/>
      <w:bookmarkEnd w:id="31"/>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2.方式：投标人应在招标文件提供的时间内，通过“苏采云”系统（网址：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32" w:name="EB0c44ff4da61f4af989d119fe214be450"/>
      <w:r>
        <w:rPr>
          <w:rFonts w:hint="eastAsia" w:ascii="仿宋" w:hAnsi="仿宋" w:eastAsia="仿宋" w:cs="仿宋"/>
          <w:color w:val="000000"/>
          <w:highlight w:val="none"/>
        </w:rPr>
        <w:t xml:space="preserve">3.</w:t>
      </w:r>
      <w:bookmarkEnd w:id="32"/>
      <w:r>
        <w:rPr>
          <w:rFonts w:hint="eastAsia" w:ascii="仿宋" w:hAnsi="仿宋" w:eastAsia="仿宋" w:cs="仿宋"/>
          <w:color w:val="000000"/>
          <w:sz w:val="21"/>
          <w:szCs w:val="21"/>
          <w:highlight w:val="none"/>
        </w:rPr>
        <w:t xml:space="preserve"> </w:t>
      </w:r>
      <w:r>
        <w:rPr>
          <w:rFonts w:hint="eastAsia" w:ascii="仿宋" w:hAnsi="仿宋" w:eastAsia="仿宋" w:cs="仿宋"/>
          <w:color w:val="000000"/>
          <w:highlight w:val="none"/>
        </w:rPr>
        <w:t xml:space="preserve">本项目共分一个包。投标人未按要求获取招标文件导致无法投标的，后果自负（其投标文件不予接受）。</w:t>
      </w:r>
      <w:r>
        <w:rPr>
          <w:rFonts w:hint="eastAsia" w:ascii="仿宋" w:hAnsi="仿宋" w:eastAsia="仿宋" w:cs="仿宋"/>
          <w:highlight w:val="none"/>
        </w:rPr>
      </w:r>
      <w:r/>
    </w:p>
    <w:p>
      <w:pPr>
        <w:pStyle w:val="821"/>
        <w:ind w:firstLine="467"/>
        <w:jc w:val="both"/>
        <w:keepLines/>
        <w:keepNext/>
        <w:spacing w:before="0" w:beforeAutospacing="0" w:after="0" w:afterAutospacing="0" w:line="0" w:lineRule="atLeast"/>
        <w:rPr>
          <w:rFonts w:hint="eastAsia" w:ascii="仿宋" w:hAnsi="仿宋" w:eastAsia="仿宋" w:cs="仿宋"/>
          <w:highlight w:val="none"/>
        </w:rPr>
      </w:pPr>
      <w:r/>
      <w:bookmarkStart w:id="33" w:name="_Toc176774447"/>
      <w:r>
        <w:rPr>
          <w:rFonts w:hint="eastAsia" w:ascii="仿宋" w:hAnsi="仿宋" w:eastAsia="仿宋" w:cs="仿宋"/>
          <w:color w:val="000000"/>
          <w:sz w:val="30"/>
          <w:szCs w:val="30"/>
          <w:highlight w:val="none"/>
        </w:rPr>
        <w:t xml:space="preserve">四、提交投标文件截止时间、开标时间和地点</w:t>
      </w:r>
      <w:bookmarkEnd w:id="33"/>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1.提交投标文件截止时间、开标时间：</w:t>
      </w:r>
      <w:r>
        <w:rPr>
          <w:rFonts w:hint="eastAsia" w:ascii="仿宋" w:hAnsi="仿宋" w:eastAsia="仿宋" w:cs="仿宋"/>
          <w:color w:val="000000"/>
          <w:highlight w:val="none"/>
          <w:u w:val="single"/>
        </w:rPr>
        <w:t xml:space="preserve">2024年1</w:t>
      </w:r>
      <w:r>
        <w:rPr>
          <w:rFonts w:hint="eastAsia" w:ascii="仿宋" w:hAnsi="仿宋" w:eastAsia="仿宋" w:cs="仿宋"/>
          <w:color w:val="000000"/>
          <w:highlight w:val="none"/>
          <w:u w:val="single"/>
          <w:lang w:val="en-US" w:eastAsia="zh-CN"/>
        </w:rPr>
        <w:t xml:space="preserve">2</w:t>
      </w:r>
      <w:r>
        <w:rPr>
          <w:rFonts w:hint="eastAsia" w:ascii="仿宋" w:hAnsi="仿宋" w:eastAsia="仿宋" w:cs="仿宋"/>
          <w:color w:val="000000"/>
          <w:highlight w:val="none"/>
          <w:u w:val="single"/>
        </w:rPr>
        <w:t xml:space="preserve">月</w:t>
      </w:r>
      <w:r>
        <w:rPr>
          <w:rFonts w:hint="eastAsia" w:ascii="仿宋" w:hAnsi="仿宋" w:eastAsia="仿宋" w:cs="仿宋"/>
          <w:color w:val="000000"/>
          <w:highlight w:val="none"/>
          <w:u w:val="single"/>
          <w:lang w:val="en-US" w:eastAsia="zh-CN"/>
        </w:rPr>
        <w:t xml:space="preserve">11</w:t>
      </w:r>
      <w:r>
        <w:rPr>
          <w:rFonts w:hint="eastAsia" w:ascii="仿宋" w:hAnsi="仿宋" w:eastAsia="仿宋" w:cs="仿宋"/>
          <w:color w:val="000000"/>
          <w:highlight w:val="none"/>
          <w:u w:val="single"/>
        </w:rPr>
        <w:t xml:space="preserve">日9点00分</w:t>
      </w:r>
      <w:r>
        <w:rPr>
          <w:rFonts w:hint="eastAsia" w:ascii="仿宋" w:hAnsi="仿宋" w:eastAsia="仿宋" w:cs="仿宋"/>
          <w:color w:val="000000"/>
          <w:highlight w:val="none"/>
        </w:rPr>
        <w:t xml:space="preserve">（北京时间）</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2.地点：“苏采云”政府采购交易系统网上开标大厅。</w:t>
      </w:r>
      <w:r>
        <w:rPr>
          <w:rFonts w:hint="eastAsia" w:ascii="仿宋" w:hAnsi="仿宋" w:eastAsia="仿宋" w:cs="仿宋"/>
          <w:highlight w:val="none"/>
        </w:rPr>
      </w:r>
      <w:r/>
    </w:p>
    <w:p>
      <w:pPr>
        <w:pStyle w:val="821"/>
        <w:ind w:firstLine="467"/>
        <w:jc w:val="both"/>
        <w:keepLines/>
        <w:keepNext/>
        <w:spacing w:before="0" w:beforeAutospacing="0" w:after="0" w:afterAutospacing="0" w:line="0" w:lineRule="atLeast"/>
        <w:rPr>
          <w:rFonts w:hint="eastAsia" w:ascii="仿宋" w:hAnsi="仿宋" w:eastAsia="仿宋" w:cs="仿宋"/>
          <w:highlight w:val="none"/>
        </w:rPr>
      </w:pPr>
      <w:r/>
      <w:bookmarkStart w:id="34" w:name="_Toc35393794"/>
      <w:r/>
      <w:bookmarkStart w:id="35" w:name="_Toc38985267"/>
      <w:r/>
      <w:bookmarkStart w:id="36" w:name="_Toc28359084"/>
      <w:r/>
      <w:bookmarkStart w:id="37" w:name="_Toc28359007"/>
      <w:r/>
      <w:bookmarkStart w:id="38" w:name="_Toc176774448"/>
      <w:r/>
      <w:bookmarkStart w:id="39" w:name="_Toc35393625"/>
      <w:r>
        <w:rPr>
          <w:rFonts w:hint="eastAsia" w:ascii="仿宋" w:hAnsi="仿宋" w:eastAsia="仿宋" w:cs="仿宋"/>
          <w:color w:val="000000"/>
          <w:sz w:val="30"/>
          <w:szCs w:val="30"/>
          <w:highlight w:val="none"/>
        </w:rPr>
        <w:t xml:space="preserve">五、公告期限</w:t>
      </w:r>
      <w:bookmarkEnd w:id="34"/>
      <w:r/>
      <w:bookmarkEnd w:id="35"/>
      <w:r/>
      <w:bookmarkEnd w:id="36"/>
      <w:r/>
      <w:bookmarkEnd w:id="37"/>
      <w:r/>
      <w:bookmarkEnd w:id="38"/>
      <w:r/>
      <w:bookmarkEnd w:id="39"/>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40" w:name="_Toc35393626"/>
      <w:r/>
      <w:bookmarkStart w:id="41" w:name="_Toc35393795"/>
      <w:r/>
      <w:bookmarkStart w:id="42" w:name="_Toc38985268"/>
      <w:r>
        <w:rPr>
          <w:rFonts w:hint="eastAsia" w:ascii="仿宋" w:hAnsi="仿宋" w:eastAsia="仿宋" w:cs="仿宋"/>
          <w:color w:val="000000"/>
          <w:highlight w:val="none"/>
        </w:rPr>
        <w:t xml:space="preserve">招标公告及招标文件公告期限为自本公告发布之日起5个工作日。</w:t>
      </w:r>
      <w:r>
        <w:rPr>
          <w:rFonts w:hint="eastAsia" w:ascii="仿宋" w:hAnsi="仿宋" w:eastAsia="仿宋" w:cs="仿宋"/>
          <w:color w:val="000000"/>
          <w:highlight w:val="none"/>
          <w:shd w:val="clear" w:color="auto" w:fill="ffffff"/>
        </w:rPr>
        <w:t xml:space="preserve">招标公告发布媒体：宿迁市政府采购网、宿迁市公共资源交易平台、江苏省财政部门指定的媒体。</w:t>
      </w:r>
      <w:bookmarkEnd w:id="40"/>
      <w:r/>
      <w:bookmarkEnd w:id="41"/>
      <w:r/>
      <w:bookmarkEnd w:id="42"/>
      <w:r>
        <w:rPr>
          <w:rFonts w:hint="eastAsia" w:ascii="仿宋" w:hAnsi="仿宋" w:eastAsia="仿宋" w:cs="仿宋"/>
          <w:highlight w:val="none"/>
        </w:rPr>
      </w:r>
      <w:r/>
    </w:p>
    <w:p>
      <w:pPr>
        <w:pStyle w:val="821"/>
        <w:ind w:firstLine="467"/>
        <w:jc w:val="both"/>
        <w:keepLines/>
        <w:keepNext/>
        <w:spacing w:before="0" w:beforeAutospacing="0" w:after="0" w:afterAutospacing="0" w:line="0" w:lineRule="atLeast"/>
        <w:rPr>
          <w:rFonts w:hint="eastAsia" w:ascii="仿宋" w:hAnsi="仿宋" w:eastAsia="仿宋" w:cs="仿宋"/>
          <w:highlight w:val="none"/>
        </w:rPr>
      </w:pPr>
      <w:r/>
      <w:bookmarkStart w:id="43" w:name="_Toc176774449"/>
      <w:r>
        <w:rPr>
          <w:rFonts w:hint="eastAsia" w:ascii="仿宋" w:hAnsi="仿宋" w:eastAsia="仿宋" w:cs="仿宋"/>
          <w:color w:val="000000"/>
          <w:sz w:val="30"/>
          <w:szCs w:val="30"/>
          <w:highlight w:val="none"/>
        </w:rPr>
        <w:t xml:space="preserve">六、其他补充事宜</w:t>
      </w:r>
      <w:bookmarkEnd w:id="43"/>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44" w:name="_Toc38985269"/>
      <w:r/>
      <w:bookmarkStart w:id="45" w:name="EB64e1f522fd8c43fcb4d3ba471386b3e7"/>
      <w:r/>
      <w:bookmarkStart w:id="46" w:name="_Toc28359085"/>
      <w:r/>
      <w:bookmarkStart w:id="47" w:name="_Toc35393627"/>
      <w:r/>
      <w:bookmarkStart w:id="48" w:name="_Toc28359008"/>
      <w:r/>
      <w:bookmarkStart w:id="49" w:name="_Toc35393796"/>
      <w:r>
        <w:rPr>
          <w:rFonts w:hint="eastAsia" w:ascii="仿宋" w:hAnsi="仿宋" w:eastAsia="仿宋" w:cs="仿宋"/>
          <w:color w:val="000000"/>
          <w:highlight w:val="none"/>
          <w:shd w:val="clear" w:color="auto" w:fill="ffffff"/>
        </w:rPr>
        <w:t xml:space="preserve">1.财政部门监督电话：</w:t>
      </w:r>
      <w:r>
        <w:rPr>
          <w:rFonts w:hint="eastAsia" w:ascii="仿宋" w:hAnsi="仿宋" w:eastAsia="仿宋" w:cs="仿宋"/>
          <w:color w:val="000000"/>
          <w:highlight w:val="none"/>
        </w:rPr>
        <w:t xml:space="preserve">0527-88359233</w:t>
      </w:r>
      <w:r>
        <w:rPr>
          <w:rFonts w:hint="eastAsia" w:ascii="仿宋" w:hAnsi="仿宋" w:eastAsia="仿宋" w:cs="仿宋"/>
          <w:color w:val="000000"/>
          <w:highlight w:val="none"/>
          <w:shd w:val="clear" w:color="auto" w:fill="ffffff"/>
        </w:rPr>
        <w:t xml:space="preserve">。</w:t>
      </w:r>
      <w:bookmarkEnd w:id="44"/>
      <w:r/>
      <w:bookmarkEnd w:id="45"/>
      <w:r/>
      <w:bookmarkEnd w:id="46"/>
      <w:r/>
      <w:bookmarkEnd w:id="47"/>
      <w:r/>
      <w:bookmarkEnd w:id="48"/>
      <w:r/>
      <w:bookmarkEnd w:id="49"/>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2.“CA”数字证书办理：“苏采云”系统目前仅支持“苏采云”系统下的意源CA。省内各地区办理的“苏采云”系统下的意源CA全省通用。宿迁地区CA数字证书办理联系方式：18762803891。</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3.宿迁地区“苏采云”技术支持客服电话：0527-84225125、0519-86722806。</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4.投标人通过苏采云系统参与政府采购项目，相关操作手册详见链接：http://www.ccgp-jiangsu.gov.cn/jiangsu/zlxz/ee/ee3a4bc5a3454aa2b0d9312230633ce9.html。</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5.现场勘察及答疑：本项目不组织集中勘察及答疑，投标人如对采购需求有疑问，请咨询采购单位联系人。 </w:t>
      </w:r>
      <w:r>
        <w:rPr>
          <w:rFonts w:hint="eastAsia" w:ascii="仿宋" w:hAnsi="仿宋" w:eastAsia="仿宋" w:cs="仿宋"/>
          <w:highlight w:val="none"/>
        </w:rPr>
      </w:r>
      <w:r/>
    </w:p>
    <w:p>
      <w:pPr>
        <w:pStyle w:val="821"/>
        <w:ind w:firstLine="467"/>
        <w:jc w:val="both"/>
        <w:keepLines/>
        <w:keepNext/>
        <w:spacing w:before="0" w:beforeAutospacing="0" w:after="0" w:afterAutospacing="0" w:line="0" w:lineRule="atLeast"/>
        <w:rPr>
          <w:rFonts w:hint="eastAsia" w:ascii="仿宋" w:hAnsi="仿宋" w:eastAsia="仿宋" w:cs="仿宋"/>
          <w:highlight w:val="none"/>
        </w:rPr>
      </w:pPr>
      <w:r/>
      <w:bookmarkStart w:id="50" w:name="_Toc176774450"/>
      <w:r>
        <w:rPr>
          <w:rFonts w:hint="eastAsia" w:ascii="仿宋" w:hAnsi="仿宋" w:eastAsia="仿宋" w:cs="仿宋"/>
          <w:color w:val="000000"/>
          <w:sz w:val="30"/>
          <w:szCs w:val="30"/>
          <w:highlight w:val="none"/>
        </w:rPr>
        <w:t xml:space="preserve">七、本次招标联系方式</w:t>
      </w:r>
      <w:bookmarkEnd w:id="50"/>
      <w:r>
        <w:rPr>
          <w:rFonts w:hint="eastAsia" w:ascii="仿宋" w:hAnsi="仿宋" w:eastAsia="仿宋" w:cs="仿宋"/>
          <w:highlight w:val="none"/>
        </w:rPr>
      </w:r>
      <w:r/>
    </w:p>
    <w:p>
      <w:pPr>
        <w:pStyle w:val="830"/>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highlight w:val="none"/>
        </w:rPr>
        <w:t xml:space="preserve">1.采购人信息</w:t>
      </w:r>
      <w:r>
        <w:rPr>
          <w:rFonts w:hint="eastAsia" w:ascii="仿宋" w:hAnsi="仿宋" w:eastAsia="仿宋" w:cs="仿宋"/>
          <w:highlight w:val="none"/>
        </w:rPr>
      </w:r>
      <w:r/>
    </w:p>
    <w:p>
      <w:pPr>
        <w:pStyle w:val="830"/>
        <w:ind w:firstLine="72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名 称：</w:t>
      </w:r>
      <w:r>
        <w:rPr>
          <w:rFonts w:hint="eastAsia" w:ascii="仿宋" w:hAnsi="仿宋" w:eastAsia="仿宋" w:cs="仿宋"/>
          <w:color w:val="000000"/>
          <w:highlight w:val="none"/>
          <w:u w:val="single"/>
          <w:shd w:val="clear" w:color="auto" w:fill="ffffff"/>
        </w:rPr>
        <w:t xml:space="preserve"> 泗洪县住房和城乡建设局    </w:t>
      </w:r>
      <w:r>
        <w:rPr>
          <w:rFonts w:hint="eastAsia" w:ascii="仿宋" w:hAnsi="仿宋" w:eastAsia="仿宋" w:cs="仿宋"/>
          <w:highlight w:val="none"/>
        </w:rPr>
      </w:r>
      <w:r/>
    </w:p>
    <w:p>
      <w:pPr>
        <w:pStyle w:val="830"/>
        <w:ind w:firstLine="72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地址：</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color w:val="000000"/>
          <w:highlight w:val="none"/>
          <w:u w:val="single"/>
        </w:rPr>
        <w:t xml:space="preserve">泗洪县长江东路13号</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highlight w:val="none"/>
        </w:rPr>
      </w:r>
      <w:r/>
    </w:p>
    <w:p>
      <w:pPr>
        <w:pStyle w:val="830"/>
        <w:ind w:firstLine="72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联系人：</w:t>
      </w:r>
      <w:r>
        <w:rPr>
          <w:rFonts w:hint="eastAsia" w:ascii="仿宋" w:hAnsi="仿宋" w:eastAsia="仿宋" w:cs="仿宋"/>
          <w:color w:val="000000"/>
          <w:highlight w:val="none"/>
          <w:u w:val="single"/>
        </w:rPr>
        <w:t xml:space="preserve">  陈小建            </w:t>
      </w:r>
      <w:r>
        <w:rPr>
          <w:rFonts w:hint="eastAsia" w:ascii="仿宋" w:hAnsi="仿宋" w:eastAsia="仿宋" w:cs="仿宋"/>
          <w:highlight w:val="none"/>
        </w:rPr>
      </w:r>
      <w:r/>
    </w:p>
    <w:p>
      <w:pPr>
        <w:pStyle w:val="830"/>
        <w:ind w:firstLine="72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联系方式： </w:t>
      </w:r>
      <w:r>
        <w:rPr>
          <w:rFonts w:hint="eastAsia" w:ascii="仿宋" w:hAnsi="仿宋" w:eastAsia="仿宋" w:cs="仿宋"/>
          <w:color w:val="000000"/>
          <w:highlight w:val="none"/>
          <w:u w:val="single"/>
        </w:rPr>
        <w:t xml:space="preserve">18751012055    </w:t>
      </w:r>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bookmarkStart w:id="51" w:name="_Toc28359086"/>
      <w:r/>
      <w:bookmarkStart w:id="52" w:name="_Toc28359009"/>
      <w:r>
        <w:rPr>
          <w:rFonts w:hint="eastAsia" w:ascii="仿宋" w:hAnsi="仿宋" w:eastAsia="仿宋" w:cs="仿宋"/>
          <w:color w:val="000000"/>
          <w:highlight w:val="none"/>
        </w:rPr>
        <w:t xml:space="preserve">2.</w:t>
      </w:r>
      <w:bookmarkEnd w:id="51"/>
      <w:r/>
      <w:bookmarkEnd w:id="52"/>
      <w:r>
        <w:rPr>
          <w:rFonts w:hint="eastAsia" w:ascii="仿宋" w:hAnsi="仿宋" w:eastAsia="仿宋" w:cs="仿宋"/>
          <w:color w:val="000000"/>
          <w:highlight w:val="none"/>
        </w:rPr>
        <w:t xml:space="preserve">采购代理机构信息</w:t>
      </w:r>
      <w:r>
        <w:rPr>
          <w:rFonts w:hint="eastAsia" w:ascii="仿宋" w:hAnsi="仿宋" w:eastAsia="仿宋" w:cs="仿宋"/>
          <w:highlight w:val="none"/>
        </w:rPr>
      </w:r>
      <w:r/>
    </w:p>
    <w:p>
      <w:pPr>
        <w:pStyle w:val="830"/>
        <w:ind w:firstLine="787"/>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名 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shd w:val="clear" w:color="auto" w:fill="ffffff"/>
        </w:rPr>
        <w:t xml:space="preserve">泗</w:t>
      </w:r>
      <w:r>
        <w:rPr>
          <w:rFonts w:hint="eastAsia" w:ascii="仿宋" w:hAnsi="仿宋" w:eastAsia="仿宋" w:cs="仿宋"/>
          <w:color w:val="000000"/>
          <w:highlight w:val="none"/>
          <w:u w:val="single"/>
        </w:rPr>
        <w:t xml:space="preserve">洪县公共资源交易中心</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highlight w:val="none"/>
        </w:rPr>
      </w:r>
      <w:r/>
    </w:p>
    <w:p>
      <w:pPr>
        <w:pStyle w:val="830"/>
        <w:ind w:firstLine="787"/>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地 址：</w:t>
      </w:r>
      <w:r>
        <w:rPr>
          <w:rFonts w:hint="eastAsia" w:ascii="仿宋" w:hAnsi="仿宋" w:eastAsia="仿宋" w:cs="仿宋"/>
          <w:color w:val="000000"/>
          <w:highlight w:val="none"/>
          <w:u w:val="single"/>
        </w:rPr>
        <w:t xml:space="preserve">泗洪县仁和路5号        </w:t>
      </w:r>
      <w:r>
        <w:rPr>
          <w:rFonts w:hint="eastAsia" w:ascii="仿宋" w:hAnsi="仿宋" w:eastAsia="仿宋" w:cs="仿宋"/>
          <w:highlight w:val="none"/>
        </w:rPr>
      </w:r>
      <w:r/>
    </w:p>
    <w:p>
      <w:pPr>
        <w:pStyle w:val="830"/>
        <w:ind w:firstLine="787"/>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联系人：</w:t>
      </w:r>
      <w:r>
        <w:rPr>
          <w:rFonts w:hint="eastAsia" w:ascii="仿宋" w:hAnsi="仿宋" w:eastAsia="仿宋" w:cs="仿宋"/>
          <w:color w:val="000000"/>
          <w:highlight w:val="none"/>
          <w:u w:val="single"/>
        </w:rPr>
        <w:t xml:space="preserve">朱楠                 </w:t>
      </w:r>
      <w:r>
        <w:rPr>
          <w:rFonts w:hint="eastAsia" w:ascii="仿宋" w:hAnsi="仿宋" w:eastAsia="仿宋" w:cs="仿宋"/>
          <w:highlight w:val="none"/>
        </w:rPr>
      </w:r>
      <w:r/>
    </w:p>
    <w:p>
      <w:pPr>
        <w:pStyle w:val="830"/>
        <w:ind w:firstLine="72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联系方式：</w:t>
      </w:r>
      <w:bookmarkStart w:id="53" w:name="_Toc28359087"/>
      <w:r/>
      <w:bookmarkStart w:id="54" w:name="_Toc28359010"/>
      <w:r>
        <w:rPr>
          <w:rFonts w:hint="eastAsia" w:ascii="仿宋" w:hAnsi="仿宋" w:eastAsia="仿宋" w:cs="仿宋"/>
          <w:color w:val="000000"/>
          <w:highlight w:val="none"/>
          <w:u w:val="single"/>
        </w:rPr>
        <w:t xml:space="preserve">13951192083    </w:t>
      </w:r>
      <w:bookmarkEnd w:id="53"/>
      <w:r/>
      <w:bookmarkEnd w:id="54"/>
      <w:r>
        <w:rPr>
          <w:rFonts w:hint="eastAsia" w:ascii="仿宋" w:hAnsi="仿宋" w:eastAsia="仿宋" w:cs="仿宋"/>
          <w:highlight w:val="none"/>
        </w:rPr>
      </w:r>
      <w:r/>
    </w:p>
    <w:p>
      <w:pPr>
        <w:pStyle w:val="821"/>
        <w:ind w:firstLine="467"/>
        <w:jc w:val="both"/>
        <w:keepLines/>
        <w:keepNext/>
        <w:spacing w:before="0" w:beforeAutospacing="0" w:after="0" w:afterAutospacing="0" w:line="0" w:lineRule="atLeast"/>
        <w:rPr>
          <w:rFonts w:hint="eastAsia" w:ascii="仿宋" w:hAnsi="仿宋" w:eastAsia="仿宋" w:cs="仿宋"/>
          <w:highlight w:val="none"/>
        </w:rPr>
      </w:pPr>
      <w:r/>
      <w:bookmarkStart w:id="55" w:name="_Toc176774451"/>
      <w:r>
        <w:rPr>
          <w:rFonts w:hint="eastAsia" w:ascii="仿宋" w:hAnsi="仿宋" w:eastAsia="仿宋" w:cs="仿宋"/>
          <w:color w:val="000000"/>
          <w:sz w:val="30"/>
          <w:szCs w:val="30"/>
          <w:highlight w:val="none"/>
        </w:rPr>
        <w:t xml:space="preserve">八、其他</w:t>
      </w:r>
      <w:bookmarkEnd w:id="55"/>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有关本次招标的事项若存在变动或修改，敬请及时关注“宿迁市政府采购网”等平台更正公告。</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shd w:val="clear" w:color="auto" w:fill="ffffff"/>
        </w:rPr>
        <w:br w:type="page" w:clear="all"/>
      </w:r>
      <w:r>
        <w:rPr>
          <w:rFonts w:hint="eastAsia" w:ascii="仿宋" w:hAnsi="仿宋" w:eastAsia="仿宋" w:cs="仿宋"/>
          <w:color w:val="000000"/>
          <w:sz w:val="21"/>
          <w:szCs w:val="21"/>
          <w:highlight w:val="none"/>
          <w:shd w:val="clear" w:color="auto" w:fill="ffffff"/>
        </w:rPr>
        <w:t xml:space="preserve"> </w:t>
      </w:r>
      <w:bookmarkStart w:id="56" w:name="_Toc81575190"/>
      <w:r/>
      <w:bookmarkStart w:id="57" w:name="_Toc81575153"/>
      <w:r/>
      <w:bookmarkStart w:id="58" w:name="_Toc18949"/>
      <w:r>
        <w:rPr>
          <w:rFonts w:hint="eastAsia" w:ascii="仿宋" w:hAnsi="仿宋" w:eastAsia="仿宋" w:cs="仿宋"/>
          <w:b/>
          <w:bCs/>
          <w:color w:val="000000"/>
          <w:sz w:val="44"/>
          <w:szCs w:val="44"/>
          <w:highlight w:val="none"/>
        </w:rPr>
        <w:t xml:space="preserve">第二部分  投标人须知</w:t>
      </w:r>
      <w:bookmarkEnd w:id="56"/>
      <w:r/>
      <w:bookmarkEnd w:id="57"/>
      <w:r/>
      <w:bookmarkEnd w:id="58"/>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投标人须知前附表：</w:t>
      </w:r>
      <w:r>
        <w:rPr>
          <w:rFonts w:hint="eastAsia" w:ascii="仿宋" w:hAnsi="仿宋" w:eastAsia="仿宋" w:cs="仿宋"/>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495"/>
        <w:gridCol w:w="6213"/>
      </w:tblGrid>
      <w:tr>
        <w:trPr>
          <w:tblCellSpacing w:w="0" w:type="dxa"/>
          <w:trHeight w:val="728"/>
        </w:trPr>
        <w:tc>
          <w:tcPr>
            <w:tcW w:w="846" w:type="dxa"/>
            <w:vAlign w:val="center"/>
            <w:textDirection w:val="lrTb"/>
            <w:noWrap w:val="false"/>
          </w:tcPr>
          <w:p>
            <w:pPr>
              <w:pStyle w:val="830"/>
              <w:spacing w:before="0" w:beforeAutospacing="0" w:after="0" w:afterAutospacing="0"/>
              <w:tabs>
                <w:tab w:val="left" w:pos="2244" w:leader="none"/>
              </w:tabs>
              <w:rPr>
                <w:rFonts w:hint="eastAsia" w:ascii="仿宋" w:hAnsi="仿宋" w:eastAsia="仿宋" w:cs="仿宋"/>
                <w:highlight w:val="none"/>
              </w:rPr>
            </w:pPr>
            <w:r>
              <w:rPr>
                <w:rFonts w:hint="eastAsia" w:ascii="仿宋" w:hAnsi="仿宋" w:eastAsia="仿宋" w:cs="仿宋"/>
                <w:color w:val="000000"/>
                <w:sz w:val="21"/>
                <w:szCs w:val="21"/>
                <w:highlight w:val="none"/>
              </w:rPr>
              <w:tab/>
            </w:r>
            <w:bookmarkStart w:id="61" w:name="_Toc29262"/>
            <w:r/>
            <w:bookmarkStart w:id="62" w:name="_Toc81575191"/>
            <w:r/>
            <w:bookmarkStart w:id="63" w:name="_Toc81575154"/>
            <w:r>
              <w:rPr>
                <w:rFonts w:hint="eastAsia" w:ascii="仿宋" w:hAnsi="仿宋" w:eastAsia="仿宋" w:cs="仿宋"/>
                <w:b/>
                <w:bCs/>
                <w:color w:val="000000"/>
                <w:highlight w:val="none"/>
                <w:shd w:val="clear" w:color="auto" w:fill="ffffff"/>
              </w:rPr>
              <w:t xml:space="preserve">序号</w:t>
            </w:r>
            <w:bookmarkEnd w:id="61"/>
            <w:r/>
            <w:bookmarkEnd w:id="62"/>
            <w:r/>
            <w:bookmarkEnd w:id="63"/>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内容</w:t>
            </w:r>
            <w:r>
              <w:rPr>
                <w:rFonts w:hint="eastAsia" w:ascii="仿宋" w:hAnsi="仿宋" w:eastAsia="仿宋" w:cs="仿宋"/>
                <w:highlight w:val="none"/>
              </w:rPr>
            </w:r>
            <w:r/>
          </w:p>
        </w:tc>
        <w:tc>
          <w:tcPr>
            <w:tcW w:w="6521"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说明及要求</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特别说明</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本招标文件中“当地公共资源交易中心”是指：泗洪县公共资源交易中心</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项目类别</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本项目</w:t>
            </w:r>
            <w:bookmarkStart w:id="64" w:name="EB9a5853ee094f4f0ea6ec3169265f6f2c"/>
            <w:r>
              <w:rPr>
                <w:rFonts w:hint="eastAsia" w:ascii="仿宋" w:hAnsi="仿宋" w:eastAsia="仿宋" w:cs="仿宋"/>
                <w:color w:val="000000"/>
                <w:highlight w:val="none"/>
                <w:shd w:val="clear" w:color="auto" w:fill="ffffff"/>
              </w:rPr>
              <w:t xml:space="preserve">属性按以下</w:t>
            </w:r>
            <w:r>
              <w:rPr>
                <w:rFonts w:hint="eastAsia" w:ascii="仿宋" w:hAnsi="仿宋" w:eastAsia="仿宋" w:cs="仿宋"/>
                <w:color w:val="000000"/>
                <w:highlight w:val="none"/>
              </w:rPr>
              <w:t xml:space="preserve">第</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种确定</w:t>
            </w:r>
            <w:r>
              <w:rPr>
                <w:rFonts w:hint="eastAsia" w:ascii="仿宋" w:hAnsi="仿宋" w:eastAsia="仿宋" w:cs="仿宋"/>
                <w:color w:val="000000"/>
                <w:highlight w:val="none"/>
                <w:shd w:val="clear" w:color="auto" w:fill="ffffff"/>
              </w:rPr>
              <w:t xml:space="preserve">：1</w:t>
            </w:r>
            <w:bookmarkEnd w:id="64"/>
            <w:r>
              <w:rPr>
                <w:rFonts w:hint="eastAsia" w:ascii="仿宋" w:hAnsi="仿宋" w:eastAsia="仿宋" w:cs="仿宋"/>
                <w:color w:val="000000"/>
                <w:highlight w:val="none"/>
                <w:shd w:val="clear" w:color="auto" w:fill="ffffff"/>
              </w:rPr>
              <w:t xml:space="preserve">.货物</w:t>
            </w:r>
            <w:bookmarkStart w:id="65" w:name="EBd5c6c026f9674c39b21b31ecd0c1e7fa"/>
            <w:r>
              <w:rPr>
                <w:rFonts w:hint="eastAsia" w:ascii="仿宋" w:hAnsi="仿宋" w:eastAsia="仿宋" w:cs="仿宋"/>
                <w:color w:val="000000"/>
                <w:highlight w:val="none"/>
                <w:shd w:val="clear" w:color="auto" w:fill="ffffff"/>
              </w:rPr>
              <w:t xml:space="preserve">采购；2.</w:t>
            </w:r>
            <w:bookmarkEnd w:id="65"/>
            <w:r>
              <w:rPr>
                <w:rFonts w:hint="eastAsia" w:ascii="仿宋" w:hAnsi="仿宋" w:eastAsia="仿宋" w:cs="仿宋"/>
                <w:color w:val="000000"/>
                <w:highlight w:val="none"/>
                <w:shd w:val="clear" w:color="auto" w:fill="ffffff"/>
              </w:rPr>
              <w:t xml:space="preserve">服务</w:t>
            </w:r>
            <w:bookmarkStart w:id="66" w:name="EBf7d2a4f44ecb4166a93ea852e73be69f"/>
            <w:r>
              <w:rPr>
                <w:rFonts w:hint="eastAsia" w:ascii="仿宋" w:hAnsi="仿宋" w:eastAsia="仿宋" w:cs="仿宋"/>
                <w:color w:val="000000"/>
                <w:highlight w:val="none"/>
                <w:shd w:val="clear" w:color="auto" w:fill="ffffff"/>
              </w:rPr>
              <w:t xml:space="preserve">采购；3.</w:t>
            </w:r>
            <w:bookmarkEnd w:id="66"/>
            <w:r>
              <w:rPr>
                <w:rFonts w:hint="eastAsia" w:ascii="仿宋" w:hAnsi="仿宋" w:eastAsia="仿宋" w:cs="仿宋"/>
                <w:color w:val="000000"/>
                <w:highlight w:val="none"/>
                <w:shd w:val="clear" w:color="auto" w:fill="ffffff"/>
              </w:rPr>
              <w:t xml:space="preserve">工程采购。</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rPr>
              <w:t xml:space="preserve">3</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投标有效期</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60日（从提交投标文件截止之日起算）</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4</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投标文件份数</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提交加密电子投标文件1份。</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5</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开标</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rPr>
              <w:t xml:space="preserve">“苏采云”政府采购交易系统网上开标大厅进行不见面开标</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进口产品</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按以下第</w:t>
            </w:r>
            <w:r>
              <w:rPr>
                <w:rFonts w:hint="eastAsia" w:ascii="仿宋" w:hAnsi="仿宋" w:eastAsia="仿宋" w:cs="仿宋"/>
                <w:color w:val="000000"/>
                <w:highlight w:val="none"/>
                <w:u w:val="single"/>
                <w:shd w:val="clear" w:color="auto" w:fill="ffffff"/>
              </w:rPr>
              <w:t xml:space="preserve">  2  </w:t>
            </w:r>
            <w:r>
              <w:rPr>
                <w:rFonts w:hint="eastAsia" w:ascii="仿宋" w:hAnsi="仿宋" w:eastAsia="仿宋" w:cs="仿宋"/>
                <w:color w:val="000000"/>
                <w:highlight w:val="none"/>
                <w:shd w:val="clear" w:color="auto" w:fill="ffffff"/>
              </w:rPr>
              <w:t xml:space="preserve">种方式确定：1.接受进口产品。应当符合《政府采购进口产品管理办法》(财库(2007)119 号文)、《关于政府采购进口产品管理有关问题的通知》(财办库(2008)248号文)等相关规定;2.不接受进口产品。</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7</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评标办法</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具体评标办法详见招标文件第三部分。</w:t>
            </w:r>
            <w:r>
              <w:rPr>
                <w:rFonts w:hint="eastAsia" w:ascii="仿宋" w:hAnsi="仿宋" w:eastAsia="仿宋" w:cs="仿宋"/>
                <w:highlight w:val="none"/>
              </w:rPr>
            </w:r>
            <w:r/>
          </w:p>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评标委员会按照招标文件规定评标办法和标准推荐1-3名中标候选人。</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8</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确定中标人</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按以下第</w:t>
            </w:r>
            <w:r>
              <w:rPr>
                <w:rFonts w:hint="eastAsia" w:ascii="仿宋" w:hAnsi="仿宋" w:eastAsia="仿宋" w:cs="仿宋"/>
                <w:color w:val="000000"/>
                <w:highlight w:val="none"/>
                <w:u w:val="single"/>
                <w:shd w:val="clear" w:color="auto" w:fill="ffffff"/>
              </w:rPr>
              <w:t xml:space="preserve">  2  </w:t>
            </w:r>
            <w:r>
              <w:rPr>
                <w:rFonts w:hint="eastAsia" w:ascii="仿宋" w:hAnsi="仿宋" w:eastAsia="仿宋" w:cs="仿宋"/>
                <w:color w:val="000000"/>
                <w:highlight w:val="none"/>
                <w:shd w:val="clear" w:color="auto" w:fill="ffffff"/>
              </w:rPr>
              <w:t xml:space="preserve">种方式确定中标人：1.采购人按照规定在评标委员会推荐的中标候选人中确定中标人；2. 采购人授权评标委员会直接确定中标人；</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rPr>
              <w:t xml:space="preserve">9</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分包要求</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rPr>
            </w:pPr>
            <w:r/>
            <w:bookmarkStart w:id="68" w:name="EBebac1462c5d9459fbda8a75065c2455d"/>
            <w:r>
              <w:rPr>
                <w:rFonts w:hint="eastAsia" w:ascii="仿宋" w:hAnsi="仿宋" w:eastAsia="仿宋" w:cs="仿宋"/>
                <w:color w:val="000000"/>
                <w:highlight w:val="none"/>
                <w:shd w:val="clear" w:color="auto" w:fill="ffffff"/>
              </w:rPr>
              <w:t xml:space="preserve">本项目的非主体、非关键性工作是否允许分包按以下第</w:t>
            </w:r>
            <w:r>
              <w:rPr>
                <w:rFonts w:hint="eastAsia" w:ascii="仿宋" w:hAnsi="仿宋" w:eastAsia="仿宋" w:cs="仿宋"/>
                <w:color w:val="000000"/>
                <w:highlight w:val="none"/>
                <w:u w:val="single"/>
                <w:shd w:val="clear" w:color="auto" w:fill="ffffff"/>
              </w:rPr>
              <w:t xml:space="preserve"> 2  </w:t>
            </w:r>
            <w:r>
              <w:rPr>
                <w:rFonts w:hint="eastAsia" w:ascii="仿宋" w:hAnsi="仿宋" w:eastAsia="仿宋" w:cs="仿宋"/>
                <w:color w:val="000000"/>
                <w:highlight w:val="none"/>
                <w:shd w:val="clear" w:color="auto" w:fill="ffffff"/>
              </w:rPr>
              <w:t xml:space="preserve">种方式确定：</w:t>
            </w:r>
            <w:bookmarkEnd w:id="68"/>
            <w:r>
              <w:rPr>
                <w:rFonts w:hint="eastAsia" w:ascii="仿宋" w:hAnsi="仿宋" w:eastAsia="仿宋" w:cs="仿宋"/>
                <w:highlight w:val="none"/>
              </w:rPr>
            </w:r>
            <w:r/>
          </w:p>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1.允许分包，</w:t>
            </w:r>
            <w:bookmarkStart w:id="69" w:name="EB512ba06683724173802e2aae54a26079"/>
            <w:r>
              <w:rPr>
                <w:rFonts w:hint="eastAsia" w:ascii="仿宋" w:hAnsi="仿宋" w:eastAsia="仿宋" w:cs="仿宋"/>
                <w:color w:val="000000"/>
                <w:highlight w:val="none"/>
                <w:shd w:val="clear" w:color="auto" w:fill="ffffff"/>
              </w:rPr>
              <w:t xml:space="preserve">允许大中型企业向一家或者多家小微企业分包，分包具体内容、金额或比例：</w:t>
            </w:r>
            <w:bookmarkEnd w:id="69"/>
            <w:r>
              <w:rPr>
                <w:rFonts w:hint="eastAsia" w:ascii="仿宋" w:hAnsi="仿宋" w:eastAsia="仿宋" w:cs="仿宋"/>
                <w:color w:val="000000"/>
                <w:highlight w:val="none"/>
                <w:shd w:val="clear" w:color="auto" w:fill="ffffff"/>
              </w:rPr>
              <w:t xml:space="preserve">无</w:t>
            </w:r>
            <w:r>
              <w:rPr>
                <w:rFonts w:hint="eastAsia" w:ascii="仿宋" w:hAnsi="仿宋" w:eastAsia="仿宋" w:cs="仿宋"/>
                <w:highlight w:val="none"/>
              </w:rPr>
            </w:r>
            <w:r/>
          </w:p>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2.不允许分包。</w:t>
            </w:r>
            <w:r>
              <w:rPr>
                <w:rFonts w:hint="eastAsia" w:ascii="仿宋" w:hAnsi="仿宋" w:eastAsia="仿宋" w:cs="仿宋"/>
                <w:highlight w:val="none"/>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10</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代理费用收取方式及标准</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lang w:val="en-US" w:eastAsia="zh-CN"/>
              </w:rPr>
            </w:pPr>
            <w:r>
              <w:rPr>
                <w:rFonts w:hint="eastAsia" w:ascii="仿宋" w:hAnsi="仿宋" w:eastAsia="仿宋" w:cs="仿宋"/>
                <w:color w:val="000000"/>
                <w:highlight w:val="none"/>
                <w:shd w:val="clear" w:color="auto" w:fill="ffffff"/>
              </w:rPr>
              <w:t xml:space="preserve">本项目不收取代理费</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highlight w:val="none"/>
                <w:lang w:val="en-US" w:eastAsia="zh-CN"/>
              </w:rPr>
            </w:r>
            <w:r/>
          </w:p>
        </w:tc>
      </w:tr>
      <w:tr>
        <w:trPr>
          <w:tblCellSpacing w:w="0" w:type="dxa"/>
        </w:trPr>
        <w:tc>
          <w:tcPr>
            <w:tcW w:w="846"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w:t>
            </w:r>
            <w:r>
              <w:rPr>
                <w:rFonts w:hint="eastAsia" w:ascii="仿宋" w:hAnsi="仿宋" w:eastAsia="仿宋" w:cs="仿宋"/>
                <w:highlight w:val="none"/>
              </w:rPr>
            </w:r>
            <w:r/>
          </w:p>
        </w:tc>
        <w:tc>
          <w:tcPr>
            <w:tcW w:w="1559"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其他</w:t>
            </w:r>
            <w:r>
              <w:rPr>
                <w:rFonts w:hint="eastAsia" w:ascii="仿宋" w:hAnsi="仿宋" w:eastAsia="仿宋" w:cs="仿宋"/>
                <w:highlight w:val="none"/>
              </w:rPr>
            </w:r>
            <w:r/>
          </w:p>
        </w:tc>
        <w:tc>
          <w:tcPr>
            <w:tcW w:w="6521" w:type="dxa"/>
            <w:vAlign w:val="center"/>
            <w:textDirection w:val="lrTb"/>
            <w:noWrap w:val="false"/>
          </w:tcPr>
          <w:p>
            <w:pPr>
              <w:pStyle w:val="830"/>
              <w:jc w:val="both"/>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仿宋" w:hAnsi="仿宋" w:eastAsia="仿宋" w:cs="仿宋"/>
                <w:highlight w:val="none"/>
              </w:rPr>
            </w:r>
            <w:r/>
          </w:p>
        </w:tc>
      </w:tr>
    </w:tbl>
    <w:p>
      <w:pPr>
        <w:pStyle w:val="830"/>
        <w:spacing w:before="0" w:beforeAutospacing="0" w:after="0" w:afterAutospacing="0"/>
        <w:widowControl/>
        <w:rPr>
          <w:rFonts w:hint="eastAsia" w:ascii="仿宋" w:hAnsi="仿宋" w:eastAsia="仿宋" w:cs="仿宋"/>
          <w:highlight w:val="none"/>
        </w:rPr>
      </w:pPr>
      <w:r/>
      <w:bookmarkStart w:id="71" w:name="_Toc8239"/>
      <w:r/>
      <w:bookmarkEnd w:id="71"/>
      <w:r/>
      <w:bookmarkStart w:id="72" w:name="_Toc81575192"/>
      <w:r/>
      <w:bookmarkEnd w:id="72"/>
      <w:r/>
      <w:bookmarkStart w:id="73" w:name="_Toc176774452"/>
      <w:r>
        <w:rPr>
          <w:rFonts w:hint="eastAsia" w:ascii="仿宋" w:hAnsi="仿宋" w:eastAsia="仿宋" w:cs="仿宋"/>
          <w:b/>
          <w:bCs/>
          <w:color w:val="000000"/>
          <w:sz w:val="32"/>
          <w:szCs w:val="32"/>
          <w:highlight w:val="none"/>
          <w:shd w:val="clear" w:color="auto" w:fill="ffffff"/>
        </w:rPr>
        <w:t xml:space="preserve">一、总 则</w:t>
      </w:r>
      <w:bookmarkEnd w:id="73"/>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1、招标方式</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本次招标采取公开招标方式。</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2、合格的投标人</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2.1合格的投标人必须符合招标文件第一部分《投标邀请函》第二条及须知前附表相关规定，且具备完成本项目的能力，中标后不允许转包。</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2.2合格的投标人应遵守《中华人民共和国政府采购法》、《中华人民共和国政府采购法实施条例》、《中华人民共和国民法典（第三编合同）》等有关法律、法规。</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3、适用法律</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本次招标及由本次招标产生的合同受中华人民共和国的相关法律、法规制约和保护。</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4、投标费用</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投标人应自行承担所有参加投标有关的费用。</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5、相同品牌产品投标</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5.3非单一产品采购项目，采购人确定核心产品，并在招标文件中载明。多家投标人提供的核心产品品牌相同的，按前两款规定处理。</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bookmarkStart w:id="75" w:name="EB03f11de025af49a0b0680fbbffa2bc40"/>
      <w:r>
        <w:rPr>
          <w:rFonts w:hint="eastAsia" w:ascii="仿宋" w:hAnsi="仿宋" w:eastAsia="仿宋" w:cs="仿宋"/>
          <w:color w:val="000080"/>
          <w:sz w:val="20"/>
          <w:szCs w:val="20"/>
          <w:highlight w:val="none"/>
          <w:shd w:val="clear" w:color="auto" w:fill="ffffff"/>
        </w:rPr>
        <w:t xml:space="preserve"> </w:t>
      </w:r>
      <w:bookmarkEnd w:id="75"/>
      <w:r>
        <w:rPr>
          <w:rFonts w:hint="eastAsia" w:ascii="仿宋" w:hAnsi="仿宋" w:eastAsia="仿宋" w:cs="仿宋"/>
          <w:highlight w:val="none"/>
        </w:rPr>
      </w:r>
      <w:r/>
    </w:p>
    <w:p>
      <w:pPr>
        <w:pStyle w:val="830"/>
        <w:ind w:firstLine="482"/>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b/>
          <w:bCs/>
          <w:color w:val="000000"/>
          <w:highlight w:val="none"/>
        </w:rPr>
        <w:t xml:space="preserve">6.政府采购政策</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本项目落实的政府采购政策为应序号为</w:t>
      </w:r>
      <w:r>
        <w:rPr>
          <w:rFonts w:hint="eastAsia" w:ascii="仿宋" w:hAnsi="仿宋" w:eastAsia="仿宋" w:cs="仿宋"/>
          <w:color w:val="000000"/>
          <w:highlight w:val="none"/>
          <w:u w:val="single"/>
          <w:shd w:val="clear" w:color="auto" w:fill="ffffff"/>
        </w:rPr>
        <w:t xml:space="preserve">6.1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6.1中小企业政策</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本项目采购标的对应的中小企业划分标准所属行业：</w:t>
      </w:r>
      <w:r>
        <w:rPr>
          <w:rFonts w:hint="eastAsia" w:ascii="仿宋" w:hAnsi="仿宋" w:eastAsia="仿宋" w:cs="仿宋"/>
          <w:b/>
          <w:bCs/>
          <w:color w:val="000000"/>
          <w:highlight w:val="none"/>
          <w:u w:val="single"/>
        </w:rPr>
        <w:t xml:space="preserve">软件和信息技术服务业</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本项目按以下第</w:t>
      </w:r>
      <w:r>
        <w:rPr>
          <w:rFonts w:hint="eastAsia" w:ascii="仿宋" w:hAnsi="仿宋" w:eastAsia="仿宋" w:cs="仿宋"/>
          <w:color w:val="000000"/>
          <w:highlight w:val="none"/>
          <w:u w:val="single"/>
          <w:shd w:val="clear" w:color="auto" w:fill="ffffff"/>
        </w:rPr>
        <w:t xml:space="preserve">（</w:t>
      </w:r>
      <w:r>
        <w:rPr>
          <w:rFonts w:hint="eastAsia" w:ascii="仿宋" w:hAnsi="仿宋" w:eastAsia="仿宋" w:cs="仿宋"/>
          <w:color w:val="000000"/>
          <w:highlight w:val="none"/>
          <w:u w:val="single"/>
          <w:shd w:val="clear" w:color="auto" w:fill="ffffff"/>
          <w:lang w:val="en-US" w:eastAsia="zh-CN"/>
        </w:rPr>
        <w:t xml:space="preserve">2</w:t>
      </w:r>
      <w:r>
        <w:rPr>
          <w:rFonts w:hint="eastAsia" w:ascii="仿宋" w:hAnsi="仿宋" w:eastAsia="仿宋" w:cs="仿宋"/>
          <w:color w:val="000000"/>
          <w:highlight w:val="none"/>
          <w:u w:val="single"/>
          <w:shd w:val="clear" w:color="auto" w:fill="ffffff"/>
        </w:rPr>
        <w:t xml:space="preserve">）</w:t>
      </w:r>
      <w:r>
        <w:rPr>
          <w:rFonts w:hint="eastAsia" w:ascii="仿宋" w:hAnsi="仿宋" w:eastAsia="仿宋" w:cs="仿宋"/>
          <w:color w:val="000000"/>
          <w:highlight w:val="none"/>
          <w:shd w:val="clear" w:color="auto" w:fill="ffffff"/>
        </w:rPr>
        <w:t xml:space="preserve">种政策确定本项目落实的中小企业政策：</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（1）本项目专门面向中小企业（含监狱与戒毒企业、残疾人福利企业）采购。</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（2）投标人提供的货物符合规定情形的，对小微企业报价给予</w:t>
      </w:r>
      <w:r>
        <w:rPr>
          <w:rFonts w:hint="eastAsia" w:ascii="仿宋" w:hAnsi="仿宋" w:eastAsia="仿宋" w:cs="仿宋"/>
          <w:color w:val="000000"/>
          <w:highlight w:val="none"/>
          <w:shd w:val="clear" w:color="auto" w:fill="ffffff"/>
          <w:lang w:val="en-US" w:eastAsia="zh-CN"/>
        </w:rPr>
        <w:t xml:space="preserve">15%</w:t>
      </w:r>
      <w:r>
        <w:rPr>
          <w:rFonts w:hint="eastAsia" w:ascii="仿宋" w:hAnsi="仿宋" w:eastAsia="仿宋" w:cs="仿宋"/>
          <w:color w:val="000000"/>
          <w:highlight w:val="none"/>
          <w:shd w:val="clear" w:color="auto" w:fill="ffffff"/>
        </w:rPr>
        <w:t xml:space="preserve">扣除（扣除比例详见“评审标准”相关条款），用扣除后的价格参加评审。</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在服务采购项目中，服务由中小企业承接，即提供服务的人员为中小企业依照《中华人民共和国民法典》订立劳动合同的从业人员。</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6.2 政府采购节能产品、环境标志产品</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6.2.2采购人拟采购的产品属于优先采购的节能环保品目清单范围的，按以下条件优先采购：</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采用综合评分法的项目，对提供有效节能环保证书的投标人加分。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采用最低评标价法的项目，同等条件下优先推荐提供有效节能环保证书多的投标人为中标人。</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6.3政府采购需求标准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6.3.1商品包装、快递包装政府采购需求标准（试行）</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6.3.2绿色数据中心政府采购需求标准（试行）</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为加快数据中心绿色转型，根据财政部 生态环境部 工业和信息化部关于印发《绿色数据中心政府采购需求标准（试行）》的通知），本项目如涉及绿色数据中心，具体需求详见第四部分采购需求。</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76" w:name="_Toc176774453"/>
      <w:r/>
      <w:bookmarkStart w:id="77" w:name="_Toc81575156"/>
      <w:r/>
      <w:bookmarkStart w:id="78" w:name="_Toc81575193"/>
      <w:r/>
      <w:bookmarkStart w:id="79" w:name="_Toc29306"/>
      <w:r>
        <w:rPr>
          <w:rFonts w:hint="eastAsia" w:ascii="仿宋" w:hAnsi="仿宋" w:eastAsia="仿宋" w:cs="仿宋"/>
          <w:b/>
          <w:bCs/>
          <w:color w:val="000000"/>
          <w:sz w:val="32"/>
          <w:szCs w:val="32"/>
          <w:highlight w:val="none"/>
          <w:shd w:val="clear" w:color="auto" w:fill="ffffff"/>
        </w:rPr>
        <w:t xml:space="preserve">二、招标文件</w:t>
      </w:r>
      <w:bookmarkEnd w:id="76"/>
      <w:r/>
      <w:bookmarkEnd w:id="77"/>
      <w:r/>
      <w:bookmarkEnd w:id="78"/>
      <w:r/>
      <w:bookmarkEnd w:id="79"/>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7、招标文件构成</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7.1招标文件由以下部分组成：</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第一部分：投标邀请函；</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第二部分：投标人须知；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第三部分：资格审查及评分办法；</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第四部分：采购需求；</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第五部分：合同格式及条款；</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第六部分：投标文件格式。</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请仔细检查招标文件是否齐全，如有缺漏请立即与代理机构联系解决。</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8、招标文件的澄清</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任何要求对招标文件澄清的投标人，均应在招标文件提供截止时间之前提出，采购代理机构对规定时间内收到的澄清要求予以答复，答复不包括问题的来源。</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9、招标文件的修改</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9.2招标文件的修改将将在原公告媒体上发布更正公告，并对投标人具有约束力。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9.3投标人应及时登录“苏采云”系统获取澄清答疑文件（修改后招标文件），如因投标人原因未能及时下载澄清和修改后的招标文件，由此造成的相关责任，由投标人承担。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9.4采购代理机构发出的所有补充、修改和变更文件均作为招标文件的组成部分，与招标文件具有同等法律效力。 </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bookmarkStart w:id="80" w:name="EB2154fb7cf02b4b0980c6759aa29ee4ed"/>
      <w:r>
        <w:rPr>
          <w:rFonts w:hint="eastAsia" w:ascii="仿宋" w:hAnsi="仿宋" w:eastAsia="仿宋" w:cs="仿宋"/>
          <w:color w:val="000080"/>
          <w:sz w:val="20"/>
          <w:szCs w:val="20"/>
          <w:highlight w:val="none"/>
          <w:shd w:val="clear" w:color="auto" w:fill="ffffff"/>
        </w:rPr>
        <w:t xml:space="preserve"> </w:t>
      </w:r>
      <w:bookmarkEnd w:id="80"/>
      <w:r/>
      <w:bookmarkStart w:id="81" w:name="EB453bde7f4ddc418fae2aad9fbcd82554"/>
      <w:r>
        <w:rPr>
          <w:rFonts w:hint="eastAsia" w:ascii="仿宋" w:hAnsi="仿宋" w:eastAsia="仿宋" w:cs="仿宋"/>
          <w:color w:val="000080"/>
          <w:sz w:val="20"/>
          <w:szCs w:val="20"/>
          <w:highlight w:val="none"/>
          <w:shd w:val="clear" w:color="auto" w:fill="ffffff"/>
        </w:rPr>
        <w:t xml:space="preserve"> </w:t>
      </w:r>
      <w:bookmarkEnd w:id="81"/>
      <w:r/>
      <w:bookmarkStart w:id="82" w:name="EBec71fc1696a240c4b620fe1e00b2ce58"/>
      <w:r>
        <w:rPr>
          <w:rFonts w:hint="eastAsia" w:ascii="仿宋" w:hAnsi="仿宋" w:eastAsia="仿宋" w:cs="仿宋"/>
          <w:color w:val="000080"/>
          <w:sz w:val="20"/>
          <w:szCs w:val="20"/>
          <w:highlight w:val="none"/>
          <w:shd w:val="clear" w:color="auto" w:fill="ffffff"/>
        </w:rPr>
        <w:t xml:space="preserve"> </w:t>
      </w:r>
      <w:bookmarkEnd w:id="82"/>
      <w:r/>
      <w:bookmarkStart w:id="83" w:name="_Toc81575157"/>
      <w:r/>
      <w:bookmarkStart w:id="84" w:name="_Toc176774454"/>
      <w:r/>
      <w:bookmarkStart w:id="85" w:name="_Toc81575194"/>
      <w:r/>
      <w:bookmarkStart w:id="86" w:name="_Toc11461"/>
      <w:r>
        <w:rPr>
          <w:rFonts w:hint="eastAsia" w:ascii="仿宋" w:hAnsi="仿宋" w:eastAsia="仿宋" w:cs="仿宋"/>
          <w:b/>
          <w:bCs/>
          <w:color w:val="000000"/>
          <w:sz w:val="32"/>
          <w:szCs w:val="32"/>
          <w:highlight w:val="none"/>
          <w:shd w:val="clear" w:color="auto" w:fill="ffffff"/>
        </w:rPr>
        <w:t xml:space="preserve">三、投标文件的编制</w:t>
      </w:r>
      <w:bookmarkEnd w:id="83"/>
      <w:r/>
      <w:bookmarkEnd w:id="84"/>
      <w:r/>
      <w:bookmarkEnd w:id="85"/>
      <w:r/>
      <w:bookmarkEnd w:id="86"/>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10、投标文件的编制要求</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10.2投标文件应当对招标文件有关交货期、投标有效期、质量要求、技术标准和要求、招标范围等实质性内容作出响应。</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10.3中标后按相关要求提供与电子投标文件一致的纸质打印投标文件。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10.4投标文件须加盖电子签章之处，应按要求加盖投标人数字证书的电子签章。其他需要盖章但未明确要求电子签章的，</w:t>
      </w:r>
      <w:r>
        <w:rPr>
          <w:rFonts w:hint="eastAsia" w:ascii="仿宋" w:hAnsi="仿宋" w:eastAsia="仿宋" w:cs="仿宋"/>
          <w:color w:val="000000"/>
          <w:highlight w:val="none"/>
          <w:u w:val="single"/>
          <w:shd w:val="clear" w:color="auto" w:fill="ffffff"/>
        </w:rPr>
        <w:t xml:space="preserve">投标人可按要求加盖公章后上传材料电子件或直接加盖电子签章。</w:t>
      </w:r>
      <w:r>
        <w:rPr>
          <w:rFonts w:hint="eastAsia" w:ascii="仿宋" w:hAnsi="仿宋" w:eastAsia="仿宋" w:cs="仿宋"/>
          <w:color w:val="000000"/>
          <w:highlight w:val="none"/>
          <w:shd w:val="clear" w:color="auto" w:fill="ffffff"/>
        </w:rPr>
        <w:t xml:space="preserve">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10.5本项目通过“苏采云”系统进行电子招标投标，即投标人投标文件使用政府采购客户端工具制作并通过“苏采云”系统提交，如标书制作工具中格式和内容与“宿迁市政府采购网”发布的采购文件不一致，请以“宿迁市政府采购网”发布的采购文件为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投标人应当通过“苏采云”系统提交数据电文形式的投标文件（即电子投标）。未进行投标文件提交并解密的投标人，按照无效响应处理(因“苏采云”系统导致解密失败的除外)。</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11、投标文件构成</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11.1投标声明及承诺函。</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11.2法人授权书；</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11.3报价文件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11.3.1开标一览表；</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11.3.2投标分项报价表。</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11.4综合评审评分项相关技术文件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11.5商务文件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87" w:name="EBdc2c24f6358343e896cd43bd6621a619"/>
      <w:r>
        <w:rPr>
          <w:rFonts w:hint="eastAsia" w:ascii="仿宋" w:hAnsi="仿宋" w:eastAsia="仿宋" w:cs="仿宋"/>
          <w:color w:val="000000"/>
          <w:highlight w:val="none"/>
          <w:shd w:val="clear" w:color="auto" w:fill="ffffff"/>
        </w:rPr>
        <w:t xml:space="preserve">11.5.1投标人承担的类似项目业绩一览表；</w:t>
      </w:r>
      <w:bookmarkEnd w:id="87"/>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11.5.2其他商务文件。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11.6投标人认为有必要提供的其它材料。</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如标书制作工具中格式和内容与“宿迁市政府采购网”发布的招标文件不一致，请以“宿迁市政府采购网”发布的招标文件为准。</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bookmarkStart w:id="88" w:name="EBc50e2bb832bb43068403b10c1cce6141"/>
      <w:r>
        <w:rPr>
          <w:rFonts w:hint="eastAsia" w:ascii="仿宋" w:hAnsi="仿宋" w:eastAsia="仿宋" w:cs="仿宋"/>
          <w:b/>
          <w:bCs/>
          <w:color w:val="000000"/>
          <w:highlight w:val="none"/>
          <w:shd w:val="clear" w:color="auto" w:fill="ffffff"/>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bookmarkEnd w:id="88"/>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12、投标文件的加密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投标人应使用经苏采云系统认可的电子商务认证授权机构（CA认证中心）颁发的数字证书对其电子投标文件认证并加密，未按要求加密并认证的投标文件，不予受理。</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13、投标报价</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13.1报价为一次报价，于开标会议当场宣读。</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13.2本项目不接受备选的投标方案或有选择的报价，只允许有一个报价。投标报价内容包括：完成本项目所需的一切费用。</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13.3报价注意事项：价格一律以人民币计算，以元为单位标准。</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14、投标保证金</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89" w:name="EB183a0bf075204c54a4ff090f1aecaaa7"/>
      <w:r>
        <w:rPr>
          <w:rFonts w:hint="eastAsia" w:ascii="仿宋" w:hAnsi="仿宋" w:eastAsia="仿宋" w:cs="仿宋"/>
          <w:color w:val="000000"/>
          <w:highlight w:val="none"/>
          <w:shd w:val="clear" w:color="auto" w:fill="ffffff"/>
        </w:rPr>
        <w:t xml:space="preserve">本项目不收取投标保证金。</w:t>
      </w:r>
      <w:bookmarkEnd w:id="89"/>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15、投标有效期</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15.1在投标人须知前附表规定的投标有效期内，投标有效期从提交投标文件的截止之日起算。投标有效期不足的投标，在评标时将其视为投标无效。</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期届满后将不再有效；投标人同意延长的，不允许修改或撤回投标文件。</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bookmarkStart w:id="90" w:name="EB12ed6b870f334fa092f7ed1f9a9dbab8"/>
      <w:r>
        <w:rPr>
          <w:rFonts w:hint="eastAsia" w:ascii="仿宋" w:hAnsi="仿宋" w:eastAsia="仿宋" w:cs="仿宋"/>
          <w:color w:val="000080"/>
          <w:sz w:val="20"/>
          <w:szCs w:val="20"/>
          <w:highlight w:val="none"/>
          <w:shd w:val="clear" w:color="auto" w:fill="ffffff"/>
        </w:rPr>
        <w:t xml:space="preserve"> </w:t>
      </w:r>
      <w:bookmarkEnd w:id="90"/>
      <w:r/>
      <w:bookmarkStart w:id="91" w:name="EB5d36e8077cc64e309c0c0f0cd8a6f496"/>
      <w:r>
        <w:rPr>
          <w:rFonts w:hint="eastAsia" w:ascii="仿宋" w:hAnsi="仿宋" w:eastAsia="仿宋" w:cs="仿宋"/>
          <w:color w:val="000080"/>
          <w:sz w:val="20"/>
          <w:szCs w:val="20"/>
          <w:highlight w:val="none"/>
          <w:shd w:val="clear" w:color="auto" w:fill="ffffff"/>
        </w:rPr>
        <w:t xml:space="preserve"> </w:t>
      </w:r>
      <w:bookmarkEnd w:id="91"/>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92" w:name="_Toc81575195"/>
      <w:r/>
      <w:bookmarkStart w:id="93" w:name="_Toc81575158"/>
      <w:r/>
      <w:bookmarkStart w:id="94" w:name="_Toc176774455"/>
      <w:r/>
      <w:bookmarkStart w:id="95" w:name="_Toc23443"/>
      <w:r>
        <w:rPr>
          <w:rFonts w:hint="eastAsia" w:ascii="仿宋" w:hAnsi="仿宋" w:eastAsia="仿宋" w:cs="仿宋"/>
          <w:b/>
          <w:bCs/>
          <w:color w:val="000000"/>
          <w:sz w:val="32"/>
          <w:szCs w:val="32"/>
          <w:highlight w:val="none"/>
          <w:shd w:val="clear" w:color="auto" w:fill="ffffff"/>
        </w:rPr>
        <w:t xml:space="preserve">四、投标文件的提交</w:t>
      </w:r>
      <w:bookmarkEnd w:id="92"/>
      <w:r/>
      <w:bookmarkEnd w:id="93"/>
      <w:r/>
      <w:bookmarkEnd w:id="94"/>
      <w:r/>
      <w:bookmarkEnd w:id="95"/>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16、投标文件的提交</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16.1投标人应在招标文件规定的投标截止时间前提交投标文件。投标人应将电子投标文件上传至“苏采云”系统对应的本次开标采购包中，未及时上传的，招标人不予受理。投标文件提交截止时间后，投标人对投标报价或其他实质性内容修正的函件和增加的任何优惠条件，一律拒绝接收。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16.2除招标文件另有规定外，投标人所提交的投标文件不予退还。</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16.3网上投标文件的修改和撤回：在投标截止时间前，投标人可以撤回或重新提交投标文件，投标文件以最终完成上传的为准。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16.4采购代理机构可以通过修改招标文件酌情延长投标文件接收截止日期，在此情况下，投标人的所有权利和义务以及投标人受制约的截止日期均应以延长后新的截止日期为准。</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17、投标文件被拒绝接收的情形</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17.1在招标文件规定的投标截止时间后上传的投标文件。</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bookmarkStart w:id="96" w:name="EB1a0613573add421692a7e6f802327ecc"/>
      <w:r>
        <w:rPr>
          <w:rFonts w:hint="eastAsia" w:ascii="仿宋" w:hAnsi="仿宋" w:eastAsia="仿宋" w:cs="仿宋"/>
          <w:color w:val="000080"/>
          <w:sz w:val="20"/>
          <w:szCs w:val="20"/>
          <w:highlight w:val="none"/>
          <w:shd w:val="clear" w:color="auto" w:fill="ffffff"/>
        </w:rPr>
        <w:t xml:space="preserve"> </w:t>
      </w:r>
      <w:bookmarkEnd w:id="96"/>
      <w:r/>
      <w:bookmarkStart w:id="97" w:name="EB2abce7e2c6f440e8b25c6bbba111ee54"/>
      <w:r>
        <w:rPr>
          <w:rFonts w:hint="eastAsia" w:ascii="仿宋" w:hAnsi="仿宋" w:eastAsia="仿宋" w:cs="仿宋"/>
          <w:color w:val="000080"/>
          <w:sz w:val="20"/>
          <w:szCs w:val="20"/>
          <w:highlight w:val="none"/>
          <w:shd w:val="clear" w:color="auto" w:fill="ffffff"/>
        </w:rPr>
        <w:t xml:space="preserve"> </w:t>
      </w:r>
      <w:bookmarkEnd w:id="97"/>
      <w:r/>
      <w:bookmarkStart w:id="98" w:name="EB200c38d7a1c345f29b604b38d510a951"/>
      <w:r>
        <w:rPr>
          <w:rFonts w:hint="eastAsia" w:ascii="仿宋" w:hAnsi="仿宋" w:eastAsia="仿宋" w:cs="仿宋"/>
          <w:color w:val="000080"/>
          <w:sz w:val="20"/>
          <w:szCs w:val="20"/>
          <w:highlight w:val="none"/>
          <w:shd w:val="clear" w:color="auto" w:fill="ffffff"/>
        </w:rPr>
        <w:t xml:space="preserve"> </w:t>
      </w:r>
      <w:bookmarkEnd w:id="98"/>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99" w:name="_Toc8841"/>
      <w:r/>
      <w:bookmarkStart w:id="100" w:name="_Toc176774456"/>
      <w:r/>
      <w:bookmarkStart w:id="101" w:name="_Toc81575196"/>
      <w:r/>
      <w:bookmarkStart w:id="102" w:name="_Toc81575159"/>
      <w:r>
        <w:rPr>
          <w:rFonts w:hint="eastAsia" w:ascii="仿宋" w:hAnsi="仿宋" w:eastAsia="仿宋" w:cs="仿宋"/>
          <w:b/>
          <w:bCs/>
          <w:color w:val="000000"/>
          <w:sz w:val="32"/>
          <w:szCs w:val="32"/>
          <w:highlight w:val="none"/>
          <w:shd w:val="clear" w:color="auto" w:fill="ffffff"/>
        </w:rPr>
        <w:t xml:space="preserve">五、无效标、废标、串通投标认定条款</w:t>
      </w:r>
      <w:bookmarkEnd w:id="99"/>
      <w:r/>
      <w:bookmarkEnd w:id="100"/>
      <w:r/>
      <w:bookmarkEnd w:id="101"/>
      <w:r/>
      <w:bookmarkEnd w:id="102"/>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18、无效投标条款</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bookmarkStart w:id="103" w:name="EB94942e5430df4fb8a077f3cf7667f212"/>
      <w:r>
        <w:rPr>
          <w:rFonts w:hint="eastAsia" w:ascii="仿宋" w:hAnsi="仿宋" w:eastAsia="仿宋" w:cs="仿宋"/>
          <w:color w:val="000000"/>
          <w:highlight w:val="none"/>
          <w:shd w:val="clear" w:color="auto" w:fill="ffffff"/>
        </w:rPr>
        <w:tab/>
      </w:r>
      <w:r>
        <w:rPr>
          <w:rFonts w:hint="eastAsia" w:ascii="仿宋" w:hAnsi="仿宋" w:eastAsia="仿宋" w:cs="仿宋"/>
          <w:color w:val="000000"/>
          <w:highlight w:val="none"/>
          <w:shd w:val="clear" w:color="auto" w:fill="ffffff"/>
        </w:rPr>
        <w:t xml:space="preserve">18.1投标人不符合招标文件规定资格要求的或未按规定提交资质证件的；</w:t>
      </w:r>
      <w:bookmarkEnd w:id="103"/>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18.2投标文件签署、盖章不符合招标文件要求的；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18.3未按招标文件要求提供电子投标文件，或者在苏采云系统规定的时间内未成功解密电子投标文件；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18.4报价超过招标文件中规定的预算金额或者最高限价的；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18.5投标文件出现重大偏离，未对招标文件进行实质性响应的（★部分为实质性要求）；</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18.6投标文件含有采购人不能接受的附加条件的；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18.7投标人有本招标文件规定的恶意串通投标情形的；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18.8其它评标委员会认为有必要取消的投标；</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18.9法律、法规规定的其它情况。</w:t>
      </w:r>
      <w:r>
        <w:rPr>
          <w:rFonts w:hint="eastAsia" w:ascii="仿宋" w:hAnsi="仿宋" w:eastAsia="仿宋" w:cs="仿宋"/>
          <w:highlight w:val="none"/>
        </w:rPr>
      </w:r>
      <w:r/>
    </w:p>
    <w:p>
      <w:pPr>
        <w:pStyle w:val="830"/>
        <w:ind w:firstLine="40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80"/>
          <w:sz w:val="20"/>
          <w:szCs w:val="20"/>
          <w:highlight w:val="none"/>
          <w:shd w:val="clear" w:color="auto" w:fill="ffffff"/>
        </w:rPr>
        <w:t xml:space="preserve"> </w:t>
      </w:r>
      <w:r>
        <w:rPr>
          <w:rFonts w:hint="eastAsia" w:ascii="仿宋" w:hAnsi="仿宋" w:eastAsia="仿宋" w:cs="仿宋"/>
          <w:b/>
          <w:bCs/>
          <w:color w:val="000000"/>
          <w:highlight w:val="none"/>
          <w:shd w:val="clear" w:color="auto" w:fill="ffffff"/>
        </w:rPr>
        <w:t xml:space="preserve">19、废标条款</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19.1符合专业条件的投标人或者对招标文件作实质响应的投标人不足三家的；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19.2出现影响采购公正的违法、违规行为的；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19.3投标人的报价均超过了采购预算，且采购人不能支付的；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19.4因重大变故，采购任务取消的。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19.5评标委员会认定招标文件存在歧义、重大缺陷导致评审工作无法进行。</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19.6因</w:t>
      </w:r>
      <w:r>
        <w:rPr>
          <w:rFonts w:hint="eastAsia" w:ascii="仿宋" w:hAnsi="仿宋" w:eastAsia="仿宋" w:cs="仿宋"/>
          <w:b/>
          <w:bCs/>
          <w:color w:val="ff0000"/>
          <w:highlight w:val="none"/>
          <w:shd w:val="clear" w:color="auto" w:fill="ffffff"/>
        </w:rPr>
        <w:t xml:space="preserve">苏采云系统</w:t>
      </w:r>
      <w:r>
        <w:rPr>
          <w:rFonts w:hint="eastAsia" w:ascii="仿宋" w:hAnsi="仿宋" w:eastAsia="仿宋" w:cs="仿宋"/>
          <w:color w:val="000000"/>
          <w:highlight w:val="none"/>
          <w:shd w:val="clear" w:color="auto" w:fill="ffffff"/>
        </w:rPr>
        <w:t xml:space="preserve">系统故障原因造成开标不成功的。</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20、投标人不足三家情形处理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投标截止后投标人不足3家或者通过资格审查或符合性审查的投标人不足3家的，除采购任务取消情形外，按财政部令第87号第四十三条条款进行处理。</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21、取消中标候选人资格条款</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21.1提供虚假材料谋取中标的；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21.2采取不正当手段诋毁、排挤其他投标人的；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21.3与采购人、其他投标人或者采购代理机构恶意串通的；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21.4向采购人、采购代理机构行贿或者提供其他不正当利益的；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21.5未在规定时间内与采购人签订采购合同的；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21.6法律、法规规定的其它情况。</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22、串通投标的情形</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有下列情形之一的，属于恶意串通投标：</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22.1投标人直接或间接从采购人或采购代理机构处获得其他投标人的投标情况，并修改其投标文件；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22.2评审活动开始前投标人直接或间接从采购人或采购代理机构处获得评标委员会组成人员情况；</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22.3投标人接受采购人或采购代理机构授意撤换、修改投标文件；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22.4投标人之间协商投标报价、技术方案等投标文件实质性内容；</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22.5属于同一集团、协会、商会等组织成员的投标人按照该组织要求协同投标；</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22.6投标人之间事先约定由某一特定投标人中标、成交；</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22.7投标人之间商定部分投标人放弃投标或者放弃中标、成交；</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22.8投标人与采购人或采购代理机构之间、投标人相互之间为谋求特定投标人中标成交或者排斥其他投标人的其他串通行为；</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有下列情形之一的，视为投标人串通投标，其投标无效：</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22.9不同投标人的投标文件由同一单位或者个人编制；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22.10不同投标人委托同一单位或者个人办理投标事宜；</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22.11不同投标人的投标文件载明的项目管理成员或者联系人员为同一人；</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22.12不同投标人的投标文件异常一致或者投标报价呈规律性差异；</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22.13不同投标人的投标文件相互混装；</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22.14不同投标人的投标保证金从同一单位或者个人的账户转出。</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bookmarkStart w:id="104" w:name="EBcc7423567fb349dc944ead6109f4340c"/>
      <w:r>
        <w:rPr>
          <w:rFonts w:hint="eastAsia" w:ascii="仿宋" w:hAnsi="仿宋" w:eastAsia="仿宋" w:cs="仿宋"/>
          <w:color w:val="000080"/>
          <w:sz w:val="20"/>
          <w:szCs w:val="20"/>
          <w:highlight w:val="none"/>
          <w:shd w:val="clear" w:color="auto" w:fill="ffffff"/>
        </w:rPr>
        <w:t xml:space="preserve"> </w:t>
      </w:r>
      <w:bookmarkEnd w:id="104"/>
      <w:r/>
      <w:bookmarkStart w:id="105" w:name="EB76ea5ed115084e6eb1f37ee5ca324eb3"/>
      <w:r>
        <w:rPr>
          <w:rFonts w:hint="eastAsia" w:ascii="仿宋" w:hAnsi="仿宋" w:eastAsia="仿宋" w:cs="仿宋"/>
          <w:color w:val="000080"/>
          <w:sz w:val="20"/>
          <w:szCs w:val="20"/>
          <w:highlight w:val="none"/>
          <w:shd w:val="clear" w:color="auto" w:fill="ffffff"/>
        </w:rPr>
        <w:t xml:space="preserve"> </w:t>
      </w:r>
      <w:bookmarkEnd w:id="105"/>
      <w:r/>
      <w:bookmarkStart w:id="106" w:name="EB9e3458116ed741408b74babd3cf5dbce"/>
      <w:r>
        <w:rPr>
          <w:rFonts w:hint="eastAsia" w:ascii="仿宋" w:hAnsi="仿宋" w:eastAsia="仿宋" w:cs="仿宋"/>
          <w:color w:val="000080"/>
          <w:sz w:val="20"/>
          <w:szCs w:val="20"/>
          <w:highlight w:val="none"/>
          <w:shd w:val="clear" w:color="auto" w:fill="ffffff"/>
        </w:rPr>
        <w:t xml:space="preserve"> </w:t>
      </w:r>
      <w:bookmarkEnd w:id="106"/>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107" w:name="_Toc176774457"/>
      <w:r/>
      <w:bookmarkStart w:id="108" w:name="_Toc20026"/>
      <w:r/>
      <w:bookmarkStart w:id="109" w:name="_Toc81575197"/>
      <w:r/>
      <w:bookmarkStart w:id="110" w:name="_Toc81575160"/>
      <w:r>
        <w:rPr>
          <w:rFonts w:hint="eastAsia" w:ascii="仿宋" w:hAnsi="仿宋" w:eastAsia="仿宋" w:cs="仿宋"/>
          <w:b/>
          <w:bCs/>
          <w:color w:val="000000"/>
          <w:sz w:val="32"/>
          <w:szCs w:val="32"/>
          <w:highlight w:val="none"/>
          <w:shd w:val="clear" w:color="auto" w:fill="ffffff"/>
        </w:rPr>
        <w:t xml:space="preserve">六、开标、资格审查、评标程序</w:t>
      </w:r>
      <w:bookmarkEnd w:id="107"/>
      <w:r/>
      <w:bookmarkEnd w:id="108"/>
      <w:r/>
      <w:bookmarkEnd w:id="109"/>
      <w:r/>
      <w:bookmarkEnd w:id="110"/>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23、开标会议</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23.1代理机构项目负责人按招标文件规定的时间、地点组织公开开标。采购单位代表及有关工作人员参加，政府采购监管部门代表视情况参与监管。</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23.2开标会议由代理机构项目负责人主持。</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23.3开标时投标人应使用CA证书参与投标文件解密。投标人用于解密的CA证书应为该投标文件生成加密、上传的同一把CA证书。</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23.3.1采用不见面开标的项目，投标人应登录“苏采云”系统“开标大厅”或进入宿迁市政府采购网，点击“政府采购管理交易系统（苏采云）”进入系统“开标大厅”，在系统约定时间内使用CA证书解密，未成功解密的视为其放弃投标。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23.4</w:t>
      </w:r>
      <w:r>
        <w:rPr>
          <w:rFonts w:hint="eastAsia" w:ascii="仿宋" w:hAnsi="仿宋" w:eastAsia="仿宋" w:cs="仿宋"/>
          <w:color w:val="000000"/>
          <w:highlight w:val="none"/>
        </w:rPr>
        <w:t xml:space="preserve">苏采云系统将自动对项目进行开标，</w:t>
      </w:r>
      <w:r>
        <w:rPr>
          <w:rFonts w:hint="eastAsia" w:ascii="仿宋" w:hAnsi="仿宋" w:eastAsia="仿宋" w:cs="仿宋"/>
          <w:color w:val="000000"/>
          <w:highlight w:val="none"/>
          <w:shd w:val="clear" w:color="auto" w:fill="ffffff"/>
        </w:rPr>
        <w:t xml:space="preserve">开标会议上将公布投标人名称、投标报价等主要内容。</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采用现场开标的项目，开标过程的相关记录，由参加开标的各投标人代表和相关工作人员签字确认。投标人未参加开标的，视同认可开标结果。</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23.5投标人在开、评标全过程中应保持通讯畅通，及时登录</w:t>
      </w:r>
      <w:r>
        <w:rPr>
          <w:rFonts w:hint="eastAsia" w:ascii="仿宋" w:hAnsi="仿宋" w:eastAsia="仿宋" w:cs="仿宋"/>
          <w:b/>
          <w:bCs/>
          <w:color w:val="ff0000"/>
          <w:highlight w:val="none"/>
          <w:shd w:val="clear" w:color="auto" w:fill="ffffff"/>
        </w:rPr>
        <w:t xml:space="preserve">苏采云系统</w:t>
      </w:r>
      <w:r>
        <w:rPr>
          <w:rFonts w:hint="eastAsia" w:ascii="仿宋" w:hAnsi="仿宋" w:eastAsia="仿宋" w:cs="仿宋"/>
          <w:color w:val="000000"/>
          <w:highlight w:val="none"/>
          <w:shd w:val="clear" w:color="auto" w:fill="ffffff"/>
        </w:rPr>
        <w:t xml:space="preserve">查阅、答复相关信息，并安排专人与代理机构及评标委员会联系。</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24、开标流程</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24.1不见面开标主要程序：主持人按下列程序进行开标，开标按采购包顺序进行。</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24.1.1开标主持；</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24.1.2投标人对电子投标文件解密；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24.1.3唱标；</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24.1.4开标会议结束。</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投标人如果对开标过程和开标记录有疑义，应当根据《操作手册》规定提出，如苏采云系统中《开标记录表》宣布后5分钟内未提出的，视同认可开标结果。</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25、资格审查</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111" w:name="EBa9c0a2c9e523494487594c65b2a92370"/>
      <w:r>
        <w:rPr>
          <w:rFonts w:hint="eastAsia" w:ascii="仿宋" w:hAnsi="仿宋" w:eastAsia="仿宋" w:cs="仿宋"/>
          <w:color w:val="000000"/>
          <w:highlight w:val="none"/>
          <w:shd w:val="clear" w:color="auto" w:fill="ffffff"/>
        </w:rPr>
        <w:t xml:space="preserve">开标结束后，采购人依法根据招标文件的规定对投标人的资格证明文件等进行审查。</w:t>
      </w:r>
      <w:bookmarkEnd w:id="111"/>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26、评标委员会</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27、评标原则</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“公平、公正、客观、择优”为评标的基本原则，以招标文件和投标文件为评标的基本依据，并按照招标文件规定的评标方法和评标标准进行评标。评标委员将根据这一原则，公正、平等地对待各投标人。</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28、评标程序</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12" w:name="EB1499356fad43416eb16398733accabf7"/>
      <w:r>
        <w:rPr>
          <w:rFonts w:hint="eastAsia" w:ascii="仿宋" w:hAnsi="仿宋" w:eastAsia="仿宋" w:cs="仿宋"/>
          <w:color w:val="000000"/>
          <w:highlight w:val="none"/>
          <w:shd w:val="clear" w:color="auto" w:fill="ffffff"/>
        </w:rPr>
        <w:t xml:space="preserve">所谓重大偏离是指投标人投标文件中所述设备质量、技术规格、数量、交货期和服务等明显不能满足招标文件要求。</w:t>
      </w:r>
      <w:bookmarkEnd w:id="112"/>
      <w:r>
        <w:rPr>
          <w:rFonts w:hint="eastAsia" w:ascii="仿宋" w:hAnsi="仿宋" w:eastAsia="仿宋" w:cs="仿宋"/>
          <w:color w:val="000000"/>
          <w:highlight w:val="none"/>
          <w:shd w:val="clear" w:color="auto" w:fill="ffffff"/>
        </w:rPr>
        <w:t xml:space="preserve">重大偏离的认定须经评标委员会三分之二以上同意。</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评标委员会判断“投标文件”的响应性，仅基于“投标文件”本身而不靠外部证据。对非实质性响应的投标文件，投标人不能通过修正或撤销不符之处，而使其成为实质性响应。</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28.2澄清有关问题。</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28.2.1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28.2.2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r>
        <w:rPr>
          <w:rFonts w:hint="eastAsia" w:ascii="仿宋" w:hAnsi="仿宋" w:eastAsia="仿宋" w:cs="仿宋"/>
          <w:highlight w:val="none"/>
        </w:rPr>
      </w:r>
      <w:r/>
    </w:p>
    <w:p>
      <w:pPr>
        <w:pStyle w:val="830"/>
        <w:ind w:firstLine="60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28.2.2投标文件报价出现前后不一致的，除招标文件另有规定外，按照下列规定修正：</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①投标文件中开标一览表（报价表）内容与投标文件中相应内容不一致的，以开标一览表（报价表）为准；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②大写金额和小写金额不一致的，以大写金额为准；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③单价金额小数点或者百分比有明显错位的，以开标一览表的总价为准，并修改单价；</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④总价金额与按单价汇总金额不一致的，以单价金额计算结果为准。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同时出现两种以上不一致的，按照前款规定的顺序修正。修正后的报价，经投标人确认后产生约束力，投标人不确认的，其投标无效。</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28.3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28.4比较。评标委员会将按招标文件中规定的评标方法和标准，对符合性检查合格的投标文件进行商务和技术评比。</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28.5推荐中标候选人。评标委员会按照招标文件中规定的评标方法和标准推荐中标候选人。</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bookmarkStart w:id="113" w:name="EB5514f9b371d443648fc13fa8e895ebcf"/>
      <w:r>
        <w:rPr>
          <w:rFonts w:hint="eastAsia" w:ascii="仿宋" w:hAnsi="仿宋" w:eastAsia="仿宋" w:cs="仿宋"/>
          <w:color w:val="000080"/>
          <w:sz w:val="20"/>
          <w:szCs w:val="20"/>
          <w:highlight w:val="none"/>
          <w:shd w:val="clear" w:color="auto" w:fill="ffffff"/>
        </w:rPr>
        <w:t xml:space="preserve"> </w:t>
      </w:r>
      <w:bookmarkEnd w:id="113"/>
      <w:r/>
      <w:bookmarkStart w:id="114" w:name="EB66024636071342209da8bda483232040"/>
      <w:r>
        <w:rPr>
          <w:rFonts w:hint="eastAsia" w:ascii="仿宋" w:hAnsi="仿宋" w:eastAsia="仿宋" w:cs="仿宋"/>
          <w:color w:val="000080"/>
          <w:sz w:val="20"/>
          <w:szCs w:val="20"/>
          <w:highlight w:val="none"/>
          <w:shd w:val="clear" w:color="auto" w:fill="ffffff"/>
        </w:rPr>
        <w:t xml:space="preserve"> </w:t>
      </w:r>
      <w:bookmarkEnd w:id="114"/>
      <w:r/>
      <w:bookmarkStart w:id="115" w:name="EBd9bc59d5f2ed4fb8a64ee2e373d8cc72"/>
      <w:r>
        <w:rPr>
          <w:rFonts w:hint="eastAsia" w:ascii="仿宋" w:hAnsi="仿宋" w:eastAsia="仿宋" w:cs="仿宋"/>
          <w:color w:val="000080"/>
          <w:sz w:val="20"/>
          <w:szCs w:val="20"/>
          <w:highlight w:val="none"/>
          <w:shd w:val="clear" w:color="auto" w:fill="ffffff"/>
        </w:rPr>
        <w:t xml:space="preserve"> </w:t>
      </w:r>
      <w:bookmarkEnd w:id="115"/>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116" w:name="_Toc176774458"/>
      <w:r/>
      <w:bookmarkStart w:id="117" w:name="_Toc6494"/>
      <w:r/>
      <w:bookmarkStart w:id="118" w:name="_Toc81575161"/>
      <w:r/>
      <w:bookmarkStart w:id="119" w:name="_Toc81575198"/>
      <w:r>
        <w:rPr>
          <w:rFonts w:hint="eastAsia" w:ascii="仿宋" w:hAnsi="仿宋" w:eastAsia="仿宋" w:cs="仿宋"/>
          <w:b/>
          <w:bCs/>
          <w:color w:val="000000"/>
          <w:sz w:val="32"/>
          <w:szCs w:val="32"/>
          <w:highlight w:val="none"/>
          <w:shd w:val="clear" w:color="auto" w:fill="ffffff"/>
        </w:rPr>
        <w:t xml:space="preserve">七、中标及合同签订</w:t>
      </w:r>
      <w:bookmarkEnd w:id="116"/>
      <w:r/>
      <w:bookmarkEnd w:id="117"/>
      <w:r/>
      <w:bookmarkEnd w:id="118"/>
      <w:r/>
      <w:bookmarkEnd w:id="119"/>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29、确定中标人</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29.1中标投标人确定之日起2个工作日内，采购人或采购代理机构将在财政部门指定信息媒体上发布中标结果，中标公告的公告期限为 1个工作日。</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29.2在中标结果公告期届满前，中标人被列为失信被执行人的，取消其中标资格，并重新确定中标人。</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29.3采购人不得通过对样品进行检测、对投标人进行考察等方式改变评审结果。</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29.4采购人应当自收到评审报告之日起5个工作日内在评审报告推荐的中标候选人中按顺序确定中标人。</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30、中标通知书</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30.1中标结果确定后，交易中心将向中标人发出中标通知书。请中标人使用CA数字证书登录“苏采云系统”及时下载中标通知书。中标投标人可自行下载打印《中标通知书》，《中标通知书》将作为授予合同资格的唯一合法依据。中标通知书发出后，采购人不得违法改变中标结果，中标投标人不得放弃中标。中标投标人放弃中标的，应当依法承担相应的法律责任。</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30.2中标通知书发出之日起5个工作日内，中标人应提供</w:t>
      </w:r>
      <w:bookmarkStart w:id="120" w:name="EB77316d0a14244b75a134d7ae2a68f57c"/>
      <w:r>
        <w:rPr>
          <w:rFonts w:hint="eastAsia" w:ascii="仿宋" w:hAnsi="仿宋" w:eastAsia="仿宋" w:cs="仿宋"/>
          <w:color w:val="000000"/>
          <w:highlight w:val="none"/>
          <w:shd w:val="clear" w:color="auto" w:fill="ffffff"/>
        </w:rPr>
        <w:t xml:space="preserve">2</w:t>
      </w:r>
      <w:bookmarkEnd w:id="120"/>
      <w:r>
        <w:rPr>
          <w:rFonts w:hint="eastAsia" w:ascii="仿宋" w:hAnsi="仿宋" w:eastAsia="仿宋" w:cs="仿宋"/>
          <w:color w:val="000000"/>
          <w:highlight w:val="none"/>
          <w:shd w:val="clear" w:color="auto" w:fill="ffffff"/>
        </w:rPr>
        <w:t xml:space="preserve">份与网上投标文件一致的纸质打印投标文件。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30.3采用综合评分法评审的，未中标的投标人可于中标结果公告期限届满之日起通过苏采云系统查看自己的评审得分及排序情况。</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30.4项目采购采用最低评标（审）价法的，公告中标、成交结果时应当同时公告因落实政府采购政策等原因进行价格扣除后中标、成交投标人的评审报价；项目采购采用综合评分法的，公告中标、成交结果时应当同时公告中标、成交投标人的评审总得分。</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31、签订和公告合同</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31.1采购人与中标投标人应当在中标通知书发出之日起15日内签订政府采购合同。招标文件、中标人的投标文件以及评标过程中有关澄清文件均作为合同附件。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31.2中标投标人拒绝与采购人签订合同的，采购人可以按照评审报告推荐的中标候选人名单排序，确定下一候选人为中标投标人，也可以重新开展政府采购活动。</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31.3采购人在自合同签订之日起2个工作日内，将合同在指定的媒体上公告。</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32、履约保证金</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按照以下</w:t>
      </w:r>
      <w:r>
        <w:rPr>
          <w:rFonts w:hint="eastAsia" w:ascii="仿宋" w:hAnsi="仿宋" w:eastAsia="仿宋" w:cs="仿宋"/>
          <w:color w:val="000000"/>
          <w:highlight w:val="none"/>
        </w:rPr>
        <w:t xml:space="preserve">第</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eastAsia="zh-CN"/>
        </w:rPr>
        <w:t xml:space="preserve">2</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方式</w:t>
      </w:r>
      <w:r>
        <w:rPr>
          <w:rFonts w:hint="eastAsia" w:ascii="仿宋" w:hAnsi="仿宋" w:eastAsia="仿宋" w:cs="仿宋"/>
          <w:color w:val="000000"/>
          <w:highlight w:val="none"/>
          <w:shd w:val="clear" w:color="auto" w:fill="ffffff"/>
        </w:rPr>
        <w:t xml:space="preserve">确定履约保证收取方式。</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(1)不收取履约保证金。</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shd w:val="clear" w:color="auto" w:fill="ffffff"/>
        </w:rPr>
        <w:t xml:space="preserve">本项目收取履约保证金。履约保证金应在采购合同签订前提交，履约保证金的金额：按采购合同总价的</w:t>
      </w:r>
      <w:r>
        <w:rPr>
          <w:rFonts w:hint="eastAsia" w:ascii="仿宋" w:hAnsi="仿宋" w:eastAsia="仿宋" w:cs="仿宋"/>
          <w:color w:val="000000"/>
          <w:highlight w:val="none"/>
          <w:u w:val="single"/>
          <w:shd w:val="clear" w:color="auto" w:fill="ffffff"/>
        </w:rPr>
        <w:t xml:space="preserve">2%</w:t>
      </w:r>
      <w:r>
        <w:rPr>
          <w:rFonts w:hint="eastAsia" w:ascii="仿宋" w:hAnsi="仿宋" w:eastAsia="仿宋" w:cs="仿宋"/>
          <w:color w:val="000000"/>
          <w:highlight w:val="none"/>
          <w:shd w:val="clear" w:color="auto" w:fill="ffffff"/>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履约保证金退还的条件：按以下第</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color w:val="000000"/>
          <w:highlight w:val="none"/>
          <w:u w:val="single"/>
          <w:shd w:val="clear" w:color="auto" w:fill="ffffff"/>
          <w:lang w:val="en-US" w:eastAsia="zh-CN"/>
        </w:rPr>
        <w:t xml:space="preserve">b</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color w:val="000000"/>
          <w:highlight w:val="none"/>
          <w:shd w:val="clear" w:color="auto" w:fill="ffffff"/>
        </w:rPr>
        <w:t xml:space="preserve">种方式实行：</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a、货物类项目，项目验收合格，出具验收报告及履约保证金收据申请退付；</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b、服务类项目，项目履约期满评价合格，出具履约评价报告及履约保证金收据申请退付；</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c、工程类项目，项目完工验收合格，出具完工证明及履约保证金收据申请退付；</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履约保证金退还时间：采购单位收到投标人退付申请后5个工作日内退还；</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33、线上融资</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中小微企业投标人可通过中征应收账款融资服务平台（网址：https://www.crcrfsp.com/），凭借中标通知书或政府采购合同向金融机构申请融资。</w:t>
      </w:r>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bookmarkStart w:id="121" w:name="EBb07a540bbba846748e1de4dbefab2ad1"/>
      <w:r>
        <w:rPr>
          <w:rFonts w:hint="eastAsia" w:ascii="仿宋" w:hAnsi="仿宋" w:eastAsia="仿宋" w:cs="仿宋"/>
          <w:b/>
          <w:bCs/>
          <w:color w:val="000000"/>
          <w:highlight w:val="none"/>
          <w:shd w:val="clear" w:color="auto" w:fill="ffffff"/>
        </w:rPr>
        <w:t xml:space="preserve"> </w:t>
      </w:r>
      <w:bookmarkEnd w:id="121"/>
      <w:r>
        <w:rPr>
          <w:rFonts w:hint="eastAsia" w:ascii="仿宋" w:hAnsi="仿宋" w:eastAsia="仿宋" w:cs="仿宋"/>
          <w:b/>
          <w:bCs/>
          <w:color w:val="000000"/>
          <w:highlight w:val="none"/>
          <w:shd w:val="clear" w:color="auto" w:fill="ffffff"/>
        </w:rPr>
        <w:t xml:space="preserve">34、合同履行</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34.1政府采购合同订立后，合同各方不得擅自变更、中止或者终止合同。</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34.2政府采购合同履行中，采购人需追加与合同标的相同的货物、工程或者服务的，在不改变合同其他条款的前提下，可以与中标投标人签订补充合同，但所补充合同的采购金额不得超过原采购金额的10%。</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122" w:name="_Toc176774459"/>
      <w:r/>
      <w:bookmarkStart w:id="123" w:name="_Toc7550"/>
      <w:r/>
      <w:bookmarkStart w:id="124" w:name="_Toc81575162"/>
      <w:r/>
      <w:bookmarkStart w:id="125" w:name="_Toc81575199"/>
      <w:r>
        <w:rPr>
          <w:rFonts w:hint="eastAsia" w:ascii="仿宋" w:hAnsi="仿宋" w:eastAsia="仿宋" w:cs="仿宋"/>
          <w:b/>
          <w:bCs/>
          <w:color w:val="000000"/>
          <w:sz w:val="32"/>
          <w:szCs w:val="32"/>
          <w:highlight w:val="none"/>
          <w:shd w:val="clear" w:color="auto" w:fill="ffffff"/>
        </w:rPr>
        <w:t xml:space="preserve">八、验收及付款</w:t>
      </w:r>
      <w:bookmarkEnd w:id="122"/>
      <w:r/>
      <w:bookmarkEnd w:id="123"/>
      <w:r/>
      <w:bookmarkEnd w:id="124"/>
      <w:r/>
      <w:bookmarkEnd w:id="125"/>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35、验收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bookmarkStart w:id="126" w:name="EBbbb2492ed6b84c9193a6bb6f72a512f3"/>
      <w:r>
        <w:rPr>
          <w:rFonts w:hint="eastAsia" w:ascii="仿宋" w:hAnsi="仿宋" w:eastAsia="仿宋" w:cs="仿宋"/>
          <w:color w:val="000000"/>
          <w:highlight w:val="none"/>
          <w:shd w:val="clear" w:color="auto" w:fill="ffffff"/>
        </w:rPr>
        <w:t xml:space="preserve">采购人应当组成验收小组，验收人员应当按照政府采购约定的验收标准，对投标人的履约情况开展验收。验收结束后，验收人员应当出具验收报告并签字。政府向社会公众提供的公共服务项目，验收结果应当向社会公告。</w:t>
      </w:r>
      <w:bookmarkEnd w:id="126"/>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36、付款</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 </w:t>
      </w:r>
      <w:bookmarkStart w:id="127" w:name="EBec7f529f50594afd871ea9378869e456"/>
      <w:r>
        <w:rPr>
          <w:rFonts w:hint="eastAsia" w:ascii="仿宋" w:hAnsi="仿宋" w:eastAsia="仿宋" w:cs="仿宋"/>
          <w:color w:val="000000"/>
          <w:highlight w:val="none"/>
          <w:shd w:val="clear" w:color="auto" w:fill="ffffff"/>
        </w:rPr>
        <w:t xml:space="preserve">按照以下</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color w:val="000000"/>
          <w:highlight w:val="none"/>
          <w:u w:val="single"/>
        </w:rPr>
        <w:t xml:space="preserve">服务</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color w:val="000000"/>
          <w:highlight w:val="none"/>
          <w:shd w:val="clear" w:color="auto" w:fill="ffffff"/>
        </w:rPr>
        <w:t xml:space="preserve">类项目确定的付款方式，采购人及时办理付款手续。对于满足合同约定支付条件的，自收到发票后10个工作日内将资金支付到合同约定的投标人账户或投标人数字人民币账户。</w:t>
      </w:r>
      <w:bookmarkEnd w:id="127"/>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预付款：（1）合同签订且在收到供应商发票后1</w:t>
      </w:r>
      <w:r>
        <w:rPr>
          <w:rFonts w:hint="eastAsia" w:ascii="仿宋" w:hAnsi="仿宋" w:eastAsia="仿宋" w:cs="仿宋"/>
          <w:color w:val="000000"/>
          <w:highlight w:val="none"/>
          <w:shd w:val="clear" w:color="auto" w:fill="ffffff"/>
          <w:lang w:val="en-US" w:eastAsia="zh-CN"/>
        </w:rPr>
        <w:t xml:space="preserve">0个工作</w:t>
      </w:r>
      <w:r>
        <w:rPr>
          <w:rFonts w:hint="eastAsia" w:ascii="仿宋" w:hAnsi="仿宋" w:eastAsia="仿宋" w:cs="仿宋"/>
          <w:color w:val="000000"/>
          <w:highlight w:val="none"/>
          <w:shd w:val="clear" w:color="auto" w:fill="ffffff"/>
        </w:rPr>
        <w:t xml:space="preserve">日内，采购人向成交人支付到合同总价款的10%作为预付款；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进度款：</w:t>
      </w:r>
      <w:r>
        <w:rPr>
          <w:rFonts w:hint="eastAsia" w:ascii="仿宋" w:hAnsi="仿宋" w:eastAsia="仿宋" w:cs="仿宋"/>
          <w:color w:val="000000"/>
          <w:highlight w:val="none"/>
          <w:shd w:val="clear" w:color="auto" w:fill="ffffff"/>
        </w:rPr>
        <w:t xml:space="preserve">（2）软件需求规格说明书（含数据库、功能详细设计）编制完成，并通过甲方确认，支付至合同总价的30%；</w:t>
      </w:r>
      <w:r>
        <w:rPr>
          <w:rFonts w:hint="eastAsia" w:ascii="仿宋" w:hAnsi="仿宋" w:eastAsia="仿宋" w:cs="仿宋"/>
          <w:color w:val="000000"/>
          <w:highlight w:val="none"/>
          <w:shd w:val="clear" w:color="auto" w:fill="ffffff"/>
        </w:rPr>
      </w:r>
      <w:r/>
    </w:p>
    <w:p>
      <w:pPr>
        <w:pStyle w:val="830"/>
        <w:jc w:val="both"/>
        <w:spacing w:before="0" w:beforeAutospacing="0" w:after="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（3）项目通过甲方组织的由监理单位、软件第三方测评单位、信息化专家等参加的初验，初验合格后支付至合同总价的60%；</w:t>
      </w:r>
      <w:r>
        <w:rPr>
          <w:rFonts w:hint="eastAsia" w:ascii="仿宋" w:hAnsi="仿宋" w:eastAsia="仿宋" w:cs="仿宋"/>
          <w:color w:val="000000"/>
          <w:highlight w:val="none"/>
          <w:shd w:val="clear" w:color="auto" w:fill="ffffff"/>
        </w:rPr>
      </w:r>
      <w:r/>
    </w:p>
    <w:p>
      <w:pPr>
        <w:pStyle w:val="830"/>
        <w:jc w:val="both"/>
        <w:spacing w:before="0" w:beforeAutospacing="0" w:after="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（4）系统连续稳定试运行3个月，并根据相关使用方意见修改完善后，经甲方、监理单位、软件第三方测评单位、相关专家书面确认后，项目终验合格后支付至合同总价的75%；</w:t>
      </w:r>
      <w:r>
        <w:rPr>
          <w:rFonts w:hint="eastAsia" w:ascii="仿宋" w:hAnsi="仿宋" w:eastAsia="仿宋" w:cs="仿宋"/>
          <w:color w:val="000000"/>
          <w:highlight w:val="none"/>
          <w:shd w:val="clear" w:color="auto" w:fill="ffffff"/>
        </w:rPr>
      </w:r>
      <w:r/>
    </w:p>
    <w:p>
      <w:pPr>
        <w:pStyle w:val="830"/>
        <w:jc w:val="both"/>
        <w:spacing w:before="0" w:beforeAutospacing="0" w:after="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shd w:val="clear" w:color="auto" w:fill="ffffff"/>
        </w:rPr>
        <w:t xml:space="preserve">（5）运维期间，第一年付至</w:t>
      </w:r>
      <w:r>
        <w:rPr>
          <w:rFonts w:hint="eastAsia" w:ascii="仿宋" w:hAnsi="仿宋" w:eastAsia="仿宋" w:cs="仿宋"/>
          <w:sz w:val="24"/>
          <w:szCs w:val="24"/>
          <w:highlight w:val="none"/>
          <w:lang w:val="en-US" w:eastAsia="zh-CN"/>
        </w:rPr>
        <w:t xml:space="preserve">合同</w:t>
      </w:r>
      <w:r>
        <w:rPr>
          <w:rFonts w:hint="eastAsia" w:ascii="仿宋" w:hAnsi="仿宋" w:eastAsia="仿宋" w:cs="仿宋"/>
          <w:color w:val="000000"/>
          <w:highlight w:val="none"/>
          <w:shd w:val="clear" w:color="auto" w:fill="ffffff"/>
        </w:rPr>
        <w:t xml:space="preserve">价的90%，第二年付至</w:t>
      </w:r>
      <w:r>
        <w:rPr>
          <w:rFonts w:hint="eastAsia" w:ascii="仿宋" w:hAnsi="仿宋" w:eastAsia="仿宋" w:cs="仿宋"/>
          <w:sz w:val="24"/>
          <w:szCs w:val="24"/>
          <w:highlight w:val="none"/>
          <w:lang w:val="en-US" w:eastAsia="zh-CN"/>
        </w:rPr>
        <w:t xml:space="preserve">合同</w:t>
      </w:r>
      <w:r>
        <w:rPr>
          <w:rFonts w:hint="eastAsia" w:ascii="仿宋" w:hAnsi="仿宋" w:eastAsia="仿宋" w:cs="仿宋"/>
          <w:color w:val="000000"/>
          <w:highlight w:val="none"/>
          <w:shd w:val="clear" w:color="auto" w:fill="ffffff"/>
        </w:rPr>
        <w:t xml:space="preserve">价的</w:t>
      </w:r>
      <w:r>
        <w:rPr>
          <w:rFonts w:hint="eastAsia" w:ascii="仿宋" w:hAnsi="仿宋" w:eastAsia="仿宋" w:cs="仿宋"/>
          <w:color w:val="000000"/>
          <w:highlight w:val="none"/>
          <w:shd w:val="clear" w:color="auto" w:fill="ffffff"/>
          <w:lang w:val="en-US" w:eastAsia="zh-CN"/>
        </w:rPr>
        <w:t xml:space="preserve">100</w:t>
      </w:r>
      <w:r>
        <w:rPr>
          <w:rFonts w:hint="eastAsia" w:ascii="仿宋" w:hAnsi="仿宋" w:eastAsia="仿宋" w:cs="仿宋"/>
          <w:color w:val="000000"/>
          <w:highlight w:val="none"/>
          <w:shd w:val="clear" w:color="auto" w:fill="ffffff"/>
        </w:rPr>
        <w:t xml:space="preserve">%。</w:t>
      </w:r>
      <w:r>
        <w:rPr>
          <w:rFonts w:hint="eastAsia" w:ascii="仿宋" w:hAnsi="仿宋" w:eastAsia="仿宋" w:cs="仿宋"/>
          <w:color w:val="000000"/>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备注：（1）可以采用数字人民币支付。（2）资金支付的时间：收到供应商发票10个工作日内；（3）资金支付的条件：满足相应阶段的要求且收到供应商发票；（4）当采购数量与实际使用数量不一致时，供应商应根据实际使用量供货，合同的最终结算金额按实际使用量乘以成交单价进行计算。（5）在签订合同时，供应商明确表示无需预付款或者主动要求降低预付款比例的，采购人可不适用前述规定。</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bookmarkStart w:id="129" w:name="EB277cdb9ada634793b6698cebd3ac7144"/>
      <w:r>
        <w:rPr>
          <w:rFonts w:hint="eastAsia" w:ascii="仿宋" w:hAnsi="仿宋" w:eastAsia="仿宋" w:cs="仿宋"/>
          <w:color w:val="000080"/>
          <w:sz w:val="20"/>
          <w:szCs w:val="20"/>
          <w:highlight w:val="none"/>
          <w:shd w:val="clear" w:color="auto" w:fill="ffffff"/>
        </w:rPr>
        <w:t xml:space="preserve"> </w:t>
      </w:r>
      <w:bookmarkEnd w:id="129"/>
      <w:r/>
      <w:bookmarkStart w:id="130" w:name="EB859756b3800e4c948b9ef2cc4c48f3fa"/>
      <w:r>
        <w:rPr>
          <w:rFonts w:hint="eastAsia" w:ascii="仿宋" w:hAnsi="仿宋" w:eastAsia="仿宋" w:cs="仿宋"/>
          <w:color w:val="000080"/>
          <w:sz w:val="20"/>
          <w:szCs w:val="20"/>
          <w:highlight w:val="none"/>
          <w:shd w:val="clear" w:color="auto" w:fill="ffffff"/>
        </w:rPr>
        <w:t xml:space="preserve"> </w:t>
      </w:r>
      <w:bookmarkEnd w:id="130"/>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131" w:name="_Toc12263"/>
      <w:r/>
      <w:bookmarkStart w:id="132" w:name="_Toc176774460"/>
      <w:r/>
      <w:bookmarkStart w:id="133" w:name="_Toc81575200"/>
      <w:r/>
      <w:bookmarkStart w:id="134" w:name="_Toc81575163"/>
      <w:r>
        <w:rPr>
          <w:rFonts w:hint="eastAsia" w:ascii="仿宋" w:hAnsi="仿宋" w:eastAsia="仿宋" w:cs="仿宋"/>
          <w:b/>
          <w:bCs/>
          <w:color w:val="000000"/>
          <w:sz w:val="32"/>
          <w:szCs w:val="32"/>
          <w:highlight w:val="none"/>
          <w:shd w:val="clear" w:color="auto" w:fill="ffffff"/>
        </w:rPr>
        <w:t xml:space="preserve">九、质疑与投诉</w:t>
      </w:r>
      <w:bookmarkEnd w:id="131"/>
      <w:r/>
      <w:bookmarkEnd w:id="132"/>
      <w:r/>
      <w:bookmarkEnd w:id="133"/>
      <w:r/>
      <w:bookmarkEnd w:id="134"/>
      <w:r>
        <w:rPr>
          <w:rFonts w:hint="eastAsia" w:ascii="仿宋" w:hAnsi="仿宋" w:eastAsia="仿宋" w:cs="仿宋"/>
          <w:highlight w:val="none"/>
        </w:rPr>
      </w:r>
      <w:r/>
    </w:p>
    <w:p>
      <w:pPr>
        <w:pStyle w:val="830"/>
        <w:ind w:firstLine="482"/>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37、质疑与投诉</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37.1投标人认为采购文件、采购过程和中标结果使自己的权益受到损害的，可以在知道或者应知其权益受到损害之日起七个工作日内（具体起算时间见37.2），以书面形式向采购人或者其委托的采购代理机构提出质疑。质疑超出采购机构代理范围的，投标人应当向采购人提出。</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本项目接收质疑函的方式：</w:t>
      </w:r>
      <w:r>
        <w:rPr>
          <w:rFonts w:hint="eastAsia" w:ascii="仿宋" w:hAnsi="仿宋" w:eastAsia="仿宋" w:cs="仿宋"/>
          <w:color w:val="000000"/>
          <w:highlight w:val="none"/>
          <w:shd w:val="clear" w:color="auto" w:fill="ffffff"/>
        </w:rPr>
        <w:t xml:space="preserve">现场接收或邮寄接收。</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联系部门：</w:t>
      </w:r>
      <w:r>
        <w:rPr>
          <w:rFonts w:hint="eastAsia" w:ascii="仿宋" w:hAnsi="仿宋" w:eastAsia="仿宋" w:cs="仿宋"/>
          <w:color w:val="000000"/>
          <w:highlight w:val="none"/>
          <w:shd w:val="clear" w:color="auto" w:fill="ffffff"/>
        </w:rPr>
        <w:t xml:space="preserve">泗洪县住房和城乡建设局</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联系电话：</w:t>
      </w:r>
      <w:r>
        <w:rPr>
          <w:rFonts w:hint="eastAsia" w:ascii="仿宋" w:hAnsi="仿宋" w:eastAsia="仿宋" w:cs="仿宋"/>
          <w:color w:val="000000"/>
          <w:highlight w:val="none"/>
        </w:rPr>
        <w:t xml:space="preserve">18751012055</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通讯地址：</w:t>
      </w:r>
      <w:r>
        <w:rPr>
          <w:rFonts w:hint="eastAsia" w:ascii="仿宋" w:hAnsi="仿宋" w:eastAsia="仿宋" w:cs="仿宋"/>
          <w:color w:val="000000"/>
          <w:highlight w:val="none"/>
        </w:rPr>
        <w:t xml:space="preserve">泗洪县长江东路13号</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37.2投标人应知其权益受到损害之日，是指：</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（1）对本项目采购文件提出质疑的，为获取采购文件之日或者采购文件公告期限届满之日；</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（2）对本项目采购过程提出质疑的，为各采购程序环节结束之日；</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（3）对本项目中标或者成交结果提出质疑的，为中标或者成交结果公告期限届满之日。</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37.3质疑投标人应当是参与所质疑项目采购活动的投标人。潜在投标人已依法获取其可质疑的采购文件的，方可对该文件提出质疑。投标人在法定质疑期内应一次性提出针对同一采购程序环节的质疑。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37.4投标人提出质疑应当提交质疑函和必要的证明材料。质疑函的必备内容：</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（1）投标人的姓名或者名称、地址、邮编、联系人及联系电话；</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（2）质疑项目的名称、编号；</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（3）获取采购文件的时间。</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（4）具体、明确的质疑事项和质疑事项相关的请求；</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（5）事实依据；</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（6）必要的法律依据；</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（7）提出质疑的日期；</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（8）投标人为自然人的，由本人签字；投标人为法人或者其他组织的，应当由法定代表人、主要负责人，或者其授权代表签字或者盖章，并加盖公章。</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37.5采购人、采购代理机构在收到质疑函后7个工作日内作出答复，并以书面形式通知质疑投标人和其他有关投标人，但质疑答复的内容不涉及商业秘密。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37.6质疑投标人对采购人、采购代理机构的答复不满意，或者采购人、采购代理机构未在规定时间内作出答复的，可以在答复期满后15个工作日内向同级财政部门提起投诉。</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80"/>
          <w:sz w:val="20"/>
          <w:szCs w:val="20"/>
          <w:highlight w:val="none"/>
          <w:shd w:val="clear" w:color="auto" w:fill="ffffff"/>
        </w:rPr>
        <w:br w:type="page" w:clear="all"/>
      </w:r>
      <w:r>
        <w:rPr>
          <w:rFonts w:hint="eastAsia" w:ascii="仿宋" w:hAnsi="仿宋" w:eastAsia="仿宋" w:cs="仿宋"/>
          <w:color w:val="000080"/>
          <w:sz w:val="20"/>
          <w:szCs w:val="20"/>
          <w:highlight w:val="none"/>
          <w:shd w:val="clear" w:color="auto" w:fill="ffffff"/>
        </w:rPr>
        <w:t xml:space="preserve"> </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bookmarkStart w:id="139" w:name="_Toc81575201"/>
      <w:r/>
      <w:bookmarkStart w:id="140" w:name="_Toc81575164"/>
      <w:r>
        <w:rPr>
          <w:rFonts w:hint="eastAsia" w:ascii="仿宋" w:hAnsi="仿宋" w:eastAsia="仿宋" w:cs="仿宋"/>
          <w:b/>
          <w:bCs/>
          <w:color w:val="000000"/>
          <w:sz w:val="44"/>
          <w:szCs w:val="44"/>
          <w:highlight w:val="none"/>
          <w:shd w:val="clear" w:color="auto" w:fill="ffffff"/>
        </w:rPr>
        <w:t xml:space="preserve">第三部分  资格审查及评标办法</w:t>
      </w:r>
      <w:bookmarkEnd w:id="139"/>
      <w:r/>
      <w:bookmarkEnd w:id="140"/>
      <w:r>
        <w:rPr>
          <w:rFonts w:hint="eastAsia" w:ascii="仿宋" w:hAnsi="仿宋" w:eastAsia="仿宋" w:cs="仿宋"/>
          <w:highlight w:val="none"/>
        </w:rPr>
      </w:r>
      <w:r/>
    </w:p>
    <w:p>
      <w:pPr>
        <w:pStyle w:val="830"/>
        <w:ind w:firstLine="643"/>
        <w:jc w:val="both"/>
        <w:spacing w:before="156" w:beforeAutospacing="0" w:after="156" w:afterAutospacing="0"/>
        <w:rPr>
          <w:rFonts w:hint="eastAsia" w:ascii="仿宋" w:hAnsi="仿宋" w:eastAsia="仿宋" w:cs="仿宋"/>
          <w:highlight w:val="none"/>
        </w:rPr>
      </w:pPr>
      <w:r>
        <w:rPr>
          <w:rFonts w:hint="eastAsia" w:ascii="仿宋" w:hAnsi="仿宋" w:eastAsia="仿宋" w:cs="仿宋"/>
          <w:b/>
          <w:bCs/>
          <w:color w:val="000000"/>
          <w:sz w:val="32"/>
          <w:szCs w:val="32"/>
          <w:highlight w:val="none"/>
          <w:shd w:val="clear" w:color="auto" w:fill="ffffff"/>
        </w:rPr>
        <w:t xml:space="preserve">一、资格审查</w:t>
      </w:r>
      <w:r>
        <w:rPr>
          <w:rFonts w:hint="eastAsia" w:ascii="仿宋" w:hAnsi="仿宋" w:eastAsia="仿宋" w:cs="仿宋"/>
          <w:highlight w:val="none"/>
        </w:rPr>
      </w:r>
      <w:r/>
    </w:p>
    <w:p>
      <w:pPr>
        <w:pStyle w:val="830"/>
        <w:ind w:firstLine="42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资格审查人员按照下列指标对各投标人的资格进行审查，未通过审查的为无效标，不参与评标。</w:t>
      </w:r>
      <w:r>
        <w:rPr>
          <w:rFonts w:hint="eastAsia" w:ascii="仿宋" w:hAnsi="仿宋" w:eastAsia="仿宋" w:cs="仿宋"/>
          <w:highlight w:val="none"/>
        </w:rPr>
      </w:r>
      <w:r/>
    </w:p>
    <w:tbl>
      <w:tblPr>
        <w:tblW w:w="0" w:type="auto"/>
        <w:tblCellSpacing w:w="0" w:type="dxa"/>
        <w:tblInd w:w="-115"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76"/>
        <w:gridCol w:w="4268"/>
      </w:tblGrid>
      <w:tr>
        <w:trPr>
          <w:tblCellSpacing w:w="0" w:type="dxa"/>
        </w:trPr>
        <w:tc>
          <w:tcPr>
            <w:tcMar>
              <w:left w:w="108" w:type="dxa"/>
              <w:right w:w="108" w:type="dxa"/>
            </w:tcMar>
            <w:tcW w:w="4422"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资格审查因素</w:t>
            </w:r>
            <w:r>
              <w:rPr>
                <w:rFonts w:hint="eastAsia" w:ascii="仿宋" w:hAnsi="仿宋" w:eastAsia="仿宋" w:cs="仿宋"/>
                <w:highlight w:val="none"/>
              </w:rPr>
            </w:r>
            <w:r/>
          </w:p>
        </w:tc>
        <w:tc>
          <w:tcPr>
            <w:tcMar>
              <w:left w:w="108" w:type="dxa"/>
              <w:right w:w="108" w:type="dxa"/>
            </w:tcMar>
            <w:tcW w:w="4422"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审查标准</w:t>
            </w:r>
            <w:r>
              <w:rPr>
                <w:rFonts w:hint="eastAsia" w:ascii="仿宋" w:hAnsi="仿宋" w:eastAsia="仿宋" w:cs="仿宋"/>
                <w:highlight w:val="none"/>
              </w:rPr>
            </w:r>
            <w:r/>
          </w:p>
        </w:tc>
      </w:tr>
      <w:tr>
        <w:trPr>
          <w:tblCellSpacing w:w="0" w:type="dxa"/>
        </w:trPr>
        <w:tc>
          <w:tcPr>
            <w:tcMar>
              <w:left w:w="108" w:type="dxa"/>
              <w:right w:w="108" w:type="dxa"/>
            </w:tcMar>
            <w:tcW w:w="4422"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投标声明及承诺函</w:t>
            </w:r>
            <w:r>
              <w:rPr>
                <w:rFonts w:hint="eastAsia" w:ascii="仿宋" w:hAnsi="仿宋" w:eastAsia="仿宋" w:cs="仿宋"/>
                <w:highlight w:val="none"/>
              </w:rPr>
            </w:r>
            <w:r/>
          </w:p>
        </w:tc>
        <w:tc>
          <w:tcPr>
            <w:tcMar>
              <w:left w:w="108" w:type="dxa"/>
              <w:right w:w="108" w:type="dxa"/>
            </w:tcMar>
            <w:tcW w:w="4422" w:type="dxa"/>
            <w:vAlign w:val="center"/>
            <w:textDirection w:val="lrTb"/>
            <w:noWrap w:val="false"/>
          </w:tcPr>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符合招标文件要求</w:t>
            </w:r>
            <w:r>
              <w:rPr>
                <w:rFonts w:hint="eastAsia" w:ascii="仿宋" w:hAnsi="仿宋" w:eastAsia="仿宋" w:cs="仿宋"/>
                <w:highlight w:val="none"/>
              </w:rPr>
            </w:r>
            <w:r/>
          </w:p>
        </w:tc>
      </w:tr>
      <w:tr>
        <w:trPr>
          <w:tblCellSpacing w:w="0" w:type="dxa"/>
        </w:trPr>
        <w:tc>
          <w:tcPr>
            <w:tcMar>
              <w:left w:w="108" w:type="dxa"/>
              <w:right w:w="108" w:type="dxa"/>
            </w:tcMar>
            <w:tcW w:w="4422"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信用信息</w:t>
            </w:r>
            <w:r>
              <w:rPr>
                <w:rFonts w:hint="eastAsia" w:ascii="仿宋" w:hAnsi="仿宋" w:eastAsia="仿宋" w:cs="仿宋"/>
                <w:highlight w:val="none"/>
              </w:rPr>
            </w:r>
            <w:r/>
          </w:p>
        </w:tc>
        <w:tc>
          <w:tcPr>
            <w:tcMar>
              <w:left w:w="108" w:type="dxa"/>
              <w:right w:w="108" w:type="dxa"/>
            </w:tcMar>
            <w:tcW w:w="4422" w:type="dxa"/>
            <w:vAlign w:val="center"/>
            <w:textDirection w:val="lrTb"/>
            <w:noWrap w:val="false"/>
          </w:tcPr>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符合招标文件要求</w:t>
            </w:r>
            <w:r>
              <w:rPr>
                <w:rFonts w:hint="eastAsia" w:ascii="仿宋" w:hAnsi="仿宋" w:eastAsia="仿宋" w:cs="仿宋"/>
                <w:highlight w:val="none"/>
              </w:rPr>
            </w:r>
            <w:r/>
          </w:p>
        </w:tc>
      </w:tr>
      <w:tr>
        <w:trPr>
          <w:tblCellSpacing w:w="0" w:type="dxa"/>
        </w:trPr>
        <w:tc>
          <w:tcPr>
            <w:tcMar>
              <w:left w:w="108" w:type="dxa"/>
              <w:right w:w="108" w:type="dxa"/>
            </w:tcMar>
            <w:tcW w:w="4422" w:type="dxa"/>
            <w:vAlign w:val="center"/>
            <w:textDirection w:val="lrTb"/>
            <w:noWrap w:val="false"/>
          </w:tcPr>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中小企业或残疾人福利性单位声明函，或监狱企业证明文件</w:t>
            </w:r>
            <w:r>
              <w:rPr>
                <w:rFonts w:hint="eastAsia" w:ascii="仿宋" w:hAnsi="仿宋" w:eastAsia="仿宋" w:cs="仿宋"/>
                <w:highlight w:val="none"/>
              </w:rPr>
            </w:r>
            <w:r/>
          </w:p>
        </w:tc>
        <w:tc>
          <w:tcPr>
            <w:tcMar>
              <w:left w:w="108" w:type="dxa"/>
              <w:right w:w="108" w:type="dxa"/>
            </w:tcMar>
            <w:tcW w:w="4422" w:type="dxa"/>
            <w:vAlign w:val="center"/>
            <w:textDirection w:val="lrTb"/>
            <w:noWrap w:val="false"/>
          </w:tcPr>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符合招标文件要求</w:t>
            </w:r>
            <w:r>
              <w:rPr>
                <w:rFonts w:hint="eastAsia" w:ascii="仿宋" w:hAnsi="仿宋" w:eastAsia="仿宋" w:cs="仿宋"/>
                <w:highlight w:val="none"/>
              </w:rPr>
            </w:r>
            <w:r/>
          </w:p>
        </w:tc>
      </w:tr>
      <w:tr>
        <w:trPr>
          <w:tblCellSpacing w:w="0" w:type="dxa"/>
        </w:trPr>
        <w:tc>
          <w:tcPr>
            <w:tcMar>
              <w:left w:w="108" w:type="dxa"/>
              <w:right w:w="108" w:type="dxa"/>
            </w:tcMar>
            <w:tcW w:w="4422" w:type="dxa"/>
            <w:vAlign w:val="center"/>
            <w:textDirection w:val="lrTb"/>
            <w:noWrap w:val="false"/>
          </w:tcPr>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本项目的特定资格要求</w:t>
            </w:r>
            <w:r>
              <w:rPr>
                <w:rFonts w:hint="eastAsia" w:ascii="仿宋" w:hAnsi="仿宋" w:eastAsia="仿宋" w:cs="仿宋"/>
                <w:highlight w:val="none"/>
              </w:rPr>
            </w:r>
            <w:r/>
          </w:p>
        </w:tc>
        <w:tc>
          <w:tcPr>
            <w:tcMar>
              <w:left w:w="108" w:type="dxa"/>
              <w:right w:w="108" w:type="dxa"/>
            </w:tcMar>
            <w:tcW w:w="4422" w:type="dxa"/>
            <w:vAlign w:val="center"/>
            <w:textDirection w:val="lrTb"/>
            <w:noWrap w:val="false"/>
          </w:tcPr>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符合招标文件要求</w:t>
            </w:r>
            <w:r>
              <w:rPr>
                <w:rFonts w:hint="eastAsia" w:ascii="仿宋" w:hAnsi="仿宋" w:eastAsia="仿宋" w:cs="仿宋"/>
                <w:highlight w:val="none"/>
              </w:rPr>
            </w:r>
            <w:r/>
          </w:p>
        </w:tc>
      </w:tr>
      <w:tr>
        <w:trPr>
          <w:tblCellSpacing w:w="0" w:type="dxa"/>
        </w:trPr>
        <w:tc>
          <w:tcPr>
            <w:tcMar>
              <w:left w:w="108" w:type="dxa"/>
              <w:right w:w="108" w:type="dxa"/>
            </w:tcMar>
            <w:tcW w:w="4422"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联合体投标</w:t>
            </w:r>
            <w:r>
              <w:rPr>
                <w:rFonts w:hint="eastAsia" w:ascii="仿宋" w:hAnsi="仿宋" w:eastAsia="仿宋" w:cs="仿宋"/>
                <w:highlight w:val="none"/>
              </w:rPr>
            </w:r>
            <w:r/>
          </w:p>
        </w:tc>
        <w:tc>
          <w:tcPr>
            <w:tcMar>
              <w:left w:w="108" w:type="dxa"/>
              <w:right w:w="108" w:type="dxa"/>
            </w:tcMar>
            <w:tcW w:w="4422" w:type="dxa"/>
            <w:vAlign w:val="center"/>
            <w:textDirection w:val="lrTb"/>
            <w:noWrap w:val="false"/>
          </w:tcPr>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符合招标文件要求</w:t>
            </w:r>
            <w:r>
              <w:rPr>
                <w:rFonts w:hint="eastAsia" w:ascii="仿宋" w:hAnsi="仿宋" w:eastAsia="仿宋" w:cs="仿宋"/>
                <w:highlight w:val="none"/>
              </w:rPr>
            </w:r>
            <w:r/>
          </w:p>
        </w:tc>
      </w:tr>
    </w:tbl>
    <w:p>
      <w:pPr>
        <w:pStyle w:val="830"/>
        <w:jc w:val="both"/>
        <w:spacing w:before="0" w:beforeAutospacing="0" w:afterAutospacing="0"/>
        <w:rPr>
          <w:rFonts w:hint="eastAsia" w:ascii="仿宋" w:hAnsi="仿宋" w:eastAsia="仿宋" w:cs="仿宋"/>
          <w:highlight w:val="none"/>
        </w:rPr>
      </w:pPr>
      <w:r/>
      <w:bookmarkStart w:id="142" w:name="EB9af8278fd1df4f8591f0fad951f64ddb"/>
      <w:r>
        <w:rPr>
          <w:rFonts w:hint="eastAsia" w:ascii="仿宋" w:hAnsi="仿宋" w:eastAsia="仿宋" w:cs="仿宋"/>
          <w:color w:val="000080"/>
          <w:sz w:val="20"/>
          <w:szCs w:val="20"/>
          <w:highlight w:val="none"/>
          <w:shd w:val="clear" w:color="auto" w:fill="ffffff"/>
        </w:rPr>
        <w:t xml:space="preserve"> </w:t>
      </w:r>
      <w:bookmarkEnd w:id="142"/>
      <w:r>
        <w:rPr>
          <w:rFonts w:hint="eastAsia" w:ascii="仿宋" w:hAnsi="仿宋" w:eastAsia="仿宋" w:cs="仿宋"/>
          <w:highlight w:val="none"/>
        </w:rPr>
      </w:r>
      <w:r/>
    </w:p>
    <w:p>
      <w:pPr>
        <w:pStyle w:val="830"/>
        <w:ind w:firstLine="643"/>
        <w:jc w:val="both"/>
        <w:spacing w:before="156" w:beforeAutospacing="0" w:after="156" w:afterAutospacing="0"/>
        <w:rPr>
          <w:rFonts w:hint="eastAsia" w:ascii="仿宋" w:hAnsi="仿宋" w:eastAsia="仿宋" w:cs="仿宋"/>
          <w:highlight w:val="none"/>
        </w:rPr>
      </w:pPr>
      <w:r>
        <w:rPr>
          <w:rFonts w:hint="eastAsia" w:ascii="仿宋" w:hAnsi="仿宋" w:eastAsia="仿宋" w:cs="仿宋"/>
          <w:b/>
          <w:bCs/>
          <w:color w:val="000000"/>
          <w:sz w:val="32"/>
          <w:szCs w:val="32"/>
          <w:highlight w:val="none"/>
          <w:shd w:val="clear" w:color="auto" w:fill="ffffff"/>
        </w:rPr>
        <w:t xml:space="preserve">二、评分办法—综合评分法</w:t>
      </w:r>
      <w:r>
        <w:rPr>
          <w:rFonts w:hint="eastAsia" w:ascii="仿宋" w:hAnsi="仿宋" w:eastAsia="仿宋" w:cs="仿宋"/>
          <w:highlight w:val="none"/>
        </w:rPr>
      </w:r>
      <w:r/>
    </w:p>
    <w:p>
      <w:pPr>
        <w:pStyle w:val="830"/>
        <w:ind w:firstLine="482"/>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1、评标办法：</w:t>
      </w:r>
      <w:r>
        <w:rPr>
          <w:rFonts w:hint="eastAsia" w:ascii="仿宋" w:hAnsi="仿宋" w:eastAsia="仿宋" w:cs="仿宋"/>
          <w:color w:val="000000"/>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综合评分保留至小数点后两位。 </w:t>
      </w:r>
      <w:r>
        <w:rPr>
          <w:rFonts w:hint="eastAsia" w:ascii="仿宋" w:hAnsi="仿宋" w:eastAsia="仿宋" w:cs="仿宋"/>
          <w:highlight w:val="none"/>
        </w:rPr>
      </w:r>
      <w:r/>
    </w:p>
    <w:p>
      <w:pPr>
        <w:pStyle w:val="830"/>
        <w:ind w:firstLine="482"/>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2、符合性审查。</w:t>
      </w:r>
      <w:r>
        <w:rPr>
          <w:rFonts w:hint="eastAsia" w:ascii="仿宋" w:hAnsi="仿宋" w:eastAsia="仿宋" w:cs="仿宋"/>
          <w:color w:val="000000"/>
          <w:highlight w:val="none"/>
          <w:shd w:val="clear" w:color="auto" w:fill="ffffff"/>
        </w:rPr>
        <w:t xml:space="preserve">评标委员会首先按照下列指标对各投标人的投标文件进行符合性审查，未通过审查的为无效标，不再参与评审。</w:t>
      </w:r>
      <w:r>
        <w:rPr>
          <w:rFonts w:hint="eastAsia" w:ascii="仿宋" w:hAnsi="仿宋" w:eastAsia="仿宋" w:cs="仿宋"/>
          <w:highlight w:val="none"/>
        </w:rPr>
      </w:r>
      <w:r/>
    </w:p>
    <w:tbl>
      <w:tblPr>
        <w:tblW w:w="0" w:type="auto"/>
        <w:tblCellSpacing w:w="0" w:type="dxa"/>
        <w:tblInd w:w="-1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24"/>
        <w:gridCol w:w="4321"/>
      </w:tblGrid>
      <w:tr>
        <w:trPr>
          <w:tblCellSpacing w:w="0" w:type="dxa"/>
        </w:trPr>
        <w:tc>
          <w:tcPr>
            <w:tcMar>
              <w:left w:w="108" w:type="dxa"/>
              <w:right w:w="108" w:type="dxa"/>
            </w:tcMar>
            <w:tcW w:w="4364"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符合性审查因素</w:t>
            </w:r>
            <w:r>
              <w:rPr>
                <w:rFonts w:hint="eastAsia" w:ascii="仿宋" w:hAnsi="仿宋" w:eastAsia="仿宋" w:cs="仿宋"/>
                <w:highlight w:val="none"/>
              </w:rPr>
            </w:r>
            <w:r/>
          </w:p>
        </w:tc>
        <w:tc>
          <w:tcPr>
            <w:tcMar>
              <w:left w:w="108" w:type="dxa"/>
              <w:right w:w="108" w:type="dxa"/>
            </w:tcMar>
            <w:tcW w:w="4464" w:type="dxa"/>
            <w:vAlign w:val="center"/>
            <w:textDirection w:val="lrTb"/>
            <w:noWrap w:val="false"/>
          </w:tcPr>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审查标准</w:t>
            </w:r>
            <w:r>
              <w:rPr>
                <w:rFonts w:hint="eastAsia" w:ascii="仿宋" w:hAnsi="仿宋" w:eastAsia="仿宋" w:cs="仿宋"/>
                <w:highlight w:val="none"/>
              </w:rPr>
            </w:r>
            <w:r/>
          </w:p>
        </w:tc>
      </w:tr>
      <w:tr>
        <w:trPr>
          <w:tblCellSpacing w:w="0" w:type="dxa"/>
        </w:trPr>
        <w:tc>
          <w:tcPr>
            <w:tcMar>
              <w:left w:w="108" w:type="dxa"/>
              <w:right w:w="108" w:type="dxa"/>
            </w:tcMar>
            <w:tcW w:w="4364"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法人授权书</w:t>
            </w:r>
            <w:r>
              <w:rPr>
                <w:rFonts w:hint="eastAsia" w:ascii="仿宋" w:hAnsi="仿宋" w:eastAsia="仿宋" w:cs="仿宋"/>
                <w:highlight w:val="none"/>
              </w:rPr>
            </w:r>
            <w:r/>
          </w:p>
        </w:tc>
        <w:tc>
          <w:tcPr>
            <w:tcMar>
              <w:left w:w="108" w:type="dxa"/>
              <w:right w:w="108" w:type="dxa"/>
            </w:tcMar>
            <w:tcW w:w="4464" w:type="dxa"/>
            <w:vAlign w:val="center"/>
            <w:textDirection w:val="lrTb"/>
            <w:noWrap w:val="false"/>
          </w:tcPr>
          <w:p>
            <w:pPr>
              <w:pStyle w:val="830"/>
              <w:spacing w:before="0" w:beforeAutospacing="0" w:after="0" w:afterAutospacing="0"/>
              <w:rPr>
                <w:rFonts w:hint="eastAsia" w:ascii="仿宋" w:hAnsi="仿宋" w:eastAsia="仿宋" w:cs="仿宋"/>
                <w:highlight w:val="none"/>
              </w:rPr>
            </w:pPr>
            <w:r/>
            <w:bookmarkStart w:id="143" w:name="OLE_LINK6"/>
            <w:r>
              <w:rPr>
                <w:rFonts w:hint="eastAsia" w:ascii="仿宋" w:hAnsi="仿宋" w:eastAsia="仿宋" w:cs="仿宋"/>
                <w:color w:val="000000"/>
                <w:sz w:val="21"/>
                <w:szCs w:val="21"/>
                <w:highlight w:val="none"/>
              </w:rPr>
              <w:t xml:space="preserve">符合招标文件要求</w:t>
            </w:r>
            <w:bookmarkEnd w:id="143"/>
            <w:r>
              <w:rPr>
                <w:rFonts w:hint="eastAsia" w:ascii="仿宋" w:hAnsi="仿宋" w:eastAsia="仿宋" w:cs="仿宋"/>
                <w:highlight w:val="none"/>
              </w:rPr>
            </w:r>
            <w:r/>
          </w:p>
        </w:tc>
      </w:tr>
      <w:tr>
        <w:trPr>
          <w:tblCellSpacing w:w="0" w:type="dxa"/>
        </w:trPr>
        <w:tc>
          <w:tcPr>
            <w:tcMar>
              <w:left w:w="108" w:type="dxa"/>
              <w:right w:w="108" w:type="dxa"/>
            </w:tcMar>
            <w:tcW w:w="4364" w:type="dxa"/>
            <w:vAlign w:val="center"/>
            <w:textDirection w:val="lrTb"/>
            <w:noWrap w:val="false"/>
          </w:tcPr>
          <w:p>
            <w:pPr>
              <w:pStyle w:val="830"/>
              <w:spacing w:before="0" w:beforeAutospacing="0" w:after="0" w:afterAutospacing="0"/>
              <w:rPr>
                <w:rFonts w:hint="eastAsia" w:ascii="仿宋" w:hAnsi="仿宋" w:eastAsia="仿宋" w:cs="仿宋"/>
                <w:highlight w:val="none"/>
              </w:rPr>
            </w:pPr>
            <w:r/>
            <w:bookmarkStart w:id="144" w:name="OLE_LINK5"/>
            <w:r>
              <w:rPr>
                <w:rFonts w:hint="eastAsia" w:ascii="仿宋" w:hAnsi="仿宋" w:eastAsia="仿宋" w:cs="仿宋"/>
                <w:color w:val="000000"/>
                <w:sz w:val="21"/>
                <w:szCs w:val="21"/>
                <w:highlight w:val="none"/>
              </w:rPr>
              <w:t xml:space="preserve">开标一览表</w:t>
            </w:r>
            <w:bookmarkEnd w:id="144"/>
            <w:r>
              <w:rPr>
                <w:rFonts w:hint="eastAsia" w:ascii="仿宋" w:hAnsi="仿宋" w:eastAsia="仿宋" w:cs="仿宋"/>
                <w:highlight w:val="none"/>
              </w:rPr>
            </w:r>
            <w:r/>
          </w:p>
        </w:tc>
        <w:tc>
          <w:tcPr>
            <w:tcMar>
              <w:left w:w="108" w:type="dxa"/>
              <w:right w:w="108" w:type="dxa"/>
            </w:tcMar>
            <w:tcW w:w="4464"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符合招标文件要求</w:t>
            </w:r>
            <w:r>
              <w:rPr>
                <w:rFonts w:hint="eastAsia" w:ascii="仿宋" w:hAnsi="仿宋" w:eastAsia="仿宋" w:cs="仿宋"/>
                <w:highlight w:val="none"/>
              </w:rPr>
            </w:r>
            <w:r/>
          </w:p>
        </w:tc>
      </w:tr>
      <w:tr>
        <w:trPr>
          <w:tblCellSpacing w:w="0" w:type="dxa"/>
        </w:trPr>
        <w:tc>
          <w:tcPr>
            <w:tcMar>
              <w:left w:w="108" w:type="dxa"/>
              <w:right w:w="108" w:type="dxa"/>
            </w:tcMar>
            <w:tcW w:w="4364"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技术标准和要求</w:t>
            </w:r>
            <w:r>
              <w:rPr>
                <w:rFonts w:hint="eastAsia" w:ascii="仿宋" w:hAnsi="仿宋" w:eastAsia="仿宋" w:cs="仿宋"/>
                <w:highlight w:val="none"/>
              </w:rPr>
            </w:r>
            <w:r/>
          </w:p>
        </w:tc>
        <w:tc>
          <w:tcPr>
            <w:tcMar>
              <w:left w:w="108" w:type="dxa"/>
              <w:right w:w="108" w:type="dxa"/>
            </w:tcMar>
            <w:tcW w:w="4464"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符合招标文件要求</w:t>
            </w:r>
            <w:r>
              <w:rPr>
                <w:rFonts w:hint="eastAsia" w:ascii="仿宋" w:hAnsi="仿宋" w:eastAsia="仿宋" w:cs="仿宋"/>
                <w:highlight w:val="none"/>
              </w:rPr>
            </w:r>
            <w:r/>
          </w:p>
        </w:tc>
      </w:tr>
      <w:tr>
        <w:trPr>
          <w:tblCellSpacing w:w="0" w:type="dxa"/>
        </w:trPr>
        <w:tc>
          <w:tcPr>
            <w:tcMar>
              <w:left w:w="108" w:type="dxa"/>
              <w:right w:w="108" w:type="dxa"/>
            </w:tcMar>
            <w:tcW w:w="4364"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其他</w:t>
            </w:r>
            <w:r>
              <w:rPr>
                <w:rFonts w:hint="eastAsia" w:ascii="仿宋" w:hAnsi="仿宋" w:eastAsia="仿宋" w:cs="仿宋"/>
                <w:highlight w:val="none"/>
              </w:rPr>
            </w:r>
            <w:r/>
          </w:p>
        </w:tc>
        <w:tc>
          <w:tcPr>
            <w:tcMar>
              <w:left w:w="108" w:type="dxa"/>
              <w:right w:w="108" w:type="dxa"/>
            </w:tcMar>
            <w:tcW w:w="4464" w:type="dxa"/>
            <w:vAlign w:val="center"/>
            <w:textDirection w:val="lrTb"/>
            <w:noWrap w:val="false"/>
          </w:tcPr>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21"/>
                <w:szCs w:val="21"/>
                <w:highlight w:val="none"/>
              </w:rPr>
              <w:t xml:space="preserve">符合招标文件要求</w:t>
            </w:r>
            <w:r>
              <w:rPr>
                <w:rFonts w:hint="eastAsia" w:ascii="仿宋" w:hAnsi="仿宋" w:eastAsia="仿宋" w:cs="仿宋"/>
                <w:highlight w:val="none"/>
              </w:rPr>
            </w:r>
            <w:r/>
          </w:p>
        </w:tc>
      </w:tr>
    </w:tbl>
    <w:p>
      <w:pPr>
        <w:pStyle w:val="830"/>
        <w:jc w:val="both"/>
        <w:spacing w:before="0" w:beforeAutospacing="0" w:afterAutospacing="0"/>
        <w:rPr>
          <w:rFonts w:hint="eastAsia" w:ascii="仿宋" w:hAnsi="仿宋" w:eastAsia="仿宋" w:cs="仿宋"/>
          <w:highlight w:val="none"/>
        </w:rPr>
      </w:pPr>
      <w:r/>
      <w:bookmarkStart w:id="145" w:name="EB75d0996a6f1d4348a21f8c3293010436"/>
      <w:r>
        <w:rPr>
          <w:rFonts w:hint="eastAsia" w:ascii="仿宋" w:hAnsi="仿宋" w:eastAsia="仿宋" w:cs="仿宋"/>
          <w:color w:val="000080"/>
          <w:sz w:val="20"/>
          <w:szCs w:val="20"/>
          <w:highlight w:val="none"/>
          <w:shd w:val="clear" w:color="auto" w:fill="ffffff"/>
        </w:rPr>
        <w:t xml:space="preserve"> </w:t>
      </w:r>
      <w:bookmarkEnd w:id="145"/>
      <w:r>
        <w:rPr>
          <w:rFonts w:hint="eastAsia" w:ascii="仿宋" w:hAnsi="仿宋" w:eastAsia="仿宋" w:cs="仿宋"/>
          <w:highlight w:val="none"/>
        </w:rPr>
      </w:r>
      <w:r/>
    </w:p>
    <w:p>
      <w:pPr>
        <w:pStyle w:val="830"/>
        <w:ind w:firstLine="482"/>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详细评审。</w:t>
      </w:r>
      <w:r>
        <w:rPr>
          <w:rFonts w:hint="eastAsia" w:ascii="仿宋" w:hAnsi="仿宋" w:eastAsia="仿宋" w:cs="仿宋"/>
          <w:color w:val="000000"/>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rPr>
          <w:rFonts w:hint="eastAsia" w:ascii="仿宋" w:hAnsi="仿宋" w:eastAsia="仿宋" w:cs="仿宋"/>
          <w:highlight w:val="none"/>
        </w:rPr>
      </w:r>
      <w:r/>
    </w:p>
    <w:p>
      <w:pPr>
        <w:pStyle w:val="83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bl>
      <w:tblPr>
        <w:tblW w:w="5027"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28"/>
        <w:gridCol w:w="2019"/>
        <w:gridCol w:w="834"/>
        <w:gridCol w:w="4186"/>
      </w:tblGrid>
      <w:tr>
        <w:trPr/>
        <w:tc>
          <w:tcPr>
            <w:gridSpan w:val="2"/>
            <w:tcW w:w="3347" w:type="dxa"/>
            <w:vAlign w:val="center"/>
            <w:textDirection w:val="lrTb"/>
            <w:noWrap w:val="false"/>
          </w:tcPr>
          <w:p>
            <w:pPr>
              <w:pStyle w:val="820"/>
              <w:jc w:val="center"/>
              <w:rPr>
                <w:rFonts w:hint="eastAsia" w:ascii="仿宋" w:hAnsi="仿宋" w:eastAsia="仿宋" w:cs="仿宋"/>
                <w:highlight w:val="none"/>
              </w:rPr>
            </w:pPr>
            <w:r>
              <w:rPr>
                <w:rFonts w:hint="eastAsia" w:ascii="仿宋" w:hAnsi="仿宋" w:eastAsia="仿宋" w:cs="仿宋"/>
                <w:highlight w:val="none"/>
              </w:rPr>
              <w:t xml:space="preserve">评审因素</w:t>
            </w:r>
            <w:r>
              <w:rPr>
                <w:rFonts w:hint="eastAsia" w:ascii="仿宋" w:hAnsi="仿宋" w:eastAsia="仿宋" w:cs="仿宋"/>
                <w:highlight w:val="none"/>
              </w:rPr>
            </w:r>
            <w:r/>
          </w:p>
        </w:tc>
        <w:tc>
          <w:tcPr>
            <w:tcW w:w="498" w:type="dxa"/>
            <w:vAlign w:val="center"/>
            <w:textDirection w:val="lrTb"/>
            <w:noWrap w:val="false"/>
          </w:tcPr>
          <w:p>
            <w:pPr>
              <w:pStyle w:val="820"/>
              <w:jc w:val="center"/>
              <w:rPr>
                <w:rFonts w:hint="eastAsia" w:ascii="仿宋" w:hAnsi="仿宋" w:eastAsia="仿宋" w:cs="仿宋"/>
                <w:highlight w:val="none"/>
              </w:rPr>
            </w:pPr>
            <w:r>
              <w:rPr>
                <w:rFonts w:hint="eastAsia" w:ascii="仿宋" w:hAnsi="仿宋" w:eastAsia="仿宋" w:cs="仿宋"/>
                <w:highlight w:val="none"/>
              </w:rPr>
              <w:t xml:space="preserve">分数</w:t>
            </w:r>
            <w:r>
              <w:rPr>
                <w:rFonts w:hint="eastAsia" w:ascii="仿宋" w:hAnsi="仿宋" w:eastAsia="仿宋" w:cs="仿宋"/>
                <w:highlight w:val="none"/>
              </w:rPr>
            </w:r>
            <w:r/>
          </w:p>
        </w:tc>
        <w:tc>
          <w:tcPr>
            <w:tcW w:w="2501" w:type="dxa"/>
            <w:vAlign w:val="center"/>
            <w:textDirection w:val="lrTb"/>
            <w:noWrap w:val="false"/>
          </w:tcPr>
          <w:p>
            <w:pPr>
              <w:pStyle w:val="820"/>
              <w:jc w:val="center"/>
              <w:rPr>
                <w:rFonts w:hint="eastAsia" w:ascii="仿宋" w:hAnsi="仿宋" w:eastAsia="仿宋" w:cs="仿宋"/>
                <w:highlight w:val="none"/>
              </w:rPr>
            </w:pPr>
            <w:r>
              <w:rPr>
                <w:rFonts w:hint="eastAsia" w:ascii="仿宋" w:hAnsi="仿宋" w:eastAsia="仿宋" w:cs="仿宋"/>
                <w:highlight w:val="none"/>
              </w:rPr>
              <w:t xml:space="preserve">评审标准</w:t>
            </w:r>
            <w:r>
              <w:rPr>
                <w:rFonts w:hint="eastAsia" w:ascii="仿宋" w:hAnsi="仿宋" w:eastAsia="仿宋" w:cs="仿宋"/>
                <w:highlight w:val="none"/>
              </w:rPr>
            </w:r>
            <w:r/>
          </w:p>
        </w:tc>
      </w:tr>
      <w:tr>
        <w:trPr/>
        <w:tc>
          <w:tcPr>
            <w:tcW w:w="1328"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报价分</w:t>
            </w: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投标报价</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0.00分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0。符合条件的小企业（含小型、微型企业）参与投标，对小型和微型企业产品的价格给予15%的扣除，用扣除后的价格参与评审。</w:t>
            </w:r>
            <w:r>
              <w:rPr>
                <w:rFonts w:hint="eastAsia" w:ascii="仿宋" w:hAnsi="仿宋" w:eastAsia="仿宋" w:cs="仿宋"/>
                <w:highlight w:val="none"/>
              </w:rPr>
            </w:r>
            <w:r/>
          </w:p>
        </w:tc>
      </w:tr>
      <w:tr>
        <w:trPr/>
        <w:tc>
          <w:tcPr>
            <w:tcW w:w="79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技术响应</w:t>
            </w:r>
            <w:r>
              <w:rPr>
                <w:rFonts w:hint="eastAsia" w:ascii="仿宋" w:hAnsi="仿宋" w:eastAsia="仿宋" w:cs="仿宋"/>
                <w:highlight w:val="none"/>
              </w:rPr>
            </w:r>
            <w:r/>
          </w:p>
        </w:tc>
        <w:tc>
          <w:tcPr>
            <w:tcW w:w="120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系统演示</w:t>
            </w:r>
            <w:r>
              <w:rPr>
                <w:rFonts w:hint="eastAsia" w:ascii="仿宋" w:hAnsi="仿宋" w:eastAsia="仿宋" w:cs="仿宋"/>
                <w:highlight w:val="none"/>
              </w:rPr>
            </w:r>
            <w:r/>
          </w:p>
        </w:tc>
        <w:tc>
          <w:tcPr>
            <w:tcW w:w="498"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.00分</w:t>
            </w:r>
            <w:r>
              <w:rPr>
                <w:rFonts w:hint="eastAsia" w:ascii="仿宋" w:hAnsi="仿宋" w:eastAsia="仿宋" w:cs="仿宋"/>
                <w:highlight w:val="none"/>
              </w:rPr>
            </w:r>
            <w:r/>
          </w:p>
        </w:tc>
        <w:tc>
          <w:tcPr>
            <w:tcW w:w="2501" w:type="dxa"/>
            <w:vAlign w:val="center"/>
            <w:textDirection w:val="lrTb"/>
            <w:noWrap w:val="false"/>
          </w:tcPr>
          <w:p>
            <w:pPr>
              <w:pStyle w:val="820"/>
              <w:jc w:val="left"/>
              <w:spacing w:line="25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投标人需提供软件系统操作演示视音频（PPT 等静态图片方式演示不得分），演示时间原则上不超过15 分钟。投标人应将演示视频上传在投标文件组成—“视频演示”中，单个视频不超过50M，数量不限，未按要求操作无法上传的，责任由投标人自负。未按要求上传的，对应项不得分。</w:t>
            </w:r>
            <w:r>
              <w:rPr>
                <w:rFonts w:hint="eastAsia" w:ascii="仿宋" w:hAnsi="仿宋" w:eastAsia="仿宋" w:cs="仿宋"/>
                <w:color w:val="000000"/>
                <w:szCs w:val="21"/>
                <w:highlight w:val="none"/>
              </w:rPr>
            </w:r>
            <w:r/>
          </w:p>
          <w:p>
            <w:pPr>
              <w:pStyle w:val="820"/>
              <w:jc w:val="left"/>
              <w:rPr>
                <w:rFonts w:hint="eastAsia" w:ascii="仿宋" w:hAnsi="仿宋" w:eastAsia="仿宋" w:cs="仿宋"/>
                <w:highlight w:val="none"/>
              </w:rPr>
            </w:pPr>
            <w:r>
              <w:rPr>
                <w:rFonts w:hint="eastAsia" w:ascii="仿宋" w:hAnsi="仿宋" w:eastAsia="仿宋" w:cs="仿宋"/>
                <w:highlight w:val="none"/>
              </w:rPr>
              <w:t xml:space="preserve">演示内容为： 1、针对燃气、供水、排水三个专项监管平台进行演示，演示功能包括专项一张图、风险隐患管理、监测预警管理、辅助决策、设备管理、基础信息管理、管线空间分析、辅助模型分析等相关内容</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完全满足得</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分；满足四项以上得4分；否则不得分。 </w:t>
            </w:r>
            <w:r>
              <w:rPr>
                <w:rFonts w:hint="eastAsia" w:ascii="仿宋" w:hAnsi="仿宋" w:eastAsia="仿宋" w:cs="仿宋"/>
                <w:highlight w:val="none"/>
              </w:rPr>
            </w:r>
            <w:r/>
          </w:p>
          <w:p>
            <w:pPr>
              <w:pStyle w:val="820"/>
              <w:jc w:val="left"/>
              <w:rPr>
                <w:rFonts w:hint="eastAsia" w:ascii="仿宋" w:hAnsi="仿宋" w:eastAsia="仿宋" w:cs="仿宋"/>
                <w:highlight w:val="none"/>
              </w:rPr>
            </w:pPr>
            <w:r>
              <w:rPr>
                <w:rFonts w:hint="eastAsia" w:ascii="仿宋" w:hAnsi="仿宋" w:eastAsia="仿宋" w:cs="仿宋"/>
                <w:highlight w:val="none"/>
              </w:rPr>
              <w:t xml:space="preserve">2、针对燃气、供水、排水三个专项场景事件的监测预警及事件调度，以某一事件举例演示，功能包括预警审核、预警发布、事件分拨、预警处置、处置反馈、预警解除、预警归档统计、历史预警查询调阅等相关内容。完全满足得</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分；满足四项以上得</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分；否则不得分。</w:t>
            </w:r>
            <w:r>
              <w:rPr>
                <w:rFonts w:hint="eastAsia" w:ascii="仿宋" w:hAnsi="仿宋" w:eastAsia="仿宋" w:cs="仿宋"/>
                <w:highlight w:val="none"/>
              </w:rPr>
            </w:r>
            <w:r/>
          </w:p>
        </w:tc>
      </w:tr>
      <w:tr>
        <w:trPr/>
        <w:tc>
          <w:tcPr>
            <w:tcW w:w="1328" w:type="dxa"/>
            <w:vAlign w:val="center"/>
            <w:vMerge w:val="restart"/>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企业经营业绩、信誉</w:t>
            </w: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企业业绩</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lang w:val="en-US" w:eastAsia="zh-CN"/>
              </w:rPr>
              <w:t xml:space="preserve">12</w:t>
            </w:r>
            <w:r>
              <w:rPr>
                <w:rFonts w:hint="eastAsia" w:ascii="仿宋" w:hAnsi="仿宋" w:eastAsia="仿宋" w:cs="仿宋"/>
                <w:highlight w:val="none"/>
              </w:rPr>
              <w:t xml:space="preserve">.00分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投标人自202</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年1月1日以来承担过类似案例。每有一个案例得</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分，最高得</w:t>
            </w:r>
            <w:r>
              <w:rPr>
                <w:rFonts w:hint="eastAsia" w:ascii="仿宋" w:hAnsi="仿宋" w:eastAsia="仿宋" w:cs="仿宋"/>
                <w:highlight w:val="none"/>
                <w:lang w:val="en-US" w:eastAsia="zh-CN"/>
              </w:rPr>
              <w:t xml:space="preserve">12</w:t>
            </w:r>
            <w:r>
              <w:rPr>
                <w:rFonts w:hint="eastAsia" w:ascii="仿宋" w:hAnsi="仿宋" w:eastAsia="仿宋" w:cs="仿宋"/>
                <w:highlight w:val="none"/>
              </w:rPr>
              <w:t xml:space="preserve">分。注：1、提供中标（成交）通知书与合同（主要内容、标的、数量清晰可见），二者缺一不可，否则不得分。2、上述业绩资料电子件可从诚信库中挑选，也可直接上传至投标文件中；3、投标人提供的业绩将随成交结果一并公开。</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软件著作权</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8.00分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投标人具有1）城市生命线安全监管平台、2）易涝点综合治理管理平台、3）监测预警与事件调度系统、4）智慧管网移动端平台、5）智慧燃气监管平台、6）智慧供水监管平台、7）智慧排水监管平台、8）雨量预警平台</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以上</w:t>
            </w:r>
            <w:r>
              <w:rPr>
                <w:rFonts w:hint="eastAsia" w:ascii="仿宋" w:hAnsi="仿宋" w:eastAsia="仿宋" w:cs="仿宋"/>
                <w:highlight w:val="none"/>
              </w:rPr>
              <w:t xml:space="preserve">相关软件著作权，每有一个得1分，本项最高得8分。</w:t>
            </w:r>
            <w:r>
              <w:rPr>
                <w:rFonts w:hint="eastAsia" w:ascii="仿宋" w:hAnsi="仿宋" w:eastAsia="仿宋" w:cs="仿宋"/>
                <w:highlight w:val="none"/>
              </w:rPr>
            </w:r>
            <w:r/>
          </w:p>
          <w:p>
            <w:pPr>
              <w:pStyle w:val="820"/>
              <w:jc w:val="left"/>
              <w:rPr>
                <w:rFonts w:hint="eastAsia" w:ascii="仿宋" w:hAnsi="仿宋" w:eastAsia="仿宋" w:cs="仿宋"/>
                <w:highlight w:val="none"/>
              </w:rPr>
            </w:pPr>
            <w:r>
              <w:rPr>
                <w:rFonts w:hint="eastAsia" w:ascii="仿宋" w:hAnsi="仿宋" w:eastAsia="仿宋" w:cs="仿宋"/>
                <w:highlight w:val="none"/>
              </w:rPr>
              <w:t xml:space="preserve">注：投标文件中提供以上相关软件著作权证书电子件，未提供不得分。</w:t>
            </w:r>
            <w:r>
              <w:rPr>
                <w:rFonts w:hint="eastAsia" w:ascii="仿宋" w:hAnsi="仿宋" w:eastAsia="仿宋" w:cs="仿宋"/>
                <w:highlight w:val="none"/>
              </w:rPr>
            </w:r>
            <w:r/>
          </w:p>
        </w:tc>
      </w:tr>
      <w:tr>
        <w:trPr/>
        <w:tc>
          <w:tcPr>
            <w:tcW w:w="1328" w:type="dxa"/>
            <w:vAlign w:val="center"/>
            <w:vMerge w:val="restart"/>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项目实施方案</w:t>
            </w: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需求理解</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5.00分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结合本地实际情况，对泗洪县城市生命线项目的建设目标、建设内容、城市生命线本底情况，监测和监管现状、信息系统现状、覆盖业务需求、功能需求等内容理解，优于采购需求的得5分；符合采购需求的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以采购需求序号1.1为基础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lang w:eastAsia="zh-CN"/>
              </w:rPr>
            </w:pPr>
            <w:r>
              <w:rPr>
                <w:rFonts w:hint="eastAsia" w:ascii="仿宋" w:hAnsi="仿宋" w:eastAsia="仿宋" w:cs="仿宋"/>
                <w:highlight w:val="none"/>
              </w:rPr>
              <w:t xml:space="preserve">总体</w:t>
            </w:r>
            <w:r>
              <w:rPr>
                <w:rFonts w:hint="eastAsia" w:ascii="仿宋" w:hAnsi="仿宋" w:eastAsia="仿宋" w:cs="仿宋"/>
                <w:highlight w:val="none"/>
                <w:lang w:val="en-US" w:eastAsia="zh-CN"/>
              </w:rPr>
              <w:t xml:space="preserve">建设</w:t>
            </w:r>
            <w:r>
              <w:rPr>
                <w:rFonts w:hint="eastAsia" w:ascii="仿宋" w:hAnsi="仿宋" w:eastAsia="仿宋" w:cs="仿宋"/>
                <w:highlight w:val="none"/>
                <w:lang w:eastAsia="zh-CN"/>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5.00分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结合本地实际情况，对本项目中数据资源建设、监管平台、支撑中台等进行整体设计，设计内容包括：1）项目设计思路；2）总体架构；3）业务架构；4）应用架构；5）数据架构；6）网络架构。供应商应充分理解本项目的背景、目标与业务需求及相关信息化系统建设现状的基础上，覆盖采购需求的所有服务内容，结合市级城市生命线一期建设成果进行详细阐述，描述清晰且覆盖上述6项要点。优于采购需求的得5分；符合采购需求的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以采购需求序号1.2为基础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数据资源建设</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5.00分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结合本地实际情况提出针对结构化数据的资源体系建设（含实时数据）方案，根据项目需求对归集库、主题库、专题库、实时库等库进行概念模型、逻辑模型和物理模型设计。 优于采购需求的得5分；符合采购需求的得3分；没有内容不得分。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以采购需求序号2为基础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空间数据治理</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5.00分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结合本地实际情况提出针对空间地理数据库的建设，投标人需根据实际情况，提出合理的空间地理数据资源体系规划及数据共享交换思路；根据项目需求从数据采集到数据发布等全过程进行空间地理数据库整体设计。优于采购需求的得5分；符合采购需求的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以采购需求序号3为基础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综合应用方案</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5.00分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结合本地实际情况，对泗洪县城市生命线项目，供应商给出针对综合应用的建设方案：1）市级系统功能复用思路和复用功能详细说明；2）综合应用一张图详细建设内容。 优于采购需求的得5分；符合采购需求的得3分；没有内容不得分。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以采购需求序号4.1为基础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专项监管平台建设方案</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5.00分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结合本地实际情况，对泗洪县城市生命线项目，供应商给出燃气、供水、排水、桥梁、道路、地下管线交互、第三方施工破坏防控7个专项监管平台建设方案：1）市级系统功能复用思路和复用功能详细描述；2）专项一张图详细建设内容。优于采购需求的得5分；符合采购需求的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以采购需求序号4.2-4.8为基础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特色应用&amp;移动端应用建设方案</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5.00分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结合本地实际情况，对泗洪县城市生命线项目的园林安全、路灯管理特色应用和移动端应用，供应商给出建设内容包括：1）园林安全特色应用建设内容需包含专项一张图及综合监管、智慧监测的详细建设内容；2）路灯管理特色应用需包含智慧照明一张图及设备管理、照明控制系统的详细设计3）移动端应用提供市级已建功能的复用思路和复用功能概述，提供领导驾驶舱的详细建设方案。 优于采购需求的得5分；符合采购需求的得3分；没有内容不得分。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以采购需求序号4.9-4.13为基础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lang w:val="en-US" w:eastAsia="zh-CN"/>
              </w:rPr>
            </w:pPr>
            <w:r>
              <w:rPr>
                <w:rFonts w:hint="eastAsia" w:ascii="仿宋" w:hAnsi="仿宋" w:eastAsia="仿宋" w:cs="仿宋"/>
                <w:highlight w:val="none"/>
              </w:rPr>
              <w:t xml:space="preserve">支撑中台建设要求</w:t>
            </w:r>
            <w:r>
              <w:rPr>
                <w:rFonts w:hint="eastAsia" w:ascii="仿宋" w:hAnsi="仿宋" w:eastAsia="仿宋" w:cs="仿宋"/>
                <w:highlight w:val="none"/>
                <w:lang w:val="en-US" w:eastAsia="zh-CN"/>
              </w:rPr>
              <w:t xml:space="preserve">方案</w:t>
            </w:r>
            <w:r>
              <w:rPr>
                <w:rFonts w:hint="eastAsia" w:ascii="仿宋" w:hAnsi="仿宋" w:eastAsia="仿宋" w:cs="仿宋"/>
                <w:highlight w:val="none"/>
                <w:lang w:val="en-US" w:eastAsia="zh-CN"/>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5.00分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lang w:eastAsia="zh-CN"/>
              </w:rPr>
            </w:pPr>
            <w:r>
              <w:rPr>
                <w:rFonts w:hint="eastAsia" w:ascii="仿宋" w:hAnsi="仿宋" w:eastAsia="仿宋" w:cs="仿宋"/>
                <w:highlight w:val="none"/>
              </w:rPr>
              <w:t xml:space="preserve">对泗洪县城市生命线项目，供应商提供支撑中台建设方案，建设内容包括业务中台、数据中台和技术中台的复用思路，能结合市级平台已建业务模型能力提供重点模型复用调试方案。优于采购需求的得5分；符合采购需求的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以采购需求序号5为基础</w:t>
            </w:r>
            <w:r>
              <w:rPr>
                <w:rFonts w:hint="eastAsia" w:ascii="仿宋" w:hAnsi="仿宋" w:eastAsia="仿宋" w:cs="仿宋"/>
                <w:b/>
                <w:bCs/>
                <w:highlight w:val="none"/>
                <w:lang w:eastAsia="zh-CN"/>
              </w:rPr>
              <w:t xml:space="preserve">）</w:t>
            </w:r>
            <w:r>
              <w:rPr>
                <w:rFonts w:hint="eastAsia" w:ascii="仿宋" w:hAnsi="仿宋" w:eastAsia="仿宋" w:cs="仿宋"/>
                <w:highlight w:val="none"/>
                <w:lang w:eastAsia="zh-CN"/>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lang w:val="en-US" w:eastAsia="zh-CN"/>
              </w:rPr>
              <w:t xml:space="preserve">系统平台</w:t>
            </w:r>
            <w:r>
              <w:rPr>
                <w:rFonts w:hint="eastAsia" w:ascii="仿宋" w:hAnsi="仿宋" w:eastAsia="仿宋" w:cs="仿宋"/>
                <w:highlight w:val="none"/>
              </w:rPr>
              <w:t xml:space="preserve">对接方案</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针对监管平台和支撑中台，需要结合本地实际，充分考虑与本地已建系统平台的对接关系。涉及事件处置时，需体现与现有市级/县级事件分拨平台的业务流程之间的关系；物联网平台和县级视频开放平台等相关平台从数据、功能等方面的关系。优于采购需求的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分；符合采购需求的得</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以采购需求序号6为基础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1328"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2019"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项目实施</w:t>
            </w:r>
            <w:r>
              <w:rPr>
                <w:rFonts w:hint="eastAsia" w:ascii="仿宋" w:hAnsi="仿宋" w:eastAsia="仿宋" w:cs="仿宋"/>
                <w:highlight w:val="none"/>
                <w:lang w:val="en-US" w:eastAsia="zh-CN"/>
              </w:rPr>
              <w:t xml:space="preserve">要求</w:t>
            </w:r>
            <w:r>
              <w:rPr>
                <w:rFonts w:hint="eastAsia" w:ascii="仿宋" w:hAnsi="仿宋" w:eastAsia="仿宋" w:cs="仿宋"/>
                <w:highlight w:val="none"/>
              </w:rPr>
              <w:t xml:space="preserve">方案</w:t>
            </w:r>
            <w:r>
              <w:rPr>
                <w:rFonts w:hint="eastAsia" w:ascii="仿宋" w:hAnsi="仿宋" w:eastAsia="仿宋" w:cs="仿宋"/>
                <w:highlight w:val="none"/>
              </w:rPr>
            </w:r>
            <w:r/>
          </w:p>
        </w:tc>
        <w:tc>
          <w:tcPr>
            <w:tcW w:w="834"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.00分</w:t>
            </w:r>
            <w:r>
              <w:rPr>
                <w:rFonts w:hint="eastAsia" w:ascii="仿宋" w:hAnsi="仿宋" w:eastAsia="仿宋" w:cs="仿宋"/>
                <w:highlight w:val="none"/>
              </w:rPr>
            </w:r>
            <w:r/>
          </w:p>
        </w:tc>
        <w:tc>
          <w:tcPr>
            <w:tcW w:w="418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投标人提供的实施计划与进度、完善可行的项目实施方案、质量保证、工期管理，风险预防及控制措施方案进行打分。方案优于采购需求，结构严谨，内容完整详实，能够针对采购项目内容要求而细化制定，有明确的时间节点和进度安排，项目管理运行机制健全且优于采购需求，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分；项目实施方案完整，为本项目的实施要求而制定的措施较齐全，方案表述有一定偏差，但不影响实质性意思表达，能够满足采购需求，得3分；没有内容不得分。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以采购需求序号十二为基础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794" w:type="dxa"/>
            <w:vAlign w:val="center"/>
            <w:vMerge w:val="restart"/>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其他</w:t>
            </w:r>
            <w:r>
              <w:rPr>
                <w:rFonts w:hint="eastAsia" w:ascii="仿宋" w:hAnsi="仿宋" w:eastAsia="仿宋" w:cs="仿宋"/>
                <w:highlight w:val="none"/>
              </w:rPr>
            </w:r>
            <w:r/>
          </w:p>
        </w:tc>
        <w:tc>
          <w:tcPr>
            <w:tcW w:w="120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售后服务</w:t>
            </w:r>
            <w:r>
              <w:rPr>
                <w:rFonts w:hint="eastAsia" w:ascii="仿宋" w:hAnsi="仿宋" w:eastAsia="仿宋" w:cs="仿宋"/>
                <w:highlight w:val="none"/>
              </w:rPr>
            </w:r>
            <w:r/>
          </w:p>
        </w:tc>
        <w:tc>
          <w:tcPr>
            <w:tcW w:w="498" w:type="dxa"/>
            <w:vAlign w:val="center"/>
            <w:textDirection w:val="lrTb"/>
            <w:noWrap w:val="false"/>
          </w:tcPr>
          <w:p>
            <w:pPr>
              <w:pStyle w:val="820"/>
              <w:jc w:val="left"/>
              <w:rPr>
                <w:rFonts w:hint="eastAsia" w:ascii="仿宋" w:hAnsi="仿宋" w:eastAsia="仿宋" w:cs="仿宋"/>
                <w:highlight w:val="none"/>
                <w:lang w:val="en-US" w:eastAsia="zh-CN"/>
              </w:rPr>
            </w:pPr>
            <w:r>
              <w:rPr>
                <w:rFonts w:hint="eastAsia" w:ascii="仿宋" w:hAnsi="仿宋" w:eastAsia="仿宋" w:cs="仿宋"/>
                <w:highlight w:val="none"/>
              </w:rPr>
              <w:t xml:space="preserve">3.00分</w:t>
            </w:r>
            <w:r>
              <w:rPr>
                <w:rFonts w:hint="eastAsia" w:ascii="仿宋" w:hAnsi="仿宋" w:eastAsia="仿宋" w:cs="仿宋"/>
                <w:highlight w:val="none"/>
                <w:lang w:val="en-US" w:eastAsia="zh-CN"/>
              </w:rPr>
            </w:r>
            <w:r/>
          </w:p>
        </w:tc>
        <w:tc>
          <w:tcPr>
            <w:tcW w:w="2501"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投标人提供的服务承诺、服务响应时间、服务方式、服务内容、服务人员等进行评分，方案详细、响应及时、服务人员数量、服务体系完整且优于采购需求，得3分；方案详细、响应虽有滞后服务体系尚算完整，能基本确保业务稳定运行的，能够满足采购需求，得2分；没有内容或其情况不满足招标文件需求的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以采购需求序号八为基础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r>
        <w:trPr/>
        <w:tc>
          <w:tcPr>
            <w:tcW w:w="794" w:type="dxa"/>
            <w:vAlign w:val="center"/>
            <w:vMerge w:val="continue"/>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r>
            <w:r/>
          </w:p>
        </w:tc>
        <w:tc>
          <w:tcPr>
            <w:tcW w:w="1206"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培训方案</w:t>
            </w:r>
            <w:r>
              <w:rPr>
                <w:rFonts w:hint="eastAsia" w:ascii="仿宋" w:hAnsi="仿宋" w:eastAsia="仿宋" w:cs="仿宋"/>
                <w:highlight w:val="none"/>
              </w:rPr>
            </w:r>
            <w:r/>
          </w:p>
        </w:tc>
        <w:tc>
          <w:tcPr>
            <w:tcW w:w="498" w:type="dxa"/>
            <w:vAlign w:val="center"/>
            <w:textDirection w:val="lrTb"/>
            <w:noWrap w:val="false"/>
          </w:tcPr>
          <w:p>
            <w:pPr>
              <w:pStyle w:val="820"/>
              <w:jc w:val="left"/>
              <w:rPr>
                <w:rFonts w:hint="eastAsia" w:ascii="仿宋" w:hAnsi="仿宋" w:eastAsia="仿宋" w:cs="仿宋"/>
                <w:highlight w:val="none"/>
                <w:lang w:val="en-US" w:eastAsia="zh-CN"/>
              </w:rPr>
            </w:pPr>
            <w:r>
              <w:rPr>
                <w:rFonts w:hint="eastAsia" w:ascii="仿宋" w:hAnsi="仿宋" w:eastAsia="仿宋" w:cs="仿宋"/>
                <w:highlight w:val="none"/>
              </w:rPr>
              <w:t xml:space="preserve">2.00分</w:t>
            </w:r>
            <w:r>
              <w:rPr>
                <w:rFonts w:hint="eastAsia" w:ascii="仿宋" w:hAnsi="仿宋" w:eastAsia="仿宋" w:cs="仿宋"/>
                <w:highlight w:val="none"/>
                <w:lang w:val="en-US" w:eastAsia="zh-CN"/>
              </w:rPr>
            </w:r>
            <w:r/>
          </w:p>
        </w:tc>
        <w:tc>
          <w:tcPr>
            <w:tcW w:w="2501" w:type="dxa"/>
            <w:vAlign w:val="center"/>
            <w:textDirection w:val="lrTb"/>
            <w:noWrap w:val="false"/>
          </w:tcPr>
          <w:p>
            <w:pPr>
              <w:pStyle w:val="820"/>
              <w:jc w:val="left"/>
              <w:rPr>
                <w:rFonts w:hint="eastAsia" w:ascii="仿宋" w:hAnsi="仿宋" w:eastAsia="仿宋" w:cs="仿宋"/>
                <w:highlight w:val="none"/>
              </w:rPr>
            </w:pPr>
            <w:r>
              <w:rPr>
                <w:rFonts w:hint="eastAsia" w:ascii="仿宋" w:hAnsi="仿宋" w:eastAsia="仿宋" w:cs="仿宋"/>
                <w:highlight w:val="none"/>
              </w:rPr>
              <w:t xml:space="preserve">根据供应商提供的培训服务方案进行打分，培训方案详细、操作性强、方式灵活多样，优于采购需求的得2分；培训方案内容完整， 经过优化可以满足需要得 1 分；其他情况不得分。</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以采购需求序号七为基础</w:t>
            </w:r>
            <w:r>
              <w:rPr>
                <w:rFonts w:hint="eastAsia" w:ascii="仿宋" w:hAnsi="仿宋" w:eastAsia="仿宋" w:cs="仿宋"/>
                <w:b/>
                <w:bCs/>
                <w:highlight w:val="none"/>
                <w:lang w:eastAsia="zh-CN"/>
              </w:rPr>
              <w:t xml:space="preserve">）</w:t>
            </w:r>
            <w:r>
              <w:rPr>
                <w:rFonts w:hint="eastAsia" w:ascii="仿宋" w:hAnsi="仿宋" w:eastAsia="仿宋" w:cs="仿宋"/>
                <w:highlight w:val="none"/>
              </w:rPr>
            </w:r>
            <w:r/>
          </w:p>
        </w:tc>
      </w:tr>
    </w:tbl>
    <w:p>
      <w:pPr>
        <w:pStyle w:val="83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r>
      <w:r/>
    </w:p>
    <w:p>
      <w:pPr>
        <w:pStyle w:val="830"/>
        <w:ind w:left="0" w:right="0" w:firstLine="241"/>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6" w:name="_Toc81575205"/>
      <w:r/>
      <w:bookmarkEnd w:id="146"/>
      <w:r>
        <w:rPr>
          <w:rFonts w:hint="eastAsia" w:ascii="仿宋" w:hAnsi="仿宋" w:eastAsia="仿宋" w:cs="仿宋"/>
          <w:b/>
          <w:bCs/>
          <w:color w:val="000000"/>
          <w:sz w:val="24"/>
          <w:szCs w:val="24"/>
          <w:highlight w:val="none"/>
          <w:shd w:val="clear" w:color="auto" w:fill="ffffff"/>
        </w:rPr>
        <w:t xml:space="preserve">备注：</w:t>
      </w:r>
      <w:r>
        <w:rPr>
          <w:rFonts w:hint="eastAsia" w:ascii="仿宋" w:hAnsi="仿宋" w:eastAsia="仿宋" w:cs="仿宋"/>
          <w:color w:val="000000"/>
          <w:sz w:val="24"/>
          <w:szCs w:val="24"/>
          <w:highlight w:val="none"/>
        </w:rPr>
        <w:t xml:space="preserve">在办理保密等手续后，投标人可查看宿迁市城市生命线安全工程（一期）项目相关数据。</w:t>
      </w:r>
      <w:r>
        <w:rPr>
          <w:rFonts w:hint="eastAsia" w:ascii="仿宋" w:hAnsi="仿宋" w:eastAsia="仿宋" w:cs="仿宋"/>
          <w:highlight w:val="none"/>
        </w:rPr>
      </w:r>
      <w:r/>
    </w:p>
    <w:p>
      <w:pPr>
        <w:pStyle w:val="830"/>
        <w:ind w:left="0" w:firstLine="241"/>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left="0" w:firstLine="241"/>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highlight w:val="none"/>
          <w:shd w:val="clear" w:color="auto" w:fill="ffffff"/>
        </w:rPr>
        <w:t xml:space="preserve">（三）评标结果。</w:t>
      </w:r>
      <w:r>
        <w:rPr>
          <w:rFonts w:hint="eastAsia" w:ascii="仿宋" w:hAnsi="仿宋" w:eastAsia="仿宋" w:cs="仿宋"/>
          <w:color w:val="000000"/>
          <w:sz w:val="24"/>
          <w:szCs w:val="24"/>
          <w:highlight w:val="none"/>
          <w:shd w:val="clear" w:color="auto" w:fill="ffffff"/>
        </w:rPr>
        <w:t xml:space="preserve">评标委员会按照本办法规定推荐中标候选人，并形成评标报告。</w:t>
      </w:r>
      <w:r>
        <w:rPr>
          <w:rFonts w:hint="eastAsia" w:ascii="仿宋" w:hAnsi="仿宋" w:eastAsia="仿宋" w:cs="仿宋"/>
          <w:highlight w:val="none"/>
        </w:rPr>
      </w:r>
      <w:r/>
    </w:p>
    <w:p>
      <w:pPr>
        <w:pStyle w:val="830"/>
        <w:ind w:left="0" w:firstLine="241"/>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highlight w:val="none"/>
          <w:shd w:val="clear" w:color="auto" w:fill="ffffff"/>
        </w:rPr>
        <w:t xml:space="preserve">（四）政府</w:t>
      </w:r>
      <w:r>
        <w:rPr>
          <w:rFonts w:hint="eastAsia" w:ascii="仿宋" w:hAnsi="仿宋" w:eastAsia="仿宋" w:cs="仿宋"/>
          <w:b/>
          <w:bCs/>
          <w:color w:val="000000"/>
          <w:sz w:val="24"/>
          <w:szCs w:val="24"/>
          <w:highlight w:val="none"/>
        </w:rPr>
        <w:t xml:space="preserve">采购政策功能落实</w:t>
      </w:r>
      <w:r>
        <w:rPr>
          <w:rFonts w:hint="eastAsia" w:ascii="仿宋" w:hAnsi="仿宋" w:eastAsia="仿宋" w:cs="仿宋"/>
          <w:highlight w:val="none"/>
        </w:rPr>
      </w:r>
      <w:r/>
    </w:p>
    <w:p>
      <w:pPr>
        <w:pStyle w:val="83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highlight w:val="none"/>
        </w:rPr>
        <w:t xml:space="preserve">本项目落实的政府采购政策对应以下序号为</w:t>
      </w:r>
      <w:r>
        <w:rPr>
          <w:rFonts w:hint="eastAsia" w:ascii="仿宋" w:hAnsi="仿宋" w:eastAsia="仿宋" w:cs="仿宋"/>
          <w:b/>
          <w:bCs/>
          <w:color w:val="000000"/>
          <w:sz w:val="24"/>
          <w:szCs w:val="24"/>
          <w:highlight w:val="none"/>
          <w:u w:val="single"/>
        </w:rPr>
        <w:t xml:space="preserve">  2  </w:t>
      </w:r>
      <w:r>
        <w:rPr>
          <w:rFonts w:hint="eastAsia" w:ascii="仿宋" w:hAnsi="仿宋" w:eastAsia="仿宋" w:cs="仿宋"/>
          <w:highlight w:val="none"/>
        </w:rPr>
      </w:r>
      <w:r/>
    </w:p>
    <w:p>
      <w:pPr>
        <w:pStyle w:val="83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采购本国货物、工程和服务</w:t>
      </w:r>
      <w:r>
        <w:rPr>
          <w:rFonts w:hint="eastAsia" w:ascii="仿宋" w:hAnsi="仿宋" w:eastAsia="仿宋" w:cs="仿宋"/>
          <w:highlight w:val="none"/>
        </w:rPr>
      </w:r>
      <w:r/>
    </w:p>
    <w:p>
      <w:pPr>
        <w:pStyle w:val="830"/>
        <w:ind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政府采购应当采购本国货物、工程和服务，但有《中华人民共和国政府采购法》第十条规定情形的除外。如采购进口产品的，应当符合《政府采购进口产品管理办法》</w:t>
      </w:r>
      <w:r>
        <w:rPr>
          <w:rFonts w:hint="eastAsia" w:ascii="仿宋" w:hAnsi="仿宋" w:eastAsia="仿宋" w:cs="仿宋"/>
          <w:color w:val="000000"/>
          <w:sz w:val="24"/>
          <w:szCs w:val="24"/>
          <w:highlight w:val="none"/>
          <w:shd w:val="clear" w:color="auto" w:fill="ffffff"/>
        </w:rPr>
        <w:t xml:space="preserve">（财库〔2007〕119 号文）、《关于政府采购进口产品管理有关问题的通知》（财办库〔2008〕248号文）等相关规定。是否采购进口产品以采购需求中确定的为准。</w:t>
      </w:r>
      <w:r>
        <w:rPr>
          <w:rFonts w:hint="eastAsia" w:ascii="仿宋" w:hAnsi="仿宋" w:eastAsia="仿宋" w:cs="仿宋"/>
          <w:highlight w:val="none"/>
        </w:rPr>
      </w:r>
      <w:r/>
    </w:p>
    <w:p>
      <w:pPr>
        <w:pStyle w:val="83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2、中小企业政策</w:t>
      </w:r>
      <w:r>
        <w:rPr>
          <w:rFonts w:hint="eastAsia" w:ascii="仿宋" w:hAnsi="仿宋" w:eastAsia="仿宋" w:cs="仿宋"/>
          <w:highlight w:val="none"/>
        </w:rPr>
      </w:r>
      <w:r/>
    </w:p>
    <w:p>
      <w:pPr>
        <w:pStyle w:val="830"/>
        <w:ind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本项目按以下第</w:t>
      </w:r>
      <w:r>
        <w:rPr>
          <w:rFonts w:hint="eastAsia" w:ascii="仿宋" w:hAnsi="仿宋" w:eastAsia="仿宋" w:cs="仿宋"/>
          <w:color w:val="000000"/>
          <w:sz w:val="24"/>
          <w:szCs w:val="24"/>
          <w:highlight w:val="none"/>
          <w:u w:val="single"/>
          <w:shd w:val="clear" w:color="auto" w:fill="ffffff"/>
        </w:rPr>
        <w:t xml:space="preserve">（2）</w:t>
      </w:r>
      <w:r>
        <w:rPr>
          <w:rFonts w:hint="eastAsia" w:ascii="仿宋" w:hAnsi="仿宋" w:eastAsia="仿宋" w:cs="仿宋"/>
          <w:color w:val="000000"/>
          <w:sz w:val="24"/>
          <w:szCs w:val="24"/>
          <w:highlight w:val="none"/>
          <w:shd w:val="clear" w:color="auto" w:fill="ffffff"/>
        </w:rPr>
        <w:t xml:space="preserve">种政策确定本项目落实的中小企业政策：</w:t>
      </w:r>
      <w:r>
        <w:rPr>
          <w:rFonts w:hint="eastAsia" w:ascii="仿宋" w:hAnsi="仿宋" w:eastAsia="仿宋" w:cs="仿宋"/>
          <w:highlight w:val="none"/>
        </w:rPr>
      </w:r>
      <w:r/>
    </w:p>
    <w:p>
      <w:pPr>
        <w:pStyle w:val="830"/>
        <w:ind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（1）本项目专门面向中小企业（含监狱企业、残疾人福利企业）采购。</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（2）投标人提供的服务符合下列</w:t>
      </w:r>
      <w:r>
        <w:rPr>
          <w:rFonts w:hint="eastAsia" w:ascii="仿宋" w:hAnsi="仿宋" w:eastAsia="仿宋" w:cs="仿宋"/>
          <w:color w:val="000000"/>
          <w:sz w:val="24"/>
          <w:szCs w:val="24"/>
          <w:highlight w:val="none"/>
        </w:rPr>
        <w:t xml:space="preserve">情形的，对小微企业报价给予</w:t>
      </w:r>
      <w:r>
        <w:rPr>
          <w:rFonts w:hint="eastAsia" w:ascii="仿宋" w:hAnsi="仿宋" w:eastAsia="仿宋" w:cs="仿宋"/>
          <w:color w:val="000000"/>
          <w:sz w:val="24"/>
          <w:szCs w:val="24"/>
          <w:highlight w:val="none"/>
          <w:u w:val="single"/>
        </w:rPr>
        <w:t xml:space="preserve">15%</w:t>
      </w:r>
      <w:r>
        <w:rPr>
          <w:rFonts w:hint="eastAsia" w:ascii="仿宋" w:hAnsi="仿宋" w:eastAsia="仿宋" w:cs="仿宋"/>
          <w:color w:val="000000"/>
          <w:sz w:val="24"/>
          <w:szCs w:val="24"/>
          <w:highlight w:val="none"/>
        </w:rPr>
        <w:t xml:space="preserve">的扣除，用扣除后的价格参加评审。</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（3）本项目所属行业：</w:t>
      </w:r>
      <w:r>
        <w:rPr>
          <w:rFonts w:hint="eastAsia" w:ascii="仿宋" w:hAnsi="仿宋" w:eastAsia="仿宋" w:cs="仿宋"/>
          <w:color w:val="000000"/>
          <w:sz w:val="24"/>
          <w:szCs w:val="24"/>
          <w:highlight w:val="none"/>
          <w:shd w:val="clear" w:color="auto" w:fill="ffffff"/>
        </w:rPr>
        <w:t xml:space="preserve">软件和信息技术服务业</w:t>
      </w:r>
      <w:r>
        <w:rPr>
          <w:rFonts w:hint="eastAsia" w:ascii="仿宋" w:hAnsi="仿宋" w:eastAsia="仿宋" w:cs="仿宋"/>
          <w:color w:val="000000"/>
          <w:sz w:val="24"/>
          <w:szCs w:val="24"/>
          <w:highlight w:val="none"/>
        </w:rPr>
        <w:t xml:space="preserve">。</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在服务采购项目中，服务由中小企业承接，即提供服务的人员为中小企业依照《中华人民共和国民法典》订立劳动合同的从业人员。</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3、政府采购节能产品、环境标志产品</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（3）采购人拟采购的产品属于优先采购的节能环保品目清单范围的，按以下条件优先采购：</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采用综合评分法的项目，对提供有效节能环保证书的投标人加分。</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采用最低评标价法的项目，同等条件下优先推荐提供有效节能环保证书多的投标人为中标人。</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4、商品包装、快递包装政府采购需求标准（试行）</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5、绿色数据中心政府采购需求标准（试行）</w:t>
      </w:r>
      <w:r>
        <w:rPr>
          <w:rFonts w:hint="eastAsia" w:ascii="仿宋" w:hAnsi="仿宋" w:eastAsia="仿宋" w:cs="仿宋"/>
          <w:highlight w:val="none"/>
        </w:rPr>
      </w:r>
      <w:r/>
    </w:p>
    <w:p>
      <w:pPr>
        <w:pStyle w:val="830"/>
        <w:ind w:left="0" w:firstLine="480"/>
        <w:jc w:val="both"/>
        <w:keepLines w:val="0"/>
        <w:keepNext w:val="0"/>
        <w:spacing w:before="0" w:beforeAutospacing="0" w:after="0" w:afterAutospacing="0" w:line="0" w:lineRule="atLeast"/>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shd w:val="clear" w:color="auto" w:fill="ffffff"/>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bookmarkStart w:id="148" w:name="EB7816f6fdbc96408ea7b735c177a21493"/>
      <w:r>
        <w:rPr>
          <w:rFonts w:hint="eastAsia" w:ascii="仿宋" w:hAnsi="仿宋" w:eastAsia="仿宋" w:cs="仿宋"/>
          <w:b/>
          <w:bCs/>
          <w:color w:val="000000"/>
          <w:sz w:val="44"/>
          <w:szCs w:val="44"/>
          <w:highlight w:val="none"/>
          <w:shd w:val="clear" w:color="auto" w:fill="ffffff"/>
        </w:rPr>
        <w:t xml:space="preserve">第四部分  采购需求</w:t>
      </w:r>
      <w:bookmarkEnd w:id="148"/>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b/>
          <w:bCs/>
          <w:color w:val="000000"/>
          <w:highlight w:val="none"/>
        </w:rPr>
      </w:pPr>
      <w:r/>
      <w:bookmarkStart w:id="149" w:name="_Toc17633"/>
      <w:r/>
      <w:bookmarkStart w:id="150" w:name="_Toc143102494"/>
      <w:r>
        <w:rPr>
          <w:rFonts w:hint="eastAsia" w:ascii="仿宋" w:hAnsi="仿宋" w:eastAsia="仿宋" w:cs="仿宋"/>
          <w:b/>
          <w:bCs/>
          <w:color w:val="000000"/>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rPr>
        <w:t xml:space="preserve">一、项目概况</w:t>
      </w:r>
      <w:bookmarkEnd w:id="149"/>
      <w:r/>
      <w:bookmarkEnd w:id="150"/>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主要内容：（1）数据资源建设：汇聚市政基础设施信息、第三方施工项目信息、行业监管信息、企业运行数据、各类传感器监测感知数据，按照省市数据标准进行数据治理，建设专项主题库，并与省级城市生命线安全监管系统对接。</w:t>
      </w:r>
      <w:r>
        <w:rPr>
          <w:rFonts w:hint="eastAsia" w:ascii="仿宋" w:hAnsi="仿宋" w:eastAsia="仿宋" w:cs="仿宋"/>
          <w:color w:val="000000"/>
          <w:highlight w:val="none"/>
        </w:rPr>
      </w:r>
      <w:r/>
    </w:p>
    <w:p>
      <w:pPr>
        <w:pStyle w:val="830"/>
        <w:ind w:firstLine="480"/>
        <w:spacing w:before="0" w:beforeAutospacing="0" w:after="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（2）监管平台建设与复用：包括1个综合应用系统、7个专项应用系统、3个</w:t>
      </w:r>
      <w:r>
        <w:rPr>
          <w:rFonts w:hint="eastAsia" w:ascii="仿宋" w:hAnsi="仿宋" w:eastAsia="仿宋" w:cs="仿宋"/>
          <w:b/>
          <w:bCs/>
          <w:color w:val="000000"/>
          <w:highlight w:val="none"/>
        </w:rPr>
        <w:t xml:space="preserve">特色应用和1个移动端应用</w:t>
      </w:r>
      <w:r>
        <w:rPr>
          <w:rFonts w:hint="eastAsia" w:ascii="仿宋" w:hAnsi="仿宋" w:eastAsia="仿宋" w:cs="仿宋"/>
          <w:color w:val="000000"/>
          <w:highlight w:val="none"/>
        </w:rPr>
        <w:t xml:space="preserve">。综合应用包括新建综合监管一张图，复用市级已建的综合统计分析、应急联动处置、行业综合监管、社会公众服务及运行维护管理功能模块；专项应用包括复用市级已建燃气爆炸、排水监管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含水质监测</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、供水爆管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含水质监测</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、地下管线交互风险、桥梁倒塌、道路塌陷、第三方施工破坏的监管系统和监测系统，新建各专项一张图；特色应用为新建园林安全、路灯管理、</w:t>
      </w:r>
      <w:r>
        <w:rPr>
          <w:rFonts w:hint="eastAsia" w:ascii="仿宋" w:hAnsi="仿宋" w:eastAsia="仿宋" w:cs="仿宋"/>
          <w:color w:val="000000"/>
          <w:szCs w:val="21"/>
          <w:highlight w:val="none"/>
          <w:lang w:bidi="ar"/>
        </w:rPr>
        <w:t xml:space="preserve">管线全流程管理</w:t>
      </w:r>
      <w:r>
        <w:rPr>
          <w:rFonts w:hint="eastAsia" w:ascii="仿宋" w:hAnsi="仿宋" w:eastAsia="仿宋" w:cs="仿宋"/>
          <w:color w:val="000000"/>
          <w:highlight w:val="none"/>
        </w:rPr>
        <w:t xml:space="preserve">和智慧人防；移动端应用包括复用移动端业务系统和新建领导驾驶舱。</w:t>
      </w:r>
      <w:r>
        <w:rPr>
          <w:rFonts w:hint="eastAsia" w:ascii="仿宋" w:hAnsi="仿宋" w:eastAsia="仿宋" w:cs="仿宋"/>
          <w:color w:val="000000"/>
          <w:highlight w:val="none"/>
        </w:rPr>
      </w:r>
      <w:r/>
    </w:p>
    <w:p>
      <w:pPr>
        <w:pStyle w:val="830"/>
        <w:ind w:firstLine="480"/>
        <w:spacing w:before="0" w:beforeAutospacing="0" w:after="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b/>
          <w:bCs/>
          <w:color w:val="000000"/>
          <w:highlight w:val="none"/>
        </w:rPr>
        <w:t xml:space="preserve">支撑中台</w:t>
      </w:r>
      <w:r>
        <w:rPr>
          <w:rFonts w:hint="eastAsia" w:ascii="仿宋" w:hAnsi="仿宋" w:eastAsia="仿宋" w:cs="仿宋"/>
          <w:color w:val="000000"/>
          <w:highlight w:val="none"/>
        </w:rPr>
        <w:t xml:space="preserve">复用：包括复用业务中台、数据中台和技术中台。</w:t>
      </w:r>
      <w:r>
        <w:rPr>
          <w:rFonts w:hint="eastAsia" w:ascii="仿宋" w:hAnsi="仿宋" w:eastAsia="仿宋" w:cs="仿宋"/>
          <w:color w:val="000000"/>
          <w:highlight w:val="none"/>
        </w:rPr>
      </w:r>
      <w:r/>
    </w:p>
    <w:p>
      <w:pPr>
        <w:pStyle w:val="830"/>
        <w:ind w:firstLine="480"/>
        <w:spacing w:before="0" w:beforeAutospacing="0" w:after="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（4）网络安防设备</w:t>
      </w:r>
      <w:r>
        <w:rPr>
          <w:rFonts w:hint="eastAsia" w:ascii="仿宋" w:hAnsi="仿宋" w:eastAsia="仿宋" w:cs="仿宋"/>
          <w:color w:val="000000"/>
          <w:highlight w:val="none"/>
        </w:rPr>
      </w:r>
      <w:r/>
    </w:p>
    <w:p>
      <w:pPr>
        <w:pStyle w:val="830"/>
        <w:ind w:firstLine="480"/>
        <w:spacing w:before="0" w:beforeAutospacing="0" w:after="0" w:afterAutospacing="0" w:line="0" w:lineRule="atLeast"/>
        <w:rPr>
          <w:rFonts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项目总预算：1065万元</w:t>
      </w:r>
      <w:r>
        <w:rPr>
          <w:rFonts w:ascii="仿宋" w:hAnsi="仿宋" w:eastAsia="仿宋" w:cs="仿宋"/>
          <w:color w:val="000000"/>
          <w:highlight w:val="none"/>
          <w:lang w:val="en-US" w:eastAsia="zh-CN"/>
        </w:rPr>
      </w:r>
      <w:r/>
    </w:p>
    <w:p>
      <w:pPr>
        <w:pStyle w:val="830"/>
        <w:jc w:val="both"/>
        <w:spacing w:before="0" w:beforeAutospacing="0" w:after="0" w:afterAutospacing="0" w:line="0" w:lineRule="atLeast"/>
        <w:rPr>
          <w:rFonts w:hint="eastAsia" w:ascii="仿宋" w:hAnsi="仿宋" w:eastAsia="仿宋" w:cs="仿宋"/>
          <w:highlight w:val="none"/>
        </w:rPr>
      </w:pPr>
      <w:r/>
      <w:bookmarkStart w:id="151" w:name="_Toc13870"/>
      <w:r>
        <w:rPr>
          <w:rFonts w:hint="eastAsia" w:ascii="仿宋" w:hAnsi="仿宋" w:eastAsia="仿宋" w:cs="仿宋"/>
          <w:b/>
          <w:bCs/>
          <w:color w:val="000000"/>
          <w:highlight w:val="none"/>
        </w:rPr>
        <w:t xml:space="preserve">二、合同履约期限及地点</w:t>
      </w:r>
      <w:bookmarkEnd w:id="151"/>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项目建设期：自合同签订之日起，</w:t>
      </w: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个月内交付全部建设内容并完成终验，且要求于202</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月底完成初步设计，</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月底完成区级对市级平台复用相关工作，</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月底完成</w:t>
      </w:r>
      <w:r>
        <w:rPr>
          <w:rFonts w:hint="eastAsia" w:ascii="仿宋" w:hAnsi="仿宋" w:eastAsia="仿宋" w:cs="仿宋"/>
          <w:color w:val="000000"/>
          <w:highlight w:val="none"/>
          <w:lang w:val="en-US" w:eastAsia="zh-CN"/>
        </w:rPr>
        <w:t xml:space="preserve">县</w:t>
      </w:r>
      <w:r>
        <w:rPr>
          <w:rFonts w:hint="eastAsia" w:ascii="仿宋" w:hAnsi="仿宋" w:eastAsia="仿宋" w:cs="仿宋"/>
          <w:color w:val="000000"/>
          <w:highlight w:val="none"/>
        </w:rPr>
        <w:t xml:space="preserve">级数据汇聚，</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月底完成系统调试、接入已建硬件监测数据、初步实现省市数据对接，2025年</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月底完成主要功能开发并开始上线试运行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试运行期三个月</w:t>
      </w:r>
      <w:r>
        <w:rPr>
          <w:rFonts w:hint="eastAsia" w:ascii="仿宋" w:hAnsi="仿宋" w:eastAsia="仿宋" w:cs="仿宋"/>
          <w:color w:val="000000"/>
          <w:highlight w:val="none"/>
        </w:rPr>
        <w:t xml:space="preserve">。</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lang w:eastAsia="zh-CN"/>
        </w:rPr>
      </w:pPr>
      <w:r>
        <w:rPr>
          <w:rFonts w:hint="eastAsia" w:ascii="仿宋" w:hAnsi="仿宋" w:eastAsia="仿宋" w:cs="仿宋"/>
          <w:color w:val="000000"/>
          <w:highlight w:val="none"/>
          <w:lang w:val="en-US" w:eastAsia="zh-CN"/>
        </w:rPr>
        <w:t xml:space="preserve">运维</w:t>
      </w:r>
      <w:r>
        <w:rPr>
          <w:rFonts w:hint="eastAsia" w:ascii="仿宋" w:hAnsi="仿宋" w:eastAsia="仿宋" w:cs="仿宋"/>
          <w:color w:val="000000"/>
          <w:highlight w:val="none"/>
        </w:rPr>
        <w:t xml:space="preserve">期：</w:t>
      </w:r>
      <w:r>
        <w:rPr>
          <w:rFonts w:hint="eastAsia" w:ascii="仿宋" w:hAnsi="仿宋" w:eastAsia="仿宋" w:cs="仿宋"/>
          <w:color w:val="000000"/>
          <w:highlight w:val="none"/>
          <w:lang w:val="en-US" w:eastAsia="zh-CN"/>
        </w:rPr>
        <w:t xml:space="preserve">交付甲方使用后，运维2</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lang w:eastAsia="zh-CN"/>
        </w:rPr>
        <w:t xml:space="preserve">。</w:t>
      </w:r>
      <w:r>
        <w:rPr>
          <w:rFonts w:hint="eastAsia" w:ascii="仿宋" w:hAnsi="仿宋" w:eastAsia="仿宋" w:cs="仿宋"/>
          <w:highlight w:val="none"/>
          <w:lang w:eastAsia="zh-CN"/>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项目建设及服务地点：采购人指定地点。</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b/>
          <w:bCs/>
          <w:color w:val="000000"/>
          <w:highlight w:val="none"/>
        </w:rPr>
        <w:t xml:space="preserve">三、付款方式</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（1）合同签订且在收到供应商发票后1</w:t>
      </w:r>
      <w:r>
        <w:rPr>
          <w:rFonts w:hint="eastAsia" w:ascii="仿宋" w:hAnsi="仿宋" w:eastAsia="仿宋" w:cs="仿宋"/>
          <w:color w:val="000000"/>
          <w:highlight w:val="none"/>
          <w:shd w:val="clear" w:color="auto" w:fill="ffffff"/>
          <w:lang w:val="en-US" w:eastAsia="zh-CN"/>
        </w:rPr>
        <w:t xml:space="preserve">0个工作</w:t>
      </w:r>
      <w:r>
        <w:rPr>
          <w:rFonts w:hint="eastAsia" w:ascii="仿宋" w:hAnsi="仿宋" w:eastAsia="仿宋" w:cs="仿宋"/>
          <w:color w:val="000000"/>
          <w:highlight w:val="none"/>
          <w:shd w:val="clear" w:color="auto" w:fill="ffffff"/>
        </w:rPr>
        <w:t xml:space="preserve">日内，采购人向成交人支付到合同总价款的10%作为预付款；</w:t>
      </w:r>
      <w:r>
        <w:rPr>
          <w:rFonts w:hint="eastAsia" w:ascii="仿宋" w:hAnsi="仿宋" w:eastAsia="仿宋" w:cs="仿宋"/>
          <w:color w:val="000000"/>
          <w:highlight w:val="none"/>
          <w:shd w:val="clear" w:color="auto" w:fill="ffffff"/>
        </w:rPr>
      </w:r>
      <w:r/>
    </w:p>
    <w:p>
      <w:pPr>
        <w:pStyle w:val="830"/>
        <w:ind w:firstLine="480"/>
        <w:jc w:val="both"/>
        <w:spacing w:before="0" w:beforeAutospacing="0" w:after="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（2）软件需求规格说明书（含数据库、功能详细设计）编制完成，并通过甲方确认，支付至合同总价的30%；</w:t>
      </w:r>
      <w:r>
        <w:rPr>
          <w:rFonts w:hint="eastAsia" w:ascii="仿宋" w:hAnsi="仿宋" w:eastAsia="仿宋" w:cs="仿宋"/>
          <w:color w:val="000000"/>
          <w:highlight w:val="none"/>
          <w:shd w:val="clear" w:color="auto" w:fill="ffffff"/>
        </w:rPr>
      </w:r>
      <w:r/>
    </w:p>
    <w:p>
      <w:pPr>
        <w:pStyle w:val="830"/>
        <w:ind w:firstLine="480"/>
        <w:jc w:val="both"/>
        <w:spacing w:before="0" w:beforeAutospacing="0" w:after="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（3）项目通过甲方组织的由监理单位、软件第三方测评单位、信息化专家等参加的初验，初验合格后支付至合同总价的60%；</w:t>
      </w:r>
      <w:r>
        <w:rPr>
          <w:rFonts w:hint="eastAsia" w:ascii="仿宋" w:hAnsi="仿宋" w:eastAsia="仿宋" w:cs="仿宋"/>
          <w:color w:val="000000"/>
          <w:highlight w:val="none"/>
          <w:shd w:val="clear" w:color="auto" w:fill="ffffff"/>
        </w:rPr>
      </w:r>
      <w:r/>
    </w:p>
    <w:p>
      <w:pPr>
        <w:pStyle w:val="830"/>
        <w:ind w:firstLine="480"/>
        <w:jc w:val="both"/>
        <w:spacing w:before="0" w:beforeAutospacing="0" w:after="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（4）系统连续稳定试运行3个月，并根据相关使用方意见修改完善后，经甲方、监理单位、软件第三方测评单位、相关专家书面确认后，项目终验合格后支付至合同总价的75%；</w:t>
      </w:r>
      <w:r>
        <w:rPr>
          <w:rFonts w:hint="eastAsia" w:ascii="仿宋" w:hAnsi="仿宋" w:eastAsia="仿宋" w:cs="仿宋"/>
          <w:color w:val="000000"/>
          <w:highlight w:val="none"/>
          <w:shd w:val="clear" w:color="auto" w:fill="ffffff"/>
        </w:rPr>
      </w:r>
      <w:r/>
    </w:p>
    <w:p>
      <w:pPr>
        <w:pStyle w:val="830"/>
        <w:ind w:firstLine="480"/>
        <w:jc w:val="both"/>
        <w:spacing w:before="0" w:beforeAutospacing="0" w:after="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（5）运维期间，第一年付至</w:t>
      </w:r>
      <w:r>
        <w:rPr>
          <w:rFonts w:hint="eastAsia" w:ascii="仿宋" w:hAnsi="仿宋" w:eastAsia="仿宋" w:cs="仿宋"/>
          <w:color w:val="000000"/>
          <w:highlight w:val="none"/>
          <w:shd w:val="clear" w:color="auto" w:fill="ffffff"/>
          <w:lang w:val="en-US" w:eastAsia="zh-CN"/>
        </w:rPr>
        <w:t xml:space="preserve">合同</w:t>
      </w:r>
      <w:r>
        <w:rPr>
          <w:rFonts w:hint="eastAsia" w:ascii="仿宋" w:hAnsi="仿宋" w:eastAsia="仿宋" w:cs="仿宋"/>
          <w:color w:val="000000"/>
          <w:highlight w:val="none"/>
          <w:shd w:val="clear" w:color="auto" w:fill="ffffff"/>
        </w:rPr>
        <w:t xml:space="preserve">价的90%，第二年付至</w:t>
      </w:r>
      <w:r>
        <w:rPr>
          <w:rFonts w:hint="eastAsia" w:ascii="仿宋" w:hAnsi="仿宋" w:eastAsia="仿宋" w:cs="仿宋"/>
          <w:color w:val="000000"/>
          <w:highlight w:val="none"/>
          <w:shd w:val="clear" w:color="auto" w:fill="ffffff"/>
          <w:lang w:val="en-US" w:eastAsia="zh-CN"/>
        </w:rPr>
        <w:t xml:space="preserve">合同</w:t>
      </w:r>
      <w:r>
        <w:rPr>
          <w:rFonts w:hint="eastAsia" w:ascii="仿宋" w:hAnsi="仿宋" w:eastAsia="仿宋" w:cs="仿宋"/>
          <w:color w:val="000000"/>
          <w:highlight w:val="none"/>
          <w:shd w:val="clear" w:color="auto" w:fill="ffffff"/>
        </w:rPr>
        <w:t xml:space="preserve">价的100%。</w:t>
      </w:r>
      <w:r>
        <w:rPr>
          <w:rFonts w:hint="eastAsia" w:ascii="仿宋" w:hAnsi="仿宋" w:eastAsia="仿宋" w:cs="仿宋"/>
          <w:color w:val="000000"/>
          <w:highlight w:val="none"/>
          <w:shd w:val="clear" w:color="auto" w:fill="ffffff"/>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注：在签订合同时，中标人明确表示无需预付款或者主动要求降低预付款比例的金额，采购人可不适用预付款规定。</w:t>
      </w:r>
      <w:r>
        <w:rPr>
          <w:rFonts w:hint="eastAsia" w:ascii="仿宋" w:hAnsi="仿宋" w:eastAsia="仿宋" w:cs="仿宋"/>
          <w:highlight w:val="none"/>
        </w:rPr>
      </w:r>
      <w:r/>
    </w:p>
    <w:p>
      <w:pPr>
        <w:pStyle w:val="834"/>
        <w:numPr>
          <w:ilvl w:val="0"/>
          <w:numId w:val="1"/>
        </w:numPr>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采购清单及服务内容</w:t>
      </w:r>
      <w:r>
        <w:rPr>
          <w:rFonts w:hint="eastAsia" w:ascii="仿宋" w:hAnsi="仿宋" w:eastAsia="仿宋" w:cs="仿宋"/>
          <w:b/>
          <w:color w:val="000000"/>
          <w:sz w:val="24"/>
          <w:szCs w:val="24"/>
          <w:highlight w:val="none"/>
        </w:rPr>
      </w:r>
      <w:r/>
    </w:p>
    <w:p>
      <w:pPr>
        <w:pStyle w:val="833"/>
        <w:numPr>
          <w:ilvl w:val="0"/>
          <w:numId w:val="2"/>
        </w:numPr>
        <w:ind w:firstLine="482"/>
        <w:spacing w:line="4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采购清单</w:t>
      </w:r>
      <w:r>
        <w:rPr>
          <w:rFonts w:hint="eastAsia" w:ascii="仿宋" w:hAnsi="仿宋" w:eastAsia="仿宋" w:cs="仿宋"/>
          <w:b/>
          <w:bCs/>
          <w:sz w:val="24"/>
          <w:highlight w:val="none"/>
        </w:rPr>
      </w:r>
      <w:r/>
    </w:p>
    <w:tbl>
      <w:tblPr>
        <w:tblW w:w="847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1349"/>
        <w:gridCol w:w="3745"/>
        <w:gridCol w:w="566"/>
        <w:gridCol w:w="657"/>
      </w:tblGrid>
      <w:tr>
        <w:trPr>
          <w:trHeight w:val="525"/>
        </w:trPr>
        <w:tc>
          <w:tcPr>
            <w:shd w:val="clear" w:color="auto" w:fill="d9d9d9"/>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shd w:val="clear" w:color="auto" w:fill="d9d9d9"/>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类别</w:t>
            </w:r>
            <w:r>
              <w:rPr>
                <w:rFonts w:hint="eastAsia" w:ascii="仿宋" w:hAnsi="仿宋" w:eastAsia="仿宋" w:cs="仿宋"/>
                <w:i w:val="0"/>
                <w:iCs w:val="0"/>
                <w:color w:val="000000"/>
                <w:sz w:val="21"/>
                <w:szCs w:val="21"/>
                <w:highlight w:val="none"/>
                <w:u w:val="none"/>
              </w:rPr>
            </w:r>
            <w:r/>
          </w:p>
        </w:tc>
        <w:tc>
          <w:tcPr>
            <w:shd w:val="clear" w:color="auto" w:fill="d9d9d9"/>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系统/服务</w:t>
            </w:r>
            <w:r>
              <w:rPr>
                <w:rFonts w:hint="eastAsia" w:ascii="仿宋" w:hAnsi="仿宋" w:eastAsia="仿宋" w:cs="仿宋"/>
                <w:i w:val="0"/>
                <w:iCs w:val="0"/>
                <w:color w:val="000000"/>
                <w:sz w:val="21"/>
                <w:szCs w:val="21"/>
                <w:highlight w:val="none"/>
                <w:u w:val="none"/>
              </w:rPr>
            </w:r>
            <w:r/>
          </w:p>
        </w:tc>
        <w:tc>
          <w:tcPr>
            <w:shd w:val="clear" w:color="auto" w:fill="d9d9d9"/>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子系统/服务分项</w:t>
            </w:r>
            <w:r>
              <w:rPr>
                <w:rFonts w:hint="eastAsia" w:ascii="仿宋" w:hAnsi="仿宋" w:eastAsia="仿宋" w:cs="仿宋"/>
                <w:i w:val="0"/>
                <w:iCs w:val="0"/>
                <w:color w:val="000000"/>
                <w:sz w:val="21"/>
                <w:szCs w:val="21"/>
                <w:highlight w:val="none"/>
                <w:u w:val="none"/>
              </w:rPr>
            </w:r>
            <w:r/>
          </w:p>
        </w:tc>
        <w:tc>
          <w:tcPr>
            <w:shd w:val="clear" w:color="auto" w:fill="d9d9d9"/>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shd w:val="clear" w:color="auto" w:fill="d9d9d9"/>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数据资源</w:t>
            </w: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数据需求调研</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数据需求调研</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30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数据汇聚</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基础数据</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监管数据</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监测数据</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相关业务数据</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30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数据整合建库</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归集库</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主题库</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专题库</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公共基础库</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空间地理信息库</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实时数据库</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数据治理</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结构化数据治理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空间数据治理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空间地理数据治理</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数据脱敏脱密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30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监管平台</w:t>
            </w: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统一门户</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统一门户</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综合应用</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监管一张图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综合统计分析</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综合风险分析</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应急联动处置</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行业综合监管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社会公众服务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运行维护管理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燃气爆炸专项</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燃气一张图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燃气综合监管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燃气智慧监测</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供水爆管专项（含水质监测）</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供水一张图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供水综合监管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供水智慧监测</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排水防涝专项（含水质监测）</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排水防涝一张图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污水一张图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排水防涝综合监管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污水监管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排水智慧监测</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9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地下管线综合专项</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地下管线综合一张图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地下管线综合监管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地下管线交互风险分析</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综合管廊</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桥梁倒塌专项</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桥梁一张图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桥梁综合监管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桥梁智慧监测</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41</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道路塌陷专项</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道路一张图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道路综合监管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道路智慧监测</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9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第三方施工破坏专项</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第三方施工管控一张图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45</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第三方施工综合监管</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46</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第三方施工智慧监测</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管线全流程管理</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管线数据检查</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管线库管理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数据编辑</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管线综合展示</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拟建管线辅助审查</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已建管线交互影响分析</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系统设置</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构建管线更新维护管理机制</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园林安全</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园林专项一张图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智慧园林综合安全监管平台</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57</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监测信息管理子系统</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系统管理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59</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数据治理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移动端</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61</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路灯管理</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智慧照明一张图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智慧照明设备管理系统</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智慧照明控制管理系统</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平台对接费</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65</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智慧人防</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智慧人防一张图</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78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66</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人防工程数据可视化</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67</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智慧人防监测预警</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68</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人防工程业务管理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69</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移动端应用</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移动端业务系统</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移动驾驶舱</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71</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支撑中台</w:t>
            </w: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业务中台</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设备资产管理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专业模型能力集</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数据中台</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数据汇聚平台</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74</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数据治理平台</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75</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时空数据管理平台</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76</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restart"/>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物联网平台</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77</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视频平台</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30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78</w:t>
            </w:r>
            <w:r>
              <w:rPr>
                <w:rFonts w:hint="eastAsia" w:ascii="仿宋" w:hAnsi="仿宋" w:eastAsia="仿宋" w:cs="仿宋"/>
                <w:i w:val="0"/>
                <w:iCs w:val="0"/>
                <w:color w:val="000000"/>
                <w:sz w:val="21"/>
                <w:szCs w:val="21"/>
                <w:highlight w:val="none"/>
                <w:u w:val="none"/>
              </w:rPr>
            </w:r>
            <w:r/>
          </w:p>
        </w:tc>
        <w:tc>
          <w:tcPr>
            <w:tcW w:w="1080" w:type="dxa"/>
            <w:vAlign w:val="center"/>
            <w:vMerge w:val="restart"/>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网络安防设备</w:t>
            </w: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防火墙</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2U，1个管理口，1个HA口，4个千兆电口，4个千兆光口和2个万兆光口，冗余电源，2个扩展槽位，网络层吞吐量7.5Gbps，应用层吞吐量4Gbps，TCP新建连接速率120万/秒，默认包含3年硬件质保和3年入侵防御、3年防病毒升级授权许可。</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79</w:t>
            </w:r>
            <w:r>
              <w:rPr>
                <w:rFonts w:ascii="仿宋" w:hAnsi="仿宋" w:eastAsia="仿宋" w:cs="仿宋"/>
                <w:i w:val="0"/>
                <w:iCs w:val="0"/>
                <w:color w:val="000000"/>
                <w:sz w:val="21"/>
                <w:szCs w:val="21"/>
                <w:highlight w:val="none"/>
                <w:u w:val="none"/>
                <w:lang w:val="en-US"/>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上网行为管理</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2U，6个千兆电口，4个千兆光插槽，3个可插拨的扩展槽，双电源，3个扩展槽位，带宽性能800M，网络吞吐量10G，最大并发连接数100万，内存32G，日志存储硬盘4T，默认包含3年硬件质保和3年特征库升级授权许可</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杀毒软件</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网络版管理端软件，支持通过管理中心对安装杀毒客户端的主机进行集中管理，具备病毒检测、病毒处理、策略自定义、隔离区管理、告警信息、日志、升级更新、统一管理等功能。支持支持飞腾、龙芯、鲲鹏、兆芯等硬件平台和银河麒麟、中标麒麟、中科方德、统信等操作系统，默认包含100个点的3年升级授权许可</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81</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日志审计</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2U，1个管理口，2个千兆电口和2个万兆光口，冗余电源，日志采集处理均值20000EPS，峰值35000EPS，默认包含100日志源，默认包含3年硬件质保。</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82</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网闸</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V10，2U，内外端机各32GB内存，内外端机各256GB固态硬盘，内外分别1个HA口，1个管理口，4个千兆电口和4个千兆光口，2个万兆光口，1个扩展槽位，冗余电源，文件传输速率6Gbps，网络层交换速率9.5Gbps，默认包含3年硬件质保</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r>
      <w:tr>
        <w:trPr>
          <w:trHeight w:val="27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83</w:t>
            </w:r>
            <w:r>
              <w:rPr>
                <w:rFonts w:hint="eastAsia" w:ascii="仿宋" w:hAnsi="仿宋" w:eastAsia="仿宋" w:cs="仿宋"/>
                <w:i w:val="0"/>
                <w:iCs w:val="0"/>
                <w:color w:val="000000"/>
                <w:sz w:val="21"/>
                <w:szCs w:val="21"/>
                <w:highlight w:val="none"/>
                <w:u w:val="none"/>
              </w:rPr>
            </w:r>
            <w:r/>
          </w:p>
        </w:tc>
        <w:tc>
          <w:tcPr>
            <w:tcW w:w="1080" w:type="dxa"/>
            <w:vAlign w:val="center"/>
            <w:vMerge w:val="continue"/>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门禁设备</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1、门禁控制器技术参数要求：</w:t>
            </w:r>
            <w:r>
              <w:rPr>
                <w:rFonts w:hint="eastAsia" w:ascii="仿宋" w:hAnsi="仿宋" w:eastAsia="仿宋" w:cs="仿宋"/>
                <w:i w:val="0"/>
                <w:iCs w:val="0"/>
                <w:color w:val="000000"/>
                <w:sz w:val="21"/>
                <w:szCs w:val="21"/>
                <w:highlight w:val="none"/>
                <w:u w:val="none"/>
              </w:rPr>
              <w:br w:type="textWrapping" w:clear="all"/>
            </w:r>
            <w:r>
              <w:rPr>
                <w:rFonts w:hint="eastAsia" w:ascii="仿宋" w:hAnsi="仿宋" w:eastAsia="仿宋" w:cs="仿宋"/>
                <w:i w:val="0"/>
                <w:iCs w:val="0"/>
                <w:color w:val="000000"/>
                <w:sz w:val="21"/>
                <w:szCs w:val="21"/>
                <w:highlight w:val="none"/>
                <w:u w:val="none"/>
              </w:rPr>
              <w:t xml:space="preserve">采用32位RISC处理器,运行于LINUX操作系统；具有闪存主板，可以通过网络下载升级程序；支持火警联动 。</w:t>
            </w:r>
            <w:r>
              <w:rPr>
                <w:rFonts w:hint="eastAsia" w:ascii="仿宋" w:hAnsi="仿宋" w:eastAsia="仿宋" w:cs="仿宋"/>
                <w:i w:val="0"/>
                <w:iCs w:val="0"/>
                <w:color w:val="000000"/>
                <w:sz w:val="21"/>
                <w:szCs w:val="21"/>
                <w:highlight w:val="none"/>
                <w:u w:val="none"/>
              </w:rPr>
            </w:r>
            <w:r/>
          </w:p>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2、门禁刷卡器技术参数要求：</w:t>
            </w:r>
            <w:r>
              <w:rPr>
                <w:rFonts w:hint="eastAsia" w:ascii="仿宋" w:hAnsi="仿宋" w:eastAsia="仿宋" w:cs="仿宋"/>
                <w:i w:val="0"/>
                <w:iCs w:val="0"/>
                <w:color w:val="000000"/>
                <w:sz w:val="21"/>
                <w:szCs w:val="21"/>
                <w:highlight w:val="none"/>
                <w:u w:val="none"/>
              </w:rPr>
            </w:r>
            <w:r/>
          </w:p>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使用高度安全的 64 位多变密钥进行相互验证；通过使用安全算法，实现卡和读卡器之间的安全数据传输； </w:t>
            </w:r>
            <w:r>
              <w:rPr>
                <w:rFonts w:hint="eastAsia" w:ascii="仿宋" w:hAnsi="仿宋" w:eastAsia="仿宋" w:cs="仿宋"/>
                <w:i w:val="0"/>
                <w:iCs w:val="0"/>
                <w:color w:val="000000"/>
                <w:sz w:val="21"/>
                <w:szCs w:val="21"/>
                <w:highlight w:val="none"/>
                <w:u w:val="none"/>
              </w:rPr>
            </w:r>
            <w:r/>
          </w:p>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3、磁力锁技术参数要求：</w:t>
            </w:r>
            <w:r>
              <w:rPr>
                <w:rFonts w:hint="eastAsia" w:ascii="仿宋" w:hAnsi="仿宋" w:eastAsia="仿宋" w:cs="仿宋"/>
                <w:i w:val="0"/>
                <w:iCs w:val="0"/>
                <w:color w:val="000000"/>
                <w:sz w:val="21"/>
                <w:szCs w:val="21"/>
                <w:highlight w:val="none"/>
                <w:u w:val="none"/>
              </w:rPr>
            </w:r>
            <w:r/>
          </w:p>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双门吸力：约280kg×2</w:t>
            </w:r>
            <w:r>
              <w:rPr>
                <w:rFonts w:hint="eastAsia" w:ascii="仿宋" w:hAnsi="仿宋" w:eastAsia="仿宋" w:cs="仿宋"/>
                <w:i w:val="0"/>
                <w:iCs w:val="0"/>
                <w:color w:val="000000"/>
                <w:sz w:val="21"/>
                <w:szCs w:val="21"/>
                <w:highlight w:val="none"/>
                <w:u w:val="none"/>
              </w:rPr>
            </w:r>
            <w:r/>
          </w:p>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单门吸力：约280kg</w:t>
            </w:r>
            <w:r>
              <w:rPr>
                <w:rFonts w:hint="eastAsia" w:ascii="仿宋" w:hAnsi="仿宋" w:eastAsia="仿宋" w:cs="仿宋"/>
                <w:i w:val="0"/>
                <w:iCs w:val="0"/>
                <w:color w:val="000000"/>
                <w:sz w:val="21"/>
                <w:szCs w:val="21"/>
                <w:highlight w:val="none"/>
                <w:u w:val="none"/>
              </w:rPr>
            </w:r>
            <w:r/>
          </w:p>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4、支持人脸识别、指纹等多种校验模式。</w:t>
            </w:r>
            <w:r>
              <w:rPr>
                <w:rFonts w:hint="eastAsia" w:ascii="仿宋" w:hAnsi="仿宋" w:eastAsia="仿宋" w:cs="仿宋"/>
                <w:i w:val="0"/>
                <w:iCs w:val="0"/>
                <w:color w:val="000000"/>
                <w:sz w:val="21"/>
                <w:szCs w:val="21"/>
                <w:highlight w:val="none"/>
                <w:u w:val="none"/>
              </w:rPr>
            </w:r>
            <w:r/>
          </w:p>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5、报价包含配套设备、管线和安装调试等费用</w:t>
            </w: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r>
      <w:tr>
        <w:trPr>
          <w:trHeight w:val="525"/>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系统集成费</w:t>
            </w: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系统集成费</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r>
        <w:trPr>
          <w:trHeight w:val="540"/>
        </w:trPr>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85</w:t>
            </w:r>
            <w:r>
              <w:rPr>
                <w:rFonts w:hint="eastAsia" w:ascii="仿宋" w:hAnsi="仿宋" w:eastAsia="仿宋" w:cs="仿宋"/>
                <w:i w:val="0"/>
                <w:iCs w:val="0"/>
                <w:color w:val="000000"/>
                <w:sz w:val="21"/>
                <w:szCs w:val="21"/>
                <w:highlight w:val="none"/>
                <w:u w:val="none"/>
              </w:rPr>
            </w:r>
            <w:r/>
          </w:p>
        </w:tc>
        <w:tc>
          <w:tcPr>
            <w:tcW w:w="1080"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工程建设其他费</w:t>
            </w:r>
            <w:r>
              <w:rPr>
                <w:rFonts w:hint="eastAsia" w:ascii="仿宋" w:hAnsi="仿宋" w:eastAsia="仿宋" w:cs="仿宋"/>
                <w:i w:val="0"/>
                <w:iCs w:val="0"/>
                <w:color w:val="000000"/>
                <w:sz w:val="21"/>
                <w:szCs w:val="21"/>
                <w:highlight w:val="none"/>
                <w:u w:val="none"/>
              </w:rPr>
            </w:r>
            <w:r/>
          </w:p>
        </w:tc>
        <w:tc>
          <w:tcPr>
            <w:tcW w:w="1349"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软件成本评估费</w:t>
            </w:r>
            <w:r>
              <w:rPr>
                <w:rFonts w:hint="eastAsia" w:ascii="仿宋" w:hAnsi="仿宋" w:eastAsia="仿宋" w:cs="仿宋"/>
                <w:i w:val="0"/>
                <w:iCs w:val="0"/>
                <w:color w:val="000000"/>
                <w:sz w:val="21"/>
                <w:szCs w:val="21"/>
                <w:highlight w:val="none"/>
                <w:u w:val="none"/>
              </w:rPr>
            </w:r>
            <w:r/>
          </w:p>
        </w:tc>
        <w:tc>
          <w:tcPr>
            <w:tcW w:w="3745" w:type="dxa"/>
            <w:vAlign w:val="center"/>
            <w:textDirection w:val="lrTb"/>
            <w:noWrap w:val="false"/>
          </w:tcPr>
          <w:p>
            <w:pPr>
              <w:pStyle w:val="82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66"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657" w:type="dxa"/>
            <w:vAlign w:val="center"/>
            <w:textDirection w:val="lrTb"/>
            <w:noWrap w:val="false"/>
          </w:tcPr>
          <w:p>
            <w:pPr>
              <w:pStyle w:val="820"/>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r>
    </w:tbl>
    <w:p>
      <w:pPr>
        <w:pStyle w:val="833"/>
        <w:ind w:firstLine="482"/>
        <w:spacing w:line="4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注：明细详见可研内附表。</w:t>
      </w:r>
      <w:r>
        <w:rPr>
          <w:rFonts w:hint="eastAsia" w:ascii="仿宋" w:hAnsi="仿宋" w:eastAsia="仿宋" w:cs="仿宋"/>
          <w:b/>
          <w:bCs/>
          <w:sz w:val="24"/>
          <w:highlight w:val="none"/>
        </w:rPr>
      </w:r>
      <w:r/>
    </w:p>
    <w:p>
      <w:pPr>
        <w:pStyle w:val="833"/>
        <w:ind w:firstLine="482"/>
        <w:spacing w:line="4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（二）服务内容</w:t>
      </w:r>
      <w:r>
        <w:rPr>
          <w:rFonts w:hint="eastAsia" w:ascii="仿宋" w:hAnsi="仿宋" w:eastAsia="仿宋" w:cs="仿宋"/>
          <w:b/>
          <w:bCs/>
          <w:sz w:val="24"/>
          <w:highlight w:val="none"/>
        </w:rPr>
      </w:r>
      <w:r/>
    </w:p>
    <w:p>
      <w:pPr>
        <w:pStyle w:val="833"/>
        <w:ind w:firstLine="480"/>
        <w:spacing w:line="460" w:lineRule="exact"/>
        <w:rPr>
          <w:rFonts w:hint="eastAsia" w:ascii="仿宋" w:hAnsi="仿宋" w:eastAsia="仿宋" w:cs="仿宋"/>
          <w:sz w:val="24"/>
          <w:highlight w:val="none"/>
        </w:rPr>
      </w:pPr>
      <w:r/>
      <w:bookmarkStart w:id="152" w:name="_Toc256000058"/>
      <w:r/>
      <w:bookmarkStart w:id="153" w:name="_Toc256000117"/>
      <w:r/>
      <w:bookmarkStart w:id="154" w:name="_Toc256000102"/>
      <w:r/>
      <w:bookmarkStart w:id="155" w:name="_Toc14216"/>
      <w:r/>
      <w:bookmarkStart w:id="156" w:name="_Toc8624"/>
      <w:r/>
      <w:bookmarkStart w:id="157" w:name="_Toc130486471"/>
      <w:r/>
      <w:bookmarkStart w:id="158" w:name="_Toc11362"/>
      <w:r/>
      <w:bookmarkStart w:id="159" w:name="_Toc24343"/>
      <w:r/>
      <w:bookmarkStart w:id="160" w:name="_Toc1913"/>
      <w:r/>
      <w:bookmarkStart w:id="161" w:name="_Toc256000016"/>
      <w:r>
        <w:rPr>
          <w:rFonts w:hint="eastAsia" w:ascii="仿宋" w:hAnsi="仿宋" w:eastAsia="仿宋" w:cs="仿宋"/>
          <w:sz w:val="24"/>
          <w:highlight w:val="none"/>
        </w:rPr>
        <w:t xml:space="preserve">本项目是在宿迁市城市生命线安全工程（一期）的基础上，以“综合监管+智慧监测”的思路，构建泗洪县城市生命线安全监管体系，建立跨部门应急联动机制。本项目主要建设内容为泗洪县城市生命线安全监管平台的建设</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平台建设从数据资源汇聚和数据库建设、支撑平台建设、应用场景建设等方面，搭建泗洪县城市生命线安全管理平台。基础设施依托宿迁市政务云资源和泗洪县政务云资源，基于已布设或未来新布设传感设备的监测数据，结合城市基础设施数据与各部门业务监管数据，建立丰富的底层数据归集库与主题库，为本项目搭建数据支撑体系；借助业务中台、数据中台与技术中台等平台能力作为本项目的技术能力支撑；以“综合应用+专项应用+特色应用”相结合的模式，实现从整体到专项、从普遍到特色的全面监管和展示。</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建设内容涵盖燃气、供水、排水、道路、桥梁等市政行业以及信息系统设计、开发等多个领域，投标人需熟悉燃气、供水、排水、道路、桥梁等市政行业情况，能够从采购人的管理职责出发，完整、准确、深刻理解上述领域中不同场景下的业务需求，需要具备全面、综合的设计能力和信息系统设计研发能力。</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本次项目涉及到的系统对接，投标人可视自身需求进行现场勘察。根据投标人自行设计的情况进行勘察内容记录。</w:t>
      </w:r>
      <w:r>
        <w:rPr>
          <w:rFonts w:hint="eastAsia" w:ascii="仿宋" w:hAnsi="仿宋" w:eastAsia="仿宋" w:cs="仿宋"/>
          <w:sz w:val="24"/>
          <w:highlight w:val="none"/>
        </w:rPr>
      </w:r>
      <w:r/>
    </w:p>
    <w:p>
      <w:pPr>
        <w:pStyle w:val="835"/>
        <w:ind w:firstLine="482"/>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1.总体设计要求</w:t>
      </w:r>
      <w:bookmarkEnd w:id="152"/>
      <w:r/>
      <w:bookmarkEnd w:id="153"/>
      <w:r/>
      <w:bookmarkEnd w:id="154"/>
      <w:r/>
      <w:bookmarkEnd w:id="161"/>
      <w:r>
        <w:rPr>
          <w:rFonts w:hint="eastAsia" w:ascii="仿宋" w:hAnsi="仿宋" w:eastAsia="仿宋" w:cs="仿宋"/>
          <w:sz w:val="24"/>
          <w:szCs w:val="24"/>
          <w:highlight w:val="none"/>
        </w:rPr>
      </w:r>
      <w:r/>
    </w:p>
    <w:p>
      <w:pPr>
        <w:pStyle w:val="837"/>
        <w:ind w:firstLine="482"/>
        <w:spacing w:line="460" w:lineRule="exact"/>
        <w:rPr>
          <w:rFonts w:hint="eastAsia" w:ascii="仿宋" w:hAnsi="仿宋" w:eastAsia="仿宋" w:cs="仿宋"/>
          <w:sz w:val="24"/>
          <w:highlight w:val="none"/>
        </w:rPr>
      </w:pPr>
      <w:r/>
      <w:bookmarkStart w:id="162" w:name="_Toc256000061"/>
      <w:r/>
      <w:bookmarkStart w:id="163" w:name="_Toc256000017"/>
      <w:r/>
      <w:bookmarkStart w:id="164" w:name="_Toc256000118"/>
      <w:r/>
      <w:bookmarkStart w:id="165" w:name="_Toc256000103"/>
      <w:r/>
      <w:bookmarkStart w:id="166" w:name="_Toc256000059"/>
      <w:r/>
      <w:bookmarkStart w:id="167" w:name="_Toc256000105"/>
      <w:r/>
      <w:bookmarkStart w:id="168" w:name="_Toc130486473"/>
      <w:r/>
      <w:bookmarkStart w:id="169" w:name="_Toc20319"/>
      <w:r/>
      <w:bookmarkStart w:id="170" w:name="_Toc256000019"/>
      <w:r/>
      <w:bookmarkStart w:id="171" w:name="_Toc8288"/>
      <w:r/>
      <w:bookmarkStart w:id="172" w:name="_Toc12654"/>
      <w:r/>
      <w:bookmarkStart w:id="173" w:name="_Toc256000120"/>
      <w:r/>
      <w:bookmarkStart w:id="174" w:name="_Toc20785"/>
      <w:r/>
      <w:bookmarkStart w:id="175" w:name="_Toc5685"/>
      <w:r>
        <w:rPr>
          <w:rFonts w:hint="eastAsia" w:ascii="仿宋" w:hAnsi="仿宋" w:eastAsia="仿宋" w:cs="仿宋"/>
          <w:sz w:val="24"/>
          <w:highlight w:val="none"/>
        </w:rPr>
        <w:t xml:space="preserve">1.1需求理解与总体技术能力要求</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结合本地实际情况，通过梳理城市生命线本底情况、监测和监管现状、信息系统现状，对现状问题进行全面分析梳理，从业务需求、功能需求等内容予以分析并给出解决策略，进而明确泗洪县城市生命线项目建设的建设目标、建设思路和建设内容。 </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1.2总体建设内容要求</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基于对现状的分析和需求理解，对泗洪县城市生命线项目，给出逻辑合理、技术先进的项目设计思路，通过总体架构、业务架构、应用架构、数据架构、网络架构等方面的设计，从总体建设框架搭建、业务逻辑梳理、应用系统耦合、数据全生命周期管理、网络运行环境及系统部署对接等方面，对本次建设内容进行全面、系统的分析。</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1）数据资源建设：汇聚市政基础设施信息、第三方施工项目信息、行业监管信息、企业运行数据、各类传感器监测感知数据，按照省市数据标准进行数据治理，建设专项主题库，并与省级城市生命线安全监管系统对接。</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监管平台建设与复用：包括1个综合应用系统、7个专项应用系统、3个特色应用和1个移动端应用。综合应用包括新建综合监管一张图，复用市级已建的综合统计分析、应急联动处置、行业综合监管、社会公众服务及运行维护管理功能模块；专项应用包括复用市级已建燃气爆炸、排水监管、供水爆管、地下管线交互风险、桥梁倒塌、道路塌陷、第三方施工破坏的监管系统和监测系统，新建各专项一张图；特色应用为新建园林安全、路灯管理和智慧人防；移动端应用包括复用移动端业务系统和新建领导驾驶舱。</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（3）支撑中台复用：包括复用业务中台、数据中台和技术中台。</w:t>
      </w:r>
      <w:r>
        <w:rPr>
          <w:rFonts w:hint="eastAsia" w:ascii="仿宋" w:hAnsi="仿宋" w:eastAsia="仿宋" w:cs="仿宋"/>
          <w:sz w:val="24"/>
          <w:highlight w:val="none"/>
        </w:rPr>
      </w:r>
      <w:r/>
    </w:p>
    <w:p>
      <w:pPr>
        <w:pStyle w:val="835"/>
        <w:ind w:firstLine="482"/>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2.数据资源建设要求</w:t>
      </w:r>
      <w:bookmarkEnd w:id="162"/>
      <w:r/>
      <w:bookmarkEnd w:id="167"/>
      <w:r/>
      <w:bookmarkEnd w:id="168"/>
      <w:r/>
      <w:bookmarkEnd w:id="169"/>
      <w:r/>
      <w:bookmarkEnd w:id="170"/>
      <w:r/>
      <w:bookmarkEnd w:id="171"/>
      <w:r/>
      <w:bookmarkEnd w:id="172"/>
      <w:r/>
      <w:bookmarkEnd w:id="173"/>
      <w:r/>
      <w:bookmarkEnd w:id="174"/>
      <w:r/>
      <w:bookmarkEnd w:id="175"/>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基于泗洪县各行业领域已建信息化管理系统，推进全县城市生命线工程相关数据资源归集，实现部门之间、不同层级之间数据有序流动、安全应用。按照全省统一数据标准，汇聚整合相关设施基础数据、行业监管信息、动态监测数据以及相关部门业务数据，建设归集库与主题数据库，推进数据治理，提升数据归集率、合格率、共享率，夯实城市生命线数据底座，构建以城市生命线安全工程为核心的信息共享机制，打破各部门之间的数据壁垒，实现城市生命线各类数据的互通、共享、分析与运用，赋能城市生命线各项场景应用。</w:t>
      </w:r>
      <w:r>
        <w:rPr>
          <w:rFonts w:hint="eastAsia" w:ascii="仿宋" w:hAnsi="仿宋" w:eastAsia="仿宋" w:cs="仿宋"/>
          <w:sz w:val="24"/>
          <w:highlight w:val="none"/>
        </w:rPr>
      </w:r>
      <w:r/>
    </w:p>
    <w:p>
      <w:pPr>
        <w:pStyle w:val="833"/>
        <w:ind w:firstLine="480"/>
        <w:jc w:val="left"/>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如甲方需要，乙方承诺在本项目建设及售后服务期内完成与省级城市生命线平台及其他相关平台系统数据对接，市级（县级）城市生命线平台侧的开发工作，不另外收取费用。</w:t>
      </w:r>
      <w:r>
        <w:rPr>
          <w:rFonts w:hint="eastAsia" w:ascii="仿宋" w:hAnsi="仿宋" w:eastAsia="仿宋" w:cs="仿宋"/>
          <w:sz w:val="24"/>
          <w:highlight w:val="none"/>
        </w:rPr>
      </w:r>
      <w:r/>
    </w:p>
    <w:p>
      <w:pPr>
        <w:pStyle w:val="833"/>
        <w:ind w:firstLine="480"/>
        <w:jc w:val="left"/>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在本项目建设期内，针对企业侧数据，凡在江苏省级传感监测设备应用推广产品目录内监测设备的监测数据，乙方需要应接尽接，乙方不得要求企业使用特定监测设备及相关产品，不得另外收取任何形式费用。</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2.1数据需求调研</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数据指标需求确认后，需到各个委办局进行调研，并产出数据资源接入清单。</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2.2数据汇聚</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项目需要汇聚城市生命线安全工程相关的燃气、供水、排水（排水防涝、污水）、桥梁、道路、第三方施工等专项的基础数据；需汇聚燃气、排水（排水防涝、污水）、供水、桥梁、道路、第三方施工等监管数据；需汇聚燃气、排水（排水防涝、污水）、供水、桥梁、道路、第三方施工等监测预警数据；需汇聚各委办局的相关业务数据。</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2.3数据整合建库</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对汇聚的各类数据进行整合建库，包括归集库、空间地理信息库、实时数据库、主题库/专题库。</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（1）归集库：面向数据归集的来源建立各类归集库，实现结构化数据的统一汇聚、统一管理、可追溯、可查询。</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主题库/专题库：面向专题场景，主题库的建设应包括主题梳理、建设元数据标准、数据分析建模和数据ETL；专题库主要指满足园林安全、路灯管理等专题场景的监管和可视化需求的专题数据库，专题库的建设应包括专题梳理、元数据标准、分析建模、数据ETL、专题DIM建设。</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3）公共基础库：公共基础库存储满足共性数据需求的公共基础数据，应包括重点防护目标数据、重点危险源数据、应急资源信息数据等。公共基础库的建设应包括主题梳理、建设元数据标准、数据分析建模和数据ETL。</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（4）空间地理信息库：面向影像数据、二维矢量数据、三维模型数据等各类空间数据建立空间地理信息库，对栅格数据以及点、线、面要素的空间位置及属性等信息予以分类管理。</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（5）实时数据库：要求结合上层应用对数据的实时要求，对数据进行数据归集、监控、数据清洗比对、实时数据汇总计算，实现为各个应用专题提供实时数据服务。</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2.4数据治理</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项目中的数据治理工程需满足省市两级相关数据治理标准中，对数据开发、数据质量、数据标准、数据更新等方面的要求，数据类型包括传感器监测数据、企业运行数据、监管部门监管数据、二三维空间数据等与本次建设内容相关的各类数据。</w:t>
      </w:r>
      <w:r>
        <w:rPr>
          <w:rFonts w:hint="eastAsia" w:ascii="仿宋" w:hAnsi="仿宋" w:eastAsia="仿宋" w:cs="仿宋"/>
          <w:sz w:val="24"/>
          <w:highlight w:val="none"/>
        </w:rPr>
      </w:r>
      <w:r/>
    </w:p>
    <w:p>
      <w:pPr>
        <w:pStyle w:val="839"/>
        <w:ind w:firstLine="482"/>
        <w:spacing w:before="0" w:after="0" w:line="460" w:lineRule="exact"/>
        <w:tabs>
          <w:tab w:val="left" w:pos="567" w:leader="none"/>
        </w:tabs>
        <w:rPr>
          <w:rFonts w:hint="eastAsia" w:ascii="仿宋" w:hAnsi="仿宋" w:eastAsia="仿宋" w:cs="仿宋"/>
          <w:sz w:val="24"/>
          <w:highlight w:val="none"/>
        </w:rPr>
      </w:pPr>
      <w:r>
        <w:rPr>
          <w:rFonts w:hint="eastAsia" w:ascii="仿宋" w:hAnsi="仿宋" w:eastAsia="仿宋" w:cs="仿宋"/>
          <w:sz w:val="24"/>
          <w:highlight w:val="none"/>
        </w:rPr>
        <w:t xml:space="preserve">2.4.1结构化数据治理</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针对各类监管数据、监测数据、城市生命线设施基础数据，以及各委办局相关数据中的结构化数据，提供数据治理服务，包括但不限于元数据管理服务、数据质量管理服务、数据标准管理服务、数据安全管理服务、数据生命周期服务、数据更新维护和数据共享等服务内容，满足城市生命线安全工程中各专项数据的规范化、标准化管理，满足数据质量问题稽核、溯源，满足专项应用的数据分析和可视化。</w:t>
      </w:r>
      <w:r>
        <w:rPr>
          <w:rFonts w:hint="eastAsia" w:ascii="仿宋" w:hAnsi="仿宋" w:eastAsia="仿宋" w:cs="仿宋"/>
          <w:sz w:val="24"/>
          <w:highlight w:val="none"/>
        </w:rPr>
      </w:r>
      <w:r/>
    </w:p>
    <w:p>
      <w:pPr>
        <w:pStyle w:val="839"/>
        <w:ind w:firstLine="482"/>
        <w:spacing w:before="0" w:after="0" w:line="460" w:lineRule="exact"/>
        <w:tabs>
          <w:tab w:val="left" w:pos="567" w:leader="none"/>
        </w:tabs>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空间数据治理</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空间数据治理一方面需根据地下管网普查后的修正结果，对现有三维模型数据予以修正和完善，另一方面需提供数据目录梳理、数据归集、数据处理、数据融合转换、数据质检、数据导入导出、数据入库、数据更新、地图设计、数据发布、数据备份等方面的服务，满足空间数据与结构化数据的融合分析，满足专项应用的空间可视化需求。</w:t>
      </w:r>
      <w:r>
        <w:rPr>
          <w:rFonts w:hint="eastAsia" w:ascii="仿宋" w:hAnsi="仿宋" w:eastAsia="仿宋" w:cs="仿宋"/>
          <w:sz w:val="24"/>
          <w:highlight w:val="none"/>
        </w:rPr>
      </w:r>
      <w:r/>
    </w:p>
    <w:p>
      <w:pPr>
        <w:pStyle w:val="835"/>
        <w:ind w:firstLine="482"/>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.监管平台建设要求</w:t>
      </w:r>
      <w:bookmarkEnd w:id="155"/>
      <w:r/>
      <w:bookmarkEnd w:id="156"/>
      <w:r/>
      <w:bookmarkEnd w:id="157"/>
      <w:r/>
      <w:bookmarkEnd w:id="158"/>
      <w:r/>
      <w:bookmarkEnd w:id="159"/>
      <w:r/>
      <w:bookmarkEnd w:id="160"/>
      <w:r/>
      <w:bookmarkEnd w:id="163"/>
      <w:r/>
      <w:bookmarkEnd w:id="164"/>
      <w:r/>
      <w:bookmarkEnd w:id="165"/>
      <w:r/>
      <w:bookmarkEnd w:id="166"/>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城市生命线安全工程建设方案中，对宿迁市已有监管系统架构、功能、数据情况、业务情况等充分分析，提供泗洪县城市生命线各系统的建设和复用思路及方案，以及本县各专项一张图建设的详实方案。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.1综合应用</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以集约化建设、统筹管理为目标，将城市生命线各专项场景的共性需求提炼为综合应用能力，支撑各专项场景监管监测和可视化需求，需包括但不限于综合监管一张图、综合统计分析、应急联动处置、行业综合监管、社会公众服务及运行维护管理等内容。其中，综合监管一张图需新建，以满足本县对辖区内城市生命线基础设施运行情况的全面了解和市级主管部门对本县的业务管理要求；其他功能模块应基于市级平台能力提供复用思路和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.2燃气爆炸</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针对当前燃气行业基础信息分散、未形成统一的电子台账、监管部门无统一渠道及时掌握燃气公司巡检巡查情况和事件处置情况、无智能化风险分析研判手段等问题，本次燃气爆炸专项场景需提供燃气一张图、综合监管和智慧监测系统。其中，燃气监管一张图需新建，以满足本县对辖区内城市生命线基础设施运行情况的全面了解和市级主管部门对本县的业务管理要求；其他功能模块应基于市级平台能力提供复用思路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.3排水监管</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含水质监测</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针对当前排水行业基础信息分散、未形成统一的电子台账、监管部门无统一渠道及时掌握运营单位巡检巡查情况和事件处置情况、无智能化风险分析研判手段等问题，本次排水专项场景需提供面向排水和污水两方面的总览一张图、综合监管和智慧监测系统。其中，排水监管一张图需新建，以满足本县对辖区内城市生命线基础设施运行情况的全面了解和市级主管部门对本县的业务管理要求；其他功能模块应基于市级平台能力提供复用思路和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.4供水爆管</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含水质监测</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针对当前供水行业基础信息分散、未形成统一的电子台账、监管部门无统一渠道及时掌握供水公司巡检巡查情况和事件处置情况、无智能化风险分析研判手段等问题，本次供水爆管专项场景需提供供水一张图、综合监管和智慧监测系统。其中，供水监管一张图需新建，以满足本县对辖区内城市生命线基础设施运行情况的全面了解和市级主管部门对本县的业务管理要求；其他功能模块应基于市级平台能力提供复用思路和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.5地下管线交互风险</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针对综合管线在建设及运营方面存在各自为政、缺乏统一监管等问题，需要打通各综合管线项目管理平台或系统的业务数据，强化协同监管流程，本次地下管线交互风险专项需提供地下管线综合一张图、综合监管、交互风险分析、</w:t>
      </w:r>
      <w:r>
        <w:rPr>
          <w:rFonts w:hint="eastAsia" w:ascii="仿宋" w:hAnsi="仿宋" w:eastAsia="仿宋" w:cs="仿宋"/>
          <w:sz w:val="24"/>
          <w:highlight w:val="none"/>
          <w:lang w:eastAsia="zh-CN"/>
        </w:rPr>
        <w:t xml:space="preserve">综合</w:t>
      </w:r>
      <w:r>
        <w:rPr>
          <w:rFonts w:hint="eastAsia" w:ascii="仿宋" w:hAnsi="仿宋" w:eastAsia="仿宋" w:cs="仿宋"/>
          <w:sz w:val="24"/>
          <w:highlight w:val="none"/>
          <w:lang w:val="en-US" w:eastAsia="zh-CN"/>
        </w:rPr>
        <w:t xml:space="preserve">管廊</w:t>
      </w:r>
      <w:r>
        <w:rPr>
          <w:rFonts w:hint="eastAsia" w:ascii="仿宋" w:hAnsi="仿宋" w:eastAsia="仿宋" w:cs="仿宋"/>
          <w:sz w:val="24"/>
          <w:highlight w:val="none"/>
        </w:rPr>
        <w:t xml:space="preserve">等应用系统。其中，地下管线交互风险监管一张图需新建，以满足本县对辖区内城市生命线基础设施运行情况的全面了解和市级主管部门对本县的业务管理要求；其他功能模块应基于市级平台能力提供复用思路和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.6桥梁倒塌</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针对全县桥梁的全流程、系统性监管需求，以及对于相关桥梁隐患、危桥整治、安全防护设施等专项整治业务，需要利用数字化手段、系统化方式进行监管和健康度智能评估。本次桥梁倒塌场景专项需提供桥梁一张图、综合监管、智慧监测系统建设。其中，桥梁监管一张图需新建，以满足本县对辖区内城市生命线基础设施运行情况的全面了解和市级主管部门对本县的业务管理要求；其他功能模块应基于市级平台能力提供复用思路和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.7道路塌陷</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为加强市政道路及附属设施的管理和道路塌陷的预防，掌握城市道路总体情况、主要塌陷隐患区域及处置结果，减少因道路病害而发生的事故，建设道路塌陷隐患风险专项监管应用。本次专项建设需提供道路一张图、综合监管和智慧监测系统。其中，道路监管一张图需新建，以满足本县对辖区内城市生命线基础设施运行情况的全面了解和市级主管部门对本县的业务管理要求；其他功能模块应基于市级平台能力提供复用思路和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.8第三方施工破坏</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针对目前第三方施工破坏问题频发，无有效监管手段和监管机制进行信息统一管理和事件处置、联合惩戒等问题，本次建设第三方施工破坏专项，需提供第三方施工管控一张图、综合监管和智慧监测应用系统。其中，第三方施工破坏监管一张图需新建，以满足本县对辖区内城市生命线基础设施运行情况的全面了解和市级主管部门对本县的业务管理要求；其他功能模块应基于市级平台能力提供复用思路和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.9园林安全</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结合泗洪县住建局园林绿化所实际需求，建设包含园林专项一张图、智慧园林安全综合监管平台等内容。其中，智慧园林综合安全监管平台需通过部门协同、资源共享、信息融合等方式，实现信息化建设与规范化管理统一融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.10路灯管理</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作为泗洪城市生命线项目建设的特色专项与重要的一环，需要建设智慧照明综合管理系统平台，并结合城市生命线路灯专项监管监测需求，开展单灯控制、视频监控方面监测，提升对道路照明基础设施的远程智慧管控能力，提高城市照明管理的安全性和高效性。</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.11管线全流程管理</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以地下管线全流程管理实际需求导向，基于全域信息共建共享的管线数据动态维护模式，以信息化建设和数字技术为支撑，对泗洪县地下管线数据从生产、处理、入库、更新维护等全过程进行信息化管理，形成符合泗洪县实际情况的管线数据管理、更新与应用模式。通过建立有效的数据动态更新机制，实现数据的互联共享，推动形成“管线监管一张图”的管线管理模式，助力实现管线从计划建设到报废全生命周期全过程监管，更好地保证泗洪县管线数据库的实时、动态更新，为城市基础设施综合监管和安全运行等提供底图服务和数据服务。</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.12智慧人防</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实现泗洪县人防数据一网感知，将人防的既有数据、录入数据、传感器感知数据等，接入到县物联网平台、数据中台，人防基本原子数据接入到人防工程数据可视化，以及综合业务系统中，传感器告警数据接入监测预警系统中，当有告警产生形成事件，推动到泗洪县指挥中心事件分拨平台中，事件分拨平台根据告警信息所属人防工程归属，将事件分拨到归属单位进行巡查处置。</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4.13</w:t>
      </w:r>
      <w:r>
        <w:rPr>
          <w:rFonts w:hint="eastAsia" w:ascii="仿宋" w:hAnsi="仿宋" w:eastAsia="仿宋" w:cs="仿宋"/>
          <w:sz w:val="24"/>
          <w:highlight w:val="none"/>
        </w:rPr>
        <w:t xml:space="preserve">移动端应用</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bookmarkStart w:id="176" w:name="_Toc7308"/>
      <w:r/>
      <w:bookmarkStart w:id="177" w:name="_Toc20336"/>
      <w:r/>
      <w:bookmarkStart w:id="178" w:name="_Toc29810"/>
      <w:r/>
      <w:bookmarkStart w:id="179" w:name="_Toc256000018"/>
      <w:r/>
      <w:bookmarkStart w:id="180" w:name="_Toc256000104"/>
      <w:r/>
      <w:bookmarkStart w:id="181" w:name="_Toc3505"/>
      <w:r/>
      <w:bookmarkStart w:id="182" w:name="_Toc256000060"/>
      <w:r/>
      <w:bookmarkStart w:id="183" w:name="_Toc130486472"/>
      <w:r/>
      <w:bookmarkStart w:id="184" w:name="_Toc256000119"/>
      <w:r/>
      <w:bookmarkStart w:id="185" w:name="_Toc1181"/>
      <w:r>
        <w:rPr>
          <w:rFonts w:hint="eastAsia" w:ascii="仿宋" w:hAnsi="仿宋" w:eastAsia="仿宋" w:cs="仿宋"/>
          <w:sz w:val="24"/>
          <w:highlight w:val="none"/>
        </w:rPr>
        <w:t xml:space="preserve">移动端应用需包括移动端业务系统和移动驾驶舱两部分。移动端业务系统以复用市级平台为主，本次方案需基于市级平台能力提供复用思路和方案；移动驾驶舱建设面向县政府和监管部门主要领导和业务人员，需提供但不限于首页重点关注、监测预警、运行报告、事件处置、专题展示等模块，使用户可随时查看本县城市生命线运行情况。</w:t>
      </w:r>
      <w:r>
        <w:rPr>
          <w:rFonts w:hint="eastAsia" w:ascii="仿宋" w:hAnsi="仿宋" w:eastAsia="仿宋" w:cs="仿宋"/>
          <w:sz w:val="24"/>
          <w:highlight w:val="none"/>
        </w:rPr>
      </w:r>
      <w:r/>
    </w:p>
    <w:p>
      <w:pPr>
        <w:pStyle w:val="835"/>
        <w:ind w:firstLine="482"/>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.支撑中台建设要求</w:t>
      </w:r>
      <w:bookmarkEnd w:id="176"/>
      <w:r/>
      <w:bookmarkEnd w:id="177"/>
      <w:r/>
      <w:bookmarkEnd w:id="178"/>
      <w:r/>
      <w:bookmarkEnd w:id="179"/>
      <w:r/>
      <w:bookmarkEnd w:id="180"/>
      <w:r/>
      <w:bookmarkEnd w:id="181"/>
      <w:r/>
      <w:bookmarkEnd w:id="182"/>
      <w:r/>
      <w:bookmarkEnd w:id="183"/>
      <w:r/>
      <w:bookmarkEnd w:id="184"/>
      <w:r/>
      <w:bookmarkEnd w:id="185"/>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依托市级城市生命线安全工程和泗洪县“一网统管”建设内容，本次建设需在保障泗洪县城市生命线安全工程稳定运行的基础上，以集约化建设为原则，通过利旧复用的方式，实现业务中台与技术中台对城市生命线应用场景的共性支撑体系。</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.1业务中台</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业务中台主要包括地理信息能力集、专业模型能力集和基础业务能力集。本次建设复用市级平台已建的业务中台，需结合市级平台能力提供业务中台复用思路和方案，需提供基于本县数据对重点模型的调试方案。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.2数据中台</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数据中台主要包括数据汇聚平台、数据治理平台和时空数据管理平台。本次建设复用市级平台已建的数据中台，需结合市级平台能力提供数据中台复用思路和方案。</w:t>
      </w:r>
      <w:r>
        <w:rPr>
          <w:rFonts w:hint="eastAsia" w:ascii="仿宋" w:hAnsi="仿宋" w:eastAsia="仿宋" w:cs="仿宋"/>
          <w:sz w:val="24"/>
          <w:highlight w:val="none"/>
        </w:rPr>
      </w:r>
      <w:r/>
    </w:p>
    <w:p>
      <w:pPr>
        <w:pStyle w:val="837"/>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.2技术中台</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技术中台主要包括物联网平台和视频平台。物联网平台复用市级已建物联网平台，需结合市级平台的设备管理、消息处理、物模型管理、可视化管理等能力提供物联网平台复用思路和方案，保证已建和新建设备的对接和管理；视频平台复用泗洪县已建视频平台，为城市内涝、桥梁风险监测等提供实时监控调用与管理能力，需结合现有平台能力提供视频平台复用思路和方案，保证已建和新建视频监控的对接和管理。</w:t>
      </w:r>
      <w:r>
        <w:rPr>
          <w:rFonts w:hint="eastAsia" w:ascii="仿宋" w:hAnsi="仿宋" w:eastAsia="仿宋" w:cs="仿宋"/>
          <w:sz w:val="24"/>
          <w:highlight w:val="none"/>
        </w:rPr>
      </w:r>
      <w:r/>
    </w:p>
    <w:p>
      <w:pPr>
        <w:pStyle w:val="835"/>
        <w:ind w:firstLine="482"/>
        <w:spacing w:line="46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.系统</w:t>
      </w:r>
      <w:r>
        <w:rPr>
          <w:rFonts w:hint="eastAsia" w:ascii="仿宋" w:hAnsi="仿宋" w:eastAsia="仿宋" w:cs="仿宋"/>
          <w:sz w:val="24"/>
          <w:highlight w:val="none"/>
          <w:lang w:val="en-US" w:eastAsia="zh-CN"/>
        </w:rPr>
        <w:t xml:space="preserve">平台</w:t>
      </w:r>
      <w:r>
        <w:rPr>
          <w:rFonts w:hint="eastAsia" w:ascii="仿宋" w:hAnsi="仿宋" w:eastAsia="仿宋" w:cs="仿宋"/>
          <w:sz w:val="24"/>
          <w:highlight w:val="none"/>
        </w:rPr>
        <w:t xml:space="preserve">对接要求</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针对</w:t>
      </w:r>
      <w:r>
        <w:rPr>
          <w:rFonts w:hint="eastAsia" w:ascii="仿宋" w:hAnsi="仿宋" w:eastAsia="仿宋" w:cs="仿宋"/>
          <w:b/>
          <w:bCs/>
          <w:sz w:val="24"/>
          <w:highlight w:val="none"/>
        </w:rPr>
        <w:t xml:space="preserve">综合应用</w:t>
      </w:r>
      <w:r>
        <w:rPr>
          <w:rFonts w:hint="eastAsia" w:ascii="仿宋" w:hAnsi="仿宋" w:eastAsia="仿宋" w:cs="仿宋"/>
          <w:sz w:val="24"/>
          <w:highlight w:val="none"/>
        </w:rPr>
        <w:t xml:space="preserve">和各</w:t>
      </w:r>
      <w:r>
        <w:rPr>
          <w:rFonts w:hint="eastAsia" w:ascii="仿宋" w:hAnsi="仿宋" w:eastAsia="仿宋" w:cs="仿宋"/>
          <w:b/>
          <w:bCs/>
          <w:sz w:val="24"/>
          <w:highlight w:val="none"/>
        </w:rPr>
        <w:t xml:space="preserve">专项监管</w:t>
      </w:r>
      <w:r>
        <w:rPr>
          <w:rFonts w:hint="eastAsia" w:ascii="仿宋" w:hAnsi="仿宋" w:eastAsia="仿宋" w:cs="仿宋"/>
          <w:sz w:val="24"/>
          <w:highlight w:val="none"/>
        </w:rPr>
        <w:t xml:space="preserve">系统的业务运行需求，涉及事件处置时，需体现与现有市级/县级事件分拨平台的业务流程之间的关系，保证事件全生命周期管理的相关数据的共享，对跨部门事件及时上报分拨处置。</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本次项目关于支撑中台的建设内容采用复用市级平台能力为主，复用本地平台能力为辅。本次项目建设需要结合本地实际，重点体现与</w:t>
      </w:r>
      <w:r>
        <w:rPr>
          <w:rFonts w:hint="eastAsia" w:ascii="仿宋" w:hAnsi="仿宋" w:eastAsia="仿宋" w:cs="仿宋"/>
          <w:sz w:val="24"/>
          <w:highlight w:val="none"/>
          <w:lang w:val="en-US" w:eastAsia="zh-CN"/>
        </w:rPr>
        <w:t xml:space="preserve">市级</w:t>
      </w:r>
      <w:r>
        <w:rPr>
          <w:rFonts w:hint="eastAsia" w:ascii="仿宋" w:hAnsi="仿宋" w:eastAsia="仿宋" w:cs="仿宋"/>
          <w:sz w:val="24"/>
          <w:highlight w:val="none"/>
        </w:rPr>
        <w:t xml:space="preserve">物联网平台和县级视频开放平台等相关平台从数据、功能等方面之间的关系，保证空间地理数据、实时监测数据和视频数据在符合数据安全要求下的汇聚共享和数据分析等需求。</w:t>
      </w:r>
      <w:r>
        <w:rPr>
          <w:rFonts w:hint="eastAsia" w:ascii="仿宋" w:hAnsi="仿宋" w:eastAsia="仿宋" w:cs="仿宋"/>
          <w:sz w:val="24"/>
          <w:highlight w:val="none"/>
        </w:rPr>
      </w:r>
      <w:r/>
    </w:p>
    <w:p>
      <w:pPr>
        <w:pStyle w:val="835"/>
        <w:numPr>
          <w:ilvl w:val="0"/>
          <w:numId w:val="3"/>
        </w:numPr>
        <w:ind w:firstLine="482"/>
        <w:spacing w:line="460" w:lineRule="exact"/>
        <w:tabs>
          <w:tab w:val="left" w:pos="312" w:leader="none"/>
        </w:tabs>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网络安防设备</w:t>
      </w:r>
      <w:r>
        <w:rPr>
          <w:rFonts w:hint="eastAsia" w:ascii="仿宋" w:hAnsi="仿宋" w:eastAsia="仿宋" w:cs="仿宋"/>
          <w:sz w:val="24"/>
          <w:highlight w:val="none"/>
          <w:lang w:val="en-US" w:eastAsia="zh-CN"/>
        </w:rPr>
      </w:r>
      <w:r/>
    </w:p>
    <w:p>
      <w:pPr>
        <w:pStyle w:val="837"/>
        <w:ind w:firstLine="482"/>
        <w:spacing w:line="46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7.1防火墙</w:t>
      </w:r>
      <w:r>
        <w:rPr>
          <w:rFonts w:hint="eastAsia" w:ascii="仿宋" w:hAnsi="仿宋" w:eastAsia="仿宋" w:cs="仿宋"/>
          <w:sz w:val="24"/>
          <w:highlight w:val="none"/>
          <w:lang w:val="en-US" w:eastAsia="zh-CN"/>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2U，1个管理口，1个HA口，4个千兆电口，4个千兆光口和2个万兆光口，冗余电源，2个扩展槽位，网络层吞吐量7.5Gbps，应用层吞吐量4Gbps，TCP新建连接速率120万/秒，默认包含3年硬件质保和3年入侵防御、3年防病毒升级授权许可。</w:t>
      </w:r>
      <w:r>
        <w:rPr>
          <w:rFonts w:hint="eastAsia" w:ascii="仿宋" w:hAnsi="仿宋" w:eastAsia="仿宋" w:cs="仿宋"/>
          <w:b w:val="0"/>
          <w:sz w:val="24"/>
          <w:szCs w:val="20"/>
          <w:highlight w:val="none"/>
          <w:lang w:val="en-US" w:eastAsia="zh-CN" w:bidi="ar-SA"/>
        </w:rPr>
      </w:r>
      <w:r/>
    </w:p>
    <w:p>
      <w:pPr>
        <w:pStyle w:val="837"/>
        <w:ind w:firstLine="482"/>
        <w:spacing w:line="46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7.2上网行为管理</w:t>
      </w:r>
      <w:r>
        <w:rPr>
          <w:rFonts w:hint="eastAsia" w:ascii="仿宋" w:hAnsi="仿宋" w:eastAsia="仿宋" w:cs="仿宋"/>
          <w:sz w:val="24"/>
          <w:highlight w:val="none"/>
          <w:lang w:val="en-US" w:eastAsia="zh-CN"/>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2U，6个千兆电口，4个千兆光插槽，3个可插拨的扩展槽，双电源，3个扩展槽位，带宽性能800M，网络吞吐量10G，最大并发连接数100万，内存32G，日志存储硬盘4T，默认包含3年硬件质保和3年特征库升级授权许可。</w:t>
      </w:r>
      <w:r>
        <w:rPr>
          <w:rFonts w:hint="eastAsia" w:ascii="仿宋" w:hAnsi="仿宋" w:eastAsia="仿宋" w:cs="仿宋"/>
          <w:b w:val="0"/>
          <w:sz w:val="24"/>
          <w:szCs w:val="20"/>
          <w:highlight w:val="none"/>
          <w:lang w:val="en-US" w:eastAsia="zh-CN" w:bidi="ar-SA"/>
        </w:rPr>
      </w:r>
      <w:r/>
    </w:p>
    <w:p>
      <w:pPr>
        <w:pStyle w:val="837"/>
        <w:ind w:firstLine="482"/>
        <w:spacing w:line="46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7.3杀毒软件</w:t>
      </w:r>
      <w:r>
        <w:rPr>
          <w:rFonts w:hint="eastAsia" w:ascii="仿宋" w:hAnsi="仿宋" w:eastAsia="仿宋" w:cs="仿宋"/>
          <w:sz w:val="24"/>
          <w:highlight w:val="none"/>
          <w:lang w:val="en-US" w:eastAsia="zh-CN"/>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网络版管理端软件，支持通过管理中心对安装杀毒客户端的主机进行集中管理，具备病毒检测、病毒处理、策略自定义、隔离区管理、告警信息、日志、升级更新、统一管理等功能。支持支持飞腾、龙芯、鲲鹏、兆芯等硬件平台和银河麒麟、中标麒麟、中科方德、统信等操作系统，默认包含100个点的3年升级授权许可。</w:t>
      </w:r>
      <w:r>
        <w:rPr>
          <w:rFonts w:hint="eastAsia" w:ascii="仿宋" w:hAnsi="仿宋" w:eastAsia="仿宋" w:cs="仿宋"/>
          <w:b w:val="0"/>
          <w:sz w:val="24"/>
          <w:szCs w:val="20"/>
          <w:highlight w:val="none"/>
          <w:lang w:val="en-US" w:eastAsia="zh-CN" w:bidi="ar-SA"/>
        </w:rPr>
      </w:r>
      <w:r/>
    </w:p>
    <w:p>
      <w:pPr>
        <w:pStyle w:val="837"/>
        <w:ind w:firstLine="482"/>
        <w:spacing w:line="46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7.4日志审计</w:t>
      </w:r>
      <w:r>
        <w:rPr>
          <w:rFonts w:hint="eastAsia" w:ascii="仿宋" w:hAnsi="仿宋" w:eastAsia="仿宋" w:cs="仿宋"/>
          <w:sz w:val="24"/>
          <w:highlight w:val="none"/>
          <w:lang w:val="en-US" w:eastAsia="zh-CN"/>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2U，1个管理口，2个千兆电口和2个万兆光口，冗余电源，日志采集处理均值20000EPS，峰值35000EPS，默认包含100日志源，默认包含3年硬件质保。</w:t>
      </w:r>
      <w:r>
        <w:rPr>
          <w:rFonts w:hint="eastAsia" w:ascii="仿宋" w:hAnsi="仿宋" w:eastAsia="仿宋" w:cs="仿宋"/>
          <w:b w:val="0"/>
          <w:sz w:val="24"/>
          <w:szCs w:val="20"/>
          <w:highlight w:val="none"/>
          <w:lang w:val="en-US" w:eastAsia="zh-CN" w:bidi="ar-SA"/>
        </w:rPr>
      </w:r>
      <w:r/>
    </w:p>
    <w:p>
      <w:pPr>
        <w:pStyle w:val="837"/>
        <w:ind w:firstLine="482"/>
        <w:spacing w:line="46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7.5网闸</w:t>
      </w:r>
      <w:r>
        <w:rPr>
          <w:rFonts w:hint="eastAsia" w:ascii="仿宋" w:hAnsi="仿宋" w:eastAsia="仿宋" w:cs="仿宋"/>
          <w:sz w:val="24"/>
          <w:highlight w:val="none"/>
          <w:lang w:val="en-US" w:eastAsia="zh-CN"/>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V10，2U，内外端机各32GB内存，内外端机各256GB固态硬盘，内外分别1个HA口，1个管理口，4个千兆电口和4个千兆光口，2个万兆光口，1个扩展槽位，冗余电源，文件传输速率6Gbps，网络层交换速率9.5Gbps，默认包含3年硬件质保。</w:t>
      </w:r>
      <w:r>
        <w:rPr>
          <w:rFonts w:hint="eastAsia" w:ascii="仿宋" w:hAnsi="仿宋" w:eastAsia="仿宋" w:cs="仿宋"/>
          <w:b w:val="0"/>
          <w:sz w:val="24"/>
          <w:szCs w:val="20"/>
          <w:highlight w:val="none"/>
          <w:lang w:val="en-US" w:eastAsia="zh-CN" w:bidi="ar-SA"/>
        </w:rPr>
      </w:r>
      <w:r/>
    </w:p>
    <w:p>
      <w:pPr>
        <w:pStyle w:val="837"/>
        <w:ind w:firstLine="482"/>
        <w:spacing w:line="46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7.6门禁设备</w:t>
      </w:r>
      <w:r>
        <w:rPr>
          <w:rFonts w:hint="eastAsia" w:ascii="仿宋" w:hAnsi="仿宋" w:eastAsia="仿宋" w:cs="仿宋"/>
          <w:sz w:val="24"/>
          <w:highlight w:val="none"/>
          <w:lang w:val="en-US" w:eastAsia="zh-CN"/>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7.6.1门禁控制器技术参数要求：</w:t>
      </w:r>
      <w:r>
        <w:rPr>
          <w:rFonts w:hint="eastAsia" w:ascii="仿宋" w:hAnsi="仿宋" w:eastAsia="仿宋" w:cs="仿宋"/>
          <w:b w:val="0"/>
          <w:sz w:val="24"/>
          <w:szCs w:val="20"/>
          <w:highlight w:val="none"/>
          <w:lang w:val="en-US" w:eastAsia="zh-CN" w:bidi="ar-SA"/>
        </w:rPr>
        <w:br w:type="textWrapping" w:clear="all"/>
      </w:r>
      <w:r>
        <w:rPr>
          <w:rFonts w:hint="eastAsia" w:ascii="仿宋" w:hAnsi="仿宋" w:eastAsia="仿宋" w:cs="仿宋"/>
          <w:b w:val="0"/>
          <w:sz w:val="24"/>
          <w:szCs w:val="20"/>
          <w:highlight w:val="none"/>
          <w:lang w:val="en-US" w:eastAsia="zh-CN" w:bidi="ar-SA"/>
        </w:rPr>
        <w:t xml:space="preserve">采用32位RISC处理器,运行于LINUX操作系统；具有闪存主板，可以通过网络下载升级程序；支持火警联动 。</w:t>
      </w:r>
      <w:r>
        <w:rPr>
          <w:rFonts w:hint="eastAsia" w:ascii="仿宋" w:hAnsi="仿宋" w:eastAsia="仿宋" w:cs="仿宋"/>
          <w:b w:val="0"/>
          <w:sz w:val="24"/>
          <w:szCs w:val="20"/>
          <w:highlight w:val="none"/>
          <w:lang w:val="en-US" w:eastAsia="zh-CN" w:bidi="ar-SA"/>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7.6.2门禁刷卡器技术参数要求：</w:t>
      </w:r>
      <w:r>
        <w:rPr>
          <w:rFonts w:hint="eastAsia" w:ascii="仿宋" w:hAnsi="仿宋" w:eastAsia="仿宋" w:cs="仿宋"/>
          <w:b w:val="0"/>
          <w:sz w:val="24"/>
          <w:szCs w:val="20"/>
          <w:highlight w:val="none"/>
          <w:lang w:val="en-US" w:eastAsia="zh-CN" w:bidi="ar-SA"/>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使用高度安全的 64 位多变密钥进行相互验证；通过使用安全算法，实现卡和读卡器之间的安全数据传输； </w:t>
      </w:r>
      <w:r>
        <w:rPr>
          <w:rFonts w:hint="eastAsia" w:ascii="仿宋" w:hAnsi="仿宋" w:eastAsia="仿宋" w:cs="仿宋"/>
          <w:b w:val="0"/>
          <w:sz w:val="24"/>
          <w:szCs w:val="20"/>
          <w:highlight w:val="none"/>
          <w:lang w:val="en-US" w:eastAsia="zh-CN" w:bidi="ar-SA"/>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7.6.3磁力锁技术参数要求：双门吸力：约280kg×2、单门吸力：约280kg</w:t>
      </w:r>
      <w:r>
        <w:rPr>
          <w:rFonts w:hint="eastAsia" w:ascii="仿宋" w:hAnsi="仿宋" w:eastAsia="仿宋" w:cs="仿宋"/>
          <w:b w:val="0"/>
          <w:sz w:val="24"/>
          <w:szCs w:val="20"/>
          <w:highlight w:val="none"/>
          <w:lang w:val="en-US" w:eastAsia="zh-CN" w:bidi="ar-SA"/>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7.6.4支持人脸识别、指纹等多种校验模式。</w:t>
      </w:r>
      <w:r>
        <w:rPr>
          <w:rFonts w:hint="eastAsia" w:ascii="仿宋" w:hAnsi="仿宋" w:eastAsia="仿宋" w:cs="仿宋"/>
          <w:b w:val="0"/>
          <w:sz w:val="24"/>
          <w:szCs w:val="20"/>
          <w:highlight w:val="none"/>
          <w:lang w:val="en-US" w:eastAsia="zh-CN" w:bidi="ar-SA"/>
        </w:rPr>
      </w:r>
      <w:r/>
    </w:p>
    <w:p>
      <w:pPr>
        <w:pStyle w:val="837"/>
        <w:ind w:firstLine="480"/>
        <w:spacing w:line="460" w:lineRule="exact"/>
        <w:rPr>
          <w:rFonts w:hint="eastAsia" w:ascii="仿宋" w:hAnsi="仿宋" w:eastAsia="仿宋" w:cs="仿宋"/>
          <w:b w:val="0"/>
          <w:sz w:val="24"/>
          <w:szCs w:val="20"/>
          <w:highlight w:val="none"/>
          <w:lang w:val="en-US" w:eastAsia="zh-CN" w:bidi="ar-SA"/>
        </w:rPr>
      </w:pPr>
      <w:r>
        <w:rPr>
          <w:rFonts w:hint="eastAsia" w:ascii="仿宋" w:hAnsi="仿宋" w:eastAsia="仿宋" w:cs="仿宋"/>
          <w:b w:val="0"/>
          <w:sz w:val="24"/>
          <w:szCs w:val="20"/>
          <w:highlight w:val="none"/>
          <w:lang w:val="en-US" w:eastAsia="zh-CN" w:bidi="ar-SA"/>
        </w:rPr>
        <w:t xml:space="preserve">7.6.5报价包含配套设备、管线和安装调试等费用。</w:t>
      </w:r>
      <w:r>
        <w:rPr>
          <w:rFonts w:hint="eastAsia" w:ascii="仿宋" w:hAnsi="仿宋" w:eastAsia="仿宋" w:cs="仿宋"/>
          <w:b w:val="0"/>
          <w:sz w:val="24"/>
          <w:szCs w:val="20"/>
          <w:highlight w:val="none"/>
          <w:lang w:val="en-US" w:eastAsia="zh-CN" w:bidi="ar-SA"/>
        </w:rPr>
      </w:r>
      <w:r/>
    </w:p>
    <w:p>
      <w:pPr>
        <w:pStyle w:val="840"/>
        <w:spacing w:line="480" w:lineRule="atLeas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五、项目团队要求</w:t>
      </w:r>
      <w:r>
        <w:rPr>
          <w:rFonts w:hint="eastAsia" w:ascii="仿宋" w:hAnsi="仿宋" w:eastAsia="仿宋" w:cs="仿宋"/>
          <w:b/>
          <w:sz w:val="24"/>
          <w:szCs w:val="24"/>
          <w:highlight w:val="none"/>
        </w:rPr>
      </w:r>
      <w:r/>
    </w:p>
    <w:p>
      <w:pPr>
        <w:pStyle w:val="833"/>
        <w:ind w:firstLine="482"/>
        <w:spacing w:line="460" w:lineRule="exact"/>
        <w:rPr>
          <w:rFonts w:hint="eastAsia" w:ascii="仿宋" w:hAnsi="仿宋" w:eastAsia="仿宋" w:cs="仿宋"/>
          <w:b/>
          <w:color w:val="ff0000"/>
          <w:sz w:val="24"/>
          <w:highlight w:val="none"/>
        </w:rPr>
      </w:pPr>
      <w:r>
        <w:rPr>
          <w:rFonts w:hint="eastAsia" w:ascii="仿宋" w:hAnsi="仿宋" w:eastAsia="仿宋" w:cs="仿宋"/>
          <w:b/>
          <w:color w:val="ff0000"/>
          <w:sz w:val="24"/>
          <w:highlight w:val="none"/>
        </w:rPr>
        <w:t xml:space="preserve">★以下人员配备要求均为最低要求，不允许负偏离。投标文件中须提供全部响应的承诺函（承诺函格式自拟），未按要求提供承诺函的作无效标处理。</w:t>
      </w:r>
      <w:r>
        <w:rPr>
          <w:rFonts w:hint="eastAsia" w:ascii="仿宋" w:hAnsi="仿宋" w:eastAsia="仿宋" w:cs="仿宋"/>
          <w:b/>
          <w:color w:val="ff0000"/>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1）组建不少于6人的专业项目组团队，要有明晰的组织机构，项目实施人员齐全，岗位职责明确，能高标准的实施项目管理。团队管理人员需配备专职项目负责人不少1人、架构师不少于1人及研发管理负责人不少于1人。</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2）在项目实施过程中，成交投标人要对项目人员及项目建设工作严格管理，项目实施负责人必须参加由采购人召开的项目推进会，每月向采购方汇报工作进度、问题及下阶段工作计划，确保按时完成项目工作。</w:t>
      </w:r>
      <w:r>
        <w:rPr>
          <w:rFonts w:hint="eastAsia" w:ascii="仿宋" w:hAnsi="仿宋" w:eastAsia="仿宋" w:cs="仿宋"/>
          <w:sz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highlight w:val="none"/>
        </w:rPr>
        <w:t xml:space="preserve">3）执行有关项目建设的国家法律、法规、规范、标准和制度，履行合同规定的义务和职责；遵守国家的法律和政府的有关条例、规定和办法等。</w:t>
      </w:r>
      <w:r>
        <w:rPr>
          <w:rFonts w:hint="eastAsia" w:ascii="仿宋" w:hAnsi="仿宋" w:eastAsia="仿宋" w:cs="仿宋"/>
          <w:sz w:val="24"/>
          <w:szCs w:val="24"/>
          <w:highlight w:val="none"/>
        </w:rPr>
      </w:r>
      <w:r/>
    </w:p>
    <w:p>
      <w:pPr>
        <w:pStyle w:val="840"/>
        <w:spacing w:line="480" w:lineRule="atLeas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六、验收标准及要求</w:t>
      </w:r>
      <w:r>
        <w:rPr>
          <w:rFonts w:hint="eastAsia" w:ascii="仿宋" w:hAnsi="仿宋" w:eastAsia="仿宋" w:cs="仿宋"/>
          <w:b/>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所提供项目服务质量必须符合国家相关标准且必须满足本次采购的要求，如有不合格，造成的损失和后果由该投标人负全责。符合项目验收标准后，采购人根据技术要求，组织验收并出具验收书。</w:t>
      </w:r>
      <w:r>
        <w:rPr>
          <w:rFonts w:hint="eastAsia" w:ascii="仿宋" w:hAnsi="仿宋" w:eastAsia="仿宋" w:cs="仿宋"/>
          <w:sz w:val="24"/>
          <w:szCs w:val="24"/>
          <w:highlight w:val="none"/>
        </w:rPr>
      </w:r>
      <w:r/>
    </w:p>
    <w:p>
      <w:pPr>
        <w:pStyle w:val="842"/>
        <w:ind w:firstLine="480"/>
        <w:spacing w:line="440" w:lineRule="exact"/>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1）</w:t>
      </w:r>
      <w:bookmarkStart w:id="186" w:name="_Hlk135143099"/>
      <w:r>
        <w:rPr>
          <w:rFonts w:hint="eastAsia" w:ascii="仿宋" w:hAnsi="仿宋" w:eastAsia="仿宋" w:cs="仿宋"/>
          <w:b/>
          <w:bCs/>
          <w:sz w:val="22"/>
          <w:szCs w:val="22"/>
          <w:highlight w:val="none"/>
        </w:rPr>
        <w:t xml:space="preserve">基础软件部署和需求确认</w:t>
      </w:r>
      <w:bookmarkEnd w:id="186"/>
      <w:r>
        <w:rPr>
          <w:rFonts w:hint="eastAsia" w:ascii="仿宋" w:hAnsi="仿宋" w:eastAsia="仿宋" w:cs="仿宋"/>
          <w:b/>
          <w:bCs/>
          <w:sz w:val="22"/>
          <w:szCs w:val="22"/>
          <w:highlight w:val="none"/>
        </w:rPr>
      </w:r>
      <w:r/>
    </w:p>
    <w:p>
      <w:pPr>
        <w:pStyle w:val="842"/>
        <w:ind w:firstLine="482"/>
        <w:spacing w:line="440" w:lineRule="exact"/>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基础软件部署</w:t>
      </w:r>
      <w:r>
        <w:rPr>
          <w:rFonts w:hint="eastAsia" w:ascii="仿宋" w:hAnsi="仿宋" w:eastAsia="仿宋" w:cs="仿宋"/>
          <w:b/>
          <w:bCs/>
          <w:sz w:val="22"/>
          <w:szCs w:val="22"/>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中标供应商应在招标人规定的时限内在招标人指定的环境完成基础软件部署工作。中标供应商向招标人提出基础软件部署完成确认申请，由招标人进行确认。待确认通过，即为完成基础软件部署。</w:t>
      </w:r>
      <w:r>
        <w:rPr>
          <w:rFonts w:hint="eastAsia" w:ascii="仿宋" w:hAnsi="仿宋" w:eastAsia="仿宋" w:cs="仿宋"/>
          <w:sz w:val="24"/>
          <w:szCs w:val="24"/>
          <w:highlight w:val="none"/>
        </w:rPr>
      </w:r>
      <w:r/>
    </w:p>
    <w:p>
      <w:pPr>
        <w:pStyle w:val="842"/>
        <w:ind w:firstLine="482"/>
        <w:spacing w:line="440" w:lineRule="exact"/>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需求确认</w:t>
      </w:r>
      <w:r>
        <w:rPr>
          <w:rFonts w:hint="eastAsia" w:ascii="仿宋" w:hAnsi="仿宋" w:eastAsia="仿宋" w:cs="仿宋"/>
          <w:b/>
          <w:bCs/>
          <w:sz w:val="22"/>
          <w:szCs w:val="22"/>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中标供应商应在招标人规定的时限内完成需求确认工作。中标供应商向招标人提交《需求规格说明书》，由招标人审核，审核通过即为完成需求确认。</w:t>
      </w:r>
      <w:r>
        <w:rPr>
          <w:rFonts w:hint="eastAsia" w:ascii="仿宋" w:hAnsi="仿宋" w:eastAsia="仿宋" w:cs="仿宋"/>
          <w:sz w:val="24"/>
          <w:szCs w:val="24"/>
          <w:highlight w:val="none"/>
        </w:rPr>
      </w:r>
      <w:r/>
    </w:p>
    <w:p>
      <w:pPr>
        <w:pStyle w:val="842"/>
        <w:ind w:firstLine="480"/>
        <w:spacing w:line="440" w:lineRule="exact"/>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2）初验验收</w:t>
      </w:r>
      <w:r>
        <w:rPr>
          <w:rFonts w:hint="eastAsia" w:ascii="仿宋" w:hAnsi="仿宋" w:eastAsia="仿宋" w:cs="仿宋"/>
          <w:b/>
          <w:bCs/>
          <w:sz w:val="22"/>
          <w:szCs w:val="22"/>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初验验收内容为软件、文档和数据。</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中标供应商根据项目完成情况向招标人提出书面初验验收申请，并提交系统详细建设方案、变更清单、自测测试报告（包含功能与性能），自测测试用例。</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软件部分中标供应商应先完成自测，自测完成后需提交招标人组织项目初验。招标人应在收到中标供应商提交的验收申请后7个工作日内组织验收。招标人盖章后通过初验。</w:t>
      </w:r>
      <w:r>
        <w:rPr>
          <w:rFonts w:hint="eastAsia" w:ascii="仿宋" w:hAnsi="仿宋" w:eastAsia="仿宋" w:cs="仿宋"/>
          <w:sz w:val="24"/>
          <w:szCs w:val="24"/>
          <w:highlight w:val="none"/>
        </w:rPr>
      </w:r>
      <w:r/>
    </w:p>
    <w:p>
      <w:pPr>
        <w:pStyle w:val="842"/>
        <w:ind w:left="608" w:hanging="369"/>
        <w:spacing w:line="480" w:lineRule="exact"/>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3）终验验收</w:t>
      </w:r>
      <w:r>
        <w:rPr>
          <w:rFonts w:hint="eastAsia" w:ascii="仿宋" w:hAnsi="仿宋" w:eastAsia="仿宋" w:cs="仿宋"/>
          <w:b/>
          <w:bCs/>
          <w:sz w:val="22"/>
          <w:szCs w:val="22"/>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项目初验完成后三个月内招标人组织进行终验，未出现故障或问题，或故障问题已排除的，由中标供应商提出终验申请，招标人应在收到中标供应商提交的终验申请后20个工作日内组织验收。</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招标人依据合同约定，组织终验，验收通过后，招标人应向中标供应商开具终验验收报告（盖章）。</w:t>
      </w:r>
      <w:r>
        <w:rPr>
          <w:rFonts w:hint="eastAsia" w:ascii="仿宋" w:hAnsi="仿宋" w:eastAsia="仿宋" w:cs="仿宋"/>
          <w:sz w:val="24"/>
          <w:szCs w:val="24"/>
          <w:highlight w:val="none"/>
        </w:rPr>
      </w:r>
      <w:r/>
    </w:p>
    <w:p>
      <w:pPr>
        <w:pStyle w:val="842"/>
        <w:ind w:left="608" w:hanging="369"/>
        <w:spacing w:line="480" w:lineRule="exact"/>
        <w:rPr>
          <w:rFonts w:hint="eastAsia" w:ascii="仿宋" w:hAnsi="仿宋" w:eastAsia="仿宋" w:cs="仿宋"/>
          <w:sz w:val="22"/>
          <w:szCs w:val="22"/>
          <w:highlight w:val="none"/>
        </w:rPr>
      </w:pPr>
      <w:r>
        <w:rPr>
          <w:rFonts w:hint="eastAsia" w:ascii="仿宋" w:hAnsi="仿宋" w:eastAsia="仿宋" w:cs="仿宋"/>
          <w:b/>
          <w:bCs/>
          <w:sz w:val="22"/>
          <w:szCs w:val="22"/>
          <w:highlight w:val="none"/>
        </w:rPr>
        <w:t xml:space="preserve">4）运维期</w:t>
      </w:r>
      <w:r>
        <w:rPr>
          <w:rFonts w:hint="eastAsia" w:ascii="仿宋" w:hAnsi="仿宋" w:eastAsia="仿宋" w:cs="仿宋"/>
          <w:sz w:val="22"/>
          <w:szCs w:val="22"/>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通过终验进入运维期，通过终验日期为运维期起始时间，期限</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rPr>
        <w:t xml:space="preserve">年。在运维期内，中标供应商保证在出现应用系统故障或网络安全事件时应及时、积极响应，达到运维的基本要求和招标人认可，运维期结束采购人进行履约评价。</w:t>
      </w:r>
      <w:r>
        <w:rPr>
          <w:rFonts w:hint="eastAsia" w:ascii="仿宋" w:hAnsi="仿宋" w:eastAsia="仿宋" w:cs="仿宋"/>
          <w:sz w:val="24"/>
          <w:szCs w:val="24"/>
          <w:highlight w:val="none"/>
        </w:rPr>
      </w:r>
      <w:r/>
    </w:p>
    <w:p>
      <w:pPr>
        <w:pStyle w:val="840"/>
        <w:spacing w:line="480" w:lineRule="atLeas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七、项目培训要求</w:t>
      </w:r>
      <w:r>
        <w:rPr>
          <w:rFonts w:hint="eastAsia" w:ascii="仿宋" w:hAnsi="仿宋" w:eastAsia="仿宋" w:cs="仿宋"/>
          <w:b/>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应详细制定人员培训方案，包括但不限于培训内容、培训频次、培训方法和培训师资等。</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培训内容分为三类：分别为系统管理（对管理用户进行系统配置和管理培训）、系统运维（对运维用户进行平台运行与维护管理培训）和系统应用（对普通用户进行基础操作和应用维护培训）。通过培训应使各类用户能独立进行相应应用与管理、故障处理、日常维护等工作，确保系统能正常安全运行；中标人在系统实施过程中，应对采购人员工及系统管理员进行全方位的知识转移，并使采购人具备独立进行项目实施、维护能力。</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培训频次：每季度提供1次技术培训服务。</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培训方法：线上、线下相结合。</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培训师资：由具有中级及以上软考相关证书技术人员进行信息化相关知识培训及平台使用培训。</w:t>
      </w:r>
      <w:r>
        <w:rPr>
          <w:rFonts w:hint="eastAsia" w:ascii="仿宋" w:hAnsi="仿宋" w:eastAsia="仿宋" w:cs="仿宋"/>
          <w:sz w:val="24"/>
          <w:szCs w:val="24"/>
          <w:highlight w:val="none"/>
        </w:rPr>
      </w:r>
      <w:r/>
    </w:p>
    <w:p>
      <w:pPr>
        <w:pStyle w:val="840"/>
        <w:spacing w:line="480" w:lineRule="atLeas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八、售后服务要求</w:t>
      </w:r>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投标人自项目终验合格之日起，提供为期</w:t>
      </w:r>
      <w:r>
        <w:rPr>
          <w:rFonts w:hint="eastAsia" w:ascii="仿宋" w:hAnsi="仿宋" w:eastAsia="仿宋" w:cs="仿宋"/>
          <w:sz w:val="24"/>
          <w:highlight w:val="none"/>
          <w:lang w:val="en-US" w:eastAsia="zh-CN"/>
        </w:rPr>
        <w:t xml:space="preserve">二</w:t>
      </w:r>
      <w:r>
        <w:rPr>
          <w:rFonts w:hint="eastAsia" w:ascii="仿宋" w:hAnsi="仿宋" w:eastAsia="仿宋" w:cs="仿宋"/>
          <w:sz w:val="24"/>
          <w:highlight w:val="none"/>
        </w:rPr>
        <w:t xml:space="preserve">年的运维服务（包含在本次报价中），服务期内，确保系统持续稳定运行，运维服务内容包括：</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1.需求调整和完善。售后服务期内投标人应对采购人提出具体需求进行调整和完善。提供定期现场巡检和回访，对系统进行性能调优、系统诊断，系统日常管理的交流，进行定期的预防性维护服务。</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2.系统修正和升级。对于系统升级及建设本身的缺陷和错误，投标人应长期免费修正、提供补丁和系统升级。</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3.故障及时响应。成立专门的本地维护服务和技术支持小组，系统运行异常时，在接到采购人通知后，须全力协助采购人，使系统尽快恢复正常。具体为：投标人必须提供7×24小时的响应服务，保证技术人员及时到场，及时解决故障或启用应急措施保证系统正常运行。</w:t>
      </w:r>
      <w:r>
        <w:rPr>
          <w:rFonts w:hint="eastAsia" w:ascii="仿宋" w:hAnsi="仿宋" w:eastAsia="仿宋" w:cs="仿宋"/>
          <w:sz w:val="24"/>
          <w:highlight w:val="none"/>
        </w:rPr>
      </w:r>
      <w:r/>
    </w:p>
    <w:p>
      <w:pPr>
        <w:pStyle w:val="833"/>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4.培训要求。需对泗洪县住房和城乡建设局的相关人员（包括管理人员、业务人员以及后期维护人员等）开展针对性的培训，培训内容包括但不限于系统管理、系统使用、系统维护等内容。</w:t>
      </w:r>
      <w:r>
        <w:rPr>
          <w:rFonts w:hint="eastAsia" w:ascii="仿宋" w:hAnsi="仿宋" w:eastAsia="仿宋" w:cs="仿宋"/>
          <w:sz w:val="24"/>
          <w:highlight w:val="none"/>
        </w:rPr>
      </w:r>
      <w:r/>
    </w:p>
    <w:p>
      <w:pPr>
        <w:pStyle w:val="840"/>
        <w:ind w:firstLine="480"/>
        <w:spacing w:line="480" w:lineRule="atLeast"/>
        <w:rPr>
          <w:rFonts w:hint="eastAsia" w:ascii="仿宋" w:hAnsi="仿宋" w:eastAsia="仿宋" w:cs="仿宋"/>
          <w:sz w:val="24"/>
          <w:highlight w:val="none"/>
        </w:rPr>
      </w:pPr>
      <w:r>
        <w:rPr>
          <w:rFonts w:hint="eastAsia" w:ascii="仿宋" w:hAnsi="仿宋" w:eastAsia="仿宋" w:cs="仿宋"/>
          <w:sz w:val="24"/>
          <w:highlight w:val="none"/>
        </w:rPr>
        <w:t xml:space="preserve">5.本项目在响应、验收过程中所产生的一切费用均由成交投标人支付。项目建设期间成交投标人应严格遵守安全管理制度，因没有遵守安全管理制度要求所发生的一切安全事故均由成交投标人负责，采购人不承担任何责任。</w:t>
      </w:r>
      <w:r>
        <w:rPr>
          <w:rFonts w:hint="eastAsia" w:ascii="仿宋" w:hAnsi="仿宋" w:eastAsia="仿宋" w:cs="仿宋"/>
          <w:sz w:val="24"/>
          <w:highlight w:val="none"/>
        </w:rPr>
      </w:r>
      <w:r/>
    </w:p>
    <w:p>
      <w:pPr>
        <w:pStyle w:val="840"/>
        <w:spacing w:line="480" w:lineRule="atLeas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九、安全审查和保密要求</w:t>
      </w:r>
      <w:r>
        <w:rPr>
          <w:rFonts w:hint="eastAsia" w:ascii="仿宋" w:hAnsi="仿宋" w:eastAsia="仿宋" w:cs="仿宋"/>
          <w:b/>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立一整套完备的安全性策略体系，通过设计统一的人员和权限管理功能，建立数据备份措施与制度，确保数据安全性、准确性与可靠性。采购人对该系统使用版权及独立知识产权，供应商必须对项目技术文件以及由采购人提供的所有内部资料、技术文档、数据和信息予以保密，项目完工后，中标人应配合采购人对该项目申请国家版权局软件著作产权证书。中标人未经采购人书面许可，中标人不得以任何形式向第三方透露本项目标书以及本项目的任何内容，基于</w:t>
      </w:r>
      <w:r>
        <w:rPr>
          <w:rFonts w:hint="eastAsia" w:ascii="仿宋" w:hAnsi="仿宋" w:eastAsia="仿宋" w:cs="仿宋"/>
          <w:sz w:val="24"/>
          <w:szCs w:val="24"/>
          <w:highlight w:val="none"/>
          <w:lang w:val="en-US" w:eastAsia="zh-CN"/>
        </w:rPr>
        <w:t xml:space="preserve">泗洪县</w:t>
      </w:r>
      <w:r>
        <w:rPr>
          <w:rFonts w:hint="eastAsia" w:ascii="仿宋" w:hAnsi="仿宋" w:eastAsia="仿宋" w:cs="仿宋"/>
          <w:sz w:val="24"/>
          <w:szCs w:val="24"/>
          <w:highlight w:val="none"/>
        </w:rPr>
        <w:t xml:space="preserve">情况研发的源代码所有权归采购人所有，在项目验收合格一年后经采购人书面同意后方可商业推广。</w:t>
      </w:r>
      <w:r>
        <w:rPr>
          <w:rFonts w:hint="eastAsia" w:ascii="仿宋" w:hAnsi="仿宋" w:eastAsia="仿宋" w:cs="仿宋"/>
          <w:sz w:val="24"/>
          <w:szCs w:val="24"/>
          <w:highlight w:val="none"/>
        </w:rPr>
      </w:r>
      <w:r/>
    </w:p>
    <w:p>
      <w:pPr>
        <w:pStyle w:val="840"/>
        <w:spacing w:line="480" w:lineRule="atLeas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十、商品包装环保要求</w:t>
      </w:r>
      <w:r>
        <w:rPr>
          <w:rFonts w:hint="eastAsia" w:ascii="仿宋" w:hAnsi="仿宋" w:eastAsia="仿宋" w:cs="仿宋"/>
          <w:b/>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1、商品包装层数不得超过 3 层，空隙率不大于 40%； </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2、商品包装尽可能使用单一材质的包装材料，如因功能 需求必需使用不同材质，不同材质间应便于分离； </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3、商品包装中铅、汞、镉、六价铬的总含量应不大于 100mg/kg； </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4、商品包装印刷使用的油墨中挥发性有机化合物(VOCs) 含量应不大于 5%（以重量计）； </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5、塑料材质商品包装上呈现的印刷颜色不得超过 6 色； </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6、纸质商品包装应使用 75%以上的可再生纤维原料生产； </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7、木质商品包装的原料应来源于可持续性森林。 </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rPr>
          <w:rFonts w:hint="eastAsia" w:ascii="仿宋" w:hAnsi="仿宋" w:eastAsia="仿宋" w:cs="仿宋"/>
          <w:sz w:val="24"/>
          <w:szCs w:val="24"/>
          <w:highlight w:val="none"/>
        </w:rPr>
      </w:r>
      <w:r/>
    </w:p>
    <w:p>
      <w:pPr>
        <w:pStyle w:val="840"/>
        <w:spacing w:line="480" w:lineRule="atLeas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十一、快递包装环保要求</w:t>
      </w:r>
      <w:r>
        <w:rPr>
          <w:rFonts w:hint="eastAsia" w:ascii="仿宋" w:hAnsi="仿宋" w:eastAsia="仿宋" w:cs="仿宋"/>
          <w:b/>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1、快递包装中重金属（铅、汞、镉、六价铬）总量应不大于100mg/kg；</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3、快递包装中使用纸基材的包装材料，纸基材中的有机氯的含量应不大于150 mg/kg；</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6、快递中使用的充气类填充物不得使用聚氯乙烯作为原料，且原料为单一材质制成，生物分解率大于60%；</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7、快递中使用的集装袋应为单一材质制成，其重复使用次数应不小于80 次；</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8、快递中应使用幅宽不大于45mm 的生物降解胶带；</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9、快递包装中不得使用溶剂型胶粘剂；</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10、快递应使用电子面单；</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11、直接使用商品包装作为快递包装的商品，其商品包装满足《商品包装政府采购需求标准（试行）》即可；</w:t>
      </w:r>
      <w:r>
        <w:rPr>
          <w:rFonts w:hint="eastAsia" w:ascii="仿宋" w:hAnsi="仿宋" w:eastAsia="仿宋" w:cs="仿宋"/>
          <w:sz w:val="24"/>
          <w:szCs w:val="24"/>
          <w:highlight w:val="none"/>
        </w:rPr>
      </w:r>
      <w:r/>
    </w:p>
    <w:p>
      <w:pPr>
        <w:pStyle w:val="840"/>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12、快递包装产品质量和封装方式应符合相关国家或行业标准技术指标要求。</w:t>
      </w:r>
      <w:r>
        <w:rPr>
          <w:rFonts w:hint="eastAsia" w:ascii="仿宋" w:hAnsi="仿宋" w:eastAsia="仿宋" w:cs="仿宋"/>
          <w:sz w:val="24"/>
          <w:szCs w:val="24"/>
          <w:highlight w:val="none"/>
        </w:rPr>
      </w:r>
      <w:r/>
    </w:p>
    <w:p>
      <w:pPr>
        <w:pStyle w:val="840"/>
        <w:spacing w:line="480" w:lineRule="atLeas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十二、项目实施要求</w:t>
      </w:r>
      <w:r>
        <w:rPr>
          <w:rFonts w:hint="eastAsia" w:ascii="仿宋" w:hAnsi="仿宋" w:eastAsia="仿宋" w:cs="仿宋"/>
          <w:b/>
          <w:sz w:val="24"/>
          <w:szCs w:val="24"/>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项目在实施过程中，为顺利完成本次项目，应严格按照项目管理的要求进行项目实施。根据项目整体安排科学性、合理性、可操作性，投标人需提供的项目实施方案，包含需要的环境、项目实施方案、人员组成、质量保证、工期管理、风险预防、控制措施、突发事件处置方案，有明确的时间节点和进度安排，项目管理运行机制健全。</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1、项目分析与理解</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泗洪县作为长三角经济区、淮海经济区、淮河生态经济带等多重国家战略交叉辐射区，近年来，以创建智慧城市试点、以发展智慧经济为主线、以深化智慧应用为落脚点，积极推进新型智慧城市建设。在《江苏省“十四五”数字政府建设规划》、《宿迁市新型智慧城市总体规划》等文件精神引领下，立足智慧城市建设新阶段，紧抓数字技术变革机遇期、窗口期，建设泗洪城市</w:t>
      </w:r>
      <w:r>
        <w:rPr>
          <w:rFonts w:hint="eastAsia" w:ascii="仿宋" w:hAnsi="仿宋" w:eastAsia="仿宋" w:cs="仿宋"/>
          <w:highlight w:val="none"/>
          <w:lang w:val="en-US" w:eastAsia="zh-CN"/>
        </w:rPr>
        <w:t xml:space="preserve">生命线</w:t>
      </w:r>
      <w:r>
        <w:rPr>
          <w:rFonts w:hint="eastAsia" w:ascii="仿宋" w:hAnsi="仿宋" w:eastAsia="仿宋" w:cs="仿宋"/>
          <w:highlight w:val="none"/>
        </w:rPr>
        <w:t xml:space="preserve">平台，成为稳步推进城市“智慧化”、提升城市市政基础设施功能和城市治理效能的必然举措和重要抓手。</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2、实施模式：本系统采用定制实施模式。投标单位严格按照用户需求进行软件的开发，采购单位有关技术人员、最终用户全程参与整个项目的实施过程,开发过程中将定期举行项目开发会议，分析控制项目进度完成情况、遇到的问题以及解决措施。</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3、方案评审：投标单位在完成系统设计后，设计方案需要经过业务部门确认。确认后，才可以进行系统的开发。</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4、开发模式：本系统采用迭代开发模式。在项目开发阶段，投标单位应严格按照项目采购单位要求，以2~3周为周期进行迭代式交付。</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5、软件合法性和可用性：本项目中乙方项目实施过程中使用及交付的所有软件，要保证是永久、合法可用，并且不需要另行支付费用。如出现相关纠纷，由乙方负责解决。</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6、系统文档：系统开发应严格遵照软件工程规范进行，根据开发进度及时提供有关开发文档，包括系统分析设计说明书、测试报告、用户手册、系统部署手册、系统维护手册以及采购单位认为必要的其他文档等。</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7、项目过程管控：项目中标单位在整个项目承建过程中，需要接受项目采购单位对项目的整体管控要求，项目采购单位可针对中标单位在项目实施过程中的失误发出项目整改通知单，中标单位应在收到整改通知单后2个工作日内向项目采购单位以书面方式提交整改计划，并在项目采购单位规定的期限内整改完毕，否则，项目采购单位可根据合同相关条款进行处罚。</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8、系统测试方案</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针对本项目的服务内容和要求提出系统测试方案，对软件测试过程中测试人员在各个阶段中角色和任务进行诠释，以及对软件测试流程与程序进行说明，形成测试记录清单，促使软件测试工作高效有序的进行，提高软件运行质量。</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9、安全审查和保密要求</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建立一整套完备的安全性策略体系，通过设计统一的人员和权限管理功能，建立数据备份措施与制度，确保数据安全性、准确性与可靠性。采购人对该系统使用版权及独立知识产权，供应商必须对项目技术文件以及由采购人提供的所有内部资料、技术文档、数据和信息予以保密，项目完工后，中标人应配合采购人对该项目申请国家版权局软件著作产权证书。中标人未经采购人书面许可，中标人不得以任何形式向第三方透露本项目标书以及本项目的任何内容，基于</w:t>
      </w:r>
      <w:r>
        <w:rPr>
          <w:rFonts w:hint="eastAsia" w:ascii="仿宋" w:hAnsi="仿宋" w:eastAsia="仿宋" w:cs="仿宋"/>
          <w:highlight w:val="none"/>
          <w:lang w:val="en-US" w:eastAsia="zh-CN"/>
        </w:rPr>
        <w:t xml:space="preserve">泗洪县</w:t>
      </w:r>
      <w:r>
        <w:rPr>
          <w:rFonts w:hint="eastAsia" w:ascii="仿宋" w:hAnsi="仿宋" w:eastAsia="仿宋" w:cs="仿宋"/>
          <w:highlight w:val="none"/>
        </w:rPr>
        <w:t xml:space="preserve">情况研发的源代码所有权归采购人所有，在项目验收合格一年后经采购人书面同意后方可商业推广。</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10、实施进度要求</w:t>
      </w:r>
      <w:r>
        <w:rPr>
          <w:rFonts w:hint="eastAsia" w:ascii="仿宋" w:hAnsi="仿宋" w:eastAsia="仿宋" w:cs="仿宋"/>
          <w:highlight w:val="none"/>
        </w:rPr>
      </w:r>
      <w:r/>
    </w:p>
    <w:p>
      <w:pPr>
        <w:pStyle w:val="830"/>
        <w:ind w:firstLine="480"/>
        <w:jc w:val="both"/>
        <w:spacing w:before="0" w:beforeAutospacing="0" w:after="0" w:afterAutospacing="0" w:line="480" w:lineRule="atLeast"/>
        <w:rPr>
          <w:rFonts w:hint="eastAsia" w:ascii="仿宋" w:hAnsi="仿宋" w:eastAsia="仿宋" w:cs="仿宋"/>
          <w:highlight w:val="none"/>
        </w:rPr>
      </w:pPr>
      <w:r>
        <w:rPr>
          <w:rFonts w:hint="eastAsia" w:ascii="仿宋" w:hAnsi="仿宋" w:eastAsia="仿宋" w:cs="仿宋"/>
          <w:highlight w:val="none"/>
        </w:rPr>
        <w:t xml:space="preserve">自合同签订之日起，</w:t>
      </w: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个月内交付全部建设内容并完成终验，且要求于202</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年</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月底完成初步设计，</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月底完成区级对市级平台复用相关工作，</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月底完成</w:t>
      </w:r>
      <w:r>
        <w:rPr>
          <w:rFonts w:hint="eastAsia" w:ascii="仿宋" w:hAnsi="仿宋" w:eastAsia="仿宋" w:cs="仿宋"/>
          <w:highlight w:val="none"/>
          <w:lang w:val="en-US" w:eastAsia="zh-CN"/>
        </w:rPr>
        <w:t xml:space="preserve">县</w:t>
      </w:r>
      <w:r>
        <w:rPr>
          <w:rFonts w:hint="eastAsia" w:ascii="仿宋" w:hAnsi="仿宋" w:eastAsia="仿宋" w:cs="仿宋"/>
          <w:highlight w:val="none"/>
        </w:rPr>
        <w:t xml:space="preserve">级数据汇聚，</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月底完成系统调试、接入已建硬件监测数据、初步实现省市数据对接，2025年</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月底完成主要功能开发并开始上线试运行</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试运行期三个月</w:t>
      </w:r>
      <w:r>
        <w:rPr>
          <w:rFonts w:hint="eastAsia" w:ascii="仿宋" w:hAnsi="仿宋" w:eastAsia="仿宋" w:cs="仿宋"/>
          <w:highlight w:val="none"/>
        </w:rPr>
        <w:t xml:space="preserve">。</w:t>
      </w:r>
      <w:r>
        <w:rPr>
          <w:rFonts w:hint="eastAsia" w:ascii="仿宋" w:hAnsi="仿宋" w:eastAsia="仿宋" w:cs="仿宋"/>
          <w:highlight w:val="none"/>
        </w:rPr>
      </w:r>
      <w:r/>
    </w:p>
    <w:p>
      <w:pPr>
        <w:pStyle w:val="830"/>
        <w:ind w:firstLine="1767"/>
        <w:jc w:val="both"/>
        <w:keepLines/>
        <w:keepNext/>
        <w:pageBreakBefore/>
        <w:spacing w:before="0" w:beforeAutospacing="0" w:after="0" w:afterAutospacing="0"/>
        <w:rPr>
          <w:rFonts w:hint="eastAsia" w:ascii="仿宋" w:hAnsi="仿宋" w:eastAsia="仿宋" w:cs="仿宋"/>
          <w:highlight w:val="none"/>
        </w:rPr>
      </w:pPr>
      <w:r/>
      <w:bookmarkStart w:id="187" w:name="_Toc81575206"/>
      <w:r/>
      <w:bookmarkStart w:id="188" w:name="_Toc81575169"/>
      <w:r/>
      <w:bookmarkStart w:id="189" w:name="_Toc176774461"/>
      <w:r>
        <w:rPr>
          <w:rFonts w:hint="eastAsia" w:ascii="仿宋" w:hAnsi="仿宋" w:eastAsia="仿宋" w:cs="仿宋"/>
          <w:b/>
          <w:bCs/>
          <w:color w:val="000000"/>
          <w:sz w:val="44"/>
          <w:szCs w:val="44"/>
          <w:highlight w:val="none"/>
          <w:shd w:val="clear" w:color="auto" w:fill="ffffff"/>
        </w:rPr>
        <w:t xml:space="preserve">第五部分  合同格式及条款</w:t>
      </w:r>
      <w:bookmarkEnd w:id="187"/>
      <w:r/>
      <w:bookmarkEnd w:id="188"/>
      <w:r/>
      <w:bookmarkEnd w:id="189"/>
      <w:r>
        <w:rPr>
          <w:rFonts w:hint="eastAsia" w:ascii="仿宋" w:hAnsi="仿宋" w:eastAsia="仿宋" w:cs="仿宋"/>
          <w:highlight w:val="none"/>
        </w:rPr>
      </w:r>
      <w:r/>
    </w:p>
    <w:p>
      <w:pPr>
        <w:pStyle w:val="830"/>
        <w:jc w:val="center"/>
        <w:spacing w:before="0" w:beforeAutospacing="0" w:after="0" w:afterAutospacing="0" w:line="480" w:lineRule="auto"/>
        <w:rPr>
          <w:rFonts w:hint="eastAsia" w:ascii="仿宋" w:hAnsi="仿宋" w:eastAsia="仿宋" w:cs="仿宋"/>
          <w:highlight w:val="none"/>
        </w:rPr>
      </w:pPr>
      <w:r/>
      <w:bookmarkStart w:id="190" w:name="_Toc81575170"/>
      <w:r/>
      <w:bookmarkEnd w:id="190"/>
      <w:r/>
      <w:bookmarkStart w:id="191" w:name="_Toc81575207"/>
      <w:r/>
      <w:bookmarkEnd w:id="191"/>
      <w:r/>
      <w:bookmarkStart w:id="192" w:name="_Toc19649"/>
      <w:r/>
      <w:bookmarkEnd w:id="192"/>
      <w:r>
        <w:rPr>
          <w:rFonts w:hint="eastAsia" w:ascii="仿宋" w:hAnsi="仿宋" w:eastAsia="仿宋" w:cs="仿宋"/>
          <w:b/>
          <w:bCs/>
          <w:color w:val="000000"/>
          <w:sz w:val="44"/>
          <w:szCs w:val="44"/>
          <w:highlight w:val="none"/>
        </w:rPr>
        <w:t xml:space="preserve">政府采购合同参考范本</w:t>
      </w:r>
      <w:r>
        <w:rPr>
          <w:rFonts w:hint="eastAsia" w:ascii="仿宋" w:hAnsi="仿宋" w:eastAsia="仿宋" w:cs="仿宋"/>
          <w:highlight w:val="none"/>
        </w:rPr>
      </w:r>
      <w:r/>
    </w:p>
    <w:p>
      <w:pPr>
        <w:pStyle w:val="843"/>
        <w:jc w:val="center"/>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pStyle w:val="843"/>
        <w:jc w:val="center"/>
        <w:widowControl/>
        <w:rPr>
          <w:rFonts w:hint="eastAsia" w:ascii="仿宋" w:hAnsi="仿宋" w:eastAsia="仿宋" w:cs="仿宋"/>
          <w:bCs/>
          <w:sz w:val="36"/>
          <w:szCs w:val="36"/>
          <w:highlight w:val="none"/>
          <w:lang w:eastAsia="zh-CN"/>
        </w:rPr>
      </w:pPr>
      <w:r>
        <w:rPr>
          <w:rFonts w:hint="eastAsia" w:ascii="仿宋" w:hAnsi="仿宋" w:eastAsia="仿宋" w:cs="仿宋"/>
          <w:bCs/>
          <w:sz w:val="36"/>
          <w:szCs w:val="36"/>
          <w:highlight w:val="none"/>
          <w:lang w:eastAsia="zh-CN"/>
        </w:rPr>
        <w:t xml:space="preserve">泗洪县城市生命线安全建设工程（一期）软件平台</w:t>
      </w:r>
      <w:r>
        <w:rPr>
          <w:rFonts w:hint="eastAsia" w:ascii="仿宋" w:hAnsi="仿宋" w:eastAsia="仿宋" w:cs="仿宋"/>
          <w:bCs/>
          <w:sz w:val="36"/>
          <w:szCs w:val="36"/>
          <w:highlight w:val="none"/>
          <w:lang w:eastAsia="zh-CN"/>
        </w:rPr>
      </w:r>
      <w:r/>
    </w:p>
    <w:p>
      <w:pPr>
        <w:pStyle w:val="843"/>
        <w:jc w:val="center"/>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lang w:eastAsia="zh-CN"/>
        </w:rPr>
        <w:t xml:space="preserve">采购项目</w:t>
      </w:r>
      <w:r>
        <w:rPr>
          <w:rFonts w:hint="eastAsia" w:ascii="仿宋" w:hAnsi="仿宋" w:eastAsia="仿宋" w:cs="仿宋"/>
          <w:bCs/>
          <w:sz w:val="36"/>
          <w:szCs w:val="36"/>
          <w:highlight w:val="none"/>
        </w:rPr>
        <w:t xml:space="preserve">合同</w:t>
      </w:r>
      <w:r>
        <w:rPr>
          <w:rFonts w:hint="eastAsia" w:ascii="仿宋" w:hAnsi="仿宋" w:eastAsia="仿宋" w:cs="仿宋"/>
          <w:bCs/>
          <w:sz w:val="36"/>
          <w:szCs w:val="36"/>
          <w:highlight w:val="none"/>
        </w:rPr>
      </w:r>
      <w:r/>
    </w:p>
    <w:p>
      <w:pPr>
        <w:pStyle w:val="843"/>
        <w:jc w:val="center"/>
        <w:widowControl/>
        <w:rPr>
          <w:rFonts w:hint="eastAsia" w:ascii="仿宋" w:hAnsi="仿宋" w:eastAsia="仿宋" w:cs="仿宋"/>
          <w:bCs/>
          <w:sz w:val="36"/>
          <w:szCs w:val="36"/>
          <w:highlight w:val="none"/>
        </w:rPr>
      </w:pPr>
      <w:r>
        <w:rPr>
          <w:rFonts w:hint="eastAsia" w:ascii="仿宋" w:hAnsi="仿宋" w:eastAsia="仿宋" w:cs="仿宋"/>
          <w:bCs/>
          <w:sz w:val="28"/>
          <w:szCs w:val="28"/>
          <w:highlight w:val="none"/>
        </w:rPr>
        <w:t xml:space="preserve">编号：</w:t>
      </w:r>
      <w:r>
        <w:rPr>
          <w:rFonts w:hint="eastAsia" w:ascii="仿宋" w:hAnsi="仿宋" w:eastAsia="仿宋" w:cs="仿宋"/>
          <w:bCs/>
          <w:sz w:val="36"/>
          <w:szCs w:val="36"/>
          <w:highlight w:val="none"/>
        </w:rPr>
      </w:r>
      <w:r/>
    </w:p>
    <w:p>
      <w:pPr>
        <w:pStyle w:val="843"/>
        <w:ind w:right="1890" w:firstLine="480"/>
        <w:jc w:val="right"/>
        <w:spacing w:line="440" w:lineRule="exact"/>
        <w:tabs>
          <w:tab w:val="center" w:pos="3733" w:leader="none"/>
          <w:tab w:val="right" w:pos="7466" w:leader="none"/>
        </w:tabs>
        <w:rPr>
          <w:rFonts w:hint="eastAsia" w:ascii="仿宋" w:hAnsi="仿宋" w:eastAsia="仿宋" w:cs="仿宋"/>
          <w:szCs w:val="21"/>
          <w:highlight w:val="none"/>
        </w:rPr>
      </w:pPr>
      <w:r>
        <w:rPr>
          <w:rFonts w:hint="eastAsia" w:ascii="仿宋" w:hAnsi="仿宋" w:eastAsia="仿宋" w:cs="仿宋"/>
          <w:szCs w:val="21"/>
          <w:highlight w:val="none"/>
        </w:rPr>
      </w:r>
      <w:r/>
    </w:p>
    <w:p>
      <w:pPr>
        <w:pStyle w:val="843"/>
        <w:ind w:right="1890" w:firstLine="480"/>
        <w:jc w:val="right"/>
        <w:spacing w:line="440" w:lineRule="exact"/>
        <w:tabs>
          <w:tab w:val="center" w:pos="3733" w:leader="none"/>
          <w:tab w:val="right" w:pos="7466" w:leader="none"/>
        </w:tabs>
        <w:rPr>
          <w:rFonts w:hint="eastAsia" w:ascii="仿宋" w:hAnsi="仿宋" w:eastAsia="仿宋" w:cs="仿宋"/>
          <w:szCs w:val="21"/>
          <w:highlight w:val="none"/>
        </w:rPr>
      </w:pPr>
      <w:r>
        <w:rPr>
          <w:rFonts w:hint="eastAsia" w:ascii="仿宋" w:hAnsi="仿宋" w:eastAsia="仿宋" w:cs="仿宋"/>
          <w:szCs w:val="21"/>
          <w:highlight w:val="none"/>
        </w:rPr>
      </w:r>
      <w:r/>
    </w:p>
    <w:p>
      <w:pPr>
        <w:pStyle w:val="843"/>
        <w:ind w:right="1890" w:firstLine="480"/>
        <w:jc w:val="right"/>
        <w:spacing w:line="440" w:lineRule="exact"/>
        <w:tabs>
          <w:tab w:val="center" w:pos="3733" w:leader="none"/>
          <w:tab w:val="right" w:pos="7466" w:leader="none"/>
        </w:tabs>
        <w:rPr>
          <w:rFonts w:hint="eastAsia" w:ascii="仿宋" w:hAnsi="仿宋" w:eastAsia="仿宋" w:cs="仿宋"/>
          <w:szCs w:val="21"/>
          <w:highlight w:val="none"/>
        </w:rPr>
      </w:pPr>
      <w:r>
        <w:rPr>
          <w:rFonts w:hint="eastAsia" w:ascii="仿宋" w:hAnsi="仿宋" w:eastAsia="仿宋" w:cs="仿宋"/>
          <w:szCs w:val="21"/>
          <w:highlight w:val="none"/>
        </w:rPr>
      </w:r>
      <w:r/>
    </w:p>
    <w:p>
      <w:pPr>
        <w:pStyle w:val="843"/>
        <w:ind w:right="1890" w:firstLine="480"/>
        <w:jc w:val="right"/>
        <w:spacing w:line="440" w:lineRule="exact"/>
        <w:tabs>
          <w:tab w:val="center" w:pos="3733" w:leader="none"/>
          <w:tab w:val="right" w:pos="7466" w:leader="none"/>
        </w:tabs>
        <w:rPr>
          <w:rFonts w:hint="eastAsia" w:ascii="仿宋" w:hAnsi="仿宋" w:eastAsia="仿宋" w:cs="仿宋"/>
          <w:szCs w:val="21"/>
          <w:highlight w:val="none"/>
        </w:rPr>
      </w:pPr>
      <w:r>
        <w:rPr>
          <w:rFonts w:hint="eastAsia" w:ascii="仿宋" w:hAnsi="仿宋" w:eastAsia="仿宋" w:cs="仿宋"/>
          <w:szCs w:val="21"/>
          <w:highlight w:val="none"/>
        </w:rPr>
      </w:r>
      <w:r/>
    </w:p>
    <w:p>
      <w:pPr>
        <w:pStyle w:val="843"/>
        <w:ind w:right="1890" w:firstLine="480"/>
        <w:jc w:val="right"/>
        <w:spacing w:line="440" w:lineRule="exact"/>
        <w:tabs>
          <w:tab w:val="center" w:pos="3733" w:leader="none"/>
          <w:tab w:val="right" w:pos="7466" w:leader="none"/>
        </w:tabs>
        <w:rPr>
          <w:rFonts w:hint="eastAsia" w:ascii="仿宋" w:hAnsi="仿宋" w:eastAsia="仿宋" w:cs="仿宋"/>
          <w:szCs w:val="21"/>
          <w:highlight w:val="none"/>
        </w:rPr>
      </w:pPr>
      <w:r>
        <w:rPr>
          <w:rFonts w:hint="eastAsia" w:ascii="仿宋" w:hAnsi="仿宋" w:eastAsia="仿宋" w:cs="仿宋"/>
          <w:szCs w:val="21"/>
          <w:highlight w:val="none"/>
        </w:rPr>
      </w:r>
      <w:r/>
    </w:p>
    <w:p>
      <w:pPr>
        <w:pStyle w:val="843"/>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 </w:t>
      </w:r>
      <w:r>
        <w:rPr>
          <w:rFonts w:hint="eastAsia" w:ascii="仿宋" w:hAnsi="仿宋" w:eastAsia="仿宋" w:cs="仿宋"/>
          <w:sz w:val="28"/>
          <w:szCs w:val="28"/>
          <w:highlight w:val="none"/>
        </w:rPr>
      </w:r>
      <w:r/>
    </w:p>
    <w:p>
      <w:pPr>
        <w:pStyle w:val="843"/>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 </w:t>
      </w:r>
      <w:r>
        <w:rPr>
          <w:rFonts w:hint="eastAsia" w:ascii="仿宋" w:hAnsi="仿宋" w:eastAsia="仿宋" w:cs="仿宋"/>
          <w:sz w:val="28"/>
          <w:szCs w:val="28"/>
          <w:highlight w:val="none"/>
        </w:rPr>
      </w:r>
      <w:r/>
    </w:p>
    <w:p>
      <w:pPr>
        <w:pStyle w:val="843"/>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rPr>
      </w:r>
      <w:r/>
    </w:p>
    <w:p>
      <w:pPr>
        <w:pStyle w:val="843"/>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43"/>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43"/>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rPr>
      </w:r>
      <w:r/>
    </w:p>
    <w:p>
      <w:pPr>
        <w:pStyle w:val="843"/>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rPr>
      </w:r>
      <w:r/>
    </w:p>
    <w:p>
      <w:pPr>
        <w:pStyle w:val="843"/>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rPr>
      </w:r>
      <w:r/>
    </w:p>
    <w:p>
      <w:pPr>
        <w:pStyle w:val="843"/>
        <w:ind w:firstLine="482"/>
        <w:spacing w:line="440" w:lineRule="exact"/>
        <w:rPr>
          <w:rFonts w:hint="eastAsia" w:ascii="仿宋" w:hAnsi="仿宋" w:eastAsia="仿宋" w:cs="仿宋"/>
          <w:b/>
          <w:szCs w:val="21"/>
          <w:highlight w:val="none"/>
        </w:rPr>
      </w:pPr>
      <w:r>
        <w:rPr>
          <w:rFonts w:hint="eastAsia" w:ascii="仿宋" w:hAnsi="仿宋" w:eastAsia="仿宋" w:cs="仿宋"/>
          <w:b/>
          <w:szCs w:val="21"/>
          <w:highlight w:val="none"/>
        </w:rPr>
      </w:r>
      <w:r/>
    </w:p>
    <w:p>
      <w:pPr>
        <w:pStyle w:val="843"/>
        <w:ind w:firstLine="482"/>
        <w:spacing w:line="440" w:lineRule="exact"/>
        <w:rPr>
          <w:rFonts w:hint="eastAsia" w:ascii="仿宋" w:hAnsi="仿宋" w:eastAsia="仿宋" w:cs="仿宋"/>
          <w:b/>
          <w:szCs w:val="21"/>
          <w:highlight w:val="none"/>
        </w:rPr>
      </w:pPr>
      <w:r>
        <w:rPr>
          <w:rFonts w:hint="eastAsia" w:ascii="仿宋" w:hAnsi="仿宋" w:eastAsia="仿宋" w:cs="仿宋"/>
          <w:b/>
          <w:szCs w:val="21"/>
          <w:highlight w:val="none"/>
        </w:rPr>
      </w:r>
      <w:r/>
    </w:p>
    <w:p>
      <w:pPr>
        <w:pStyle w:val="843"/>
        <w:ind w:firstLine="482"/>
        <w:spacing w:line="440" w:lineRule="exact"/>
        <w:rPr>
          <w:rFonts w:hint="eastAsia" w:ascii="仿宋" w:hAnsi="仿宋" w:eastAsia="仿宋" w:cs="仿宋"/>
          <w:sz w:val="24"/>
          <w:szCs w:val="24"/>
          <w:highlight w:val="none"/>
        </w:rPr>
      </w:pPr>
      <w:r>
        <w:rPr>
          <w:rFonts w:hint="eastAsia" w:ascii="仿宋" w:hAnsi="仿宋" w:eastAsia="仿宋" w:cs="仿宋"/>
          <w:b/>
          <w:szCs w:val="21"/>
          <w:highlight w:val="none"/>
        </w:rPr>
        <w:br w:type="page" w:clear="all"/>
      </w:r>
      <w:r>
        <w:rPr>
          <w:rFonts w:hint="eastAsia" w:ascii="仿宋" w:hAnsi="仿宋" w:eastAsia="仿宋" w:cs="仿宋"/>
          <w:sz w:val="24"/>
          <w:szCs w:val="24"/>
          <w:highlight w:val="none"/>
          <w:u w:val="single"/>
          <w:lang w:eastAsia="zh-CN"/>
        </w:rPr>
        <w:t xml:space="preserve">泗洪县住房和城乡建设局</w:t>
      </w:r>
      <w:r>
        <w:rPr>
          <w:rFonts w:hint="eastAsia" w:ascii="仿宋" w:hAnsi="仿宋" w:eastAsia="仿宋" w:cs="仿宋"/>
          <w:sz w:val="24"/>
          <w:szCs w:val="24"/>
          <w:highlight w:val="none"/>
        </w:rPr>
        <w:t xml:space="preserve">（以下简称“甲方”）和（以下简称“乙方”）依据《中华人民共和国民法典》、《中华人民共和国政府采购法》及其他相关法律法规规定，本着友好合作、平等互利的原则，经协商一致，特签订本合同，共同信守。</w:t>
      </w:r>
      <w:r>
        <w:rPr>
          <w:rFonts w:hint="eastAsia" w:ascii="仿宋" w:hAnsi="仿宋" w:eastAsia="仿宋" w:cs="仿宋"/>
          <w:sz w:val="24"/>
          <w:szCs w:val="24"/>
          <w:highlight w:val="none"/>
        </w:rPr>
      </w:r>
      <w:r/>
    </w:p>
    <w:p>
      <w:pPr>
        <w:pStyle w:val="844"/>
        <w:ind w:firstLine="482"/>
        <w:keepLines w:val="0"/>
        <w:keepNext w:val="0"/>
        <w:spacing w:before="0" w:after="0" w:line="460" w:lineRule="exact"/>
        <w:rPr>
          <w:rFonts w:hint="eastAsia" w:ascii="仿宋" w:hAnsi="仿宋" w:eastAsia="仿宋" w:cs="仿宋"/>
          <w:bCs/>
          <w:sz w:val="24"/>
          <w:szCs w:val="24"/>
          <w:highlight w:val="none"/>
        </w:rPr>
      </w:pPr>
      <w:r/>
      <w:bookmarkStart w:id="195" w:name="_Toc1505"/>
      <w:r/>
      <w:bookmarkStart w:id="196" w:name="_Toc15373"/>
      <w:r/>
      <w:bookmarkStart w:id="197" w:name="_Toc16040"/>
      <w:r/>
      <w:bookmarkStart w:id="198" w:name="_Toc30632"/>
      <w:r/>
      <w:bookmarkStart w:id="199" w:name="_Toc256000028"/>
      <w:r/>
      <w:bookmarkStart w:id="200" w:name="_Toc256000072"/>
      <w:r/>
      <w:bookmarkStart w:id="201" w:name="_Toc32068"/>
      <w:r/>
      <w:bookmarkStart w:id="202" w:name="_Toc171441148"/>
      <w:r>
        <w:rPr>
          <w:rFonts w:hint="eastAsia" w:ascii="仿宋" w:hAnsi="仿宋" w:eastAsia="仿宋" w:cs="仿宋"/>
          <w:sz w:val="24"/>
          <w:szCs w:val="24"/>
          <w:highlight w:val="none"/>
        </w:rPr>
        <w:t xml:space="preserve">一、采购内容和要求</w:t>
      </w:r>
      <w:bookmarkEnd w:id="195"/>
      <w:r/>
      <w:bookmarkEnd w:id="196"/>
      <w:r/>
      <w:bookmarkEnd w:id="197"/>
      <w:r/>
      <w:bookmarkEnd w:id="198"/>
      <w:r/>
      <w:bookmarkEnd w:id="199"/>
      <w:r/>
      <w:bookmarkEnd w:id="200"/>
      <w:r/>
      <w:bookmarkEnd w:id="201"/>
      <w:r/>
      <w:bookmarkEnd w:id="202"/>
      <w:r>
        <w:rPr>
          <w:rFonts w:hint="eastAsia" w:ascii="仿宋" w:hAnsi="仿宋" w:eastAsia="仿宋" w:cs="仿宋"/>
          <w:bCs/>
          <w:sz w:val="24"/>
          <w:szCs w:val="24"/>
          <w:highlight w:val="none"/>
        </w:rPr>
      </w:r>
      <w:r/>
    </w:p>
    <w:p>
      <w:pPr>
        <w:pStyle w:val="846"/>
        <w:ind w:firstLine="482"/>
        <w:jc w:val="left"/>
        <w:keepLines w:val="0"/>
        <w:keepNext w:val="0"/>
        <w:spacing w:line="460" w:lineRule="exact"/>
        <w:rPr>
          <w:rFonts w:hint="eastAsia" w:ascii="仿宋" w:hAnsi="仿宋" w:eastAsia="仿宋" w:cs="仿宋"/>
          <w:sz w:val="24"/>
          <w:szCs w:val="24"/>
          <w:highlight w:val="none"/>
        </w:rPr>
      </w:pPr>
      <w:r/>
      <w:bookmarkStart w:id="203" w:name="_Toc21136"/>
      <w:r/>
      <w:bookmarkStart w:id="204" w:name="_Toc256000073"/>
      <w:r/>
      <w:bookmarkStart w:id="205" w:name="_Toc17652"/>
      <w:r/>
      <w:bookmarkStart w:id="206" w:name="_Toc256000029"/>
      <w:r/>
      <w:bookmarkStart w:id="207" w:name="_Toc171441149"/>
      <w:r/>
      <w:bookmarkStart w:id="208" w:name="_Toc6356"/>
      <w:r/>
      <w:bookmarkStart w:id="209" w:name="_Toc5176"/>
      <w:r/>
      <w:bookmarkStart w:id="210" w:name="_Toc28278"/>
      <w:r>
        <w:rPr>
          <w:rFonts w:hint="eastAsia" w:ascii="仿宋" w:hAnsi="仿宋" w:eastAsia="仿宋" w:cs="仿宋"/>
          <w:sz w:val="24"/>
          <w:szCs w:val="24"/>
          <w:highlight w:val="none"/>
        </w:rPr>
        <w:t xml:space="preserve">（一）项目服务内容</w:t>
      </w:r>
      <w:bookmarkEnd w:id="203"/>
      <w:r/>
      <w:bookmarkEnd w:id="204"/>
      <w:r/>
      <w:bookmarkEnd w:id="205"/>
      <w:r/>
      <w:bookmarkEnd w:id="206"/>
      <w:r/>
      <w:bookmarkEnd w:id="207"/>
      <w:r/>
      <w:bookmarkEnd w:id="208"/>
      <w:r/>
      <w:bookmarkEnd w:id="209"/>
      <w:r/>
      <w:bookmarkEnd w:id="210"/>
      <w:r>
        <w:rPr>
          <w:rFonts w:hint="eastAsia" w:ascii="仿宋" w:hAnsi="仿宋" w:eastAsia="仿宋" w:cs="仿宋"/>
          <w:sz w:val="24"/>
          <w:szCs w:val="24"/>
          <w:highlight w:val="none"/>
        </w:rPr>
      </w:r>
      <w:r/>
    </w:p>
    <w:p>
      <w:pPr>
        <w:pStyle w:val="846"/>
        <w:ind w:firstLine="482"/>
        <w:spacing w:line="460" w:lineRule="exact"/>
        <w:tabs>
          <w:tab w:val="left" w:pos="0" w:leader="none"/>
          <w:tab w:val="left" w:pos="709" w:leader="none"/>
        </w:tabs>
        <w:rPr>
          <w:rFonts w:hint="eastAsia" w:ascii="仿宋" w:hAnsi="仿宋" w:eastAsia="仿宋" w:cs="仿宋"/>
          <w:sz w:val="24"/>
          <w:szCs w:val="24"/>
          <w:highlight w:val="none"/>
        </w:rPr>
      </w:pPr>
      <w:r/>
      <w:bookmarkStart w:id="211" w:name="_Toc256000030"/>
      <w:r/>
      <w:bookmarkStart w:id="212" w:name="_Toc15480"/>
      <w:r/>
      <w:bookmarkStart w:id="213" w:name="_Toc171441150"/>
      <w:r/>
      <w:bookmarkStart w:id="214" w:name="_Toc17420"/>
      <w:r/>
      <w:bookmarkStart w:id="215" w:name="_Toc13274"/>
      <w:r/>
      <w:bookmarkStart w:id="216" w:name="_Toc256000074"/>
      <w:r/>
      <w:bookmarkStart w:id="217" w:name="_Toc12795"/>
      <w:r>
        <w:rPr>
          <w:rFonts w:hint="eastAsia" w:ascii="仿宋" w:hAnsi="仿宋" w:eastAsia="仿宋" w:cs="仿宋"/>
          <w:sz w:val="24"/>
          <w:szCs w:val="24"/>
          <w:highlight w:val="none"/>
        </w:rPr>
        <w:t xml:space="preserve">1.初步设计方案编制</w:t>
      </w:r>
      <w:bookmarkEnd w:id="211"/>
      <w:r/>
      <w:bookmarkEnd w:id="212"/>
      <w:r/>
      <w:bookmarkEnd w:id="213"/>
      <w:r/>
      <w:bookmarkEnd w:id="214"/>
      <w:r/>
      <w:bookmarkEnd w:id="215"/>
      <w:r/>
      <w:bookmarkEnd w:id="216"/>
      <w:r/>
      <w:bookmarkEnd w:id="217"/>
      <w:r/>
      <w:bookmarkStart w:id="218" w:name="_Toc8581"/>
      <w:r/>
      <w:bookmarkStart w:id="219" w:name="_Toc1546"/>
      <w:r/>
      <w:bookmarkStart w:id="220" w:name="_Toc29244"/>
      <w:r/>
      <w:bookmarkStart w:id="221" w:name="_Toc18690"/>
      <w:r/>
      <w:bookmarkStart w:id="222" w:name="_Toc20614"/>
      <w:r>
        <w:rPr>
          <w:rFonts w:hint="eastAsia" w:ascii="仿宋" w:hAnsi="仿宋" w:eastAsia="仿宋" w:cs="仿宋"/>
          <w:sz w:val="24"/>
          <w:szCs w:val="24"/>
          <w:highlight w:val="none"/>
        </w:rPr>
      </w:r>
      <w:r/>
    </w:p>
    <w:p>
      <w:pPr>
        <w:pStyle w:val="834"/>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乙方应根据甲方要求编制初步设计方案</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t xml:space="preserve">并提供相应成果。初步设计方案应满足《宿迁市市级政务信息化项目建设管理办法》等相关规定要求。初步设计方案应达到文档材料完整、内容设计科学、投资概算合理等方面的要求。</w:t>
      </w:r>
      <w:r>
        <w:rPr>
          <w:rFonts w:hint="eastAsia" w:ascii="仿宋" w:hAnsi="仿宋" w:eastAsia="仿宋" w:cs="仿宋"/>
          <w:sz w:val="24"/>
          <w:szCs w:val="24"/>
          <w:highlight w:val="none"/>
        </w:rPr>
      </w:r>
      <w:r/>
    </w:p>
    <w:p>
      <w:pPr>
        <w:pStyle w:val="846"/>
        <w:ind w:firstLine="482"/>
        <w:keepLines w:val="0"/>
        <w:keepNext w:val="0"/>
        <w:spacing w:line="460" w:lineRule="exact"/>
        <w:rPr>
          <w:rFonts w:hint="eastAsia" w:ascii="仿宋" w:hAnsi="仿宋" w:eastAsia="仿宋" w:cs="仿宋"/>
          <w:sz w:val="24"/>
          <w:szCs w:val="24"/>
          <w:highlight w:val="none"/>
        </w:rPr>
      </w:pPr>
      <w:r/>
      <w:bookmarkStart w:id="223" w:name="_Toc171441151"/>
      <w:r/>
      <w:bookmarkStart w:id="224" w:name="_Toc256000031"/>
      <w:r/>
      <w:bookmarkStart w:id="225" w:name="_Toc256000075"/>
      <w:r>
        <w:rPr>
          <w:rFonts w:hint="eastAsia" w:ascii="仿宋" w:hAnsi="仿宋" w:eastAsia="仿宋" w:cs="仿宋"/>
          <w:sz w:val="24"/>
          <w:szCs w:val="24"/>
          <w:highlight w:val="none"/>
        </w:rPr>
        <w:t xml:space="preserve">2.系统建设</w:t>
      </w:r>
      <w:bookmarkEnd w:id="219"/>
      <w:r/>
      <w:bookmarkEnd w:id="220"/>
      <w:r/>
      <w:bookmarkEnd w:id="221"/>
      <w:r/>
      <w:bookmarkEnd w:id="222"/>
      <w:r/>
      <w:bookmarkEnd w:id="223"/>
      <w:r/>
      <w:bookmarkEnd w:id="224"/>
      <w:r/>
      <w:bookmarkEnd w:id="225"/>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szCs w:val="24"/>
          <w:highlight w:val="none"/>
        </w:rPr>
      </w:pPr>
      <w:r/>
      <w:bookmarkStart w:id="226" w:name="_Toc22069"/>
      <w:r/>
      <w:bookmarkStart w:id="227" w:name="_Toc256000032"/>
      <w:r/>
      <w:bookmarkStart w:id="228" w:name="_Toc7237"/>
      <w:r/>
      <w:bookmarkStart w:id="229" w:name="_Toc256000076"/>
      <w:r/>
      <w:bookmarkStart w:id="230" w:name="_Toc9354"/>
      <w:r/>
      <w:bookmarkStart w:id="231" w:name="_Toc22258"/>
      <w:r>
        <w:rPr>
          <w:rFonts w:hint="eastAsia" w:ascii="仿宋" w:hAnsi="仿宋" w:eastAsia="仿宋" w:cs="仿宋"/>
          <w:sz w:val="24"/>
          <w:szCs w:val="24"/>
          <w:highlight w:val="none"/>
        </w:rPr>
        <w:t xml:space="preserve">主要内容：主要内容：（1）数据资源建设：汇聚市政基础设施信息、第三方施工项目信息、行业监管信息、企业运行数据、各类传感器监测感知数据，按照省市数据标准进行数据治理，建设专项主题库，并与省级城市生命线安全监管系统对接。</w:t>
      </w:r>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监管平台建设与复用：包括1个综合应用系统、7个专项应用系统、3个特色应用和1个移动端应用。综合应用包括新建综合监管一张图，复用市级已建的综合统计分析、应急联动处置、行业综合监管、社会公众服务及运行维护管理功能模块；专项应用包括复用市级已建燃气爆炸、排水监管、供水爆管、地下管线交互风险、桥梁倒塌、道路塌陷、第三方施工破坏的监管系统和监测系统，新建各专项一张图；特色应用为新建园林安全、路灯管理和智慧人防；移动端应用包括复用移动端业务系统和新建领导驾驶舱。</w:t>
      </w:r>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（3）支撑中台复用：包括复用业务中台、数据中台和技术中台。</w:t>
      </w:r>
      <w:r>
        <w:rPr>
          <w:rFonts w:hint="eastAsia" w:ascii="仿宋" w:hAnsi="仿宋" w:eastAsia="仿宋" w:cs="仿宋"/>
          <w:sz w:val="24"/>
          <w:szCs w:val="24"/>
          <w:highlight w:val="none"/>
        </w:rPr>
      </w:r>
      <w:r/>
    </w:p>
    <w:p>
      <w:pPr>
        <w:pStyle w:val="846"/>
        <w:ind w:firstLine="482"/>
        <w:keepLines w:val="0"/>
        <w:keepNext w:val="0"/>
        <w:spacing w:line="460" w:lineRule="exact"/>
        <w:rPr>
          <w:rFonts w:hint="eastAsia" w:ascii="仿宋" w:hAnsi="仿宋" w:eastAsia="仿宋" w:cs="仿宋"/>
          <w:sz w:val="24"/>
          <w:szCs w:val="24"/>
          <w:highlight w:val="none"/>
        </w:rPr>
      </w:pPr>
      <w:r/>
      <w:bookmarkStart w:id="232" w:name="_Toc171441152"/>
      <w:r>
        <w:rPr>
          <w:rFonts w:hint="eastAsia" w:ascii="仿宋" w:hAnsi="仿宋" w:eastAsia="仿宋" w:cs="仿宋"/>
          <w:sz w:val="24"/>
          <w:szCs w:val="24"/>
          <w:highlight w:val="none"/>
        </w:rPr>
        <w:t xml:space="preserve">（二）技术服务要求</w:t>
      </w:r>
      <w:bookmarkEnd w:id="218"/>
      <w:r/>
      <w:bookmarkEnd w:id="226"/>
      <w:r/>
      <w:bookmarkEnd w:id="227"/>
      <w:r/>
      <w:bookmarkEnd w:id="228"/>
      <w:r/>
      <w:bookmarkEnd w:id="229"/>
      <w:r/>
      <w:bookmarkEnd w:id="230"/>
      <w:r/>
      <w:bookmarkEnd w:id="231"/>
      <w:r/>
      <w:bookmarkEnd w:id="232"/>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甲方委托乙方实施</w:t>
      </w:r>
      <w:r>
        <w:rPr>
          <w:rFonts w:hint="eastAsia" w:ascii="仿宋" w:hAnsi="仿宋" w:eastAsia="仿宋" w:cs="仿宋"/>
          <w:sz w:val="24"/>
          <w:szCs w:val="24"/>
          <w:highlight w:val="none"/>
          <w:lang w:eastAsia="zh-CN"/>
        </w:rPr>
        <w:t xml:space="preserve">泗洪县</w:t>
      </w:r>
      <w:r>
        <w:rPr>
          <w:rFonts w:hint="eastAsia" w:ascii="仿宋" w:hAnsi="仿宋" w:eastAsia="仿宋" w:cs="仿宋"/>
          <w:sz w:val="24"/>
          <w:szCs w:val="24"/>
          <w:highlight w:val="none"/>
        </w:rPr>
        <w:t xml:space="preserve">城市生命线安全工程建设及相关设备系统对接、本系统与相关软硬件联调、售后服务以及实施和使用中的相关技术支持服务，并按建设完成情况向乙方支付合同费用，乙方接受委托并提供各专项的开发和配套技术服务。本合同项下开发服务项目的具体要求包括：</w:t>
      </w:r>
      <w:bookmarkStart w:id="233" w:name="_Toc8340"/>
      <w:r>
        <w:rPr>
          <w:rFonts w:hint="eastAsia" w:ascii="仿宋" w:hAnsi="仿宋" w:eastAsia="仿宋" w:cs="仿宋"/>
          <w:sz w:val="24"/>
          <w:szCs w:val="24"/>
          <w:highlight w:val="none"/>
        </w:rPr>
      </w:r>
      <w:r/>
    </w:p>
    <w:p>
      <w:pPr>
        <w:pStyle w:val="846"/>
        <w:ind w:firstLine="482"/>
        <w:keepLines w:val="0"/>
        <w:keepNext w:val="0"/>
        <w:spacing w:line="460" w:lineRule="exact"/>
        <w:tabs>
          <w:tab w:val="left" w:pos="709" w:leader="none"/>
        </w:tabs>
        <w:rPr>
          <w:rFonts w:hint="eastAsia" w:ascii="仿宋" w:hAnsi="仿宋" w:eastAsia="仿宋" w:cs="仿宋"/>
          <w:sz w:val="24"/>
          <w:szCs w:val="24"/>
          <w:highlight w:val="none"/>
        </w:rPr>
      </w:pPr>
      <w:r/>
      <w:bookmarkStart w:id="234" w:name="_Toc6052"/>
      <w:r/>
      <w:bookmarkStart w:id="235" w:name="_Toc2709"/>
      <w:r/>
      <w:bookmarkStart w:id="236" w:name="_Toc5173"/>
      <w:r/>
      <w:bookmarkStart w:id="237" w:name="_Toc256000033"/>
      <w:r/>
      <w:bookmarkStart w:id="238" w:name="_Toc22834"/>
      <w:r/>
      <w:bookmarkStart w:id="239" w:name="_Toc256000077"/>
      <w:r/>
      <w:bookmarkStart w:id="240" w:name="_Toc171441153"/>
      <w:r>
        <w:rPr>
          <w:rFonts w:hint="eastAsia" w:ascii="仿宋" w:hAnsi="仿宋" w:eastAsia="仿宋" w:cs="仿宋"/>
          <w:sz w:val="24"/>
          <w:szCs w:val="24"/>
          <w:highlight w:val="none"/>
        </w:rPr>
        <w:t xml:space="preserve">1.技术目标</w:t>
      </w:r>
      <w:bookmarkEnd w:id="233"/>
      <w:r/>
      <w:bookmarkEnd w:id="234"/>
      <w:r/>
      <w:bookmarkEnd w:id="235"/>
      <w:r/>
      <w:bookmarkEnd w:id="236"/>
      <w:r/>
      <w:bookmarkEnd w:id="237"/>
      <w:r/>
      <w:bookmarkEnd w:id="238"/>
      <w:r/>
      <w:bookmarkEnd w:id="239"/>
      <w:r/>
      <w:bookmarkEnd w:id="240"/>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系统整体功能符合经甲方同意的详细系统开发服务计划项下的使用要求。应达到安全性、可靠性、实用性等技术指标，并保证相关技术服务符合国家的相关规定和甲方的相应需求。</w:t>
      </w:r>
      <w:r>
        <w:rPr>
          <w:rFonts w:hint="eastAsia" w:ascii="仿宋" w:hAnsi="仿宋" w:eastAsia="仿宋" w:cs="仿宋"/>
          <w:sz w:val="24"/>
          <w:szCs w:val="24"/>
          <w:highlight w:val="none"/>
        </w:rPr>
      </w:r>
      <w:r/>
    </w:p>
    <w:p>
      <w:pPr>
        <w:pStyle w:val="846"/>
        <w:ind w:firstLine="482"/>
        <w:keepLines w:val="0"/>
        <w:keepNext w:val="0"/>
        <w:spacing w:line="460" w:lineRule="exact"/>
        <w:tabs>
          <w:tab w:val="left" w:pos="709" w:leader="none"/>
        </w:tabs>
        <w:rPr>
          <w:rFonts w:hint="eastAsia" w:ascii="仿宋" w:hAnsi="仿宋" w:eastAsia="仿宋" w:cs="仿宋"/>
          <w:sz w:val="24"/>
          <w:szCs w:val="24"/>
          <w:highlight w:val="none"/>
        </w:rPr>
      </w:pPr>
      <w:r/>
      <w:bookmarkStart w:id="241" w:name="_Toc256000078"/>
      <w:r/>
      <w:bookmarkStart w:id="242" w:name="_Toc18120"/>
      <w:r/>
      <w:bookmarkStart w:id="243" w:name="_Toc23727"/>
      <w:r/>
      <w:bookmarkStart w:id="244" w:name="_Toc5684"/>
      <w:r/>
      <w:bookmarkStart w:id="245" w:name="_Toc13124"/>
      <w:r/>
      <w:bookmarkStart w:id="246" w:name="_Toc171441154"/>
      <w:r/>
      <w:bookmarkStart w:id="247" w:name="_Toc15418"/>
      <w:r/>
      <w:bookmarkStart w:id="248" w:name="_Toc256000034"/>
      <w:r>
        <w:rPr>
          <w:rFonts w:hint="eastAsia" w:ascii="仿宋" w:hAnsi="仿宋" w:eastAsia="仿宋" w:cs="仿宋"/>
          <w:sz w:val="24"/>
          <w:szCs w:val="24"/>
          <w:highlight w:val="none"/>
        </w:rPr>
        <w:t xml:space="preserve">2.技术内容</w:t>
      </w:r>
      <w:bookmarkEnd w:id="241"/>
      <w:r/>
      <w:bookmarkEnd w:id="242"/>
      <w:r/>
      <w:bookmarkEnd w:id="243"/>
      <w:r/>
      <w:bookmarkEnd w:id="244"/>
      <w:r/>
      <w:bookmarkEnd w:id="245"/>
      <w:r/>
      <w:bookmarkEnd w:id="246"/>
      <w:r/>
      <w:bookmarkEnd w:id="247"/>
      <w:r/>
      <w:bookmarkEnd w:id="248"/>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应按照GB/T22239-2019网络安全等级保护基本要求的第三级标准进行设计、开发、部署、运行和维护。具体事项包括但不限于如下内容：系统的需求采集和分析、系统的设计、开发建设、系统自测测试阶段的测试报告、部署调试、需求变更及甲方（建设单位）意见建议的必要修改和系统完善、配合甲方（建设单位）进行第三方系统测试、第三方网络安全验收测试、网络安全等级保护测评、网络安全风险评估等测试并按甲方（建设单位）要求进行整改、系统交付、运行维护、使用培训、信息安全维护、系统升级、漏洞修复、运行保障等相关服务。</w:t>
      </w:r>
      <w:r>
        <w:rPr>
          <w:rFonts w:hint="eastAsia" w:ascii="仿宋" w:hAnsi="仿宋" w:eastAsia="仿宋" w:cs="仿宋"/>
          <w:sz w:val="24"/>
          <w:szCs w:val="24"/>
          <w:highlight w:val="none"/>
        </w:rPr>
      </w:r>
      <w:r/>
    </w:p>
    <w:p>
      <w:pPr>
        <w:pStyle w:val="846"/>
        <w:ind w:firstLine="482"/>
        <w:keepLines w:val="0"/>
        <w:keepNext w:val="0"/>
        <w:spacing w:line="460" w:lineRule="exact"/>
        <w:tabs>
          <w:tab w:val="left" w:pos="709" w:leader="none"/>
        </w:tabs>
        <w:rPr>
          <w:rFonts w:hint="eastAsia" w:ascii="仿宋" w:hAnsi="仿宋" w:eastAsia="仿宋" w:cs="仿宋"/>
          <w:sz w:val="24"/>
          <w:szCs w:val="24"/>
          <w:highlight w:val="none"/>
        </w:rPr>
      </w:pPr>
      <w:r/>
      <w:bookmarkStart w:id="249" w:name="_Toc256000079"/>
      <w:r/>
      <w:bookmarkStart w:id="250" w:name="_Toc8031"/>
      <w:r/>
      <w:bookmarkStart w:id="251" w:name="_Toc21228"/>
      <w:r/>
      <w:bookmarkStart w:id="252" w:name="_Toc7208"/>
      <w:r/>
      <w:bookmarkStart w:id="253" w:name="_Toc26074"/>
      <w:r/>
      <w:bookmarkStart w:id="254" w:name="_Toc256000035"/>
      <w:r/>
      <w:bookmarkStart w:id="255" w:name="_Toc8518"/>
      <w:r/>
      <w:bookmarkStart w:id="256" w:name="_Toc171441155"/>
      <w:r>
        <w:rPr>
          <w:rFonts w:hint="eastAsia" w:ascii="仿宋" w:hAnsi="仿宋" w:eastAsia="仿宋" w:cs="仿宋"/>
          <w:sz w:val="24"/>
          <w:szCs w:val="24"/>
          <w:highlight w:val="none"/>
        </w:rPr>
        <w:t xml:space="preserve">3.技术开发成果</w:t>
      </w:r>
      <w:bookmarkEnd w:id="249"/>
      <w:r/>
      <w:bookmarkEnd w:id="250"/>
      <w:r/>
      <w:bookmarkEnd w:id="251"/>
      <w:r/>
      <w:bookmarkEnd w:id="252"/>
      <w:r/>
      <w:bookmarkEnd w:id="253"/>
      <w:r/>
      <w:bookmarkEnd w:id="254"/>
      <w:r/>
      <w:bookmarkEnd w:id="255"/>
      <w:r/>
      <w:bookmarkEnd w:id="256"/>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bookmarkStart w:id="257" w:name="_Toc2690"/>
      <w:r>
        <w:rPr>
          <w:rFonts w:hint="eastAsia" w:ascii="仿宋" w:hAnsi="仿宋" w:eastAsia="仿宋" w:cs="仿宋"/>
          <w:sz w:val="24"/>
          <w:szCs w:val="24"/>
          <w:highlight w:val="none"/>
        </w:rPr>
        <w:t xml:space="preserve">本项目乙方需要向甲方提交的技术开发成果包括但不限于：</w:t>
      </w:r>
      <w:bookmarkEnd w:id="257"/>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（1）系统开发运行全生命周期中形成的相关文档，包括但不限于系统需求规格说明书、概要设计说明书、详细设计说明书、自测测试报告（包含功能与性能）、自测测试用例、部署报告、用户手册。</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（2）满足甲方（建设单位）要求的软件部署、调试、测试、整改、运行等相关的技术服务。</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（3）本项目定制开发形成的技术成果，包括但不限于软件著作权由甲方享有。</w:t>
      </w:r>
      <w:bookmarkStart w:id="258" w:name="_Toc9612"/>
      <w:r/>
      <w:bookmarkStart w:id="259" w:name="_Toc1062"/>
      <w:r/>
      <w:bookmarkStart w:id="260" w:name="_Toc4144"/>
      <w:r/>
      <w:bookmarkStart w:id="261" w:name="_Toc3082"/>
      <w:r>
        <w:rPr>
          <w:rFonts w:hint="eastAsia" w:ascii="仿宋" w:hAnsi="仿宋" w:eastAsia="仿宋" w:cs="仿宋"/>
          <w:sz w:val="24"/>
          <w:szCs w:val="24"/>
          <w:highlight w:val="none"/>
        </w:rPr>
      </w:r>
      <w:r/>
    </w:p>
    <w:p>
      <w:pPr>
        <w:pStyle w:val="846"/>
        <w:ind w:firstLine="482"/>
        <w:keepLines w:val="0"/>
        <w:keepNext w:val="0"/>
        <w:spacing w:line="460" w:lineRule="exact"/>
        <w:tabs>
          <w:tab w:val="left" w:pos="0" w:leader="none"/>
          <w:tab w:val="left" w:pos="709" w:leader="none"/>
        </w:tabs>
        <w:rPr>
          <w:rFonts w:hint="eastAsia" w:ascii="仿宋" w:hAnsi="仿宋" w:eastAsia="仿宋" w:cs="仿宋"/>
          <w:sz w:val="24"/>
          <w:szCs w:val="24"/>
          <w:highlight w:val="none"/>
        </w:rPr>
      </w:pPr>
      <w:r/>
      <w:bookmarkStart w:id="262" w:name="_Toc256000036"/>
      <w:r/>
      <w:bookmarkStart w:id="263" w:name="_Toc256000080"/>
      <w:r/>
      <w:bookmarkStart w:id="264" w:name="_Toc171441156"/>
      <w:r>
        <w:rPr>
          <w:rFonts w:hint="eastAsia" w:ascii="仿宋" w:hAnsi="仿宋" w:eastAsia="仿宋" w:cs="仿宋"/>
          <w:sz w:val="24"/>
          <w:szCs w:val="24"/>
          <w:highlight w:val="none"/>
        </w:rPr>
        <w:t xml:space="preserve">4.系统安装要求</w:t>
      </w:r>
      <w:bookmarkEnd w:id="258"/>
      <w:r/>
      <w:bookmarkEnd w:id="259"/>
      <w:r/>
      <w:bookmarkEnd w:id="260"/>
      <w:r/>
      <w:bookmarkEnd w:id="261"/>
      <w:r/>
      <w:bookmarkEnd w:id="262"/>
      <w:r/>
      <w:bookmarkEnd w:id="263"/>
      <w:r/>
      <w:bookmarkEnd w:id="264"/>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4.1名称：</w:t>
      </w:r>
      <w:r>
        <w:rPr>
          <w:rFonts w:hint="eastAsia" w:ascii="仿宋" w:hAnsi="仿宋" w:eastAsia="仿宋" w:cs="仿宋"/>
          <w:sz w:val="24"/>
          <w:szCs w:val="24"/>
          <w:highlight w:val="none"/>
          <w:lang w:eastAsia="zh-CN"/>
        </w:rPr>
        <w:t xml:space="preserve">泗洪县城市生命线安全建设工程（一期）软件平台采购项目</w:t>
      </w:r>
      <w:r>
        <w:rPr>
          <w:rFonts w:hint="eastAsia" w:ascii="仿宋" w:hAnsi="仿宋" w:eastAsia="仿宋" w:cs="仿宋"/>
          <w:sz w:val="24"/>
          <w:szCs w:val="24"/>
          <w:highlight w:val="none"/>
          <w:lang w:eastAsia="zh-CN"/>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4.2安装地址：甲方（建设单位）指定的服务器和终端。</w:t>
      </w:r>
      <w:r>
        <w:rPr>
          <w:rFonts w:hint="eastAsia" w:ascii="仿宋" w:hAnsi="仿宋" w:eastAsia="仿宋" w:cs="仿宋"/>
          <w:sz w:val="24"/>
          <w:szCs w:val="24"/>
          <w:highlight w:val="none"/>
        </w:rPr>
      </w:r>
      <w:r/>
    </w:p>
    <w:p>
      <w:pPr>
        <w:pStyle w:val="846"/>
        <w:ind w:firstLine="482"/>
        <w:keepLines w:val="0"/>
        <w:keepNext w:val="0"/>
        <w:spacing w:line="460" w:lineRule="exact"/>
        <w:tabs>
          <w:tab w:val="left" w:pos="0" w:leader="none"/>
          <w:tab w:val="left" w:pos="709" w:leader="none"/>
        </w:tabs>
        <w:rPr>
          <w:rFonts w:hint="eastAsia" w:ascii="仿宋" w:hAnsi="仿宋" w:eastAsia="仿宋" w:cs="仿宋"/>
          <w:sz w:val="24"/>
          <w:szCs w:val="24"/>
          <w:highlight w:val="none"/>
        </w:rPr>
      </w:pPr>
      <w:r/>
      <w:bookmarkStart w:id="265" w:name="_Toc171441157"/>
      <w:r/>
      <w:bookmarkStart w:id="266" w:name="_Toc26617"/>
      <w:r/>
      <w:bookmarkStart w:id="267" w:name="_Toc256000081"/>
      <w:r/>
      <w:bookmarkStart w:id="268" w:name="_Toc25935"/>
      <w:r/>
      <w:bookmarkStart w:id="269" w:name="_Toc23866"/>
      <w:r/>
      <w:bookmarkStart w:id="270" w:name="_Toc256000037"/>
      <w:r/>
      <w:bookmarkStart w:id="271" w:name="_Toc28951"/>
      <w:r/>
      <w:bookmarkStart w:id="272" w:name="_Hlk129112182"/>
      <w:r>
        <w:rPr>
          <w:rFonts w:hint="eastAsia" w:ascii="仿宋" w:hAnsi="仿宋" w:eastAsia="仿宋" w:cs="仿宋"/>
          <w:sz w:val="24"/>
          <w:szCs w:val="24"/>
          <w:highlight w:val="none"/>
        </w:rPr>
        <w:t xml:space="preserve">5.其他内容</w:t>
      </w:r>
      <w:bookmarkEnd w:id="265"/>
      <w:r/>
      <w:bookmarkEnd w:id="266"/>
      <w:r/>
      <w:bookmarkEnd w:id="267"/>
      <w:r/>
      <w:bookmarkEnd w:id="268"/>
      <w:r/>
      <w:bookmarkEnd w:id="269"/>
      <w:r/>
      <w:bookmarkEnd w:id="270"/>
      <w:r/>
      <w:bookmarkEnd w:id="271"/>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 售后服务：项目通过终验代表系统正式上线，上线后乙方应在本合同约定的售后服务期内，保证合同产品适当、稳定运行，消除合同产品故障，并负责提供合同产品及配套设备的更新维护服务、咨询服务、技术指导以及对出现故障的合同产品及配套设备进行必要的更换服务。</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 通过终验项目进入运维期，通过终验日期为运维期起始时间，期限</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rPr>
        <w:t xml:space="preserve">年。运维期内提供建设内容质保服务，对运维期的质保服务不单独收取费用。</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rPr>
        <w:t xml:space="preserve">年后的运维费用由双方协商，另行解决。</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如甲方需要，乙方承诺在本项目建设及运维期内完成与市级城市生命线平台及其他县级相关平台系统数据对接、县级城市生命线平台侧的开发工作，不单独收取费用。    </w:t>
      </w:r>
      <w:bookmarkEnd w:id="272"/>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 服务期限：自合同签订之日起至运维期结束。</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5.4补充条款： 无 </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5.5合同文件的优先顺序</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组成合同的各项文件应互相解释，互为说明。解释合同文件的优先顺序如下：</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（1）本合同书</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（2）成交通知书</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（3）响应文件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（4）采购文件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（5）其他合同文件。</w:t>
      </w:r>
      <w:bookmarkStart w:id="273" w:name="_Toc4010"/>
      <w:r/>
      <w:bookmarkStart w:id="274" w:name="_Toc26935"/>
      <w:r/>
      <w:bookmarkStart w:id="275" w:name="_Toc6788"/>
      <w:r>
        <w:rPr>
          <w:rFonts w:hint="eastAsia" w:ascii="仿宋" w:hAnsi="仿宋" w:eastAsia="仿宋" w:cs="仿宋"/>
          <w:b/>
          <w:bCs/>
          <w:sz w:val="24"/>
          <w:szCs w:val="24"/>
          <w:highlight w:val="none"/>
        </w:rPr>
      </w:r>
      <w:r/>
    </w:p>
    <w:p>
      <w:pPr>
        <w:pStyle w:val="844"/>
        <w:ind w:firstLine="482"/>
        <w:keepLines w:val="0"/>
        <w:keepNext w:val="0"/>
        <w:spacing w:before="0" w:after="0" w:line="460" w:lineRule="exact"/>
        <w:rPr>
          <w:rFonts w:hint="eastAsia" w:ascii="仿宋" w:hAnsi="仿宋" w:eastAsia="仿宋" w:cs="仿宋"/>
          <w:sz w:val="24"/>
          <w:szCs w:val="24"/>
          <w:highlight w:val="none"/>
        </w:rPr>
      </w:pPr>
      <w:r/>
      <w:bookmarkStart w:id="276" w:name="_Toc256000038"/>
      <w:r/>
      <w:bookmarkStart w:id="277" w:name="_Toc171441158"/>
      <w:r/>
      <w:bookmarkStart w:id="278" w:name="_Toc256000082"/>
      <w:r>
        <w:rPr>
          <w:rFonts w:hint="eastAsia" w:ascii="仿宋" w:hAnsi="仿宋" w:eastAsia="仿宋" w:cs="仿宋"/>
          <w:sz w:val="24"/>
          <w:szCs w:val="24"/>
          <w:highlight w:val="none"/>
        </w:rPr>
        <w:t xml:space="preserve">二、合同金额</w:t>
      </w:r>
      <w:bookmarkEnd w:id="273"/>
      <w:r/>
      <w:bookmarkEnd w:id="274"/>
      <w:r/>
      <w:bookmarkEnd w:id="275"/>
      <w:r/>
      <w:bookmarkEnd w:id="276"/>
      <w:r/>
      <w:bookmarkEnd w:id="277"/>
      <w:r/>
      <w:bookmarkEnd w:id="278"/>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1.本合同金额为（大写）：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元整）人民币（含税）。</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2.该费用已涵盖乙方因提供本合同项下服务而发生的或可能发生的所有费用，除上述费用外，乙方不得就本合同向甲方主张任何名目的其他款项。</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3.付款</w:t>
      </w:r>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（1）合同签订且在收到供应商发票后1</w:t>
      </w:r>
      <w:r>
        <w:rPr>
          <w:rFonts w:hint="eastAsia" w:ascii="仿宋" w:hAnsi="仿宋" w:eastAsia="仿宋" w:cs="仿宋"/>
          <w:sz w:val="24"/>
          <w:szCs w:val="24"/>
          <w:highlight w:val="none"/>
          <w:lang w:val="en-US" w:eastAsia="zh-CN"/>
        </w:rPr>
        <w:t xml:space="preserve">0个工作</w:t>
      </w:r>
      <w:r>
        <w:rPr>
          <w:rFonts w:hint="eastAsia" w:ascii="仿宋" w:hAnsi="仿宋" w:eastAsia="仿宋" w:cs="仿宋"/>
          <w:sz w:val="24"/>
          <w:szCs w:val="24"/>
          <w:highlight w:val="none"/>
        </w:rPr>
        <w:t xml:space="preserve">日内，采购人向成交人支付到合同总价款的10%作为预付款；</w:t>
      </w:r>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（2）软件需求规格说明书（含数据库、功能详细设计）编制完成，并通过甲方确认，支付至合同总价的30%；</w:t>
      </w:r>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（3）项目通过甲方组织的由监理单位、软件第三方测评单位、信息化专家等参加的初验，初验合格后支付至合同总价的60%；</w:t>
      </w:r>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（4）系统连续稳定试运行3个月，并根据相关使用方意见修改完善后，经甲方、监理单位、软件第三方测评单位、相关专家书面确认后，项目终验合格后支付至合同总价的75%；</w:t>
      </w:r>
      <w:r>
        <w:rPr>
          <w:rFonts w:hint="eastAsia" w:ascii="仿宋" w:hAnsi="仿宋" w:eastAsia="仿宋" w:cs="仿宋"/>
          <w:sz w:val="24"/>
          <w:szCs w:val="24"/>
          <w:highlight w:val="none"/>
        </w:rPr>
      </w:r>
      <w:r/>
    </w:p>
    <w:p>
      <w:pPr>
        <w:pStyle w:val="83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（5）运维期间，第一年付至</w:t>
      </w:r>
      <w:r>
        <w:rPr>
          <w:rFonts w:hint="eastAsia" w:ascii="仿宋" w:hAnsi="仿宋" w:eastAsia="仿宋" w:cs="仿宋"/>
          <w:sz w:val="24"/>
          <w:szCs w:val="24"/>
          <w:highlight w:val="none"/>
          <w:lang w:val="en-US" w:eastAsia="zh-CN"/>
        </w:rPr>
        <w:t xml:space="preserve">合同</w:t>
      </w:r>
      <w:r>
        <w:rPr>
          <w:rFonts w:hint="eastAsia" w:ascii="仿宋" w:hAnsi="仿宋" w:eastAsia="仿宋" w:cs="仿宋"/>
          <w:sz w:val="24"/>
          <w:szCs w:val="24"/>
          <w:highlight w:val="none"/>
        </w:rPr>
        <w:t xml:space="preserve">价的90%，第二年付至</w:t>
      </w:r>
      <w:r>
        <w:rPr>
          <w:rFonts w:hint="eastAsia" w:ascii="仿宋" w:hAnsi="仿宋" w:eastAsia="仿宋" w:cs="仿宋"/>
          <w:sz w:val="24"/>
          <w:szCs w:val="24"/>
          <w:highlight w:val="none"/>
          <w:lang w:val="en-US" w:eastAsia="zh-CN"/>
        </w:rPr>
        <w:t xml:space="preserve">合同</w:t>
      </w:r>
      <w:r>
        <w:rPr>
          <w:rFonts w:hint="eastAsia" w:ascii="仿宋" w:hAnsi="仿宋" w:eastAsia="仿宋" w:cs="仿宋"/>
          <w:sz w:val="24"/>
          <w:szCs w:val="24"/>
          <w:highlight w:val="none"/>
        </w:rPr>
        <w:t xml:space="preserve">价的100%。</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4.税</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（1）乙方因履行本合同所产生的一切税费均由乙方自行承担且已包含在合同总价款中。</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（2）因乙方过错引发退费的，乙方应当根据甲方要求，配合办理相关结算凭证、票据的调整、重开、红冲等工作。</w:t>
      </w:r>
      <w:r>
        <w:rPr>
          <w:rFonts w:hint="eastAsia" w:ascii="仿宋" w:hAnsi="仿宋" w:eastAsia="仿宋" w:cs="仿宋"/>
          <w:sz w:val="24"/>
          <w:szCs w:val="24"/>
          <w:highlight w:val="none"/>
        </w:rPr>
      </w:r>
      <w:r/>
    </w:p>
    <w:p>
      <w:pPr>
        <w:pStyle w:val="844"/>
        <w:ind w:firstLine="482"/>
        <w:keepLines w:val="0"/>
        <w:keepNext w:val="0"/>
        <w:spacing w:before="0" w:after="0" w:line="460" w:lineRule="exact"/>
        <w:rPr>
          <w:rFonts w:hint="eastAsia" w:ascii="仿宋" w:hAnsi="仿宋" w:eastAsia="仿宋" w:cs="仿宋"/>
          <w:bCs/>
          <w:sz w:val="24"/>
          <w:szCs w:val="24"/>
          <w:highlight w:val="none"/>
        </w:rPr>
      </w:pPr>
      <w:r/>
      <w:bookmarkStart w:id="279" w:name="_Toc256000083"/>
      <w:r/>
      <w:bookmarkStart w:id="280" w:name="_Toc20193"/>
      <w:r/>
      <w:bookmarkStart w:id="281" w:name="_Toc11482"/>
      <w:r/>
      <w:bookmarkStart w:id="282" w:name="_Toc256000039"/>
      <w:r/>
      <w:bookmarkStart w:id="283" w:name="_Toc12815"/>
      <w:r/>
      <w:bookmarkStart w:id="284" w:name="_Toc171441159"/>
      <w:r/>
      <w:bookmarkStart w:id="285" w:name="_Toc9487"/>
      <w:r/>
      <w:bookmarkStart w:id="286" w:name="_Toc18666"/>
      <w:r>
        <w:rPr>
          <w:rFonts w:hint="eastAsia" w:ascii="仿宋" w:hAnsi="仿宋" w:eastAsia="仿宋" w:cs="仿宋"/>
          <w:sz w:val="24"/>
          <w:szCs w:val="24"/>
          <w:highlight w:val="none"/>
        </w:rPr>
        <w:t xml:space="preserve">三、具体内容安排</w:t>
      </w:r>
      <w:bookmarkEnd w:id="279"/>
      <w:r/>
      <w:bookmarkEnd w:id="280"/>
      <w:r/>
      <w:bookmarkEnd w:id="281"/>
      <w:r/>
      <w:bookmarkEnd w:id="282"/>
      <w:r/>
      <w:bookmarkEnd w:id="283"/>
      <w:r/>
      <w:bookmarkEnd w:id="284"/>
      <w:r/>
      <w:bookmarkEnd w:id="285"/>
      <w:r/>
      <w:bookmarkEnd w:id="286"/>
      <w:r>
        <w:rPr>
          <w:rFonts w:hint="eastAsia" w:ascii="仿宋" w:hAnsi="仿宋" w:eastAsia="仿宋" w:cs="仿宋"/>
          <w:bCs/>
          <w:sz w:val="24"/>
          <w:szCs w:val="24"/>
          <w:highlight w:val="none"/>
        </w:rPr>
      </w:r>
      <w:r/>
    </w:p>
    <w:p>
      <w:pPr>
        <w:pStyle w:val="846"/>
        <w:ind w:firstLine="482"/>
        <w:keepLines w:val="0"/>
        <w:keepNext w:val="0"/>
        <w:spacing w:line="460" w:lineRule="exact"/>
        <w:rPr>
          <w:rFonts w:hint="eastAsia" w:ascii="仿宋" w:hAnsi="仿宋" w:eastAsia="仿宋" w:cs="仿宋"/>
          <w:sz w:val="24"/>
          <w:szCs w:val="24"/>
          <w:highlight w:val="none"/>
        </w:rPr>
      </w:pPr>
      <w:r/>
      <w:bookmarkStart w:id="287" w:name="_Toc6194"/>
      <w:r/>
      <w:bookmarkStart w:id="288" w:name="_Toc256000084"/>
      <w:r/>
      <w:bookmarkStart w:id="289" w:name="_Toc256000040"/>
      <w:r/>
      <w:bookmarkStart w:id="290" w:name="_Toc29100"/>
      <w:r/>
      <w:bookmarkStart w:id="291" w:name="_Toc171441160"/>
      <w:r/>
      <w:bookmarkStart w:id="292" w:name="_Toc12125"/>
      <w:r/>
      <w:bookmarkStart w:id="293" w:name="_Toc9788"/>
      <w:r/>
      <w:bookmarkStart w:id="294" w:name="_Toc1448"/>
      <w:r>
        <w:rPr>
          <w:rFonts w:hint="eastAsia" w:ascii="仿宋" w:hAnsi="仿宋" w:eastAsia="仿宋" w:cs="仿宋"/>
          <w:sz w:val="24"/>
          <w:szCs w:val="24"/>
          <w:highlight w:val="none"/>
        </w:rPr>
        <w:t xml:space="preserve">（一）系统开发服务计划</w:t>
      </w:r>
      <w:bookmarkEnd w:id="287"/>
      <w:r/>
      <w:bookmarkEnd w:id="288"/>
      <w:r/>
      <w:bookmarkEnd w:id="289"/>
      <w:r/>
      <w:bookmarkEnd w:id="290"/>
      <w:r/>
      <w:bookmarkEnd w:id="291"/>
      <w:r/>
      <w:bookmarkEnd w:id="292"/>
      <w:r/>
      <w:bookmarkEnd w:id="293"/>
      <w:r/>
      <w:bookmarkEnd w:id="294"/>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乙方应在本合同签订后14日内，以书面形式向甲方提交各专项的开发服务计划，系统开发服务计划应包括以下主要内容：</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乙方就履行本合同项下的服务内容而成立的各专项工作组织负责人及工作人员名单、履历（需报送相关资质证书）、联系方式；</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设计方案、部署方案、实施计划、阶段性成果、人员安排、处理突发事件应急预案和工作流程；</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系统的运行维护计划；</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甲方届时要求的其他合理内容。</w:t>
      </w:r>
      <w:r>
        <w:rPr>
          <w:rFonts w:hint="eastAsia" w:ascii="仿宋" w:hAnsi="仿宋" w:eastAsia="仿宋" w:cs="仿宋"/>
          <w:sz w:val="24"/>
          <w:szCs w:val="24"/>
          <w:highlight w:val="none"/>
        </w:rPr>
      </w:r>
      <w:r/>
    </w:p>
    <w:p>
      <w:pPr>
        <w:pStyle w:val="846"/>
        <w:ind w:firstLine="482"/>
        <w:keepLines w:val="0"/>
        <w:keepNext w:val="0"/>
        <w:spacing w:line="460" w:lineRule="exact"/>
        <w:rPr>
          <w:rFonts w:hint="eastAsia" w:ascii="仿宋" w:hAnsi="仿宋" w:eastAsia="仿宋" w:cs="仿宋"/>
          <w:sz w:val="24"/>
          <w:szCs w:val="24"/>
          <w:highlight w:val="none"/>
        </w:rPr>
      </w:pPr>
      <w:r/>
      <w:bookmarkStart w:id="295" w:name="_Toc256000041"/>
      <w:r/>
      <w:bookmarkStart w:id="296" w:name="_Toc1269"/>
      <w:r/>
      <w:bookmarkStart w:id="297" w:name="_Toc16459"/>
      <w:r/>
      <w:bookmarkStart w:id="298" w:name="_Toc171441161"/>
      <w:r/>
      <w:bookmarkStart w:id="299" w:name="_Toc8711"/>
      <w:r/>
      <w:bookmarkStart w:id="300" w:name="_Toc24681"/>
      <w:r/>
      <w:bookmarkStart w:id="301" w:name="_Toc256000085"/>
      <w:r/>
      <w:bookmarkStart w:id="302" w:name="_Toc14378"/>
      <w:r>
        <w:rPr>
          <w:rFonts w:hint="eastAsia" w:ascii="仿宋" w:hAnsi="仿宋" w:eastAsia="仿宋" w:cs="仿宋"/>
          <w:sz w:val="24"/>
          <w:szCs w:val="24"/>
          <w:highlight w:val="none"/>
        </w:rPr>
        <w:t xml:space="preserve">（二）系统开发</w:t>
      </w:r>
      <w:bookmarkEnd w:id="295"/>
      <w:r/>
      <w:bookmarkEnd w:id="296"/>
      <w:r/>
      <w:bookmarkEnd w:id="297"/>
      <w:r/>
      <w:bookmarkEnd w:id="298"/>
      <w:r/>
      <w:bookmarkEnd w:id="299"/>
      <w:r/>
      <w:bookmarkEnd w:id="300"/>
      <w:r/>
      <w:bookmarkEnd w:id="301"/>
      <w:r/>
      <w:bookmarkEnd w:id="302"/>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自本合同签订之日起，乙方应履行其在系统开发服务计划中规定的义务，按时完成并交付系统及相关服务，其质量标准应符合国家的相关规定，并确保系统及技术服务符合采购文件或投标响应文件，不低于甲方的需求。</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需求与需求分析</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双方将根据采购文件中各专项的需求和甲方所提供的资料与信息共同制作需求分析。甲方在提交各专项需求说明、资料和信息时，可以就其中所涉及的系统功能、目标、需求构成及相关技术问题向乙方咨询或征求意见，乙方应当及时予以解释和答复。</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乙方在获取上述需求信息和资料后，应及时完成项目需求分析并报甲方审核。</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系统设计方案、需求规格说明书、概要设计说明书和详细设计说明书：乙方在取得了甲方提供的必要的信息和资料后，将依据本合同所约定的需求，并根据实际业务需求和网络安全要求编制各专项系统设计方案，完成系统需求规格说明书、概要设计说明书以及详细设计说明书。以上四项完成后，均提交甲方审核，审核通过后，则甲方在上述文件中签字。如有异议，则以书面方式说明理由并提交乙方复审。如乙方认为不构成问题，则应向甲方予以解释。甲方认为确有问题的，乙方应及时予以修改并再次提交甲方审核，直至甲方认可。</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开发及自测</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乙方在甲方指定测试环境，按照甲方要求完成相关测试并提交相关测试报告等甲方要求的文档，文档甲方审核同意后，乙方方可进行系统生产环境部署。</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 第三方测试</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乙方应配合甲方进行第三方软件测试、第三方网络安全验收测试等其他甲方认为必要的第三方测试，并按甲方要求完成整改。</w:t>
      </w:r>
      <w:r>
        <w:rPr>
          <w:rFonts w:hint="eastAsia" w:ascii="仿宋" w:hAnsi="仿宋" w:eastAsia="仿宋" w:cs="仿宋"/>
          <w:sz w:val="24"/>
          <w:szCs w:val="24"/>
          <w:highlight w:val="none"/>
        </w:rPr>
      </w:r>
      <w:r/>
    </w:p>
    <w:p>
      <w:pPr>
        <w:pStyle w:val="846"/>
        <w:ind w:firstLine="482"/>
        <w:jc w:val="left"/>
        <w:keepLines w:val="0"/>
        <w:keepNext w:val="0"/>
        <w:spacing w:line="460" w:lineRule="exact"/>
        <w:rPr>
          <w:rFonts w:hint="eastAsia" w:ascii="仿宋" w:hAnsi="仿宋" w:eastAsia="仿宋" w:cs="仿宋"/>
          <w:sz w:val="24"/>
          <w:szCs w:val="24"/>
          <w:highlight w:val="none"/>
        </w:rPr>
      </w:pPr>
      <w:r/>
      <w:bookmarkStart w:id="303" w:name="_Toc22899"/>
      <w:r/>
      <w:bookmarkStart w:id="304" w:name="_Toc15341"/>
      <w:r/>
      <w:bookmarkStart w:id="305" w:name="_Toc13343"/>
      <w:r/>
      <w:bookmarkStart w:id="306" w:name="_Toc2697"/>
      <w:r/>
      <w:bookmarkStart w:id="307" w:name="_Toc171441162"/>
      <w:r/>
      <w:bookmarkStart w:id="308" w:name="_Toc256000042"/>
      <w:r/>
      <w:bookmarkStart w:id="309" w:name="_Toc256000086"/>
      <w:r/>
      <w:bookmarkStart w:id="310" w:name="_Toc5409"/>
      <w:r>
        <w:rPr>
          <w:rFonts w:hint="eastAsia" w:ascii="仿宋" w:hAnsi="仿宋" w:eastAsia="仿宋" w:cs="仿宋"/>
          <w:sz w:val="24"/>
          <w:szCs w:val="24"/>
          <w:highlight w:val="none"/>
        </w:rPr>
        <w:t xml:space="preserve">（三）项目周期</w:t>
      </w:r>
      <w:bookmarkEnd w:id="307"/>
      <w:r/>
      <w:bookmarkEnd w:id="308"/>
      <w:r/>
      <w:bookmarkEnd w:id="309"/>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bookmarkStart w:id="311" w:name="_Toc256000087"/>
      <w:r/>
      <w:bookmarkStart w:id="312" w:name="_Toc256000043"/>
      <w:r/>
      <w:bookmarkStart w:id="313" w:name="_Toc171441163"/>
      <w:r>
        <w:rPr>
          <w:rFonts w:hint="eastAsia" w:ascii="仿宋" w:hAnsi="仿宋" w:eastAsia="仿宋" w:cs="仿宋"/>
          <w:sz w:val="24"/>
          <w:szCs w:val="24"/>
          <w:highlight w:val="none"/>
        </w:rPr>
        <w:t xml:space="preserve">项目周期：自合同签订之日起，</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个月内交付全部建设内容并完成终验，且要求于202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月底完成初步设计，</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月底完成区级对市级平台复用相关工作，</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月底完成</w:t>
      </w:r>
      <w:r>
        <w:rPr>
          <w:rFonts w:hint="eastAsia" w:ascii="仿宋" w:hAnsi="仿宋" w:eastAsia="仿宋" w:cs="仿宋"/>
          <w:sz w:val="24"/>
          <w:szCs w:val="24"/>
          <w:highlight w:val="none"/>
          <w:lang w:val="en-US" w:eastAsia="zh-CN"/>
        </w:rPr>
        <w:t xml:space="preserve">县</w:t>
      </w:r>
      <w:r>
        <w:rPr>
          <w:rFonts w:hint="eastAsia" w:ascii="仿宋" w:hAnsi="仿宋" w:eastAsia="仿宋" w:cs="仿宋"/>
          <w:sz w:val="24"/>
          <w:szCs w:val="24"/>
          <w:highlight w:val="none"/>
        </w:rPr>
        <w:t xml:space="preserve">级数据汇聚，</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月底完成系统调试、接入已建硬件监测数据、初步实现省市数据对接，2025年</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月底完成主要功能开发并开始上线试运行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试运行期三个月</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846"/>
        <w:ind w:firstLine="482"/>
        <w:jc w:val="left"/>
        <w:keepLines w:val="0"/>
        <w:keepNext w:val="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（四）项目变更</w:t>
      </w:r>
      <w:bookmarkEnd w:id="303"/>
      <w:r/>
      <w:bookmarkEnd w:id="304"/>
      <w:r/>
      <w:bookmarkEnd w:id="305"/>
      <w:r/>
      <w:bookmarkEnd w:id="306"/>
      <w:r/>
      <w:bookmarkEnd w:id="310"/>
      <w:r/>
      <w:bookmarkEnd w:id="311"/>
      <w:r/>
      <w:bookmarkEnd w:id="312"/>
      <w:r/>
      <w:bookmarkEnd w:id="313"/>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实施过程中，甲方提出的需求变化，由乙方评估并经甲方确认后，发生的需求、流程、交互、UI、架构等变化，视为变更。</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上述各方确认后，各专项变更须由双方共同认定形成补充协议并签字盖章，形成变更补充协议的签署。自甲方提出需求变化起，至补充协议签署前，乙方将暂停开发工作。由此导致的项目延期，不视为乙方违约。</w:t>
      </w:r>
      <w:r>
        <w:rPr>
          <w:rFonts w:hint="eastAsia" w:ascii="仿宋" w:hAnsi="仿宋" w:eastAsia="仿宋" w:cs="仿宋"/>
          <w:sz w:val="24"/>
          <w:szCs w:val="24"/>
          <w:highlight w:val="none"/>
        </w:rPr>
      </w:r>
      <w:r/>
    </w:p>
    <w:p>
      <w:pPr>
        <w:pStyle w:val="846"/>
        <w:ind w:firstLine="482"/>
        <w:keepLines w:val="0"/>
        <w:keepNext w:val="0"/>
        <w:spacing w:line="460" w:lineRule="exact"/>
        <w:rPr>
          <w:rFonts w:hint="eastAsia" w:ascii="仿宋" w:hAnsi="仿宋" w:eastAsia="仿宋" w:cs="仿宋"/>
          <w:sz w:val="24"/>
          <w:szCs w:val="24"/>
          <w:highlight w:val="none"/>
        </w:rPr>
      </w:pPr>
      <w:r/>
      <w:bookmarkStart w:id="314" w:name="_Toc256000044"/>
      <w:r/>
      <w:bookmarkStart w:id="315" w:name="_Toc25269"/>
      <w:r/>
      <w:bookmarkStart w:id="316" w:name="_Toc1080"/>
      <w:r/>
      <w:bookmarkStart w:id="317" w:name="_Toc171441164"/>
      <w:r/>
      <w:bookmarkStart w:id="318" w:name="_Toc19066"/>
      <w:r/>
      <w:bookmarkStart w:id="319" w:name="_Toc22056"/>
      <w:r/>
      <w:bookmarkStart w:id="320" w:name="_Toc256000088"/>
      <w:r/>
      <w:bookmarkStart w:id="321" w:name="_Toc24401"/>
      <w:r>
        <w:rPr>
          <w:rFonts w:hint="eastAsia" w:ascii="仿宋" w:hAnsi="仿宋" w:eastAsia="仿宋" w:cs="仿宋"/>
          <w:sz w:val="24"/>
          <w:szCs w:val="24"/>
          <w:highlight w:val="none"/>
        </w:rPr>
        <w:t xml:space="preserve">（五）交付物</w:t>
      </w:r>
      <w:bookmarkEnd w:id="314"/>
      <w:r/>
      <w:bookmarkEnd w:id="315"/>
      <w:r/>
      <w:bookmarkEnd w:id="316"/>
      <w:r/>
      <w:bookmarkEnd w:id="317"/>
      <w:r/>
      <w:bookmarkEnd w:id="318"/>
      <w:r/>
      <w:bookmarkEnd w:id="319"/>
      <w:r/>
      <w:bookmarkEnd w:id="320"/>
      <w:r/>
      <w:bookmarkEnd w:id="321"/>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乙方应按照本合同项中所约定的专项内容进行交付，所交付的文档与文件应当是电子版式和可供阅读的。乙方在交付前应对该交付物进行自检，以确认其符合本合同的规定。</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乙方应在每项交付物交付前10个工作日内，以书面方式通知甲方。应当在接到通知后的10个工作日内安排接受交付，但不视为验收。交付地点为甲方指定地点。</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现约定交付物清单如下：软件系统交付物清单</w:t>
      </w:r>
      <w:r>
        <w:rPr>
          <w:rFonts w:hint="eastAsia" w:ascii="仿宋" w:hAnsi="仿宋" w:eastAsia="仿宋" w:cs="仿宋"/>
          <w:sz w:val="24"/>
          <w:szCs w:val="24"/>
          <w:highlight w:val="none"/>
        </w:rPr>
      </w:r>
      <w:r/>
    </w:p>
    <w:tbl>
      <w:tblPr>
        <w:tblW w:w="87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44" w:type="dxa"/>
          <w:top w:w="15" w:type="dxa"/>
          <w:right w:w="44" w:type="dxa"/>
          <w:bottom w:w="0" w:type="dxa"/>
        </w:tblCellMar>
        <w:tblLook w:val="04A0" w:firstRow="1" w:lastRow="0" w:firstColumn="1" w:lastColumn="0" w:noHBand="0" w:noVBand="1"/>
      </w:tblPr>
      <w:tblGrid>
        <w:gridCol w:w="905"/>
        <w:gridCol w:w="2988"/>
        <w:gridCol w:w="4884"/>
      </w:tblGrid>
      <w:tr>
        <w:trPr>
          <w:cantSplit/>
          <w:trHeight w:val="340"/>
          <w:tblHeader/>
        </w:trPr>
        <w:tc>
          <w:tcPr>
            <w:shd w:val="clear" w:color="auto" w:fill="d9d9d9"/>
            <w:tcW w:w="905" w:type="dxa"/>
            <w:vAlign w:val="center"/>
            <w:textDirection w:val="lrTb"/>
            <w:noWrap w:val="false"/>
          </w:tcPr>
          <w:p>
            <w:pPr>
              <w:pStyle w:val="843"/>
              <w:jc w:val="center"/>
              <w:spacing w:line="2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序号</w:t>
            </w:r>
            <w:r>
              <w:rPr>
                <w:rFonts w:hint="eastAsia" w:ascii="仿宋" w:hAnsi="仿宋" w:eastAsia="仿宋" w:cs="仿宋"/>
                <w:bCs/>
                <w:sz w:val="24"/>
                <w:szCs w:val="24"/>
                <w:highlight w:val="none"/>
              </w:rPr>
            </w:r>
            <w:r/>
          </w:p>
        </w:tc>
        <w:tc>
          <w:tcPr>
            <w:shd w:val="clear" w:color="auto" w:fill="d9d9d9"/>
            <w:tcMar>
              <w:left w:w="44" w:type="dxa"/>
              <w:top w:w="15" w:type="dxa"/>
              <w:right w:w="44" w:type="dxa"/>
              <w:bottom w:w="0" w:type="dxa"/>
            </w:tcMar>
            <w:tcW w:w="2988" w:type="dxa"/>
            <w:vAlign w:val="center"/>
            <w:textDirection w:val="lrTb"/>
            <w:noWrap w:val="false"/>
          </w:tcPr>
          <w:p>
            <w:pPr>
              <w:pStyle w:val="843"/>
              <w:jc w:val="center"/>
              <w:spacing w:line="2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交付物</w:t>
            </w:r>
            <w:r>
              <w:rPr>
                <w:rFonts w:hint="eastAsia" w:ascii="仿宋" w:hAnsi="仿宋" w:eastAsia="仿宋" w:cs="仿宋"/>
                <w:bCs/>
                <w:sz w:val="24"/>
                <w:szCs w:val="24"/>
                <w:highlight w:val="none"/>
              </w:rPr>
            </w:r>
            <w:r/>
          </w:p>
        </w:tc>
        <w:tc>
          <w:tcPr>
            <w:shd w:val="clear" w:color="auto" w:fill="d9d9d9"/>
            <w:tcMar>
              <w:left w:w="44" w:type="dxa"/>
              <w:top w:w="15" w:type="dxa"/>
              <w:right w:w="44" w:type="dxa"/>
              <w:bottom w:w="0" w:type="dxa"/>
            </w:tcMar>
            <w:tcW w:w="4884" w:type="dxa"/>
            <w:vAlign w:val="center"/>
            <w:textDirection w:val="lrTb"/>
            <w:noWrap w:val="false"/>
          </w:tcPr>
          <w:p>
            <w:pPr>
              <w:pStyle w:val="843"/>
              <w:jc w:val="center"/>
              <w:spacing w:line="2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内容</w:t>
            </w:r>
            <w:r>
              <w:rPr>
                <w:rFonts w:hint="eastAsia" w:ascii="仿宋" w:hAnsi="仿宋" w:eastAsia="仿宋" w:cs="仿宋"/>
                <w:bCs/>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成交确认函</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项目合同</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项目进度计划</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包含项目明细任务、资源分配、各里程碑的目标日期和关键路径。</w:t>
            </w: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项目质量保证计划</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实施方案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需求调研方案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需求评审记录</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需求规格说明书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系统范围基准</w:t>
            </w: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概要设计说明书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详细设计说明书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数据库设计说明书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系统接口说明书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系统编码规范</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测试大纲</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阶段性测试方案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测试用例</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回归测试报告</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系统上线部署方案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系统安装配置手册</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软件安装说明书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用户手册</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用户手册包含的内容是：系统实施后，使用人员、支持人员（IT人员、系统管理员）要进行的日常操作流程的描述。</w:t>
            </w: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运行维护服务方案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处理突发事件应急预案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系统实施总结报告 </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变更申请表 </w:t>
            </w:r>
            <w:r>
              <w:rPr>
                <w:rFonts w:hint="eastAsia" w:ascii="仿宋" w:hAnsi="仿宋" w:eastAsia="仿宋" w:cs="仿宋"/>
                <w:sz w:val="24"/>
                <w:szCs w:val="24"/>
                <w:highlight w:val="none"/>
              </w:rPr>
            </w:r>
            <w:r/>
          </w:p>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项目周工作进度报告 </w:t>
            </w:r>
            <w:r>
              <w:rPr>
                <w:rFonts w:hint="eastAsia" w:ascii="仿宋" w:hAnsi="仿宋" w:eastAsia="仿宋" w:cs="仿宋"/>
                <w:sz w:val="24"/>
                <w:szCs w:val="24"/>
                <w:highlight w:val="none"/>
              </w:rPr>
            </w:r>
            <w:r/>
          </w:p>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项目月工作进度报告 </w:t>
            </w:r>
            <w:r>
              <w:rPr>
                <w:rFonts w:hint="eastAsia" w:ascii="仿宋" w:hAnsi="仿宋" w:eastAsia="仿宋" w:cs="仿宋"/>
                <w:sz w:val="24"/>
                <w:szCs w:val="24"/>
                <w:highlight w:val="none"/>
              </w:rPr>
            </w:r>
            <w:r/>
          </w:p>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会议纪要报告 </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项目管理过程文件 </w:t>
            </w:r>
            <w:r>
              <w:rPr>
                <w:rFonts w:hint="eastAsia" w:ascii="仿宋" w:hAnsi="仿宋" w:eastAsia="仿宋" w:cs="仿宋"/>
                <w:sz w:val="24"/>
                <w:szCs w:val="24"/>
                <w:highlight w:val="none"/>
              </w:rPr>
            </w:r>
            <w:r/>
          </w:p>
        </w:tc>
      </w:tr>
      <w:tr>
        <w:trPr>
          <w:cantSplit/>
          <w:trHeight w:val="340"/>
        </w:trPr>
        <w:tc>
          <w:tcPr>
            <w:tcW w:w="905" w:type="dxa"/>
            <w:vAlign w:val="center"/>
            <w:textDirection w:val="lrTb"/>
            <w:noWrap w:val="false"/>
          </w:tcPr>
          <w:p>
            <w:pPr>
              <w:pStyle w:val="843"/>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初验验收申请</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46"/>
        <w:ind w:firstLine="482"/>
        <w:keepLines w:val="0"/>
        <w:keepNext w:val="0"/>
        <w:spacing w:line="440" w:lineRule="exact"/>
        <w:rPr>
          <w:rFonts w:hint="eastAsia" w:ascii="仿宋" w:hAnsi="仿宋" w:eastAsia="仿宋" w:cs="仿宋"/>
          <w:sz w:val="24"/>
          <w:szCs w:val="24"/>
          <w:highlight w:val="none"/>
        </w:rPr>
      </w:pPr>
      <w:r/>
      <w:bookmarkStart w:id="322" w:name="_Toc30956"/>
      <w:r/>
      <w:bookmarkStart w:id="323" w:name="_Toc12082"/>
      <w:r/>
      <w:bookmarkStart w:id="324" w:name="_Toc1263"/>
      <w:r/>
      <w:bookmarkStart w:id="325" w:name="_Toc16597"/>
      <w:r/>
      <w:bookmarkStart w:id="326" w:name="_Toc24669"/>
      <w:r/>
      <w:bookmarkStart w:id="327" w:name="_Toc256000045"/>
      <w:r/>
      <w:bookmarkStart w:id="328" w:name="_Toc256000089"/>
      <w:r/>
      <w:bookmarkStart w:id="329" w:name="_Toc171441165"/>
      <w:r>
        <w:rPr>
          <w:rFonts w:hint="eastAsia" w:ascii="仿宋" w:hAnsi="仿宋" w:eastAsia="仿宋" w:cs="仿宋"/>
          <w:sz w:val="24"/>
          <w:szCs w:val="24"/>
          <w:highlight w:val="none"/>
        </w:rPr>
        <w:t xml:space="preserve">（六）项目交付</w:t>
      </w:r>
      <w:bookmarkEnd w:id="322"/>
      <w:r/>
      <w:bookmarkEnd w:id="323"/>
      <w:r/>
      <w:bookmarkEnd w:id="324"/>
      <w:r/>
      <w:bookmarkEnd w:id="325"/>
      <w:r/>
      <w:bookmarkEnd w:id="326"/>
      <w:r/>
      <w:bookmarkEnd w:id="327"/>
      <w:r/>
      <w:bookmarkEnd w:id="328"/>
      <w:r/>
      <w:bookmarkEnd w:id="329"/>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1.乙方在    年    月    日前完成各个专项建设并移交甲方。</w:t>
      </w:r>
      <w:r>
        <w:rPr>
          <w:rFonts w:hint="eastAsia" w:ascii="仿宋" w:hAnsi="仿宋" w:eastAsia="仿宋" w:cs="仿宋"/>
          <w:sz w:val="24"/>
          <w:szCs w:val="24"/>
          <w:highlight w:val="none"/>
        </w:rPr>
      </w:r>
      <w:r/>
    </w:p>
    <w:p>
      <w:pPr>
        <w:pStyle w:val="834"/>
        <w:ind w:firstLine="48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2.交付方式及交付地点</w:t>
      </w:r>
      <w:r>
        <w:rPr>
          <w:rFonts w:hint="eastAsia" w:ascii="仿宋" w:hAnsi="仿宋" w:eastAsia="仿宋" w:cs="仿宋"/>
          <w:bCs/>
          <w:sz w:val="24"/>
          <w:szCs w:val="24"/>
          <w:highlight w:val="none"/>
        </w:rPr>
      </w:r>
      <w:r/>
    </w:p>
    <w:p>
      <w:pPr>
        <w:pStyle w:val="834"/>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交付方式：</w:t>
      </w:r>
      <w:r>
        <w:rPr>
          <w:rFonts w:hint="eastAsia" w:ascii="仿宋" w:hAnsi="仿宋" w:eastAsia="仿宋" w:cs="仿宋"/>
          <w:sz w:val="24"/>
          <w:szCs w:val="24"/>
          <w:highlight w:val="none"/>
          <w:u w:val="single"/>
        </w:rPr>
        <w:t xml:space="preserve">甲方指定方式</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2.2 交付地点：甲方指定地点</w:t>
      </w:r>
      <w:r>
        <w:rPr>
          <w:rFonts w:hint="eastAsia" w:ascii="仿宋" w:hAnsi="仿宋" w:eastAsia="仿宋" w:cs="仿宋"/>
          <w:sz w:val="24"/>
          <w:szCs w:val="24"/>
          <w:highlight w:val="none"/>
          <w:u w:val="single"/>
        </w:rPr>
      </w:r>
      <w:r/>
    </w:p>
    <w:p>
      <w:pPr>
        <w:pStyle w:val="843"/>
        <w:ind w:firstLine="480"/>
        <w:spacing w:line="44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w:t>
      </w:r>
      <w:r>
        <w:rPr>
          <w:rFonts w:hint="eastAsia" w:ascii="仿宋" w:hAnsi="仿宋" w:eastAsia="仿宋" w:cs="仿宋"/>
          <w:sz w:val="24"/>
          <w:szCs w:val="24"/>
          <w:highlight w:val="none"/>
        </w:rPr>
        <w:t xml:space="preserve">项目初验前，乙方应当提供不少于8名相关业务领域工程师全天候驻场开发服务。初验后至交付期间，甲方根据项目实施情况提出驻场人员要求。</w:t>
      </w:r>
      <w:r>
        <w:rPr>
          <w:rFonts w:hint="eastAsia" w:ascii="仿宋" w:hAnsi="仿宋" w:eastAsia="仿宋" w:cs="仿宋"/>
          <w:sz w:val="24"/>
          <w:szCs w:val="24"/>
          <w:highlight w:val="none"/>
          <w:u w:val="single"/>
        </w:rPr>
      </w:r>
      <w:r/>
    </w:p>
    <w:p>
      <w:pPr>
        <w:pStyle w:val="846"/>
        <w:ind w:firstLine="482"/>
        <w:keepLines w:val="0"/>
        <w:keepNext w:val="0"/>
        <w:spacing w:line="440" w:lineRule="exact"/>
        <w:rPr>
          <w:rFonts w:hint="eastAsia" w:ascii="仿宋" w:hAnsi="仿宋" w:eastAsia="仿宋" w:cs="仿宋"/>
          <w:sz w:val="24"/>
          <w:szCs w:val="24"/>
          <w:highlight w:val="none"/>
        </w:rPr>
      </w:pPr>
      <w:r/>
      <w:bookmarkStart w:id="330" w:name="_Toc6847"/>
      <w:r/>
      <w:bookmarkStart w:id="331" w:name="_Toc4405"/>
      <w:r/>
      <w:bookmarkStart w:id="332" w:name="_Toc3520"/>
      <w:r/>
      <w:bookmarkStart w:id="333" w:name="_Toc4068"/>
      <w:r/>
      <w:bookmarkStart w:id="334" w:name="_Toc17585"/>
      <w:r/>
      <w:bookmarkStart w:id="335" w:name="_Toc256000090"/>
      <w:r/>
      <w:bookmarkStart w:id="336" w:name="_Toc171441166"/>
      <w:r/>
      <w:bookmarkStart w:id="337" w:name="_Toc256000046"/>
      <w:r>
        <w:rPr>
          <w:rFonts w:hint="eastAsia" w:ascii="仿宋" w:hAnsi="仿宋" w:eastAsia="仿宋" w:cs="仿宋"/>
          <w:sz w:val="24"/>
          <w:szCs w:val="24"/>
          <w:highlight w:val="none"/>
        </w:rPr>
        <w:t xml:space="preserve">（七）项目验收</w:t>
      </w:r>
      <w:bookmarkEnd w:id="330"/>
      <w:r/>
      <w:bookmarkEnd w:id="331"/>
      <w:r/>
      <w:bookmarkEnd w:id="332"/>
      <w:r/>
      <w:bookmarkEnd w:id="333"/>
      <w:r/>
      <w:bookmarkEnd w:id="334"/>
      <w:r/>
      <w:bookmarkEnd w:id="335"/>
      <w:r/>
      <w:bookmarkEnd w:id="336"/>
      <w:r/>
      <w:bookmarkEnd w:id="337"/>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所提供项目服务质量必须符合国家相关标准且必须满足本次采购的要求，如有不合格，造成的损失和后果由该投标人负全责。符合项目验收标准后，采购人根据技术要求，组织验收并出具验收书。</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1）基础软件部署和需求确认</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基础软件部署</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中标供应商应在招标人规定的时限内在招标人指定的环境完成基础软件部署工作。中标供应商向招标人提出基础软件部署完成确认申请，由招标人进行确认。待确认通过，即为完成基础软件部署。</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需求确认</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中标供应商应在招标人规定的时限内完成需求确认工作。中标供应商向招标人提交《需求规格说明书》，由招标人审核，审核通过即为完成需求确认。</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2）初验验收</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初验验收内容为软件、文档和数据。</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中标供应商根据项目完成情况向招标人提出书面初验验收申请，并提交系统详细建设方案、变更清单、自测测试报告（包含功能与性能），自测测试用例。</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软件部分中标供应商应先完成自测，自测完成后需提交招标人组织项目初验。招标人应在收到中标供应商提交的验收申请后7个工作日内组织验收。招标人盖章后通过初验。</w:t>
      </w: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43"/>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文档部分验收需点验如下文档</w:t>
      </w:r>
      <w:r>
        <w:rPr>
          <w:rFonts w:hint="eastAsia" w:ascii="仿宋" w:hAnsi="仿宋" w:eastAsia="仿宋" w:cs="仿宋"/>
          <w:sz w:val="24"/>
          <w:szCs w:val="24"/>
          <w:highlight w:val="none"/>
        </w:rPr>
      </w:r>
      <w:r/>
    </w:p>
    <w:tbl>
      <w:tblPr>
        <w:tblW w:w="87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44" w:type="dxa"/>
          <w:top w:w="15" w:type="dxa"/>
          <w:right w:w="44" w:type="dxa"/>
          <w:bottom w:w="0" w:type="dxa"/>
        </w:tblCellMar>
        <w:tblLook w:val="04A0" w:firstRow="1" w:lastRow="0" w:firstColumn="1" w:lastColumn="0" w:noHBand="0" w:noVBand="1"/>
      </w:tblPr>
      <w:tblGrid>
        <w:gridCol w:w="905"/>
        <w:gridCol w:w="2988"/>
        <w:gridCol w:w="4884"/>
      </w:tblGrid>
      <w:tr>
        <w:trPr>
          <w:trHeight w:val="340"/>
          <w:tblHeader/>
        </w:trPr>
        <w:tc>
          <w:tcPr>
            <w:shd w:val="clear" w:color="auto" w:fill="d9d9d9"/>
            <w:tcW w:w="905" w:type="dxa"/>
            <w:vAlign w:val="center"/>
            <w:textDirection w:val="lrTb"/>
            <w:noWrap w:val="false"/>
          </w:tcPr>
          <w:p>
            <w:pPr>
              <w:pStyle w:val="843"/>
              <w:jc w:val="center"/>
              <w:spacing w:line="3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序号</w:t>
            </w:r>
            <w:r>
              <w:rPr>
                <w:rFonts w:hint="eastAsia" w:ascii="仿宋" w:hAnsi="仿宋" w:eastAsia="仿宋" w:cs="仿宋"/>
                <w:bCs/>
                <w:sz w:val="24"/>
                <w:szCs w:val="24"/>
                <w:highlight w:val="none"/>
              </w:rPr>
            </w:r>
            <w:r/>
          </w:p>
        </w:tc>
        <w:tc>
          <w:tcPr>
            <w:shd w:val="clear" w:color="auto" w:fill="d9d9d9"/>
            <w:tcMar>
              <w:left w:w="44" w:type="dxa"/>
              <w:top w:w="15" w:type="dxa"/>
              <w:right w:w="44" w:type="dxa"/>
              <w:bottom w:w="0" w:type="dxa"/>
            </w:tcMar>
            <w:tcW w:w="2988" w:type="dxa"/>
            <w:vAlign w:val="center"/>
            <w:textDirection w:val="lrTb"/>
            <w:noWrap w:val="false"/>
          </w:tcPr>
          <w:p>
            <w:pPr>
              <w:pStyle w:val="843"/>
              <w:jc w:val="center"/>
              <w:spacing w:line="3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交付物</w:t>
            </w:r>
            <w:r>
              <w:rPr>
                <w:rFonts w:hint="eastAsia" w:ascii="仿宋" w:hAnsi="仿宋" w:eastAsia="仿宋" w:cs="仿宋"/>
                <w:bCs/>
                <w:sz w:val="24"/>
                <w:szCs w:val="24"/>
                <w:highlight w:val="none"/>
              </w:rPr>
            </w:r>
            <w:r/>
          </w:p>
        </w:tc>
        <w:tc>
          <w:tcPr>
            <w:shd w:val="clear" w:color="auto" w:fill="d9d9d9"/>
            <w:tcMar>
              <w:left w:w="44" w:type="dxa"/>
              <w:top w:w="15" w:type="dxa"/>
              <w:right w:w="44" w:type="dxa"/>
              <w:bottom w:w="0" w:type="dxa"/>
            </w:tcMar>
            <w:tcW w:w="4884" w:type="dxa"/>
            <w:vAlign w:val="center"/>
            <w:textDirection w:val="lrTb"/>
            <w:noWrap w:val="false"/>
          </w:tcPr>
          <w:p>
            <w:pPr>
              <w:pStyle w:val="843"/>
              <w:jc w:val="center"/>
              <w:spacing w:line="3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验收结果</w:t>
            </w:r>
            <w:r>
              <w:rPr>
                <w:rFonts w:hint="eastAsia" w:ascii="仿宋" w:hAnsi="仿宋" w:eastAsia="仿宋" w:cs="仿宋"/>
                <w:bCs/>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成交确认函</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项目合同</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项目进度计划</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项目质量保证计划</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初步设计方案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ind w:firstLine="240"/>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实施方案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需求调研方案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需求评审记录</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需求规格说明书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概要设计说明书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详细设计说明书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数据库设计说明书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系统接口说明书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系统编码规范</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测试大纲</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阶段性测试方案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测试用例</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回归测试报告</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系统上线部署方案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系统安装配置手册</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软件安装说明书</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用户手册</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运行维护服务方案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处理突发事件应急预案</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系统实施总结报告 </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变更申请表 </w:t>
            </w:r>
            <w:r>
              <w:rPr>
                <w:rFonts w:hint="eastAsia" w:ascii="仿宋" w:hAnsi="仿宋" w:eastAsia="仿宋" w:cs="仿宋"/>
                <w:sz w:val="24"/>
                <w:szCs w:val="24"/>
                <w:highlight w:val="none"/>
              </w:rPr>
            </w:r>
            <w:r/>
          </w:p>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项目周工作进度报告 </w:t>
            </w:r>
            <w:r>
              <w:rPr>
                <w:rFonts w:hint="eastAsia" w:ascii="仿宋" w:hAnsi="仿宋" w:eastAsia="仿宋" w:cs="仿宋"/>
                <w:sz w:val="24"/>
                <w:szCs w:val="24"/>
                <w:highlight w:val="none"/>
              </w:rPr>
            </w:r>
            <w:r/>
          </w:p>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项目月工作进度报告 </w:t>
            </w:r>
            <w:r>
              <w:rPr>
                <w:rFonts w:hint="eastAsia" w:ascii="仿宋" w:hAnsi="仿宋" w:eastAsia="仿宋" w:cs="仿宋"/>
                <w:sz w:val="24"/>
                <w:szCs w:val="24"/>
                <w:highlight w:val="none"/>
              </w:rPr>
            </w:r>
            <w:r/>
          </w:p>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会议纪要报告 </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r>
        <w:trPr>
          <w:trHeight w:val="340"/>
        </w:trPr>
        <w:tc>
          <w:tcPr>
            <w:tcW w:w="905" w:type="dxa"/>
            <w:vAlign w:val="center"/>
            <w:textDirection w:val="lrTb"/>
            <w:noWrap w:val="false"/>
          </w:tcPr>
          <w:p>
            <w:pPr>
              <w:pStyle w:val="84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w:t>
            </w:r>
            <w:r>
              <w:rPr>
                <w:rFonts w:hint="eastAsia" w:ascii="仿宋" w:hAnsi="仿宋" w:eastAsia="仿宋" w:cs="仿宋"/>
                <w:sz w:val="24"/>
                <w:szCs w:val="24"/>
                <w:highlight w:val="none"/>
              </w:rPr>
            </w:r>
            <w:r/>
          </w:p>
        </w:tc>
        <w:tc>
          <w:tcPr>
            <w:tcMar>
              <w:left w:w="44" w:type="dxa"/>
              <w:top w:w="15" w:type="dxa"/>
              <w:right w:w="44" w:type="dxa"/>
              <w:bottom w:w="0" w:type="dxa"/>
            </w:tcMar>
            <w:tcW w:w="2988"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初验验收申请</w:t>
            </w:r>
            <w:r>
              <w:rPr>
                <w:rFonts w:hint="eastAsia" w:ascii="仿宋" w:hAnsi="仿宋" w:eastAsia="仿宋" w:cs="仿宋"/>
                <w:sz w:val="24"/>
                <w:szCs w:val="24"/>
                <w:highlight w:val="none"/>
              </w:rPr>
            </w:r>
            <w:r/>
          </w:p>
        </w:tc>
        <w:tc>
          <w:tcPr>
            <w:tcMar>
              <w:left w:w="44" w:type="dxa"/>
              <w:top w:w="15" w:type="dxa"/>
              <w:right w:w="44" w:type="dxa"/>
              <w:bottom w:w="0" w:type="dxa"/>
            </w:tcMar>
            <w:tcW w:w="4884" w:type="dxa"/>
            <w:vAlign w:val="center"/>
            <w:textDirection w:val="lrTb"/>
            <w:noWrap w:val="false"/>
          </w:tcPr>
          <w:p>
            <w:pPr>
              <w:pStyle w:val="843"/>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 通过  □ 不通过</w:t>
            </w:r>
            <w:r>
              <w:rPr>
                <w:rFonts w:hint="eastAsia" w:ascii="仿宋" w:hAnsi="仿宋" w:eastAsia="仿宋" w:cs="仿宋"/>
                <w:sz w:val="24"/>
                <w:szCs w:val="24"/>
                <w:highlight w:val="none"/>
              </w:rPr>
            </w:r>
            <w:r/>
          </w:p>
        </w:tc>
      </w:tr>
    </w:tbl>
    <w:p>
      <w:pPr>
        <w:pStyle w:val="843"/>
        <w:ind w:firstLine="482"/>
        <w:spacing w:line="48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初验验收不合格的处置方法</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843"/>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对于验收中发现的系统存在的不符合本合同约定或甲方需求之问题，乙方负责修改完善，提交甲方审核，通过后由甲方组织再次对系统功能进行验收，直至验收合格。</w:t>
      </w:r>
      <w:r>
        <w:rPr>
          <w:rFonts w:hint="eastAsia" w:ascii="仿宋" w:hAnsi="仿宋" w:eastAsia="仿宋" w:cs="仿宋"/>
          <w:sz w:val="24"/>
          <w:szCs w:val="24"/>
          <w:highlight w:val="none"/>
        </w:rPr>
      </w:r>
      <w:r/>
    </w:p>
    <w:p>
      <w:pPr>
        <w:pStyle w:val="843"/>
        <w:ind w:left="641" w:hanging="40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3）终验验收</w:t>
      </w:r>
      <w:r>
        <w:rPr>
          <w:rFonts w:hint="eastAsia" w:ascii="仿宋" w:hAnsi="仿宋" w:eastAsia="仿宋" w:cs="仿宋"/>
          <w:b/>
          <w:bCs/>
          <w:sz w:val="24"/>
          <w:szCs w:val="24"/>
          <w:highlight w:val="none"/>
        </w:rPr>
      </w:r>
      <w:r/>
    </w:p>
    <w:p>
      <w:pPr>
        <w:pStyle w:val="843"/>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终验验收启动条件</w:t>
      </w:r>
      <w:r>
        <w:rPr>
          <w:rFonts w:hint="eastAsia" w:ascii="仿宋" w:hAnsi="仿宋" w:eastAsia="仿宋" w:cs="仿宋"/>
          <w:b/>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项目初验完成后三个月内甲方组织进行终验，未出现故障或问题，或故障问题已排除的，由乙方提出终验申请，甲方应在收到乙方提交的终验申请后20个工作日内组织验收。</w:t>
      </w:r>
      <w:r>
        <w:rPr>
          <w:rFonts w:hint="eastAsia" w:ascii="仿宋" w:hAnsi="仿宋" w:eastAsia="仿宋" w:cs="仿宋"/>
          <w:sz w:val="24"/>
          <w:szCs w:val="24"/>
          <w:highlight w:val="none"/>
        </w:rPr>
      </w:r>
      <w:r/>
    </w:p>
    <w:p>
      <w:pPr>
        <w:pStyle w:val="843"/>
        <w:ind w:firstLine="482"/>
        <w:spacing w:line="4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终验验收方法</w:t>
      </w:r>
      <w:r>
        <w:rPr>
          <w:rFonts w:hint="eastAsia" w:ascii="仿宋" w:hAnsi="仿宋" w:eastAsia="仿宋" w:cs="仿宋"/>
          <w:b/>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甲方依据合同约定，组织终验，验收通过后，甲方应向乙方开具终验验收报告（盖章）。</w:t>
      </w:r>
      <w:r>
        <w:rPr>
          <w:rFonts w:hint="eastAsia" w:ascii="仿宋" w:hAnsi="仿宋" w:eastAsia="仿宋" w:cs="仿宋"/>
          <w:sz w:val="24"/>
          <w:szCs w:val="24"/>
          <w:highlight w:val="none"/>
        </w:rPr>
      </w:r>
      <w:r/>
    </w:p>
    <w:p>
      <w:pPr>
        <w:pStyle w:val="843"/>
        <w:ind w:firstLine="482"/>
        <w:spacing w:line="4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终验验收不合格的处置方法：</w:t>
      </w:r>
      <w:r>
        <w:rPr>
          <w:rFonts w:hint="eastAsia" w:ascii="仿宋" w:hAnsi="仿宋" w:eastAsia="仿宋" w:cs="仿宋"/>
          <w:b/>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对于试运行中发现的各专项系统无法满足合同约定或甲方需求之问题，乙方负责进行修改完善，在甲方（建设单位）指定的时间内完成修改，并进行终验验收。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b/>
          <w:bCs/>
          <w:sz w:val="24"/>
          <w:szCs w:val="24"/>
          <w:highlight w:val="none"/>
        </w:rPr>
      </w:pPr>
      <w:r/>
      <w:bookmarkStart w:id="338" w:name="_Toc16518"/>
      <w:r/>
      <w:bookmarkStart w:id="339" w:name="_Toc2754"/>
      <w:r/>
      <w:bookmarkStart w:id="340" w:name="_Toc1163"/>
      <w:r/>
      <w:bookmarkStart w:id="341" w:name="_Toc30088"/>
      <w:r/>
      <w:bookmarkStart w:id="342" w:name="_Toc8007"/>
      <w:r>
        <w:rPr>
          <w:rFonts w:hint="eastAsia" w:ascii="仿宋" w:hAnsi="仿宋" w:eastAsia="仿宋" w:cs="仿宋"/>
          <w:sz w:val="24"/>
          <w:szCs w:val="24"/>
          <w:highlight w:val="none"/>
        </w:rPr>
        <w:t xml:space="preserve">4</w:t>
      </w:r>
      <w:r>
        <w:rPr>
          <w:rFonts w:hint="eastAsia" w:ascii="仿宋" w:hAnsi="仿宋" w:eastAsia="仿宋" w:cs="仿宋"/>
          <w:b/>
          <w:bCs/>
          <w:sz w:val="24"/>
          <w:szCs w:val="24"/>
          <w:highlight w:val="none"/>
        </w:rPr>
        <w:t xml:space="preserve">）其他内容</w:t>
      </w:r>
      <w:r>
        <w:rPr>
          <w:rFonts w:hint="eastAsia" w:ascii="仿宋" w:hAnsi="仿宋" w:eastAsia="仿宋" w:cs="仿宋"/>
          <w:b/>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项目终验前，乙方必须通过等保测评、商用密码应用安全评估、数据安全风险评估及信息安全风险评估并提供相关测评报告。</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项目终验前，乙方需配合甲方通过市有关部门组织的项目档案验收。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因乙方原因导致验收不合格引发的延期及增加费用，由乙方自行承担。</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除在规定时间内按照合同的要求完成服务内容外，还应做好项目档案管理（包括但不限于建档、归档工作），并向甲方提供完整的电子档案和纸质档案，并列出档案清单，作为甲方验收和使用的技术条件依据。</w:t>
      </w:r>
      <w:r>
        <w:rPr>
          <w:rFonts w:hint="eastAsia" w:ascii="仿宋" w:hAnsi="仿宋" w:eastAsia="仿宋" w:cs="仿宋"/>
          <w:sz w:val="24"/>
          <w:szCs w:val="24"/>
          <w:highlight w:val="none"/>
        </w:rPr>
      </w:r>
      <w:r/>
    </w:p>
    <w:p>
      <w:pPr>
        <w:pStyle w:val="846"/>
        <w:ind w:firstLine="482"/>
        <w:keepLines w:val="0"/>
        <w:spacing w:line="460" w:lineRule="exact"/>
        <w:rPr>
          <w:rFonts w:hint="eastAsia" w:ascii="仿宋" w:hAnsi="仿宋" w:eastAsia="仿宋" w:cs="仿宋"/>
          <w:sz w:val="24"/>
          <w:szCs w:val="24"/>
          <w:highlight w:val="none"/>
        </w:rPr>
      </w:pPr>
      <w:r/>
      <w:bookmarkStart w:id="343" w:name="_Toc256000091"/>
      <w:r/>
      <w:bookmarkStart w:id="344" w:name="_Toc171441167"/>
      <w:r/>
      <w:bookmarkStart w:id="345" w:name="_Toc256000047"/>
      <w:r>
        <w:rPr>
          <w:rFonts w:hint="eastAsia" w:ascii="仿宋" w:hAnsi="仿宋" w:eastAsia="仿宋" w:cs="仿宋"/>
          <w:sz w:val="24"/>
          <w:szCs w:val="24"/>
          <w:highlight w:val="none"/>
        </w:rPr>
        <w:t xml:space="preserve">（八）培训及售后服务</w:t>
      </w:r>
      <w:bookmarkEnd w:id="338"/>
      <w:r/>
      <w:bookmarkEnd w:id="339"/>
      <w:r/>
      <w:bookmarkEnd w:id="340"/>
      <w:r/>
      <w:bookmarkEnd w:id="341"/>
      <w:r/>
      <w:bookmarkEnd w:id="342"/>
      <w:r/>
      <w:bookmarkEnd w:id="343"/>
      <w:r/>
      <w:bookmarkEnd w:id="344"/>
      <w:r/>
      <w:bookmarkEnd w:id="345"/>
      <w:r>
        <w:rPr>
          <w:rFonts w:hint="eastAsia" w:ascii="仿宋" w:hAnsi="仿宋" w:eastAsia="仿宋" w:cs="仿宋"/>
          <w:sz w:val="24"/>
          <w:szCs w:val="24"/>
          <w:highlight w:val="none"/>
        </w:rPr>
      </w:r>
      <w:r/>
    </w:p>
    <w:p>
      <w:pPr>
        <w:pStyle w:val="843"/>
        <w:ind w:firstLine="482"/>
        <w:spacing w:line="4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 培训</w:t>
      </w:r>
      <w:r>
        <w:rPr>
          <w:rFonts w:hint="eastAsia" w:ascii="仿宋" w:hAnsi="仿宋" w:eastAsia="仿宋" w:cs="仿宋"/>
          <w:b/>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乙方应当为甲方提供必要的现场操作培训，协助甲方一起试用一个月，直到符合技术要求，否则甲方有权延迟终验。</w:t>
      </w:r>
      <w:r>
        <w:rPr>
          <w:rFonts w:hint="eastAsia" w:ascii="仿宋" w:hAnsi="仿宋" w:eastAsia="仿宋" w:cs="仿宋"/>
          <w:sz w:val="24"/>
          <w:szCs w:val="24"/>
          <w:highlight w:val="none"/>
        </w:rPr>
      </w:r>
      <w:r/>
    </w:p>
    <w:p>
      <w:pPr>
        <w:pStyle w:val="843"/>
        <w:ind w:firstLine="482"/>
        <w:spacing w:line="4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 售后服务</w:t>
      </w:r>
      <w:r>
        <w:rPr>
          <w:rFonts w:hint="eastAsia" w:ascii="仿宋" w:hAnsi="仿宋" w:eastAsia="仿宋" w:cs="仿宋"/>
          <w:b/>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售后服务：项目通过终验代表系统正式上线，上线后乙方应在本合同约定的售后服务期内，保证合同产品适当、稳定运行，消除合同产品故障，并负责提供合同产品及配套设备的更新维护服务、咨询服务、技术指导以及对出现故障的合同产品及配套设备进行必要的更换服务。</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2.2通过终验项目进入运维期，通过终验日期为运维期起始时间，期限</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rPr>
        <w:t xml:space="preserve">年。运维期内提供的建设内容不另外收取费用。</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 xml:space="preserve">后的运维费用由双方协商，另行解决。</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2.3初验合格后，乙方（中标单位）应当提供7×24小时售后服务，安装、运营、维护以及其他该系统实施和使用中的相关技术服务（相关费用已包含在本项目合同总价中）。</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售后服务内容包括因乙方原因造成的系统缺陷、故障及合理范围内的专项系统功能的部分修改和完善等。甲方因工作需要要求对部分功能作小范围改动时，乙方认可改动在合理范围内的，乙方应给予完成（相关费用已包含在本项目合同总价中）。 </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2.5修理、重做、更换成本过高（费用达到本合同总价款的5%或者耗时超过30天）的，甲方有权解除合同；因此导致合同解除的，甲方退回产品和服务，乙方退还甲方支付的全部款项并赔偿甲方全部损失。</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2.6在运维期内提供的运维人员未经甲方许可，乙方不得自行更换。</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2.7通过终验进入运维期，通过终验日期为运维期起始时间，期限</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rPr>
        <w:t xml:space="preserve">年后的运维期由双方协商，另行解决。在运维期内，乙方保证在出现应用系统故障或网络安全事件时应及时、积极响应。乙方派往现场处理故障的人员，应当在甲方报修后1小时内到达事故现场并开展应急处置。</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2.8乙方在合同服务期内，需配合甲方做好在市级及以上媒体的宣传工作，并完成其他相关材料准备。</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346" w:name="_Toc11617"/>
      <w:r/>
      <w:bookmarkStart w:id="347" w:name="_Toc18576"/>
      <w:r/>
      <w:bookmarkStart w:id="348" w:name="_Toc503"/>
      <w:r/>
      <w:bookmarkStart w:id="349" w:name="_Toc256000048"/>
      <w:r/>
      <w:bookmarkStart w:id="350" w:name="_Toc2865"/>
      <w:r/>
      <w:bookmarkStart w:id="351" w:name="_Toc171441168"/>
      <w:r/>
      <w:bookmarkStart w:id="352" w:name="_Toc256000092"/>
      <w:r>
        <w:rPr>
          <w:rFonts w:hint="eastAsia" w:ascii="仿宋" w:hAnsi="仿宋" w:eastAsia="仿宋" w:cs="仿宋"/>
          <w:bCs/>
          <w:sz w:val="24"/>
          <w:szCs w:val="24"/>
          <w:highlight w:val="none"/>
        </w:rPr>
        <w:t xml:space="preserve">四、售后服务费用</w:t>
      </w:r>
      <w:bookmarkEnd w:id="346"/>
      <w:r/>
      <w:bookmarkEnd w:id="347"/>
      <w:r/>
      <w:bookmarkEnd w:id="348"/>
      <w:r/>
      <w:bookmarkEnd w:id="349"/>
      <w:r/>
      <w:bookmarkEnd w:id="350"/>
      <w:r/>
      <w:bookmarkEnd w:id="351"/>
      <w:r/>
      <w:bookmarkEnd w:id="352"/>
      <w:r>
        <w:rPr>
          <w:rFonts w:hint="eastAsia" w:ascii="仿宋" w:hAnsi="仿宋" w:eastAsia="仿宋" w:cs="仿宋"/>
          <w:bCs/>
          <w:sz w:val="24"/>
          <w:szCs w:val="24"/>
          <w:highlight w:val="none"/>
        </w:rPr>
      </w:r>
      <w:r/>
    </w:p>
    <w:p>
      <w:pPr>
        <w:pStyle w:val="843"/>
        <w:ind w:firstLine="480"/>
        <w:spacing w:line="460" w:lineRule="exact"/>
        <w:rPr>
          <w:rFonts w:hint="eastAsia" w:ascii="仿宋" w:hAnsi="仿宋" w:eastAsia="仿宋" w:cs="仿宋"/>
          <w:sz w:val="24"/>
          <w:szCs w:val="24"/>
          <w:highlight w:val="none"/>
        </w:rPr>
      </w:pPr>
      <w:r/>
      <w:bookmarkStart w:id="353" w:name="_Hlk55395388"/>
      <w:r>
        <w:rPr>
          <w:rFonts w:hint="eastAsia" w:ascii="仿宋" w:hAnsi="仿宋" w:eastAsia="仿宋" w:cs="仿宋"/>
          <w:sz w:val="24"/>
          <w:szCs w:val="24"/>
          <w:highlight w:val="none"/>
        </w:rPr>
        <w:t xml:space="preserve">终验通过后，进入运行维护期，运行维护期为</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 xml:space="preserve">。如果乙方不履行合同约定的售后服务义务或其履行不符合合同的约定，甲方有权扣划相应金额的售后服务费。具体详见违约责任。</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End w:id="353"/>
      <w:r/>
      <w:bookmarkStart w:id="354" w:name="_Toc30626"/>
      <w:r/>
      <w:bookmarkStart w:id="355" w:name="_Toc256000049"/>
      <w:r/>
      <w:bookmarkStart w:id="356" w:name="_Toc6625"/>
      <w:r/>
      <w:bookmarkStart w:id="357" w:name="_Toc256000093"/>
      <w:r/>
      <w:bookmarkStart w:id="358" w:name="_Toc171441169"/>
      <w:r/>
      <w:bookmarkStart w:id="359" w:name="_Toc25019"/>
      <w:r/>
      <w:bookmarkStart w:id="360" w:name="_Toc3196"/>
      <w:r/>
      <w:bookmarkStart w:id="361" w:name="_Toc1748"/>
      <w:r>
        <w:rPr>
          <w:rFonts w:hint="eastAsia" w:ascii="仿宋" w:hAnsi="仿宋" w:eastAsia="仿宋" w:cs="仿宋"/>
          <w:bCs/>
          <w:sz w:val="24"/>
          <w:szCs w:val="24"/>
          <w:highlight w:val="none"/>
        </w:rPr>
        <w:t xml:space="preserve">五、履约保证金</w:t>
      </w:r>
      <w:bookmarkEnd w:id="358"/>
      <w:r>
        <w:rPr>
          <w:rFonts w:hint="eastAsia" w:ascii="仿宋" w:hAnsi="仿宋" w:eastAsia="仿宋" w:cs="仿宋"/>
          <w:bCs/>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收取履约保证金。履约保证金应在采购合同签订前提交，履约保证金的金额：按采购合同总价的2%（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rPr>
          <w:rFonts w:hint="eastAsia" w:ascii="仿宋" w:hAnsi="仿宋" w:eastAsia="仿宋" w:cs="仿宋"/>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履约保证金退还的方式：以银行电汇、网上银行、数字人民币形式缴纳履约保证金的，退回至供应商存款账户或数字人民币账户；以保函、担保、保险等形式缴纳履约保证金的，在保函、担保、保险约定的保证期限届满之日起自行失效；</w:t>
      </w:r>
      <w:r>
        <w:rPr>
          <w:rFonts w:hint="eastAsia" w:ascii="仿宋" w:hAnsi="仿宋" w:eastAsia="仿宋" w:cs="仿宋"/>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3.履约保证金退还的条件：按以下第2种方式实行：</w:t>
      </w:r>
      <w:r>
        <w:rPr>
          <w:rFonts w:hint="eastAsia" w:ascii="仿宋" w:hAnsi="仿宋" w:eastAsia="仿宋" w:cs="仿宋"/>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（1）货物类项目，项目验收合格，出具验收报告及履约保证金收据申请退付；</w:t>
      </w:r>
      <w:r>
        <w:rPr>
          <w:rFonts w:hint="eastAsia" w:ascii="仿宋" w:hAnsi="仿宋" w:eastAsia="仿宋" w:cs="仿宋"/>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（2）服务类项目，项目履约期满评价合格，出具履约评价报告及履约保证金收据申请退付；</w:t>
      </w:r>
      <w:r>
        <w:rPr>
          <w:rFonts w:hint="eastAsia" w:ascii="仿宋" w:hAnsi="仿宋" w:eastAsia="仿宋" w:cs="仿宋"/>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（3）工程类项目，项目完工验收合格，出具完工证明及履约保证金收据申请退付；</w:t>
      </w:r>
      <w:r>
        <w:rPr>
          <w:rFonts w:hint="eastAsia" w:ascii="仿宋" w:hAnsi="仿宋" w:eastAsia="仿宋" w:cs="仿宋"/>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4.履约保证金退还时间：采购单位收到供应商退付申请后5个工作日内退还；</w:t>
      </w:r>
      <w:r>
        <w:rPr>
          <w:rFonts w:hint="eastAsia" w:ascii="仿宋" w:hAnsi="仿宋" w:eastAsia="仿宋" w:cs="仿宋"/>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5.履约保证金不予退还情形：除不可抗力外，供应商不履行与采购人订立的采购合同的，履约保证金不予退还，给采购人造成的损失超过履约保证金数额的，还应当对超过部分予以赔偿；</w:t>
      </w:r>
      <w:r>
        <w:rPr>
          <w:rFonts w:hint="eastAsia" w:ascii="仿宋" w:hAnsi="仿宋" w:eastAsia="仿宋" w:cs="仿宋"/>
          <w:sz w:val="24"/>
          <w:szCs w:val="24"/>
          <w:highlight w:val="none"/>
        </w:rPr>
      </w:r>
      <w:r/>
    </w:p>
    <w:p>
      <w:pPr>
        <w:pStyle w:val="847"/>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6.逾期退还履约保证金的违约责任：除应当退还履约保证金外，还应当按中国人民银行同期贷款基准利率上浮 20％后的利率支付超期资金占用费，但因供应商自身原因导致无法及时退还的除外。</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362" w:name="_Toc171441170"/>
      <w:r>
        <w:rPr>
          <w:rFonts w:hint="eastAsia" w:ascii="仿宋" w:hAnsi="仿宋" w:eastAsia="仿宋" w:cs="仿宋"/>
          <w:sz w:val="24"/>
          <w:szCs w:val="24"/>
          <w:highlight w:val="none"/>
        </w:rPr>
        <w:t xml:space="preserve">五、双方权利与义务</w:t>
      </w:r>
      <w:bookmarkEnd w:id="354"/>
      <w:r/>
      <w:bookmarkEnd w:id="355"/>
      <w:r/>
      <w:bookmarkEnd w:id="356"/>
      <w:r/>
      <w:bookmarkEnd w:id="357"/>
      <w:r/>
      <w:bookmarkEnd w:id="359"/>
      <w:r/>
      <w:bookmarkEnd w:id="360"/>
      <w:r/>
      <w:bookmarkEnd w:id="361"/>
      <w:r/>
      <w:bookmarkEnd w:id="362"/>
      <w:r>
        <w:rPr>
          <w:rFonts w:hint="eastAsia" w:ascii="仿宋" w:hAnsi="仿宋" w:eastAsia="仿宋" w:cs="仿宋"/>
          <w:bCs/>
          <w:sz w:val="24"/>
          <w:szCs w:val="24"/>
          <w:highlight w:val="none"/>
        </w:rPr>
      </w:r>
      <w:r/>
    </w:p>
    <w:p>
      <w:pPr>
        <w:pStyle w:val="843"/>
        <w:ind w:firstLine="482"/>
        <w:spacing w:line="4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 甲方（建设单位）权利与义务</w:t>
      </w:r>
      <w:r>
        <w:rPr>
          <w:rFonts w:hint="eastAsia" w:ascii="仿宋" w:hAnsi="仿宋" w:eastAsia="仿宋" w:cs="仿宋"/>
          <w:b/>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（1）甲方应当根据乙方履行义务的情况，按照合同约定由甲方向乙方支付产品与技术服务费用。</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（2）甲方向乙方送交的所有文件、材料和陈述的内容应合法、真实、有效。</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甲方有权监督乙方履行本合同的全过程，并及时提出建议和改进意见，包括但不限于根据乙方需要，参与项目的相关讨论和调研活动，或给予支持、指导与建议；对乙方的开发进度、费用使用及阶段性成果进行监督、检查；对乙方提交的各类方案、计划、名单及其他文件提出修改意见，乙方应根据甲方的意见改进相关内容。</w:t>
      </w:r>
      <w:r>
        <w:rPr>
          <w:rFonts w:hint="eastAsia" w:ascii="仿宋" w:hAnsi="仿宋" w:eastAsia="仿宋" w:cs="仿宋"/>
          <w:sz w:val="24"/>
          <w:szCs w:val="24"/>
          <w:highlight w:val="none"/>
        </w:rPr>
      </w:r>
      <w:r/>
    </w:p>
    <w:p>
      <w:pPr>
        <w:pStyle w:val="843"/>
        <w:ind w:firstLine="482"/>
        <w:spacing w:line="4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 乙方权利与义务</w:t>
      </w:r>
      <w:r>
        <w:rPr>
          <w:rFonts w:hint="eastAsia" w:ascii="仿宋" w:hAnsi="仿宋" w:eastAsia="仿宋" w:cs="仿宋"/>
          <w:b/>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（1）乙方在充分履行合同义务的前提下，有权要求甲方按照约定向其支付产品与服务费用。</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（2）乙方在项目实施过程中，应该按要求向甲方提供相关文档，并配合甲方对项目进行验收。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（3）乙方应积极配合甲方及其委托监理单位、软件第三方测评单位的管理，严格按照监理制度及有关要求实施项目，积极落实甲方和监理单位、软件第三方测评单位提出的整改要求。</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（4）乙方负责提供</w:t>
      </w:r>
      <w:r>
        <w:rPr>
          <w:rFonts w:hint="eastAsia" w:ascii="仿宋" w:hAnsi="仿宋" w:eastAsia="仿宋" w:cs="仿宋"/>
          <w:sz w:val="24"/>
          <w:szCs w:val="24"/>
          <w:highlight w:val="none"/>
          <w:lang w:eastAsia="zh-CN"/>
        </w:rPr>
        <w:t xml:space="preserve">泗洪县</w:t>
      </w:r>
      <w:r>
        <w:rPr>
          <w:rFonts w:hint="eastAsia" w:ascii="仿宋" w:hAnsi="仿宋" w:eastAsia="仿宋" w:cs="仿宋"/>
          <w:sz w:val="24"/>
          <w:szCs w:val="24"/>
          <w:highlight w:val="none"/>
        </w:rPr>
        <w:t xml:space="preserve">城市生命线安全监管平台侧的开发工作。针对企业侧数据，凡在江苏省级传感监测设备应用推广产品目录内监测设备的监测数据，需要应接尽接，不得要求企业使用特定监测设备及相关产品，不得另外收取任何形式费用。</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（5）乙方应当具备与其从事的系统开发／维护等工作相适应的专业知识和技术能力以及从事该项工作的人员。法律法规要求从业人员须具有相关资格证书的，乙方应保证符合相关法律法规的规定。</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乙方应投入足够的人力和物力，在约定的期限内负责详细需求调查、设计、开发、安装、调试等，保证按照甲方提出的各项技术指标、要求按时、按质地完成工作任务。在系统／软件开发／维护等工作完成后，将项目成果以及相关的技术文件完整地交给甲方。</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乙方明确，乙方人员并非甲方之雇员，乙方有义务为乙方人员支付工资、办理保险并保障其人身安全。若于本合同期限内，非因甲方直接故意的原因造成乙方人员人身伤害、财产损失的，应由乙方自行承担并妥善解决，甲方对此不承担任何责任。项目驻场期间，驻场人员产生的用餐、住宿、交通等相关费用由乙方自理。</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乙方在履行合同过程中，按甲方要求如实向甲方汇报进展情况，内容包括项目进度或里程碑计划执行情况、已完成的系统开发项目、有无遇到的困难和障碍、本项目的预期效果、人员配置情况、有无项目变更及变更情况或其它与本项目有关的甲方应该知道或甲方要求知道的情况。如遇突发或紧急情况，应及时向甲方报告；如有重大的问题或重要的变更发生，乙方应当在变更发生之日起5个工作日内向甲方做出书面报告。甲方在收到乙方进展情况后，可提出意见，乙方应按照甲方提出的异议和改进意见就本合同的履行情况进行改进和完善。</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（9）确保项目实施过程中无违法违规行为，不侵犯甲方及任何第三方的知识产权，交付成果不违反国家法律法规的相关规定。</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（10）乙方应严格履行本合同第七条约定的保密义务，包括但不限于未经甲方书面同意，乙方在履行本合同过程中及履行结束后均不得将甲方提供的资料以任何形式泄露给第三方。</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（11）乙方应当根据其向甲方提交的培训计划或方案，对甲方人员进行系统的操作培训，对常见问题分析及处理方法进行培训，并接受甲方人员的咨询。</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363" w:name="_Toc12314"/>
      <w:r/>
      <w:bookmarkStart w:id="364" w:name="_Toc256000050"/>
      <w:r/>
      <w:bookmarkStart w:id="365" w:name="_Toc171441171"/>
      <w:r/>
      <w:bookmarkStart w:id="366" w:name="_Toc7827"/>
      <w:r/>
      <w:bookmarkStart w:id="367" w:name="_Toc25479"/>
      <w:r/>
      <w:bookmarkStart w:id="368" w:name="_Toc256000094"/>
      <w:r/>
      <w:bookmarkStart w:id="369" w:name="_Toc27170"/>
      <w:r/>
      <w:bookmarkStart w:id="370" w:name="_Toc21653"/>
      <w:r>
        <w:rPr>
          <w:rFonts w:hint="eastAsia" w:ascii="仿宋" w:hAnsi="仿宋" w:eastAsia="仿宋" w:cs="仿宋"/>
          <w:sz w:val="24"/>
          <w:szCs w:val="24"/>
          <w:highlight w:val="none"/>
        </w:rPr>
        <w:t xml:space="preserve">六、保密义务</w:t>
      </w:r>
      <w:bookmarkEnd w:id="363"/>
      <w:r/>
      <w:bookmarkEnd w:id="364"/>
      <w:r/>
      <w:bookmarkEnd w:id="365"/>
      <w:r/>
      <w:bookmarkEnd w:id="366"/>
      <w:r/>
      <w:bookmarkEnd w:id="367"/>
      <w:r/>
      <w:bookmarkEnd w:id="368"/>
      <w:r/>
      <w:bookmarkEnd w:id="369"/>
      <w:r/>
      <w:bookmarkEnd w:id="370"/>
      <w:r>
        <w:rPr>
          <w:rFonts w:hint="eastAsia" w:ascii="仿宋" w:hAnsi="仿宋" w:eastAsia="仿宋" w:cs="仿宋"/>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一方（接收方）确认并同意，应当对本合同的内容、因履行本合同或在本合同期间接触或知悉的另一方（披露方）保密信息予以保密。未经披露方书面许可，不得为本合同以外的任何其他目的自行使用、向他人披露或者允许他人使用该保密信息的全部或部分。</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接收方可仅为本合同目的向其确有知悉必要的员工披露方提供的保密资料，但同时须指示其员工遵守本条规定的保密及不披露义务。接收方应仅为本合同目的而复制和使用保密资料。</w:t>
      </w:r>
      <w:r>
        <w:rPr>
          <w:rFonts w:hint="eastAsia" w:ascii="仿宋" w:hAnsi="仿宋" w:eastAsia="仿宋" w:cs="仿宋"/>
          <w:sz w:val="24"/>
          <w:szCs w:val="24"/>
          <w:highlight w:val="none"/>
          <w:lang w:val="zh-CN"/>
        </w:rPr>
        <w:t xml:space="preserve">同时，</w:t>
      </w:r>
      <w:r>
        <w:rPr>
          <w:rFonts w:hint="eastAsia" w:ascii="仿宋" w:hAnsi="仿宋" w:eastAsia="仿宋" w:cs="仿宋"/>
          <w:sz w:val="24"/>
          <w:szCs w:val="24"/>
          <w:highlight w:val="none"/>
        </w:rPr>
        <w:t xml:space="preserve">乙方</w:t>
      </w:r>
      <w:r>
        <w:rPr>
          <w:rFonts w:hint="eastAsia" w:ascii="仿宋" w:hAnsi="仿宋" w:eastAsia="仿宋" w:cs="仿宋"/>
          <w:sz w:val="24"/>
          <w:szCs w:val="24"/>
          <w:highlight w:val="none"/>
          <w:lang w:val="zh-CN"/>
        </w:rPr>
        <w:t xml:space="preserve">驻场人员及与本项目有关的工作人员应签订保密承诺书，承诺内容需得到</w:t>
      </w: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lang w:val="zh-CN"/>
        </w:rPr>
        <w:t xml:space="preserve">认可，乙方除留存壹份存档外还应将相关工作人员签订的保密承诺书提供壹份给甲方作为本合同的有效组成部分。</w:t>
      </w:r>
      <w:r>
        <w:rPr>
          <w:rFonts w:hint="eastAsia" w:ascii="仿宋" w:hAnsi="仿宋" w:eastAsia="仿宋" w:cs="仿宋"/>
          <w:sz w:val="24"/>
          <w:szCs w:val="24"/>
          <w:highlight w:val="none"/>
        </w:rPr>
        <w:t xml:space="preserve">若乙方驻场服务人员</w:t>
      </w:r>
      <w:r>
        <w:rPr>
          <w:rFonts w:hint="eastAsia" w:ascii="仿宋" w:hAnsi="仿宋" w:eastAsia="仿宋" w:cs="仿宋"/>
          <w:sz w:val="24"/>
          <w:szCs w:val="24"/>
          <w:highlight w:val="none"/>
          <w:lang w:val="zh-CN"/>
        </w:rPr>
        <w:t xml:space="preserve">及与本项目有关的其他工作人员发生调整，</w:t>
      </w:r>
      <w:r>
        <w:rPr>
          <w:rFonts w:hint="eastAsia" w:ascii="仿宋" w:hAnsi="仿宋" w:eastAsia="仿宋" w:cs="仿宋"/>
          <w:sz w:val="24"/>
          <w:szCs w:val="24"/>
          <w:highlight w:val="none"/>
        </w:rPr>
        <w:t xml:space="preserve">乙方应将变动调整情况及时告知甲方，并保证</w:t>
      </w:r>
      <w:r>
        <w:rPr>
          <w:rFonts w:hint="eastAsia" w:ascii="仿宋" w:hAnsi="仿宋" w:eastAsia="仿宋" w:cs="仿宋"/>
          <w:sz w:val="24"/>
          <w:szCs w:val="24"/>
          <w:highlight w:val="none"/>
          <w:lang w:val="zh-CN"/>
        </w:rPr>
        <w:t xml:space="preserve">上述人员仍应履行保密义务。</w:t>
      </w:r>
      <w:r>
        <w:rPr>
          <w:rFonts w:hint="eastAsia" w:ascii="仿宋" w:hAnsi="仿宋" w:eastAsia="仿宋" w:cs="仿宋"/>
          <w:sz w:val="24"/>
          <w:szCs w:val="24"/>
          <w:highlight w:val="none"/>
        </w:rPr>
        <w:t xml:space="preserve">因乙方及其人员（含离职人员）泄密给甲方造成的损失，均由乙方承担所有赔偿及连带责任。</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本合同保密范围包括但不限于</w:t>
      </w:r>
      <w:r>
        <w:rPr>
          <w:rFonts w:hint="eastAsia" w:ascii="仿宋" w:hAnsi="仿宋" w:eastAsia="仿宋" w:cs="仿宋"/>
          <w:sz w:val="24"/>
          <w:szCs w:val="24"/>
          <w:highlight w:val="none"/>
          <w:lang w:eastAsia="zh-CN"/>
        </w:rPr>
        <w:t xml:space="preserve">泗洪县</w:t>
      </w:r>
      <w:r>
        <w:rPr>
          <w:rFonts w:hint="eastAsia" w:ascii="仿宋" w:hAnsi="仿宋" w:eastAsia="仿宋" w:cs="仿宋"/>
          <w:sz w:val="24"/>
          <w:szCs w:val="24"/>
          <w:highlight w:val="none"/>
        </w:rPr>
        <w:t xml:space="preserve">各委办局的具有保密性质的信息、文件和资料，无论其表现形式如何，也无论通过何种方式取得，包括但不限于：</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本合同全部条款或因履行本合同或在本合同履行期间获得的或收到的具有保密性质的信息、文件和资料。</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接收方受托工作中涉及的一切不对外公开或者没有对外公开的信息。</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本合同有效期届满或终止后，或披露方另有要求的，接收方应当立即归还或销毁、删除由其制作、控制或持有的含有保密信息的资料，包括但不限于各种形式的文本、文件、电子数据以及以其它任何形式记载、复制或者存储保密信息的载体，包括但不限于一方从另一方直接或间接获取的，制作、以其名义制作、由其委托制作的或者因其他方式由其控制、持有的含保密信息的资料。</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 本条规定自接收方接触到本合同所称保密信息之日起即应履行，并且不受本合同届满、提前终止或本合同中其他条款的无效或履行完毕等情形的影响。如在此期限内因接收方之外的原因致使保密信息泄露或进入公共领域，则接收方对该信息的保密责任在泄露或公开之日起终止。</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 如接收方违反上述保密规定，由此引起的一切责任由接收方承担。</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371" w:name="_Toc256000095"/>
      <w:r/>
      <w:bookmarkStart w:id="372" w:name="_Toc445"/>
      <w:r/>
      <w:bookmarkStart w:id="373" w:name="_Toc8759"/>
      <w:r/>
      <w:bookmarkStart w:id="374" w:name="_Toc17436"/>
      <w:r/>
      <w:bookmarkStart w:id="375" w:name="_Toc256000051"/>
      <w:r/>
      <w:bookmarkStart w:id="376" w:name="_Toc29993"/>
      <w:r/>
      <w:bookmarkStart w:id="377" w:name="_Toc14535"/>
      <w:r/>
      <w:bookmarkStart w:id="378" w:name="_Toc171441172"/>
      <w:r>
        <w:rPr>
          <w:rFonts w:hint="eastAsia" w:ascii="仿宋" w:hAnsi="仿宋" w:eastAsia="仿宋" w:cs="仿宋"/>
          <w:sz w:val="24"/>
          <w:szCs w:val="24"/>
          <w:highlight w:val="none"/>
        </w:rPr>
        <w:t xml:space="preserve">七、知识产权</w:t>
      </w:r>
      <w:bookmarkEnd w:id="371"/>
      <w:r/>
      <w:bookmarkEnd w:id="372"/>
      <w:r/>
      <w:bookmarkEnd w:id="373"/>
      <w:r/>
      <w:bookmarkEnd w:id="374"/>
      <w:r/>
      <w:bookmarkEnd w:id="375"/>
      <w:r/>
      <w:bookmarkEnd w:id="376"/>
      <w:r/>
      <w:bookmarkEnd w:id="377"/>
      <w:r/>
      <w:bookmarkEnd w:id="378"/>
      <w:r>
        <w:rPr>
          <w:rFonts w:hint="eastAsia" w:ascii="仿宋" w:hAnsi="仿宋" w:eastAsia="仿宋" w:cs="仿宋"/>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技术开发成果的知识产权归属</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乙方按本合同要求为本项目开发的系统所有权归甲方，其中为本项目定制开发的相关技术开发成果的知识产权由甲方享有。甲方享有包括但不限于该系统的著作权、署名权、发表权、发行权、出租权、许可权、转让权、使用权、修改权、信息网络传播权、翻译权和复制权及其它从第三方机构或个人获取经济利益的权利，但一方将此合同项下开发的技术成果用于本合同外其它用途需提前征得另一方同意。</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乙方只能将甲方提供的数据及流程，用于此软件系统的设计、开发、测试和使用，不得用于其它任何用途。</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 乙方在开发软件系统的过程中，不得有侵犯他人知识产权的行为，否则，应对外承担全部侵权责任。</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乙方保证乙方交付</w:t>
      </w:r>
      <w:r>
        <w:rPr>
          <w:rFonts w:hint="eastAsia" w:ascii="仿宋" w:hAnsi="仿宋" w:eastAsia="仿宋" w:cs="仿宋"/>
          <w:sz w:val="24"/>
          <w:szCs w:val="24"/>
          <w:highlight w:val="none"/>
        </w:rPr>
        <w:t xml:space="preserve">的所有技术开发成果不会侵犯甲方及任何第三方的知识产权，并保证甲方利益相关方免于遭受任何第三方基于本合同交付成果而提起任何知识产权诉讼。如果任何第三方基于本合同交付成果而针对甲方或甲方利益相关方提起任何知识产权诉讼，乙方应负责应诉，并承担所有费用，包括但不限于：诉讼费、律师费、鉴定费、罚金、赔偿金等，如甲方为自身及甲方利益相关方的利益应诉，并不免除乙方的前述义务，乙方应赔偿甲方或甲方利益相关方因此遭受的前述全部损失。（因甲方原因而造成的第三方针对甲方或甲方利益相关方提起任何知识产权诉讼，乙方不承担任何责任）。</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如乙方发现任何交付成果的知识产权可能有瑕疵，应立即书面通知甲方，并立即采取一切必要措施使交付成果合法化。</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本条规定自本合同生效之日起即应履行，长期有效，并且不受本合同届满、提前终止或本合同中其他条款的无效或履行完毕等情形的影响。</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379" w:name="_Toc18324"/>
      <w:r/>
      <w:bookmarkStart w:id="380" w:name="_Toc256000052"/>
      <w:r/>
      <w:bookmarkStart w:id="381" w:name="_Toc386"/>
      <w:r/>
      <w:bookmarkStart w:id="382" w:name="_Toc23245"/>
      <w:r/>
      <w:bookmarkStart w:id="383" w:name="_Toc24346"/>
      <w:r/>
      <w:bookmarkStart w:id="384" w:name="_Toc171441173"/>
      <w:r/>
      <w:bookmarkStart w:id="385" w:name="_Toc256000096"/>
      <w:r/>
      <w:bookmarkStart w:id="386" w:name="_Toc7347"/>
      <w:r>
        <w:rPr>
          <w:rFonts w:hint="eastAsia" w:ascii="仿宋" w:hAnsi="仿宋" w:eastAsia="仿宋" w:cs="仿宋"/>
          <w:sz w:val="24"/>
          <w:szCs w:val="24"/>
          <w:highlight w:val="none"/>
        </w:rPr>
        <w:t xml:space="preserve">八、违约责任</w:t>
      </w:r>
      <w:bookmarkEnd w:id="379"/>
      <w:r/>
      <w:bookmarkEnd w:id="380"/>
      <w:r/>
      <w:bookmarkEnd w:id="381"/>
      <w:r/>
      <w:bookmarkEnd w:id="382"/>
      <w:r/>
      <w:bookmarkEnd w:id="383"/>
      <w:r/>
      <w:bookmarkEnd w:id="384"/>
      <w:r/>
      <w:bookmarkEnd w:id="385"/>
      <w:r/>
      <w:bookmarkEnd w:id="386"/>
      <w:r>
        <w:rPr>
          <w:rFonts w:hint="eastAsia" w:ascii="仿宋" w:hAnsi="仿宋" w:eastAsia="仿宋" w:cs="仿宋"/>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本合同签订后，任何一方不履行、不完全履行合同义务或者履行合同义务不符合约定的，即构成违约。任何一方违约时，守约方有权要求违约方继续履行本合同，也有权要求违约方支付违约金，违约方应当承担继续履行、采取补救措施或者赔偿损失等违约责任。</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因一方违约行为给另一方造成损失的，如果违约金不足以弥补守约方经济损失，违约方还应当赔偿守约方经济损失。本合同所指的守约方的损失，包括直接损失、守约方为弥补损失所支出的费用、守约方为向违约方主张权利所支出的费用（包括但不限于聘请律师的费用、公证费、诉讼费、鉴定费、仲裁费、差旅费、鉴定费、评估费、保全费、执行费等费用以及其它可预见的间接经济损失等）。</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违约责任分为履约违约和售后服务违约</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3.1履约违约责任</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bookmarkStart w:id="387" w:name="_Hlk55398099"/>
      <w:r>
        <w:rPr>
          <w:rFonts w:hint="eastAsia" w:ascii="仿宋" w:hAnsi="仿宋" w:eastAsia="仿宋" w:cs="仿宋"/>
          <w:sz w:val="24"/>
          <w:szCs w:val="24"/>
          <w:highlight w:val="none"/>
        </w:rPr>
        <w:t xml:space="preserve">3.1.1因乙方原因，乙方未按本合同约定交付时间及要求完成各项义务的，自约定交付日起每逾期1日，应向甲方支付逾期交付部分总价万分之一的违约金。因乙方原因逾期超过90天，甲方有权解除合同，乙方应退还甲方已支付对价但乙方未交付通过终验验收的合同款，并按照合同总价的1%向甲方支付违约金且应赔偿由此给甲方造成的一切损失</w:t>
      </w:r>
      <w:bookmarkEnd w:id="387"/>
      <w:r>
        <w:rPr>
          <w:rFonts w:hint="eastAsia" w:ascii="仿宋" w:hAnsi="仿宋" w:eastAsia="仿宋" w:cs="仿宋"/>
          <w:sz w:val="24"/>
          <w:szCs w:val="24"/>
          <w:highlight w:val="none"/>
        </w:rPr>
        <w:t xml:space="preserve">，乙方由此累计支付的违约金及赔偿金总额最高不超过合同总金额的5%。</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3.1.2履约违约金支付方法为，如协议继续履行甲方将违约金金额从下一笔待支付合同费用中扣除；如协议解除，乙方应直接向甲方支付。</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乙方应保证系统性能、功能等符合验收要求，乙方如不配合甲方及其委托监理单位、软件第三方测评单位的管理，未按照甲方提出的整改要求限期整改的，每次乙方应向甲方支付合同总金额的万分之一作为违约金。</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3.3售后服务违约责任</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3.3.1由于乙方原因造成系统瘫痪，系统（包括但不限于接口数据处理、甲方应用访问、系统运行）无法正常工作持续期间达到或超过72小时，每次乙方应向甲方支付合同总金额的万分之一作为违约金。</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3.3.2系统售后服务期间，乙方未按照甲方要求对系统进行整改或未履行7×24小时服务，由于乙方原因造成系统无法正常工作。每次乙方应向甲方支付合同总金额的万分之一作为违约金。</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3.3.3售后服务违约金支付方法为，甲方将违约金金额从售后服务费用中扣除。</w:t>
      </w:r>
      <w:bookmarkStart w:id="388" w:name="_Hlk55398186"/>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甲方在规定期限内不能按时付款，则每迟延一个自然日，甲方向乙方支付迟延履行部分金额万分之一的违约金。</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 一方如未按本合同第七条履行保密义务，另一方有权终止合同并要求违约方向守约方支付合同总金额5%的违约金</w:t>
      </w:r>
      <w:bookmarkEnd w:id="388"/>
      <w:r>
        <w:rPr>
          <w:rFonts w:hint="eastAsia" w:ascii="仿宋" w:hAnsi="仿宋" w:eastAsia="仿宋" w:cs="仿宋"/>
          <w:sz w:val="24"/>
          <w:szCs w:val="24"/>
          <w:highlight w:val="none"/>
        </w:rPr>
        <w:t xml:space="preserve">，并赔偿守约方因此遭受的损失。</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389" w:name="_Toc11655"/>
      <w:r/>
      <w:bookmarkStart w:id="390" w:name="_Toc171441174"/>
      <w:r/>
      <w:bookmarkStart w:id="391" w:name="_Toc256000097"/>
      <w:r/>
      <w:bookmarkStart w:id="392" w:name="_Toc27177"/>
      <w:r/>
      <w:bookmarkStart w:id="393" w:name="_Toc5439"/>
      <w:r/>
      <w:bookmarkStart w:id="394" w:name="_Hlk57914478"/>
      <w:r/>
      <w:bookmarkStart w:id="395" w:name="_Toc24632"/>
      <w:r/>
      <w:bookmarkStart w:id="396" w:name="_Toc23128"/>
      <w:r/>
      <w:bookmarkStart w:id="397" w:name="_Toc256000053"/>
      <w:r>
        <w:rPr>
          <w:rFonts w:hint="eastAsia" w:ascii="仿宋" w:hAnsi="仿宋" w:eastAsia="仿宋" w:cs="仿宋"/>
          <w:sz w:val="24"/>
          <w:szCs w:val="24"/>
          <w:highlight w:val="none"/>
        </w:rPr>
        <w:t xml:space="preserve">九、合同的变更及解除</w:t>
      </w:r>
      <w:bookmarkEnd w:id="389"/>
      <w:r/>
      <w:bookmarkEnd w:id="390"/>
      <w:r/>
      <w:bookmarkEnd w:id="391"/>
      <w:r/>
      <w:bookmarkEnd w:id="392"/>
      <w:r/>
      <w:bookmarkEnd w:id="393"/>
      <w:r/>
      <w:bookmarkEnd w:id="394"/>
      <w:r/>
      <w:bookmarkEnd w:id="395"/>
      <w:r/>
      <w:bookmarkEnd w:id="396"/>
      <w:r/>
      <w:bookmarkEnd w:id="397"/>
      <w:r/>
      <w:bookmarkStart w:id="398" w:name="_Hlk57914513"/>
      <w:r/>
      <w:bookmarkEnd w:id="398"/>
      <w:r>
        <w:rPr>
          <w:rFonts w:hint="eastAsia" w:ascii="仿宋" w:hAnsi="仿宋" w:eastAsia="仿宋" w:cs="仿宋"/>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经甲方和乙方双方协商一致，可以变更、解除本合同。任何一方欲变更、解除本合同，必须提15日以书面形式提出，双方协商一致后签署补充合同。</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一方有下列情形之一的，另一方可以解除本合同：</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因不可抗力致使不能实现本合同的目的。</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在履行期限届满之前，一方明确表示或者以自己的行为表明不履行主要义务。</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一方迟延履行主要义务，经催告后在合理期限内仍未履行。</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 一方迟延履行义务或者有其他违约行为致使不能实现合同目的。</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 法律规定或本合同约定的其他情形。</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3、若因非乙方原因导致本合同终止，甲方应向乙方支付已完成部分的合理费用。</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399" w:name="_Toc26193"/>
      <w:r/>
      <w:bookmarkStart w:id="400" w:name="_Toc256000098"/>
      <w:r/>
      <w:bookmarkStart w:id="401" w:name="_Toc256000054"/>
      <w:r/>
      <w:bookmarkStart w:id="402" w:name="_Toc30352"/>
      <w:r/>
      <w:bookmarkStart w:id="403" w:name="_Toc2222"/>
      <w:r/>
      <w:bookmarkStart w:id="404" w:name="_Toc16167"/>
      <w:r/>
      <w:bookmarkStart w:id="405" w:name="_Toc3504"/>
      <w:r/>
      <w:bookmarkStart w:id="406" w:name="_Toc171441175"/>
      <w:r>
        <w:rPr>
          <w:rFonts w:hint="eastAsia" w:ascii="仿宋" w:hAnsi="仿宋" w:eastAsia="仿宋" w:cs="仿宋"/>
          <w:sz w:val="24"/>
          <w:szCs w:val="24"/>
          <w:highlight w:val="none"/>
        </w:rPr>
        <w:t xml:space="preserve">十、不可抗力</w:t>
      </w:r>
      <w:bookmarkEnd w:id="399"/>
      <w:r/>
      <w:bookmarkEnd w:id="400"/>
      <w:r/>
      <w:bookmarkEnd w:id="401"/>
      <w:r/>
      <w:bookmarkEnd w:id="402"/>
      <w:r/>
      <w:bookmarkEnd w:id="403"/>
      <w:r/>
      <w:bookmarkEnd w:id="404"/>
      <w:r/>
      <w:bookmarkEnd w:id="405"/>
      <w:r/>
      <w:bookmarkEnd w:id="406"/>
      <w:r>
        <w:rPr>
          <w:rFonts w:hint="eastAsia" w:ascii="仿宋" w:hAnsi="仿宋" w:eastAsia="仿宋" w:cs="仿宋"/>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不可抗力是指因无法预见、无法避免且无法克服之原因发生的事项，包括但不限于地震、台风、海啸、瘟疫、火灾、洪水、重大疫情、政府行为、战争、恐怖袭击、蓄意破坏等客观情况。</w:t>
      </w:r>
      <w:r>
        <w:rPr>
          <w:rFonts w:hint="eastAsia" w:ascii="仿宋" w:hAnsi="仿宋" w:eastAsia="仿宋" w:cs="仿宋"/>
          <w:sz w:val="24"/>
          <w:szCs w:val="24"/>
          <w:highlight w:val="none"/>
        </w:rPr>
      </w:r>
      <w:r/>
    </w:p>
    <w:p>
      <w:pPr>
        <w:pStyle w:val="834"/>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在合同履行过程中，发生不可抗力事件的，乙方应于知晓不可抗力发生后3个工作日内通知甲方，并在14个工作日内出具官方证明文件，并采取妥善措施努力避免、减小不可抗力对履约的影响；乙方怠于履行负面影响控制义务导致不可抗力引发的损失扩大的，应当向甲方承担相应的赔偿责任。乙方向甲方主张相关事由构成不可抗力的，应当向甲方提供有关权威机构出具的书面证明。</w:t>
      </w:r>
      <w:r>
        <w:rPr>
          <w:rFonts w:hint="eastAsia" w:ascii="仿宋" w:hAnsi="仿宋" w:eastAsia="仿宋" w:cs="仿宋"/>
          <w:sz w:val="24"/>
          <w:szCs w:val="24"/>
          <w:highlight w:val="none"/>
        </w:rPr>
      </w:r>
      <w:r/>
    </w:p>
    <w:p>
      <w:pPr>
        <w:pStyle w:val="834"/>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任一方确因不可抗力导致不能履行合同的，由双方协商确定变更或延期履行的具体方案，各方均不因此承担违约责任。但甲方和乙方应根据诚实信用原则，合理确定本合同终止前甲方为乙方提供的服务所应支付的费用，并进行相应的结算。但一方延迟履行后发生不可抗力的，不能免除该方的责任。</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407" w:name="_Toc256000055"/>
      <w:r/>
      <w:bookmarkStart w:id="408" w:name="_Hlk57914569"/>
      <w:r/>
      <w:bookmarkStart w:id="409" w:name="_Toc9122"/>
      <w:r/>
      <w:bookmarkStart w:id="410" w:name="_Toc256000099"/>
      <w:r/>
      <w:bookmarkStart w:id="411" w:name="_Toc15744"/>
      <w:r/>
      <w:bookmarkStart w:id="412" w:name="_Toc17413"/>
      <w:r/>
      <w:bookmarkStart w:id="413" w:name="_Toc24660"/>
      <w:r/>
      <w:bookmarkStart w:id="414" w:name="_Toc171441176"/>
      <w:r/>
      <w:bookmarkStart w:id="415" w:name="_Toc12916"/>
      <w:r>
        <w:rPr>
          <w:rFonts w:hint="eastAsia" w:ascii="仿宋" w:hAnsi="仿宋" w:eastAsia="仿宋" w:cs="仿宋"/>
          <w:sz w:val="24"/>
          <w:szCs w:val="24"/>
          <w:highlight w:val="none"/>
        </w:rPr>
        <w:t xml:space="preserve">十一、法律适用及争议解决</w:t>
      </w:r>
      <w:bookmarkEnd w:id="407"/>
      <w:r/>
      <w:bookmarkEnd w:id="408"/>
      <w:r/>
      <w:bookmarkEnd w:id="409"/>
      <w:r/>
      <w:bookmarkEnd w:id="410"/>
      <w:r/>
      <w:bookmarkEnd w:id="411"/>
      <w:r/>
      <w:bookmarkEnd w:id="412"/>
      <w:r/>
      <w:bookmarkEnd w:id="413"/>
      <w:r/>
      <w:bookmarkEnd w:id="414"/>
      <w:r/>
      <w:bookmarkEnd w:id="415"/>
      <w:r>
        <w:rPr>
          <w:rFonts w:hint="eastAsia" w:ascii="仿宋" w:hAnsi="仿宋" w:eastAsia="仿宋" w:cs="仿宋"/>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本合同应适用中国法律并应根据中国法律解释。</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w:t>
      </w:r>
      <w:bookmarkStart w:id="416" w:name="_Hlk57914655"/>
      <w:r/>
      <w:bookmarkStart w:id="417" w:name="_Hlk57914622"/>
      <w:r>
        <w:rPr>
          <w:rFonts w:hint="eastAsia" w:ascii="仿宋" w:hAnsi="仿宋" w:eastAsia="仿宋" w:cs="仿宋"/>
          <w:sz w:val="24"/>
          <w:szCs w:val="24"/>
          <w:highlight w:val="none"/>
        </w:rPr>
        <w:t xml:space="preserve">因本合同引起的或与本合同有关的任何争议，甲方和乙方应当协商解决，经双方协商不能解决的</w:t>
      </w:r>
      <w:bookmarkEnd w:id="416"/>
      <w:r/>
      <w:bookmarkEnd w:id="417"/>
      <w:r>
        <w:rPr>
          <w:rFonts w:hint="eastAsia" w:ascii="仿宋" w:hAnsi="仿宋" w:eastAsia="仿宋" w:cs="仿宋"/>
          <w:sz w:val="24"/>
          <w:szCs w:val="24"/>
          <w:highlight w:val="none"/>
        </w:rPr>
        <w:t xml:space="preserve">，向甲方所在地有管辖权的人民法院提起诉讼。</w:t>
      </w:r>
      <w:r>
        <w:rPr>
          <w:rFonts w:hint="eastAsia" w:ascii="仿宋" w:hAnsi="仿宋" w:eastAsia="仿宋" w:cs="仿宋"/>
          <w:sz w:val="24"/>
          <w:szCs w:val="24"/>
          <w:highlight w:val="none"/>
        </w:rPr>
      </w:r>
      <w:r/>
    </w:p>
    <w:p>
      <w:pPr>
        <w:pStyle w:val="844"/>
        <w:ind w:firstLine="482"/>
        <w:keepLines w:val="0"/>
        <w:spacing w:before="0" w:after="0" w:line="460" w:lineRule="exact"/>
        <w:rPr>
          <w:rFonts w:hint="eastAsia" w:ascii="仿宋" w:hAnsi="仿宋" w:eastAsia="仿宋" w:cs="仿宋"/>
          <w:bCs/>
          <w:sz w:val="24"/>
          <w:szCs w:val="24"/>
          <w:highlight w:val="none"/>
        </w:rPr>
      </w:pPr>
      <w:r/>
      <w:bookmarkStart w:id="418" w:name="_Toc256000100"/>
      <w:r/>
      <w:bookmarkStart w:id="419" w:name="_Toc31478"/>
      <w:r/>
      <w:bookmarkStart w:id="420" w:name="_Toc16077"/>
      <w:r/>
      <w:bookmarkStart w:id="421" w:name="_Toc2701"/>
      <w:r/>
      <w:bookmarkStart w:id="422" w:name="_Toc9064"/>
      <w:r/>
      <w:bookmarkStart w:id="423" w:name="_Toc25946"/>
      <w:r/>
      <w:bookmarkStart w:id="424" w:name="_Toc171441177"/>
      <w:r/>
      <w:bookmarkStart w:id="425" w:name="_Toc256000056"/>
      <w:r>
        <w:rPr>
          <w:rFonts w:hint="eastAsia" w:ascii="仿宋" w:hAnsi="仿宋" w:eastAsia="仿宋" w:cs="仿宋"/>
          <w:sz w:val="24"/>
          <w:szCs w:val="24"/>
          <w:highlight w:val="none"/>
        </w:rPr>
        <w:t xml:space="preserve">十二、其他</w:t>
      </w:r>
      <w:bookmarkEnd w:id="418"/>
      <w:r/>
      <w:bookmarkEnd w:id="419"/>
      <w:r/>
      <w:bookmarkEnd w:id="420"/>
      <w:r/>
      <w:bookmarkEnd w:id="421"/>
      <w:r/>
      <w:bookmarkEnd w:id="422"/>
      <w:r/>
      <w:bookmarkEnd w:id="423"/>
      <w:r/>
      <w:bookmarkEnd w:id="424"/>
      <w:r/>
      <w:bookmarkEnd w:id="425"/>
      <w:r>
        <w:rPr>
          <w:rFonts w:hint="eastAsia" w:ascii="仿宋" w:hAnsi="仿宋" w:eastAsia="仿宋" w:cs="仿宋"/>
          <w:bCs/>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1.未经对方当事人书面同意，合同任何一方均不得转让其在合同项下的权利和（或）义务。</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2.本合同自甲方和乙方双方法定代表人或授权负责人签署并加盖公章之日起生效。本合同中法定的、明示的或可合理推断的应该在本合同届满或提前解除后仍然有效的条款，不受本合同有效期的限制。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3.对本合同的任何修改和补充均应以补充合同的形式作出，由甲方和乙方签署后生效。本合同的注解、附件、补充合同与本合同具有同等法律效力。补充合同与本合同不一致的，以补充合同为准。</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4.合同组成</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下列文件构成本合同的组成部分，应该认为是一个整体，彼此相互解释，相互补充。为便于解释，组成合同的多个文件的优先支配地位的次序如下（按支配地位递减的顺序排列）：</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（1）本合同协议书；</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（2）成交通知书；</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（3）响应文件；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（4）采购文件；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（5）其他合同文件</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5.本合同一式【</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】份，甲方持有【</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】份，乙方持有【</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】份，各份具有同等法律效力。</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甲方（盖章）：</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法定代表人或授权负责人（签字）：</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乙方（盖章）：</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法定代表人或授权负责人（签字）：</w:t>
      </w:r>
      <w:r>
        <w:rPr>
          <w:rFonts w:hint="eastAsia" w:ascii="仿宋" w:hAnsi="仿宋" w:eastAsia="仿宋" w:cs="仿宋"/>
          <w:sz w:val="24"/>
          <w:szCs w:val="24"/>
          <w:highlight w:val="none"/>
        </w:rPr>
      </w:r>
      <w:r/>
    </w:p>
    <w:p>
      <w:pPr>
        <w:pStyle w:val="843"/>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keepLines/>
        <w:keepNext/>
        <w:pageBreakBefore/>
        <w:spacing w:before="0" w:beforeAutospacing="0" w:after="0" w:afterAutospacing="0"/>
        <w:rPr>
          <w:rFonts w:hint="eastAsia" w:ascii="仿宋" w:hAnsi="仿宋" w:eastAsia="仿宋" w:cs="仿宋"/>
          <w:highlight w:val="none"/>
        </w:rPr>
      </w:pPr>
      <w:r/>
      <w:bookmarkStart w:id="426" w:name="_Toc176774462"/>
      <w:r>
        <w:rPr>
          <w:rFonts w:hint="eastAsia" w:ascii="仿宋" w:hAnsi="仿宋" w:eastAsia="仿宋" w:cs="仿宋"/>
          <w:b/>
          <w:bCs/>
          <w:color w:val="000000"/>
          <w:sz w:val="44"/>
          <w:szCs w:val="44"/>
          <w:highlight w:val="none"/>
          <w:shd w:val="clear" w:color="auto" w:fill="ffffff"/>
        </w:rPr>
        <w:t xml:space="preserve">第六部分  投标文件格式</w:t>
      </w:r>
      <w:bookmarkEnd w:id="426"/>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72"/>
          <w:szCs w:val="72"/>
          <w:highlight w:val="none"/>
        </w:rPr>
        <w:t xml:space="preserve">投  标  文  件</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1084"/>
        <w:jc w:val="both"/>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6"/>
          <w:szCs w:val="36"/>
          <w:highlight w:val="none"/>
        </w:rPr>
        <w:t xml:space="preserve">项 目 名 称：</w:t>
      </w:r>
      <w:r>
        <w:rPr>
          <w:rFonts w:hint="eastAsia" w:ascii="仿宋" w:hAnsi="仿宋" w:eastAsia="仿宋" w:cs="仿宋"/>
          <w:b/>
          <w:bCs/>
          <w:color w:val="000000"/>
          <w:sz w:val="36"/>
          <w:szCs w:val="36"/>
          <w:highlight w:val="none"/>
          <w:u w:val="single"/>
        </w:rPr>
        <w:t xml:space="preserve">               </w:t>
      </w:r>
      <w:r>
        <w:rPr>
          <w:rFonts w:hint="eastAsia" w:ascii="仿宋" w:hAnsi="仿宋" w:eastAsia="仿宋" w:cs="仿宋"/>
          <w:highlight w:val="none"/>
        </w:rPr>
      </w:r>
      <w:r/>
    </w:p>
    <w:p>
      <w:pPr>
        <w:pStyle w:val="830"/>
        <w:ind w:firstLine="1084"/>
        <w:jc w:val="both"/>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6"/>
          <w:szCs w:val="36"/>
          <w:highlight w:val="none"/>
        </w:rPr>
        <w:t xml:space="preserve">项 目 编 号：</w:t>
      </w:r>
      <w:r>
        <w:rPr>
          <w:rFonts w:hint="eastAsia" w:ascii="仿宋" w:hAnsi="仿宋" w:eastAsia="仿宋" w:cs="仿宋"/>
          <w:b/>
          <w:bCs/>
          <w:color w:val="000000"/>
          <w:sz w:val="36"/>
          <w:szCs w:val="36"/>
          <w:highlight w:val="none"/>
          <w:u w:val="single"/>
        </w:rPr>
        <w:t xml:space="preserve">               </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6"/>
          <w:szCs w:val="36"/>
          <w:highlight w:val="none"/>
        </w:rPr>
        <w:t xml:space="preserve">      投标人名称 ：</w:t>
      </w:r>
      <w:r>
        <w:rPr>
          <w:rFonts w:hint="eastAsia" w:ascii="仿宋" w:hAnsi="仿宋" w:eastAsia="仿宋" w:cs="仿宋"/>
          <w:b/>
          <w:bCs/>
          <w:color w:val="000000"/>
          <w:sz w:val="36"/>
          <w:szCs w:val="36"/>
          <w:highlight w:val="none"/>
          <w:u w:val="single"/>
        </w:rPr>
        <w:t xml:space="preserve">（盖CA电子公章）</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6"/>
          <w:szCs w:val="36"/>
          <w:highlight w:val="none"/>
        </w:rPr>
        <w:t xml:space="preserve">      日      期 ：</w:t>
      </w:r>
      <w:r>
        <w:rPr>
          <w:rFonts w:hint="eastAsia" w:ascii="仿宋" w:hAnsi="仿宋" w:eastAsia="仿宋" w:cs="仿宋"/>
          <w:b/>
          <w:bCs/>
          <w:color w:val="000000"/>
          <w:sz w:val="36"/>
          <w:szCs w:val="36"/>
          <w:highlight w:val="none"/>
          <w:u w:val="singl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r>
      <w:r/>
    </w:p>
    <w:p>
      <w:pPr>
        <w:pStyle w:val="830"/>
        <w:jc w:val="center"/>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投标文件目录</w:t>
      </w:r>
      <w:r>
        <w:rPr>
          <w:rFonts w:hint="eastAsia" w:ascii="仿宋" w:hAnsi="仿宋" w:eastAsia="仿宋" w:cs="仿宋"/>
          <w:highlight w:val="none"/>
        </w:rPr>
      </w:r>
      <w:r/>
    </w:p>
    <w:p>
      <w:pPr>
        <w:pStyle w:val="83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p>
      <w:pPr>
        <w:pStyle w:val="830"/>
        <w:ind w:left="72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投标人基本情况</w:t>
      </w:r>
      <w:r>
        <w:rPr>
          <w:rFonts w:hint="eastAsia" w:ascii="仿宋" w:hAnsi="仿宋" w:eastAsia="仿宋" w:cs="仿宋"/>
          <w:highlight w:val="none"/>
        </w:rPr>
      </w:r>
      <w:r/>
    </w:p>
    <w:p>
      <w:pPr>
        <w:pStyle w:val="830"/>
        <w:ind w:left="72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rPr>
        <w:t xml:space="preserve">投标声明及承诺函</w:t>
      </w:r>
      <w:r>
        <w:rPr>
          <w:rFonts w:hint="eastAsia" w:ascii="仿宋" w:hAnsi="仿宋" w:eastAsia="仿宋" w:cs="仿宋"/>
          <w:highlight w:val="none"/>
        </w:rPr>
      </w:r>
      <w:r/>
    </w:p>
    <w:p>
      <w:pPr>
        <w:pStyle w:val="830"/>
        <w:ind w:left="72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法人授权书</w:t>
      </w:r>
      <w:r>
        <w:rPr>
          <w:rFonts w:hint="eastAsia" w:ascii="仿宋" w:hAnsi="仿宋" w:eastAsia="仿宋" w:cs="仿宋"/>
          <w:highlight w:val="none"/>
        </w:rPr>
      </w:r>
      <w:r/>
    </w:p>
    <w:p>
      <w:pPr>
        <w:pStyle w:val="830"/>
        <w:ind w:left="72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开标一览表</w:t>
      </w:r>
      <w:r>
        <w:rPr>
          <w:rFonts w:hint="eastAsia" w:ascii="仿宋" w:hAnsi="仿宋" w:eastAsia="仿宋" w:cs="仿宋"/>
          <w:highlight w:val="none"/>
        </w:rPr>
      </w:r>
      <w:r/>
    </w:p>
    <w:p>
      <w:pPr>
        <w:pStyle w:val="830"/>
        <w:ind w:left="72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投标分项报价表</w:t>
      </w:r>
      <w:r>
        <w:rPr>
          <w:rFonts w:hint="eastAsia" w:ascii="仿宋" w:hAnsi="仿宋" w:eastAsia="仿宋" w:cs="仿宋"/>
          <w:highlight w:val="none"/>
        </w:rPr>
      </w:r>
      <w:r/>
    </w:p>
    <w:p>
      <w:pPr>
        <w:pStyle w:val="830"/>
        <w:ind w:left="72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中小企业或残疾人福利性单位声明函</w:t>
      </w:r>
      <w:r>
        <w:rPr>
          <w:rFonts w:hint="eastAsia" w:ascii="仿宋" w:hAnsi="仿宋" w:eastAsia="仿宋" w:cs="仿宋"/>
          <w:highlight w:val="none"/>
        </w:rPr>
      </w:r>
      <w:r/>
    </w:p>
    <w:p>
      <w:pPr>
        <w:pStyle w:val="830"/>
        <w:ind w:firstLine="56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技术参数响应（响应偏离表）</w:t>
      </w:r>
      <w:r>
        <w:rPr>
          <w:rFonts w:hint="eastAsia" w:ascii="仿宋" w:hAnsi="仿宋" w:eastAsia="仿宋" w:cs="仿宋"/>
          <w:highlight w:val="none"/>
        </w:rPr>
      </w:r>
      <w:r/>
    </w:p>
    <w:p>
      <w:pPr>
        <w:pStyle w:val="830"/>
        <w:ind w:firstLine="56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rPr>
        <w:t xml:space="preserve">八、企业业绩</w:t>
      </w:r>
      <w:r>
        <w:rPr>
          <w:rFonts w:hint="eastAsia" w:ascii="仿宋" w:hAnsi="仿宋" w:eastAsia="仿宋" w:cs="仿宋"/>
          <w:highlight w:val="none"/>
        </w:rPr>
      </w:r>
      <w:r/>
    </w:p>
    <w:p>
      <w:pPr>
        <w:pStyle w:val="830"/>
        <w:ind w:firstLine="56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sz w:val="28"/>
          <w:szCs w:val="28"/>
          <w:highlight w:val="none"/>
        </w:rPr>
        <w:t xml:space="preserve">九、投标所需其他材料</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 </w:t>
      </w:r>
      <w:bookmarkStart w:id="429" w:name="_Toc176774463"/>
      <w:r/>
      <w:bookmarkStart w:id="430" w:name="_Toc23838"/>
      <w:r>
        <w:rPr>
          <w:rFonts w:hint="eastAsia" w:ascii="仿宋" w:hAnsi="仿宋" w:eastAsia="仿宋" w:cs="仿宋"/>
          <w:b/>
          <w:bCs/>
          <w:color w:val="000000"/>
          <w:sz w:val="32"/>
          <w:szCs w:val="32"/>
          <w:highlight w:val="none"/>
        </w:rPr>
        <w:t xml:space="preserve">一、投标人基本情况</w:t>
      </w:r>
      <w:bookmarkEnd w:id="429"/>
      <w:r/>
      <w:bookmarkEnd w:id="430"/>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44"/>
          <w:szCs w:val="44"/>
          <w:highlight w:val="none"/>
        </w:rPr>
        <w:t xml:space="preserve">投标人基本情况表</w:t>
      </w:r>
      <w:r>
        <w:rPr>
          <w:rFonts w:hint="eastAsia" w:ascii="仿宋" w:hAnsi="仿宋" w:eastAsia="仿宋" w:cs="仿宋"/>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blCellSpacing w:w="0" w:type="dxa"/>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投标人名称</w:t>
            </w:r>
            <w:r>
              <w:rPr>
                <w:rFonts w:hint="eastAsia" w:ascii="仿宋" w:hAnsi="仿宋" w:eastAsia="仿宋" w:cs="仿宋"/>
                <w:highlight w:val="none"/>
              </w:rPr>
            </w:r>
            <w:r/>
          </w:p>
        </w:tc>
        <w:tc>
          <w:tcPr>
            <w:gridSpan w:val="3"/>
            <w:tcW w:w="69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法定代表人</w:t>
            </w:r>
            <w:r>
              <w:rPr>
                <w:rFonts w:hint="eastAsia" w:ascii="仿宋" w:hAnsi="仿宋" w:eastAsia="仿宋" w:cs="仿宋"/>
                <w:highlight w:val="none"/>
              </w:rPr>
            </w:r>
            <w:r/>
          </w:p>
        </w:tc>
        <w:tc>
          <w:tcPr>
            <w:tcW w:w="31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7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注册地区</w:t>
            </w:r>
            <w:r>
              <w:rPr>
                <w:rFonts w:hint="eastAsia" w:ascii="仿宋" w:hAnsi="仿宋" w:eastAsia="仿宋" w:cs="仿宋"/>
                <w:highlight w:val="none"/>
              </w:rPr>
            </w:r>
            <w:r/>
          </w:p>
        </w:tc>
        <w:tc>
          <w:tcPr>
            <w:tcW w:w="260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地址</w:t>
            </w:r>
            <w:r>
              <w:rPr>
                <w:rFonts w:hint="eastAsia" w:ascii="仿宋" w:hAnsi="仿宋" w:eastAsia="仿宋" w:cs="仿宋"/>
                <w:highlight w:val="none"/>
              </w:rPr>
            </w:r>
            <w:r/>
          </w:p>
        </w:tc>
        <w:tc>
          <w:tcPr>
            <w:tcW w:w="31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7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邮政编码</w:t>
            </w:r>
            <w:r>
              <w:rPr>
                <w:rFonts w:hint="eastAsia" w:ascii="仿宋" w:hAnsi="仿宋" w:eastAsia="仿宋" w:cs="仿宋"/>
                <w:highlight w:val="none"/>
              </w:rPr>
            </w:r>
            <w:r/>
          </w:p>
        </w:tc>
        <w:tc>
          <w:tcPr>
            <w:tcW w:w="260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成立时间</w:t>
            </w:r>
            <w:r>
              <w:rPr>
                <w:rFonts w:hint="eastAsia" w:ascii="仿宋" w:hAnsi="仿宋" w:eastAsia="仿宋" w:cs="仿宋"/>
                <w:highlight w:val="none"/>
              </w:rPr>
            </w:r>
            <w:r/>
          </w:p>
        </w:tc>
        <w:tc>
          <w:tcPr>
            <w:tcW w:w="31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7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单位性质</w:t>
            </w:r>
            <w:r>
              <w:rPr>
                <w:rFonts w:hint="eastAsia" w:ascii="仿宋" w:hAnsi="仿宋" w:eastAsia="仿宋" w:cs="仿宋"/>
                <w:highlight w:val="none"/>
              </w:rPr>
            </w:r>
            <w:r/>
          </w:p>
        </w:tc>
        <w:tc>
          <w:tcPr>
            <w:tcW w:w="260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注册号或社会信用代码</w:t>
            </w:r>
            <w:r>
              <w:rPr>
                <w:rFonts w:hint="eastAsia" w:ascii="仿宋" w:hAnsi="仿宋" w:eastAsia="仿宋" w:cs="仿宋"/>
                <w:highlight w:val="none"/>
              </w:rPr>
            </w:r>
            <w:r/>
          </w:p>
        </w:tc>
        <w:tc>
          <w:tcPr>
            <w:tcW w:w="31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7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注册资本（万元）</w:t>
            </w:r>
            <w:r>
              <w:rPr>
                <w:rFonts w:hint="eastAsia" w:ascii="仿宋" w:hAnsi="仿宋" w:eastAsia="仿宋" w:cs="仿宋"/>
                <w:highlight w:val="none"/>
              </w:rPr>
            </w:r>
            <w:r/>
          </w:p>
        </w:tc>
        <w:tc>
          <w:tcPr>
            <w:tcW w:w="260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投标人类别</w:t>
            </w:r>
            <w:r>
              <w:rPr>
                <w:rFonts w:hint="eastAsia" w:ascii="仿宋" w:hAnsi="仿宋" w:eastAsia="仿宋" w:cs="仿宋"/>
                <w:highlight w:val="none"/>
              </w:rPr>
            </w:r>
            <w:r/>
          </w:p>
        </w:tc>
        <w:tc>
          <w:tcPr>
            <w:gridSpan w:val="3"/>
            <w:tcW w:w="69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开户银行</w:t>
            </w:r>
            <w:r>
              <w:rPr>
                <w:rFonts w:hint="eastAsia" w:ascii="仿宋" w:hAnsi="仿宋" w:eastAsia="仿宋" w:cs="仿宋"/>
                <w:highlight w:val="none"/>
              </w:rPr>
            </w:r>
            <w:r/>
          </w:p>
        </w:tc>
        <w:tc>
          <w:tcPr>
            <w:tcW w:w="31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7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账号</w:t>
            </w:r>
            <w:r>
              <w:rPr>
                <w:rFonts w:hint="eastAsia" w:ascii="仿宋" w:hAnsi="仿宋" w:eastAsia="仿宋" w:cs="仿宋"/>
                <w:highlight w:val="none"/>
              </w:rPr>
            </w:r>
            <w:r/>
          </w:p>
        </w:tc>
        <w:tc>
          <w:tcPr>
            <w:tcW w:w="260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联系人</w:t>
            </w:r>
            <w:r>
              <w:rPr>
                <w:rFonts w:hint="eastAsia" w:ascii="仿宋" w:hAnsi="仿宋" w:eastAsia="仿宋" w:cs="仿宋"/>
                <w:highlight w:val="none"/>
              </w:rPr>
            </w:r>
            <w:r/>
          </w:p>
        </w:tc>
        <w:tc>
          <w:tcPr>
            <w:tcW w:w="31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7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联系电话</w:t>
            </w:r>
            <w:r>
              <w:rPr>
                <w:rFonts w:hint="eastAsia" w:ascii="仿宋" w:hAnsi="仿宋" w:eastAsia="仿宋" w:cs="仿宋"/>
                <w:highlight w:val="none"/>
              </w:rPr>
            </w:r>
            <w:r/>
          </w:p>
        </w:tc>
        <w:tc>
          <w:tcPr>
            <w:tcW w:w="260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2376"/>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经营范围</w:t>
            </w:r>
            <w:r>
              <w:rPr>
                <w:rFonts w:hint="eastAsia" w:ascii="仿宋" w:hAnsi="仿宋" w:eastAsia="仿宋" w:cs="仿宋"/>
                <w:highlight w:val="none"/>
              </w:rPr>
            </w:r>
            <w:r/>
          </w:p>
        </w:tc>
        <w:tc>
          <w:tcPr>
            <w:gridSpan w:val="3"/>
            <w:tcW w:w="6998" w:type="dxa"/>
            <w:vAlign w:val="center"/>
            <w:textDirection w:val="lrTb"/>
            <w:noWrap w:val="false"/>
          </w:tcPr>
          <w:p>
            <w:pPr>
              <w:pStyle w:val="830"/>
              <w:ind w:firstLine="1433"/>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1134"/>
        </w:trPr>
        <w:tc>
          <w:tcPr>
            <w:tcW w:w="1526"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备注</w:t>
            </w:r>
            <w:r>
              <w:rPr>
                <w:rFonts w:hint="eastAsia" w:ascii="仿宋" w:hAnsi="仿宋" w:eastAsia="仿宋" w:cs="仿宋"/>
                <w:highlight w:val="none"/>
              </w:rPr>
            </w:r>
            <w:r/>
          </w:p>
        </w:tc>
        <w:tc>
          <w:tcPr>
            <w:gridSpan w:val="3"/>
            <w:tcW w:w="69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无需提供营业执照等证明材料</w:t>
            </w:r>
            <w:r>
              <w:rPr>
                <w:rFonts w:hint="eastAsia" w:ascii="仿宋" w:hAnsi="仿宋" w:eastAsia="仿宋" w:cs="仿宋"/>
                <w:highlight w:val="none"/>
              </w:rPr>
            </w:r>
            <w:r/>
          </w:p>
        </w:tc>
      </w:tr>
    </w:tbl>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20"/>
        <w:numPr>
          <w:ilvl w:val="0"/>
          <w:numId w:val="4"/>
        </w:numPr>
        <w:ind w:left="1440"/>
        <w:spacing w:before="100" w:beforeAutospacing="1" w:after="100" w:afterAutospacing="1"/>
        <w:widowControl/>
        <w:tabs>
          <w:tab w:val="left" w:pos="720" w:leader="none"/>
        </w:tabs>
        <w:rPr>
          <w:rFonts w:hint="eastAsia" w:ascii="仿宋" w:hAnsi="仿宋" w:eastAsia="仿宋" w:cs="仿宋"/>
          <w:highlight w:val="none"/>
        </w:rPr>
      </w:pPr>
      <w:r>
        <w:rPr>
          <w:rFonts w:hint="eastAsia" w:ascii="仿宋" w:hAnsi="仿宋" w:eastAsia="仿宋" w:cs="仿宋"/>
          <w:highlight w:val="none"/>
        </w:rPr>
      </w:r>
      <w:r/>
    </w:p>
    <w:p>
      <w:pPr>
        <w:pStyle w:val="830"/>
        <w:ind w:left="720"/>
        <w:spacing w:before="0" w:beforeAutospacing="0" w:after="0" w:afterAutospacing="0"/>
        <w:widowControl/>
        <w:rPr>
          <w:rFonts w:hint="eastAsia" w:ascii="仿宋" w:hAnsi="仿宋" w:eastAsia="仿宋" w:cs="仿宋"/>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 </w:t>
      </w:r>
      <w:r>
        <w:rPr>
          <w:rFonts w:hint="eastAsia" w:ascii="仿宋" w:hAnsi="仿宋" w:eastAsia="仿宋" w:cs="仿宋"/>
          <w:highlight w:val="none"/>
        </w:rPr>
      </w:r>
      <w:r/>
    </w:p>
    <w:p>
      <w:pPr>
        <w:pStyle w:val="820"/>
        <w:numPr>
          <w:ilvl w:val="0"/>
          <w:numId w:val="4"/>
        </w:numPr>
        <w:ind w:left="1440"/>
        <w:spacing w:before="100" w:beforeAutospacing="1" w:after="100" w:afterAutospacing="1"/>
        <w:widowControl/>
        <w:tabs>
          <w:tab w:val="left" w:pos="720" w:leader="none"/>
        </w:tabs>
        <w:rPr>
          <w:rFonts w:hint="eastAsia" w:ascii="仿宋" w:hAnsi="仿宋" w:eastAsia="仿宋" w:cs="仿宋"/>
          <w:highlight w:val="none"/>
        </w:rPr>
      </w:pP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431" w:name="_Toc20577"/>
      <w:r/>
      <w:bookmarkStart w:id="432" w:name="_Toc176774464"/>
      <w:r>
        <w:rPr>
          <w:rFonts w:hint="eastAsia" w:ascii="仿宋" w:hAnsi="仿宋" w:eastAsia="仿宋" w:cs="仿宋"/>
          <w:b/>
          <w:bCs/>
          <w:color w:val="000000"/>
          <w:sz w:val="32"/>
          <w:szCs w:val="32"/>
          <w:highlight w:val="none"/>
        </w:rPr>
        <w:t xml:space="preserve">二、投标声明及承诺函</w:t>
      </w:r>
      <w:bookmarkEnd w:id="431"/>
      <w:r/>
      <w:bookmarkEnd w:id="432"/>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投标声明及承诺函</w:t>
      </w:r>
      <w:r>
        <w:rPr>
          <w:rFonts w:hint="eastAsia" w:ascii="仿宋" w:hAnsi="仿宋" w:eastAsia="仿宋" w:cs="仿宋"/>
          <w:highlight w:val="none"/>
        </w:rPr>
      </w:r>
      <w:r/>
    </w:p>
    <w:p>
      <w:pPr>
        <w:pStyle w:val="83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u w:val="single"/>
        </w:rPr>
        <w:t xml:space="preserve">泗洪县住房和城乡建设局：</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根据已收到的项目编号为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u w:val="single"/>
        </w:rPr>
        <w:t xml:space="preserve"> 泗洪县城市生命线安全建设工程（一期）软件平台采购项目</w:t>
      </w:r>
      <w:r>
        <w:rPr>
          <w:rFonts w:hint="eastAsia" w:ascii="仿宋" w:hAnsi="仿宋" w:eastAsia="仿宋" w:cs="仿宋"/>
          <w:color w:val="000000"/>
          <w:highlight w:val="none"/>
        </w:rPr>
        <w:t xml:space="preserve">的招标文件，我方在参加本项目招投标活动中，特做出如下承诺：</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一、我方</w:t>
      </w:r>
      <w:r>
        <w:rPr>
          <w:rFonts w:hint="eastAsia" w:ascii="仿宋" w:hAnsi="仿宋" w:eastAsia="仿宋" w:cs="仿宋"/>
          <w:color w:val="000000"/>
          <w:highlight w:val="none"/>
          <w:shd w:val="clear" w:color="auto" w:fill="ffffff"/>
        </w:rPr>
        <w:t xml:space="preserve">具备《中华人民共和国政府采购法》第二十二条第一款规定的6项条件；</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二、我方在参加政府采购活动前</w:t>
      </w: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rPr>
        <w:t xml:space="preserve">年</w:t>
      </w:r>
      <w:r>
        <w:rPr>
          <w:rFonts w:hint="eastAsia" w:ascii="仿宋" w:hAnsi="仿宋" w:eastAsia="仿宋" w:cs="仿宋"/>
          <w:color w:val="000000"/>
          <w:highlight w:val="none"/>
        </w:rPr>
        <w:t xml:space="preserve">内（自本项目开标时间之日起计算），在经营活动中没有重大违法记录（指因违法经营受到刑事处罚或者责令停产停业、吊销许可证或者执照、较大数额罚款等行政处罚）。</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三、我方按招标文件要求提交投标文件，响应招标文件规定的投标有效期；</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四、如果我方的投标文件被接受，我方将按《中华人民共和国民法典（第三编合同）》及其他有关法律、法规的规定，按期、按质、按量交付采购单位，全面做到履约守信；</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五、我方若违背本声明及承诺约定，经查实，自愿接受采购人及相关主管部门相应的规定处理，并依法承担相应的法律责任。</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六、我方同意采购人、采购代理机构将本声明及承诺函上网公开。</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投标人名称：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（盖CA电子公章）</w:t>
      </w:r>
      <w:r>
        <w:rPr>
          <w:rFonts w:hint="eastAsia" w:ascii="仿宋" w:hAnsi="仿宋" w:eastAsia="仿宋" w:cs="仿宋"/>
          <w:highlight w:val="none"/>
        </w:rPr>
      </w:r>
      <w:r/>
    </w:p>
    <w:p>
      <w:pPr>
        <w:pStyle w:val="830"/>
        <w:ind w:firstLine="480"/>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rPr>
        <w:t xml:space="preserve">日期：    年    月   日</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 </w:t>
      </w:r>
      <w:bookmarkStart w:id="433" w:name="_Toc176774465"/>
      <w:r/>
      <w:bookmarkStart w:id="434" w:name="_Toc29506"/>
      <w:r>
        <w:rPr>
          <w:rFonts w:hint="eastAsia" w:ascii="仿宋" w:hAnsi="仿宋" w:eastAsia="仿宋" w:cs="仿宋"/>
          <w:b/>
          <w:bCs/>
          <w:color w:val="000000"/>
          <w:sz w:val="32"/>
          <w:szCs w:val="32"/>
          <w:highlight w:val="none"/>
        </w:rPr>
        <w:t xml:space="preserve">三、</w:t>
      </w:r>
      <w:bookmarkEnd w:id="433"/>
      <w:r>
        <w:rPr>
          <w:rFonts w:hint="eastAsia" w:ascii="仿宋" w:hAnsi="仿宋" w:eastAsia="仿宋" w:cs="仿宋"/>
          <w:b/>
          <w:bCs/>
          <w:color w:val="000000"/>
          <w:sz w:val="32"/>
          <w:szCs w:val="32"/>
          <w:highlight w:val="none"/>
        </w:rPr>
        <w:t xml:space="preserve">法人授权书</w:t>
      </w:r>
      <w:bookmarkEnd w:id="434"/>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bookmarkStart w:id="435" w:name="_Toc13550"/>
      <w:r>
        <w:rPr>
          <w:rFonts w:hint="eastAsia" w:ascii="仿宋" w:hAnsi="仿宋" w:eastAsia="仿宋" w:cs="仿宋"/>
          <w:color w:val="000000"/>
          <w:highlight w:val="none"/>
        </w:rPr>
        <w:t xml:space="preserve">本授权书声明：____________（投标人名称）授权________________（被授权人的姓名）为我方就</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号项目采购活动的合法代理人，以本单位名义全权处理一切与该项目采购有关的事务。</w:t>
      </w:r>
      <w:bookmarkEnd w:id="435"/>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rPr>
        <w:t xml:space="preserve">本授权书于______年____月____日起生效，特此声明。</w:t>
      </w:r>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rPr>
        <w:t xml:space="preserve">被授权人身份证号码：</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rPr>
        <w:t xml:space="preserve">被授权人联系电话：（手机）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rPr>
        <w:t xml:space="preserve">授权单位名称：（盖CA电子公章）</w:t>
      </w:r>
      <w:r>
        <w:rPr>
          <w:rFonts w:hint="eastAsia" w:ascii="仿宋" w:hAnsi="仿宋" w:eastAsia="仿宋" w:cs="仿宋"/>
          <w:color w:val="000000"/>
          <w:highlight w:val="none"/>
          <w:u w:val="singl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highlight w:val="none"/>
        </w:rPr>
        <w:t xml:space="preserve">单位地址：</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hint="eastAsia" w:ascii="仿宋" w:hAnsi="仿宋" w:eastAsia="仿宋" w:cs="仿宋"/>
          <w:highlight w:val="none"/>
        </w:rPr>
      </w:r>
      <w:r/>
    </w:p>
    <w:p>
      <w:pPr>
        <w:pStyle w:val="830"/>
        <w:ind w:firstLine="480"/>
        <w:spacing w:before="0" w:beforeAutospacing="0" w:after="0" w:afterAutospacing="0"/>
        <w:widowControl/>
        <w:rPr>
          <w:rFonts w:hint="eastAsia" w:ascii="仿宋" w:hAnsi="仿宋" w:eastAsia="仿宋" w:cs="仿宋"/>
          <w:highlight w:val="none"/>
        </w:rPr>
      </w:pPr>
      <w:r/>
      <w:bookmarkStart w:id="436" w:name="_Toc176774466"/>
      <w:r>
        <w:rPr>
          <w:rFonts w:hint="eastAsia" w:ascii="仿宋" w:hAnsi="仿宋" w:eastAsia="仿宋" w:cs="仿宋"/>
          <w:color w:val="000000"/>
          <w:highlight w:val="none"/>
        </w:rPr>
        <w:t xml:space="preserve">日期：</w:t>
      </w:r>
      <w:bookmarkEnd w:id="436"/>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hint="eastAsia" w:ascii="仿宋" w:hAnsi="仿宋" w:eastAsia="仿宋" w:cs="仿宋"/>
          <w:highlight w:val="none"/>
        </w:rPr>
      </w:r>
      <w:r/>
    </w:p>
    <w:p>
      <w:pPr>
        <w:pStyle w:val="830"/>
        <w:ind w:firstLine="48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440" w:name="_Toc176774467"/>
      <w:r>
        <w:rPr>
          <w:rFonts w:hint="eastAsia" w:ascii="仿宋" w:hAnsi="仿宋" w:eastAsia="仿宋" w:cs="仿宋"/>
          <w:b/>
          <w:bCs/>
          <w:color w:val="000000"/>
          <w:sz w:val="32"/>
          <w:szCs w:val="32"/>
          <w:highlight w:val="none"/>
        </w:rPr>
        <w:t xml:space="preserve">四、开标一览表</w:t>
      </w:r>
      <w:bookmarkEnd w:id="440"/>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color w:val="000000"/>
          <w:highlight w:val="none"/>
        </w:rPr>
        <w:t xml:space="preserve">投标人全称(CA公章) : 投标人名称</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采购项目编号：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采购项目名称：泗洪县城市生命线安全建设工程（一期）软件平台采购项目</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color w:val="000000"/>
          <w:highlight w:val="none"/>
        </w:rPr>
        <w:t xml:space="preserve">采购包号：</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524"/>
        <w:gridCol w:w="3008"/>
      </w:tblGrid>
      <w:tr>
        <w:trPr>
          <w:tblCellSpacing w:w="0" w:type="dxa"/>
        </w:trPr>
        <w:tc>
          <w:tcPr>
            <w:tcMar>
              <w:top w:w="100" w:type="dxa"/>
              <w:bottom w:w="100" w:type="dxa"/>
            </w:tcMar>
            <w:tcW w:w="5731" w:type="dxa"/>
            <w:vAlign w:val="center"/>
            <w:textDirection w:val="lrTb"/>
            <w:noWrap w:val="false"/>
          </w:tcPr>
          <w:p>
            <w:pPr>
              <w:pStyle w:val="830"/>
              <w:jc w:val="center"/>
              <w:spacing w:before="0" w:beforeAutospacing="0" w:after="0" w:afterAutospacing="0"/>
              <w:widowControl/>
              <w:rPr>
                <w:rFonts w:hint="eastAsia" w:ascii="仿宋" w:hAnsi="仿宋" w:eastAsia="仿宋" w:cs="仿宋"/>
                <w:highlight w:val="none"/>
              </w:rPr>
            </w:pPr>
            <w:r>
              <w:rPr>
                <w:rFonts w:hint="eastAsia" w:ascii="仿宋" w:hAnsi="仿宋" w:eastAsia="仿宋" w:cs="仿宋"/>
                <w:color w:val="000000"/>
                <w:sz w:val="21"/>
                <w:szCs w:val="21"/>
                <w:highlight w:val="none"/>
              </w:rPr>
              <w:t xml:space="preserve">标题</w:t>
            </w:r>
            <w:r>
              <w:rPr>
                <w:rFonts w:hint="eastAsia" w:ascii="仿宋" w:hAnsi="仿宋" w:eastAsia="仿宋" w:cs="仿宋"/>
                <w:highlight w:val="none"/>
              </w:rPr>
            </w:r>
            <w:r/>
          </w:p>
        </w:tc>
        <w:tc>
          <w:tcPr>
            <w:tcMar>
              <w:top w:w="100" w:type="dxa"/>
              <w:bottom w:w="100" w:type="dxa"/>
            </w:tcMar>
            <w:tcW w:w="3113" w:type="dxa"/>
            <w:vAlign w:val="center"/>
            <w:textDirection w:val="lrTb"/>
            <w:noWrap w:val="false"/>
          </w:tcPr>
          <w:p>
            <w:pPr>
              <w:pStyle w:val="830"/>
              <w:jc w:val="center"/>
              <w:spacing w:before="0" w:beforeAutospacing="0" w:after="0" w:afterAutospacing="0"/>
              <w:widowControl/>
              <w:rPr>
                <w:rFonts w:hint="eastAsia" w:ascii="仿宋" w:hAnsi="仿宋" w:eastAsia="仿宋" w:cs="仿宋"/>
                <w:highlight w:val="none"/>
              </w:rPr>
            </w:pPr>
            <w:r>
              <w:rPr>
                <w:rFonts w:hint="eastAsia" w:ascii="仿宋" w:hAnsi="仿宋" w:eastAsia="仿宋" w:cs="仿宋"/>
                <w:b/>
                <w:bCs/>
                <w:color w:val="000000"/>
                <w:sz w:val="21"/>
                <w:szCs w:val="21"/>
                <w:highlight w:val="none"/>
              </w:rPr>
              <w:t xml:space="preserve">内容</w:t>
            </w:r>
            <w:r>
              <w:rPr>
                <w:rFonts w:hint="eastAsia" w:ascii="仿宋" w:hAnsi="仿宋" w:eastAsia="仿宋" w:cs="仿宋"/>
                <w:highlight w:val="none"/>
              </w:rPr>
            </w:r>
            <w:r/>
          </w:p>
        </w:tc>
      </w:tr>
      <w:tr>
        <w:trPr>
          <w:tblCellSpacing w:w="0" w:type="dxa"/>
        </w:trPr>
        <w:tc>
          <w:tcPr>
            <w:tcMar>
              <w:top w:w="100" w:type="dxa"/>
              <w:bottom w:w="100" w:type="dxa"/>
            </w:tcMar>
            <w:tcW w:w="5731" w:type="dxa"/>
            <w:vAlign w:val="center"/>
            <w:textDirection w:val="lrTb"/>
            <w:noWrap w:val="false"/>
          </w:tcPr>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b/>
                <w:bCs/>
                <w:color w:val="000000"/>
                <w:sz w:val="21"/>
                <w:szCs w:val="21"/>
                <w:highlight w:val="none"/>
              </w:rPr>
              <w:t xml:space="preserve">报价 </w:t>
            </w:r>
            <w:r>
              <w:rPr>
                <w:rFonts w:hint="eastAsia" w:ascii="仿宋" w:hAnsi="仿宋" w:eastAsia="仿宋" w:cs="仿宋"/>
                <w:highlight w:val="none"/>
              </w:rPr>
            </w:r>
            <w:r/>
          </w:p>
        </w:tc>
        <w:tc>
          <w:tcPr>
            <w:tcMar>
              <w:top w:w="100" w:type="dxa"/>
              <w:bottom w:w="100" w:type="dxa"/>
            </w:tcMar>
            <w:tcW w:w="3113" w:type="dxa"/>
            <w:vAlign w:val="center"/>
            <w:textDirection w:val="lrTb"/>
            <w:noWrap w:val="false"/>
          </w:tcPr>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color w:val="000000"/>
                <w:sz w:val="21"/>
                <w:szCs w:val="21"/>
                <w:highlight w:val="none"/>
              </w:rPr>
              <w:t xml:space="preserve">元</w:t>
            </w:r>
            <w:r>
              <w:rPr>
                <w:rFonts w:hint="eastAsia" w:ascii="仿宋" w:hAnsi="仿宋" w:eastAsia="仿宋" w:cs="仿宋"/>
                <w:highlight w:val="none"/>
              </w:rPr>
            </w:r>
            <w:r/>
          </w:p>
        </w:tc>
      </w:tr>
    </w:tbl>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                         </w:t>
      </w:r>
      <w:bookmarkStart w:id="441" w:name="_Toc176774468"/>
      <w:r>
        <w:rPr>
          <w:rFonts w:hint="eastAsia" w:ascii="仿宋" w:hAnsi="仿宋" w:eastAsia="仿宋" w:cs="仿宋"/>
          <w:color w:val="000000"/>
          <w:highlight w:val="none"/>
        </w:rPr>
        <w:t xml:space="preserve">日期：     年     月     日</w:t>
      </w:r>
      <w:bookmarkEnd w:id="441"/>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 </w:t>
      </w:r>
      <w:bookmarkStart w:id="442" w:name="_Toc176774469"/>
      <w:r/>
      <w:bookmarkStart w:id="443" w:name="_Toc26543"/>
      <w:r>
        <w:rPr>
          <w:rFonts w:hint="eastAsia" w:ascii="仿宋" w:hAnsi="仿宋" w:eastAsia="仿宋" w:cs="仿宋"/>
          <w:b/>
          <w:bCs/>
          <w:color w:val="000000"/>
          <w:sz w:val="32"/>
          <w:szCs w:val="32"/>
          <w:highlight w:val="none"/>
        </w:rPr>
        <w:t xml:space="preserve">五、投标分项报价表</w:t>
      </w:r>
      <w:bookmarkEnd w:id="442"/>
      <w:r/>
      <w:bookmarkEnd w:id="443"/>
      <w:r>
        <w:rPr>
          <w:rFonts w:hint="eastAsia" w:ascii="仿宋" w:hAnsi="仿宋" w:eastAsia="仿宋" w:cs="仿宋"/>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219"/>
        <w:gridCol w:w="1207"/>
        <w:gridCol w:w="879"/>
        <w:gridCol w:w="1131"/>
        <w:gridCol w:w="1504"/>
        <w:gridCol w:w="1667"/>
      </w:tblGrid>
      <w:tr>
        <w:trPr>
          <w:tblCellSpacing w:w="0" w:type="dxa"/>
          <w:trHeight w:val="544"/>
        </w:trPr>
        <w:tc>
          <w:tcPr>
            <w:tcW w:w="948" w:type="dxa"/>
            <w:vAlign w:val="center"/>
            <w:vMerge w:val="restart"/>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序号</w:t>
            </w:r>
            <w:r>
              <w:rPr>
                <w:rFonts w:hint="eastAsia" w:ascii="仿宋" w:hAnsi="仿宋" w:eastAsia="仿宋" w:cs="仿宋"/>
                <w:highlight w:val="none"/>
              </w:rPr>
            </w:r>
            <w:r/>
          </w:p>
        </w:tc>
        <w:tc>
          <w:tcPr>
            <w:tcW w:w="127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1</w:t>
            </w:r>
            <w:r>
              <w:rPr>
                <w:rFonts w:hint="eastAsia" w:ascii="仿宋" w:hAnsi="仿宋" w:eastAsia="仿宋" w:cs="仿宋"/>
                <w:highlight w:val="none"/>
              </w:rPr>
            </w:r>
            <w:r/>
          </w:p>
        </w:tc>
        <w:tc>
          <w:tcPr>
            <w:tcW w:w="128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2</w:t>
            </w:r>
            <w:r>
              <w:rPr>
                <w:rFonts w:hint="eastAsia" w:ascii="仿宋" w:hAnsi="仿宋" w:eastAsia="仿宋" w:cs="仿宋"/>
                <w:highlight w:val="none"/>
              </w:rPr>
            </w:r>
            <w:r/>
          </w:p>
        </w:tc>
        <w:tc>
          <w:tcPr>
            <w:tcW w:w="92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3</w:t>
            </w:r>
            <w:r>
              <w:rPr>
                <w:rFonts w:hint="eastAsia" w:ascii="仿宋" w:hAnsi="仿宋" w:eastAsia="仿宋" w:cs="仿宋"/>
                <w:highlight w:val="none"/>
              </w:rPr>
            </w:r>
            <w:r/>
          </w:p>
        </w:tc>
        <w:tc>
          <w:tcPr>
            <w:tcW w:w="120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4</w:t>
            </w:r>
            <w:r>
              <w:rPr>
                <w:rFonts w:hint="eastAsia" w:ascii="仿宋" w:hAnsi="仿宋" w:eastAsia="仿宋" w:cs="仿宋"/>
                <w:highlight w:val="none"/>
              </w:rPr>
            </w:r>
            <w:r/>
          </w:p>
        </w:tc>
        <w:tc>
          <w:tcPr>
            <w:tcW w:w="16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5</w:t>
            </w:r>
            <w:r>
              <w:rPr>
                <w:rFonts w:hint="eastAsia" w:ascii="仿宋" w:hAnsi="仿宋" w:eastAsia="仿宋" w:cs="仿宋"/>
                <w:highlight w:val="none"/>
              </w:rPr>
            </w:r>
            <w:r/>
          </w:p>
        </w:tc>
        <w:tc>
          <w:tcPr>
            <w:tcW w:w="17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6</w:t>
            </w:r>
            <w:r>
              <w:rPr>
                <w:rFonts w:hint="eastAsia" w:ascii="仿宋" w:hAnsi="仿宋" w:eastAsia="仿宋" w:cs="仿宋"/>
                <w:highlight w:val="none"/>
              </w:rPr>
            </w:r>
            <w:r/>
          </w:p>
        </w:tc>
      </w:tr>
      <w:tr>
        <w:trPr>
          <w:tblCellSpacing w:w="0" w:type="dxa"/>
          <w:trHeight w:val="294"/>
        </w:trPr>
        <w:tc>
          <w:tcPr>
            <w:tcW w:w="948" w:type="dxa"/>
            <w:vAlign w:val="center"/>
            <w:vMerge w:val="continue"/>
            <w:textDirection w:val="lrTb"/>
            <w:noWrap w:val="false"/>
          </w:tcPr>
          <w:p>
            <w:pPr>
              <w:pStyle w:val="820"/>
              <w:rPr>
                <w:rFonts w:hint="eastAsia" w:ascii="仿宋" w:hAnsi="仿宋" w:eastAsia="仿宋" w:cs="仿宋"/>
                <w:sz w:val="24"/>
                <w:highlight w:val="none"/>
              </w:rPr>
            </w:pPr>
            <w:r>
              <w:rPr>
                <w:rFonts w:hint="eastAsia" w:ascii="仿宋" w:hAnsi="仿宋" w:eastAsia="仿宋" w:cs="仿宋"/>
                <w:sz w:val="24"/>
                <w:highlight w:val="none"/>
              </w:rPr>
            </w:r>
            <w:r/>
          </w:p>
        </w:tc>
        <w:tc>
          <w:tcPr>
            <w:tcW w:w="127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分项服务名称</w:t>
            </w:r>
            <w:r>
              <w:rPr>
                <w:rFonts w:hint="eastAsia" w:ascii="仿宋" w:hAnsi="仿宋" w:eastAsia="仿宋" w:cs="仿宋"/>
                <w:highlight w:val="none"/>
              </w:rPr>
            </w:r>
            <w:r/>
          </w:p>
        </w:tc>
        <w:tc>
          <w:tcPr>
            <w:tcW w:w="128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交付期</w:t>
            </w:r>
            <w:r>
              <w:rPr>
                <w:rFonts w:hint="eastAsia" w:ascii="仿宋" w:hAnsi="仿宋" w:eastAsia="仿宋" w:cs="仿宋"/>
                <w:highlight w:val="none"/>
              </w:rPr>
            </w:r>
            <w:r/>
          </w:p>
        </w:tc>
        <w:tc>
          <w:tcPr>
            <w:tcW w:w="92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分项单位</w:t>
            </w:r>
            <w:r>
              <w:rPr>
                <w:rFonts w:hint="eastAsia" w:ascii="仿宋" w:hAnsi="仿宋" w:eastAsia="仿宋" w:cs="仿宋"/>
                <w:highlight w:val="none"/>
              </w:rPr>
            </w:r>
            <w:r/>
          </w:p>
        </w:tc>
        <w:tc>
          <w:tcPr>
            <w:tcW w:w="120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数量</w:t>
            </w:r>
            <w:r>
              <w:rPr>
                <w:rFonts w:hint="eastAsia" w:ascii="仿宋" w:hAnsi="仿宋" w:eastAsia="仿宋" w:cs="仿宋"/>
                <w:highlight w:val="none"/>
              </w:rPr>
            </w:r>
            <w:r/>
          </w:p>
        </w:tc>
        <w:tc>
          <w:tcPr>
            <w:tcW w:w="16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分项</w:t>
            </w:r>
            <w:r>
              <w:rPr>
                <w:rFonts w:hint="eastAsia" w:ascii="仿宋" w:hAnsi="仿宋" w:eastAsia="仿宋" w:cs="仿宋"/>
                <w:highlight w:val="none"/>
              </w:rPr>
            </w:r>
            <w:r/>
          </w:p>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单价</w:t>
            </w:r>
            <w:r>
              <w:rPr>
                <w:rFonts w:hint="eastAsia" w:ascii="仿宋" w:hAnsi="仿宋" w:eastAsia="仿宋" w:cs="仿宋"/>
                <w:highlight w:val="none"/>
              </w:rPr>
            </w:r>
            <w:r/>
          </w:p>
        </w:tc>
        <w:tc>
          <w:tcPr>
            <w:tcW w:w="17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分项</w:t>
            </w:r>
            <w:r>
              <w:rPr>
                <w:rFonts w:hint="eastAsia" w:ascii="仿宋" w:hAnsi="仿宋" w:eastAsia="仿宋" w:cs="仿宋"/>
                <w:highlight w:val="none"/>
              </w:rPr>
            </w:r>
            <w:r/>
          </w:p>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总价</w:t>
            </w:r>
            <w:r>
              <w:rPr>
                <w:rFonts w:hint="eastAsia" w:ascii="仿宋" w:hAnsi="仿宋" w:eastAsia="仿宋" w:cs="仿宋"/>
                <w:highlight w:val="none"/>
              </w:rPr>
            </w:r>
            <w:r/>
          </w:p>
        </w:tc>
      </w:tr>
      <w:tr>
        <w:trPr>
          <w:tblCellSpacing w:w="0" w:type="dxa"/>
          <w:trHeight w:val="654"/>
        </w:trPr>
        <w:tc>
          <w:tcPr>
            <w:tcW w:w="94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1</w:t>
            </w:r>
            <w:r>
              <w:rPr>
                <w:rFonts w:hint="eastAsia" w:ascii="仿宋" w:hAnsi="仿宋" w:eastAsia="仿宋" w:cs="仿宋"/>
                <w:highlight w:val="none"/>
              </w:rPr>
            </w:r>
            <w:r/>
          </w:p>
        </w:tc>
        <w:tc>
          <w:tcPr>
            <w:tcW w:w="127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8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92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0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6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7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54"/>
        </w:trPr>
        <w:tc>
          <w:tcPr>
            <w:tcW w:w="94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2</w:t>
            </w:r>
            <w:r>
              <w:rPr>
                <w:rFonts w:hint="eastAsia" w:ascii="仿宋" w:hAnsi="仿宋" w:eastAsia="仿宋" w:cs="仿宋"/>
                <w:highlight w:val="none"/>
              </w:rPr>
            </w:r>
            <w:r/>
          </w:p>
        </w:tc>
        <w:tc>
          <w:tcPr>
            <w:tcW w:w="127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8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92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0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6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7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54"/>
        </w:trPr>
        <w:tc>
          <w:tcPr>
            <w:tcW w:w="94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3</w:t>
            </w:r>
            <w:r>
              <w:rPr>
                <w:rFonts w:hint="eastAsia" w:ascii="仿宋" w:hAnsi="仿宋" w:eastAsia="仿宋" w:cs="仿宋"/>
                <w:highlight w:val="none"/>
              </w:rPr>
            </w:r>
            <w:r/>
          </w:p>
        </w:tc>
        <w:tc>
          <w:tcPr>
            <w:tcW w:w="127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8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92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0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6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7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54"/>
        </w:trPr>
        <w:tc>
          <w:tcPr>
            <w:tcW w:w="94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w:t>
            </w:r>
            <w:r>
              <w:rPr>
                <w:rFonts w:hint="eastAsia" w:ascii="仿宋" w:hAnsi="仿宋" w:eastAsia="仿宋" w:cs="仿宋"/>
                <w:highlight w:val="none"/>
              </w:rPr>
            </w:r>
            <w:r/>
          </w:p>
        </w:tc>
        <w:tc>
          <w:tcPr>
            <w:tcW w:w="127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w:t>
            </w:r>
            <w:r>
              <w:rPr>
                <w:rFonts w:hint="eastAsia" w:ascii="仿宋" w:hAnsi="仿宋" w:eastAsia="仿宋" w:cs="仿宋"/>
                <w:highlight w:val="none"/>
              </w:rPr>
            </w:r>
            <w:r/>
          </w:p>
        </w:tc>
        <w:tc>
          <w:tcPr>
            <w:tcW w:w="128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924"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20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61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179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487"/>
        </w:trPr>
        <w:tc>
          <w:tcPr>
            <w:gridSpan w:val="6"/>
            <w:tcW w:w="72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投标总报价（人民币：元）</w:t>
            </w:r>
            <w:r>
              <w:rPr>
                <w:rFonts w:hint="eastAsia" w:ascii="仿宋" w:hAnsi="仿宋" w:eastAsia="仿宋" w:cs="仿宋"/>
                <w:highlight w:val="none"/>
              </w:rPr>
            </w:r>
            <w:r/>
          </w:p>
        </w:tc>
        <w:tc>
          <w:tcPr>
            <w:tcW w:w="1798" w:type="dxa"/>
            <w:vAlign w:val="center"/>
            <w:textDirection w:val="lrTb"/>
            <w:noWrap w:val="false"/>
          </w:tcPr>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bl>
    <w:p>
      <w:pPr>
        <w:pStyle w:val="830"/>
        <w:ind w:firstLine="48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rPr>
        <w:t xml:space="preserve">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00"/>
          <w:highlight w:val="none"/>
        </w:rPr>
        <w:t xml:space="preserve">2. “投标分项报价表”中“投标总报价”数额应当与“开标一览表”中“投标总报价”数额一致。</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445" w:name="_Toc176774470"/>
      <w:r>
        <w:rPr>
          <w:rFonts w:hint="eastAsia" w:ascii="仿宋" w:hAnsi="仿宋" w:eastAsia="仿宋" w:cs="仿宋"/>
          <w:b/>
          <w:bCs/>
          <w:color w:val="000000"/>
          <w:sz w:val="32"/>
          <w:szCs w:val="32"/>
          <w:highlight w:val="none"/>
        </w:rPr>
        <w:t xml:space="preserve">六、中小企业或残疾人福利性单位声明函</w:t>
      </w:r>
      <w:bookmarkEnd w:id="445"/>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6"/>
          <w:szCs w:val="36"/>
          <w:highlight w:val="none"/>
        </w:rPr>
        <w:t xml:space="preserve">中小企业声明函（服务）</w:t>
      </w:r>
      <w:r>
        <w:rPr>
          <w:rFonts w:hint="eastAsia" w:ascii="仿宋" w:hAnsi="仿宋" w:eastAsia="仿宋" w:cs="仿宋"/>
          <w:highlight w:val="none"/>
        </w:rPr>
      </w:r>
      <w:r/>
    </w:p>
    <w:p>
      <w:pPr>
        <w:pStyle w:val="830"/>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highlight w:val="none"/>
          <w:u w:val="single"/>
        </w:rPr>
        <w:t xml:space="preserve"> 单位名称  </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u w:val="single"/>
        </w:rPr>
        <w:t xml:space="preserve">项目名称）</w:t>
      </w:r>
      <w:r>
        <w:rPr>
          <w:rFonts w:hint="eastAsia" w:ascii="仿宋" w:hAnsi="仿宋" w:eastAsia="仿宋" w:cs="仿宋"/>
          <w:color w:val="000000"/>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1. </w:t>
      </w:r>
      <w:r>
        <w:rPr>
          <w:rFonts w:hint="eastAsia" w:ascii="仿宋" w:hAnsi="仿宋" w:eastAsia="仿宋" w:cs="仿宋"/>
          <w:color w:val="000000"/>
          <w:highlight w:val="none"/>
          <w:u w:val="single"/>
        </w:rPr>
        <w:t xml:space="preserve">标的名称          </w:t>
      </w:r>
      <w:r>
        <w:rPr>
          <w:rFonts w:hint="eastAsia" w:ascii="仿宋" w:hAnsi="仿宋" w:eastAsia="仿宋" w:cs="仿宋"/>
          <w:color w:val="000000"/>
          <w:highlight w:val="none"/>
        </w:rPr>
        <w:t xml:space="preserve">，属于（</w:t>
      </w:r>
      <w:r>
        <w:rPr>
          <w:rFonts w:hint="eastAsia" w:ascii="仿宋" w:hAnsi="仿宋" w:eastAsia="仿宋" w:cs="仿宋"/>
          <w:i/>
          <w:iCs/>
          <w:color w:val="000000"/>
          <w:highlight w:val="none"/>
          <w:u w:val="single"/>
        </w:rPr>
        <w:t xml:space="preserve">采购文件中明确的所属行业）</w:t>
      </w:r>
      <w:r>
        <w:rPr>
          <w:rFonts w:hint="eastAsia" w:ascii="仿宋" w:hAnsi="仿宋" w:eastAsia="仿宋" w:cs="仿宋"/>
          <w:color w:val="000000"/>
          <w:highlight w:val="none"/>
          <w:u w:val="single"/>
        </w:rPr>
        <w:t xml:space="preserve">行业</w:t>
      </w:r>
      <w:r>
        <w:rPr>
          <w:rFonts w:hint="eastAsia" w:ascii="仿宋" w:hAnsi="仿宋" w:eastAsia="仿宋" w:cs="仿宋"/>
          <w:color w:val="000000"/>
          <w:highlight w:val="none"/>
        </w:rPr>
        <w:t xml:space="preserve">；承建（承接）企业为</w:t>
      </w:r>
      <w:r>
        <w:rPr>
          <w:rFonts w:hint="eastAsia" w:ascii="仿宋" w:hAnsi="仿宋" w:eastAsia="仿宋" w:cs="仿宋"/>
          <w:color w:val="000000"/>
          <w:highlight w:val="none"/>
          <w:u w:val="single"/>
        </w:rPr>
        <w:t xml:space="preserve">（企业名称）  </w:t>
      </w:r>
      <w:r>
        <w:rPr>
          <w:rFonts w:hint="eastAsia" w:ascii="仿宋" w:hAnsi="仿宋" w:eastAsia="仿宋" w:cs="仿宋"/>
          <w:color w:val="000000"/>
          <w:highlight w:val="none"/>
        </w:rPr>
        <w:t xml:space="preserve">，从业人员</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人，营业收入为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万元，资产总额为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万元</w:t>
      </w:r>
      <w:r>
        <w:rPr>
          <w:rFonts w:hint="eastAsia" w:ascii="仿宋" w:hAnsi="仿宋" w:eastAsia="仿宋" w:cs="仿宋"/>
          <w:color w:val="000000"/>
          <w:highlight w:val="none"/>
          <w:vertAlign w:val="superscript"/>
        </w:rPr>
        <w:t xml:space="preserve">1</w:t>
      </w:r>
      <w:r>
        <w:rPr>
          <w:rFonts w:hint="eastAsia" w:ascii="仿宋" w:hAnsi="仿宋" w:eastAsia="仿宋" w:cs="仿宋"/>
          <w:color w:val="000000"/>
          <w:highlight w:val="none"/>
        </w:rPr>
        <w:t xml:space="preserve">，属于</w:t>
      </w:r>
      <w:r>
        <w:rPr>
          <w:rFonts w:hint="eastAsia" w:ascii="仿宋" w:hAnsi="仿宋" w:eastAsia="仿宋" w:cs="仿宋"/>
          <w:color w:val="000000"/>
          <w:highlight w:val="none"/>
          <w:u w:val="single"/>
        </w:rPr>
        <w:t xml:space="preserve">（中型企业、小型企业、微型企业）；</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2. </w:t>
      </w:r>
      <w:r>
        <w:rPr>
          <w:rFonts w:hint="eastAsia" w:ascii="仿宋" w:hAnsi="仿宋" w:eastAsia="仿宋" w:cs="仿宋"/>
          <w:color w:val="000000"/>
          <w:highlight w:val="none"/>
          <w:u w:val="single"/>
        </w:rPr>
        <w:t xml:space="preserve">标的名称          </w:t>
      </w:r>
      <w:r>
        <w:rPr>
          <w:rFonts w:hint="eastAsia" w:ascii="仿宋" w:hAnsi="仿宋" w:eastAsia="仿宋" w:cs="仿宋"/>
          <w:color w:val="000000"/>
          <w:highlight w:val="none"/>
        </w:rPr>
        <w:t xml:space="preserve">，属于（</w:t>
      </w:r>
      <w:r>
        <w:rPr>
          <w:rFonts w:hint="eastAsia" w:ascii="仿宋" w:hAnsi="仿宋" w:eastAsia="仿宋" w:cs="仿宋"/>
          <w:i/>
          <w:iCs/>
          <w:color w:val="000000"/>
          <w:highlight w:val="none"/>
          <w:u w:val="single"/>
        </w:rPr>
        <w:t xml:space="preserve">采购文件中明确的所属行业）</w:t>
      </w:r>
      <w:r>
        <w:rPr>
          <w:rFonts w:hint="eastAsia" w:ascii="仿宋" w:hAnsi="仿宋" w:eastAsia="仿宋" w:cs="仿宋"/>
          <w:color w:val="000000"/>
          <w:highlight w:val="none"/>
          <w:u w:val="single"/>
        </w:rPr>
        <w:t xml:space="preserve">行业</w:t>
      </w:r>
      <w:r>
        <w:rPr>
          <w:rFonts w:hint="eastAsia" w:ascii="仿宋" w:hAnsi="仿宋" w:eastAsia="仿宋" w:cs="仿宋"/>
          <w:color w:val="000000"/>
          <w:highlight w:val="none"/>
        </w:rPr>
        <w:t xml:space="preserve">；承建（承接）企业为</w:t>
      </w:r>
      <w:r>
        <w:rPr>
          <w:rFonts w:hint="eastAsia" w:ascii="仿宋" w:hAnsi="仿宋" w:eastAsia="仿宋" w:cs="仿宋"/>
          <w:color w:val="000000"/>
          <w:highlight w:val="none"/>
          <w:u w:val="single"/>
        </w:rPr>
        <w:t xml:space="preserve">（企业名称）   </w:t>
      </w:r>
      <w:r>
        <w:rPr>
          <w:rFonts w:hint="eastAsia" w:ascii="仿宋" w:hAnsi="仿宋" w:eastAsia="仿宋" w:cs="仿宋"/>
          <w:color w:val="000000"/>
          <w:highlight w:val="none"/>
        </w:rPr>
        <w:t xml:space="preserve">，从业人员</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人，营业收入为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万元，资产总额为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万元，属于</w:t>
      </w:r>
      <w:r>
        <w:rPr>
          <w:rFonts w:hint="eastAsia" w:ascii="仿宋" w:hAnsi="仿宋" w:eastAsia="仿宋" w:cs="仿宋"/>
          <w:color w:val="000000"/>
          <w:highlight w:val="none"/>
          <w:u w:val="single"/>
        </w:rPr>
        <w:t xml:space="preserve">（中型企业、小型企业、微型企业）；</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以上企业，不属于大企业的分支机构，不存在控股股东为大企业的情形，也不存在与大企业的负责人为同一人的情形。</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本企业对上述声明内容的真实性负责。如有虚假，将依法承担相应责任。</w:t>
      </w:r>
      <w:r>
        <w:rPr>
          <w:rFonts w:hint="eastAsia" w:ascii="仿宋" w:hAnsi="仿宋" w:eastAsia="仿宋" w:cs="仿宋"/>
          <w:highlight w:val="none"/>
        </w:rPr>
      </w:r>
      <w:r/>
    </w:p>
    <w:p>
      <w:pPr>
        <w:pStyle w:val="830"/>
        <w:ind w:firstLine="48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企业名称（盖CA电子公章）：</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日期：  年  月  日</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151" w:beforeAutospacing="0" w:after="151" w:afterAutospacing="0" w:line="0" w:lineRule="atLeast"/>
        <w:rPr>
          <w:rFonts w:hint="eastAsia" w:ascii="仿宋" w:hAnsi="仿宋" w:eastAsia="仿宋" w:cs="仿宋"/>
          <w:highlight w:val="none"/>
        </w:rPr>
      </w:pPr>
      <w:r>
        <w:rPr>
          <w:rFonts w:hint="eastAsia" w:ascii="仿宋" w:hAnsi="仿宋" w:eastAsia="仿宋" w:cs="仿宋"/>
          <w:color w:val="000000"/>
          <w:sz w:val="18"/>
          <w:szCs w:val="18"/>
          <w:highlight w:val="none"/>
          <w:vertAlign w:val="superscript"/>
        </w:rPr>
        <w:t xml:space="preserve">1</w:t>
      </w:r>
      <w:r>
        <w:rPr>
          <w:rFonts w:hint="eastAsia" w:ascii="仿宋" w:hAnsi="仿宋" w:eastAsia="仿宋" w:cs="仿宋"/>
          <w:color w:val="000000"/>
          <w:sz w:val="18"/>
          <w:szCs w:val="18"/>
          <w:highlight w:val="none"/>
        </w:rPr>
        <w:t xml:space="preserve">从业人员、营业收入、资产总额填报上一年数据，无上一年数据的新成立企业可不填报。</w:t>
      </w:r>
      <w:r>
        <w:rPr>
          <w:rFonts w:hint="eastAsia" w:ascii="仿宋" w:hAnsi="仿宋" w:eastAsia="仿宋" w:cs="仿宋"/>
          <w:highlight w:val="none"/>
        </w:rPr>
      </w:r>
      <w:r/>
    </w:p>
    <w:p>
      <w:pPr>
        <w:pStyle w:val="830"/>
        <w:jc w:val="center"/>
        <w:spacing w:before="151" w:beforeAutospacing="0" w:after="151"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151" w:beforeAutospacing="0" w:after="151"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center"/>
        <w:spacing w:before="151" w:beforeAutospacing="0" w:after="151" w:afterAutospacing="0" w:line="0" w:lineRule="atLeast"/>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残疾人福利性单位声明函（采购包号：）</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highlight w:val="none"/>
        </w:rPr>
      </w:r>
      <w:r/>
    </w:p>
    <w:p>
      <w:pPr>
        <w:pStyle w:val="830"/>
        <w:ind w:firstLine="48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本单位对上述声明的真实性负责。如有虚假，将依法承担相应责任。</w:t>
      </w:r>
      <w:r>
        <w:rPr>
          <w:rFonts w:hint="eastAsia" w:ascii="仿宋" w:hAnsi="仿宋" w:eastAsia="仿宋" w:cs="仿宋"/>
          <w:highlight w:val="none"/>
        </w:rPr>
      </w:r>
      <w:r/>
    </w:p>
    <w:p>
      <w:pPr>
        <w:pStyle w:val="830"/>
        <w:ind w:firstLine="381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3629"/>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单位名称：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（盖CA电子公章）</w:t>
      </w:r>
      <w:r>
        <w:rPr>
          <w:rFonts w:hint="eastAsia" w:ascii="仿宋" w:hAnsi="仿宋" w:eastAsia="仿宋" w:cs="仿宋"/>
          <w:highlight w:val="none"/>
        </w:rPr>
      </w:r>
      <w:r/>
    </w:p>
    <w:p>
      <w:pPr>
        <w:pStyle w:val="830"/>
        <w:ind w:firstLine="480"/>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日期：  年  月  日</w:t>
      </w:r>
      <w:r>
        <w:rPr>
          <w:rFonts w:hint="eastAsia" w:ascii="仿宋" w:hAnsi="仿宋" w:eastAsia="仿宋" w:cs="仿宋"/>
          <w:highlight w:val="none"/>
        </w:rPr>
      </w:r>
      <w:r/>
    </w:p>
    <w:p>
      <w:pPr>
        <w:pStyle w:val="830"/>
        <w:ind w:right="1560" w:firstLine="480"/>
        <w:jc w:val="center"/>
        <w:spacing w:before="0" w:beforeAutospacing="0" w:after="0" w:afterAutospacing="0" w:line="0" w:lineRule="atLeast"/>
        <w:tabs>
          <w:tab w:val="left" w:pos="4864" w:leader="none"/>
        </w:tabs>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left="357"/>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sz w:val="18"/>
          <w:szCs w:val="18"/>
          <w:highlight w:val="none"/>
        </w:rPr>
        <w:t xml:space="preserve">注：1、投标人如不提供此声明函，价格将不做相应扣除。2、中标投标人为残疾人福利单位的，此声明函将随中标结果同时公告，接受社会监督；3、非残疾人福利性单位不需提供此函。</w:t>
      </w:r>
      <w:r>
        <w:rPr>
          <w:rFonts w:hint="eastAsia" w:ascii="仿宋" w:hAnsi="仿宋" w:eastAsia="仿宋" w:cs="仿宋"/>
          <w:highlight w:val="none"/>
        </w:rPr>
      </w:r>
      <w:r/>
    </w:p>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446" w:name="_Toc32083"/>
      <w:r/>
      <w:bookmarkStart w:id="447" w:name="_Toc176774471"/>
      <w:r>
        <w:rPr>
          <w:rFonts w:hint="eastAsia" w:ascii="仿宋" w:hAnsi="仿宋" w:eastAsia="仿宋" w:cs="仿宋"/>
          <w:b/>
          <w:bCs/>
          <w:color w:val="000000"/>
          <w:sz w:val="32"/>
          <w:szCs w:val="32"/>
          <w:highlight w:val="none"/>
        </w:rPr>
        <w:t xml:space="preserve">七、</w:t>
      </w:r>
      <w:bookmarkEnd w:id="447"/>
      <w:r>
        <w:rPr>
          <w:rFonts w:hint="eastAsia" w:ascii="仿宋" w:hAnsi="仿宋" w:eastAsia="仿宋" w:cs="仿宋"/>
          <w:b/>
          <w:bCs/>
          <w:color w:val="000000"/>
          <w:sz w:val="32"/>
          <w:szCs w:val="32"/>
          <w:highlight w:val="none"/>
        </w:rPr>
        <w:t xml:space="preserve">技术参数响应（响应偏离表）</w:t>
      </w:r>
      <w:bookmarkEnd w:id="446"/>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color w:val="000000"/>
          <w:sz w:val="32"/>
          <w:szCs w:val="32"/>
          <w:highlight w:val="none"/>
        </w:rPr>
        <w:t xml:space="preserve">投标响应偏离表（采购包号：）</w:t>
      </w:r>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2608"/>
        <w:gridCol w:w="2608"/>
      </w:tblGrid>
      <w:tr>
        <w:trPr>
          <w:tblCellSpacing w:w="0" w:type="dxa"/>
          <w:trHeight w:val="665"/>
        </w:trPr>
        <w:tc>
          <w:tcPr>
            <w:tcW w:w="3055" w:type="dxa"/>
            <w:vAlign w:val="center"/>
            <w:textDirection w:val="lrTb"/>
            <w:noWrap w:val="false"/>
          </w:tcPr>
          <w:p>
            <w:pPr>
              <w:pStyle w:val="830"/>
              <w:jc w:val="center"/>
              <w:spacing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sz w:val="28"/>
                <w:szCs w:val="28"/>
                <w:highlight w:val="none"/>
              </w:rPr>
              <w:t xml:space="preserve">招标文件内容</w:t>
            </w:r>
            <w:r>
              <w:rPr>
                <w:rFonts w:hint="eastAsia" w:ascii="仿宋" w:hAnsi="仿宋" w:eastAsia="仿宋" w:cs="仿宋"/>
                <w:highlight w:val="none"/>
              </w:rPr>
            </w:r>
            <w:r/>
          </w:p>
        </w:tc>
        <w:tc>
          <w:tcPr>
            <w:tcW w:w="2608" w:type="dxa"/>
            <w:vAlign w:val="center"/>
            <w:textDirection w:val="lrTb"/>
            <w:noWrap w:val="false"/>
          </w:tcPr>
          <w:p>
            <w:pPr>
              <w:pStyle w:val="830"/>
              <w:jc w:val="center"/>
              <w:spacing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sz w:val="28"/>
                <w:szCs w:val="28"/>
                <w:highlight w:val="none"/>
              </w:rPr>
              <w:t xml:space="preserve">投标文件内容</w:t>
            </w:r>
            <w:r>
              <w:rPr>
                <w:rFonts w:hint="eastAsia" w:ascii="仿宋" w:hAnsi="仿宋" w:eastAsia="仿宋" w:cs="仿宋"/>
                <w:highlight w:val="none"/>
              </w:rPr>
            </w:r>
            <w:r/>
          </w:p>
        </w:tc>
        <w:tc>
          <w:tcPr>
            <w:tcW w:w="2608" w:type="dxa"/>
            <w:vAlign w:val="center"/>
            <w:textDirection w:val="lrTb"/>
            <w:noWrap w:val="false"/>
          </w:tcPr>
          <w:p>
            <w:pPr>
              <w:pStyle w:val="830"/>
              <w:jc w:val="center"/>
              <w:spacing w:beforeAutospacing="0" w:after="0" w:afterAutospacing="0" w:line="0" w:lineRule="atLeast"/>
              <w:widowControl/>
              <w:rPr>
                <w:rFonts w:hint="eastAsia" w:ascii="仿宋" w:hAnsi="仿宋" w:eastAsia="仿宋" w:cs="仿宋"/>
                <w:highlight w:val="none"/>
              </w:rPr>
            </w:pPr>
            <w:r>
              <w:rPr>
                <w:rFonts w:hint="eastAsia" w:ascii="仿宋" w:hAnsi="仿宋" w:eastAsia="仿宋" w:cs="仿宋"/>
                <w:color w:val="000000"/>
                <w:sz w:val="28"/>
                <w:szCs w:val="28"/>
                <w:highlight w:val="none"/>
              </w:rPr>
              <w:t xml:space="preserve">偏离内容及说明</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665"/>
        </w:trPr>
        <w:tc>
          <w:tcPr>
            <w:tcW w:w="305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W w:w="2608"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bl>
    <w:p>
      <w:pPr>
        <w:pStyle w:val="830"/>
        <w:jc w:val="right"/>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highlight w:val="none"/>
        </w:rPr>
        <w:t xml:space="preserve">单位名称：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（电子签章） </w:t>
      </w:r>
      <w:r>
        <w:rPr>
          <w:rFonts w:hint="eastAsia" w:ascii="仿宋" w:hAnsi="仿宋" w:eastAsia="仿宋" w:cs="仿宋"/>
          <w:highlight w:val="none"/>
        </w:rPr>
      </w:r>
      <w:r/>
    </w:p>
    <w:p>
      <w:pPr>
        <w:pStyle w:val="830"/>
        <w:ind w:firstLine="482"/>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highlight w:val="none"/>
        </w:rPr>
        <w:t xml:space="preserve">注：1、投标人必须对技术要求和商务要求中的实质性要求（打“★”内容）做出明确响应，否则作无效响应处理。</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highlight w:val="none"/>
        </w:rPr>
        <w:t xml:space="preserve">2、凡投标文件中所投货物或服务与招标文件有偏离的（包括正偏离，用+号表示和负偏离，用-号表示），均应在此表中详细列出并说明理由（内容较多的可以标注见投标文件第几页）。</w:t>
      </w:r>
      <w:r>
        <w:rPr>
          <w:rFonts w:hint="eastAsia" w:ascii="仿宋" w:hAnsi="仿宋" w:eastAsia="仿宋" w:cs="仿宋"/>
          <w:highlight w:val="none"/>
        </w:rPr>
      </w:r>
      <w:r/>
    </w:p>
    <w:p>
      <w:pPr>
        <w:pStyle w:val="83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b/>
          <w:bCs/>
          <w:color w:val="000000"/>
          <w:highlight w:val="none"/>
        </w:rPr>
        <w:t xml:space="preserve">3、投标人所投产品如与招标文件要求的规格及配置不一致，则须在上表偏离说明中详细注明。</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449" w:name="_Toc176774472"/>
      <w:r>
        <w:rPr>
          <w:rFonts w:hint="eastAsia" w:ascii="仿宋" w:hAnsi="仿宋" w:eastAsia="仿宋" w:cs="仿宋"/>
          <w:b/>
          <w:bCs/>
          <w:color w:val="000000"/>
          <w:sz w:val="32"/>
          <w:szCs w:val="32"/>
          <w:highlight w:val="none"/>
        </w:rPr>
        <w:t xml:space="preserve">八、企业业绩</w:t>
      </w:r>
      <w:bookmarkEnd w:id="449"/>
      <w:r>
        <w:rPr>
          <w:rFonts w:hint="eastAsia" w:ascii="仿宋" w:hAnsi="仿宋" w:eastAsia="仿宋" w:cs="仿宋"/>
          <w:highlight w:val="none"/>
        </w:rPr>
      </w:r>
      <w:r/>
    </w:p>
    <w:p>
      <w:pPr>
        <w:pStyle w:val="830"/>
        <w:jc w:val="center"/>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sz w:val="32"/>
          <w:szCs w:val="32"/>
          <w:highlight w:val="none"/>
        </w:rPr>
        <w:t xml:space="preserve">投标人承担类似项目业绩一览表</w:t>
      </w:r>
      <w:r>
        <w:rPr>
          <w:rFonts w:hint="eastAsia" w:ascii="仿宋" w:hAnsi="仿宋" w:eastAsia="仿宋" w:cs="仿宋"/>
          <w:highlight w:val="non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3661"/>
        <w:gridCol w:w="2337"/>
        <w:gridCol w:w="1351"/>
      </w:tblGrid>
      <w:tr>
        <w:trPr>
          <w:tblCellSpacing w:w="0" w:type="dxa"/>
          <w:trHeight w:val="753"/>
        </w:trPr>
        <w:tc>
          <w:tcPr>
            <w:tcMar>
              <w:left w:w="108" w:type="dxa"/>
              <w:right w:w="108" w:type="dxa"/>
            </w:tcMar>
            <w:tcW w:w="1229"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highlight w:val="none"/>
              </w:rPr>
            </w:r>
            <w:r/>
          </w:p>
        </w:tc>
        <w:tc>
          <w:tcPr>
            <w:tcMar>
              <w:left w:w="108" w:type="dxa"/>
              <w:right w:w="108" w:type="dxa"/>
            </w:tcMar>
            <w:tcW w:w="3827"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highlight w:val="none"/>
              </w:rPr>
            </w:r>
            <w:r/>
          </w:p>
        </w:tc>
        <w:tc>
          <w:tcPr>
            <w:tcMar>
              <w:left w:w="108" w:type="dxa"/>
              <w:right w:w="108" w:type="dxa"/>
            </w:tcMar>
            <w:tcW w:w="243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sz w:val="28"/>
                <w:szCs w:val="28"/>
                <w:highlight w:val="none"/>
              </w:rPr>
              <w:t xml:space="preserve">采购单位</w:t>
            </w:r>
            <w:r>
              <w:rPr>
                <w:rFonts w:hint="eastAsia" w:ascii="仿宋" w:hAnsi="仿宋" w:eastAsia="仿宋" w:cs="仿宋"/>
                <w:highlight w:val="none"/>
              </w:rPr>
            </w:r>
            <w:r/>
          </w:p>
        </w:tc>
        <w:tc>
          <w:tcPr>
            <w:tcMar>
              <w:left w:w="108" w:type="dxa"/>
              <w:right w:w="108" w:type="dxa"/>
            </w:tcMar>
            <w:tcW w:w="139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color w:val="000000"/>
                <w:sz w:val="28"/>
                <w:szCs w:val="28"/>
                <w:highlight w:val="none"/>
              </w:rPr>
              <w:t xml:space="preserve">合同金额</w:t>
            </w:r>
            <w:r>
              <w:rPr>
                <w:rFonts w:hint="eastAsia" w:ascii="仿宋" w:hAnsi="仿宋" w:eastAsia="仿宋" w:cs="仿宋"/>
                <w:highlight w:val="none"/>
              </w:rPr>
            </w:r>
            <w:r/>
          </w:p>
        </w:tc>
      </w:tr>
      <w:tr>
        <w:trPr>
          <w:tblCellSpacing w:w="0" w:type="dxa"/>
          <w:trHeight w:val="1510"/>
        </w:trPr>
        <w:tc>
          <w:tcPr>
            <w:tcMar>
              <w:left w:w="108" w:type="dxa"/>
              <w:right w:w="108" w:type="dxa"/>
            </w:tcMar>
            <w:tcW w:w="1229"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3827"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243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139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1510"/>
        </w:trPr>
        <w:tc>
          <w:tcPr>
            <w:tcMar>
              <w:left w:w="108" w:type="dxa"/>
              <w:right w:w="108" w:type="dxa"/>
            </w:tcMar>
            <w:tcW w:w="1229"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3827"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243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139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1510"/>
        </w:trPr>
        <w:tc>
          <w:tcPr>
            <w:tcMar>
              <w:left w:w="108" w:type="dxa"/>
              <w:right w:w="108" w:type="dxa"/>
            </w:tcMar>
            <w:tcW w:w="1229"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3827"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243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139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r>
        <w:trPr>
          <w:tblCellSpacing w:w="0" w:type="dxa"/>
          <w:trHeight w:val="1525"/>
        </w:trPr>
        <w:tc>
          <w:tcPr>
            <w:tcMar>
              <w:left w:w="108" w:type="dxa"/>
              <w:right w:w="108" w:type="dxa"/>
            </w:tcMar>
            <w:tcW w:w="1229"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3827"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2433"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c>
          <w:tcPr>
            <w:tcMar>
              <w:left w:w="108" w:type="dxa"/>
              <w:right w:w="108" w:type="dxa"/>
            </w:tcMar>
            <w:tcW w:w="1395" w:type="dxa"/>
            <w:vAlign w:val="center"/>
            <w:textDirection w:val="lrTb"/>
            <w:noWrap w:val="false"/>
          </w:tcPr>
          <w:p>
            <w:pPr>
              <w:pStyle w:val="830"/>
              <w:jc w:val="center"/>
              <w:spacing w:before="0" w:beforeAutospacing="0" w:after="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tc>
      </w:tr>
    </w:tbl>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b/>
          <w:bCs/>
          <w:color w:val="000000"/>
          <w:highlight w:val="none"/>
        </w:rPr>
        <w:t xml:space="preserve">注：请填写此表，并按要求上传业绩资料电子件。</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2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ind w:firstLine="42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bookmarkStart w:id="450" w:name="_Toc176774473"/>
      <w:r>
        <w:rPr>
          <w:rFonts w:hint="eastAsia" w:ascii="仿宋" w:hAnsi="仿宋" w:eastAsia="仿宋" w:cs="仿宋"/>
          <w:b/>
          <w:bCs/>
          <w:color w:val="000000"/>
          <w:sz w:val="32"/>
          <w:szCs w:val="32"/>
          <w:highlight w:val="none"/>
        </w:rPr>
        <w:t xml:space="preserve">九、投标所需其他材料</w:t>
      </w:r>
      <w:bookmarkEnd w:id="450"/>
      <w:r>
        <w:rPr>
          <w:rFonts w:hint="eastAsia" w:ascii="仿宋" w:hAnsi="仿宋" w:eastAsia="仿宋" w:cs="仿宋"/>
          <w:highlight w:val="none"/>
        </w:rPr>
      </w:r>
      <w:r/>
    </w:p>
    <w:p>
      <w:pPr>
        <w:pStyle w:val="830"/>
        <w:ind w:firstLine="42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sz w:val="21"/>
          <w:szCs w:val="21"/>
          <w:highlight w:val="none"/>
        </w:rPr>
        <w:t xml:space="preserve">请在此文档中增加投标所需其他相关内容（包括评分办法、采购需求中涉及的证件证明及其它投标人认为有必要提供的资料），如没有请将此空文档上传。</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80"/>
          <w:sz w:val="20"/>
          <w:szCs w:val="20"/>
          <w:highlight w:val="none"/>
          <w:shd w:val="clear" w:color="auto" w:fill="ffffff"/>
        </w:rPr>
        <w:t xml:space="preserve"> </w:t>
      </w:r>
      <w:r>
        <w:rPr>
          <w:rFonts w:hint="eastAsia" w:ascii="仿宋" w:hAnsi="仿宋" w:eastAsia="仿宋" w:cs="仿宋"/>
          <w:highlight w:val="none"/>
        </w:rPr>
      </w:r>
      <w:r/>
    </w:p>
    <w:p>
      <w:pPr>
        <w:pStyle w:val="830"/>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jc w:val="both"/>
        <w:spacing w:before="0" w:beforeAutospacing="0" w:after="200" w:afterAutospacing="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830"/>
        <w:spacing w:before="0" w:beforeAutospacing="0" w:after="0" w:afterAutospacing="0"/>
        <w:widowControl/>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820"/>
        <w:ind w:left="720" w:hanging="360"/>
        <w:tabs>
          <w:tab w:val="num" w:pos="720" w:leader="none"/>
        </w:tabs>
      </w:pPr>
      <w:rPr>
        <w:rFonts w:ascii="Symbol" w:hAnsi="Symbol" w:cs="Symbol"/>
        <w:sz w:val="20"/>
      </w:rPr>
    </w:lvl>
    <w:lvl w:ilvl="1">
      <w:start w:val="1"/>
      <w:numFmt w:val="bullet"/>
      <w:isLgl w:val="false"/>
      <w:suff w:val="tab"/>
      <w:lvlText w:val=""/>
      <w:lvlJc w:val="left"/>
      <w:pPr>
        <w:pStyle w:val="820"/>
        <w:ind w:left="1440" w:hanging="360"/>
        <w:tabs>
          <w:tab w:val="num" w:pos="1440" w:leader="none"/>
        </w:tabs>
      </w:pPr>
      <w:rPr>
        <w:rFonts w:ascii="Symbol" w:hAnsi="Symbol" w:cs="Symbol"/>
        <w:sz w:val="20"/>
      </w:rPr>
    </w:lvl>
    <w:lvl w:ilvl="2">
      <w:start w:val="1"/>
      <w:numFmt w:val="bullet"/>
      <w:isLgl w:val="false"/>
      <w:suff w:val="tab"/>
      <w:lvlText w:val=""/>
      <w:lvlJc w:val="left"/>
      <w:pPr>
        <w:pStyle w:val="820"/>
        <w:ind w:left="2160" w:hanging="360"/>
        <w:tabs>
          <w:tab w:val="num" w:pos="2160" w:leader="none"/>
        </w:tabs>
      </w:pPr>
      <w:rPr>
        <w:rFonts w:ascii="Symbol" w:hAnsi="Symbol" w:cs="Symbol"/>
        <w:sz w:val="20"/>
      </w:rPr>
    </w:lvl>
    <w:lvl w:ilvl="3">
      <w:start w:val="1"/>
      <w:numFmt w:val="bullet"/>
      <w:isLgl w:val="false"/>
      <w:suff w:val="tab"/>
      <w:lvlText w:val=""/>
      <w:lvlJc w:val="left"/>
      <w:pPr>
        <w:pStyle w:val="820"/>
        <w:ind w:left="2880" w:hanging="360"/>
        <w:tabs>
          <w:tab w:val="num" w:pos="2880" w:leader="none"/>
        </w:tabs>
      </w:pPr>
      <w:rPr>
        <w:rFonts w:ascii="Symbol" w:hAnsi="Symbol" w:cs="Symbol"/>
        <w:sz w:val="20"/>
      </w:rPr>
    </w:lvl>
    <w:lvl w:ilvl="4">
      <w:start w:val="1"/>
      <w:numFmt w:val="bullet"/>
      <w:isLgl w:val="false"/>
      <w:suff w:val="tab"/>
      <w:lvlText w:val=""/>
      <w:lvlJc w:val="left"/>
      <w:pPr>
        <w:pStyle w:val="820"/>
        <w:ind w:left="3600" w:hanging="360"/>
        <w:tabs>
          <w:tab w:val="num" w:pos="3600" w:leader="none"/>
        </w:tabs>
      </w:pPr>
      <w:rPr>
        <w:rFonts w:ascii="Symbol" w:hAnsi="Symbol" w:cs="Symbol"/>
        <w:sz w:val="20"/>
      </w:rPr>
    </w:lvl>
    <w:lvl w:ilvl="5">
      <w:start w:val="1"/>
      <w:numFmt w:val="bullet"/>
      <w:isLgl w:val="false"/>
      <w:suff w:val="tab"/>
      <w:lvlText w:val=""/>
      <w:lvlJc w:val="left"/>
      <w:pPr>
        <w:pStyle w:val="820"/>
        <w:ind w:left="4320" w:hanging="360"/>
        <w:tabs>
          <w:tab w:val="num" w:pos="4320" w:leader="none"/>
        </w:tabs>
      </w:pPr>
      <w:rPr>
        <w:rFonts w:ascii="Symbol" w:hAnsi="Symbol" w:cs="Symbol"/>
        <w:sz w:val="20"/>
      </w:rPr>
    </w:lvl>
    <w:lvl w:ilvl="6">
      <w:start w:val="1"/>
      <w:numFmt w:val="bullet"/>
      <w:isLgl w:val="false"/>
      <w:suff w:val="tab"/>
      <w:lvlText w:val=""/>
      <w:lvlJc w:val="left"/>
      <w:pPr>
        <w:pStyle w:val="820"/>
        <w:ind w:left="5040" w:hanging="360"/>
        <w:tabs>
          <w:tab w:val="num" w:pos="5040" w:leader="none"/>
        </w:tabs>
      </w:pPr>
      <w:rPr>
        <w:rFonts w:ascii="Symbol" w:hAnsi="Symbol" w:cs="Symbol"/>
        <w:sz w:val="20"/>
      </w:rPr>
    </w:lvl>
    <w:lvl w:ilvl="7">
      <w:start w:val="1"/>
      <w:numFmt w:val="bullet"/>
      <w:isLgl w:val="false"/>
      <w:suff w:val="tab"/>
      <w:lvlText w:val=""/>
      <w:lvlJc w:val="left"/>
      <w:pPr>
        <w:pStyle w:val="820"/>
        <w:ind w:left="5760" w:hanging="360"/>
        <w:tabs>
          <w:tab w:val="num" w:pos="5760" w:leader="none"/>
        </w:tabs>
      </w:pPr>
      <w:rPr>
        <w:rFonts w:ascii="Symbol" w:hAnsi="Symbol" w:cs="Symbol"/>
        <w:sz w:val="20"/>
      </w:rPr>
    </w:lvl>
    <w:lvl w:ilvl="8">
      <w:start w:val="1"/>
      <w:numFmt w:val="bullet"/>
      <w:isLgl w:val="false"/>
      <w:suff w:val="tab"/>
      <w:lvlText w:val=""/>
      <w:lvlJc w:val="left"/>
      <w:pPr>
        <w:pStyle w:val="820"/>
        <w:ind w:left="6480" w:hanging="360"/>
        <w:tabs>
          <w:tab w:val="num" w:pos="6480" w:leader="none"/>
        </w:tabs>
      </w:pPr>
      <w:rPr>
        <w:rFonts w:ascii="Symbol" w:hAnsi="Symbol" w:cs="Symbol"/>
        <w:sz w:val="20"/>
      </w:rPr>
    </w:lvl>
  </w:abstractNum>
  <w:abstractNum w:abstractNumId="1">
    <w:multiLevelType w:val="hybridMultilevel"/>
    <w:lvl w:ilvl="0">
      <w:start w:val="1"/>
      <w:numFmt w:val="chineseCounting"/>
      <w:isLgl w:val="false"/>
      <w:suff w:val="nothing"/>
      <w:lvlText w:val="（%1）"/>
      <w:lvlJc w:val="left"/>
      <w:pPr>
        <w:pStyle w:val="8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8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basedOn w:val="820"/>
    <w:next w:val="820"/>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basedOn w:val="820"/>
    <w:next w:val="820"/>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basedOn w:val="820"/>
    <w:next w:val="820"/>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basedOn w:val="820"/>
    <w:next w:val="820"/>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basedOn w:val="820"/>
    <w:next w:val="820"/>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basedOn w:val="820"/>
    <w:next w:val="820"/>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basedOn w:val="820"/>
    <w:next w:val="820"/>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basedOn w:val="820"/>
    <w:next w:val="820"/>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basedOn w:val="820"/>
    <w:next w:val="820"/>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basedOn w:val="820"/>
    <w:uiPriority w:val="34"/>
    <w:qFormat/>
    <w:pPr>
      <w:contextualSpacing/>
      <w:ind w:left="720"/>
    </w:pPr>
  </w:style>
  <w:style w:type="paragraph" w:styleId="661">
    <w:name w:val="No Spacing"/>
    <w:uiPriority w:val="1"/>
    <w:qFormat/>
    <w:pPr>
      <w:spacing w:before="0" w:after="0" w:line="240" w:lineRule="auto"/>
    </w:pPr>
  </w:style>
  <w:style w:type="paragraph" w:styleId="662">
    <w:name w:val="Title"/>
    <w:basedOn w:val="820"/>
    <w:next w:val="820"/>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basedOn w:val="820"/>
    <w:next w:val="820"/>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basedOn w:val="820"/>
    <w:next w:val="820"/>
    <w:link w:val="667"/>
    <w:uiPriority w:val="29"/>
    <w:qFormat/>
    <w:pPr>
      <w:ind w:left="720" w:right="720"/>
    </w:pPr>
    <w:rPr>
      <w:i/>
    </w:rPr>
  </w:style>
  <w:style w:type="character" w:styleId="667">
    <w:name w:val="Quote Char"/>
    <w:link w:val="666"/>
    <w:uiPriority w:val="29"/>
    <w:rPr>
      <w:i/>
    </w:rPr>
  </w:style>
  <w:style w:type="paragraph" w:styleId="668">
    <w:name w:val="Intense Quote"/>
    <w:basedOn w:val="820"/>
    <w:next w:val="820"/>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basedOn w:val="820"/>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basedOn w:val="820"/>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basedOn w:val="820"/>
    <w:next w:val="820"/>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basedOn w:val="820"/>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basedOn w:val="820"/>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basedOn w:val="820"/>
    <w:next w:val="820"/>
    <w:uiPriority w:val="39"/>
    <w:unhideWhenUsed/>
    <w:pPr>
      <w:ind w:left="0" w:right="0" w:firstLine="0"/>
      <w:spacing w:after="57"/>
    </w:pPr>
  </w:style>
  <w:style w:type="paragraph" w:styleId="810">
    <w:name w:val="toc 2"/>
    <w:basedOn w:val="820"/>
    <w:next w:val="820"/>
    <w:uiPriority w:val="39"/>
    <w:unhideWhenUsed/>
    <w:pPr>
      <w:ind w:left="283" w:right="0" w:firstLine="0"/>
      <w:spacing w:after="57"/>
    </w:pPr>
  </w:style>
  <w:style w:type="paragraph" w:styleId="811">
    <w:name w:val="toc 3"/>
    <w:basedOn w:val="820"/>
    <w:next w:val="820"/>
    <w:uiPriority w:val="39"/>
    <w:unhideWhenUsed/>
    <w:pPr>
      <w:ind w:left="567" w:right="0" w:firstLine="0"/>
      <w:spacing w:after="57"/>
    </w:pPr>
  </w:style>
  <w:style w:type="paragraph" w:styleId="812">
    <w:name w:val="toc 4"/>
    <w:basedOn w:val="820"/>
    <w:next w:val="820"/>
    <w:uiPriority w:val="39"/>
    <w:unhideWhenUsed/>
    <w:pPr>
      <w:ind w:left="850" w:right="0" w:firstLine="0"/>
      <w:spacing w:after="57"/>
    </w:pPr>
  </w:style>
  <w:style w:type="paragraph" w:styleId="813">
    <w:name w:val="toc 5"/>
    <w:basedOn w:val="820"/>
    <w:next w:val="820"/>
    <w:uiPriority w:val="39"/>
    <w:unhideWhenUsed/>
    <w:pPr>
      <w:ind w:left="1134" w:right="0" w:firstLine="0"/>
      <w:spacing w:after="57"/>
    </w:pPr>
  </w:style>
  <w:style w:type="paragraph" w:styleId="814">
    <w:name w:val="toc 6"/>
    <w:basedOn w:val="820"/>
    <w:next w:val="820"/>
    <w:uiPriority w:val="39"/>
    <w:unhideWhenUsed/>
    <w:pPr>
      <w:ind w:left="1417" w:right="0" w:firstLine="0"/>
      <w:spacing w:after="57"/>
    </w:pPr>
  </w:style>
  <w:style w:type="paragraph" w:styleId="815">
    <w:name w:val="toc 7"/>
    <w:basedOn w:val="820"/>
    <w:next w:val="820"/>
    <w:uiPriority w:val="39"/>
    <w:unhideWhenUsed/>
    <w:pPr>
      <w:ind w:left="1701" w:right="0" w:firstLine="0"/>
      <w:spacing w:after="57"/>
    </w:pPr>
  </w:style>
  <w:style w:type="paragraph" w:styleId="816">
    <w:name w:val="toc 8"/>
    <w:basedOn w:val="820"/>
    <w:next w:val="820"/>
    <w:uiPriority w:val="39"/>
    <w:unhideWhenUsed/>
    <w:pPr>
      <w:ind w:left="1984" w:right="0" w:firstLine="0"/>
      <w:spacing w:after="57"/>
    </w:pPr>
  </w:style>
  <w:style w:type="paragraph" w:styleId="817">
    <w:name w:val="toc 9"/>
    <w:basedOn w:val="820"/>
    <w:next w:val="820"/>
    <w:uiPriority w:val="39"/>
    <w:unhideWhenUsed/>
    <w:pPr>
      <w:ind w:left="2268" w:right="0" w:firstLine="0"/>
      <w:spacing w:after="57"/>
    </w:p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next w:val="824"/>
    <w:link w:val="820"/>
    <w:qFormat/>
    <w:pPr>
      <w:jc w:val="both"/>
      <w:widowControl w:val="off"/>
    </w:pPr>
    <w:rPr>
      <w:rFonts w:ascii="Calibri" w:hAnsi="Calibri"/>
      <w:sz w:val="21"/>
      <w:szCs w:val="24"/>
      <w:lang w:val="en-US" w:eastAsia="zh-CN" w:bidi="ar-SA"/>
    </w:rPr>
  </w:style>
  <w:style w:type="paragraph" w:styleId="821">
    <w:name w:val="标题 3"/>
    <w:basedOn w:val="820"/>
    <w:next w:val="820"/>
    <w:link w:val="82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22">
    <w:name w:val="默认段落字体"/>
    <w:next w:val="822"/>
    <w:link w:val="820"/>
    <w:semiHidden/>
  </w:style>
  <w:style w:type="table" w:styleId="823">
    <w:name w:val="普通表格"/>
    <w:next w:val="823"/>
    <w:link w:val="820"/>
    <w:semiHidden/>
    <w:qFormat/>
    <w:tblPr/>
  </w:style>
  <w:style w:type="paragraph" w:styleId="824">
    <w:name w:val="正文文本"/>
    <w:basedOn w:val="820"/>
    <w:next w:val="820"/>
    <w:link w:val="820"/>
    <w:uiPriority w:val="99"/>
    <w:unhideWhenUsed/>
    <w:qFormat/>
    <w:pPr>
      <w:spacing w:after="120"/>
    </w:pPr>
  </w:style>
  <w:style w:type="paragraph" w:styleId="825">
    <w:name w:val="批注文字"/>
    <w:basedOn w:val="820"/>
    <w:next w:val="825"/>
    <w:link w:val="820"/>
    <w:pPr>
      <w:jc w:val="left"/>
    </w:pPr>
  </w:style>
  <w:style w:type="paragraph" w:styleId="826">
    <w:name w:val="页脚"/>
    <w:basedOn w:val="820"/>
    <w:next w:val="826"/>
    <w:link w:val="827"/>
    <w:pPr>
      <w:jc w:val="left"/>
      <w:tabs>
        <w:tab w:val="center" w:pos="4153" w:leader="none"/>
        <w:tab w:val="right" w:pos="8306" w:leader="none"/>
      </w:tabs>
    </w:pPr>
    <w:rPr>
      <w:sz w:val="18"/>
      <w:szCs w:val="18"/>
    </w:rPr>
  </w:style>
  <w:style w:type="character" w:styleId="827">
    <w:name w:val="页脚 字符"/>
    <w:next w:val="827"/>
    <w:link w:val="826"/>
    <w:rPr>
      <w:rFonts w:ascii="Calibri" w:hAnsi="Calibri"/>
      <w:sz w:val="18"/>
      <w:szCs w:val="18"/>
    </w:rPr>
  </w:style>
  <w:style w:type="paragraph" w:styleId="828">
    <w:name w:val="页眉"/>
    <w:basedOn w:val="820"/>
    <w:next w:val="828"/>
    <w:link w:val="829"/>
    <w:pPr>
      <w:jc w:val="center"/>
      <w:tabs>
        <w:tab w:val="center" w:pos="4153" w:leader="none"/>
        <w:tab w:val="right" w:pos="8306" w:leader="none"/>
      </w:tabs>
      <w:pBdr>
        <w:bottom w:val="single" w:color="000000" w:sz="6" w:space="1"/>
      </w:pBdr>
    </w:pPr>
    <w:rPr>
      <w:sz w:val="18"/>
      <w:szCs w:val="18"/>
    </w:rPr>
  </w:style>
  <w:style w:type="character" w:styleId="829">
    <w:name w:val="页眉 字符"/>
    <w:next w:val="829"/>
    <w:link w:val="828"/>
    <w:rPr>
      <w:rFonts w:ascii="Calibri" w:hAnsi="Calibri"/>
      <w:sz w:val="18"/>
      <w:szCs w:val="18"/>
    </w:rPr>
  </w:style>
  <w:style w:type="paragraph" w:styleId="830">
    <w:name w:val="普通(网站)"/>
    <w:basedOn w:val="820"/>
    <w:next w:val="830"/>
    <w:link w:val="820"/>
    <w:pPr>
      <w:ind w:left="0" w:right="0"/>
      <w:jc w:val="left"/>
      <w:spacing w:before="100" w:beforeAutospacing="1" w:after="100" w:afterAutospacing="1"/>
    </w:pPr>
    <w:rPr>
      <w:sz w:val="24"/>
      <w:lang w:val="en-US" w:eastAsia="zh-CN" w:bidi="ar"/>
    </w:rPr>
  </w:style>
  <w:style w:type="table" w:styleId="831">
    <w:name w:val="网格型"/>
    <w:basedOn w:val="823"/>
    <w:next w:val="831"/>
    <w:link w:val="820"/>
    <w:qFormat/>
    <w:tblPr/>
  </w:style>
  <w:style w:type="character" w:styleId="832">
    <w:name w:val="超链接"/>
    <w:next w:val="832"/>
    <w:link w:val="820"/>
    <w:rPr>
      <w:color w:val="0000ff"/>
      <w:u w:val="single"/>
    </w:rPr>
  </w:style>
  <w:style w:type="paragraph" w:styleId="833">
    <w:name w:val="正文_3_0_0"/>
    <w:next w:val="833"/>
    <w:link w:val="820"/>
    <w:qFormat/>
    <w:pPr>
      <w:jc w:val="both"/>
      <w:widowControl w:val="off"/>
    </w:pPr>
    <w:rPr>
      <w:lang w:val="en-US" w:eastAsia="zh-CN" w:bidi="ar-SA"/>
    </w:rPr>
  </w:style>
  <w:style w:type="paragraph" w:styleId="834">
    <w:name w:val="正文_3"/>
    <w:next w:val="834"/>
    <w:link w:val="820"/>
    <w:qFormat/>
    <w:pPr>
      <w:jc w:val="both"/>
      <w:widowControl w:val="off"/>
    </w:pPr>
    <w:rPr>
      <w:rFonts w:ascii="Calibri" w:hAnsi="Calibri"/>
      <w:sz w:val="21"/>
      <w:szCs w:val="22"/>
      <w:lang w:val="en-US" w:eastAsia="zh-CN" w:bidi="ar-SA"/>
    </w:rPr>
  </w:style>
  <w:style w:type="paragraph" w:styleId="835">
    <w:name w:val="标题 3_0"/>
    <w:basedOn w:val="836"/>
    <w:next w:val="836"/>
    <w:link w:val="820"/>
    <w:qFormat/>
    <w:pPr>
      <w:keepLines/>
      <w:keepNext/>
      <w:spacing w:before="260" w:after="260" w:line="413" w:lineRule="auto"/>
      <w:outlineLvl w:val="2"/>
    </w:pPr>
    <w:rPr>
      <w:rFonts w:ascii="Calibri" w:hAnsi="Calibri" w:eastAsia="Times New Roman"/>
      <w:b/>
      <w:sz w:val="32"/>
    </w:rPr>
  </w:style>
  <w:style w:type="paragraph" w:styleId="836">
    <w:name w:val="正文_3_0_1"/>
    <w:next w:val="836"/>
    <w:link w:val="820"/>
    <w:qFormat/>
    <w:pPr>
      <w:jc w:val="both"/>
      <w:widowControl w:val="off"/>
    </w:pPr>
    <w:rPr>
      <w:lang w:val="en-US" w:eastAsia="zh-CN" w:bidi="ar-SA"/>
    </w:rPr>
  </w:style>
  <w:style w:type="paragraph" w:styleId="837">
    <w:name w:val="标题 4_0"/>
    <w:basedOn w:val="838"/>
    <w:next w:val="838"/>
    <w:link w:val="820"/>
    <w:uiPriority w:val="9"/>
    <w:unhideWhenUsed/>
    <w:qFormat/>
    <w:pPr>
      <w:keepLines/>
      <w:keepNext/>
      <w:spacing w:before="280" w:after="290" w:line="372" w:lineRule="auto"/>
      <w:outlineLvl w:val="3"/>
    </w:pPr>
    <w:rPr>
      <w:rFonts w:ascii="Arial" w:hAnsi="Arial" w:eastAsia="黑体"/>
      <w:b/>
      <w:sz w:val="28"/>
      <w:szCs w:val="20"/>
    </w:rPr>
  </w:style>
  <w:style w:type="paragraph" w:styleId="838">
    <w:name w:val="Normal1"/>
    <w:next w:val="838"/>
    <w:link w:val="820"/>
    <w:qFormat/>
    <w:pPr>
      <w:jc w:val="both"/>
      <w:widowControl w:val="off"/>
    </w:pPr>
    <w:rPr>
      <w:rFonts w:ascii="Calibri" w:hAnsi="Calibri"/>
      <w:lang w:val="en-US" w:eastAsia="zh-CN" w:bidi="ar-SA"/>
    </w:rPr>
  </w:style>
  <w:style w:type="paragraph" w:styleId="839">
    <w:name w:val="标题 5_0"/>
    <w:basedOn w:val="838"/>
    <w:next w:val="838"/>
    <w:link w:val="820"/>
    <w:uiPriority w:val="9"/>
    <w:unhideWhenUsed/>
    <w:qFormat/>
    <w:pPr>
      <w:keepLines/>
      <w:keepNext/>
      <w:spacing w:before="280" w:after="290" w:line="374" w:lineRule="auto"/>
      <w:outlineLvl w:val="4"/>
    </w:pPr>
    <w:rPr>
      <w:rFonts w:eastAsia="Times New Roman"/>
      <w:b/>
      <w:bCs/>
      <w:sz w:val="28"/>
      <w:szCs w:val="28"/>
    </w:rPr>
  </w:style>
  <w:style w:type="paragraph" w:styleId="840">
    <w:name w:val="Normal_20_0_0"/>
    <w:next w:val="841"/>
    <w:link w:val="820"/>
    <w:qFormat/>
    <w:pPr>
      <w:jc w:val="both"/>
      <w:widowControl w:val="off"/>
    </w:pPr>
    <w:rPr>
      <w:rFonts w:ascii="Calibri" w:hAnsi="Calibri"/>
      <w:sz w:val="21"/>
      <w:szCs w:val="22"/>
      <w:lang w:val="en-US" w:eastAsia="zh-CN" w:bidi="ar-SA"/>
    </w:rPr>
  </w:style>
  <w:style w:type="paragraph" w:styleId="841">
    <w:name w:val="Heading 1_0_0"/>
    <w:basedOn w:val="840"/>
    <w:next w:val="840"/>
    <w:link w:val="820"/>
    <w:qFormat/>
    <w:pPr>
      <w:keepLines/>
      <w:keepNext/>
      <w:spacing w:before="340" w:after="330" w:line="576" w:lineRule="auto"/>
      <w:outlineLvl w:val="0"/>
    </w:pPr>
    <w:rPr>
      <w:rFonts w:ascii="Times New Roman" w:hAnsi="Times New Roman"/>
      <w:b/>
      <w:sz w:val="44"/>
      <w:szCs w:val="20"/>
    </w:rPr>
  </w:style>
  <w:style w:type="paragraph" w:styleId="842">
    <w:name w:val="正文_2_0"/>
    <w:next w:val="842"/>
    <w:link w:val="820"/>
    <w:qFormat/>
    <w:pPr>
      <w:jc w:val="both"/>
      <w:widowControl w:val="off"/>
    </w:pPr>
    <w:rPr>
      <w:rFonts w:ascii="Calibri" w:hAnsi="Calibri"/>
      <w:lang w:val="en-US" w:eastAsia="zh-CN" w:bidi="ar-SA"/>
    </w:rPr>
  </w:style>
  <w:style w:type="paragraph" w:styleId="843">
    <w:name w:val="正文_2"/>
    <w:next w:val="843"/>
    <w:link w:val="820"/>
    <w:qFormat/>
    <w:pPr>
      <w:jc w:val="both"/>
      <w:widowControl w:val="off"/>
    </w:pPr>
    <w:rPr>
      <w:rFonts w:ascii="Calibri" w:hAnsi="Calibri" w:eastAsia="宋体" w:cs="Times New Roman"/>
      <w:sz w:val="21"/>
      <w:szCs w:val="22"/>
    </w:rPr>
  </w:style>
  <w:style w:type="paragraph" w:styleId="844">
    <w:name w:val="标题 1_0"/>
    <w:basedOn w:val="845"/>
    <w:next w:val="845"/>
    <w:link w:val="820"/>
    <w:qFormat/>
    <w:pPr>
      <w:keepLines/>
      <w:keepNext/>
      <w:spacing w:before="340" w:after="330" w:line="576" w:lineRule="auto"/>
      <w:outlineLvl w:val="0"/>
    </w:pPr>
    <w:rPr>
      <w:rFonts w:ascii="Calibri" w:hAnsi="Calibri"/>
      <w:b/>
      <w:sz w:val="44"/>
      <w:szCs w:val="20"/>
    </w:rPr>
  </w:style>
  <w:style w:type="paragraph" w:styleId="845">
    <w:name w:val="正文_0_1"/>
    <w:next w:val="845"/>
    <w:link w:val="820"/>
    <w:qFormat/>
    <w:pPr>
      <w:jc w:val="both"/>
      <w:widowControl w:val="off"/>
    </w:pPr>
    <w:rPr>
      <w:rFonts w:ascii="Times New Roman" w:hAnsi="Times New Roman" w:eastAsia="宋体" w:cs="Times New Roman"/>
      <w:sz w:val="21"/>
      <w:szCs w:val="24"/>
    </w:rPr>
  </w:style>
  <w:style w:type="paragraph" w:styleId="846">
    <w:name w:val="标题 2_0"/>
    <w:basedOn w:val="843"/>
    <w:next w:val="843"/>
    <w:link w:val="820"/>
    <w:qFormat/>
    <w:pPr>
      <w:keepLines/>
      <w:keepNext/>
      <w:spacing w:before="260" w:after="260" w:line="413" w:lineRule="auto"/>
      <w:outlineLvl w:val="1"/>
    </w:pPr>
    <w:rPr>
      <w:rFonts w:ascii="Arial" w:hAnsi="Arial" w:eastAsia="黑体"/>
      <w:b/>
      <w:sz w:val="32"/>
      <w:szCs w:val="20"/>
    </w:rPr>
  </w:style>
  <w:style w:type="paragraph" w:styleId="847">
    <w:name w:val="正文_16"/>
    <w:next w:val="847"/>
    <w:link w:val="820"/>
    <w:qFormat/>
    <w:pPr>
      <w:jc w:val="both"/>
      <w:widowControl w:val="off"/>
    </w:pPr>
    <w:rPr>
      <w:rFonts w:ascii="Calibri" w:hAnsi="Calibri" w:eastAsia="宋体" w:cs="Times New Roman"/>
      <w:sz w:val="21"/>
      <w:szCs w:val="22"/>
    </w:rPr>
  </w:style>
  <w:style w:type="character" w:styleId="848" w:default="1">
    <w:name w:val="Default Paragraph Font"/>
    <w:uiPriority w:val="1"/>
    <w:semiHidden/>
    <w:unhideWhenUsed/>
  </w:style>
  <w:style w:type="numbering" w:styleId="849" w:default="1">
    <w:name w:val="No List"/>
    <w:uiPriority w:val="99"/>
    <w:semiHidden/>
    <w:unhideWhenUsed/>
  </w:style>
  <w:style w:type="table" w:styleId="8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李承阳</cp:lastModifiedBy>
  <cp:revision>3</cp:revision>
  <dcterms:created xsi:type="dcterms:W3CDTF">2022-12-12T08:17:00Z</dcterms:created>
  <dcterms:modified xsi:type="dcterms:W3CDTF">2024-11-19T08:28:47Z</dcterms:modified>
</cp:coreProperties>
</file>