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4"/>
        <w:jc w:val="center"/>
        <w:rPr>
          <w:rFonts w:hint="eastAsia" w:ascii="宋体" w:hAnsi="宋体" w:eastAsia="宋体" w:cs="宋体"/>
          <w:bCs/>
          <w:color w:val="000000"/>
          <w:spacing w:val="20"/>
          <w:sz w:val="52"/>
          <w:szCs w:val="52"/>
          <w:highlight w:val="none"/>
        </w:rPr>
      </w:pPr>
      <w:r>
        <w:rPr>
          <w:rFonts w:hint="eastAsia" w:ascii="宋体" w:hAnsi="宋体" w:eastAsia="宋体" w:cs="宋体"/>
          <w:bCs/>
          <w:color w:val="000000"/>
          <w:spacing w:val="20"/>
          <w:sz w:val="52"/>
          <w:szCs w:val="52"/>
          <w:highlight w:val="none"/>
        </w:rPr>
      </w:r>
      <w:r/>
    </w:p>
    <w:p>
      <w:pPr>
        <w:pStyle w:val="1064"/>
        <w:jc w:val="center"/>
        <w:rPr>
          <w:rFonts w:hint="eastAsia" w:ascii="宋体" w:hAnsi="宋体" w:eastAsia="宋体" w:cs="宋体"/>
          <w:bCs/>
          <w:color w:val="000000"/>
          <w:sz w:val="30"/>
          <w:highlight w:val="none"/>
        </w:rPr>
      </w:pPr>
      <w:r>
        <w:rPr>
          <w:rFonts w:hint="eastAsia" w:ascii="宋体" w:hAnsi="宋体" w:eastAsia="宋体" w:cs="宋体"/>
          <w:color w:val="000000"/>
          <w:sz w:val="72"/>
          <w:szCs w:val="72"/>
          <w:highlight w:val="none"/>
        </w:rPr>
        <w:t xml:space="preserve">无锡市惠山区政府采购</w:t>
      </w:r>
      <w:r>
        <w:rPr>
          <w:rFonts w:hint="eastAsia" w:ascii="宋体" w:hAnsi="宋体" w:eastAsia="宋体" w:cs="宋体"/>
          <w:bCs/>
          <w:color w:val="000000"/>
          <w:sz w:val="30"/>
          <w:highlight w:val="none"/>
        </w:rPr>
      </w:r>
      <w:r/>
    </w:p>
    <w:p>
      <w:pPr>
        <w:pStyle w:val="1064"/>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1064"/>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1064"/>
        <w:jc w:val="center"/>
        <w:rPr>
          <w:rFonts w:hint="eastAsia" w:ascii="宋体" w:hAnsi="宋体" w:eastAsia="宋体" w:cs="宋体"/>
          <w:bCs/>
          <w:color w:val="000000"/>
          <w:spacing w:val="20"/>
          <w:sz w:val="52"/>
          <w:szCs w:val="52"/>
          <w:highlight w:val="none"/>
        </w:rPr>
      </w:pPr>
      <w:r>
        <w:rPr>
          <w:rFonts w:hint="eastAsia" w:ascii="宋体" w:hAnsi="宋体" w:eastAsia="宋体" w:cs="宋体"/>
          <w:bCs/>
          <w:color w:val="000000"/>
          <w:spacing w:val="20"/>
          <w:sz w:val="52"/>
          <w:szCs w:val="52"/>
          <w:highlight w:val="none"/>
        </w:rPr>
        <w:t xml:space="preserve">公   开</w:t>
      </w:r>
      <w:r>
        <w:rPr>
          <w:rFonts w:hint="eastAsia" w:ascii="宋体" w:hAnsi="宋体" w:eastAsia="宋体" w:cs="宋体"/>
          <w:bCs/>
          <w:color w:val="000000"/>
          <w:spacing w:val="20"/>
          <w:sz w:val="52"/>
          <w:szCs w:val="52"/>
          <w:highlight w:val="none"/>
        </w:rPr>
      </w:r>
      <w:r/>
    </w:p>
    <w:p>
      <w:pPr>
        <w:pStyle w:val="1064"/>
        <w:jc w:val="center"/>
        <w:rPr>
          <w:rFonts w:hint="eastAsia" w:ascii="宋体" w:hAnsi="宋体" w:eastAsia="宋体" w:cs="宋体"/>
          <w:bCs/>
          <w:color w:val="000000"/>
          <w:spacing w:val="20"/>
          <w:sz w:val="52"/>
          <w:szCs w:val="52"/>
          <w:highlight w:val="none"/>
        </w:rPr>
      </w:pPr>
      <w:r>
        <w:rPr>
          <w:rFonts w:hint="eastAsia" w:ascii="宋体" w:hAnsi="宋体" w:eastAsia="宋体" w:cs="宋体"/>
          <w:bCs/>
          <w:color w:val="000000"/>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4;mso-wrap-distance-left:9.0pt;mso-wrap-distance-top:0.0pt;mso-wrap-distance-right:9.0pt;mso-wrap-distance-bottom:0.0pt;visibility:visible;" from="-9.0pt,15.6pt" to="-8.9pt,15.6pt" filled="f" strokecolor="#000000"/>
            </w:pict>
          </mc:Fallback>
        </mc:AlternateContent>
      </w:r>
      <w:r>
        <w:rPr>
          <w:rFonts w:hint="eastAsia" w:ascii="宋体" w:hAnsi="宋体" w:eastAsia="宋体" w:cs="宋体"/>
          <w:bCs/>
          <w:color w:val="000000"/>
          <w:spacing w:val="20"/>
          <w:sz w:val="52"/>
          <w:szCs w:val="52"/>
          <w:highlight w:val="none"/>
        </w:rPr>
        <w:t xml:space="preserve">招  标  文  件</w:t>
      </w:r>
      <w:r>
        <w:rPr>
          <w:rFonts w:hint="eastAsia" w:ascii="宋体" w:hAnsi="宋体" w:eastAsia="宋体" w:cs="宋体"/>
          <w:bCs/>
          <w:color w:val="000000"/>
          <w:spacing w:val="20"/>
          <w:sz w:val="52"/>
          <w:szCs w:val="52"/>
          <w:highlight w:val="none"/>
        </w:rPr>
      </w:r>
      <w:r/>
    </w:p>
    <w:p>
      <w:pPr>
        <w:pStyle w:val="1064"/>
        <w:jc w:val="center"/>
        <w:tabs>
          <w:tab w:val="left" w:pos="9921" w:leader="none"/>
        </w:tabs>
        <w:rPr>
          <w:rFonts w:hint="eastAsia" w:ascii="宋体" w:hAnsi="宋体" w:eastAsia="宋体" w:cs="宋体"/>
          <w:b/>
          <w:color w:val="000000"/>
          <w:sz w:val="30"/>
          <w:highlight w:val="none"/>
        </w:rPr>
      </w:pPr>
      <w:r>
        <w:rPr>
          <w:rFonts w:hint="eastAsia" w:ascii="宋体" w:hAnsi="宋体" w:eastAsia="宋体" w:cs="宋体"/>
          <w:b/>
          <w:color w:val="000000"/>
          <w:sz w:val="30"/>
          <w:highlight w:val="none"/>
        </w:rPr>
        <w:t xml:space="preserve">（全流程电子化）</w:t>
      </w:r>
      <w:r>
        <w:rPr>
          <w:rFonts w:hint="eastAsia" w:ascii="宋体" w:hAnsi="宋体" w:eastAsia="宋体" w:cs="宋体"/>
          <w:b/>
          <w:color w:val="000000"/>
          <w:sz w:val="30"/>
          <w:highlight w:val="none"/>
        </w:rPr>
      </w:r>
      <w:r/>
    </w:p>
    <w:p>
      <w:pPr>
        <w:pStyle w:val="1064"/>
        <w:spacing w:line="84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1064"/>
        <w:ind w:left="630"/>
        <w:spacing w:line="840" w:lineRule="exact"/>
        <w:rPr>
          <w:rFonts w:hint="eastAsia" w:ascii="宋体" w:hAnsi="宋体" w:eastAsia="宋体" w:cs="宋体"/>
          <w:bCs/>
          <w:color w:val="000000"/>
          <w:sz w:val="30"/>
          <w:szCs w:val="30"/>
          <w:highlight w:val="none"/>
          <w:lang w:val="en-US" w:eastAsia="zh-CN"/>
        </w:rPr>
      </w:pPr>
      <w:r>
        <w:rPr>
          <w:rFonts w:hint="eastAsia" w:ascii="宋体" w:hAnsi="宋体" w:eastAsia="宋体" w:cs="宋体"/>
          <w:bCs/>
          <w:color w:val="000000"/>
          <w:sz w:val="30"/>
          <w:szCs w:val="30"/>
          <w:highlight w:val="none"/>
        </w:rPr>
        <w:t xml:space="preserve">政府采购编号：</w:t>
      </w:r>
      <w:r>
        <w:rPr>
          <w:rFonts w:hint="eastAsia" w:ascii="宋体" w:hAnsi="宋体" w:eastAsia="宋体" w:cs="宋体"/>
          <w:bCs/>
          <w:color w:val="000000"/>
          <w:sz w:val="30"/>
          <w:szCs w:val="30"/>
          <w:highlight w:val="none"/>
          <w:lang w:eastAsia="zh-CN"/>
        </w:rPr>
        <w:t xml:space="preserve">JSZC-320206-JSJW-G2024-0076</w:t>
      </w:r>
      <w:r>
        <w:rPr>
          <w:rFonts w:hint="eastAsia" w:ascii="宋体" w:hAnsi="宋体" w:eastAsia="宋体" w:cs="宋体"/>
          <w:bCs/>
          <w:color w:val="000000"/>
          <w:sz w:val="30"/>
          <w:szCs w:val="30"/>
          <w:highlight w:val="none"/>
          <w:lang w:val="en-US" w:eastAsia="zh-CN"/>
        </w:rPr>
        <w:t xml:space="preserve"> </w:t>
      </w:r>
      <w:r>
        <w:rPr>
          <w:rFonts w:hint="eastAsia" w:ascii="宋体" w:hAnsi="宋体" w:eastAsia="宋体" w:cs="宋体"/>
          <w:bCs/>
          <w:color w:val="000000"/>
          <w:sz w:val="30"/>
          <w:szCs w:val="30"/>
          <w:highlight w:val="none"/>
          <w:lang w:val="en-US" w:eastAsia="zh-CN"/>
        </w:rPr>
        <w:t xml:space="preserve"> </w:t>
      </w:r>
      <w:r>
        <w:rPr>
          <w:rFonts w:hint="eastAsia" w:ascii="宋体" w:hAnsi="宋体" w:eastAsia="宋体" w:cs="宋体"/>
          <w:bCs/>
          <w:color w:val="000000"/>
          <w:sz w:val="30"/>
          <w:szCs w:val="30"/>
          <w:highlight w:val="none"/>
          <w:lang w:val="en-US" w:eastAsia="zh-CN"/>
        </w:rPr>
      </w:r>
      <w:r/>
    </w:p>
    <w:p>
      <w:pPr>
        <w:pStyle w:val="1064"/>
        <w:ind w:left="2646" w:hanging="2016"/>
        <w:spacing w:line="840" w:lineRule="exact"/>
        <w:rPr>
          <w:rFonts w:hint="eastAsia" w:ascii="宋体" w:hAnsi="宋体" w:eastAsia="宋体" w:cs="宋体"/>
          <w:bCs/>
          <w:color w:val="000000"/>
          <w:spacing w:val="-6"/>
          <w:sz w:val="28"/>
          <w:szCs w:val="28"/>
          <w:highlight w:val="none"/>
          <w:lang w:eastAsia="zh-CN"/>
        </w:rPr>
      </w:pPr>
      <w:r>
        <w:rPr>
          <w:rFonts w:hint="eastAsia" w:ascii="宋体" w:hAnsi="宋体" w:eastAsia="宋体" w:cs="宋体"/>
          <w:bCs/>
          <w:color w:val="000000"/>
          <w:spacing w:val="-6"/>
          <w:sz w:val="30"/>
          <w:szCs w:val="30"/>
          <w:highlight w:val="none"/>
        </w:rPr>
        <w:t xml:space="preserve">采购项目名称：</w:t>
      </w:r>
      <w:r>
        <w:rPr>
          <w:rFonts w:hint="eastAsia" w:ascii="宋体" w:hAnsi="宋体" w:eastAsia="宋体" w:cs="宋体"/>
          <w:bCs/>
          <w:color w:val="000000"/>
          <w:spacing w:val="-6"/>
          <w:sz w:val="30"/>
          <w:szCs w:val="30"/>
          <w:highlight w:val="none"/>
          <w:lang w:eastAsia="zh-CN"/>
        </w:rPr>
        <w:t xml:space="preserve">无锡金属表面处理科技工业园区土壤和地下水污染管控方案编制采购服务</w:t>
      </w:r>
      <w:r>
        <w:rPr>
          <w:rFonts w:hint="eastAsia" w:ascii="宋体" w:hAnsi="宋体" w:eastAsia="宋体" w:cs="宋体"/>
          <w:bCs/>
          <w:color w:val="000000"/>
          <w:spacing w:val="-6"/>
          <w:sz w:val="28"/>
          <w:szCs w:val="28"/>
          <w:highlight w:val="none"/>
          <w:lang w:eastAsia="zh-CN"/>
        </w:rPr>
      </w:r>
      <w:r/>
    </w:p>
    <w:p>
      <w:pPr>
        <w:pStyle w:val="1064"/>
        <w:ind w:left="2580" w:hanging="1950"/>
        <w:jc w:val="left"/>
        <w:spacing w:line="840" w:lineRule="exact"/>
        <w:widowControl/>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   购   人：</w:t>
      </w:r>
      <w:r>
        <w:rPr>
          <w:rFonts w:hint="eastAsia" w:ascii="宋体" w:hAnsi="宋体" w:eastAsia="宋体" w:cs="宋体"/>
          <w:bCs/>
          <w:color w:val="000000"/>
          <w:sz w:val="30"/>
          <w:szCs w:val="30"/>
          <w:highlight w:val="none"/>
          <w:lang w:eastAsia="zh-CN"/>
        </w:rPr>
        <w:t xml:space="preserve">无锡市惠山区洛社镇人民政府</w:t>
      </w:r>
      <w:r>
        <w:rPr>
          <w:rFonts w:hint="eastAsia" w:ascii="宋体" w:hAnsi="宋体" w:eastAsia="宋体" w:cs="宋体"/>
          <w:bCs/>
          <w:color w:val="000000"/>
          <w:sz w:val="30"/>
          <w:szCs w:val="30"/>
          <w:highlight w:val="none"/>
          <w:lang w:eastAsia="zh-CN"/>
        </w:rPr>
      </w:r>
      <w:r/>
    </w:p>
    <w:p>
      <w:pPr>
        <w:pStyle w:val="1064"/>
        <w:ind w:left="630"/>
        <w:spacing w:line="84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采购代理机构：江苏建威建设管理有限公司 </w:t>
      </w:r>
      <w:r>
        <w:rPr>
          <w:rFonts w:hint="eastAsia" w:ascii="宋体" w:hAnsi="宋体" w:eastAsia="宋体" w:cs="宋体"/>
          <w:bCs/>
          <w:color w:val="000000"/>
          <w:sz w:val="30"/>
          <w:szCs w:val="30"/>
          <w:highlight w:val="none"/>
        </w:rPr>
      </w:r>
      <w:r/>
    </w:p>
    <w:p>
      <w:pPr>
        <w:pStyle w:val="1064"/>
        <w:ind w:left="420"/>
        <w:jc w:val="center"/>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1064"/>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1128"/>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4"/>
        <w:jc w:val="center"/>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 xml:space="preserve">202</w:t>
      </w:r>
      <w:r>
        <w:rPr>
          <w:rFonts w:hint="eastAsia" w:ascii="宋体" w:hAnsi="宋体" w:eastAsia="宋体" w:cs="宋体"/>
          <w:bCs/>
          <w:color w:val="000000"/>
          <w:sz w:val="44"/>
          <w:szCs w:val="44"/>
          <w:highlight w:val="none"/>
          <w:lang w:val="en-US" w:eastAsia="zh-CN"/>
        </w:rPr>
        <w:t xml:space="preserve">4</w:t>
      </w:r>
      <w:r>
        <w:rPr>
          <w:rFonts w:hint="eastAsia" w:ascii="宋体" w:hAnsi="宋体" w:eastAsia="宋体" w:cs="宋体"/>
          <w:bCs/>
          <w:color w:val="000000"/>
          <w:sz w:val="44"/>
          <w:szCs w:val="44"/>
          <w:highlight w:val="none"/>
        </w:rPr>
        <w:t xml:space="preserve">年</w:t>
      </w:r>
      <w:r>
        <w:rPr>
          <w:rFonts w:hint="eastAsia" w:ascii="宋体" w:hAnsi="宋体" w:eastAsia="宋体" w:cs="宋体"/>
          <w:bCs/>
          <w:color w:val="000000"/>
          <w:sz w:val="44"/>
          <w:szCs w:val="44"/>
          <w:highlight w:val="none"/>
          <w:lang w:val="en-US" w:eastAsia="zh-CN"/>
        </w:rPr>
        <w:t xml:space="preserve">1</w:t>
      </w:r>
      <w:r>
        <w:rPr>
          <w:rFonts w:hint="eastAsia" w:ascii="宋体" w:hAnsi="宋体" w:eastAsia="宋体" w:cs="宋体"/>
          <w:bCs/>
          <w:color w:val="000000"/>
          <w:sz w:val="44"/>
          <w:szCs w:val="44"/>
          <w:highlight w:val="none"/>
          <w:lang w:val="en-US" w:eastAsia="zh-CN"/>
        </w:rPr>
        <w:t xml:space="preserve">1</w:t>
      </w:r>
      <w:r>
        <w:rPr>
          <w:rFonts w:hint="eastAsia" w:ascii="宋体" w:hAnsi="宋体" w:eastAsia="宋体" w:cs="宋体"/>
          <w:bCs/>
          <w:color w:val="000000"/>
          <w:sz w:val="44"/>
          <w:szCs w:val="44"/>
          <w:highlight w:val="none"/>
        </w:rPr>
        <w:t xml:space="preserve">月</w:t>
      </w:r>
      <w:r>
        <w:rPr>
          <w:rFonts w:hint="eastAsia" w:ascii="宋体" w:hAnsi="宋体" w:eastAsia="宋体" w:cs="宋体"/>
          <w:bCs/>
          <w:color w:val="000000"/>
          <w:sz w:val="44"/>
          <w:szCs w:val="44"/>
          <w:highlight w:val="none"/>
        </w:rPr>
      </w:r>
      <w:r/>
    </w:p>
    <w:p>
      <w:pPr>
        <w:pStyle w:val="1064"/>
        <w:jc w:val="center"/>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r>
      <w:r/>
    </w:p>
    <w:p>
      <w:pPr>
        <w:pStyle w:val="1064"/>
        <w:jc w:val="center"/>
        <w:rPr>
          <w:rStyle w:val="1167"/>
          <w:rFonts w:hint="eastAsia" w:ascii="宋体" w:hAnsi="宋体" w:eastAsia="宋体" w:cs="宋体"/>
          <w:bCs/>
          <w:color w:val="000000"/>
          <w:sz w:val="48"/>
          <w:highlight w:val="none"/>
        </w:rPr>
        <w:sectPr>
          <w:headerReference w:type="default" r:id="rId9"/>
          <w:headerReference w:type="even" r:id="rId10"/>
          <w:headerReference w:type="first" r:id="rId11"/>
          <w:footerReference w:type="even" r:id="rId14"/>
          <w:footnotePr/>
          <w:endnotePr/>
          <w:type w:val="nextPage"/>
          <w:pgSz w:w="11906" w:h="16838" w:orient="portrait"/>
          <w:pgMar w:top="1417" w:right="1049" w:bottom="1417" w:left="1049" w:header="850" w:footer="907" w:gutter="0"/>
          <w:cols w:num="1" w:sep="0" w:space="1701" w:equalWidth="1"/>
          <w:docGrid w:linePitch="360"/>
          <w:titlePg/>
        </w:sectPr>
      </w:pPr>
      <w:r>
        <w:rPr>
          <w:rStyle w:val="1167"/>
          <w:rFonts w:hint="eastAsia" w:ascii="宋体" w:hAnsi="宋体" w:eastAsia="宋体" w:cs="宋体"/>
          <w:bCs/>
          <w:color w:val="000000"/>
          <w:sz w:val="48"/>
          <w:highlight w:val="none"/>
        </w:rPr>
      </w:r>
      <w:r/>
    </w:p>
    <w:p>
      <w:pPr>
        <w:pStyle w:val="1128"/>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4"/>
        <w:jc w:val="center"/>
        <w:rPr>
          <w:rStyle w:val="1167"/>
          <w:rFonts w:hint="eastAsia" w:ascii="宋体" w:hAnsi="宋体" w:eastAsia="宋体" w:cs="宋体"/>
          <w:bCs/>
          <w:color w:val="000000"/>
          <w:sz w:val="48"/>
          <w:highlight w:val="none"/>
        </w:rPr>
      </w:pPr>
      <w:r>
        <w:rPr>
          <w:rStyle w:val="1167"/>
          <w:rFonts w:hint="eastAsia" w:ascii="宋体" w:hAnsi="宋体" w:eastAsia="宋体" w:cs="宋体"/>
          <w:bCs/>
          <w:color w:val="000000"/>
          <w:sz w:val="48"/>
          <w:highlight w:val="none"/>
        </w:rPr>
        <w:t xml:space="preserve">目   录</w:t>
      </w:r>
      <w:r>
        <w:rPr>
          <w:rStyle w:val="1167"/>
          <w:rFonts w:hint="eastAsia" w:ascii="宋体" w:hAnsi="宋体" w:eastAsia="宋体" w:cs="宋体"/>
          <w:bCs/>
          <w:color w:val="000000"/>
          <w:sz w:val="48"/>
          <w:highlight w:val="none"/>
        </w:rPr>
      </w:r>
      <w:r/>
    </w:p>
    <w:p>
      <w:pPr>
        <w:pStyle w:val="1064"/>
        <w:jc w:val="center"/>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1064"/>
        <w:jc w:val="center"/>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1064"/>
        <w:jc w:val="center"/>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1064"/>
        <w:ind w:firstLine="630"/>
        <w:spacing w:line="72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一．投标邀请</w:t>
      </w:r>
      <w:r>
        <w:rPr>
          <w:rFonts w:hint="eastAsia" w:ascii="宋体" w:hAnsi="宋体" w:eastAsia="宋体" w:cs="宋体"/>
          <w:bCs/>
          <w:color w:val="000000"/>
          <w:sz w:val="30"/>
          <w:szCs w:val="30"/>
          <w:highlight w:val="none"/>
        </w:rPr>
      </w:r>
      <w:r/>
    </w:p>
    <w:p>
      <w:pPr>
        <w:pStyle w:val="1064"/>
        <w:ind w:firstLine="630"/>
        <w:spacing w:line="72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二．投标供应商须知</w:t>
      </w:r>
      <w:r>
        <w:rPr>
          <w:rFonts w:hint="eastAsia" w:ascii="宋体" w:hAnsi="宋体" w:eastAsia="宋体" w:cs="宋体"/>
          <w:bCs/>
          <w:color w:val="000000"/>
          <w:sz w:val="30"/>
          <w:szCs w:val="30"/>
          <w:highlight w:val="none"/>
        </w:rPr>
      </w:r>
      <w:r/>
    </w:p>
    <w:p>
      <w:pPr>
        <w:pStyle w:val="1064"/>
        <w:ind w:firstLine="630"/>
        <w:spacing w:line="72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三．采购需求</w:t>
      </w:r>
      <w:r>
        <w:rPr>
          <w:rFonts w:hint="eastAsia" w:ascii="宋体" w:hAnsi="宋体" w:eastAsia="宋体" w:cs="宋体"/>
          <w:bCs/>
          <w:color w:val="000000"/>
          <w:sz w:val="30"/>
          <w:szCs w:val="30"/>
          <w:highlight w:val="none"/>
        </w:rPr>
      </w:r>
      <w:r/>
    </w:p>
    <w:p>
      <w:pPr>
        <w:pStyle w:val="1064"/>
        <w:ind w:firstLine="630"/>
        <w:spacing w:line="72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四. 合同书（格式文本）</w:t>
      </w:r>
      <w:r>
        <w:rPr>
          <w:rFonts w:hint="eastAsia" w:ascii="宋体" w:hAnsi="宋体" w:eastAsia="宋体" w:cs="宋体"/>
          <w:bCs/>
          <w:color w:val="000000"/>
          <w:sz w:val="30"/>
          <w:szCs w:val="30"/>
          <w:highlight w:val="none"/>
        </w:rPr>
      </w:r>
      <w:r/>
    </w:p>
    <w:p>
      <w:pPr>
        <w:pStyle w:val="1064"/>
        <w:ind w:firstLine="630"/>
        <w:spacing w:line="72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30"/>
          <w:szCs w:val="30"/>
          <w:highlight w:val="none"/>
        </w:rPr>
        <w:t xml:space="preserve">五. 附件（投标文件格式）</w:t>
      </w:r>
      <w:r>
        <w:rPr>
          <w:rFonts w:hint="eastAsia" w:ascii="宋体" w:hAnsi="宋体" w:eastAsia="宋体" w:cs="宋体"/>
          <w:bCs/>
          <w:color w:val="000000"/>
          <w:sz w:val="28"/>
          <w:szCs w:val="28"/>
          <w:highlight w:val="none"/>
        </w:rPr>
      </w:r>
      <w:r/>
    </w:p>
    <w:p>
      <w:pPr>
        <w:pStyle w:val="1064"/>
        <w:jc w:val="center"/>
        <w:spacing w:line="440" w:lineRule="exact"/>
        <w:rPr>
          <w:rFonts w:hint="eastAsia" w:ascii="宋体" w:hAnsi="宋体" w:eastAsia="宋体" w:cs="宋体"/>
          <w:color w:val="000000"/>
          <w:sz w:val="32"/>
          <w:szCs w:val="32"/>
          <w:highlight w:val="none"/>
        </w:rPr>
        <w:sectPr>
          <w:footerReference w:type="default" r:id="rId15"/>
          <w:footerReference w:type="first" r:id="rId16"/>
          <w:footnotePr/>
          <w:endnotePr/>
          <w:type w:val="nextPage"/>
          <w:pgSz w:w="11906" w:h="16838" w:orient="portrait"/>
          <w:pgMar w:top="1417" w:right="1049" w:bottom="1417" w:left="1049" w:header="624" w:footer="907" w:gutter="0"/>
          <w:pgNumType w:start="1"/>
          <w:cols w:num="1" w:sep="0" w:space="1701" w:equalWidth="1"/>
          <w:docGrid w:linePitch="360"/>
          <w:titlePg/>
        </w:sectPr>
      </w:pPr>
      <w:r/>
      <w:bookmarkStart w:id="0" w:name="报价方须知前附表"/>
      <w:r/>
      <w:bookmarkEnd w:id="0"/>
      <w:r>
        <w:rPr>
          <w:rFonts w:hint="eastAsia" w:ascii="宋体" w:hAnsi="宋体" w:eastAsia="宋体" w:cs="宋体"/>
          <w:color w:val="000000"/>
          <w:sz w:val="32"/>
          <w:szCs w:val="32"/>
          <w:highlight w:val="none"/>
        </w:rPr>
      </w:r>
      <w:r/>
    </w:p>
    <w:p>
      <w:pPr>
        <w:pStyle w:val="1064"/>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一、 投标邀请</w:t>
      </w:r>
      <w:r>
        <w:rPr>
          <w:rFonts w:hint="eastAsia" w:ascii="宋体" w:hAnsi="宋体" w:eastAsia="宋体" w:cs="宋体"/>
          <w:color w:val="000000"/>
          <w:sz w:val="32"/>
          <w:szCs w:val="32"/>
          <w:highlight w:val="none"/>
        </w:rPr>
      </w:r>
      <w:r/>
    </w:p>
    <w:p>
      <w:pPr>
        <w:pStyle w:val="1064"/>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江苏建威建设管理有限公司受</w:t>
      </w:r>
      <w:r>
        <w:rPr>
          <w:rFonts w:hint="eastAsia" w:ascii="宋体" w:hAnsi="宋体" w:eastAsia="宋体" w:cs="宋体"/>
          <w:bCs/>
          <w:color w:val="000000"/>
          <w:sz w:val="24"/>
          <w:highlight w:val="none"/>
          <w:lang w:eastAsia="zh-CN"/>
        </w:rPr>
        <w:t xml:space="preserve">无锡市惠山区洛社镇人民政府</w:t>
      </w:r>
      <w:r>
        <w:rPr>
          <w:rFonts w:hint="eastAsia" w:ascii="宋体" w:hAnsi="宋体" w:eastAsia="宋体" w:cs="宋体"/>
          <w:bCs/>
          <w:color w:val="000000"/>
          <w:sz w:val="24"/>
          <w:highlight w:val="none"/>
        </w:rPr>
        <w:t xml:space="preserve">委托就</w:t>
      </w:r>
      <w:r>
        <w:rPr>
          <w:rFonts w:hint="eastAsia" w:ascii="宋体" w:hAnsi="宋体" w:eastAsia="宋体" w:cs="宋体"/>
          <w:bCs/>
          <w:color w:val="000000"/>
          <w:sz w:val="24"/>
          <w:highlight w:val="none"/>
          <w:lang w:eastAsia="zh-CN"/>
        </w:rPr>
        <w:t xml:space="preserve">无锡金属表面处理科技工业园区土壤和地下水污染管控方案编制采购服务</w:t>
      </w:r>
      <w:r>
        <w:rPr>
          <w:rFonts w:hint="eastAsia" w:ascii="宋体" w:hAnsi="宋体" w:eastAsia="宋体" w:cs="宋体"/>
          <w:bCs/>
          <w:color w:val="000000"/>
          <w:sz w:val="24"/>
          <w:highlight w:val="none"/>
        </w:rPr>
        <w:t xml:space="preserve">进行公开招标，欢迎你单位参加投标并提请注意下列附表中的相关事项：</w:t>
      </w:r>
      <w:r>
        <w:rPr>
          <w:rFonts w:hint="eastAsia" w:ascii="宋体" w:hAnsi="宋体" w:eastAsia="宋体" w:cs="宋体"/>
          <w:bCs/>
          <w:color w:val="000000"/>
          <w:sz w:val="24"/>
          <w:highlight w:val="none"/>
        </w:rPr>
      </w:r>
      <w:r/>
    </w:p>
    <w:tbl>
      <w:tblPr>
        <w:tblW w:w="10260" w:type="dxa"/>
        <w:tblInd w:w="-3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9540"/>
      </w:tblGrid>
      <w:tr>
        <w:trPr>
          <w:trHeight w:val="320"/>
        </w:trPr>
        <w:tc>
          <w:tcPr>
            <w:tcW w:w="720" w:type="dxa"/>
            <w:vAlign w:val="top"/>
            <w:textDirection w:val="lrTb"/>
            <w:noWrap w:val="false"/>
          </w:tcPr>
          <w:p>
            <w:pPr>
              <w:pStyle w:val="1064"/>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序号</w:t>
            </w:r>
            <w:r>
              <w:rPr>
                <w:rFonts w:hint="eastAsia" w:ascii="宋体" w:hAnsi="宋体" w:eastAsia="宋体" w:cs="宋体"/>
                <w:bCs/>
                <w:color w:val="000000"/>
                <w:sz w:val="24"/>
                <w:highlight w:val="none"/>
              </w:rPr>
            </w:r>
            <w:r/>
          </w:p>
        </w:tc>
        <w:tc>
          <w:tcPr>
            <w:tcW w:w="9540" w:type="dxa"/>
            <w:vAlign w:val="top"/>
            <w:textDirection w:val="lrTb"/>
            <w:noWrap w:val="false"/>
          </w:tcPr>
          <w:p>
            <w:pPr>
              <w:pStyle w:val="1064"/>
              <w:jc w:val="cente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内    容</w:t>
            </w:r>
            <w:r>
              <w:rPr>
                <w:rFonts w:hint="eastAsia" w:ascii="宋体" w:hAnsi="宋体" w:eastAsia="宋体" w:cs="宋体"/>
                <w:bCs/>
                <w:color w:val="000000"/>
                <w:sz w:val="24"/>
                <w:highlight w:val="none"/>
              </w:rPr>
            </w:r>
            <w:r/>
          </w:p>
        </w:tc>
      </w:tr>
      <w:tr>
        <w:trPr>
          <w:trHeight w:val="1200"/>
        </w:trPr>
        <w:tc>
          <w:tcPr>
            <w:tcW w:w="720" w:type="dxa"/>
            <w:vAlign w:val="center"/>
            <w:textDirection w:val="lrTb"/>
            <w:noWrap w:val="false"/>
          </w:tcPr>
          <w:p>
            <w:pPr>
              <w:pStyle w:val="1064"/>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rPr>
            </w:r>
            <w:r/>
          </w:p>
        </w:tc>
        <w:tc>
          <w:tcPr>
            <w:tcW w:w="9540" w:type="dxa"/>
            <w:vAlign w:val="top"/>
            <w:textDirection w:val="lrTb"/>
            <w:noWrap w:val="false"/>
          </w:tcPr>
          <w:p>
            <w:pPr>
              <w:pStyle w:val="1064"/>
              <w:ind w:left="120" w:hanging="120"/>
              <w:spacing w:line="38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采购项目名称：</w:t>
            </w:r>
            <w:r>
              <w:rPr>
                <w:rFonts w:hint="eastAsia" w:ascii="宋体" w:hAnsi="宋体" w:eastAsia="宋体" w:cs="宋体"/>
                <w:bCs/>
                <w:color w:val="000000"/>
                <w:sz w:val="24"/>
                <w:highlight w:val="none"/>
                <w:lang w:eastAsia="zh-CN"/>
              </w:rPr>
              <w:t xml:space="preserve">无锡金属表面处理科技工业园区土壤和地下水污染管控方案编制采购服务</w:t>
            </w:r>
            <w:r>
              <w:rPr>
                <w:rFonts w:hint="eastAsia" w:ascii="宋体" w:hAnsi="宋体" w:eastAsia="宋体" w:cs="宋体"/>
                <w:bCs/>
                <w:color w:val="000000"/>
                <w:sz w:val="24"/>
                <w:highlight w:val="none"/>
                <w:lang w:eastAsia="zh-CN"/>
              </w:rPr>
            </w:r>
            <w:r/>
          </w:p>
          <w:p>
            <w:pPr>
              <w:pStyle w:val="1064"/>
              <w:ind w:left="120" w:hanging="120"/>
              <w:spacing w:line="38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采购项目编号</w:t>
            </w:r>
            <w:r>
              <w:rPr>
                <w:rFonts w:hint="eastAsia" w:ascii="宋体" w:hAnsi="宋体" w:eastAsia="宋体" w:cs="宋体"/>
                <w:bCs/>
                <w:color w:val="000000"/>
                <w:sz w:val="24"/>
                <w:highlight w:val="none"/>
                <w:lang w:eastAsia="zh-CN"/>
              </w:rPr>
              <w:t xml:space="preserve">：JSZC-320206-JSJW-G2024-0076</w:t>
            </w:r>
            <w:r>
              <w:rPr>
                <w:rFonts w:hint="eastAsia" w:ascii="宋体" w:hAnsi="宋体" w:eastAsia="宋体" w:cs="宋体"/>
                <w:bCs/>
                <w:color w:val="000000"/>
                <w:sz w:val="24"/>
                <w:highlight w:val="none"/>
                <w:lang w:eastAsia="zh-CN"/>
              </w:rPr>
            </w:r>
            <w:r/>
          </w:p>
          <w:p>
            <w:pPr>
              <w:pStyle w:val="1064"/>
              <w:spacing w:line="3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采购方式：公开招标</w:t>
            </w:r>
            <w:r>
              <w:rPr>
                <w:rFonts w:hint="eastAsia" w:ascii="宋体" w:hAnsi="宋体" w:eastAsia="宋体" w:cs="宋体"/>
                <w:bCs/>
                <w:color w:val="000000"/>
                <w:sz w:val="24"/>
                <w:highlight w:val="none"/>
              </w:rPr>
            </w:r>
            <w:r/>
          </w:p>
        </w:tc>
      </w:tr>
      <w:tr>
        <w:trPr>
          <w:trHeight w:val="1540"/>
        </w:trPr>
        <w:tc>
          <w:tcPr>
            <w:tcW w:w="720" w:type="dxa"/>
            <w:vAlign w:val="center"/>
            <w:textDirection w:val="lrTb"/>
            <w:noWrap w:val="false"/>
          </w:tcPr>
          <w:p>
            <w:pPr>
              <w:pStyle w:val="1064"/>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rPr>
            </w:r>
            <w:r/>
          </w:p>
        </w:tc>
        <w:tc>
          <w:tcPr>
            <w:tcW w:w="9540" w:type="dxa"/>
            <w:vAlign w:val="top"/>
            <w:textDirection w:val="lrTb"/>
            <w:noWrap w:val="false"/>
          </w:tcPr>
          <w:p>
            <w:pPr>
              <w:pStyle w:val="1064"/>
              <w:ind w:left="120" w:hanging="120"/>
              <w:spacing w:line="38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采 购 人：</w:t>
            </w:r>
            <w:r>
              <w:rPr>
                <w:rFonts w:hint="eastAsia" w:ascii="宋体" w:hAnsi="宋体" w:eastAsia="宋体" w:cs="宋体"/>
                <w:bCs/>
                <w:color w:val="000000"/>
                <w:sz w:val="24"/>
                <w:highlight w:val="none"/>
                <w:lang w:eastAsia="zh-CN"/>
              </w:rPr>
              <w:t xml:space="preserve">无锡市惠山区洛社镇人民政府</w:t>
            </w:r>
            <w:r>
              <w:rPr>
                <w:rFonts w:hint="eastAsia" w:ascii="宋体" w:hAnsi="宋体" w:eastAsia="宋体" w:cs="宋体"/>
                <w:bCs/>
                <w:color w:val="000000"/>
                <w:sz w:val="24"/>
                <w:highlight w:val="none"/>
                <w:lang w:eastAsia="zh-CN"/>
              </w:rPr>
            </w:r>
            <w:r/>
          </w:p>
          <w:p>
            <w:pPr>
              <w:pStyle w:val="1064"/>
              <w:ind w:left="120" w:hanging="120"/>
              <w:spacing w:line="3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采购人地址：</w:t>
            </w:r>
            <w:r>
              <w:rPr>
                <w:rFonts w:hint="eastAsia" w:ascii="宋体" w:hAnsi="宋体" w:eastAsia="宋体" w:cs="宋体"/>
                <w:bCs/>
                <w:color w:val="000000"/>
                <w:sz w:val="24"/>
                <w:highlight w:val="none"/>
                <w:lang w:eastAsia="zh-CN"/>
              </w:rPr>
              <w:t xml:space="preserve">无锡市惠山区洛社镇新兴西路5号</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1064"/>
              <w:ind w:left="120" w:hanging="120"/>
              <w:spacing w:line="3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采购代理机构：江苏建威建设管理有限公司</w:t>
            </w:r>
            <w:r>
              <w:rPr>
                <w:rFonts w:hint="eastAsia" w:ascii="宋体" w:hAnsi="宋体" w:eastAsia="宋体" w:cs="宋体"/>
                <w:bCs/>
                <w:color w:val="000000"/>
                <w:sz w:val="24"/>
                <w:highlight w:val="none"/>
              </w:rPr>
            </w:r>
            <w:r/>
          </w:p>
          <w:p>
            <w:pPr>
              <w:pStyle w:val="1064"/>
              <w:ind w:left="120" w:hanging="120"/>
              <w:spacing w:line="3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采购代理机构地址：无锡市江海西路990号智慧568大厦十楼1008室</w:t>
            </w:r>
            <w:r>
              <w:rPr>
                <w:rFonts w:hint="eastAsia" w:ascii="宋体" w:hAnsi="宋体" w:eastAsia="宋体" w:cs="宋体"/>
                <w:bCs/>
                <w:color w:val="000000"/>
                <w:sz w:val="24"/>
                <w:highlight w:val="none"/>
              </w:rPr>
            </w:r>
            <w:r/>
          </w:p>
        </w:tc>
      </w:tr>
      <w:tr>
        <w:trPr>
          <w:trHeight w:val="3726"/>
        </w:trPr>
        <w:tc>
          <w:tcPr>
            <w:tcW w:w="720" w:type="dxa"/>
            <w:vAlign w:val="center"/>
            <w:textDirection w:val="lrTb"/>
            <w:noWrap w:val="false"/>
          </w:tcPr>
          <w:p>
            <w:pPr>
              <w:pStyle w:val="1064"/>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rPr>
            </w:r>
            <w:r/>
          </w:p>
        </w:tc>
        <w:tc>
          <w:tcPr>
            <w:tcW w:w="9540" w:type="dxa"/>
            <w:vAlign w:val="top"/>
            <w:textDirection w:val="lrTb"/>
            <w:noWrap w:val="false"/>
          </w:tcPr>
          <w:p>
            <w:pPr>
              <w:pStyle w:val="1064"/>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项目概况、要求：</w:t>
            </w:r>
            <w:r>
              <w:rPr>
                <w:rFonts w:hint="eastAsia" w:ascii="宋体" w:hAnsi="宋体" w:eastAsia="宋体" w:cs="宋体"/>
                <w:color w:val="000000"/>
                <w:sz w:val="24"/>
                <w:highlight w:val="none"/>
              </w:rPr>
            </w:r>
            <w:r/>
          </w:p>
          <w:p>
            <w:pPr>
              <w:pStyle w:val="1064"/>
              <w:spacing w:line="380" w:lineRule="exact"/>
              <w:widowControl/>
              <w:rPr>
                <w:rFonts w:hint="eastAsia" w:ascii="宋体" w:hAnsi="宋体" w:eastAsia="宋体" w:cs="宋体"/>
                <w:color w:val="000000"/>
                <w:sz w:val="24"/>
                <w:highlight w:val="none"/>
                <w:lang w:val="en-US" w:eastAsia="zh-CN"/>
              </w:rPr>
              <w:outlineLvl w:val="0"/>
            </w:pPr>
            <w:r>
              <w:rPr>
                <w:rFonts w:hint="eastAsia" w:ascii="宋体" w:hAnsi="宋体" w:eastAsia="宋体" w:cs="宋体"/>
                <w:color w:val="000000"/>
                <w:sz w:val="24"/>
                <w:highlight w:val="none"/>
              </w:rPr>
              <w:t xml:space="preserve">（1）采购内容：</w:t>
            </w:r>
            <w:r>
              <w:rPr>
                <w:rFonts w:hint="eastAsia" w:ascii="宋体" w:hAnsi="宋体" w:eastAsia="宋体" w:cs="宋体"/>
                <w:color w:val="000000"/>
                <w:sz w:val="24"/>
                <w:highlight w:val="none"/>
                <w:lang w:eastAsia="zh-CN"/>
              </w:rPr>
              <w:t xml:space="preserve">无锡金属表面处理科技工业园区总占地面积为1.43km2。工业园位于无锡市西北部、惠山区西北、杨市镇镇区北部，北起锡溧运河以北950米，南至锡溧运河，西起北红线，东到杨市镇与洛社镇交界处。园内目前共有企业34家，主要从事电镀生产活动。现需对该地块公共面积开展土壤和地下水污染状况详细调查，具体包括监测井建设、水文地质调查和土壤、地下水样品检测，进一步明确土壤地下水污染程度和范围，开展风险评估，并进一步开展污染风险管控方案编制工作，为地块的开发利用提供数据支撑和科学依据，并按相关要求报送至生态环境管理部门。</w:t>
            </w:r>
            <w:r>
              <w:rPr>
                <w:rFonts w:hint="eastAsia" w:ascii="宋体" w:hAnsi="宋体" w:eastAsia="宋体" w:cs="宋体"/>
                <w:color w:val="000000"/>
                <w:sz w:val="24"/>
                <w:highlight w:val="none"/>
              </w:rPr>
              <w:t xml:space="preserve">具体内容及要求详见招标文件“三、采购需求”；</w:t>
            </w:r>
            <w:r>
              <w:rPr>
                <w:rFonts w:hint="eastAsia" w:ascii="宋体" w:hAnsi="宋体" w:eastAsia="宋体" w:cs="宋体"/>
                <w:color w:val="000000"/>
                <w:sz w:val="24"/>
                <w:highlight w:val="none"/>
                <w:lang w:val="en-US" w:eastAsia="zh-CN"/>
              </w:rPr>
            </w:r>
            <w:r/>
          </w:p>
          <w:p>
            <w:pPr>
              <w:pStyle w:val="1064"/>
              <w:spacing w:line="380" w:lineRule="exact"/>
              <w:widowControl/>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（2）服务期：合同签订后</w:t>
            </w:r>
            <w:r>
              <w:rPr>
                <w:rFonts w:hint="eastAsia" w:ascii="宋体" w:hAnsi="宋体" w:eastAsia="宋体" w:cs="宋体"/>
                <w:color w:val="000000"/>
                <w:sz w:val="24"/>
                <w:highlight w:val="none"/>
                <w:lang w:val="en-US" w:eastAsia="zh-CN"/>
              </w:rPr>
              <w:t xml:space="preserve">150</w:t>
            </w:r>
            <w:r>
              <w:rPr>
                <w:rFonts w:hint="eastAsia" w:ascii="宋体" w:hAnsi="宋体" w:eastAsia="宋体" w:cs="宋体"/>
                <w:color w:val="000000"/>
                <w:sz w:val="24"/>
                <w:highlight w:val="none"/>
              </w:rPr>
              <w:t xml:space="preserve">日历天内出具最终的成果文件、</w:t>
            </w:r>
            <w:r>
              <w:rPr>
                <w:rFonts w:hint="eastAsia" w:ascii="宋体" w:hAnsi="宋体" w:eastAsia="宋体" w:cs="宋体"/>
                <w:color w:val="000000"/>
                <w:sz w:val="24"/>
                <w:highlight w:val="none"/>
                <w:lang w:eastAsia="zh-CN"/>
              </w:rPr>
              <w:t xml:space="preserve">经采购人确认</w:t>
            </w:r>
            <w:r>
              <w:rPr>
                <w:rFonts w:hint="eastAsia" w:ascii="宋体" w:hAnsi="宋体" w:eastAsia="宋体" w:cs="宋体"/>
                <w:color w:val="000000"/>
                <w:sz w:val="24"/>
                <w:highlight w:val="none"/>
              </w:rPr>
              <w:t xml:space="preserve">并通过专家组评审；误期违约金：2000元/天；</w:t>
            </w:r>
            <w:r>
              <w:rPr>
                <w:rFonts w:hint="eastAsia" w:ascii="宋体" w:hAnsi="宋体" w:eastAsia="宋体" w:cs="宋体"/>
                <w:color w:val="000000"/>
                <w:sz w:val="24"/>
                <w:highlight w:val="none"/>
              </w:rPr>
            </w:r>
            <w:r/>
          </w:p>
          <w:p>
            <w:pPr>
              <w:pStyle w:val="1064"/>
              <w:spacing w:line="380" w:lineRule="exact"/>
              <w:widowControl/>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（3）服务质量标准：出具的</w:t>
            </w:r>
            <w:r>
              <w:rPr>
                <w:rFonts w:hint="eastAsia" w:ascii="宋体" w:hAnsi="宋体" w:eastAsia="宋体" w:cs="宋体"/>
                <w:color w:val="000000"/>
                <w:sz w:val="24"/>
                <w:highlight w:val="none"/>
                <w:lang w:eastAsia="zh-CN"/>
              </w:rPr>
              <w:t xml:space="preserve">成果文件</w:t>
            </w:r>
            <w:r>
              <w:rPr>
                <w:rFonts w:hint="eastAsia" w:ascii="宋体" w:hAnsi="宋体" w:eastAsia="宋体" w:cs="宋体"/>
                <w:color w:val="000000"/>
                <w:sz w:val="24"/>
                <w:highlight w:val="none"/>
              </w:rPr>
              <w:t xml:space="preserve">等须符合国家、行业、地方相关标准</w:t>
            </w:r>
            <w:r>
              <w:rPr>
                <w:rFonts w:hint="eastAsia" w:ascii="宋体" w:hAnsi="宋体" w:eastAsia="宋体" w:cs="宋体"/>
                <w:b w:val="0"/>
                <w:bCs w:val="0"/>
                <w:color w:val="000000"/>
                <w:sz w:val="24"/>
                <w:highlight w:val="none"/>
                <w:lang w:eastAsia="zh-CN"/>
              </w:rPr>
              <w:t xml:space="preserve">及</w:t>
            </w:r>
            <w:r>
              <w:rPr>
                <w:rFonts w:hint="eastAsia" w:ascii="宋体" w:hAnsi="宋体" w:eastAsia="宋体" w:cs="宋体"/>
                <w:b w:val="0"/>
                <w:bCs w:val="0"/>
                <w:color w:val="000000"/>
                <w:sz w:val="24"/>
                <w:highlight w:val="none"/>
              </w:rPr>
              <w:t xml:space="preserve">采购人要求</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经采购人确认</w:t>
            </w:r>
            <w:r>
              <w:rPr>
                <w:rFonts w:hint="eastAsia" w:ascii="宋体" w:hAnsi="宋体" w:eastAsia="宋体" w:cs="宋体"/>
                <w:color w:val="000000"/>
                <w:sz w:val="24"/>
                <w:highlight w:val="none"/>
              </w:rPr>
              <w:t xml:space="preserve">并通过专家组评审，成果客观公正、科学；</w:t>
            </w:r>
            <w:r>
              <w:rPr>
                <w:rFonts w:hint="eastAsia" w:ascii="宋体" w:hAnsi="宋体" w:eastAsia="宋体" w:cs="宋体"/>
                <w:color w:val="000000"/>
                <w:sz w:val="24"/>
                <w:highlight w:val="none"/>
              </w:rPr>
            </w:r>
            <w:r/>
          </w:p>
          <w:p>
            <w:pPr>
              <w:pStyle w:val="1064"/>
              <w:spacing w:line="380" w:lineRule="exact"/>
              <w:widowControl/>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（4）预算价：</w:t>
            </w:r>
            <w:r>
              <w:rPr>
                <w:rFonts w:hint="eastAsia" w:ascii="宋体" w:hAnsi="宋体" w:eastAsia="宋体" w:cs="宋体"/>
                <w:color w:val="000000"/>
                <w:sz w:val="24"/>
                <w:highlight w:val="none"/>
                <w:lang w:val="en-US" w:eastAsia="zh-CN"/>
              </w:rPr>
              <w:t xml:space="preserve">1450000</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p>
            <w:pPr>
              <w:pStyle w:val="1064"/>
              <w:spacing w:line="380" w:lineRule="exact"/>
              <w:widowControl/>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（5）最高限价：1409200元；</w:t>
            </w:r>
            <w:r>
              <w:rPr>
                <w:rFonts w:hint="eastAsia" w:ascii="宋体" w:hAnsi="宋体" w:eastAsia="宋体" w:cs="宋体"/>
                <w:color w:val="000000"/>
                <w:sz w:val="24"/>
                <w:highlight w:val="none"/>
              </w:rPr>
            </w:r>
            <w:r/>
          </w:p>
          <w:p>
            <w:pPr>
              <w:pStyle w:val="1064"/>
              <w:spacing w:line="380" w:lineRule="exact"/>
              <w:widowControl/>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（6）采购方式：公开招标；</w:t>
            </w:r>
            <w:r>
              <w:rPr>
                <w:rFonts w:hint="eastAsia" w:ascii="宋体" w:hAnsi="宋体" w:eastAsia="宋体" w:cs="宋体"/>
                <w:color w:val="000000"/>
                <w:sz w:val="24"/>
                <w:highlight w:val="none"/>
              </w:rPr>
            </w:r>
            <w:r/>
          </w:p>
          <w:p>
            <w:pPr>
              <w:pStyle w:val="1064"/>
              <w:spacing w:line="380" w:lineRule="exact"/>
              <w:widowControl/>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（7）本项目是否专门面向中小</w:t>
            </w:r>
            <w:r>
              <w:rPr>
                <w:rFonts w:hint="eastAsia" w:ascii="宋体" w:hAnsi="宋体" w:eastAsia="宋体" w:cs="宋体"/>
                <w:color w:val="000000"/>
                <w:sz w:val="24"/>
                <w:highlight w:val="none"/>
                <w:lang w:eastAsia="zh-CN"/>
              </w:rPr>
              <w:t xml:space="preserve">（微）</w:t>
            </w:r>
            <w:r>
              <w:rPr>
                <w:rFonts w:hint="eastAsia" w:ascii="宋体" w:hAnsi="宋体" w:eastAsia="宋体" w:cs="宋体"/>
                <w:color w:val="000000"/>
                <w:sz w:val="24"/>
                <w:highlight w:val="none"/>
              </w:rPr>
              <w:t xml:space="preserve">企业（含监狱企业、残疾人福利性单位）：</w:t>
            </w:r>
            <w:r>
              <w:rPr>
                <w:rFonts w:hint="eastAsia" w:ascii="宋体" w:hAnsi="宋体" w:eastAsia="宋体" w:cs="宋体"/>
                <w:color w:val="000000"/>
                <w:sz w:val="24"/>
                <w:highlight w:val="none"/>
                <w:lang w:eastAsia="zh-CN"/>
              </w:rPr>
              <w:t xml:space="preserve">否</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64"/>
              <w:spacing w:line="380" w:lineRule="exact"/>
              <w:widowControl/>
              <w:rPr>
                <w:rFonts w:hint="eastAsia" w:ascii="宋体" w:hAnsi="宋体" w:eastAsia="宋体" w:cs="宋体"/>
                <w:color w:val="000000"/>
                <w:highlight w:val="none"/>
              </w:rPr>
              <w:outlineLvl w:val="0"/>
            </w:pPr>
            <w:r>
              <w:rPr>
                <w:rFonts w:hint="eastAsia" w:ascii="宋体" w:hAnsi="宋体" w:eastAsia="宋体" w:cs="宋体"/>
                <w:color w:val="000000"/>
                <w:sz w:val="24"/>
                <w:highlight w:val="none"/>
              </w:rPr>
              <w:t xml:space="preserve">（8）本项目标的所属行业：根据中小企业划型标准规定（工信部联企业[2011]300号）中的“其他未列明行业”。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highlight w:val="none"/>
              </w:rPr>
            </w:r>
            <w:r/>
          </w:p>
        </w:tc>
      </w:tr>
      <w:tr>
        <w:trPr>
          <w:trHeight w:val="416"/>
        </w:trPr>
        <w:tc>
          <w:tcPr>
            <w:tcW w:w="720" w:type="dxa"/>
            <w:vAlign w:val="center"/>
            <w:textDirection w:val="lrTb"/>
            <w:noWrap w:val="false"/>
          </w:tcPr>
          <w:p>
            <w:pPr>
              <w:pStyle w:val="1064"/>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w:t>
            </w:r>
            <w:r>
              <w:rPr>
                <w:rFonts w:hint="eastAsia" w:ascii="宋体" w:hAnsi="宋体" w:eastAsia="宋体" w:cs="宋体"/>
                <w:bCs/>
                <w:color w:val="000000"/>
                <w:sz w:val="24"/>
                <w:highlight w:val="none"/>
              </w:rPr>
            </w:r>
            <w:r/>
          </w:p>
        </w:tc>
        <w:tc>
          <w:tcPr>
            <w:tcW w:w="9540" w:type="dxa"/>
            <w:vAlign w:val="top"/>
            <w:textDirection w:val="lrTb"/>
            <w:noWrap w:val="false"/>
          </w:tcPr>
          <w:p>
            <w:pPr>
              <w:pStyle w:val="1064"/>
              <w:spacing w:line="38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（一）供应商的资格要求：</w:t>
            </w:r>
            <w:r>
              <w:rPr>
                <w:rFonts w:hint="eastAsia" w:ascii="宋体" w:hAnsi="宋体" w:eastAsia="宋体" w:cs="宋体"/>
                <w:bCs/>
                <w:color w:val="000000"/>
                <w:sz w:val="24"/>
                <w:highlight w:val="none"/>
              </w:rPr>
            </w:r>
            <w:r/>
          </w:p>
          <w:p>
            <w:pPr>
              <w:pStyle w:val="1064"/>
              <w:jc w:val="left"/>
              <w:spacing w:line="3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1、满足《中华人民共和国政府采购法》第二十二条规定；</w:t>
            </w:r>
            <w:r>
              <w:rPr>
                <w:rFonts w:hint="eastAsia" w:ascii="宋体" w:hAnsi="宋体" w:eastAsia="宋体" w:cs="宋体"/>
                <w:bCs/>
                <w:color w:val="000000"/>
                <w:sz w:val="24"/>
                <w:highlight w:val="none"/>
              </w:rPr>
            </w:r>
            <w:r/>
          </w:p>
          <w:p>
            <w:pPr>
              <w:pStyle w:val="1064"/>
              <w:jc w:val="both"/>
              <w:spacing w:line="380" w:lineRule="exact"/>
              <w:widowControl/>
              <w:rPr>
                <w:rFonts w:hint="eastAsia" w:ascii="宋体" w:hAnsi="宋体" w:eastAsia="宋体" w:cs="宋体"/>
                <w:bCs/>
                <w:color w:val="000000"/>
                <w:sz w:val="24"/>
                <w:highlight w:val="none"/>
                <w:u w:val="none"/>
              </w:rPr>
            </w:pPr>
            <w:r>
              <w:rPr>
                <w:rFonts w:hint="eastAsia" w:ascii="宋体" w:hAnsi="宋体" w:eastAsia="宋体" w:cs="宋体"/>
                <w:bCs/>
                <w:color w:val="000000"/>
                <w:sz w:val="24"/>
                <w:highlight w:val="none"/>
              </w:rPr>
              <w:t xml:space="preserve">2、落实政府采购政策需满足的资格要求：</w:t>
            </w:r>
            <w:r>
              <w:rPr>
                <w:rFonts w:hint="eastAsia" w:ascii="宋体" w:hAnsi="宋体" w:eastAsia="宋体" w:cs="宋体"/>
                <w:color w:val="000000"/>
                <w:sz w:val="24"/>
                <w:highlight w:val="none"/>
                <w:u w:val="single"/>
                <w:lang w:val="en-US" w:eastAsia="zh-CN"/>
              </w:rPr>
              <w:t xml:space="preserve">/</w:t>
            </w:r>
            <w:r>
              <w:rPr>
                <w:rFonts w:hint="eastAsia" w:ascii="宋体" w:hAnsi="宋体" w:eastAsia="宋体" w:cs="宋体"/>
                <w:bCs/>
                <w:color w:val="000000"/>
                <w:sz w:val="24"/>
                <w:highlight w:val="none"/>
                <w:u w:val="single"/>
              </w:rPr>
              <w:t xml:space="preserve">。</w:t>
            </w:r>
            <w:r>
              <w:rPr>
                <w:rFonts w:hint="eastAsia" w:ascii="宋体" w:hAnsi="宋体" w:eastAsia="宋体" w:cs="宋体"/>
                <w:bCs/>
                <w:color w:val="000000"/>
                <w:sz w:val="24"/>
                <w:highlight w:val="none"/>
                <w:u w:val="none"/>
              </w:rPr>
            </w:r>
            <w:r/>
          </w:p>
          <w:p>
            <w:pPr>
              <w:pStyle w:val="1064"/>
              <w:numPr>
                <w:ilvl w:val="0"/>
                <w:numId w:val="11"/>
              </w:numPr>
              <w:jc w:val="left"/>
              <w:spacing w:line="3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本项目的特定资格要求：</w:t>
            </w:r>
            <w:r>
              <w:rPr>
                <w:rFonts w:hint="eastAsia" w:ascii="宋体" w:hAnsi="宋体" w:eastAsia="宋体" w:cs="宋体"/>
                <w:bCs/>
                <w:color w:val="000000"/>
                <w:sz w:val="24"/>
                <w:highlight w:val="none"/>
              </w:rPr>
            </w:r>
            <w:r/>
          </w:p>
          <w:p>
            <w:pPr>
              <w:pStyle w:val="1064"/>
              <w:ind w:firstLine="24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（1）、授权代表及项目负责人应为</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供应商的在职职工；</w:t>
            </w:r>
            <w:r>
              <w:rPr>
                <w:rFonts w:hint="eastAsia" w:ascii="宋体" w:hAnsi="宋体" w:eastAsia="宋体" w:cs="宋体"/>
                <w:color w:val="000000"/>
                <w:sz w:val="24"/>
                <w:highlight w:val="none"/>
              </w:rPr>
            </w:r>
            <w:r/>
          </w:p>
          <w:p>
            <w:pPr>
              <w:pStyle w:val="1064"/>
              <w:ind w:firstLine="24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（2）、未被“信用中国”网站（www.creditchina.gov.cn）列入失信被执行人、重大税收违法案件当事人名单、政府采购严重失信行为记录名单；</w:t>
            </w:r>
            <w:r>
              <w:rPr>
                <w:rFonts w:hint="eastAsia" w:ascii="宋体" w:hAnsi="宋体" w:eastAsia="宋体" w:cs="宋体"/>
                <w:bCs/>
                <w:color w:val="000000"/>
                <w:sz w:val="24"/>
                <w:highlight w:val="none"/>
              </w:rPr>
            </w:r>
            <w:r/>
          </w:p>
          <w:p>
            <w:pPr>
              <w:pStyle w:val="1064"/>
              <w:ind w:firstLine="24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（3）、</w:t>
            </w:r>
            <w:bookmarkStart w:id="1" w:name="_Toc28359081"/>
            <w:r>
              <w:rPr>
                <w:rFonts w:hint="eastAsia" w:ascii="宋体" w:hAnsi="宋体" w:eastAsia="宋体" w:cs="宋体"/>
                <w:bCs/>
                <w:color w:val="000000"/>
                <w:sz w:val="24"/>
                <w:highlight w:val="none"/>
                <w:lang w:val="en-US" w:eastAsia="zh-CN"/>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bookmarkEnd w:id="1"/>
            <w:r>
              <w:rPr>
                <w:rFonts w:hint="eastAsia" w:ascii="宋体" w:hAnsi="宋体" w:eastAsia="宋体" w:cs="宋体"/>
                <w:bCs/>
                <w:color w:val="000000"/>
                <w:sz w:val="24"/>
                <w:highlight w:val="none"/>
                <w:lang w:val="en-US" w:eastAsia="zh-CN"/>
              </w:rPr>
            </w:r>
            <w:r/>
          </w:p>
          <w:p>
            <w:pPr>
              <w:pStyle w:val="1064"/>
              <w:ind w:firstLine="24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注：①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bCs/>
                <w:color w:val="000000"/>
                <w:sz w:val="24"/>
                <w:highlight w:val="none"/>
                <w:lang w:val="en-US" w:eastAsia="zh-CN"/>
              </w:rPr>
            </w:r>
            <w:r/>
          </w:p>
          <w:p>
            <w:pPr>
              <w:pStyle w:val="1064"/>
              <w:ind w:firstLine="24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②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rFonts w:hint="eastAsia" w:ascii="宋体" w:hAnsi="宋体" w:eastAsia="宋体" w:cs="宋体"/>
                <w:bCs/>
                <w:color w:val="000000"/>
                <w:sz w:val="24"/>
                <w:highlight w:val="none"/>
                <w:lang w:val="en-US" w:eastAsia="zh-CN"/>
              </w:rPr>
            </w:r>
            <w:r/>
          </w:p>
          <w:p>
            <w:pPr>
              <w:pStyle w:val="1064"/>
              <w:spacing w:line="3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（二）本项目</w:t>
            </w:r>
            <w:r>
              <w:rPr>
                <w:rFonts w:hint="eastAsia" w:ascii="宋体" w:hAnsi="宋体" w:eastAsia="宋体" w:cs="宋体"/>
                <w:bCs/>
                <w:color w:val="000000"/>
                <w:sz w:val="24"/>
                <w:highlight w:val="none"/>
                <w:u w:val="single"/>
                <w:lang w:eastAsia="zh-CN"/>
              </w:rPr>
              <w:t xml:space="preserve">不</w:t>
            </w:r>
            <w:r>
              <w:rPr>
                <w:rFonts w:hint="eastAsia" w:ascii="宋体" w:hAnsi="宋体" w:eastAsia="宋体" w:cs="宋体"/>
                <w:bCs/>
                <w:color w:val="000000"/>
                <w:sz w:val="24"/>
                <w:highlight w:val="none"/>
                <w:u w:val="single"/>
              </w:rPr>
              <w:t xml:space="preserve">接受</w:t>
            </w:r>
            <w:r>
              <w:rPr>
                <w:rFonts w:hint="eastAsia" w:ascii="宋体" w:hAnsi="宋体" w:eastAsia="宋体" w:cs="宋体"/>
                <w:bCs/>
                <w:color w:val="000000"/>
                <w:sz w:val="24"/>
                <w:highlight w:val="none"/>
              </w:rPr>
              <w:t xml:space="preserve">联合体参与投标。</w:t>
            </w:r>
            <w:r>
              <w:rPr>
                <w:rFonts w:hint="eastAsia" w:ascii="宋体" w:hAnsi="宋体" w:eastAsia="宋体" w:cs="宋体"/>
                <w:bCs/>
                <w:color w:val="000000"/>
                <w:sz w:val="24"/>
                <w:highlight w:val="none"/>
              </w:rPr>
            </w:r>
            <w:r/>
          </w:p>
          <w:p>
            <w:pPr>
              <w:pStyle w:val="1064"/>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注：采购人及采购代理机构有权对以上资格条件进行核查，如供应商有弄虚作假行为或不具备以上条件的将取消投标资格。</w:t>
            </w:r>
            <w:r>
              <w:rPr>
                <w:rFonts w:hint="eastAsia" w:ascii="宋体" w:hAnsi="宋体" w:eastAsia="宋体" w:cs="宋体"/>
                <w:color w:val="000000"/>
                <w:sz w:val="24"/>
                <w:highlight w:val="none"/>
              </w:rPr>
            </w:r>
            <w:r/>
          </w:p>
        </w:tc>
      </w:tr>
      <w:tr>
        <w:trPr>
          <w:trHeight w:val="70"/>
        </w:trPr>
        <w:tc>
          <w:tcPr>
            <w:tcW w:w="720" w:type="dxa"/>
            <w:vAlign w:val="center"/>
            <w:textDirection w:val="lrTb"/>
            <w:noWrap w:val="false"/>
          </w:tcPr>
          <w:p>
            <w:pPr>
              <w:pStyle w:val="1064"/>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w:t>
            </w:r>
            <w:r>
              <w:rPr>
                <w:rFonts w:hint="eastAsia" w:ascii="宋体" w:hAnsi="宋体" w:eastAsia="宋体" w:cs="宋体"/>
                <w:bCs/>
                <w:color w:val="000000"/>
                <w:sz w:val="24"/>
                <w:highlight w:val="none"/>
              </w:rPr>
            </w:r>
            <w:r/>
          </w:p>
        </w:tc>
        <w:tc>
          <w:tcPr>
            <w:tcW w:w="9540" w:type="dxa"/>
            <w:vAlign w:val="top"/>
            <w:textDirection w:val="lrTb"/>
            <w:noWrap w:val="false"/>
          </w:tcPr>
          <w:p>
            <w:pPr>
              <w:pStyle w:val="1064"/>
              <w:spacing w:line="360" w:lineRule="exact"/>
              <w:widowControl/>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获取招标文件的方式：</w:t>
            </w:r>
            <w:r>
              <w:rPr>
                <w:rFonts w:hint="eastAsia" w:ascii="宋体" w:hAnsi="宋体" w:eastAsia="宋体" w:cs="宋体"/>
                <w:b/>
                <w:bCs/>
                <w:color w:val="000000"/>
                <w:sz w:val="24"/>
                <w:highlight w:val="none"/>
              </w:rPr>
              <w:t xml:space="preserve">供应商登录苏采云http</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//jszfcg.jsczt.cn/，招标文件（后缀名为“.kedt”）、供应商操作手册及政府采购客户端工具也可通过“苏采云”系统--已报名项目--报名详情页面内相应链接进行下载。</w:t>
            </w:r>
            <w:r>
              <w:rPr>
                <w:rFonts w:hint="eastAsia" w:ascii="宋体" w:hAnsi="宋体" w:eastAsia="宋体" w:cs="宋体"/>
                <w:b/>
                <w:bCs/>
                <w:color w:val="000000"/>
                <w:sz w:val="24"/>
                <w:highlight w:val="none"/>
              </w:rPr>
            </w:r>
            <w:r/>
          </w:p>
          <w:p>
            <w:pPr>
              <w:pStyle w:val="106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获取招标文件的时间：</w:t>
            </w:r>
            <w:r>
              <w:rPr>
                <w:rFonts w:hint="eastAsia" w:ascii="宋体" w:hAnsi="宋体" w:eastAsia="宋体" w:cs="宋体"/>
                <w:b/>
                <w:bCs/>
                <w:color w:val="000000"/>
                <w:sz w:val="24"/>
                <w:highlight w:val="none"/>
              </w:rPr>
              <w:t xml:space="preserve">本项目采购公告发布之日起五个工作日。</w:t>
            </w:r>
            <w:r>
              <w:rPr>
                <w:rFonts w:hint="eastAsia" w:ascii="宋体" w:hAnsi="宋体" w:eastAsia="宋体" w:cs="宋体"/>
                <w:color w:val="000000"/>
                <w:sz w:val="24"/>
                <w:highlight w:val="none"/>
              </w:rPr>
            </w:r>
            <w:r/>
          </w:p>
          <w:p>
            <w:pPr>
              <w:pStyle w:val="106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获取招标文件地点：</w:t>
            </w:r>
            <w:r>
              <w:rPr>
                <w:rFonts w:hint="eastAsia" w:ascii="宋体" w:hAnsi="宋体" w:eastAsia="宋体" w:cs="宋体"/>
                <w:b/>
                <w:bCs/>
                <w:color w:val="000000"/>
                <w:sz w:val="24"/>
                <w:highlight w:val="none"/>
              </w:rPr>
              <w:t xml:space="preserve">供应商登录苏采云http</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//jszfcg.jsczt.cn/进行获取</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r>
            <w:r/>
          </w:p>
        </w:tc>
      </w:tr>
      <w:tr>
        <w:trPr>
          <w:trHeight w:val="1127"/>
        </w:trPr>
        <w:tc>
          <w:tcPr>
            <w:tcW w:w="720" w:type="dxa"/>
            <w:vAlign w:val="center"/>
            <w:textDirection w:val="lrTb"/>
            <w:noWrap w:val="false"/>
          </w:tcPr>
          <w:p>
            <w:pPr>
              <w:pStyle w:val="106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W w:w="9540" w:type="dxa"/>
            <w:vAlign w:val="top"/>
            <w:textDirection w:val="lrTb"/>
            <w:noWrap w:val="false"/>
          </w:tcPr>
          <w:p>
            <w:pPr>
              <w:pStyle w:val="106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提疑截止时间：202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：00时前，以书面传真形式和电子邮件形式发送至采购代理机构。</w:t>
            </w:r>
            <w:r>
              <w:rPr>
                <w:rFonts w:hint="eastAsia" w:ascii="宋体" w:hAnsi="宋体" w:eastAsia="宋体" w:cs="宋体"/>
                <w:color w:val="000000"/>
                <w:sz w:val="24"/>
                <w:highlight w:val="none"/>
              </w:rPr>
            </w:r>
            <w:r/>
          </w:p>
          <w:p>
            <w:pPr>
              <w:pStyle w:val="1064"/>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答疑时间：202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日1</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：00时前，以书面形式发送给各潜在投标供应商。</w:t>
            </w:r>
            <w:r>
              <w:rPr>
                <w:rFonts w:hint="eastAsia" w:ascii="宋体" w:hAnsi="宋体" w:eastAsia="宋体" w:cs="宋体"/>
                <w:color w:val="000000"/>
                <w:sz w:val="24"/>
                <w:highlight w:val="none"/>
              </w:rPr>
            </w:r>
            <w:r/>
          </w:p>
        </w:tc>
      </w:tr>
      <w:tr>
        <w:trPr>
          <w:trHeight w:val="430"/>
        </w:trPr>
        <w:tc>
          <w:tcPr>
            <w:tcW w:w="720" w:type="dxa"/>
            <w:vAlign w:val="center"/>
            <w:textDirection w:val="lrTb"/>
            <w:noWrap w:val="false"/>
          </w:tcPr>
          <w:p>
            <w:pPr>
              <w:pStyle w:val="106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W w:w="9540" w:type="dxa"/>
            <w:vAlign w:val="center"/>
            <w:textDirection w:val="lrTb"/>
            <w:noWrap w:val="false"/>
          </w:tcPr>
          <w:p>
            <w:pPr>
              <w:pStyle w:val="1064"/>
              <w:spacing w:line="38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投标保证金：</w:t>
            </w:r>
            <w:r>
              <w:rPr>
                <w:rFonts w:hint="eastAsia" w:ascii="宋体" w:hAnsi="宋体" w:eastAsia="宋体" w:cs="宋体"/>
                <w:b/>
                <w:bCs/>
                <w:color w:val="000000"/>
                <w:sz w:val="24"/>
                <w:highlight w:val="none"/>
              </w:rPr>
              <w:t xml:space="preserve">响应苏财购【2020】52号文要求，本项目不要求递交投标保证金。</w:t>
            </w:r>
            <w:r>
              <w:rPr>
                <w:rFonts w:hint="eastAsia" w:ascii="宋体" w:hAnsi="宋体" w:eastAsia="宋体" w:cs="宋体"/>
                <w:color w:val="000000"/>
                <w:sz w:val="24"/>
                <w:highlight w:val="none"/>
                <w:lang w:val="zh-CN"/>
              </w:rPr>
            </w:r>
            <w:r/>
          </w:p>
        </w:tc>
      </w:tr>
      <w:tr>
        <w:trPr>
          <w:trHeight w:val="410"/>
        </w:trPr>
        <w:tc>
          <w:tcPr>
            <w:tcW w:w="720" w:type="dxa"/>
            <w:vAlign w:val="center"/>
            <w:textDirection w:val="lrTb"/>
            <w:noWrap w:val="false"/>
          </w:tcPr>
          <w:p>
            <w:pPr>
              <w:pStyle w:val="106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W w:w="9540" w:type="dxa"/>
            <w:vAlign w:val="center"/>
            <w:textDirection w:val="lrTb"/>
            <w:noWrap w:val="false"/>
          </w:tcPr>
          <w:p>
            <w:pPr>
              <w:pStyle w:val="1064"/>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投标有效期：投标截止日期之日起90天</w:t>
            </w:r>
            <w:r>
              <w:rPr>
                <w:rFonts w:hint="eastAsia" w:ascii="宋体" w:hAnsi="宋体" w:eastAsia="宋体" w:cs="宋体"/>
                <w:color w:val="000000"/>
                <w:sz w:val="24"/>
                <w:highlight w:val="none"/>
              </w:rPr>
            </w:r>
            <w:r/>
          </w:p>
        </w:tc>
      </w:tr>
      <w:tr>
        <w:trPr>
          <w:trHeight w:val="409"/>
        </w:trPr>
        <w:tc>
          <w:tcPr>
            <w:tcW w:w="720" w:type="dxa"/>
            <w:vAlign w:val="center"/>
            <w:textDirection w:val="lrTb"/>
            <w:noWrap w:val="false"/>
          </w:tcPr>
          <w:p>
            <w:pPr>
              <w:pStyle w:val="106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W w:w="9540" w:type="dxa"/>
            <w:vAlign w:val="center"/>
            <w:textDirection w:val="lrTb"/>
            <w:noWrap w:val="false"/>
          </w:tcPr>
          <w:p>
            <w:pPr>
              <w:pStyle w:val="1064"/>
              <w:spacing w:line="360" w:lineRule="exact"/>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投标文件接收信息：</w:t>
            </w:r>
            <w:r>
              <w:rPr>
                <w:rFonts w:hint="eastAsia" w:ascii="宋体" w:hAnsi="宋体" w:eastAsia="宋体" w:cs="宋体"/>
                <w:color w:val="000000"/>
                <w:sz w:val="24"/>
                <w:highlight w:val="none"/>
              </w:rPr>
            </w:r>
            <w:r/>
          </w:p>
          <w:p>
            <w:pPr>
              <w:pStyle w:val="1064"/>
              <w:spacing w:line="360" w:lineRule="exact"/>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投标截止时间：</w:t>
            </w: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28</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13：30时</w:t>
            </w:r>
            <w:r>
              <w:rPr>
                <w:rFonts w:hint="eastAsia" w:ascii="宋体" w:hAnsi="宋体" w:eastAsia="宋体" w:cs="宋体"/>
                <w:color w:val="000000"/>
                <w:sz w:val="24"/>
                <w:highlight w:val="none"/>
                <w:lang w:val="zh-CN"/>
              </w:rPr>
              <w:t xml:space="preserve">，投标截止时间后的投标文件恕不接受。</w:t>
            </w:r>
            <w:r>
              <w:rPr>
                <w:rFonts w:hint="eastAsia" w:ascii="宋体" w:hAnsi="宋体" w:eastAsia="宋体" w:cs="宋体"/>
                <w:color w:val="000000"/>
                <w:sz w:val="24"/>
                <w:highlight w:val="none"/>
                <w:lang w:val="zh-CN"/>
              </w:rPr>
            </w:r>
            <w:r/>
          </w:p>
          <w:p>
            <w:pPr>
              <w:pStyle w:val="1064"/>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zh-CN"/>
              </w:rPr>
              <w:t xml:space="preserve">本项目采购文件规定的供应商按时在线解密方式：开启时间后30分钟内，通过“苏采云”系统（使用“CA数字证书”）解密。</w:t>
            </w:r>
            <w:r>
              <w:rPr>
                <w:rFonts w:hint="eastAsia" w:ascii="宋体" w:hAnsi="宋体" w:eastAsia="宋体" w:cs="宋体"/>
                <w:b/>
                <w:bCs/>
                <w:color w:val="000000"/>
                <w:sz w:val="24"/>
                <w:szCs w:val="24"/>
                <w:highlight w:val="none"/>
              </w:rPr>
            </w:r>
            <w:r/>
          </w:p>
          <w:p>
            <w:pPr>
              <w:pStyle w:val="1064"/>
              <w:spacing w:line="360" w:lineRule="exact"/>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递交地点：</w:t>
            </w:r>
            <w:r>
              <w:rPr>
                <w:rFonts w:hint="eastAsia" w:ascii="宋体" w:hAnsi="宋体" w:eastAsia="宋体" w:cs="宋体"/>
                <w:b/>
                <w:color w:val="000000"/>
                <w:sz w:val="24"/>
                <w:szCs w:val="24"/>
                <w:highlight w:val="none"/>
              </w:rPr>
              <w:t xml:space="preserve">“苏采云”系统（网址：</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 \o "http://jszfcg.jsczt.cn/）" </w:instrText>
            </w:r>
            <w:r>
              <w:rPr>
                <w:rFonts w:hint="eastAsia" w:ascii="宋体" w:hAnsi="宋体" w:eastAsia="宋体" w:cs="宋体"/>
                <w:color w:val="000000"/>
                <w:highlight w:val="none"/>
              </w:rPr>
              <w:fldChar w:fldCharType="separate"/>
            </w:r>
            <w:r>
              <w:rPr>
                <w:rFonts w:hint="eastAsia" w:ascii="宋体" w:hAnsi="宋体" w:eastAsia="宋体" w:cs="宋体"/>
                <w:b/>
                <w:color w:val="000000"/>
                <w:sz w:val="24"/>
                <w:szCs w:val="24"/>
                <w:highlight w:val="none"/>
              </w:rPr>
              <w:t xml:space="preserve">http</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//jszfcg.jsczt.cn/）“报名详情”</w:t>
            </w:r>
            <w:r>
              <w:rPr>
                <w:rFonts w:hint="eastAsia" w:ascii="宋体" w:hAnsi="宋体" w:eastAsia="宋体" w:cs="宋体"/>
                <w:b/>
                <w:color w:val="000000"/>
                <w:sz w:val="24"/>
                <w:szCs w:val="24"/>
                <w:highlight w:val="none"/>
              </w:rPr>
              <w:fldChar w:fldCharType="end"/>
            </w:r>
            <w:r>
              <w:rPr>
                <w:rFonts w:hint="eastAsia" w:ascii="宋体" w:hAnsi="宋体" w:eastAsia="宋体" w:cs="宋体"/>
                <w:color w:val="000000"/>
                <w:sz w:val="24"/>
                <w:highlight w:val="none"/>
                <w:lang w:val="zh-CN"/>
              </w:rPr>
            </w:r>
            <w:r/>
          </w:p>
          <w:p>
            <w:pPr>
              <w:pStyle w:val="1064"/>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开标地点：</w:t>
            </w:r>
            <w:r>
              <w:rPr>
                <w:rFonts w:hint="eastAsia" w:ascii="宋体" w:hAnsi="宋体" w:eastAsia="宋体" w:cs="宋体"/>
                <w:b/>
                <w:bCs/>
                <w:color w:val="000000"/>
                <w:sz w:val="24"/>
                <w:szCs w:val="24"/>
                <w:highlight w:val="none"/>
              </w:rPr>
              <w:t xml:space="preserve">“苏采云”系统（网址：http</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//jszfcg.jsczt.cn/）“开标大厅”</w:t>
            </w:r>
            <w:r>
              <w:rPr>
                <w:rFonts w:hint="eastAsia" w:ascii="宋体" w:hAnsi="宋体" w:eastAsia="宋体" w:cs="宋体"/>
                <w:b/>
                <w:bCs/>
                <w:color w:val="000000"/>
                <w:sz w:val="24"/>
                <w:highlight w:val="none"/>
                <w:lang w:val="zh-CN"/>
              </w:rPr>
              <w:t xml:space="preserve">（</w:t>
            </w:r>
            <w:r>
              <w:rPr>
                <w:rFonts w:hint="eastAsia" w:ascii="宋体" w:hAnsi="宋体" w:eastAsia="宋体" w:cs="宋体"/>
                <w:b/>
                <w:bCs/>
                <w:color w:val="000000"/>
                <w:sz w:val="24"/>
                <w:highlight w:val="none"/>
              </w:rPr>
              <w:t xml:space="preserve">本项目为线上不见面采购，投标单位无需到开标现场无需递交纸质文件</w:t>
            </w:r>
            <w:r>
              <w:rPr>
                <w:rFonts w:hint="eastAsia" w:ascii="宋体" w:hAnsi="宋体" w:eastAsia="宋体" w:cs="宋体"/>
                <w:b/>
                <w:bCs/>
                <w:color w:val="000000"/>
                <w:sz w:val="24"/>
                <w:highlight w:val="none"/>
                <w:lang w:val="zh-CN"/>
              </w:rPr>
              <w:t xml:space="preserve">）。</w:t>
            </w:r>
            <w:r>
              <w:rPr>
                <w:rFonts w:hint="eastAsia" w:ascii="宋体" w:hAnsi="宋体" w:eastAsia="宋体" w:cs="宋体"/>
                <w:color w:val="000000"/>
                <w:sz w:val="24"/>
                <w:highlight w:val="none"/>
              </w:rPr>
            </w:r>
            <w:r/>
          </w:p>
        </w:tc>
      </w:tr>
      <w:tr>
        <w:trPr>
          <w:trHeight w:val="70"/>
        </w:trPr>
        <w:tc>
          <w:tcPr>
            <w:tcW w:w="720" w:type="dxa"/>
            <w:vAlign w:val="center"/>
            <w:textDirection w:val="lrTb"/>
            <w:noWrap w:val="false"/>
          </w:tcPr>
          <w:p>
            <w:pPr>
              <w:pStyle w:val="106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c>
          <w:tcPr>
            <w:tcW w:w="9540" w:type="dxa"/>
            <w:vAlign w:val="center"/>
            <w:textDirection w:val="lrTb"/>
            <w:noWrap w:val="false"/>
          </w:tcPr>
          <w:p>
            <w:pPr>
              <w:pStyle w:val="1064"/>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开标时间：</w:t>
            </w: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28</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13：30时</w:t>
            </w: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rPr>
            </w:r>
            <w:r/>
          </w:p>
          <w:p>
            <w:pPr>
              <w:pStyle w:val="1064"/>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开标地点：无锡市惠山区政和大道209号住建局大楼3楼</w:t>
            </w:r>
            <w:r>
              <w:rPr>
                <w:rFonts w:hint="eastAsia" w:ascii="宋体" w:hAnsi="宋体" w:eastAsia="宋体" w:cs="宋体"/>
                <w:color w:val="000000"/>
                <w:sz w:val="24"/>
                <w:highlight w:val="none"/>
                <w:lang w:val="zh-CN"/>
              </w:rPr>
              <w:t xml:space="preserve">开标</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val="zh-CN"/>
              </w:rPr>
              <w:t xml:space="preserve">室</w:t>
            </w:r>
            <w:r>
              <w:rPr>
                <w:rFonts w:hint="eastAsia" w:ascii="宋体" w:hAnsi="宋体" w:eastAsia="宋体" w:cs="宋体"/>
                <w:color w:val="000000"/>
                <w:sz w:val="24"/>
                <w:highlight w:val="none"/>
              </w:rPr>
            </w:r>
            <w:r/>
          </w:p>
        </w:tc>
      </w:tr>
      <w:tr>
        <w:trPr>
          <w:trHeight w:val="783"/>
        </w:trPr>
        <w:tc>
          <w:tcPr>
            <w:tcW w:w="720" w:type="dxa"/>
            <w:vAlign w:val="center"/>
            <w:textDirection w:val="lrTb"/>
            <w:noWrap w:val="false"/>
          </w:tcPr>
          <w:p>
            <w:pPr>
              <w:pStyle w:val="106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rPr>
            </w:r>
            <w:r/>
          </w:p>
        </w:tc>
        <w:tc>
          <w:tcPr>
            <w:tcW w:w="9540" w:type="dxa"/>
            <w:vAlign w:val="center"/>
            <w:textDirection w:val="lrTb"/>
            <w:noWrap w:val="false"/>
          </w:tcPr>
          <w:p>
            <w:pPr>
              <w:pStyle w:val="1064"/>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确定中标单位时间：</w:t>
            </w: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28</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1064"/>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确定中标单位地点：无锡市惠山区政和大道209号住建局大楼4楼评标</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室</w:t>
            </w:r>
            <w:r>
              <w:rPr>
                <w:rFonts w:hint="eastAsia" w:ascii="宋体" w:hAnsi="宋体" w:eastAsia="宋体" w:cs="宋体"/>
                <w:color w:val="000000"/>
                <w:sz w:val="24"/>
                <w:highlight w:val="none"/>
              </w:rPr>
            </w:r>
            <w:r/>
          </w:p>
        </w:tc>
      </w:tr>
      <w:tr>
        <w:trPr>
          <w:trHeight w:val="544"/>
        </w:trPr>
        <w:tc>
          <w:tcPr>
            <w:tcW w:w="720" w:type="dxa"/>
            <w:vAlign w:val="center"/>
            <w:textDirection w:val="lrTb"/>
            <w:noWrap w:val="false"/>
          </w:tcPr>
          <w:p>
            <w:pPr>
              <w:pStyle w:val="1064"/>
              <w:jc w:val="center"/>
              <w:spacing w:line="360" w:lineRule="auto"/>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12</w:t>
            </w:r>
            <w:r>
              <w:rPr>
                <w:rFonts w:hint="eastAsia" w:ascii="宋体" w:hAnsi="宋体" w:eastAsia="宋体" w:cs="宋体"/>
                <w:color w:val="000000"/>
                <w:sz w:val="24"/>
                <w:szCs w:val="22"/>
                <w:highlight w:val="none"/>
              </w:rPr>
            </w:r>
            <w:r/>
          </w:p>
        </w:tc>
        <w:tc>
          <w:tcPr>
            <w:tcW w:w="9540" w:type="dxa"/>
            <w:vAlign w:val="center"/>
            <w:textDirection w:val="lrTb"/>
            <w:noWrap w:val="false"/>
          </w:tcPr>
          <w:p>
            <w:pPr>
              <w:pStyle w:val="1064"/>
              <w:spacing w:line="276"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投标文件制作：</w:t>
            </w:r>
            <w:r>
              <w:rPr>
                <w:rFonts w:hint="eastAsia" w:ascii="宋体" w:hAnsi="宋体" w:eastAsia="宋体" w:cs="宋体"/>
                <w:b/>
                <w:bCs/>
                <w:color w:val="000000"/>
                <w:sz w:val="24"/>
                <w:highlight w:val="none"/>
              </w:rPr>
            </w:r>
            <w:r/>
          </w:p>
          <w:p>
            <w:pPr>
              <w:pStyle w:val="1064"/>
              <w:spacing w:line="276"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1.本次采购采用《无锡市政府采购交易管理系统》进行采购活动，采购文件发布、报价、评审和成交结果发布全程电子化。</w:t>
            </w:r>
            <w:r>
              <w:rPr>
                <w:rFonts w:hint="eastAsia" w:ascii="宋体" w:hAnsi="宋体" w:eastAsia="宋体" w:cs="宋体"/>
                <w:b/>
                <w:bCs/>
                <w:color w:val="000000"/>
                <w:sz w:val="24"/>
                <w:highlight w:val="none"/>
              </w:rPr>
            </w:r>
            <w:r/>
          </w:p>
          <w:p>
            <w:pPr>
              <w:pStyle w:val="1064"/>
              <w:spacing w:line="276"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2.供应商请仔细阅读供应商注册流程和招标文件中关于电子开评标等相关事项，如有问题可发送邮件或移动电话咨询。</w:t>
            </w:r>
            <w:r>
              <w:rPr>
                <w:rFonts w:hint="eastAsia" w:ascii="宋体" w:hAnsi="宋体" w:eastAsia="宋体" w:cs="宋体"/>
                <w:b/>
                <w:bCs/>
                <w:color w:val="000000"/>
                <w:sz w:val="24"/>
                <w:highlight w:val="none"/>
              </w:rPr>
            </w:r>
            <w:r/>
          </w:p>
          <w:p>
            <w:pPr>
              <w:pStyle w:val="1064"/>
              <w:spacing w:line="380" w:lineRule="exact"/>
              <w:widowControl/>
              <w:rPr>
                <w:rFonts w:hint="eastAsia" w:ascii="宋体" w:hAnsi="宋体" w:eastAsia="宋体" w:cs="宋体"/>
                <w:color w:val="000000"/>
                <w:sz w:val="24"/>
                <w:szCs w:val="22"/>
                <w:highlight w:val="none"/>
              </w:rPr>
            </w:pPr>
            <w:r>
              <w:rPr>
                <w:rFonts w:hint="eastAsia" w:ascii="宋体" w:hAnsi="宋体" w:eastAsia="宋体" w:cs="宋体"/>
                <w:b/>
                <w:bCs/>
                <w:color w:val="000000"/>
                <w:sz w:val="24"/>
                <w:highlight w:val="none"/>
              </w:rPr>
              <w:t xml:space="preserve">3.本项目为线上不见面采购，投标单位无需到开标现场无需递交纸质文件。中标供应商在收到中标通知书后与采购人签订合同前，必须提供与系统中电子投标文件一致的纸质投标文件一式三份。</w:t>
            </w:r>
            <w:r>
              <w:rPr>
                <w:rFonts w:hint="eastAsia" w:ascii="宋体" w:hAnsi="宋体" w:eastAsia="宋体" w:cs="宋体"/>
                <w:color w:val="000000"/>
                <w:sz w:val="24"/>
                <w:szCs w:val="22"/>
                <w:highlight w:val="none"/>
              </w:rPr>
            </w:r>
            <w:r/>
          </w:p>
        </w:tc>
      </w:tr>
      <w:tr>
        <w:trPr>
          <w:trHeight w:val="384"/>
        </w:trPr>
        <w:tc>
          <w:tcPr>
            <w:tcW w:w="720" w:type="dxa"/>
            <w:vAlign w:val="center"/>
            <w:textDirection w:val="lrTb"/>
            <w:noWrap w:val="false"/>
          </w:tcPr>
          <w:p>
            <w:pPr>
              <w:pStyle w:val="1064"/>
              <w:jc w:val="center"/>
              <w:spacing w:line="360" w:lineRule="auto"/>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13</w:t>
            </w:r>
            <w:r>
              <w:rPr>
                <w:rFonts w:hint="eastAsia" w:ascii="宋体" w:hAnsi="宋体" w:eastAsia="宋体" w:cs="宋体"/>
                <w:color w:val="000000"/>
                <w:sz w:val="24"/>
                <w:szCs w:val="22"/>
                <w:highlight w:val="none"/>
              </w:rPr>
            </w:r>
            <w:r/>
          </w:p>
        </w:tc>
        <w:tc>
          <w:tcPr>
            <w:tcW w:w="9540" w:type="dxa"/>
            <w:vAlign w:val="center"/>
            <w:textDirection w:val="lrTb"/>
            <w:noWrap w:val="false"/>
          </w:tcPr>
          <w:p>
            <w:pPr>
              <w:pStyle w:val="1064"/>
              <w:spacing w:line="42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潜在投标供应商访问江苏省政府采购（苏采云）平台的网络地址和方法：</w:t>
            </w:r>
            <w:r>
              <w:rPr>
                <w:rFonts w:hint="eastAsia" w:ascii="宋体" w:hAnsi="宋体" w:eastAsia="宋体" w:cs="宋体"/>
                <w:b/>
                <w:bCs/>
                <w:color w:val="000000"/>
                <w:sz w:val="24"/>
                <w:szCs w:val="24"/>
                <w:highlight w:val="none"/>
              </w:rPr>
            </w:r>
            <w:r/>
          </w:p>
          <w:p>
            <w:pPr>
              <w:pStyle w:val="1064"/>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1.请有意参加本项目投标的供应商按以下流程进行操作：</w:t>
            </w:r>
            <w:r>
              <w:rPr>
                <w:rFonts w:hint="eastAsia" w:ascii="宋体" w:hAnsi="宋体" w:eastAsia="宋体" w:cs="宋体"/>
                <w:color w:val="000000"/>
                <w:sz w:val="24"/>
                <w:szCs w:val="24"/>
                <w:highlight w:val="none"/>
              </w:rPr>
            </w:r>
            <w:r/>
          </w:p>
          <w:p>
            <w:pPr>
              <w:pStyle w:val="1064"/>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color w:val="000000"/>
                <w:sz w:val="24"/>
                <w:szCs w:val="24"/>
                <w:highlight w:val="none"/>
              </w:rPr>
            </w:r>
            <w:r/>
          </w:p>
          <w:p>
            <w:pPr>
              <w:pStyle w:val="1064"/>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（2）“苏采云”系统使用的数字证书及电子签章为“意源”CA数字证书和“方正”电子签章。办理流程：详见《江苏省政府采购数字证书（供应商）CA及电子签章办理指南》，具体网址：http</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//jsxcmm.com/help/gys.html。请相关供应商提前完善相应办理材料。办理地点：无锡市公共资源交易中心（无锡市滨湖区观山路199号）12号楼二楼5号、6号窗口。</w:t>
            </w:r>
            <w:r>
              <w:rPr>
                <w:rFonts w:hint="eastAsia" w:ascii="宋体" w:hAnsi="宋体" w:eastAsia="宋体" w:cs="宋体"/>
                <w:color w:val="000000"/>
                <w:sz w:val="24"/>
                <w:szCs w:val="24"/>
                <w:highlight w:val="none"/>
              </w:rPr>
            </w:r>
            <w:r/>
          </w:p>
          <w:p>
            <w:pPr>
              <w:pStyle w:val="1064"/>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（3）咨询电话：供应商注册：0519-86722801、0519-86722806，CA及电子加盖公章或签电子公章：0510-81827781，其他事项：0510-81827730。</w:t>
            </w:r>
            <w:r>
              <w:rPr>
                <w:rFonts w:hint="eastAsia" w:ascii="宋体" w:hAnsi="宋体" w:eastAsia="宋体" w:cs="宋体"/>
                <w:color w:val="000000"/>
                <w:sz w:val="24"/>
                <w:szCs w:val="24"/>
                <w:highlight w:val="none"/>
              </w:rPr>
            </w:r>
            <w:r/>
          </w:p>
          <w:p>
            <w:pPr>
              <w:pStyle w:val="1064"/>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（4）潜在供应商访问“苏采云”系统的网络地址和方法：“苏采云”系统的网址：http</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//jszfcg.jsczt.cn/。</w:t>
            </w:r>
            <w:r>
              <w:rPr>
                <w:rFonts w:hint="eastAsia" w:ascii="宋体" w:hAnsi="宋体" w:eastAsia="宋体" w:cs="宋体"/>
                <w:color w:val="000000"/>
                <w:sz w:val="24"/>
                <w:szCs w:val="24"/>
                <w:highlight w:val="none"/>
              </w:rPr>
            </w:r>
            <w:r/>
          </w:p>
          <w:p>
            <w:pPr>
              <w:pStyle w:val="1064"/>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color w:val="000000"/>
                <w:sz w:val="24"/>
                <w:szCs w:val="24"/>
                <w:highlight w:val="none"/>
              </w:rPr>
            </w:r>
            <w:r/>
          </w:p>
          <w:p>
            <w:pPr>
              <w:pStyle w:val="1064"/>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（6）招标代理机构（采购代理机构）将数据电文形式的采购文件加载至“苏采云”系统，供潜在供应商下载或者查阅。     </w:t>
            </w:r>
            <w:r>
              <w:rPr>
                <w:rFonts w:hint="eastAsia" w:ascii="宋体" w:hAnsi="宋体" w:eastAsia="宋体" w:cs="宋体"/>
                <w:color w:val="000000"/>
                <w:sz w:val="24"/>
                <w:szCs w:val="24"/>
                <w:highlight w:val="none"/>
              </w:rPr>
            </w:r>
            <w:r/>
          </w:p>
          <w:p>
            <w:pPr>
              <w:pStyle w:val="1064"/>
              <w:spacing w:line="380" w:lineRule="exact"/>
              <w:widowControl/>
              <w:rPr>
                <w:rFonts w:hint="eastAsia" w:ascii="宋体" w:hAnsi="宋体" w:eastAsia="宋体" w:cs="宋体"/>
                <w:b/>
                <w:bCs/>
                <w:color w:val="000000"/>
                <w:sz w:val="24"/>
                <w:highlight w:val="none"/>
              </w:rPr>
            </w:pPr>
            <w:r>
              <w:rPr>
                <w:rFonts w:hint="eastAsia" w:ascii="宋体" w:hAnsi="宋体" w:eastAsia="宋体" w:cs="宋体"/>
                <w:color w:val="000000"/>
                <w:sz w:val="24"/>
                <w:szCs w:val="24"/>
                <w:highlight w:val="none"/>
              </w:rPr>
              <w:t xml:space="preserve">（7）苏采云系统使用谷歌浏览器参与不见面开标。</w:t>
            </w:r>
            <w:r>
              <w:rPr>
                <w:rFonts w:hint="eastAsia" w:ascii="宋体" w:hAnsi="宋体" w:eastAsia="宋体" w:cs="宋体"/>
                <w:b/>
                <w:bCs/>
                <w:color w:val="000000"/>
                <w:sz w:val="24"/>
                <w:highlight w:val="none"/>
              </w:rPr>
            </w:r>
            <w:r/>
          </w:p>
        </w:tc>
      </w:tr>
      <w:tr>
        <w:trPr>
          <w:cantSplit/>
          <w:trHeight w:val="5292"/>
        </w:trPr>
        <w:tc>
          <w:tcPr>
            <w:tcW w:w="720" w:type="dxa"/>
            <w:vAlign w:val="center"/>
            <w:textDirection w:val="lrTb"/>
            <w:noWrap w:val="false"/>
          </w:tcPr>
          <w:p>
            <w:pPr>
              <w:pStyle w:val="106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w:t>
            </w:r>
            <w:r>
              <w:rPr>
                <w:rFonts w:hint="eastAsia" w:ascii="宋体" w:hAnsi="宋体" w:eastAsia="宋体" w:cs="宋体"/>
                <w:color w:val="000000"/>
                <w:sz w:val="24"/>
                <w:highlight w:val="none"/>
              </w:rPr>
            </w:r>
            <w:r/>
          </w:p>
        </w:tc>
        <w:tc>
          <w:tcPr>
            <w:tcW w:w="9540" w:type="dxa"/>
            <w:vAlign w:val="center"/>
            <w:textDirection w:val="lrTb"/>
            <w:noWrap w:val="false"/>
          </w:tcPr>
          <w:p>
            <w:pPr>
              <w:pStyle w:val="106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有关本次采购活动程序方面的问题，可来人、来函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传真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或电话联系。</w:t>
            </w:r>
            <w:r>
              <w:rPr>
                <w:rFonts w:hint="eastAsia" w:ascii="宋体" w:hAnsi="宋体" w:eastAsia="宋体" w:cs="宋体"/>
                <w:color w:val="000000"/>
                <w:sz w:val="24"/>
                <w:highlight w:val="none"/>
              </w:rPr>
            </w:r>
            <w:r/>
          </w:p>
          <w:p>
            <w:pPr>
              <w:pStyle w:val="1064"/>
              <w:spacing w:line="360" w:lineRule="exact"/>
              <w:widowControl/>
              <w:rPr>
                <w:rFonts w:hint="eastAsia" w:ascii="宋体" w:hAnsi="宋体" w:eastAsia="宋体" w:cs="宋体"/>
                <w:bCs/>
                <w:color w:val="000000"/>
                <w:sz w:val="24"/>
                <w:highlight w:val="none"/>
                <w:lang w:eastAsia="zh-CN"/>
              </w:rPr>
            </w:pPr>
            <w:r>
              <w:rPr>
                <w:rFonts w:hint="eastAsia" w:ascii="宋体" w:hAnsi="宋体" w:eastAsia="宋体" w:cs="宋体"/>
                <w:color w:val="000000"/>
                <w:sz w:val="24"/>
                <w:highlight w:val="none"/>
              </w:rPr>
              <w:t xml:space="preserve">采购人：</w:t>
            </w:r>
            <w:r>
              <w:rPr>
                <w:rFonts w:hint="eastAsia" w:ascii="宋体" w:hAnsi="宋体" w:eastAsia="宋体" w:cs="宋体"/>
                <w:bCs/>
                <w:color w:val="000000"/>
                <w:sz w:val="24"/>
                <w:highlight w:val="none"/>
                <w:lang w:eastAsia="zh-CN"/>
              </w:rPr>
              <w:t xml:space="preserve">无锡市惠山区洛社镇人民政府</w:t>
            </w:r>
            <w:r>
              <w:rPr>
                <w:rFonts w:hint="eastAsia" w:ascii="宋体" w:hAnsi="宋体" w:eastAsia="宋体" w:cs="宋体"/>
                <w:bCs/>
                <w:color w:val="000000"/>
                <w:sz w:val="24"/>
                <w:highlight w:val="none"/>
                <w:lang w:eastAsia="zh-CN"/>
              </w:rPr>
            </w:r>
            <w:r/>
          </w:p>
          <w:p>
            <w:pPr>
              <w:pStyle w:val="106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统一社会信用代码：11320206014035466Y</w:t>
            </w:r>
            <w:r>
              <w:rPr>
                <w:rFonts w:hint="eastAsia" w:ascii="宋体" w:hAnsi="宋体" w:eastAsia="宋体" w:cs="宋体"/>
                <w:color w:val="000000"/>
                <w:sz w:val="24"/>
                <w:highlight w:val="none"/>
              </w:rPr>
            </w:r>
            <w:r/>
          </w:p>
          <w:p>
            <w:pPr>
              <w:pStyle w:val="1064"/>
              <w:spacing w:line="360" w:lineRule="exac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联系地址：</w:t>
            </w:r>
            <w:r>
              <w:rPr>
                <w:rFonts w:hint="eastAsia" w:ascii="宋体" w:hAnsi="宋体" w:eastAsia="宋体" w:cs="宋体"/>
                <w:color w:val="000000"/>
                <w:sz w:val="24"/>
                <w:highlight w:val="none"/>
                <w:lang w:eastAsia="zh-CN"/>
              </w:rPr>
              <w:t xml:space="preserve">无锡市惠山区洛社镇新兴西路5号</w:t>
            </w:r>
            <w:r>
              <w:rPr>
                <w:rFonts w:hint="eastAsia" w:ascii="宋体" w:hAnsi="宋体" w:eastAsia="宋体" w:cs="宋体"/>
                <w:color w:val="000000"/>
                <w:sz w:val="24"/>
                <w:highlight w:val="none"/>
                <w:lang w:eastAsia="zh-CN"/>
              </w:rPr>
            </w:r>
            <w:r/>
          </w:p>
          <w:p>
            <w:pPr>
              <w:pStyle w:val="106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联系人：唐志洪</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6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w:t>
            </w:r>
            <w:r>
              <w:rPr>
                <w:rFonts w:hint="eastAsia" w:ascii="宋体" w:hAnsi="宋体" w:eastAsia="宋体" w:cs="宋体"/>
                <w:color w:val="000000"/>
                <w:sz w:val="24"/>
                <w:highlight w:val="none"/>
              </w:rPr>
              <w:t xml:space="preserve">系电话：0510-83302978</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6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采购代理机构：</w:t>
            </w:r>
            <w:r>
              <w:rPr>
                <w:rFonts w:hint="eastAsia" w:ascii="宋体" w:hAnsi="宋体" w:eastAsia="宋体" w:cs="宋体"/>
                <w:color w:val="000000"/>
                <w:sz w:val="24"/>
                <w:highlight w:val="none"/>
                <w:lang w:val="zh-CN"/>
              </w:rPr>
              <w:t xml:space="preserve">江苏建威建设管理有限公司</w:t>
            </w:r>
            <w:r>
              <w:rPr>
                <w:rFonts w:hint="eastAsia" w:ascii="宋体" w:hAnsi="宋体" w:eastAsia="宋体" w:cs="宋体"/>
                <w:color w:val="000000"/>
                <w:sz w:val="24"/>
                <w:highlight w:val="none"/>
              </w:rPr>
            </w:r>
            <w:r/>
          </w:p>
          <w:p>
            <w:pPr>
              <w:pStyle w:val="106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统一社会信用代码：91320000466009736D</w:t>
            </w:r>
            <w:r>
              <w:rPr>
                <w:rFonts w:hint="eastAsia" w:ascii="宋体" w:hAnsi="宋体" w:eastAsia="宋体" w:cs="宋体"/>
                <w:color w:val="000000"/>
                <w:sz w:val="24"/>
                <w:highlight w:val="none"/>
              </w:rPr>
            </w:r>
            <w:r/>
          </w:p>
          <w:p>
            <w:pPr>
              <w:pStyle w:val="106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联系地址：无锡市江海西路990号智慧568大厦十楼1008室</w:t>
            </w:r>
            <w:r>
              <w:rPr>
                <w:rFonts w:hint="eastAsia" w:ascii="宋体" w:hAnsi="宋体" w:eastAsia="宋体" w:cs="宋体"/>
                <w:color w:val="000000"/>
                <w:sz w:val="24"/>
                <w:highlight w:val="none"/>
              </w:rPr>
            </w:r>
            <w:r/>
          </w:p>
          <w:p>
            <w:pPr>
              <w:pStyle w:val="106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联系人：吴莹、孙毓含、陈鹏</w:t>
            </w:r>
            <w:r>
              <w:rPr>
                <w:rFonts w:hint="eastAsia" w:ascii="宋体" w:hAnsi="宋体" w:eastAsia="宋体" w:cs="宋体"/>
                <w:color w:val="000000"/>
                <w:sz w:val="24"/>
                <w:highlight w:val="none"/>
              </w:rPr>
            </w:r>
            <w:r/>
          </w:p>
          <w:p>
            <w:pPr>
              <w:pStyle w:val="106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联系电话：0510-68107190、13812296852</w:t>
            </w:r>
            <w:r>
              <w:rPr>
                <w:rFonts w:hint="eastAsia" w:ascii="宋体" w:hAnsi="宋体" w:eastAsia="宋体" w:cs="宋体"/>
                <w:color w:val="000000"/>
                <w:sz w:val="24"/>
                <w:highlight w:val="none"/>
              </w:rPr>
            </w:r>
            <w:r/>
          </w:p>
          <w:p>
            <w:pPr>
              <w:pStyle w:val="106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邮箱：303858724@qq.com</w:t>
            </w:r>
            <w:r>
              <w:rPr>
                <w:rFonts w:hint="eastAsia" w:ascii="宋体" w:hAnsi="宋体" w:eastAsia="宋体" w:cs="宋体"/>
                <w:color w:val="000000"/>
                <w:sz w:val="24"/>
                <w:highlight w:val="none"/>
              </w:rPr>
            </w:r>
            <w:r/>
          </w:p>
          <w:p>
            <w:pPr>
              <w:pStyle w:val="106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邮政编码：214000</w:t>
            </w:r>
            <w:r>
              <w:rPr>
                <w:rFonts w:hint="eastAsia" w:ascii="宋体" w:hAnsi="宋体" w:eastAsia="宋体" w:cs="宋体"/>
                <w:color w:val="000000"/>
                <w:sz w:val="24"/>
                <w:highlight w:val="none"/>
              </w:rPr>
            </w:r>
            <w:r/>
          </w:p>
          <w:p>
            <w:pPr>
              <w:pStyle w:val="106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有关本次采购活动方面的问题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可来人、来函或电话联系。</w:t>
            </w:r>
            <w:r>
              <w:rPr>
                <w:rFonts w:hint="eastAsia" w:ascii="宋体" w:hAnsi="宋体" w:eastAsia="宋体" w:cs="宋体"/>
                <w:color w:val="000000"/>
                <w:sz w:val="24"/>
                <w:highlight w:val="none"/>
              </w:rPr>
            </w:r>
            <w:r/>
          </w:p>
        </w:tc>
      </w:tr>
      <w:tr>
        <w:trPr>
          <w:cantSplit/>
          <w:trHeight w:val="849"/>
        </w:trPr>
        <w:tc>
          <w:tcPr>
            <w:tcW w:w="720" w:type="dxa"/>
            <w:vAlign w:val="center"/>
            <w:textDirection w:val="lrTb"/>
            <w:noWrap w:val="false"/>
          </w:tcPr>
          <w:p>
            <w:pPr>
              <w:pStyle w:val="106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rPr>
                <w:rFonts w:hint="eastAsia" w:ascii="宋体" w:hAnsi="宋体" w:eastAsia="宋体" w:cs="宋体"/>
                <w:color w:val="000000"/>
                <w:sz w:val="24"/>
                <w:highlight w:val="none"/>
              </w:rPr>
            </w:r>
            <w:r/>
          </w:p>
        </w:tc>
        <w:tc>
          <w:tcPr>
            <w:tcW w:w="9540" w:type="dxa"/>
            <w:vAlign w:val="center"/>
            <w:textDirection w:val="lrTb"/>
            <w:noWrap w:val="false"/>
          </w:tcPr>
          <w:p>
            <w:pPr>
              <w:pStyle w:val="1064"/>
              <w:spacing w:line="360" w:lineRule="exact"/>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zh-CN"/>
              </w:rPr>
              <w:t xml:space="preserve">采购项目需要落实的政府采购政策情况：</w:t>
            </w:r>
            <w:r>
              <w:rPr>
                <w:rFonts w:hint="eastAsia" w:ascii="宋体" w:hAnsi="宋体" w:eastAsia="宋体" w:cs="宋体"/>
                <w:color w:val="000000"/>
                <w:sz w:val="24"/>
                <w:highlight w:val="none"/>
              </w:rPr>
              <w:t xml:space="preserve">按照《关于进一步加大政府采购支持中小企业力度的通知》财库〔2022〕19号的规定，对小型和微型企业、监狱企业、残疾人单位报价给予10%的扣除，用扣除后的价格进行评审。</w:t>
            </w:r>
            <w:r>
              <w:rPr>
                <w:rFonts w:hint="eastAsia" w:ascii="宋体" w:hAnsi="宋体" w:eastAsia="宋体" w:cs="宋体"/>
                <w:color w:val="000000"/>
                <w:sz w:val="24"/>
                <w:highlight w:val="none"/>
              </w:rPr>
            </w:r>
            <w:r/>
          </w:p>
          <w:p>
            <w:pPr>
              <w:pStyle w:val="106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投标供应商如为</w:t>
            </w:r>
            <w:r>
              <w:rPr>
                <w:rFonts w:hint="eastAsia" w:ascii="宋体" w:hAnsi="宋体" w:eastAsia="宋体" w:cs="宋体"/>
                <w:color w:val="000000"/>
                <w:sz w:val="24"/>
                <w:highlight w:val="none"/>
              </w:rPr>
              <w:t xml:space="preserve">中小企业，应当按照《政府采购促进中小企业发展管理办法》（财库〔2020〕46号）的规定提供《中小企业声明函》（中小企业划型标准详见《关于印发中小企业划型标准规定的通知》工信部联企业〔2011〕300号）。</w:t>
            </w:r>
            <w:r>
              <w:rPr>
                <w:rFonts w:hint="eastAsia" w:ascii="宋体" w:hAnsi="宋体" w:eastAsia="宋体" w:cs="宋体"/>
                <w:color w:val="000000"/>
                <w:sz w:val="24"/>
                <w:highlight w:val="none"/>
              </w:rPr>
            </w:r>
            <w:r/>
          </w:p>
          <w:p>
            <w:pPr>
              <w:pStyle w:val="106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投标供应商如为</w:t>
            </w:r>
            <w:r>
              <w:rPr>
                <w:rFonts w:hint="eastAsia" w:ascii="宋体" w:hAnsi="宋体" w:eastAsia="宋体" w:cs="宋体"/>
                <w:color w:val="000000"/>
                <w:sz w:val="24"/>
                <w:highlight w:val="none"/>
              </w:rPr>
              <w:t xml:space="preserve">监狱企业，应当按照《关于政府采购支持监狱企业发展有关问题的通知》（财库[2014]68号）的规定由省级以上监狱管理局、戒毒管理局</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含新疆生产建设兵团</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出具的属于监狱企业的证明文件。</w:t>
            </w:r>
            <w:r>
              <w:rPr>
                <w:rFonts w:hint="eastAsia" w:ascii="宋体" w:hAnsi="宋体" w:eastAsia="宋体" w:cs="宋体"/>
                <w:color w:val="000000"/>
                <w:sz w:val="24"/>
                <w:highlight w:val="none"/>
              </w:rPr>
            </w:r>
            <w:r/>
          </w:p>
          <w:p>
            <w:pPr>
              <w:pStyle w:val="106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投标供应商如为</w:t>
            </w:r>
            <w:r>
              <w:rPr>
                <w:rFonts w:hint="eastAsia" w:ascii="宋体" w:hAnsi="宋体" w:eastAsia="宋体" w:cs="宋体"/>
                <w:color w:val="000000"/>
                <w:sz w:val="24"/>
                <w:highlight w:val="none"/>
              </w:rPr>
              <w:t xml:space="preserve">残疾人福利性单位，应当按照《财政部、民政部、中国残疾人联合会关于促进残疾人就业政府采购政策的通知》（财库〔2017〕 141号）的规定填写《残疾人福利性单位声明函》。</w:t>
            </w:r>
            <w:r>
              <w:rPr>
                <w:rFonts w:hint="eastAsia" w:ascii="宋体" w:hAnsi="宋体" w:eastAsia="宋体" w:cs="宋体"/>
                <w:color w:val="000000"/>
                <w:sz w:val="24"/>
                <w:highlight w:val="none"/>
              </w:rPr>
            </w:r>
            <w:r/>
          </w:p>
          <w:p>
            <w:pPr>
              <w:pStyle w:val="106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供应商企业性质如按上述文件规定，同时属于可享受价格扣除的两类或两类以上企业，不享受重复价格扣除。</w:t>
            </w:r>
            <w:r>
              <w:rPr>
                <w:rFonts w:hint="eastAsia" w:ascii="宋体" w:hAnsi="宋体" w:eastAsia="宋体" w:cs="宋体"/>
                <w:color w:val="000000"/>
                <w:sz w:val="24"/>
                <w:highlight w:val="none"/>
              </w:rPr>
            </w:r>
            <w:r/>
          </w:p>
          <w:p>
            <w:pPr>
              <w:pStyle w:val="1064"/>
              <w:spacing w:line="360" w:lineRule="exact"/>
              <w:widowControl/>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本项目为非专门面向中小企业的项目。</w:t>
            </w:r>
            <w:r>
              <w:rPr>
                <w:rFonts w:hint="eastAsia" w:ascii="宋体" w:hAnsi="宋体" w:eastAsia="宋体" w:cs="宋体"/>
                <w:color w:val="000000"/>
                <w:highlight w:val="none"/>
              </w:rPr>
            </w:r>
            <w:r/>
          </w:p>
        </w:tc>
      </w:tr>
    </w:tbl>
    <w:p>
      <w:pPr>
        <w:pStyle w:val="1064"/>
        <w:jc w:val="center"/>
        <w:spacing w:line="440" w:lineRule="exact"/>
        <w:rPr>
          <w:rFonts w:hint="eastAsia" w:ascii="宋体" w:hAnsi="宋体" w:eastAsia="宋体" w:cs="宋体"/>
          <w:color w:val="000000"/>
          <w:sz w:val="32"/>
          <w:szCs w:val="32"/>
          <w:highlight w:val="none"/>
        </w:rPr>
      </w:pPr>
      <w:r/>
      <w:bookmarkStart w:id="2" w:name="二．报价方须知"/>
      <w:r/>
      <w:bookmarkEnd w:id="2"/>
      <w:r>
        <w:rPr>
          <w:rFonts w:hint="eastAsia" w:ascii="宋体" w:hAnsi="宋体" w:eastAsia="宋体" w:cs="宋体"/>
          <w:color w:val="000000"/>
          <w:sz w:val="32"/>
          <w:szCs w:val="32"/>
          <w:highlight w:val="none"/>
        </w:rPr>
      </w:r>
      <w:r/>
    </w:p>
    <w:p>
      <w:pPr>
        <w:pStyle w:val="1064"/>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64"/>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64"/>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64"/>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64"/>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64"/>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64"/>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二、投标供应商须知</w:t>
      </w:r>
      <w:r>
        <w:rPr>
          <w:rFonts w:hint="eastAsia" w:ascii="宋体" w:hAnsi="宋体" w:eastAsia="宋体" w:cs="宋体"/>
          <w:color w:val="000000"/>
          <w:sz w:val="32"/>
          <w:szCs w:val="32"/>
          <w:highlight w:val="none"/>
        </w:rPr>
      </w:r>
      <w:r/>
    </w:p>
    <w:p>
      <w:pPr>
        <w:pStyle w:val="1064"/>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（一）遵循原则：</w:t>
      </w:r>
      <w:r>
        <w:rPr>
          <w:rFonts w:hint="eastAsia" w:ascii="宋体" w:hAnsi="宋体" w:eastAsia="宋体" w:cs="宋体"/>
          <w:color w:val="000000"/>
          <w:sz w:val="24"/>
          <w:highlight w:val="none"/>
        </w:rPr>
      </w:r>
      <w:r/>
    </w:p>
    <w:p>
      <w:pPr>
        <w:pStyle w:val="1064"/>
        <w:ind w:firstLine="24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公开透明原则、公平竞争原则、公正原则和诚实信用原则。</w:t>
      </w:r>
      <w:r>
        <w:rPr>
          <w:rFonts w:hint="eastAsia" w:ascii="宋体" w:hAnsi="宋体" w:eastAsia="宋体" w:cs="宋体"/>
          <w:color w:val="000000"/>
          <w:sz w:val="24"/>
          <w:highlight w:val="none"/>
        </w:rPr>
      </w:r>
      <w:r/>
    </w:p>
    <w:p>
      <w:pPr>
        <w:pStyle w:val="1064"/>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（二）招标文件：</w:t>
      </w:r>
      <w:r>
        <w:rPr>
          <w:rFonts w:hint="eastAsia" w:ascii="宋体" w:hAnsi="宋体" w:eastAsia="宋体" w:cs="宋体"/>
          <w:color w:val="000000"/>
          <w:sz w:val="24"/>
          <w:highlight w:val="none"/>
        </w:rPr>
      </w:r>
      <w:r/>
    </w:p>
    <w:p>
      <w:pPr>
        <w:pStyle w:val="1064"/>
        <w:ind w:firstLine="36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1．招标文件包括文件目录所列全部内容，投标供应商应仔细阅读，并在投标文件中充分反映招标文件的所有要求。</w:t>
      </w:r>
      <w:r>
        <w:rPr>
          <w:rFonts w:hint="eastAsia" w:ascii="宋体" w:hAnsi="宋体" w:eastAsia="宋体" w:cs="宋体"/>
          <w:color w:val="000000"/>
          <w:sz w:val="24"/>
          <w:highlight w:val="none"/>
        </w:rPr>
      </w:r>
      <w:r/>
    </w:p>
    <w:p>
      <w:pPr>
        <w:pStyle w:val="1064"/>
        <w:ind w:firstLine="36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2．招标文件中的“法定代表人”是指投标人的营业执照或相关部门的登记证明文件中的“法定代表人”或“负责人”。</w:t>
      </w:r>
      <w:r>
        <w:rPr>
          <w:rFonts w:hint="eastAsia" w:ascii="宋体" w:hAnsi="宋体" w:eastAsia="宋体" w:cs="宋体"/>
          <w:color w:val="000000"/>
          <w:sz w:val="24"/>
          <w:highlight w:val="none"/>
        </w:rPr>
      </w:r>
      <w:r/>
    </w:p>
    <w:p>
      <w:pPr>
        <w:pStyle w:val="1064"/>
        <w:ind w:firstLine="36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3．投标供应商应在系统内获取文件及有关资料，按招标文件要求提交全部资料并对招标文件各项内容做出实质性响应，否则该投标供应商的投标无效。</w:t>
      </w:r>
      <w:r>
        <w:rPr>
          <w:rFonts w:hint="eastAsia" w:ascii="宋体" w:hAnsi="宋体" w:eastAsia="宋体" w:cs="宋体"/>
          <w:color w:val="000000"/>
          <w:sz w:val="24"/>
          <w:highlight w:val="none"/>
        </w:rPr>
      </w:r>
      <w:r/>
    </w:p>
    <w:p>
      <w:pPr>
        <w:pStyle w:val="1064"/>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4.投标供应商一旦参加本项目投标，即表明承诺接受了本招标文件中所有条件和规定。</w:t>
      </w:r>
      <w:r>
        <w:rPr>
          <w:rFonts w:hint="eastAsia" w:ascii="宋体" w:hAnsi="宋体" w:eastAsia="宋体" w:cs="宋体"/>
          <w:color w:val="000000"/>
          <w:sz w:val="24"/>
          <w:highlight w:val="none"/>
        </w:rPr>
      </w:r>
      <w:r/>
    </w:p>
    <w:p>
      <w:pPr>
        <w:pStyle w:val="1064"/>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5．本招标文件且仅作为本次采购招标使用。</w:t>
      </w:r>
      <w:r>
        <w:rPr>
          <w:rFonts w:hint="eastAsia" w:ascii="宋体" w:hAnsi="宋体" w:eastAsia="宋体" w:cs="宋体"/>
          <w:color w:val="000000"/>
          <w:sz w:val="24"/>
          <w:highlight w:val="none"/>
        </w:rPr>
      </w:r>
      <w:r/>
    </w:p>
    <w:p>
      <w:pPr>
        <w:pStyle w:val="1064"/>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（三）招标文件的解释：</w:t>
      </w:r>
      <w:r>
        <w:rPr>
          <w:rFonts w:hint="eastAsia" w:ascii="宋体" w:hAnsi="宋体" w:eastAsia="宋体" w:cs="宋体"/>
          <w:color w:val="000000"/>
          <w:sz w:val="24"/>
          <w:highlight w:val="none"/>
        </w:rPr>
      </w:r>
      <w:r/>
    </w:p>
    <w:p>
      <w:pPr>
        <w:pStyle w:val="1064"/>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1．投标供应商如有需要对招标文件要求澄清的问题，请以书面方式提出，并按“投标邀请”第6项规定的时间将电子邮件及书面传真（两种形式均须发送）至江苏建威建设管理有限公司，联系方式详见投标邀请第14项。</w:t>
      </w:r>
      <w:r>
        <w:rPr>
          <w:rFonts w:hint="eastAsia" w:ascii="宋体" w:hAnsi="宋体" w:eastAsia="宋体" w:cs="宋体"/>
          <w:color w:val="000000"/>
          <w:sz w:val="24"/>
          <w:highlight w:val="none"/>
        </w:rPr>
      </w:r>
      <w:r/>
    </w:p>
    <w:p>
      <w:pPr>
        <w:pStyle w:val="1064"/>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2．采购人、江苏建威建设管理有限公司将按“投标邀请”第6项规定的时间对投标供应商针对招标文件书面提出的要求澄清的问题进行书面答疑。</w:t>
      </w:r>
      <w:r>
        <w:rPr>
          <w:rFonts w:hint="eastAsia" w:ascii="宋体" w:hAnsi="宋体" w:eastAsia="宋体" w:cs="宋体"/>
          <w:color w:val="000000"/>
          <w:sz w:val="24"/>
          <w:highlight w:val="none"/>
        </w:rPr>
      </w:r>
      <w:r/>
    </w:p>
    <w:p>
      <w:pPr>
        <w:pStyle w:val="1064"/>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3．本文件的最终解释权归采购人。</w:t>
      </w:r>
      <w:r>
        <w:rPr>
          <w:rFonts w:hint="eastAsia" w:ascii="宋体" w:hAnsi="宋体" w:eastAsia="宋体" w:cs="宋体"/>
          <w:color w:val="000000"/>
          <w:sz w:val="24"/>
          <w:highlight w:val="none"/>
        </w:rPr>
      </w:r>
      <w:r/>
    </w:p>
    <w:p>
      <w:pPr>
        <w:pStyle w:val="1064"/>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（四）招标文件的补充或修正：</w:t>
      </w:r>
      <w:r>
        <w:rPr>
          <w:rFonts w:hint="eastAsia" w:ascii="宋体" w:hAnsi="宋体" w:eastAsia="宋体" w:cs="宋体"/>
          <w:color w:val="000000"/>
          <w:sz w:val="24"/>
          <w:highlight w:val="none"/>
        </w:rPr>
      </w:r>
      <w:r/>
    </w:p>
    <w:p>
      <w:pPr>
        <w:pStyle w:val="1064"/>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1．投标截止时间15日前江苏建威建设管理有限公司可对招标文件进行必要的澄清或者修改，并视具体情况，延长投标截止时间。</w:t>
      </w:r>
      <w:r>
        <w:rPr>
          <w:rFonts w:hint="eastAsia" w:ascii="宋体" w:hAnsi="宋体" w:eastAsia="宋体" w:cs="宋体"/>
          <w:color w:val="000000"/>
          <w:sz w:val="24"/>
          <w:highlight w:val="none"/>
        </w:rPr>
      </w:r>
      <w:r/>
    </w:p>
    <w:p>
      <w:pPr>
        <w:pStyle w:val="1064"/>
        <w:ind w:firstLine="240"/>
        <w:keepLines w:val="0"/>
        <w:keepNext w:val="0"/>
        <w:pageBreakBefore w:val="0"/>
        <w:spacing w:line="430" w:lineRule="exact"/>
        <w:tabs>
          <w:tab w:val="left" w:pos="52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2．如需对招标文件进行补充或修正，江苏建威建设管理有限公司将在</w:t>
      </w:r>
      <w:r>
        <w:rPr>
          <w:rFonts w:hint="eastAsia" w:ascii="宋体" w:hAnsi="宋体" w:eastAsia="宋体" w:cs="宋体"/>
          <w:b/>
          <w:color w:val="000000"/>
          <w:sz w:val="24"/>
          <w:highlight w:val="none"/>
        </w:rPr>
        <w:t xml:space="preserve">无锡政府采购网、江苏省政府采购网</w:t>
      </w:r>
      <w:r>
        <w:rPr>
          <w:rFonts w:hint="eastAsia" w:ascii="宋体" w:hAnsi="宋体" w:eastAsia="宋体" w:cs="宋体"/>
          <w:color w:val="000000"/>
          <w:sz w:val="24"/>
          <w:highlight w:val="none"/>
        </w:rPr>
        <w:t xml:space="preserve">上发布更正公告，其作为招标文件的一部分，与招标文件具有同等约束力。</w:t>
      </w:r>
      <w:r>
        <w:rPr>
          <w:rFonts w:hint="eastAsia" w:ascii="宋体" w:hAnsi="宋体" w:eastAsia="宋体" w:cs="宋体"/>
          <w:bCs/>
          <w:color w:val="000000"/>
          <w:sz w:val="24"/>
          <w:highlight w:val="none"/>
        </w:rPr>
        <w:t xml:space="preserve">因供应商未尽注意义务，未及时全面地关注更正公告导致其提交的投标文件不符合采购要求而造成的损失及风险（包括但不限于未中标）由供应商自行承担。</w:t>
      </w:r>
      <w:r>
        <w:rPr>
          <w:rFonts w:hint="eastAsia" w:ascii="宋体" w:hAnsi="宋体" w:eastAsia="宋体" w:cs="宋体"/>
          <w:bCs/>
          <w:color w:val="000000"/>
          <w:sz w:val="24"/>
          <w:highlight w:val="none"/>
        </w:rPr>
      </w:r>
      <w:r/>
    </w:p>
    <w:p>
      <w:pPr>
        <w:pStyle w:val="1064"/>
        <w:ind w:firstLine="24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（五）</w:t>
      </w:r>
      <w:r>
        <w:rPr>
          <w:rFonts w:hint="eastAsia" w:ascii="宋体" w:hAnsi="宋体" w:eastAsia="宋体" w:cs="宋体"/>
          <w:bCs/>
          <w:color w:val="000000"/>
          <w:sz w:val="24"/>
          <w:highlight w:val="none"/>
        </w:rPr>
        <w:t xml:space="preserve">投标文件的组成</w:t>
      </w:r>
      <w:r>
        <w:rPr>
          <w:rFonts w:hint="eastAsia" w:ascii="宋体" w:hAnsi="宋体" w:eastAsia="宋体" w:cs="宋体"/>
          <w:b/>
          <w:color w:val="000000"/>
          <w:sz w:val="24"/>
          <w:highlight w:val="none"/>
        </w:rPr>
        <w:t xml:space="preserve">（</w:t>
      </w:r>
      <w:r>
        <w:rPr>
          <w:rFonts w:hint="eastAsia" w:ascii="宋体" w:hAnsi="宋体" w:eastAsia="宋体" w:cs="宋体"/>
          <w:b/>
          <w:bCs/>
          <w:color w:val="000000"/>
          <w:sz w:val="24"/>
          <w:highlight w:val="none"/>
        </w:rPr>
        <w:t xml:space="preserve">相应内容上传至投标客户端）</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64"/>
        <w:ind w:firstLine="477"/>
        <w:keepLines w:val="0"/>
        <w:keepNext w:val="0"/>
        <w:pageBreakBefore w:val="0"/>
        <w:spacing w:line="430" w:lineRule="exact"/>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投标文件由证明文件、商务文件、报价文件、技术文件四部分组成</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1064"/>
        <w:ind w:firstLine="241"/>
        <w:keepLines w:val="0"/>
        <w:keepNext w:val="0"/>
        <w:pageBreakBefore w:val="0"/>
        <w:spacing w:line="4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1.证明文件：</w:t>
      </w:r>
      <w:r>
        <w:rPr>
          <w:rFonts w:hint="eastAsia" w:ascii="宋体" w:hAnsi="宋体" w:eastAsia="宋体" w:cs="宋体"/>
          <w:b/>
          <w:color w:val="000000"/>
          <w:sz w:val="24"/>
          <w:highlight w:val="none"/>
        </w:rPr>
      </w:r>
      <w:r/>
    </w:p>
    <w:p>
      <w:pPr>
        <w:pStyle w:val="1064"/>
        <w:ind w:left="372"/>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1.1资格、资信证明文件</w:t>
      </w:r>
      <w:r>
        <w:rPr>
          <w:rFonts w:hint="eastAsia" w:ascii="宋体" w:hAnsi="宋体" w:eastAsia="宋体" w:cs="宋体"/>
          <w:b/>
          <w:color w:val="000000"/>
          <w:sz w:val="24"/>
          <w:highlight w:val="none"/>
        </w:rPr>
        <w:t xml:space="preserve">（相关证明材料原件扫描后上传）</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64"/>
        <w:ind w:left="21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（1）关于资格的声明函</w:t>
      </w:r>
      <w:r>
        <w:rPr>
          <w:rFonts w:hint="eastAsia" w:ascii="宋体" w:hAnsi="宋体" w:eastAsia="宋体" w:cs="宋体"/>
          <w:b/>
          <w:color w:val="000000"/>
          <w:sz w:val="24"/>
          <w:highlight w:val="none"/>
        </w:rPr>
        <w:t xml:space="preserve">（格式见附件）</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64"/>
        <w:ind w:left="21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（2）供应商有效的营业执照或相关部门的登记证明文件</w:t>
      </w:r>
      <w:r>
        <w:rPr>
          <w:rFonts w:hint="eastAsia" w:ascii="宋体" w:hAnsi="宋体" w:eastAsia="宋体" w:cs="宋体"/>
          <w:b/>
          <w:color w:val="000000"/>
          <w:sz w:val="24"/>
          <w:highlight w:val="none"/>
          <w:lang w:val="zh-CN"/>
        </w:rPr>
        <w:t xml:space="preserve">（原件扫描件）</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64"/>
        <w:ind w:left="21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供应商法定代表人授权委托书</w:t>
      </w:r>
      <w:r>
        <w:rPr>
          <w:rFonts w:hint="eastAsia" w:ascii="宋体" w:hAnsi="宋体" w:eastAsia="宋体" w:cs="宋体"/>
          <w:b/>
          <w:bCs/>
          <w:color w:val="000000"/>
          <w:sz w:val="24"/>
          <w:highlight w:val="none"/>
        </w:rPr>
        <w:t xml:space="preserve">（格式见附件，法定代表人亲自参与的除外）</w:t>
      </w:r>
      <w:r>
        <w:rPr>
          <w:rFonts w:hint="eastAsia" w:ascii="宋体" w:hAnsi="宋体" w:eastAsia="宋体" w:cs="宋体"/>
          <w:b/>
          <w:color w:val="000000"/>
          <w:sz w:val="24"/>
          <w:highlight w:val="none"/>
        </w:rPr>
        <w:t xml:space="preserve">；</w:t>
      </w:r>
      <w:r>
        <w:rPr>
          <w:rFonts w:hint="eastAsia" w:ascii="宋体" w:hAnsi="宋体" w:eastAsia="宋体" w:cs="宋体"/>
          <w:bCs/>
          <w:color w:val="000000"/>
          <w:sz w:val="24"/>
          <w:highlight w:val="none"/>
          <w:lang w:val="zh-CN"/>
        </w:rPr>
      </w:r>
      <w:r/>
    </w:p>
    <w:p>
      <w:pPr>
        <w:pStyle w:val="1064"/>
        <w:ind w:firstLine="24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4</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供应商法定代表人身份证及法定代表人授权代表身份证</w:t>
      </w:r>
      <w:r>
        <w:rPr>
          <w:rFonts w:hint="eastAsia" w:ascii="宋体" w:hAnsi="宋体" w:eastAsia="宋体" w:cs="宋体"/>
          <w:b/>
          <w:color w:val="000000"/>
          <w:sz w:val="24"/>
          <w:highlight w:val="none"/>
        </w:rPr>
        <w:t xml:space="preserve">（原件扫描件，</w:t>
      </w:r>
      <w:r>
        <w:rPr>
          <w:rFonts w:hint="eastAsia" w:ascii="宋体" w:hAnsi="宋体" w:eastAsia="宋体" w:cs="宋体"/>
          <w:b/>
          <w:bCs/>
          <w:color w:val="000000"/>
          <w:sz w:val="24"/>
          <w:highlight w:val="none"/>
        </w:rPr>
        <w:t xml:space="preserve">正、反双面扫描</w:t>
      </w: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64"/>
        <w:ind w:firstLine="240"/>
        <w:keepLines w:val="0"/>
        <w:keepNext w:val="0"/>
        <w:pageBreakBefore w:val="0"/>
        <w:spacing w:line="430" w:lineRule="exact"/>
        <w:tabs>
          <w:tab w:val="left" w:pos="0" w:leader="none"/>
          <w:tab w:val="left" w:pos="945" w:leader="none"/>
        </w:tabs>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5</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授权代表和项目负责人与企业签订的劳动合同</w:t>
      </w:r>
      <w:r>
        <w:rPr>
          <w:rFonts w:hint="eastAsia" w:ascii="宋体" w:hAnsi="宋体" w:eastAsia="宋体" w:cs="宋体"/>
          <w:b/>
          <w:color w:val="000000"/>
          <w:sz w:val="24"/>
          <w:highlight w:val="none"/>
        </w:rPr>
        <w:t xml:space="preserve">（原件扫描件）</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1064"/>
        <w:ind w:firstLine="240"/>
        <w:keepLines w:val="0"/>
        <w:keepNext w:val="0"/>
        <w:pageBreakBefore w:val="0"/>
        <w:spacing w:line="430" w:lineRule="exact"/>
        <w:tabs>
          <w:tab w:val="left" w:pos="0" w:leader="none"/>
          <w:tab w:val="left" w:pos="94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授权代表和项目负责人的由社保机构出具的供应商为其缴纳的近三个月任意一个月份（不含投标当月）的社保证明或相关证明材料（如供应商成立时间为2024年</w:t>
      </w:r>
      <w:r>
        <w:rPr>
          <w:rFonts w:hint="eastAsia" w:ascii="宋体" w:hAnsi="宋体" w:eastAsia="宋体" w:cs="宋体"/>
          <w:color w:val="000000"/>
          <w:sz w:val="24"/>
          <w:highlight w:val="none"/>
          <w:lang w:val="en-US" w:eastAsia="zh-CN"/>
        </w:rPr>
        <w:t xml:space="preserve">08</w:t>
      </w:r>
      <w:r>
        <w:rPr>
          <w:rFonts w:hint="eastAsia" w:ascii="宋体" w:hAnsi="宋体" w:eastAsia="宋体" w:cs="宋体"/>
          <w:color w:val="000000"/>
          <w:sz w:val="24"/>
          <w:highlight w:val="none"/>
        </w:rPr>
        <w:t xml:space="preserve">月以后的，则可不提供社保证明材料）</w:t>
      </w:r>
      <w:r>
        <w:rPr>
          <w:rFonts w:hint="eastAsia" w:ascii="宋体" w:hAnsi="宋体" w:eastAsia="宋体" w:cs="宋体"/>
          <w:b/>
          <w:bCs/>
          <w:color w:val="000000"/>
          <w:sz w:val="24"/>
          <w:highlight w:val="none"/>
        </w:rPr>
        <w:t xml:space="preserve">（原件扫描件）；</w:t>
      </w:r>
      <w:r>
        <w:rPr>
          <w:rFonts w:hint="eastAsia" w:ascii="宋体" w:hAnsi="宋体" w:eastAsia="宋体" w:cs="宋体"/>
          <w:color w:val="000000"/>
          <w:sz w:val="24"/>
          <w:highlight w:val="none"/>
          <w:lang w:val="zh-CN"/>
        </w:rPr>
      </w:r>
      <w:r/>
    </w:p>
    <w:p>
      <w:pPr>
        <w:pStyle w:val="1064"/>
        <w:ind w:firstLine="24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highlight w:val="none"/>
          <w:lang w:val="en-US" w:eastAsia="zh-CN"/>
        </w:rPr>
        <w:t xml:space="preserve">2023年度</w:t>
      </w:r>
      <w:r>
        <w:rPr>
          <w:rFonts w:hint="eastAsia" w:ascii="宋体" w:hAnsi="宋体" w:eastAsia="宋体" w:cs="宋体"/>
          <w:color w:val="000000"/>
          <w:sz w:val="24"/>
          <w:highlight w:val="none"/>
        </w:rPr>
        <w:t xml:space="preserve">的财务审计报告或者近三个月任意一个月份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不含投标当月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财务报表</w:t>
      </w:r>
      <w:r>
        <w:rPr>
          <w:rFonts w:hint="eastAsia" w:ascii="宋体" w:hAnsi="宋体" w:eastAsia="宋体" w:cs="宋体"/>
          <w:b/>
          <w:color w:val="000000"/>
          <w:sz w:val="24"/>
          <w:highlight w:val="none"/>
        </w:rPr>
        <w:t xml:space="preserve">（原件扫描件）；</w:t>
      </w:r>
      <w:r>
        <w:rPr>
          <w:rFonts w:hint="eastAsia" w:ascii="宋体" w:hAnsi="宋体" w:eastAsia="宋体" w:cs="宋体"/>
          <w:bCs/>
          <w:color w:val="000000"/>
          <w:sz w:val="24"/>
          <w:highlight w:val="none"/>
          <w:lang w:val="zh-CN"/>
        </w:rPr>
      </w:r>
      <w:r/>
    </w:p>
    <w:p>
      <w:pPr>
        <w:pStyle w:val="1064"/>
        <w:ind w:firstLine="24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8</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供应商近三个月中任意一个月份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不含投标当月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的依法缴纳税收的相关材料（提供相关主管部门证明或银行代扣证明）</w:t>
      </w:r>
      <w:r>
        <w:rPr>
          <w:rFonts w:hint="eastAsia" w:ascii="宋体" w:hAnsi="宋体" w:eastAsia="宋体" w:cs="宋体"/>
          <w:b/>
          <w:color w:val="000000"/>
          <w:sz w:val="24"/>
          <w:highlight w:val="none"/>
        </w:rPr>
        <w:t xml:space="preserve">（原件扫描件）；</w:t>
      </w:r>
      <w:r>
        <w:rPr>
          <w:rFonts w:hint="eastAsia" w:ascii="宋体" w:hAnsi="宋体" w:eastAsia="宋体" w:cs="宋体"/>
          <w:bCs/>
          <w:color w:val="000000"/>
          <w:sz w:val="24"/>
          <w:highlight w:val="none"/>
          <w:lang w:val="zh-CN"/>
        </w:rPr>
      </w:r>
      <w:r/>
    </w:p>
    <w:p>
      <w:pPr>
        <w:pStyle w:val="1064"/>
        <w:ind w:firstLine="24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9</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供应商近三个月中任意一个月份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不含投标当月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的依法缴纳社会保障资金的相关材料（提供相关主管部门证明或银行代扣证明）</w:t>
      </w:r>
      <w:r>
        <w:rPr>
          <w:rFonts w:hint="eastAsia" w:ascii="宋体" w:hAnsi="宋体" w:eastAsia="宋体" w:cs="宋体"/>
          <w:b/>
          <w:color w:val="000000"/>
          <w:sz w:val="24"/>
          <w:highlight w:val="none"/>
        </w:rPr>
        <w:t xml:space="preserve">（原件扫描件）</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lang w:val="zh-CN"/>
        </w:rPr>
      </w:r>
      <w:r/>
    </w:p>
    <w:p>
      <w:pPr>
        <w:pStyle w:val="1064"/>
        <w:ind w:left="21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10</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承诺书</w:t>
      </w:r>
      <w:r>
        <w:rPr>
          <w:rFonts w:hint="eastAsia" w:ascii="宋体" w:hAnsi="宋体" w:eastAsia="宋体" w:cs="宋体"/>
          <w:b/>
          <w:bCs/>
          <w:color w:val="000000"/>
          <w:sz w:val="24"/>
          <w:highlight w:val="none"/>
        </w:rPr>
        <w:t xml:space="preserve">（格式见附件）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64"/>
        <w:ind w:firstLine="523"/>
        <w:keepLines w:val="0"/>
        <w:keepNext w:val="0"/>
        <w:pageBreakBefore w:val="0"/>
        <w:spacing w:line="430" w:lineRule="exact"/>
        <w:tabs>
          <w:tab w:val="left" w:pos="420" w:leader="none"/>
          <w:tab w:val="left" w:pos="94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上述证明文件中的资格、资信证明文件必须全部提供。投标供应商法定代表人或被授权代表为外籍、港、澳、台地区人士的，其身份证明须提供有效的护照或港澳同胞来往内地通行证、台湾同胞来往大陆通行证，</w:t>
      </w:r>
      <w:r>
        <w:rPr>
          <w:rFonts w:hint="eastAsia" w:ascii="宋体" w:hAnsi="宋体" w:eastAsia="宋体" w:cs="宋体"/>
          <w:b/>
          <w:bCs/>
          <w:color w:val="000000"/>
          <w:sz w:val="24"/>
          <w:highlight w:val="none"/>
          <w:lang w:eastAsia="zh-CN"/>
        </w:rPr>
        <w:t xml:space="preserve">或其他</w:t>
      </w:r>
      <w:r>
        <w:rPr>
          <w:rFonts w:hint="eastAsia" w:ascii="宋体" w:hAnsi="宋体" w:eastAsia="宋体" w:cs="宋体"/>
          <w:b/>
          <w:bCs/>
          <w:color w:val="000000"/>
          <w:sz w:val="24"/>
          <w:highlight w:val="none"/>
        </w:rPr>
        <w:t xml:space="preserve">可在中国大陆有效居留的许可证明。投标供应商所提交的证明文件的完整与否，将直接影响其投标文件的审核和评分结果。</w:t>
      </w:r>
      <w:r>
        <w:rPr>
          <w:rFonts w:hint="eastAsia" w:ascii="宋体" w:hAnsi="宋体" w:eastAsia="宋体" w:cs="宋体"/>
          <w:b/>
          <w:bCs/>
          <w:color w:val="000000"/>
          <w:sz w:val="24"/>
          <w:highlight w:val="none"/>
        </w:rPr>
      </w:r>
      <w:r/>
    </w:p>
    <w:p>
      <w:pPr>
        <w:pStyle w:val="1064"/>
        <w:ind w:firstLine="426"/>
        <w:keepLines w:val="0"/>
        <w:keepNext w:val="0"/>
        <w:pageBreakBefore w:val="0"/>
        <w:spacing w:line="430" w:lineRule="exact"/>
        <w:widowControl/>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b/>
          <w:bCs/>
          <w:color w:val="000000"/>
          <w:sz w:val="24"/>
          <w:highlight w:val="none"/>
        </w:rPr>
      </w:r>
      <w:r/>
    </w:p>
    <w:p>
      <w:pPr>
        <w:pStyle w:val="1064"/>
        <w:ind w:firstLine="482"/>
        <w:keepLines w:val="0"/>
        <w:keepNext w:val="0"/>
        <w:pageBreakBefore w:val="0"/>
        <w:spacing w:line="4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2.商务文件：</w:t>
      </w:r>
      <w:r>
        <w:rPr>
          <w:rFonts w:hint="eastAsia" w:ascii="宋体" w:hAnsi="宋体" w:eastAsia="宋体" w:cs="宋体"/>
          <w:b/>
          <w:color w:val="000000"/>
          <w:sz w:val="24"/>
          <w:highlight w:val="none"/>
        </w:rPr>
      </w:r>
      <w:r/>
    </w:p>
    <w:p>
      <w:pPr>
        <w:pStyle w:val="1064"/>
        <w:ind w:firstLine="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（1）投标函</w:t>
      </w:r>
      <w:r>
        <w:rPr>
          <w:rFonts w:hint="eastAsia" w:ascii="宋体" w:hAnsi="宋体" w:eastAsia="宋体" w:cs="宋体"/>
          <w:color w:val="000000"/>
          <w:sz w:val="24"/>
          <w:highlight w:val="none"/>
        </w:rPr>
        <w:t xml:space="preserve">（格式见附件）</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6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（2）开标一览表（格式见附件）；</w:t>
      </w:r>
      <w:r>
        <w:rPr>
          <w:rFonts w:hint="eastAsia" w:ascii="宋体" w:hAnsi="宋体" w:eastAsia="宋体" w:cs="宋体"/>
          <w:color w:val="000000"/>
          <w:sz w:val="24"/>
          <w:highlight w:val="none"/>
        </w:rPr>
      </w:r>
      <w:r/>
    </w:p>
    <w:p>
      <w:pPr>
        <w:pStyle w:val="106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（3）投标供应商情况表（格式见附件）；</w:t>
      </w:r>
      <w:r>
        <w:rPr>
          <w:rFonts w:hint="eastAsia" w:ascii="宋体" w:hAnsi="宋体" w:eastAsia="宋体" w:cs="宋体"/>
          <w:color w:val="000000"/>
          <w:sz w:val="24"/>
          <w:highlight w:val="none"/>
        </w:rPr>
      </w:r>
      <w:r/>
    </w:p>
    <w:p>
      <w:pPr>
        <w:pStyle w:val="106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（4）项目管理机构配备情况表、项目负责人简历表（格式见附件）；</w:t>
      </w:r>
      <w:r>
        <w:rPr>
          <w:rFonts w:hint="eastAsia" w:ascii="宋体" w:hAnsi="宋体" w:eastAsia="宋体" w:cs="宋体"/>
          <w:color w:val="000000"/>
          <w:sz w:val="24"/>
          <w:highlight w:val="none"/>
        </w:rPr>
      </w:r>
      <w:r/>
    </w:p>
    <w:p>
      <w:pPr>
        <w:pStyle w:val="106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）供应商类似业绩一览表（格式见附件）；</w:t>
      </w:r>
      <w:r>
        <w:rPr>
          <w:rFonts w:hint="eastAsia" w:ascii="宋体" w:hAnsi="宋体" w:eastAsia="宋体" w:cs="宋体"/>
          <w:color w:val="000000"/>
          <w:sz w:val="24"/>
          <w:highlight w:val="none"/>
        </w:rPr>
      </w:r>
      <w:r/>
    </w:p>
    <w:p>
      <w:pPr>
        <w:pStyle w:val="106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）商务条款偏离表、技术要求条款偏离表（格式见附件）；</w:t>
      </w:r>
      <w:r>
        <w:rPr>
          <w:rFonts w:hint="eastAsia" w:ascii="宋体" w:hAnsi="宋体" w:eastAsia="宋体" w:cs="宋体"/>
          <w:color w:val="000000"/>
          <w:sz w:val="24"/>
          <w:highlight w:val="none"/>
        </w:rPr>
      </w:r>
      <w:r/>
    </w:p>
    <w:p>
      <w:pPr>
        <w:pStyle w:val="106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）投标供应商简介和经营情况说明；</w:t>
      </w:r>
      <w:r>
        <w:rPr>
          <w:rFonts w:hint="eastAsia" w:ascii="宋体" w:hAnsi="宋体" w:eastAsia="宋体" w:cs="宋体"/>
          <w:color w:val="000000"/>
          <w:sz w:val="24"/>
          <w:highlight w:val="none"/>
        </w:rPr>
      </w:r>
      <w:r/>
    </w:p>
    <w:p>
      <w:pPr>
        <w:pStyle w:val="106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）服务承诺（格式见附件）；</w:t>
      </w:r>
      <w:r>
        <w:rPr>
          <w:rFonts w:hint="eastAsia" w:ascii="宋体" w:hAnsi="宋体" w:eastAsia="宋体" w:cs="宋体"/>
          <w:color w:val="000000"/>
          <w:sz w:val="24"/>
          <w:highlight w:val="none"/>
        </w:rPr>
      </w:r>
      <w:r/>
    </w:p>
    <w:p>
      <w:pPr>
        <w:pStyle w:val="1064"/>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补充证明文件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6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①</w:t>
      </w:r>
      <w:r>
        <w:rPr>
          <w:rFonts w:hint="eastAsia" w:ascii="宋体" w:hAnsi="宋体" w:eastAsia="宋体" w:cs="宋体"/>
          <w:color w:val="000000"/>
          <w:sz w:val="24"/>
          <w:highlight w:val="none"/>
        </w:rPr>
        <w:t xml:space="preserve">中小企业声明函（供应商</w:t>
      </w:r>
      <w:r>
        <w:rPr>
          <w:rFonts w:hint="eastAsia" w:ascii="宋体" w:hAnsi="宋体" w:eastAsia="宋体" w:cs="宋体"/>
          <w:color w:val="000000"/>
          <w:sz w:val="24"/>
          <w:highlight w:val="none"/>
          <w:lang w:eastAsia="zh-CN"/>
        </w:rPr>
        <w:t xml:space="preserve">如</w:t>
      </w:r>
      <w:r>
        <w:rPr>
          <w:rFonts w:hint="eastAsia" w:ascii="宋体" w:hAnsi="宋体" w:eastAsia="宋体" w:cs="宋体"/>
          <w:color w:val="000000"/>
          <w:sz w:val="24"/>
          <w:highlight w:val="none"/>
        </w:rPr>
        <w:t xml:space="preserve">为中小企业的提供，格式见附件）；</w:t>
      </w:r>
      <w:r>
        <w:rPr>
          <w:rFonts w:hint="eastAsia" w:ascii="宋体" w:hAnsi="宋体" w:eastAsia="宋体" w:cs="宋体"/>
          <w:color w:val="000000"/>
          <w:sz w:val="24"/>
          <w:highlight w:val="none"/>
        </w:rPr>
      </w:r>
      <w:r/>
    </w:p>
    <w:p>
      <w:pPr>
        <w:pStyle w:val="106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②</w:t>
      </w:r>
      <w:r>
        <w:rPr>
          <w:rFonts w:hint="eastAsia" w:ascii="宋体" w:hAnsi="宋体" w:eastAsia="宋体" w:cs="宋体"/>
          <w:color w:val="000000"/>
          <w:sz w:val="24"/>
          <w:highlight w:val="none"/>
        </w:rPr>
        <w:t xml:space="preserve">省级以上监狱管理局、戒毒管理局（含新疆生产建设兵团）出具的属于监狱企业的证明文件（供应商</w:t>
      </w:r>
      <w:r>
        <w:rPr>
          <w:rFonts w:hint="eastAsia" w:ascii="宋体" w:hAnsi="宋体" w:eastAsia="宋体" w:cs="宋体"/>
          <w:color w:val="000000"/>
          <w:sz w:val="24"/>
          <w:highlight w:val="none"/>
          <w:lang w:eastAsia="zh-CN"/>
        </w:rPr>
        <w:t xml:space="preserve">如</w:t>
      </w:r>
      <w:r>
        <w:rPr>
          <w:rFonts w:hint="eastAsia" w:ascii="宋体" w:hAnsi="宋体" w:eastAsia="宋体" w:cs="宋体"/>
          <w:color w:val="000000"/>
          <w:sz w:val="24"/>
          <w:highlight w:val="none"/>
        </w:rPr>
        <w:t xml:space="preserve">为监狱企业的提供）；</w:t>
      </w:r>
      <w:r>
        <w:rPr>
          <w:rFonts w:hint="eastAsia" w:ascii="宋体" w:hAnsi="宋体" w:eastAsia="宋体" w:cs="宋体"/>
          <w:color w:val="000000"/>
          <w:sz w:val="24"/>
          <w:highlight w:val="none"/>
        </w:rPr>
      </w:r>
      <w:r/>
    </w:p>
    <w:p>
      <w:pPr>
        <w:pStyle w:val="106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③</w:t>
      </w:r>
      <w:r>
        <w:rPr>
          <w:rFonts w:hint="eastAsia" w:ascii="宋体" w:hAnsi="宋体" w:eastAsia="宋体" w:cs="宋体"/>
          <w:color w:val="000000"/>
          <w:sz w:val="24"/>
          <w:highlight w:val="none"/>
        </w:rPr>
        <w:t xml:space="preserve">残疾人福利性单位声明函（供应商</w:t>
      </w:r>
      <w:r>
        <w:rPr>
          <w:rFonts w:hint="eastAsia" w:ascii="宋体" w:hAnsi="宋体" w:eastAsia="宋体" w:cs="宋体"/>
          <w:color w:val="000000"/>
          <w:sz w:val="24"/>
          <w:highlight w:val="none"/>
          <w:lang w:eastAsia="zh-CN"/>
        </w:rPr>
        <w:t xml:space="preserve">如</w:t>
      </w:r>
      <w:r>
        <w:rPr>
          <w:rFonts w:hint="eastAsia" w:ascii="宋体" w:hAnsi="宋体" w:eastAsia="宋体" w:cs="宋体"/>
          <w:color w:val="000000"/>
          <w:sz w:val="24"/>
          <w:highlight w:val="none"/>
        </w:rPr>
        <w:t xml:space="preserve">为残疾人福利性单位的提供，格式见附件）；</w:t>
      </w:r>
      <w:r>
        <w:rPr>
          <w:rFonts w:hint="eastAsia" w:ascii="宋体" w:hAnsi="宋体" w:eastAsia="宋体" w:cs="宋体"/>
          <w:color w:val="000000"/>
          <w:sz w:val="24"/>
          <w:highlight w:val="none"/>
        </w:rPr>
      </w:r>
      <w:r/>
    </w:p>
    <w:p>
      <w:pPr>
        <w:pStyle w:val="1064"/>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④</w:t>
      </w:r>
      <w:r>
        <w:rPr>
          <w:rFonts w:hint="eastAsia" w:ascii="宋体" w:hAnsi="宋体" w:eastAsia="宋体" w:cs="宋体"/>
          <w:color w:val="000000"/>
          <w:sz w:val="24"/>
          <w:highlight w:val="none"/>
        </w:rPr>
        <w:t xml:space="preserve">投标供应商认为有必要提供的承诺、声明和证明材料（根据招标文件及评标标准要求）</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64"/>
        <w:ind w:left="480"/>
        <w:keepLines w:val="0"/>
        <w:keepNext w:val="0"/>
        <w:pageBreakBefore w:val="0"/>
        <w:spacing w:line="4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3.报价文件：</w:t>
      </w:r>
      <w:r>
        <w:rPr>
          <w:rFonts w:hint="eastAsia" w:ascii="宋体" w:hAnsi="宋体" w:eastAsia="宋体" w:cs="宋体"/>
          <w:b/>
          <w:color w:val="000000"/>
          <w:sz w:val="24"/>
          <w:highlight w:val="none"/>
        </w:rPr>
      </w:r>
      <w:r/>
    </w:p>
    <w:p>
      <w:pPr>
        <w:pStyle w:val="106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（1）报价明细表（格式见附件）。</w:t>
      </w:r>
      <w:r>
        <w:rPr>
          <w:rFonts w:hint="eastAsia" w:ascii="宋体" w:hAnsi="宋体" w:eastAsia="宋体" w:cs="宋体"/>
          <w:color w:val="000000"/>
          <w:sz w:val="24"/>
          <w:highlight w:val="none"/>
        </w:rPr>
      </w:r>
      <w:r/>
    </w:p>
    <w:p>
      <w:pPr>
        <w:pStyle w:val="1064"/>
        <w:ind w:firstLine="482"/>
        <w:keepLines w:val="0"/>
        <w:keepNext w:val="0"/>
        <w:pageBreakBefore w:val="0"/>
        <w:spacing w:line="43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 技术文件：</w:t>
      </w:r>
      <w:r>
        <w:rPr>
          <w:rFonts w:hint="eastAsia" w:ascii="宋体" w:hAnsi="宋体" w:eastAsia="宋体" w:cs="宋体"/>
          <w:b/>
          <w:bCs/>
          <w:color w:val="000000"/>
          <w:sz w:val="24"/>
          <w:highlight w:val="none"/>
        </w:rPr>
      </w:r>
      <w:r/>
    </w:p>
    <w:p>
      <w:pPr>
        <w:pStyle w:val="106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（1）项目总体分析；</w:t>
      </w:r>
      <w:r>
        <w:rPr>
          <w:rFonts w:hint="eastAsia" w:ascii="宋体" w:hAnsi="宋体" w:eastAsia="宋体" w:cs="宋体"/>
          <w:color w:val="000000"/>
          <w:sz w:val="24"/>
          <w:highlight w:val="none"/>
        </w:rPr>
      </w:r>
      <w:r/>
    </w:p>
    <w:p>
      <w:pPr>
        <w:pStyle w:val="106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（2）实施方案；</w:t>
      </w:r>
      <w:r>
        <w:rPr>
          <w:rFonts w:hint="eastAsia" w:ascii="宋体" w:hAnsi="宋体" w:eastAsia="宋体" w:cs="宋体"/>
          <w:color w:val="000000"/>
          <w:sz w:val="24"/>
          <w:highlight w:val="none"/>
        </w:rPr>
      </w:r>
      <w:r/>
    </w:p>
    <w:p>
      <w:pPr>
        <w:pStyle w:val="1064"/>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（3）重难点方案；</w:t>
      </w:r>
      <w:r>
        <w:rPr>
          <w:rFonts w:hint="eastAsia" w:ascii="宋体" w:hAnsi="宋体" w:eastAsia="宋体" w:cs="宋体"/>
          <w:color w:val="000000"/>
          <w:sz w:val="24"/>
          <w:highlight w:val="none"/>
          <w:lang w:eastAsia="zh-CN"/>
        </w:rPr>
      </w:r>
      <w:r/>
    </w:p>
    <w:p>
      <w:pPr>
        <w:pStyle w:val="1064"/>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）进度保障方案；</w:t>
      </w:r>
      <w:r>
        <w:rPr>
          <w:rFonts w:hint="eastAsia" w:ascii="宋体" w:hAnsi="宋体" w:eastAsia="宋体" w:cs="宋体"/>
          <w:color w:val="000000"/>
          <w:sz w:val="24"/>
          <w:highlight w:val="none"/>
          <w:lang w:eastAsia="zh-CN"/>
        </w:rPr>
      </w:r>
      <w:r/>
    </w:p>
    <w:p>
      <w:pPr>
        <w:pStyle w:val="1064"/>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）质量管理方案；</w:t>
      </w:r>
      <w:r>
        <w:rPr>
          <w:rFonts w:hint="eastAsia" w:ascii="宋体" w:hAnsi="宋体" w:eastAsia="宋体" w:cs="宋体"/>
          <w:color w:val="000000"/>
          <w:sz w:val="24"/>
          <w:highlight w:val="none"/>
          <w:lang w:eastAsia="zh-CN"/>
        </w:rPr>
      </w:r>
      <w:r/>
    </w:p>
    <w:p>
      <w:pPr>
        <w:pStyle w:val="1064"/>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）项目服务。</w:t>
      </w:r>
      <w:r>
        <w:rPr>
          <w:rFonts w:hint="eastAsia" w:ascii="宋体" w:hAnsi="宋体" w:eastAsia="宋体" w:cs="宋体"/>
          <w:color w:val="000000"/>
          <w:sz w:val="24"/>
          <w:highlight w:val="none"/>
          <w:lang w:eastAsia="zh-CN"/>
        </w:rPr>
      </w:r>
      <w:r/>
    </w:p>
    <w:p>
      <w:pPr>
        <w:pStyle w:val="1064"/>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（六）投标报价说明：</w:t>
      </w:r>
      <w:r>
        <w:rPr>
          <w:rFonts w:hint="eastAsia" w:ascii="宋体" w:hAnsi="宋体" w:eastAsia="宋体" w:cs="宋体"/>
          <w:color w:val="000000"/>
          <w:sz w:val="24"/>
          <w:highlight w:val="none"/>
        </w:rPr>
      </w:r>
      <w:r/>
    </w:p>
    <w:p>
      <w:pPr>
        <w:pStyle w:val="1064"/>
        <w:ind w:firstLine="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1.投标供应商的投标报价应是投标供应商在报价文件中提出的各项支付金额的总和，也应是完成招标文件所列采购需求的全部费用。</w:t>
      </w:r>
      <w:r>
        <w:rPr>
          <w:rFonts w:hint="eastAsia" w:ascii="宋体" w:hAnsi="宋体" w:eastAsia="宋体" w:cs="宋体"/>
          <w:bCs/>
          <w:color w:val="000000"/>
          <w:sz w:val="24"/>
          <w:highlight w:val="none"/>
        </w:rPr>
      </w:r>
      <w:r/>
    </w:p>
    <w:p>
      <w:pPr>
        <w:pStyle w:val="1064"/>
        <w:ind w:firstLine="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rPr>
        <w:t xml:space="preserve">投标供应商的投标报价应包括但不限于人工费、材料费、调查费、交通费、采样费、所有检测费、机械使用费、专家费、管理费和利润、税费、成果文件编制费、政策性文件规定的各项规费等费用以及合同明示或暗示的所有一切风险责任和义务等各项应有费用。一旦</w:t>
      </w:r>
      <w:r>
        <w:rPr>
          <w:rFonts w:hint="eastAsia" w:ascii="宋体" w:hAnsi="宋体" w:eastAsia="宋体" w:cs="宋体"/>
          <w:bCs/>
          <w:color w:val="000000"/>
          <w:sz w:val="24"/>
          <w:highlight w:val="none"/>
          <w:lang w:eastAsia="zh-CN"/>
        </w:rPr>
        <w:t xml:space="preserve">中标</w:t>
      </w:r>
      <w:r>
        <w:rPr>
          <w:rFonts w:hint="eastAsia" w:ascii="宋体" w:hAnsi="宋体" w:eastAsia="宋体" w:cs="宋体"/>
          <w:bCs/>
          <w:color w:val="000000"/>
          <w:sz w:val="24"/>
          <w:highlight w:val="none"/>
        </w:rPr>
        <w:t xml:space="preserve">，除合同另行约定外，合同价格后期不作调整</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r>
      <w:r/>
    </w:p>
    <w:p>
      <w:pPr>
        <w:pStyle w:val="1064"/>
        <w:ind w:firstLine="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3.投标供应商应自行踏勘现场，充分考虑企业管理情况、市场风险等因素，认真测算成本，同时自行承担投标费用，凡未列费用，视为已包含在投标报价中。</w:t>
      </w:r>
      <w:r>
        <w:rPr>
          <w:rFonts w:hint="eastAsia" w:ascii="宋体" w:hAnsi="宋体" w:eastAsia="宋体" w:cs="宋体"/>
          <w:bCs/>
          <w:color w:val="000000"/>
          <w:sz w:val="24"/>
          <w:highlight w:val="none"/>
        </w:rPr>
      </w:r>
      <w:r/>
    </w:p>
    <w:p>
      <w:pPr>
        <w:pStyle w:val="1064"/>
        <w:ind w:firstLine="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4.一项投标内容只允许一个报价，采购人不接受任何有选择性的投标报价。</w:t>
      </w:r>
      <w:r>
        <w:rPr>
          <w:rFonts w:hint="eastAsia" w:ascii="宋体" w:hAnsi="宋体" w:eastAsia="宋体" w:cs="宋体"/>
          <w:bCs/>
          <w:color w:val="000000"/>
          <w:sz w:val="24"/>
          <w:highlight w:val="none"/>
        </w:rPr>
      </w:r>
      <w:r/>
    </w:p>
    <w:p>
      <w:pPr>
        <w:pStyle w:val="1064"/>
        <w:ind w:firstLine="480"/>
        <w:keepLines w:val="0"/>
        <w:keepNext w:val="0"/>
        <w:pageBreakBefore w:val="0"/>
        <w:spacing w:line="430" w:lineRule="exact"/>
        <w:tabs>
          <w:tab w:val="left" w:pos="36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5.投标人报价一律以人民币为投标结算货币，结算单位为“元”。</w:t>
      </w:r>
      <w:r>
        <w:rPr>
          <w:rFonts w:hint="eastAsia" w:ascii="宋体" w:hAnsi="宋体" w:eastAsia="宋体" w:cs="宋体"/>
          <w:bCs/>
          <w:color w:val="000000"/>
          <w:sz w:val="24"/>
          <w:highlight w:val="none"/>
        </w:rPr>
      </w:r>
      <w:r/>
    </w:p>
    <w:p>
      <w:pPr>
        <w:pStyle w:val="1064"/>
        <w:ind w:firstLine="482"/>
        <w:keepLines w:val="0"/>
        <w:keepNext w:val="0"/>
        <w:pageBreakBefore w:val="0"/>
        <w:spacing w:line="430" w:lineRule="exact"/>
        <w:tabs>
          <w:tab w:val="left" w:pos="3600" w:leader="none"/>
        </w:tabs>
        <w:rPr>
          <w:rFonts w:hint="eastAsia" w:ascii="宋体" w:hAnsi="宋体" w:eastAsia="宋体" w:cs="宋体"/>
          <w:bCs/>
          <w:color w:val="000000"/>
          <w:sz w:val="24"/>
          <w:highlight w:val="none"/>
        </w:rPr>
      </w:pPr>
      <w:r>
        <w:rPr>
          <w:rFonts w:hint="eastAsia" w:ascii="宋体" w:hAnsi="宋体" w:eastAsia="宋体" w:cs="宋体"/>
          <w:b/>
          <w:color w:val="000000"/>
          <w:sz w:val="24"/>
          <w:szCs w:val="20"/>
          <w:highlight w:val="none"/>
        </w:rPr>
        <w:t xml:space="preserve">6.经评标委员会认定投标供应商的投标报价明显低于其他通过符合性审查投标人的报价，有可能影响产品质量或者不能诚信履约，投标人必须在半小时内提供书面说明，必要时提交相关证明材料以证明其报价合理性。投标人不能证明其报价合理性的，评标委员会应当将其作为无效投标处理。</w:t>
      </w:r>
      <w:r>
        <w:rPr>
          <w:rFonts w:hint="eastAsia" w:ascii="宋体" w:hAnsi="宋体" w:eastAsia="宋体" w:cs="宋体"/>
          <w:bCs/>
          <w:color w:val="000000"/>
          <w:sz w:val="24"/>
          <w:highlight w:val="none"/>
        </w:rPr>
      </w:r>
      <w:r/>
    </w:p>
    <w:p>
      <w:pPr>
        <w:pStyle w:val="1064"/>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（七）投标文件的要求：</w:t>
      </w:r>
      <w:r>
        <w:rPr>
          <w:rFonts w:hint="eastAsia" w:ascii="宋体" w:hAnsi="宋体" w:eastAsia="宋体" w:cs="宋体"/>
          <w:color w:val="000000"/>
          <w:sz w:val="24"/>
          <w:highlight w:val="none"/>
        </w:rPr>
      </w:r>
      <w:r/>
    </w:p>
    <w:p>
      <w:pPr>
        <w:pStyle w:val="1064"/>
        <w:numPr>
          <w:ilvl w:val="1"/>
          <w:numId w:val="12"/>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所有文件、往来函件均应使用简体中文（规格、型号辅助符号除外）。</w:t>
      </w:r>
      <w:r>
        <w:rPr>
          <w:rFonts w:hint="eastAsia" w:ascii="宋体" w:hAnsi="宋体" w:eastAsia="宋体" w:cs="宋体"/>
          <w:color w:val="000000"/>
          <w:sz w:val="24"/>
          <w:highlight w:val="none"/>
        </w:rPr>
      </w:r>
      <w:r/>
    </w:p>
    <w:p>
      <w:pPr>
        <w:pStyle w:val="1064"/>
        <w:numPr>
          <w:ilvl w:val="1"/>
          <w:numId w:val="12"/>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投标文件由投标供应商按给定格式如实填写（编写），须有法人（盖章）、法定代表人或法定代表人授权代表签字或盖章，方为有效，未尽事宜可自行补充。</w:t>
      </w:r>
      <w:r>
        <w:rPr>
          <w:rFonts w:hint="eastAsia" w:ascii="宋体" w:hAnsi="宋体" w:eastAsia="宋体" w:cs="宋体"/>
          <w:color w:val="000000"/>
          <w:sz w:val="24"/>
          <w:highlight w:val="none"/>
        </w:rPr>
      </w:r>
      <w:r/>
    </w:p>
    <w:p>
      <w:pPr>
        <w:pStyle w:val="1064"/>
        <w:numPr>
          <w:ilvl w:val="1"/>
          <w:numId w:val="12"/>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投标供应商报价一律以人民币为报价结算货币，结算单位为“元”。</w:t>
      </w:r>
      <w:r>
        <w:rPr>
          <w:rFonts w:hint="eastAsia" w:ascii="宋体" w:hAnsi="宋体" w:eastAsia="宋体" w:cs="宋体"/>
          <w:color w:val="000000"/>
          <w:sz w:val="24"/>
          <w:highlight w:val="none"/>
        </w:rPr>
      </w:r>
      <w:r/>
    </w:p>
    <w:p>
      <w:pPr>
        <w:pStyle w:val="1064"/>
        <w:numPr>
          <w:ilvl w:val="1"/>
          <w:numId w:val="12"/>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投标文件格式部分，应由投标供应商按给定格式提供，不得更改。</w:t>
      </w:r>
      <w:r>
        <w:rPr>
          <w:rFonts w:hint="eastAsia" w:ascii="宋体" w:hAnsi="宋体" w:eastAsia="宋体" w:cs="宋体"/>
          <w:color w:val="000000"/>
          <w:sz w:val="24"/>
          <w:highlight w:val="none"/>
        </w:rPr>
      </w:r>
      <w:r/>
    </w:p>
    <w:p>
      <w:pPr>
        <w:pStyle w:val="1064"/>
        <w:numPr>
          <w:ilvl w:val="1"/>
          <w:numId w:val="12"/>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投标费用自理。</w:t>
      </w:r>
      <w:r>
        <w:rPr>
          <w:rFonts w:hint="eastAsia" w:ascii="宋体" w:hAnsi="宋体" w:eastAsia="宋体" w:cs="宋体"/>
          <w:color w:val="000000"/>
          <w:sz w:val="24"/>
          <w:highlight w:val="none"/>
        </w:rPr>
      </w:r>
      <w:r/>
    </w:p>
    <w:p>
      <w:pPr>
        <w:pStyle w:val="1064"/>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（八）网上投标：</w:t>
      </w:r>
      <w:r>
        <w:rPr>
          <w:rFonts w:hint="eastAsia" w:ascii="宋体" w:hAnsi="宋体" w:eastAsia="宋体" w:cs="宋体"/>
          <w:color w:val="000000"/>
          <w:sz w:val="24"/>
          <w:highlight w:val="none"/>
        </w:rPr>
      </w:r>
      <w:r/>
    </w:p>
    <w:p>
      <w:pPr>
        <w:pStyle w:val="1064"/>
        <w:numPr>
          <w:ilvl w:val="1"/>
          <w:numId w:val="13"/>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投标人应由其法定代表人或法定代表人授权代表在规定的时间内，凭CA数字证书</w:t>
      </w:r>
      <w:r>
        <w:rPr>
          <w:rFonts w:hint="eastAsia" w:ascii="宋体" w:hAnsi="宋体" w:eastAsia="宋体" w:cs="宋体"/>
          <w:color w:val="000000"/>
          <w:sz w:val="24"/>
          <w:highlight w:val="none"/>
          <w:lang w:eastAsia="zh-CN"/>
        </w:rPr>
        <w:t xml:space="preserve">登录</w:t>
      </w:r>
      <w:r>
        <w:rPr>
          <w:rFonts w:hint="eastAsia" w:ascii="宋体" w:hAnsi="宋体" w:eastAsia="宋体" w:cs="宋体"/>
          <w:color w:val="000000"/>
          <w:sz w:val="24"/>
          <w:highlight w:val="none"/>
        </w:rPr>
        <w:t xml:space="preserve">“江苏省政府采购（苏采云）平台”获取招标文件，在投标客户端制作投标文件（电子数据），并在投标截止时间之前上传投标文件。</w:t>
      </w:r>
      <w:r>
        <w:rPr>
          <w:rFonts w:hint="eastAsia" w:ascii="宋体" w:hAnsi="宋体" w:eastAsia="宋体" w:cs="宋体"/>
          <w:color w:val="000000"/>
          <w:sz w:val="24"/>
          <w:highlight w:val="none"/>
        </w:rPr>
      </w:r>
      <w:r/>
    </w:p>
    <w:p>
      <w:pPr>
        <w:pStyle w:val="1064"/>
        <w:numPr>
          <w:ilvl w:val="1"/>
          <w:numId w:val="13"/>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投标人应对CA数字证书妥善保管，如被他人盗用投标，后果自负。</w:t>
      </w:r>
      <w:r>
        <w:rPr>
          <w:rFonts w:hint="eastAsia" w:ascii="宋体" w:hAnsi="宋体" w:eastAsia="宋体" w:cs="宋体"/>
          <w:color w:val="000000"/>
          <w:sz w:val="24"/>
          <w:highlight w:val="none"/>
        </w:rPr>
      </w:r>
      <w:r/>
    </w:p>
    <w:p>
      <w:pPr>
        <w:pStyle w:val="1064"/>
        <w:numPr>
          <w:ilvl w:val="1"/>
          <w:numId w:val="13"/>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投标人按招标文件规定的网上解密时间进行解密，如未按时解密后果自负。</w:t>
      </w:r>
      <w:r>
        <w:rPr>
          <w:rFonts w:hint="eastAsia" w:ascii="宋体" w:hAnsi="宋体" w:eastAsia="宋体" w:cs="宋体"/>
          <w:color w:val="000000"/>
          <w:sz w:val="24"/>
          <w:highlight w:val="none"/>
        </w:rPr>
      </w:r>
      <w:r/>
    </w:p>
    <w:p>
      <w:pPr>
        <w:pStyle w:val="1064"/>
        <w:numPr>
          <w:ilvl w:val="1"/>
          <w:numId w:val="13"/>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投标人应当对招标文件提出的要求和条件作出实质性响应，并在电子投标系统逐条应答。</w:t>
      </w:r>
      <w:r>
        <w:rPr>
          <w:rFonts w:hint="eastAsia" w:ascii="宋体" w:hAnsi="宋体" w:eastAsia="宋体" w:cs="宋体"/>
          <w:color w:val="000000"/>
          <w:sz w:val="24"/>
          <w:highlight w:val="none"/>
        </w:rPr>
      </w:r>
      <w:r/>
    </w:p>
    <w:p>
      <w:pPr>
        <w:pStyle w:val="1064"/>
        <w:numPr>
          <w:ilvl w:val="1"/>
          <w:numId w:val="13"/>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投标人应对要求提供的资格证明文件（如资质证书、资格证书）、技术资料（如白皮书、彩页、手册、检测报告等）扫描上传至投标系统。</w:t>
      </w:r>
      <w:r>
        <w:rPr>
          <w:rFonts w:hint="eastAsia" w:ascii="宋体" w:hAnsi="宋体" w:eastAsia="宋体" w:cs="宋体"/>
          <w:color w:val="000000"/>
          <w:sz w:val="24"/>
          <w:highlight w:val="none"/>
        </w:rPr>
      </w:r>
      <w:r/>
    </w:p>
    <w:p>
      <w:pPr>
        <w:pStyle w:val="1064"/>
        <w:numPr>
          <w:ilvl w:val="1"/>
          <w:numId w:val="13"/>
        </w:numPr>
        <w:ind w:left="0" w:firstLine="360"/>
        <w:jc w:val="left"/>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投标人进行网上投标请参照《江苏省政府采购管理交易系统（苏采云）供应商操作指南》（网址：http</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//www.ccgp-jiangsu.gov.cn/jiangsu/zlxz/ee/ee3a4bc5a3454aa2b0d9312230633ce9.html）</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1064"/>
        <w:keepLines w:val="0"/>
        <w:keepNext w:val="0"/>
        <w:pageBreakBefore w:val="0"/>
        <w:spacing w:line="430" w:lineRule="exact"/>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（九）无效投标文件的确认：</w:t>
      </w:r>
      <w:r>
        <w:rPr>
          <w:rFonts w:hint="eastAsia" w:ascii="宋体" w:hAnsi="宋体" w:eastAsia="宋体" w:cs="宋体"/>
          <w:color w:val="000000"/>
          <w:highlight w:val="none"/>
        </w:rPr>
      </w:r>
      <w:r/>
    </w:p>
    <w:p>
      <w:pPr>
        <w:pStyle w:val="106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投标供应商有下列情况之一者，其投标文件无效：</w:t>
      </w:r>
      <w:r>
        <w:rPr>
          <w:rFonts w:hint="eastAsia" w:ascii="宋体" w:hAnsi="宋体" w:eastAsia="宋体" w:cs="宋体"/>
          <w:color w:val="000000"/>
          <w:sz w:val="24"/>
          <w:highlight w:val="none"/>
        </w:rPr>
      </w:r>
      <w:r/>
    </w:p>
    <w:p>
      <w:pPr>
        <w:pStyle w:val="1064"/>
        <w:numPr>
          <w:ilvl w:val="0"/>
          <w:numId w:val="14"/>
        </w:numPr>
        <w:keepLines w:val="0"/>
        <w:keepNext w:val="0"/>
        <w:pageBreakBefore w:val="0"/>
        <w:spacing w:line="43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未按规定在无锡市政府采购供应商信息库注册的；</w:t>
      </w:r>
      <w:r>
        <w:rPr>
          <w:rFonts w:hint="eastAsia" w:ascii="宋体" w:hAnsi="宋体" w:eastAsia="宋体" w:cs="宋体"/>
          <w:color w:val="000000"/>
          <w:sz w:val="24"/>
          <w:highlight w:val="none"/>
        </w:rPr>
      </w:r>
      <w:r/>
    </w:p>
    <w:p>
      <w:pPr>
        <w:pStyle w:val="1064"/>
        <w:numPr>
          <w:ilvl w:val="0"/>
          <w:numId w:val="14"/>
        </w:numPr>
        <w:keepLines w:val="0"/>
        <w:keepNext w:val="0"/>
        <w:pageBreakBefore w:val="0"/>
        <w:spacing w:line="43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电子投标文件未在规定期限内提交的；</w:t>
      </w:r>
      <w:r>
        <w:rPr>
          <w:rFonts w:hint="eastAsia" w:ascii="宋体" w:hAnsi="宋体" w:eastAsia="宋体" w:cs="宋体"/>
          <w:color w:val="000000"/>
          <w:sz w:val="24"/>
          <w:highlight w:val="none"/>
        </w:rPr>
      </w:r>
      <w:r/>
    </w:p>
    <w:p>
      <w:pPr>
        <w:pStyle w:val="1064"/>
        <w:numPr>
          <w:ilvl w:val="0"/>
          <w:numId w:val="14"/>
        </w:numPr>
        <w:keepLines w:val="0"/>
        <w:keepNext w:val="0"/>
        <w:pageBreakBefore w:val="0"/>
        <w:spacing w:line="43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电子投标文件未按招标文件要求签章的；</w:t>
      </w:r>
      <w:r>
        <w:rPr>
          <w:rFonts w:hint="eastAsia" w:ascii="宋体" w:hAnsi="宋体" w:eastAsia="宋体" w:cs="宋体"/>
          <w:color w:val="000000"/>
          <w:sz w:val="24"/>
          <w:highlight w:val="none"/>
        </w:rPr>
      </w:r>
      <w:r/>
    </w:p>
    <w:p>
      <w:pPr>
        <w:pStyle w:val="1064"/>
        <w:numPr>
          <w:ilvl w:val="0"/>
          <w:numId w:val="14"/>
        </w:numPr>
        <w:keepLines w:val="0"/>
        <w:keepNext w:val="0"/>
        <w:pageBreakBefore w:val="0"/>
        <w:spacing w:line="430" w:lineRule="exact"/>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投标供应商未按采购文件要求解密投标文件的；</w:t>
      </w:r>
      <w:r>
        <w:rPr>
          <w:rFonts w:hint="eastAsia" w:ascii="宋体" w:hAnsi="宋体" w:eastAsia="宋体" w:cs="宋体"/>
          <w:color w:val="000000"/>
          <w:sz w:val="24"/>
          <w:highlight w:val="none"/>
        </w:rPr>
      </w:r>
      <w:r/>
    </w:p>
    <w:p>
      <w:pPr>
        <w:pStyle w:val="1064"/>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w:t>
      </w:r>
      <w:r>
        <w:rPr>
          <w:rFonts w:hint="eastAsia" w:ascii="宋体" w:hAnsi="宋体" w:eastAsia="宋体" w:cs="宋体"/>
          <w:color w:val="000000"/>
          <w:sz w:val="24"/>
          <w:szCs w:val="20"/>
          <w:highlight w:val="none"/>
        </w:rPr>
        <w:t xml:space="preserve">的法定代表人授权代表无法定代表人授权委托书的</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64"/>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不具备招标文件中规定的资格要求的；</w:t>
      </w:r>
      <w:r>
        <w:rPr>
          <w:rFonts w:hint="eastAsia" w:ascii="宋体" w:hAnsi="宋体" w:eastAsia="宋体" w:cs="宋体"/>
          <w:color w:val="000000"/>
          <w:sz w:val="24"/>
          <w:highlight w:val="none"/>
        </w:rPr>
      </w:r>
      <w:r/>
    </w:p>
    <w:p>
      <w:pPr>
        <w:pStyle w:val="1064"/>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电子投标文件图片、字迹模糊不清、无法辨认的；</w:t>
      </w:r>
      <w:r>
        <w:rPr>
          <w:rFonts w:hint="eastAsia" w:ascii="宋体" w:hAnsi="宋体" w:eastAsia="宋体" w:cs="宋体"/>
          <w:color w:val="000000"/>
          <w:sz w:val="24"/>
          <w:highlight w:val="none"/>
        </w:rPr>
      </w:r>
      <w:r/>
    </w:p>
    <w:p>
      <w:pPr>
        <w:pStyle w:val="1064"/>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投标文件中有招标文件未允许提供的选择性内容的；</w:t>
      </w:r>
      <w:r>
        <w:rPr>
          <w:rFonts w:hint="eastAsia" w:ascii="宋体" w:hAnsi="宋体" w:eastAsia="宋体" w:cs="宋体"/>
          <w:color w:val="000000"/>
          <w:sz w:val="24"/>
          <w:highlight w:val="none"/>
        </w:rPr>
      </w:r>
      <w:r/>
    </w:p>
    <w:p>
      <w:pPr>
        <w:pStyle w:val="1064"/>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恶意串通其他投标供应商，故意哄抬价格或压价的；</w:t>
      </w:r>
      <w:r>
        <w:rPr>
          <w:rFonts w:hint="eastAsia" w:ascii="宋体" w:hAnsi="宋体" w:eastAsia="宋体" w:cs="宋体"/>
          <w:color w:val="000000"/>
          <w:sz w:val="24"/>
          <w:highlight w:val="none"/>
        </w:rPr>
      </w:r>
      <w:r/>
    </w:p>
    <w:p>
      <w:pPr>
        <w:pStyle w:val="1064"/>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提供虚假材料的（包括工商营业执照、财务报表、资格、资信证明文件等）；</w:t>
      </w:r>
      <w:r>
        <w:rPr>
          <w:rFonts w:hint="eastAsia" w:ascii="宋体" w:hAnsi="宋体" w:eastAsia="宋体" w:cs="宋体"/>
          <w:color w:val="000000"/>
          <w:sz w:val="24"/>
          <w:highlight w:val="none"/>
        </w:rPr>
      </w:r>
      <w:r/>
    </w:p>
    <w:p>
      <w:pPr>
        <w:pStyle w:val="1064"/>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投标文件中同一方案有选择性报价且未声明以哪一个为准的；</w:t>
      </w:r>
      <w:r>
        <w:rPr>
          <w:rFonts w:hint="eastAsia" w:ascii="宋体" w:hAnsi="宋体" w:eastAsia="宋体" w:cs="宋体"/>
          <w:color w:val="000000"/>
          <w:sz w:val="24"/>
          <w:highlight w:val="none"/>
        </w:rPr>
      </w:r>
      <w:r/>
    </w:p>
    <w:p>
      <w:pPr>
        <w:pStyle w:val="1064"/>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投标文件未按招标文件规定的内容和要求填写的；没有在投标系统指定位置上传对应文件、材料的；</w:t>
      </w:r>
      <w:r>
        <w:rPr>
          <w:rFonts w:hint="eastAsia" w:ascii="宋体" w:hAnsi="宋体" w:eastAsia="宋体" w:cs="宋体"/>
          <w:color w:val="000000"/>
          <w:sz w:val="24"/>
          <w:highlight w:val="none"/>
        </w:rPr>
      </w:r>
      <w:r/>
    </w:p>
    <w:p>
      <w:pPr>
        <w:pStyle w:val="1064"/>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报价超过招标文件中规定的预算金额或者最高限价的；</w:t>
      </w:r>
      <w:r>
        <w:rPr>
          <w:rFonts w:hint="eastAsia" w:ascii="宋体" w:hAnsi="宋体" w:eastAsia="宋体" w:cs="宋体"/>
          <w:color w:val="000000"/>
          <w:sz w:val="24"/>
          <w:highlight w:val="none"/>
        </w:rPr>
      </w:r>
      <w:r/>
    </w:p>
    <w:p>
      <w:pPr>
        <w:pStyle w:val="1064"/>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投标报价畸高或畸低，但投标总报价与各分项报价不能相互对应，在询标时没有合理的解释或者不能提供计算依据和报价依据的；</w:t>
      </w:r>
      <w:r>
        <w:rPr>
          <w:rFonts w:hint="eastAsia" w:ascii="宋体" w:hAnsi="宋体" w:eastAsia="宋体" w:cs="宋体"/>
          <w:color w:val="000000"/>
          <w:sz w:val="24"/>
          <w:highlight w:val="none"/>
        </w:rPr>
      </w:r>
      <w:r/>
    </w:p>
    <w:p>
      <w:pPr>
        <w:pStyle w:val="1064"/>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投标报价明显低于其他通过符合性审查投标人的报价，有可能影响产品质量或者不能诚信履约，且投标人不能证明其报价合理性，不能在半小时内提供书面说明及提交相关证明材料的；</w:t>
      </w:r>
      <w:r>
        <w:rPr>
          <w:rFonts w:hint="eastAsia" w:ascii="宋体" w:hAnsi="宋体" w:eastAsia="宋体" w:cs="宋体"/>
          <w:color w:val="000000"/>
          <w:sz w:val="24"/>
          <w:highlight w:val="none"/>
        </w:rPr>
      </w:r>
      <w:r/>
    </w:p>
    <w:p>
      <w:pPr>
        <w:pStyle w:val="1064"/>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未通过初步资格性审查、投标文件资格性检查、投标文件符合性检查的；</w:t>
      </w:r>
      <w:r>
        <w:rPr>
          <w:rFonts w:hint="eastAsia" w:ascii="宋体" w:hAnsi="宋体" w:eastAsia="宋体" w:cs="宋体"/>
          <w:color w:val="000000"/>
          <w:sz w:val="24"/>
          <w:highlight w:val="none"/>
        </w:rPr>
      </w:r>
      <w:r/>
    </w:p>
    <w:p>
      <w:pPr>
        <w:pStyle w:val="1064"/>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列入失信被执行人、重大税收违法案件当事人名单、政府采购严重违法失信行为记录名单及其他不符合《中华人民共和国政府采购法》第二十二条规定条件的；</w:t>
      </w:r>
      <w:r>
        <w:rPr>
          <w:rFonts w:hint="eastAsia" w:ascii="宋体" w:hAnsi="宋体" w:eastAsia="宋体" w:cs="宋体"/>
          <w:color w:val="000000"/>
          <w:sz w:val="24"/>
          <w:highlight w:val="none"/>
        </w:rPr>
      </w:r>
      <w:r/>
    </w:p>
    <w:p>
      <w:pPr>
        <w:pStyle w:val="1064"/>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不同投标供应商投标文件中错误（或异常）一致或雷同、电子文档信息一致或雷同的；</w:t>
      </w:r>
      <w:r>
        <w:rPr>
          <w:rFonts w:hint="eastAsia" w:ascii="宋体" w:hAnsi="宋体" w:eastAsia="宋体" w:cs="宋体"/>
          <w:color w:val="000000"/>
          <w:sz w:val="24"/>
          <w:highlight w:val="none"/>
        </w:rPr>
      </w:r>
      <w:r/>
    </w:p>
    <w:p>
      <w:pPr>
        <w:pStyle w:val="1064"/>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不同投标供应商的委托代理人、项目负责人以及其他相关人员有在同一个单位缴纳社会保险的；</w:t>
      </w:r>
      <w:r>
        <w:rPr>
          <w:rFonts w:hint="eastAsia" w:ascii="宋体" w:hAnsi="宋体" w:eastAsia="宋体" w:cs="宋体"/>
          <w:color w:val="000000"/>
          <w:sz w:val="24"/>
          <w:highlight w:val="none"/>
        </w:rPr>
      </w:r>
      <w:r/>
    </w:p>
    <w:p>
      <w:pPr>
        <w:pStyle w:val="1064"/>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投标供应商未遵循公平竞争的原则，恶意串通，妨碍其他供应商的竞争行为，损害采购人或者其他投标供应商的合法权益的；</w:t>
      </w:r>
      <w:r>
        <w:rPr>
          <w:rFonts w:hint="eastAsia" w:ascii="宋体" w:hAnsi="宋体" w:eastAsia="宋体" w:cs="宋体"/>
          <w:color w:val="000000"/>
          <w:sz w:val="24"/>
          <w:highlight w:val="none"/>
        </w:rPr>
      </w:r>
      <w:r/>
    </w:p>
    <w:p>
      <w:pPr>
        <w:pStyle w:val="1064"/>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不同投标供应商的投标文件载明的项目管理成员或者联系人员为同一人的；</w:t>
      </w:r>
      <w:r>
        <w:rPr>
          <w:rFonts w:hint="eastAsia" w:ascii="宋体" w:hAnsi="宋体" w:eastAsia="宋体" w:cs="宋体"/>
          <w:color w:val="000000"/>
          <w:sz w:val="24"/>
          <w:highlight w:val="none"/>
        </w:rPr>
      </w:r>
      <w:r/>
    </w:p>
    <w:p>
      <w:pPr>
        <w:pStyle w:val="1064"/>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不同投标供应商聘请同一人为其投标提供技术或经济咨询服务的；</w:t>
      </w:r>
      <w:r>
        <w:rPr>
          <w:rFonts w:hint="eastAsia" w:ascii="宋体" w:hAnsi="宋体" w:eastAsia="宋体" w:cs="宋体"/>
          <w:color w:val="000000"/>
          <w:sz w:val="24"/>
          <w:highlight w:val="none"/>
        </w:rPr>
      </w:r>
      <w:r/>
    </w:p>
    <w:p>
      <w:pPr>
        <w:pStyle w:val="1064"/>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不同投标供应商的单位负责人为同一人或者存在直接控股、管理关系的；</w:t>
      </w:r>
      <w:r>
        <w:rPr>
          <w:rFonts w:hint="eastAsia" w:ascii="宋体" w:hAnsi="宋体" w:eastAsia="宋体" w:cs="宋体"/>
          <w:color w:val="000000"/>
          <w:sz w:val="24"/>
          <w:highlight w:val="none"/>
        </w:rPr>
      </w:r>
      <w:r/>
    </w:p>
    <w:p>
      <w:pPr>
        <w:pStyle w:val="1064"/>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不同投标供应商委托同一单位或者个人办理投标事宜的；</w:t>
      </w:r>
      <w:r>
        <w:rPr>
          <w:rFonts w:hint="eastAsia" w:ascii="宋体" w:hAnsi="宋体" w:eastAsia="宋体" w:cs="宋体"/>
          <w:color w:val="000000"/>
          <w:sz w:val="24"/>
          <w:highlight w:val="none"/>
        </w:rPr>
      </w:r>
      <w:r/>
    </w:p>
    <w:p>
      <w:pPr>
        <w:pStyle w:val="1064"/>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不同投标供应商的投标文件异常一致或者投标报价呈规律性差异的；</w:t>
      </w:r>
      <w:r>
        <w:rPr>
          <w:rFonts w:hint="eastAsia" w:ascii="宋体" w:hAnsi="宋体" w:eastAsia="宋体" w:cs="宋体"/>
          <w:color w:val="000000"/>
          <w:sz w:val="24"/>
          <w:highlight w:val="none"/>
        </w:rPr>
      </w:r>
      <w:r/>
    </w:p>
    <w:p>
      <w:pPr>
        <w:pStyle w:val="1064"/>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不同投标供应商的投标文件相互混装的；</w:t>
      </w:r>
      <w:r>
        <w:rPr>
          <w:rFonts w:hint="eastAsia" w:ascii="宋体" w:hAnsi="宋体" w:eastAsia="宋体" w:cs="宋体"/>
          <w:color w:val="000000"/>
          <w:sz w:val="24"/>
          <w:highlight w:val="none"/>
        </w:rPr>
      </w:r>
      <w:r/>
    </w:p>
    <w:p>
      <w:pPr>
        <w:pStyle w:val="1064"/>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投标文件中含有采购人不能接受的附加条件的；</w:t>
      </w:r>
      <w:r>
        <w:rPr>
          <w:rFonts w:hint="eastAsia" w:ascii="宋体" w:hAnsi="宋体" w:eastAsia="宋体" w:cs="宋体"/>
          <w:color w:val="000000"/>
          <w:sz w:val="24"/>
          <w:highlight w:val="none"/>
        </w:rPr>
      </w:r>
      <w:r/>
    </w:p>
    <w:p>
      <w:pPr>
        <w:pStyle w:val="1064"/>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同一投标文件中单位名称落款与公章不是同一单位的；</w:t>
      </w:r>
      <w:r>
        <w:rPr>
          <w:rFonts w:hint="eastAsia" w:ascii="宋体" w:hAnsi="宋体" w:eastAsia="宋体" w:cs="宋体"/>
          <w:color w:val="000000"/>
          <w:sz w:val="24"/>
          <w:highlight w:val="none"/>
        </w:rPr>
      </w:r>
      <w:r/>
    </w:p>
    <w:p>
      <w:pPr>
        <w:pStyle w:val="1064"/>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不同投标供应商的投标文件由同一台电脑编制或者同一把数字证书加密锁加密或者同一台附属设备打印的；</w:t>
      </w:r>
      <w:r>
        <w:rPr>
          <w:rFonts w:hint="eastAsia" w:ascii="宋体" w:hAnsi="宋体" w:eastAsia="宋体" w:cs="宋体"/>
          <w:color w:val="000000"/>
          <w:sz w:val="24"/>
          <w:highlight w:val="none"/>
        </w:rPr>
      </w:r>
      <w:r/>
    </w:p>
    <w:p>
      <w:pPr>
        <w:pStyle w:val="1064"/>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投标供应商的投标文件上传使用的MAC地址和IP地址一致的，不同投标文件留有相同标记标识、存在两处以上一致性错误或雷同等情况，视为投标供应商相互围标、串标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其投标无效；</w:t>
      </w:r>
      <w:r>
        <w:rPr>
          <w:rFonts w:hint="eastAsia" w:ascii="宋体" w:hAnsi="宋体" w:eastAsia="宋体" w:cs="宋体"/>
          <w:color w:val="000000"/>
          <w:sz w:val="24"/>
          <w:highlight w:val="none"/>
        </w:rPr>
      </w:r>
      <w:r/>
    </w:p>
    <w:p>
      <w:pPr>
        <w:pStyle w:val="1064"/>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电子投标文件与招标文件要求格式不一致而无法导入计算机评标系统；</w:t>
      </w:r>
      <w:r>
        <w:rPr>
          <w:rFonts w:hint="eastAsia" w:ascii="宋体" w:hAnsi="宋体" w:eastAsia="宋体" w:cs="宋体"/>
          <w:color w:val="000000"/>
          <w:sz w:val="24"/>
          <w:highlight w:val="none"/>
        </w:rPr>
      </w:r>
      <w:r/>
    </w:p>
    <w:p>
      <w:pPr>
        <w:pStyle w:val="1064"/>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启用投标文件电子文本的项目，投标供应商因自身原因造成投标文件电子文本无法导入应急开评标系统的，视为放弃其投标；</w:t>
      </w:r>
      <w:r>
        <w:rPr>
          <w:rFonts w:hint="eastAsia" w:ascii="宋体" w:hAnsi="宋体" w:eastAsia="宋体" w:cs="宋体"/>
          <w:color w:val="000000"/>
          <w:sz w:val="24"/>
          <w:highlight w:val="none"/>
        </w:rPr>
      </w:r>
      <w:r/>
    </w:p>
    <w:p>
      <w:pPr>
        <w:pStyle w:val="1064"/>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投标文件内容不全或不符合法律、法规和招标文件中规定的其他无效情形的；</w:t>
      </w:r>
      <w:r>
        <w:rPr>
          <w:rFonts w:hint="eastAsia" w:ascii="宋体" w:hAnsi="宋体" w:eastAsia="宋体" w:cs="宋体"/>
          <w:color w:val="000000"/>
          <w:sz w:val="24"/>
          <w:highlight w:val="none"/>
        </w:rPr>
      </w:r>
      <w:r/>
    </w:p>
    <w:p>
      <w:pPr>
        <w:pStyle w:val="1064"/>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法律、法规和招标文件规定的其他无效情形。</w:t>
      </w:r>
      <w:r>
        <w:rPr>
          <w:rFonts w:hint="eastAsia" w:ascii="宋体" w:hAnsi="宋体" w:eastAsia="宋体" w:cs="宋体"/>
          <w:color w:val="000000"/>
          <w:sz w:val="24"/>
          <w:highlight w:val="none"/>
        </w:rPr>
      </w:r>
      <w:r/>
    </w:p>
    <w:p>
      <w:pPr>
        <w:pStyle w:val="1064"/>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（十）开标、评标：</w:t>
      </w:r>
      <w:r>
        <w:rPr>
          <w:rFonts w:hint="eastAsia" w:ascii="宋体" w:hAnsi="宋体" w:eastAsia="宋体" w:cs="宋体"/>
          <w:color w:val="000000"/>
          <w:sz w:val="24"/>
          <w:highlight w:val="none"/>
        </w:rPr>
      </w:r>
      <w:r/>
    </w:p>
    <w:p>
      <w:pPr>
        <w:pStyle w:val="1064"/>
        <w:ind w:firstLine="480"/>
        <w:keepLines w:val="0"/>
        <w:keepNext w:val="0"/>
        <w:pageBreakBefore w:val="0"/>
        <w:spacing w:line="430" w:lineRule="exact"/>
        <w:tabs>
          <w:tab w:val="left" w:pos="525" w:leader="none"/>
          <w:tab w:val="left" w:pos="1050" w:leader="none"/>
          <w:tab w:val="left" w:pos="12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1.开标工作程序</w:t>
      </w:r>
      <w:r>
        <w:rPr>
          <w:rFonts w:hint="eastAsia" w:ascii="宋体" w:hAnsi="宋体" w:eastAsia="宋体" w:cs="宋体"/>
          <w:color w:val="000000"/>
          <w:sz w:val="24"/>
          <w:highlight w:val="none"/>
        </w:rPr>
      </w:r>
      <w:r/>
    </w:p>
    <w:p>
      <w:pPr>
        <w:pStyle w:val="1064"/>
        <w:ind w:firstLine="600"/>
        <w:keepLines w:val="0"/>
        <w:keepNext w:val="0"/>
        <w:pageBreakBefore w:val="0"/>
        <w:spacing w:line="430" w:lineRule="exact"/>
        <w:tabs>
          <w:tab w:val="left" w:pos="840" w:leader="none"/>
          <w:tab w:val="left" w:pos="105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1.1所有投标单位在招标文件规定的时间内解密各自投标文件。</w:t>
      </w:r>
      <w:r>
        <w:rPr>
          <w:rFonts w:hint="eastAsia" w:ascii="宋体" w:hAnsi="宋体" w:eastAsia="宋体" w:cs="宋体"/>
          <w:color w:val="000000"/>
          <w:sz w:val="24"/>
          <w:szCs w:val="20"/>
          <w:highlight w:val="none"/>
        </w:rPr>
      </w:r>
      <w:r/>
    </w:p>
    <w:p>
      <w:pPr>
        <w:pStyle w:val="1064"/>
        <w:ind w:firstLine="600"/>
        <w:keepLines w:val="0"/>
        <w:keepNext w:val="0"/>
        <w:pageBreakBefore w:val="0"/>
        <w:spacing w:line="430" w:lineRule="exact"/>
        <w:tabs>
          <w:tab w:val="left" w:pos="840" w:leader="none"/>
          <w:tab w:val="left" w:pos="105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1.2投标截止时间后参加投标的供应商或解密投标文件的供应商不足三家的，不开标；开标后，所有投标供应商可在线上开标大厅中看到所有投标人的投标报价。</w:t>
      </w:r>
      <w:r>
        <w:rPr>
          <w:rFonts w:hint="eastAsia" w:ascii="宋体" w:hAnsi="宋体" w:eastAsia="宋体" w:cs="宋体"/>
          <w:color w:val="000000"/>
          <w:sz w:val="24"/>
          <w:szCs w:val="20"/>
          <w:highlight w:val="none"/>
        </w:rPr>
      </w:r>
      <w:r/>
    </w:p>
    <w:p>
      <w:pPr>
        <w:pStyle w:val="1064"/>
        <w:ind w:firstLine="480"/>
        <w:keepLines w:val="0"/>
        <w:keepNext w:val="0"/>
        <w:pageBreakBefore w:val="0"/>
        <w:spacing w:line="430" w:lineRule="exact"/>
        <w:tabs>
          <w:tab w:val="left" w:pos="840" w:leader="none"/>
          <w:tab w:val="left" w:pos="105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2.资格性审查：</w:t>
      </w:r>
      <w:r>
        <w:rPr>
          <w:rFonts w:hint="eastAsia" w:ascii="宋体" w:hAnsi="宋体" w:eastAsia="宋体" w:cs="宋体"/>
          <w:color w:val="000000"/>
          <w:sz w:val="24"/>
          <w:highlight w:val="none"/>
        </w:rPr>
      </w:r>
      <w:r/>
    </w:p>
    <w:p>
      <w:pPr>
        <w:pStyle w:val="1064"/>
        <w:ind w:firstLine="600"/>
        <w:keepLines w:val="0"/>
        <w:keepNext w:val="0"/>
        <w:pageBreakBefore w:val="0"/>
        <w:spacing w:line="430" w:lineRule="exact"/>
        <w:tabs>
          <w:tab w:val="left" w:pos="525"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2.1投标文件资格性检查由采购人和采购代理机构组建的资格审查小组负责。</w:t>
      </w:r>
      <w:r>
        <w:rPr>
          <w:rFonts w:hint="eastAsia" w:ascii="宋体" w:hAnsi="宋体" w:eastAsia="宋体" w:cs="宋体"/>
          <w:color w:val="000000"/>
          <w:sz w:val="24"/>
          <w:szCs w:val="20"/>
          <w:highlight w:val="none"/>
        </w:rPr>
      </w:r>
      <w:r/>
    </w:p>
    <w:p>
      <w:pPr>
        <w:pStyle w:val="1064"/>
        <w:ind w:firstLine="600"/>
        <w:keepLines w:val="0"/>
        <w:keepNext w:val="0"/>
        <w:pageBreakBefore w:val="0"/>
        <w:spacing w:line="430" w:lineRule="exact"/>
        <w:tabs>
          <w:tab w:val="left" w:pos="525"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2.2依据法律法规和采购文件的规定，对投标文件中的法定代表人授权代表是否提供有效的身份证明和法定代表人授权委托书等资格、资信证明等进行审查，以确定投标供应商提供资格证明的合法性、真实性，是否具备投标资格。</w:t>
      </w:r>
      <w:r>
        <w:rPr>
          <w:rFonts w:hint="eastAsia" w:ascii="宋体" w:hAnsi="宋体" w:eastAsia="宋体" w:cs="宋体"/>
          <w:color w:val="000000"/>
          <w:sz w:val="24"/>
          <w:szCs w:val="20"/>
          <w:highlight w:val="none"/>
        </w:rPr>
      </w:r>
      <w:r/>
    </w:p>
    <w:p>
      <w:pPr>
        <w:pStyle w:val="1064"/>
        <w:ind w:firstLine="600"/>
        <w:keepLines w:val="0"/>
        <w:keepNext w:val="0"/>
        <w:pageBreakBefore w:val="0"/>
        <w:spacing w:line="430" w:lineRule="exact"/>
        <w:tabs>
          <w:tab w:val="left" w:pos="525"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2.3信用信息查询</w:t>
      </w:r>
      <w:r>
        <w:rPr>
          <w:rFonts w:hint="eastAsia" w:ascii="宋体" w:hAnsi="宋体" w:eastAsia="宋体" w:cs="宋体"/>
          <w:color w:val="000000"/>
          <w:sz w:val="24"/>
          <w:szCs w:val="20"/>
          <w:highlight w:val="none"/>
        </w:rPr>
      </w:r>
      <w:r/>
    </w:p>
    <w:p>
      <w:pPr>
        <w:pStyle w:val="1064"/>
        <w:ind w:firstLine="600"/>
        <w:keepLines w:val="0"/>
        <w:keepNext w:val="0"/>
        <w:pageBreakBefore w:val="0"/>
        <w:spacing w:line="430" w:lineRule="exact"/>
        <w:tabs>
          <w:tab w:val="left" w:pos="840" w:leader="none"/>
          <w:tab w:val="left" w:pos="1050" w:leader="none"/>
        </w:tabs>
        <w:rPr>
          <w:rFonts w:hint="eastAsia" w:ascii="宋体" w:hAnsi="宋体" w:eastAsia="宋体" w:cs="宋体"/>
          <w:color w:val="000000"/>
          <w:sz w:val="24"/>
          <w:szCs w:val="20"/>
          <w:highlight w:val="none"/>
        </w:rPr>
      </w:pPr>
      <w:r>
        <w:rPr>
          <w:rFonts w:hint="eastAsia" w:ascii="宋体" w:hAnsi="宋体" w:eastAsia="宋体" w:cs="宋体"/>
          <w:bCs/>
          <w:color w:val="000000"/>
          <w:sz w:val="24"/>
          <w:highlight w:val="none"/>
        </w:rPr>
        <w:t xml:space="preserve">采购人或采购代理机构于开标当日</w:t>
      </w:r>
      <w:r>
        <w:rPr>
          <w:rFonts w:hint="eastAsia" w:ascii="宋体" w:hAnsi="宋体" w:eastAsia="宋体" w:cs="宋体"/>
          <w:bCs/>
          <w:color w:val="000000"/>
          <w:sz w:val="24"/>
          <w:highlight w:val="none"/>
          <w:lang w:eastAsia="zh-CN"/>
        </w:rPr>
        <w:t xml:space="preserve">资格审查阶段</w:t>
      </w:r>
      <w:r>
        <w:rPr>
          <w:rFonts w:hint="eastAsia" w:ascii="宋体" w:hAnsi="宋体" w:eastAsia="宋体" w:cs="宋体"/>
          <w:bCs/>
          <w:color w:val="000000"/>
          <w:sz w:val="24"/>
          <w:highlight w:val="none"/>
        </w:rPr>
        <w:t xml:space="preserve">通过</w:t>
      </w:r>
      <w:r>
        <w:rPr>
          <w:rFonts w:hint="eastAsia" w:ascii="宋体" w:hAnsi="宋体" w:eastAsia="宋体" w:cs="宋体"/>
          <w:color w:val="000000"/>
          <w:sz w:val="24"/>
          <w:szCs w:val="28"/>
          <w:highlight w:val="none"/>
        </w:rPr>
        <w:t xml:space="preserve">“信用中国”网站（www.creditchina.gov.cn）、中国政府采购网（www.ccgp.gov.cn）</w:t>
      </w:r>
      <w:r>
        <w:rPr>
          <w:rFonts w:hint="eastAsia" w:ascii="宋体" w:hAnsi="宋体" w:eastAsia="宋体" w:cs="宋体"/>
          <w:bCs/>
          <w:color w:val="000000"/>
          <w:sz w:val="24"/>
          <w:highlight w:val="none"/>
        </w:rPr>
        <w:t xml:space="preserve">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  采购人或采购代理机构通过相关渠道查询的供应商主体信用记录，与项目其他采购资料一并保存。</w:t>
      </w:r>
      <w:r>
        <w:rPr>
          <w:rFonts w:hint="eastAsia" w:ascii="宋体" w:hAnsi="宋体" w:eastAsia="宋体" w:cs="宋体"/>
          <w:color w:val="000000"/>
          <w:sz w:val="24"/>
          <w:szCs w:val="20"/>
          <w:highlight w:val="none"/>
        </w:rPr>
      </w:r>
      <w:r/>
    </w:p>
    <w:p>
      <w:pPr>
        <w:pStyle w:val="1064"/>
        <w:ind w:firstLine="480"/>
        <w:keepLines w:val="0"/>
        <w:keepNext w:val="0"/>
        <w:pageBreakBefore w:val="0"/>
        <w:spacing w:line="430" w:lineRule="exact"/>
        <w:tabs>
          <w:tab w:val="left" w:pos="525" w:leader="none"/>
          <w:tab w:val="left" w:pos="1050" w:leader="none"/>
          <w:tab w:val="left" w:pos="12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3.评标工作程序：</w:t>
      </w:r>
      <w:r>
        <w:rPr>
          <w:rFonts w:hint="eastAsia" w:ascii="宋体" w:hAnsi="宋体" w:eastAsia="宋体" w:cs="宋体"/>
          <w:color w:val="000000"/>
          <w:sz w:val="24"/>
          <w:highlight w:val="none"/>
        </w:rPr>
      </w:r>
      <w:r/>
    </w:p>
    <w:p>
      <w:pPr>
        <w:pStyle w:val="1064"/>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3.1</w:t>
      </w:r>
      <w:r>
        <w:rPr>
          <w:rFonts w:hint="eastAsia" w:ascii="宋体" w:hAnsi="宋体" w:eastAsia="宋体" w:cs="宋体"/>
          <w:bCs/>
          <w:color w:val="000000"/>
          <w:sz w:val="24"/>
          <w:highlight w:val="none"/>
        </w:rPr>
        <w:t xml:space="preserve">依法组建评标委员会，并实行回避制度</w:t>
      </w:r>
      <w:r>
        <w:rPr>
          <w:rFonts w:hint="eastAsia" w:ascii="宋体" w:hAnsi="宋体" w:eastAsia="宋体" w:cs="宋体"/>
          <w:bCs/>
          <w:color w:val="000000"/>
          <w:sz w:val="24"/>
          <w:szCs w:val="20"/>
          <w:highlight w:val="none"/>
        </w:rPr>
        <w:t xml:space="preserve">。</w:t>
      </w:r>
      <w:r>
        <w:rPr>
          <w:rFonts w:hint="eastAsia" w:ascii="宋体" w:hAnsi="宋体" w:eastAsia="宋体" w:cs="宋体"/>
          <w:bCs/>
          <w:color w:val="000000"/>
          <w:sz w:val="24"/>
          <w:szCs w:val="20"/>
          <w:highlight w:val="none"/>
        </w:rPr>
      </w:r>
      <w:r/>
    </w:p>
    <w:p>
      <w:pPr>
        <w:pStyle w:val="1064"/>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3.2评审时，投标文件出现不一致情形的，按下列规定执行：</w:t>
      </w:r>
      <w:r>
        <w:rPr>
          <w:rFonts w:hint="eastAsia" w:ascii="宋体" w:hAnsi="宋体" w:eastAsia="宋体" w:cs="宋体"/>
          <w:bCs/>
          <w:color w:val="000000"/>
          <w:sz w:val="24"/>
          <w:szCs w:val="20"/>
          <w:highlight w:val="none"/>
        </w:rPr>
      </w:r>
      <w:r/>
    </w:p>
    <w:p>
      <w:pPr>
        <w:pStyle w:val="1064"/>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（1）投标文件中开标一览表（报价表）内容与投标文件中相应内容不一致的，以开标一览表（报价表）为准；</w:t>
      </w:r>
      <w:r>
        <w:rPr>
          <w:rFonts w:hint="eastAsia" w:ascii="宋体" w:hAnsi="宋体" w:eastAsia="宋体" w:cs="宋体"/>
          <w:bCs/>
          <w:color w:val="000000"/>
          <w:sz w:val="24"/>
          <w:szCs w:val="20"/>
          <w:highlight w:val="none"/>
        </w:rPr>
      </w:r>
      <w:r/>
    </w:p>
    <w:p>
      <w:pPr>
        <w:pStyle w:val="1064"/>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（2）大写金额和小写金额不一致的，以大写金额为准；</w:t>
      </w:r>
      <w:r>
        <w:rPr>
          <w:rFonts w:hint="eastAsia" w:ascii="宋体" w:hAnsi="宋体" w:eastAsia="宋体" w:cs="宋体"/>
          <w:bCs/>
          <w:color w:val="000000"/>
          <w:sz w:val="24"/>
          <w:szCs w:val="20"/>
          <w:highlight w:val="none"/>
        </w:rPr>
      </w:r>
      <w:r/>
    </w:p>
    <w:p>
      <w:pPr>
        <w:pStyle w:val="1064"/>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（3）单价金额小数点或者百分比有明显错位的，以开标一览表的总价为准，并修改单价；</w:t>
      </w:r>
      <w:r>
        <w:rPr>
          <w:rFonts w:hint="eastAsia" w:ascii="宋体" w:hAnsi="宋体" w:eastAsia="宋体" w:cs="宋体"/>
          <w:bCs/>
          <w:color w:val="000000"/>
          <w:sz w:val="24"/>
          <w:szCs w:val="20"/>
          <w:highlight w:val="none"/>
        </w:rPr>
      </w:r>
      <w:r/>
    </w:p>
    <w:p>
      <w:pPr>
        <w:pStyle w:val="1064"/>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（4）总价金额与按单价汇总金额不一致的，以单价金额计算结果为准。</w:t>
      </w:r>
      <w:r>
        <w:rPr>
          <w:rFonts w:hint="eastAsia" w:ascii="宋体" w:hAnsi="宋体" w:eastAsia="宋体" w:cs="宋体"/>
          <w:bCs/>
          <w:color w:val="000000"/>
          <w:sz w:val="24"/>
          <w:szCs w:val="20"/>
          <w:highlight w:val="none"/>
        </w:rPr>
      </w:r>
      <w:r/>
    </w:p>
    <w:p>
      <w:pPr>
        <w:pStyle w:val="1064"/>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（5）同时出现两种以上不一致的，按照上述（1）-（4）款规定的顺序修正。修正后的报价经投标供应商通过</w:t>
      </w:r>
      <w:r>
        <w:rPr>
          <w:rFonts w:hint="eastAsia" w:ascii="宋体" w:hAnsi="宋体" w:eastAsia="宋体" w:cs="宋体"/>
          <w:bCs/>
          <w:color w:val="000000"/>
          <w:sz w:val="24"/>
          <w:highlight w:val="none"/>
        </w:rPr>
        <w:t xml:space="preserve">政府采购交易管理一体化系统进行</w:t>
      </w:r>
      <w:r>
        <w:rPr>
          <w:rFonts w:hint="eastAsia" w:ascii="宋体" w:hAnsi="宋体" w:eastAsia="宋体" w:cs="宋体"/>
          <w:bCs/>
          <w:color w:val="000000"/>
          <w:sz w:val="24"/>
          <w:szCs w:val="20"/>
          <w:highlight w:val="none"/>
        </w:rPr>
        <w:t xml:space="preserve">澄清、说明或者补正，</w:t>
      </w:r>
      <w:r>
        <w:rPr>
          <w:rFonts w:hint="eastAsia" w:ascii="宋体" w:hAnsi="宋体" w:eastAsia="宋体" w:cs="宋体"/>
          <w:bCs/>
          <w:color w:val="000000"/>
          <w:sz w:val="24"/>
          <w:highlight w:val="none"/>
        </w:rPr>
        <w:t xml:space="preserve">由其授权的代表应答并加盖电子公章</w:t>
      </w:r>
      <w:r>
        <w:rPr>
          <w:rFonts w:hint="eastAsia" w:ascii="宋体" w:hAnsi="宋体" w:eastAsia="宋体" w:cs="宋体"/>
          <w:bCs/>
          <w:color w:val="000000"/>
          <w:sz w:val="24"/>
          <w:szCs w:val="20"/>
          <w:highlight w:val="none"/>
        </w:rPr>
        <w:t xml:space="preserve">后产生约束力，投标人不确认的，其投标无效。</w:t>
      </w:r>
      <w:r>
        <w:rPr>
          <w:rFonts w:hint="eastAsia" w:ascii="宋体" w:hAnsi="宋体" w:eastAsia="宋体" w:cs="宋体"/>
          <w:bCs/>
          <w:color w:val="000000"/>
          <w:sz w:val="24"/>
          <w:szCs w:val="20"/>
          <w:highlight w:val="none"/>
        </w:rPr>
      </w:r>
      <w:r/>
    </w:p>
    <w:p>
      <w:pPr>
        <w:pStyle w:val="1064"/>
        <w:ind w:firstLine="600"/>
        <w:keepLines w:val="0"/>
        <w:keepNext w:val="0"/>
        <w:pageBreakBefore w:val="0"/>
        <w:spacing w:line="430" w:lineRule="exact"/>
        <w:tabs>
          <w:tab w:val="left" w:pos="1365"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3.3 投标文件符合性检查。</w:t>
      </w:r>
      <w:r>
        <w:rPr>
          <w:rFonts w:hint="eastAsia" w:ascii="宋体" w:hAnsi="宋体" w:eastAsia="宋体" w:cs="宋体"/>
          <w:bCs/>
          <w:color w:val="000000"/>
          <w:sz w:val="24"/>
          <w:szCs w:val="20"/>
          <w:highlight w:val="none"/>
        </w:rPr>
      </w:r>
      <w:r/>
    </w:p>
    <w:p>
      <w:pPr>
        <w:pStyle w:val="1064"/>
        <w:ind w:firstLine="600"/>
        <w:keepLines w:val="0"/>
        <w:keepNext w:val="0"/>
        <w:pageBreakBefore w:val="0"/>
        <w:spacing w:line="430" w:lineRule="exact"/>
        <w:tabs>
          <w:tab w:val="left" w:pos="52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3.3.1投标文件的符合性检查由评标委员会负责。评审小组对投标文件的有效性、完整性和对招标文件要求的符合性进行审查，以确定是否对招标文件的实质性要求做出响应。</w:t>
      </w:r>
      <w:r>
        <w:rPr>
          <w:rFonts w:hint="eastAsia" w:ascii="宋体" w:hAnsi="宋体" w:eastAsia="宋体" w:cs="宋体"/>
          <w:color w:val="000000"/>
          <w:sz w:val="24"/>
          <w:highlight w:val="none"/>
        </w:rPr>
      </w:r>
      <w:r/>
    </w:p>
    <w:p>
      <w:pPr>
        <w:pStyle w:val="1064"/>
        <w:ind w:firstLine="600"/>
        <w:keepLines w:val="0"/>
        <w:keepNext w:val="0"/>
        <w:pageBreakBefore w:val="0"/>
        <w:spacing w:line="430" w:lineRule="exact"/>
        <w:tabs>
          <w:tab w:val="left" w:pos="52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3.3.2评标委员会认为投标文件中有含义不明确、同类问题表述不一致或者有明显文字和计算错误的；投标报价畸高或畸低，投标总报价与各分项报价不能相互对应；投标供应商的投标报价明显低于其他通过符合性审查投标供应商的报价（有可能影响产品质量或者不能诚信履约的）；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rPr>
          <w:rFonts w:hint="eastAsia" w:ascii="宋体" w:hAnsi="宋体" w:eastAsia="宋体" w:cs="宋体"/>
          <w:color w:val="000000"/>
          <w:sz w:val="24"/>
          <w:highlight w:val="none"/>
        </w:rPr>
      </w:r>
      <w:r/>
    </w:p>
    <w:p>
      <w:pPr>
        <w:pStyle w:val="1064"/>
        <w:ind w:firstLine="600"/>
        <w:keepLines w:val="0"/>
        <w:keepNext w:val="0"/>
        <w:pageBreakBefore w:val="0"/>
        <w:spacing w:line="430" w:lineRule="exact"/>
        <w:tabs>
          <w:tab w:val="left" w:pos="1365"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3.4比较与评价</w:t>
      </w:r>
      <w:r>
        <w:rPr>
          <w:rFonts w:hint="eastAsia" w:ascii="宋体" w:hAnsi="宋体" w:eastAsia="宋体" w:cs="宋体"/>
          <w:color w:val="000000"/>
          <w:sz w:val="24"/>
          <w:szCs w:val="20"/>
          <w:highlight w:val="none"/>
        </w:rPr>
      </w:r>
      <w:r/>
    </w:p>
    <w:p>
      <w:pPr>
        <w:pStyle w:val="1064"/>
        <w:ind w:firstLine="600"/>
        <w:keepLines w:val="0"/>
        <w:keepNext w:val="0"/>
        <w:pageBreakBefore w:val="0"/>
        <w:spacing w:line="430" w:lineRule="exact"/>
        <w:tabs>
          <w:tab w:val="left" w:pos="1365"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0"/>
          <w:highlight w:val="none"/>
        </w:rPr>
        <w:t xml:space="preserve">3.4</w:t>
      </w:r>
      <w:r>
        <w:rPr>
          <w:rFonts w:hint="eastAsia" w:ascii="宋体" w:hAnsi="宋体" w:eastAsia="宋体" w:cs="宋体"/>
          <w:color w:val="000000"/>
          <w:sz w:val="24"/>
          <w:szCs w:val="22"/>
          <w:highlight w:val="none"/>
        </w:rPr>
        <w:t xml:space="preserve">.1投标文件资格性检查和符合性检查结束后，凡属于“（九）无效投标文件的确认”的投标文件不进入比较与评价程序。</w:t>
      </w:r>
      <w:r>
        <w:rPr>
          <w:rFonts w:hint="eastAsia" w:ascii="宋体" w:hAnsi="宋体" w:eastAsia="宋体" w:cs="宋体"/>
          <w:color w:val="000000"/>
          <w:sz w:val="24"/>
          <w:szCs w:val="22"/>
          <w:highlight w:val="none"/>
        </w:rPr>
      </w:r>
      <w:r/>
    </w:p>
    <w:p>
      <w:pPr>
        <w:pStyle w:val="1064"/>
        <w:ind w:firstLine="600"/>
        <w:keepLines w:val="0"/>
        <w:keepNext w:val="0"/>
        <w:pageBreakBefore w:val="0"/>
        <w:spacing w:line="430" w:lineRule="exact"/>
        <w:tabs>
          <w:tab w:val="left" w:pos="1365"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0"/>
          <w:highlight w:val="none"/>
        </w:rPr>
        <w:t xml:space="preserve">3.4</w:t>
      </w:r>
      <w:r>
        <w:rPr>
          <w:rFonts w:hint="eastAsia" w:ascii="宋体" w:hAnsi="宋体" w:eastAsia="宋体" w:cs="宋体"/>
          <w:color w:val="000000"/>
          <w:sz w:val="24"/>
          <w:szCs w:val="22"/>
          <w:highlight w:val="none"/>
        </w:rPr>
        <w:t xml:space="preserve">.2经评审有效的投标文件按招标文件中规定的评标方法和标准，由评标委员会进行比较与评价。</w:t>
      </w:r>
      <w:r>
        <w:rPr>
          <w:rFonts w:hint="eastAsia" w:ascii="宋体" w:hAnsi="宋体" w:eastAsia="宋体" w:cs="宋体"/>
          <w:color w:val="000000"/>
          <w:sz w:val="24"/>
          <w:szCs w:val="22"/>
          <w:highlight w:val="none"/>
        </w:rPr>
      </w:r>
      <w:r/>
    </w:p>
    <w:p>
      <w:pPr>
        <w:pStyle w:val="1064"/>
        <w:ind w:firstLine="600"/>
        <w:keepLines w:val="0"/>
        <w:keepNext w:val="0"/>
        <w:pageBreakBefore w:val="0"/>
        <w:spacing w:line="430" w:lineRule="exact"/>
        <w:tabs>
          <w:tab w:val="left" w:pos="1365" w:leader="none"/>
        </w:tabs>
        <w:rPr>
          <w:rFonts w:hint="eastAsia" w:ascii="宋体" w:hAnsi="宋体" w:eastAsia="宋体" w:cs="宋体"/>
          <w:bCs/>
          <w:color w:val="000000"/>
          <w:sz w:val="24"/>
          <w:highlight w:val="none"/>
        </w:rPr>
      </w:pPr>
      <w:r>
        <w:rPr>
          <w:rFonts w:hint="eastAsia" w:ascii="宋体" w:hAnsi="宋体" w:eastAsia="宋体" w:cs="宋体"/>
          <w:color w:val="000000"/>
          <w:sz w:val="24"/>
          <w:szCs w:val="20"/>
          <w:highlight w:val="none"/>
        </w:rPr>
        <w:t xml:space="preserve">3.4</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highlight w:val="none"/>
        </w:rPr>
        <w:t xml:space="preserve">3评审全部结束后，由工作人员在公证或监督下，在评标室当场核对、汇总各投标供应商得分，确定各投标供应商总分和最终排序</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64"/>
        <w:ind w:firstLine="480"/>
        <w:keepLines w:val="0"/>
        <w:keepNext w:val="0"/>
        <w:pageBreakBefore w:val="0"/>
        <w:spacing w:line="430" w:lineRule="exact"/>
        <w:tabs>
          <w:tab w:val="left" w:pos="525" w:leader="none"/>
          <w:tab w:val="left" w:pos="1050" w:leader="none"/>
          <w:tab w:val="left" w:pos="12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4.评标方法</w:t>
      </w:r>
      <w:r>
        <w:rPr>
          <w:rFonts w:hint="eastAsia" w:ascii="宋体" w:hAnsi="宋体" w:eastAsia="宋体" w:cs="宋体"/>
          <w:color w:val="000000"/>
          <w:sz w:val="24"/>
          <w:highlight w:val="none"/>
        </w:rPr>
      </w:r>
      <w:r/>
    </w:p>
    <w:p>
      <w:pPr>
        <w:pStyle w:val="1064"/>
        <w:ind w:firstLine="480"/>
        <w:keepLines w:val="0"/>
        <w:keepNext w:val="0"/>
        <w:pageBreakBefore w:val="0"/>
        <w:spacing w:line="430" w:lineRule="exact"/>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投标供应商通过资格性与符合性审查的，方可进入比较与评价程序。</w:t>
      </w:r>
      <w:r>
        <w:rPr>
          <w:rFonts w:hint="eastAsia" w:ascii="宋体" w:hAnsi="宋体" w:eastAsia="宋体" w:cs="宋体"/>
          <w:bCs/>
          <w:color w:val="000000"/>
          <w:sz w:val="24"/>
          <w:highlight w:val="none"/>
        </w:rPr>
      </w:r>
      <w:r/>
    </w:p>
    <w:p>
      <w:pPr>
        <w:pStyle w:val="1064"/>
        <w:ind w:firstLine="482"/>
        <w:keepLines w:val="0"/>
        <w:keepNext w:val="0"/>
        <w:pageBreakBefore w:val="0"/>
        <w:spacing w:line="430" w:lineRule="exact"/>
        <w:tabs>
          <w:tab w:val="left" w:pos="136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比较与评价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并列。投标文件满足招标文件全部实质性要求，且按照评审因素的量化指标</w:t>
      </w:r>
      <w:r>
        <w:rPr>
          <w:rFonts w:hint="eastAsia" w:ascii="宋体" w:hAnsi="宋体" w:eastAsia="宋体" w:cs="宋体"/>
          <w:b/>
          <w:bCs/>
          <w:color w:val="000000"/>
          <w:sz w:val="24"/>
          <w:highlight w:val="none"/>
          <w:lang w:eastAsia="zh-CN"/>
        </w:rPr>
        <w:t xml:space="preserve">综合</w:t>
      </w:r>
      <w:r>
        <w:rPr>
          <w:rFonts w:hint="eastAsia" w:ascii="宋体" w:hAnsi="宋体" w:eastAsia="宋体" w:cs="宋体"/>
          <w:b/>
          <w:bCs/>
          <w:color w:val="000000"/>
          <w:sz w:val="24"/>
          <w:highlight w:val="none"/>
        </w:rPr>
        <w:t xml:space="preserve">评审得分最高的投标人为排名第一的中标候选人。未列入本评分标准的其他条件不作为评分内容。</w:t>
      </w:r>
      <w:r>
        <w:rPr>
          <w:rFonts w:hint="eastAsia" w:ascii="宋体" w:hAnsi="宋体" w:eastAsia="宋体" w:cs="宋体"/>
          <w:b/>
          <w:bCs/>
          <w:color w:val="000000"/>
          <w:sz w:val="24"/>
          <w:highlight w:val="none"/>
        </w:rPr>
      </w:r>
      <w:r/>
    </w:p>
    <w:p>
      <w:pPr>
        <w:pStyle w:val="1064"/>
        <w:ind w:firstLine="482"/>
        <w:keepLines w:val="0"/>
        <w:keepNext w:val="0"/>
        <w:pageBreakBefore w:val="0"/>
        <w:spacing w:line="430" w:lineRule="exact"/>
        <w:tabs>
          <w:tab w:val="left" w:pos="1365" w:leader="none"/>
        </w:tabs>
        <w:rPr>
          <w:rFonts w:hint="eastAsia" w:ascii="宋体" w:hAnsi="宋体" w:eastAsia="宋体" w:cs="宋体"/>
          <w:b/>
          <w:bCs/>
          <w:color w:val="000000"/>
          <w:sz w:val="24"/>
          <w:highlight w:val="none"/>
        </w:rPr>
      </w:pPr>
      <w:r/>
      <w:bookmarkStart w:id="3" w:name="_Toc38197181"/>
      <w:r>
        <w:rPr>
          <w:rFonts w:hint="eastAsia" w:ascii="宋体" w:hAnsi="宋体" w:eastAsia="宋体" w:cs="宋体"/>
          <w:b/>
          <w:bCs/>
          <w:color w:val="000000"/>
          <w:sz w:val="24"/>
          <w:highlight w:val="none"/>
        </w:rPr>
        <w:t xml:space="preserve">5.评分标准</w:t>
      </w:r>
      <w:bookmarkEnd w:id="3"/>
      <w:r>
        <w:rPr>
          <w:rFonts w:hint="eastAsia" w:ascii="宋体" w:hAnsi="宋体" w:eastAsia="宋体" w:cs="宋体"/>
          <w:b/>
          <w:bCs/>
          <w:color w:val="000000"/>
          <w:sz w:val="24"/>
          <w:highlight w:val="none"/>
        </w:rPr>
      </w:r>
      <w:r/>
    </w:p>
    <w:p>
      <w:pPr>
        <w:pStyle w:val="1064"/>
        <w:ind w:firstLine="482"/>
        <w:keepLines w:val="0"/>
        <w:keepNext w:val="0"/>
        <w:pageBreakBefore w:val="0"/>
        <w:spacing w:line="430" w:lineRule="exact"/>
        <w:tabs>
          <w:tab w:val="left" w:pos="136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5.1综合评分法满分为100分，计分均保留2位小数。</w:t>
      </w:r>
      <w:r>
        <w:rPr>
          <w:rFonts w:hint="eastAsia" w:ascii="宋体" w:hAnsi="宋体" w:eastAsia="宋体" w:cs="宋体"/>
          <w:b/>
          <w:bCs/>
          <w:color w:val="000000"/>
          <w:sz w:val="24"/>
          <w:highlight w:val="none"/>
        </w:rPr>
      </w:r>
      <w:r/>
    </w:p>
    <w:p>
      <w:pPr>
        <w:pStyle w:val="1064"/>
        <w:ind w:firstLine="482"/>
        <w:keepLines w:val="0"/>
        <w:keepNext w:val="0"/>
        <w:pageBreakBefore w:val="0"/>
        <w:spacing w:line="430" w:lineRule="exact"/>
        <w:tabs>
          <w:tab w:val="left" w:pos="136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5.2评分项目及分值：</w:t>
      </w:r>
      <w:r>
        <w:rPr>
          <w:rFonts w:hint="eastAsia" w:ascii="宋体" w:hAnsi="宋体" w:eastAsia="宋体" w:cs="宋体"/>
          <w:b/>
          <w:bCs/>
          <w:color w:val="000000"/>
          <w:sz w:val="24"/>
          <w:highlight w:val="none"/>
        </w:rPr>
      </w:r>
      <w:r/>
    </w:p>
    <w:p>
      <w:pPr>
        <w:pStyle w:val="1064"/>
        <w:ind w:firstLine="482"/>
        <w:spacing w:line="440" w:lineRule="exact"/>
        <w:rPr>
          <w:rFonts w:hint="eastAsia" w:ascii="宋体" w:hAnsi="宋体" w:eastAsia="宋体" w:cs="Times New Roman"/>
          <w:b/>
          <w:color w:val="000000"/>
          <w:sz w:val="24"/>
          <w:szCs w:val="24"/>
          <w:highlight w:val="none"/>
        </w:rPr>
      </w:pPr>
      <w:r/>
      <w:bookmarkStart w:id="4" w:name="_Toc37956245"/>
      <w:r/>
      <w:bookmarkStart w:id="5" w:name="_Toc37956127"/>
      <w:r>
        <w:rPr>
          <w:rFonts w:hint="eastAsia" w:ascii="宋体" w:hAnsi="宋体" w:eastAsia="宋体" w:cs="Times New Roman"/>
          <w:b/>
          <w:color w:val="000000"/>
          <w:sz w:val="24"/>
          <w:szCs w:val="24"/>
          <w:highlight w:val="none"/>
        </w:rPr>
        <w:t xml:space="preserve">（一）报价分           2</w:t>
      </w:r>
      <w:r>
        <w:rPr>
          <w:rFonts w:hint="eastAsia" w:ascii="宋体" w:hAnsi="宋体" w:eastAsia="宋体" w:cs="Times New Roman"/>
          <w:b/>
          <w:color w:val="000000"/>
          <w:sz w:val="24"/>
          <w:szCs w:val="24"/>
          <w:highlight w:val="none"/>
          <w:lang w:val="en-US" w:eastAsia="zh-CN"/>
        </w:rPr>
        <w:t xml:space="preserve">0</w:t>
      </w:r>
      <w:r>
        <w:rPr>
          <w:rFonts w:hint="eastAsia" w:ascii="宋体" w:hAnsi="宋体" w:eastAsia="宋体" w:cs="Times New Roman"/>
          <w:b/>
          <w:color w:val="000000"/>
          <w:sz w:val="24"/>
          <w:szCs w:val="24"/>
          <w:highlight w:val="none"/>
        </w:rPr>
        <w:t xml:space="preserve">分</w:t>
      </w:r>
      <w:r>
        <w:rPr>
          <w:rFonts w:hint="eastAsia" w:ascii="宋体" w:hAnsi="宋体" w:eastAsia="宋体" w:cs="Times New Roman"/>
          <w:b/>
          <w:color w:val="000000"/>
          <w:sz w:val="24"/>
          <w:szCs w:val="24"/>
          <w:highlight w:val="none"/>
        </w:rPr>
      </w:r>
      <w:r/>
    </w:p>
    <w:p>
      <w:pPr>
        <w:pStyle w:val="1064"/>
        <w:ind w:firstLine="482"/>
        <w:spacing w:line="440" w:lineRule="exact"/>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（二）商务资信分       2</w:t>
      </w:r>
      <w:r>
        <w:rPr>
          <w:rFonts w:hint="eastAsia" w:ascii="宋体" w:hAnsi="宋体" w:eastAsia="宋体" w:cs="Times New Roman"/>
          <w:b/>
          <w:color w:val="000000"/>
          <w:sz w:val="24"/>
          <w:szCs w:val="24"/>
          <w:highlight w:val="none"/>
          <w:lang w:val="en-US" w:eastAsia="zh-CN"/>
        </w:rPr>
        <w:t xml:space="preserve">0</w:t>
      </w:r>
      <w:r>
        <w:rPr>
          <w:rFonts w:hint="eastAsia" w:ascii="宋体" w:hAnsi="宋体" w:eastAsia="宋体" w:cs="Times New Roman"/>
          <w:b/>
          <w:color w:val="000000"/>
          <w:sz w:val="24"/>
          <w:szCs w:val="24"/>
          <w:highlight w:val="none"/>
        </w:rPr>
        <w:t xml:space="preserve">分</w:t>
      </w:r>
      <w:r>
        <w:rPr>
          <w:rFonts w:hint="eastAsia" w:ascii="宋体" w:hAnsi="宋体" w:eastAsia="宋体" w:cs="Times New Roman"/>
          <w:b/>
          <w:color w:val="000000"/>
          <w:sz w:val="24"/>
          <w:szCs w:val="24"/>
          <w:highlight w:val="none"/>
        </w:rPr>
      </w:r>
      <w:r/>
    </w:p>
    <w:p>
      <w:pPr>
        <w:pStyle w:val="1064"/>
        <w:ind w:firstLine="482"/>
        <w:spacing w:line="440" w:lineRule="exact"/>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（三）技术分           </w:t>
      </w:r>
      <w:r>
        <w:rPr>
          <w:rFonts w:hint="eastAsia" w:ascii="宋体" w:hAnsi="宋体" w:eastAsia="宋体" w:cs="Times New Roman"/>
          <w:b/>
          <w:color w:val="000000"/>
          <w:sz w:val="24"/>
          <w:szCs w:val="24"/>
          <w:highlight w:val="none"/>
          <w:lang w:val="en-US" w:eastAsia="zh-CN"/>
        </w:rPr>
        <w:t xml:space="preserve">6</w:t>
      </w:r>
      <w:r>
        <w:rPr>
          <w:rFonts w:ascii="宋体" w:hAnsi="宋体" w:eastAsia="宋体" w:cs="Times New Roman"/>
          <w:b/>
          <w:color w:val="000000"/>
          <w:sz w:val="24"/>
          <w:szCs w:val="24"/>
          <w:highlight w:val="none"/>
        </w:rPr>
        <w:t xml:space="preserve">0</w:t>
      </w:r>
      <w:r>
        <w:rPr>
          <w:rFonts w:hint="eastAsia" w:ascii="宋体" w:hAnsi="宋体" w:eastAsia="宋体" w:cs="Times New Roman"/>
          <w:b/>
          <w:color w:val="000000"/>
          <w:sz w:val="24"/>
          <w:szCs w:val="24"/>
          <w:highlight w:val="none"/>
        </w:rPr>
        <w:t xml:space="preserve">分</w:t>
      </w:r>
      <w:r>
        <w:rPr>
          <w:rFonts w:hint="eastAsia" w:ascii="宋体" w:hAnsi="宋体" w:eastAsia="宋体" w:cs="Times New Roman"/>
          <w:b/>
          <w:color w:val="000000"/>
          <w:sz w:val="24"/>
          <w:szCs w:val="24"/>
          <w:highlight w:val="none"/>
        </w:rPr>
      </w:r>
      <w:r/>
    </w:p>
    <w:p>
      <w:pPr>
        <w:pStyle w:val="1064"/>
        <w:ind w:firstLine="482"/>
        <w:spacing w:line="440" w:lineRule="exact"/>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3.各项评分标准：</w:t>
      </w:r>
      <w:r>
        <w:rPr>
          <w:rFonts w:hint="eastAsia" w:ascii="宋体" w:hAnsi="宋体" w:eastAsia="宋体" w:cs="Times New Roman"/>
          <w:b/>
          <w:color w:val="000000"/>
          <w:sz w:val="24"/>
          <w:szCs w:val="24"/>
          <w:highlight w:val="none"/>
        </w:rPr>
      </w:r>
      <w:r/>
    </w:p>
    <w:tbl>
      <w:tblPr>
        <w:tblStyle w:val="1446"/>
        <w:tblW w:w="5282" w:type="pct"/>
        <w:jc w:val="center"/>
        <w:tblInd w:w="-3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3"/>
        <w:gridCol w:w="1271"/>
        <w:gridCol w:w="693"/>
        <w:gridCol w:w="8092"/>
      </w:tblGrid>
      <w:tr>
        <w:trPr/>
        <w:tc>
          <w:tcPr>
            <w:tcW w:w="533" w:type="dxa"/>
            <w:vAlign w:val="center"/>
            <w:textDirection w:val="lrTb"/>
            <w:noWrap w:val="false"/>
          </w:tcPr>
          <w:p>
            <w:pPr>
              <w:pStyle w:val="1064"/>
              <w:jc w:val="center"/>
              <w:spacing w:line="400" w:lineRule="exact"/>
              <w:rPr>
                <w:rFonts w:hint="eastAsia" w:ascii="宋体" w:hAnsi="宋体"/>
                <w:b/>
                <w:bCs/>
                <w:color w:val="000000"/>
                <w:sz w:val="22"/>
                <w:szCs w:val="20"/>
                <w:highlight w:val="none"/>
              </w:rPr>
            </w:pPr>
            <w:r>
              <w:rPr>
                <w:rFonts w:hint="eastAsia" w:ascii="宋体" w:hAnsi="宋体"/>
                <w:b/>
                <w:bCs/>
                <w:color w:val="000000"/>
                <w:sz w:val="22"/>
                <w:szCs w:val="20"/>
                <w:highlight w:val="none"/>
              </w:rPr>
              <w:t xml:space="preserve">序号</w:t>
            </w:r>
            <w:r>
              <w:rPr>
                <w:rFonts w:hint="eastAsia" w:ascii="宋体" w:hAnsi="宋体"/>
                <w:b/>
                <w:bCs/>
                <w:color w:val="000000"/>
                <w:sz w:val="22"/>
                <w:szCs w:val="20"/>
                <w:highlight w:val="none"/>
              </w:rPr>
            </w:r>
            <w:r/>
          </w:p>
        </w:tc>
        <w:tc>
          <w:tcPr>
            <w:tcW w:w="1271" w:type="dxa"/>
            <w:vAlign w:val="center"/>
            <w:textDirection w:val="lrTb"/>
            <w:noWrap w:val="false"/>
          </w:tcPr>
          <w:p>
            <w:pPr>
              <w:pStyle w:val="1064"/>
              <w:jc w:val="center"/>
              <w:spacing w:line="400" w:lineRule="exact"/>
              <w:rPr>
                <w:rFonts w:hint="eastAsia" w:ascii="宋体" w:hAnsi="宋体"/>
                <w:b/>
                <w:bCs/>
                <w:color w:val="000000"/>
                <w:sz w:val="22"/>
                <w:szCs w:val="20"/>
                <w:highlight w:val="none"/>
              </w:rPr>
            </w:pPr>
            <w:r>
              <w:rPr>
                <w:rFonts w:hint="eastAsia" w:ascii="宋体" w:hAnsi="宋体"/>
                <w:b/>
                <w:bCs/>
                <w:color w:val="000000"/>
                <w:sz w:val="22"/>
                <w:szCs w:val="20"/>
                <w:highlight w:val="none"/>
              </w:rPr>
              <w:t xml:space="preserve">评审项目</w:t>
            </w:r>
            <w:r>
              <w:rPr>
                <w:rFonts w:hint="eastAsia" w:ascii="宋体" w:hAnsi="宋体"/>
                <w:b/>
                <w:bCs/>
                <w:color w:val="000000"/>
                <w:sz w:val="22"/>
                <w:szCs w:val="20"/>
                <w:highlight w:val="none"/>
              </w:rPr>
            </w:r>
            <w:r/>
          </w:p>
        </w:tc>
        <w:tc>
          <w:tcPr>
            <w:tcW w:w="693" w:type="dxa"/>
            <w:vAlign w:val="center"/>
            <w:textDirection w:val="lrTb"/>
            <w:noWrap w:val="false"/>
          </w:tcPr>
          <w:p>
            <w:pPr>
              <w:pStyle w:val="1064"/>
              <w:jc w:val="center"/>
              <w:spacing w:line="400" w:lineRule="exact"/>
              <w:rPr>
                <w:rFonts w:hint="eastAsia" w:ascii="宋体" w:hAnsi="宋体"/>
                <w:b/>
                <w:bCs/>
                <w:color w:val="000000"/>
                <w:sz w:val="22"/>
                <w:szCs w:val="20"/>
                <w:highlight w:val="none"/>
              </w:rPr>
            </w:pPr>
            <w:r>
              <w:rPr>
                <w:rFonts w:hint="eastAsia" w:ascii="宋体" w:hAnsi="宋体"/>
                <w:b/>
                <w:bCs/>
                <w:color w:val="000000"/>
                <w:sz w:val="22"/>
                <w:szCs w:val="20"/>
                <w:highlight w:val="none"/>
              </w:rPr>
              <w:t xml:space="preserve">分值</w:t>
            </w:r>
            <w:r>
              <w:rPr>
                <w:rFonts w:hint="eastAsia" w:ascii="宋体" w:hAnsi="宋体"/>
                <w:b/>
                <w:bCs/>
                <w:color w:val="000000"/>
                <w:sz w:val="22"/>
                <w:szCs w:val="20"/>
                <w:highlight w:val="none"/>
              </w:rPr>
            </w:r>
            <w:r/>
          </w:p>
        </w:tc>
        <w:tc>
          <w:tcPr>
            <w:tcW w:w="8092" w:type="dxa"/>
            <w:vAlign w:val="center"/>
            <w:textDirection w:val="lrTb"/>
            <w:noWrap w:val="false"/>
          </w:tcPr>
          <w:p>
            <w:pPr>
              <w:pStyle w:val="1064"/>
              <w:jc w:val="center"/>
              <w:spacing w:line="400" w:lineRule="exact"/>
              <w:rPr>
                <w:rFonts w:hint="eastAsia" w:ascii="宋体" w:hAnsi="宋体"/>
                <w:b/>
                <w:bCs/>
                <w:color w:val="000000"/>
                <w:sz w:val="22"/>
                <w:szCs w:val="20"/>
                <w:highlight w:val="none"/>
              </w:rPr>
            </w:pPr>
            <w:r>
              <w:rPr>
                <w:rFonts w:hint="eastAsia" w:ascii="宋体" w:hAnsi="宋体"/>
                <w:b/>
                <w:bCs/>
                <w:color w:val="000000"/>
                <w:sz w:val="22"/>
                <w:szCs w:val="20"/>
                <w:highlight w:val="none"/>
              </w:rPr>
              <w:t xml:space="preserve">评审细则</w:t>
            </w:r>
            <w:r>
              <w:rPr>
                <w:rFonts w:hint="eastAsia" w:ascii="宋体" w:hAnsi="宋体"/>
                <w:b/>
                <w:bCs/>
                <w:color w:val="000000"/>
                <w:sz w:val="22"/>
                <w:szCs w:val="20"/>
                <w:highlight w:val="none"/>
              </w:rPr>
            </w:r>
            <w:r/>
          </w:p>
        </w:tc>
      </w:tr>
      <w:tr>
        <w:trPr>
          <w:trHeight w:val="390"/>
        </w:trPr>
        <w:tc>
          <w:tcPr>
            <w:gridSpan w:val="4"/>
            <w:tcW w:w="10589" w:type="dxa"/>
            <w:vAlign w:val="center"/>
            <w:textDirection w:val="lrTb"/>
            <w:noWrap w:val="false"/>
          </w:tcPr>
          <w:p>
            <w:pPr>
              <w:pStyle w:val="1064"/>
              <w:spacing w:line="400" w:lineRule="exact"/>
              <w:rPr>
                <w:rFonts w:hint="eastAsia" w:ascii="宋体" w:hAnsi="宋体"/>
                <w:b/>
                <w:bCs/>
                <w:color w:val="000000"/>
                <w:sz w:val="22"/>
                <w:szCs w:val="20"/>
                <w:highlight w:val="none"/>
              </w:rPr>
            </w:pPr>
            <w:r>
              <w:rPr>
                <w:rFonts w:hint="eastAsia" w:ascii="宋体" w:hAnsi="宋体"/>
                <w:b/>
                <w:bCs/>
                <w:color w:val="000000"/>
                <w:sz w:val="22"/>
                <w:szCs w:val="20"/>
                <w:highlight w:val="none"/>
              </w:rPr>
              <w:t xml:space="preserve">（一）价格分（2</w:t>
            </w:r>
            <w:r>
              <w:rPr>
                <w:rFonts w:hint="eastAsia" w:ascii="宋体" w:hAnsi="宋体"/>
                <w:b/>
                <w:bCs/>
                <w:color w:val="000000"/>
                <w:sz w:val="22"/>
                <w:szCs w:val="20"/>
                <w:highlight w:val="none"/>
                <w:lang w:val="en-US" w:eastAsia="zh-CN"/>
              </w:rPr>
              <w:t xml:space="preserve">0</w:t>
            </w:r>
            <w:r>
              <w:rPr>
                <w:rFonts w:hint="eastAsia" w:ascii="宋体" w:hAnsi="宋体"/>
                <w:b/>
                <w:bCs/>
                <w:color w:val="000000"/>
                <w:sz w:val="22"/>
                <w:szCs w:val="20"/>
                <w:highlight w:val="none"/>
              </w:rPr>
              <w:t xml:space="preserve">分）</w:t>
            </w:r>
            <w:r>
              <w:rPr>
                <w:rFonts w:hint="eastAsia" w:ascii="宋体" w:hAnsi="宋体"/>
                <w:b/>
                <w:bCs/>
                <w:color w:val="000000"/>
                <w:sz w:val="22"/>
                <w:szCs w:val="20"/>
                <w:highlight w:val="none"/>
              </w:rPr>
            </w:r>
            <w:r/>
          </w:p>
        </w:tc>
      </w:tr>
      <w:tr>
        <w:trPr/>
        <w:tc>
          <w:tcPr>
            <w:tcW w:w="533" w:type="dxa"/>
            <w:vAlign w:val="center"/>
            <w:textDirection w:val="lrTb"/>
            <w:noWrap w:val="false"/>
          </w:tcPr>
          <w:p>
            <w:pPr>
              <w:pStyle w:val="1064"/>
              <w:jc w:val="center"/>
              <w:spacing w:line="400" w:lineRule="exact"/>
              <w:rPr>
                <w:rFonts w:hint="eastAsia" w:ascii="宋体" w:hAnsi="宋体"/>
                <w:color w:val="000000"/>
                <w:sz w:val="22"/>
                <w:szCs w:val="20"/>
                <w:highlight w:val="none"/>
              </w:rPr>
            </w:pPr>
            <w:r>
              <w:rPr>
                <w:rFonts w:hint="eastAsia" w:ascii="宋体" w:hAnsi="宋体"/>
                <w:color w:val="000000"/>
                <w:sz w:val="22"/>
                <w:szCs w:val="20"/>
                <w:highlight w:val="none"/>
              </w:rPr>
              <w:t xml:space="preserve">1</w:t>
            </w:r>
            <w:r>
              <w:rPr>
                <w:rFonts w:hint="eastAsia" w:ascii="宋体" w:hAnsi="宋体"/>
                <w:color w:val="000000"/>
                <w:sz w:val="22"/>
                <w:szCs w:val="20"/>
                <w:highlight w:val="none"/>
              </w:rPr>
            </w:r>
            <w:r/>
          </w:p>
        </w:tc>
        <w:tc>
          <w:tcPr>
            <w:tcW w:w="1271" w:type="dxa"/>
            <w:vAlign w:val="center"/>
            <w:textDirection w:val="lrTb"/>
            <w:noWrap w:val="false"/>
          </w:tcPr>
          <w:p>
            <w:pPr>
              <w:pStyle w:val="1064"/>
              <w:jc w:val="center"/>
              <w:spacing w:line="400" w:lineRule="exact"/>
              <w:rPr>
                <w:rFonts w:hint="eastAsia" w:ascii="宋体" w:hAnsi="宋体"/>
                <w:color w:val="000000"/>
                <w:sz w:val="22"/>
                <w:szCs w:val="20"/>
                <w:highlight w:val="none"/>
              </w:rPr>
            </w:pPr>
            <w:r>
              <w:rPr>
                <w:rFonts w:hint="eastAsia" w:ascii="宋体" w:hAnsi="宋体"/>
                <w:color w:val="000000"/>
                <w:sz w:val="22"/>
                <w:szCs w:val="20"/>
                <w:highlight w:val="none"/>
              </w:rPr>
              <w:t xml:space="preserve">价格分</w:t>
            </w:r>
            <w:r>
              <w:rPr>
                <w:rFonts w:hint="eastAsia" w:ascii="宋体" w:hAnsi="宋体"/>
                <w:color w:val="000000"/>
                <w:sz w:val="22"/>
                <w:szCs w:val="20"/>
                <w:highlight w:val="none"/>
              </w:rPr>
            </w:r>
            <w:r/>
          </w:p>
        </w:tc>
        <w:tc>
          <w:tcPr>
            <w:tcW w:w="693" w:type="dxa"/>
            <w:vAlign w:val="center"/>
            <w:textDirection w:val="lrTb"/>
            <w:noWrap w:val="false"/>
          </w:tcPr>
          <w:p>
            <w:pPr>
              <w:pStyle w:val="1064"/>
              <w:jc w:val="center"/>
              <w:spacing w:line="400" w:lineRule="exact"/>
              <w:rPr>
                <w:rFonts w:hint="eastAsia" w:ascii="宋体" w:hAnsi="宋体"/>
                <w:color w:val="000000"/>
                <w:sz w:val="22"/>
                <w:szCs w:val="20"/>
                <w:highlight w:val="none"/>
              </w:rPr>
            </w:pPr>
            <w:r>
              <w:rPr>
                <w:rFonts w:hint="eastAsia" w:ascii="宋体" w:hAnsi="宋体"/>
                <w:color w:val="000000"/>
                <w:sz w:val="22"/>
                <w:szCs w:val="20"/>
                <w:highlight w:val="none"/>
              </w:rPr>
              <w:t xml:space="preserve">2</w:t>
            </w:r>
            <w:r>
              <w:rPr>
                <w:rFonts w:hint="eastAsia" w:ascii="宋体" w:hAnsi="宋体"/>
                <w:color w:val="000000"/>
                <w:sz w:val="22"/>
                <w:szCs w:val="20"/>
                <w:highlight w:val="none"/>
                <w:lang w:val="en-US" w:eastAsia="zh-CN"/>
              </w:rPr>
              <w:t xml:space="preserve">0</w:t>
            </w:r>
            <w:r>
              <w:rPr>
                <w:rFonts w:hint="eastAsia" w:ascii="宋体" w:hAnsi="宋体"/>
                <w:color w:val="000000"/>
                <w:sz w:val="22"/>
                <w:szCs w:val="20"/>
                <w:highlight w:val="none"/>
              </w:rPr>
              <w:t xml:space="preserve">分</w:t>
            </w:r>
            <w:r>
              <w:rPr>
                <w:rFonts w:hint="eastAsia" w:ascii="宋体" w:hAnsi="宋体"/>
                <w:color w:val="000000"/>
                <w:sz w:val="22"/>
                <w:szCs w:val="20"/>
                <w:highlight w:val="none"/>
              </w:rPr>
            </w:r>
            <w:r/>
          </w:p>
        </w:tc>
        <w:tc>
          <w:tcPr>
            <w:tcW w:w="8092" w:type="dxa"/>
            <w:vAlign w:val="center"/>
            <w:textDirection w:val="lrTb"/>
            <w:noWrap w:val="false"/>
          </w:tcPr>
          <w:p>
            <w:pPr>
              <w:pStyle w:val="1064"/>
              <w:spacing w:line="390" w:lineRule="exact"/>
              <w:rPr>
                <w:rFonts w:hint="eastAsia" w:ascii="宋体" w:hAnsi="宋体"/>
                <w:bCs/>
                <w:color w:val="000000"/>
                <w:sz w:val="22"/>
                <w:szCs w:val="20"/>
                <w:highlight w:val="none"/>
              </w:rPr>
            </w:pPr>
            <w:r>
              <w:rPr>
                <w:rFonts w:hint="eastAsia" w:ascii="宋体" w:hAnsi="宋体"/>
                <w:bCs/>
                <w:color w:val="000000"/>
                <w:sz w:val="22"/>
                <w:szCs w:val="20"/>
                <w:highlight w:val="none"/>
              </w:rPr>
              <w:t xml:space="preserve">1、投标总报价低于或等于采购最高限价的，为有效投标报价。超过采购最高限价的投标报价为无效投标报价。无效投标报价的投标文件不进行评审，也不得中标。</w:t>
            </w:r>
            <w:r>
              <w:rPr>
                <w:rFonts w:hint="eastAsia" w:ascii="宋体" w:hAnsi="宋体"/>
                <w:bCs/>
                <w:color w:val="000000"/>
                <w:sz w:val="22"/>
                <w:szCs w:val="20"/>
                <w:highlight w:val="none"/>
              </w:rPr>
            </w:r>
            <w:r/>
          </w:p>
          <w:p>
            <w:pPr>
              <w:pStyle w:val="1064"/>
              <w:spacing w:line="390" w:lineRule="exact"/>
              <w:rPr>
                <w:rFonts w:hint="eastAsia" w:ascii="宋体" w:hAnsi="宋体"/>
                <w:bCs/>
                <w:color w:val="000000"/>
                <w:sz w:val="22"/>
                <w:szCs w:val="20"/>
                <w:highlight w:val="none"/>
              </w:rPr>
            </w:pPr>
            <w:r>
              <w:rPr>
                <w:rFonts w:hint="eastAsia" w:ascii="宋体" w:hAnsi="宋体"/>
                <w:bCs/>
                <w:color w:val="000000"/>
                <w:sz w:val="22"/>
                <w:szCs w:val="20"/>
                <w:highlight w:val="none"/>
              </w:rPr>
              <w:t xml:space="preserve">2、价格得分计算方法：采用低价优先法计算，即满足招标文件要求且投标价格最低的投标报价为评标基准价，其价格分为满分。其他投标供应商的价格分统一按照下列公式计算：</w:t>
            </w:r>
            <w:r>
              <w:rPr>
                <w:rFonts w:hint="eastAsia" w:ascii="宋体" w:hAnsi="宋体"/>
                <w:bCs/>
                <w:color w:val="000000"/>
                <w:sz w:val="22"/>
                <w:szCs w:val="20"/>
                <w:highlight w:val="none"/>
              </w:rPr>
            </w:r>
            <w:r/>
          </w:p>
          <w:p>
            <w:pPr>
              <w:pStyle w:val="1064"/>
              <w:spacing w:line="390" w:lineRule="exact"/>
              <w:rPr>
                <w:rFonts w:hint="eastAsia" w:ascii="宋体" w:hAnsi="宋体"/>
                <w:bCs/>
                <w:color w:val="000000"/>
                <w:sz w:val="22"/>
                <w:szCs w:val="20"/>
                <w:highlight w:val="none"/>
              </w:rPr>
            </w:pPr>
            <w:r>
              <w:rPr>
                <w:rFonts w:hint="eastAsia" w:ascii="宋体" w:hAnsi="宋体"/>
                <w:bCs/>
                <w:color w:val="000000"/>
                <w:sz w:val="22"/>
                <w:szCs w:val="20"/>
                <w:highlight w:val="none"/>
              </w:rPr>
              <w:t xml:space="preserve">投标报价得分=（评标基准价／投标报价）×2</w:t>
            </w:r>
            <w:r>
              <w:rPr>
                <w:rFonts w:hint="eastAsia" w:ascii="宋体" w:hAnsi="宋体"/>
                <w:bCs/>
                <w:color w:val="000000"/>
                <w:sz w:val="22"/>
                <w:szCs w:val="20"/>
                <w:highlight w:val="none"/>
                <w:lang w:val="en-US" w:eastAsia="zh-CN"/>
              </w:rPr>
              <w:t xml:space="preserve">0</w:t>
            </w:r>
            <w:r>
              <w:rPr>
                <w:rFonts w:hint="eastAsia" w:ascii="宋体" w:hAnsi="宋体"/>
                <w:bCs/>
                <w:color w:val="000000"/>
                <w:sz w:val="22"/>
                <w:szCs w:val="20"/>
                <w:highlight w:val="none"/>
              </w:rPr>
              <w:t xml:space="preserve">。</w:t>
            </w:r>
            <w:r>
              <w:rPr>
                <w:rFonts w:hint="eastAsia" w:ascii="宋体" w:hAnsi="宋体"/>
                <w:bCs/>
                <w:color w:val="000000"/>
                <w:sz w:val="22"/>
                <w:szCs w:val="20"/>
                <w:highlight w:val="none"/>
              </w:rPr>
            </w:r>
            <w:r/>
          </w:p>
          <w:p>
            <w:pPr>
              <w:pStyle w:val="1064"/>
              <w:spacing w:line="390" w:lineRule="exact"/>
              <w:rPr>
                <w:rFonts w:hint="eastAsia" w:ascii="宋体" w:hAnsi="宋体"/>
                <w:bCs/>
                <w:color w:val="000000"/>
                <w:sz w:val="22"/>
                <w:szCs w:val="20"/>
                <w:highlight w:val="none"/>
              </w:rPr>
            </w:pPr>
            <w:r>
              <w:rPr>
                <w:rFonts w:hint="eastAsia" w:ascii="宋体" w:hAnsi="宋体"/>
                <w:bCs/>
                <w:color w:val="000000"/>
                <w:sz w:val="22"/>
                <w:szCs w:val="20"/>
                <w:highlight w:val="none"/>
              </w:rPr>
              <w:t xml:space="preserve">价格扣除：</w:t>
            </w:r>
            <w:r>
              <w:rPr>
                <w:rFonts w:hint="eastAsia" w:ascii="宋体" w:hAnsi="宋体"/>
                <w:bCs/>
                <w:color w:val="000000"/>
                <w:sz w:val="22"/>
                <w:szCs w:val="20"/>
                <w:highlight w:val="none"/>
              </w:rPr>
            </w:r>
            <w:r/>
          </w:p>
          <w:p>
            <w:pPr>
              <w:pStyle w:val="1064"/>
              <w:spacing w:line="390" w:lineRule="exact"/>
              <w:rPr>
                <w:rFonts w:hint="eastAsia" w:ascii="宋体" w:hAnsi="宋体"/>
                <w:bCs/>
                <w:color w:val="000000"/>
                <w:sz w:val="22"/>
                <w:szCs w:val="20"/>
                <w:highlight w:val="none"/>
                <w:lang w:val="zh-CN"/>
              </w:rPr>
            </w:pPr>
            <w:r>
              <w:rPr>
                <w:rFonts w:hint="eastAsia" w:ascii="宋体" w:hAnsi="宋体"/>
                <w:bCs/>
                <w:color w:val="000000"/>
                <w:sz w:val="22"/>
                <w:szCs w:val="20"/>
                <w:highlight w:val="none"/>
              </w:rPr>
              <w:t xml:space="preserve">按照《关于进一步加大政府采购支持中小企业力度的通知》财库（2022）19 号的规定，</w:t>
            </w:r>
            <w:r>
              <w:rPr>
                <w:rFonts w:hint="eastAsia" w:ascii="宋体" w:hAnsi="宋体"/>
                <w:bCs/>
                <w:color w:val="000000"/>
                <w:sz w:val="22"/>
                <w:szCs w:val="20"/>
                <w:highlight w:val="none"/>
                <w:lang w:val="zh-CN"/>
              </w:rPr>
              <w:t xml:space="preserve">对小型和微型企业、监狱企业、残疾人福利企业的价格给予10%的扣除，用扣除后的价格进行评审。</w:t>
            </w:r>
            <w:r>
              <w:rPr>
                <w:rFonts w:hint="eastAsia" w:ascii="宋体" w:hAnsi="宋体"/>
                <w:bCs/>
                <w:color w:val="000000"/>
                <w:sz w:val="22"/>
                <w:szCs w:val="20"/>
                <w:highlight w:val="none"/>
                <w:lang w:val="zh-CN"/>
              </w:rPr>
            </w:r>
            <w:r/>
          </w:p>
          <w:p>
            <w:pPr>
              <w:pStyle w:val="1064"/>
              <w:spacing w:line="390" w:lineRule="exact"/>
              <w:widowControl/>
              <w:rPr>
                <w:rFonts w:hint="eastAsia" w:ascii="宋体" w:hAnsi="宋体"/>
                <w:bCs/>
                <w:color w:val="000000"/>
                <w:sz w:val="22"/>
                <w:szCs w:val="20"/>
                <w:highlight w:val="none"/>
              </w:rPr>
            </w:pPr>
            <w:r>
              <w:rPr>
                <w:rFonts w:hint="eastAsia" w:ascii="宋体" w:hAnsi="宋体"/>
                <w:bCs/>
                <w:color w:val="000000"/>
                <w:sz w:val="22"/>
                <w:szCs w:val="20"/>
                <w:highlight w:val="none"/>
              </w:rPr>
              <w:t xml:space="preserve">①、对小型和微型企业产品的价格给予10%的扣除，用扣除后的价格参与评审。投标供应商如为中小企业，应当按照《政府采购促进中小企业发展管理办法》（财库﹝2020﹞46 号）的规定提供《中小企业声明函》（中小企业划型标准详见《关于印发中小企业划型标准规定的通知》工信部联企业〔2011〕300号）。</w:t>
            </w:r>
            <w:r>
              <w:rPr>
                <w:rFonts w:hint="eastAsia" w:ascii="宋体" w:hAnsi="宋体"/>
                <w:bCs/>
                <w:color w:val="000000"/>
                <w:sz w:val="22"/>
                <w:szCs w:val="20"/>
                <w:highlight w:val="none"/>
              </w:rPr>
            </w:r>
            <w:r/>
          </w:p>
          <w:p>
            <w:pPr>
              <w:pStyle w:val="1064"/>
              <w:spacing w:line="390" w:lineRule="exact"/>
              <w:widowControl/>
              <w:rPr>
                <w:rFonts w:hint="eastAsia" w:ascii="宋体" w:hAnsi="宋体"/>
                <w:bCs/>
                <w:color w:val="000000"/>
                <w:sz w:val="22"/>
                <w:szCs w:val="20"/>
                <w:highlight w:val="none"/>
              </w:rPr>
            </w:pPr>
            <w:r>
              <w:rPr>
                <w:rFonts w:hint="eastAsia" w:ascii="宋体" w:hAnsi="宋体"/>
                <w:bCs/>
                <w:color w:val="000000"/>
                <w:sz w:val="22"/>
                <w:szCs w:val="20"/>
                <w:highlight w:val="none"/>
              </w:rPr>
              <w:t xml:space="preserve">②、监狱企业视同小型、微型企业，对其产品价格给予10%的扣除，用扣除后的价格参与评审。投标供应商如为监狱企业，应当按照《关于政府采购支持监狱企业发展有关问题的通知》（财库[2014]68号）的规定提供由省级以上监狱管理局、戒毒管理局（含新疆生产建设兵团）出具的属于监狱企业的证明文件复印件。</w:t>
            </w:r>
            <w:r>
              <w:rPr>
                <w:rFonts w:hint="eastAsia" w:ascii="宋体" w:hAnsi="宋体"/>
                <w:bCs/>
                <w:color w:val="000000"/>
                <w:sz w:val="22"/>
                <w:szCs w:val="20"/>
                <w:highlight w:val="none"/>
              </w:rPr>
            </w:r>
            <w:r/>
          </w:p>
          <w:p>
            <w:pPr>
              <w:pStyle w:val="1064"/>
              <w:spacing w:line="390" w:lineRule="exact"/>
              <w:widowControl/>
              <w:rPr>
                <w:rFonts w:hint="eastAsia" w:ascii="宋体" w:hAnsi="宋体"/>
                <w:bCs/>
                <w:color w:val="000000"/>
                <w:sz w:val="22"/>
                <w:szCs w:val="20"/>
                <w:highlight w:val="none"/>
              </w:rPr>
            </w:pPr>
            <w:r>
              <w:rPr>
                <w:rFonts w:hint="eastAsia" w:ascii="宋体" w:hAnsi="宋体"/>
                <w:bCs/>
                <w:color w:val="000000"/>
                <w:sz w:val="22"/>
                <w:szCs w:val="20"/>
                <w:highlight w:val="none"/>
              </w:rPr>
              <w:t xml:space="preserve">③、残疾人福利性单位视同小型、微型企业，对其产品价格给予10%的扣除，用扣除后的价格参与评审。投标供应商如为残疾人福利性单位，应当按照《财政部、民政部、中国残疾人联合会关于促进残疾人就业政府采购政策的通知》（财库〔2017〕141号）的规定提供《残疾人福利性单位声明函》。</w:t>
            </w:r>
            <w:r>
              <w:rPr>
                <w:rFonts w:hint="eastAsia" w:ascii="宋体" w:hAnsi="宋体"/>
                <w:bCs/>
                <w:color w:val="000000"/>
                <w:sz w:val="22"/>
                <w:szCs w:val="20"/>
                <w:highlight w:val="none"/>
              </w:rPr>
            </w:r>
            <w:r/>
          </w:p>
          <w:p>
            <w:pPr>
              <w:pStyle w:val="1064"/>
              <w:spacing w:line="390" w:lineRule="exact"/>
              <w:rPr>
                <w:rFonts w:hint="eastAsia" w:ascii="宋体" w:hAnsi="宋体"/>
                <w:b/>
                <w:color w:val="000000"/>
                <w:sz w:val="22"/>
                <w:szCs w:val="20"/>
                <w:highlight w:val="none"/>
              </w:rPr>
            </w:pPr>
            <w:r>
              <w:rPr>
                <w:rFonts w:hint="eastAsia" w:ascii="宋体" w:hAnsi="宋体"/>
                <w:bCs/>
                <w:color w:val="000000"/>
                <w:sz w:val="22"/>
                <w:szCs w:val="20"/>
                <w:highlight w:val="none"/>
              </w:rPr>
              <w:t xml:space="preserve">注：投标供应商企业性质如按上述文件规定，同时属于可享受价格扣除的两类或两类以上企业，不享受重复价格扣除。未按上述要求提供相应有效材料，不享受价格扣除。</w:t>
            </w:r>
            <w:r>
              <w:rPr>
                <w:rFonts w:hint="eastAsia" w:ascii="宋体" w:hAnsi="宋体"/>
                <w:b/>
                <w:color w:val="000000"/>
                <w:sz w:val="22"/>
                <w:szCs w:val="20"/>
                <w:highlight w:val="none"/>
              </w:rPr>
            </w:r>
            <w:r/>
          </w:p>
        </w:tc>
      </w:tr>
      <w:tr>
        <w:trPr>
          <w:trHeight w:val="373"/>
        </w:trPr>
        <w:tc>
          <w:tcPr>
            <w:gridSpan w:val="4"/>
            <w:tcW w:w="10589" w:type="dxa"/>
            <w:vAlign w:val="center"/>
            <w:textDirection w:val="lrTb"/>
            <w:noWrap w:val="false"/>
          </w:tcPr>
          <w:p>
            <w:pPr>
              <w:pStyle w:val="1064"/>
              <w:spacing w:line="400" w:lineRule="exact"/>
              <w:rPr>
                <w:rFonts w:hint="eastAsia" w:ascii="宋体" w:hAnsi="宋体"/>
                <w:b/>
                <w:bCs/>
                <w:color w:val="000000"/>
                <w:sz w:val="22"/>
                <w:szCs w:val="20"/>
                <w:highlight w:val="none"/>
              </w:rPr>
            </w:pPr>
            <w:r>
              <w:rPr>
                <w:rFonts w:hint="eastAsia" w:ascii="宋体" w:hAnsi="宋体"/>
                <w:b/>
                <w:bCs/>
                <w:color w:val="000000"/>
                <w:sz w:val="22"/>
                <w:szCs w:val="20"/>
                <w:highlight w:val="none"/>
              </w:rPr>
              <w:t xml:space="preserve">（二）商务资信分（2</w:t>
            </w:r>
            <w:r>
              <w:rPr>
                <w:rFonts w:hint="eastAsia" w:ascii="宋体" w:hAnsi="宋体"/>
                <w:b/>
                <w:bCs/>
                <w:color w:val="000000"/>
                <w:sz w:val="22"/>
                <w:szCs w:val="20"/>
                <w:highlight w:val="none"/>
                <w:lang w:val="en-US" w:eastAsia="zh-CN"/>
              </w:rPr>
              <w:t xml:space="preserve">0</w:t>
            </w:r>
            <w:r>
              <w:rPr>
                <w:rFonts w:hint="eastAsia" w:ascii="宋体" w:hAnsi="宋体"/>
                <w:b/>
                <w:bCs/>
                <w:color w:val="000000"/>
                <w:sz w:val="22"/>
                <w:szCs w:val="20"/>
                <w:highlight w:val="none"/>
              </w:rPr>
              <w:t xml:space="preserve">分）</w:t>
            </w:r>
            <w:r>
              <w:rPr>
                <w:rFonts w:hint="eastAsia" w:ascii="宋体" w:hAnsi="宋体"/>
                <w:b/>
                <w:bCs/>
                <w:color w:val="000000"/>
                <w:sz w:val="22"/>
                <w:szCs w:val="20"/>
                <w:highlight w:val="none"/>
              </w:rPr>
            </w:r>
            <w:r/>
          </w:p>
        </w:tc>
      </w:tr>
      <w:tr>
        <w:trPr>
          <w:trHeight w:val="854"/>
        </w:trPr>
        <w:tc>
          <w:tcPr>
            <w:tcW w:w="533" w:type="dxa"/>
            <w:vAlign w:val="center"/>
            <w:textDirection w:val="lrTb"/>
            <w:noWrap w:val="false"/>
          </w:tcPr>
          <w:p>
            <w:pPr>
              <w:pStyle w:val="1064"/>
              <w:jc w:val="center"/>
              <w:spacing w:line="440" w:lineRule="exact"/>
              <w:rPr>
                <w:rFonts w:hint="eastAsia" w:ascii="宋体" w:hAnsi="宋体" w:cs="宋体"/>
                <w:b/>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
                <w:bCs/>
                <w:color w:val="000000"/>
                <w:szCs w:val="21"/>
                <w:highlight w:val="none"/>
              </w:rPr>
            </w:r>
            <w:r/>
          </w:p>
        </w:tc>
        <w:tc>
          <w:tcPr>
            <w:tcW w:w="1271" w:type="dxa"/>
            <w:vAlign w:val="center"/>
            <w:textDirection w:val="lrTb"/>
            <w:noWrap w:val="false"/>
          </w:tcPr>
          <w:p>
            <w:pPr>
              <w:pStyle w:val="1064"/>
              <w:jc w:val="center"/>
              <w:spacing w:line="440" w:lineRule="exact"/>
              <w:rPr>
                <w:rFonts w:hint="eastAsia" w:ascii="宋体" w:hAnsi="宋体" w:cs="宋体"/>
                <w:b/>
                <w:bCs/>
                <w:color w:val="000000"/>
                <w:szCs w:val="21"/>
                <w:highlight w:val="none"/>
              </w:rPr>
            </w:pPr>
            <w:r>
              <w:rPr>
                <w:rFonts w:hint="eastAsia" w:ascii="宋体" w:hAnsi="宋体" w:cs="宋体"/>
                <w:bCs/>
                <w:color w:val="000000"/>
                <w:szCs w:val="21"/>
                <w:highlight w:val="none"/>
              </w:rPr>
              <w:t xml:space="preserve">企业业绩</w:t>
            </w:r>
            <w:r>
              <w:rPr>
                <w:rFonts w:hint="eastAsia" w:ascii="宋体" w:hAnsi="宋体" w:cs="宋体"/>
                <w:b/>
                <w:bCs/>
                <w:color w:val="000000"/>
                <w:szCs w:val="21"/>
                <w:highlight w:val="none"/>
              </w:rPr>
            </w:r>
            <w:r/>
          </w:p>
        </w:tc>
        <w:tc>
          <w:tcPr>
            <w:tcW w:w="693" w:type="dxa"/>
            <w:vAlign w:val="center"/>
            <w:textDirection w:val="lrTb"/>
            <w:noWrap w:val="false"/>
          </w:tcPr>
          <w:p>
            <w:pPr>
              <w:pStyle w:val="1064"/>
              <w:jc w:val="center"/>
              <w:spacing w:line="440" w:lineRule="exact"/>
              <w:rPr>
                <w:rFonts w:hint="eastAsia" w:ascii="宋体" w:hAnsi="宋体" w:cs="宋体"/>
                <w:b/>
                <w:bCs/>
                <w:color w:val="000000"/>
                <w:szCs w:val="21"/>
                <w:highlight w:val="none"/>
              </w:rPr>
            </w:pPr>
            <w:r>
              <w:rPr>
                <w:rFonts w:hint="eastAsia" w:ascii="宋体" w:hAnsi="宋体" w:cs="宋体"/>
                <w:bCs/>
                <w:color w:val="000000"/>
                <w:szCs w:val="21"/>
                <w:highlight w:val="none"/>
              </w:rPr>
              <w:t xml:space="preserve">3分</w:t>
            </w:r>
            <w:r>
              <w:rPr>
                <w:rFonts w:hint="eastAsia" w:ascii="宋体" w:hAnsi="宋体" w:cs="宋体"/>
                <w:b/>
                <w:bCs/>
                <w:color w:val="000000"/>
                <w:szCs w:val="21"/>
                <w:highlight w:val="none"/>
              </w:rPr>
            </w:r>
            <w:r/>
          </w:p>
        </w:tc>
        <w:tc>
          <w:tcPr>
            <w:tcW w:w="8092" w:type="dxa"/>
            <w:vAlign w:val="center"/>
            <w:textDirection w:val="lrTb"/>
            <w:noWrap w:val="false"/>
          </w:tcPr>
          <w:p>
            <w:pPr>
              <w:pStyle w:val="1064"/>
              <w:spacing w:line="440" w:lineRule="exact"/>
              <w:rPr>
                <w:rFonts w:hint="eastAsia" w:ascii="宋体" w:hAnsi="宋体" w:cs="宋体"/>
                <w:color w:val="000000"/>
                <w:szCs w:val="21"/>
                <w:highlight w:val="none"/>
              </w:rPr>
            </w:pPr>
            <w:r>
              <w:rPr>
                <w:rFonts w:hint="eastAsia" w:ascii="宋体" w:hAnsi="宋体" w:cs="宋体"/>
                <w:bCs/>
                <w:color w:val="000000"/>
                <w:szCs w:val="21"/>
                <w:highlight w:val="none"/>
              </w:rPr>
              <w:t xml:space="preserve">投标供应商近三年（自本项目公告发布首日起往前顺推，以合同签订日期为准）承担过同类业务的（同类业务指土壤地下水污染调查、风险评估或风险管控方案编制项目</w:t>
            </w:r>
            <w:r>
              <w:rPr>
                <w:rFonts w:hint="eastAsia" w:ascii="宋体" w:hAnsi="宋体" w:cs="宋体"/>
                <w:bCs/>
                <w:color w:val="000000"/>
                <w:szCs w:val="21"/>
                <w:highlight w:val="none"/>
                <w:lang w:eastAsia="zh-CN"/>
              </w:rPr>
              <w:t xml:space="preserve">等</w:t>
            </w:r>
            <w:r>
              <w:rPr>
                <w:rFonts w:hint="eastAsia" w:ascii="宋体" w:hAnsi="宋体" w:cs="宋体"/>
                <w:bCs/>
                <w:color w:val="000000"/>
                <w:szCs w:val="21"/>
                <w:highlight w:val="none"/>
              </w:rPr>
              <w:t xml:space="preserve">），每提供1个得1分，</w:t>
            </w:r>
            <w:r>
              <w:rPr>
                <w:rFonts w:hint="eastAsia" w:ascii="宋体" w:hAnsi="宋体" w:cs="宋体"/>
                <w:color w:val="000000"/>
                <w:szCs w:val="21"/>
                <w:highlight w:val="none"/>
                <w:lang w:bidi="ar"/>
              </w:rPr>
              <w:t xml:space="preserve">本项满分3分</w:t>
            </w:r>
            <w:r>
              <w:rPr>
                <w:rFonts w:hint="eastAsia" w:ascii="宋体" w:hAnsi="宋体" w:cs="宋体"/>
                <w:b/>
                <w:color w:val="000000"/>
                <w:szCs w:val="21"/>
                <w:highlight w:val="none"/>
              </w:rPr>
              <w:t xml:space="preserve">（投标文件中提供合同原件扫描件并加盖公章或签电子公章，不提供或不符合要求均不得分）。</w:t>
            </w:r>
            <w:r>
              <w:rPr>
                <w:rFonts w:hint="eastAsia" w:ascii="宋体" w:hAnsi="宋体" w:cs="宋体"/>
                <w:color w:val="000000"/>
                <w:szCs w:val="21"/>
                <w:highlight w:val="none"/>
              </w:rPr>
            </w:r>
            <w:r/>
          </w:p>
        </w:tc>
      </w:tr>
      <w:tr>
        <w:trPr>
          <w:trHeight w:val="854"/>
        </w:trPr>
        <w:tc>
          <w:tcPr>
            <w:tcW w:w="533" w:type="dxa"/>
            <w:vAlign w:val="center"/>
            <w:textDirection w:val="lrTb"/>
            <w:noWrap w:val="false"/>
          </w:tcPr>
          <w:p>
            <w:pPr>
              <w:pStyle w:val="1064"/>
              <w:jc w:val="center"/>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w:t>
            </w:r>
            <w:r>
              <w:rPr>
                <w:rFonts w:hint="eastAsia" w:ascii="宋体" w:hAnsi="宋体" w:cs="宋体"/>
                <w:bCs/>
                <w:color w:val="000000"/>
                <w:szCs w:val="21"/>
                <w:highlight w:val="none"/>
              </w:rPr>
            </w:r>
            <w:r/>
          </w:p>
        </w:tc>
        <w:tc>
          <w:tcPr>
            <w:tcW w:w="1271" w:type="dxa"/>
            <w:vAlign w:val="center"/>
            <w:textDirection w:val="lrTb"/>
            <w:noWrap w:val="false"/>
          </w:tcPr>
          <w:p>
            <w:pPr>
              <w:pStyle w:val="1064"/>
              <w:jc w:val="center"/>
              <w:spacing w:line="440" w:lineRule="exact"/>
              <w:rPr>
                <w:rFonts w:hint="eastAsia" w:ascii="宋体" w:hAnsi="宋体" w:cs="宋体"/>
                <w:color w:val="000000"/>
                <w:szCs w:val="21"/>
                <w:highlight w:val="none"/>
              </w:rPr>
            </w:pPr>
            <w:r>
              <w:rPr>
                <w:rFonts w:hint="eastAsia" w:ascii="宋体" w:hAnsi="宋体" w:cs="宋体"/>
                <w:bCs/>
                <w:color w:val="000000"/>
                <w:szCs w:val="21"/>
                <w:highlight w:val="none"/>
              </w:rPr>
              <w:t xml:space="preserve">项目人员配备</w:t>
            </w:r>
            <w:r>
              <w:rPr>
                <w:rFonts w:hint="eastAsia" w:ascii="宋体" w:hAnsi="宋体" w:cs="宋体"/>
                <w:color w:val="000000"/>
                <w:szCs w:val="21"/>
                <w:highlight w:val="none"/>
              </w:rPr>
            </w:r>
            <w:r/>
          </w:p>
        </w:tc>
        <w:tc>
          <w:tcPr>
            <w:tcW w:w="693" w:type="dxa"/>
            <w:vAlign w:val="center"/>
            <w:textDirection w:val="lrTb"/>
            <w:noWrap w:val="false"/>
          </w:tcPr>
          <w:p>
            <w:pPr>
              <w:pStyle w:val="106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tcW w:w="8092" w:type="dxa"/>
            <w:vAlign w:val="center"/>
            <w:textDirection w:val="lrTb"/>
            <w:noWrap w:val="false"/>
          </w:tcPr>
          <w:p>
            <w:pPr>
              <w:pStyle w:val="1064"/>
              <w:spacing w:line="440" w:lineRule="exact"/>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（1）项目负责人（</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bidi="ar"/>
              </w:rPr>
            </w:r>
            <w:r/>
          </w:p>
          <w:p>
            <w:pPr>
              <w:pStyle w:val="1064"/>
              <w:spacing w:line="440" w:lineRule="exac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拟投入的项目负责人具有环境类相关专业正高级职称的得</w:t>
            </w:r>
            <w:r>
              <w:rPr>
                <w:rFonts w:hint="eastAsia" w:ascii="宋体" w:hAnsi="宋体" w:cs="宋体"/>
                <w:color w:val="000000"/>
                <w:szCs w:val="21"/>
                <w:highlight w:val="none"/>
                <w:lang w:val="en-US" w:eastAsia="zh-CN" w:bidi="ar"/>
              </w:rPr>
              <w:t xml:space="preserve">2</w:t>
            </w:r>
            <w:r>
              <w:rPr>
                <w:rFonts w:hint="eastAsia" w:ascii="宋体" w:hAnsi="宋体" w:cs="宋体"/>
                <w:color w:val="000000"/>
                <w:szCs w:val="21"/>
                <w:highlight w:val="none"/>
                <w:lang w:bidi="ar"/>
              </w:rPr>
              <w:t xml:space="preserve">分</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具有环境类相关专业副高级职称的得</w:t>
            </w:r>
            <w:r>
              <w:rPr>
                <w:rFonts w:hint="eastAsia" w:ascii="宋体" w:hAnsi="宋体" w:cs="宋体"/>
                <w:color w:val="000000"/>
                <w:szCs w:val="21"/>
                <w:highlight w:val="none"/>
                <w:lang w:val="en-US" w:eastAsia="zh-CN" w:bidi="ar"/>
              </w:rPr>
              <w:t xml:space="preserve">1</w:t>
            </w:r>
            <w:r>
              <w:rPr>
                <w:rFonts w:hint="eastAsia" w:ascii="宋体" w:hAnsi="宋体" w:cs="宋体"/>
                <w:color w:val="000000"/>
                <w:szCs w:val="21"/>
                <w:highlight w:val="none"/>
                <w:lang w:bidi="ar"/>
              </w:rPr>
              <w:t xml:space="preserve">分；具有环境类相关专业中级职称的得</w:t>
            </w:r>
            <w:r>
              <w:rPr>
                <w:rFonts w:hint="eastAsia" w:ascii="宋体" w:hAnsi="宋体" w:cs="宋体"/>
                <w:color w:val="000000"/>
                <w:szCs w:val="21"/>
                <w:highlight w:val="none"/>
                <w:lang w:val="en-US" w:eastAsia="zh-CN" w:bidi="ar"/>
              </w:rPr>
              <w:t xml:space="preserve">0.5</w:t>
            </w:r>
            <w:r>
              <w:rPr>
                <w:rFonts w:hint="eastAsia" w:ascii="宋体" w:hAnsi="宋体" w:cs="宋体"/>
                <w:color w:val="000000"/>
                <w:szCs w:val="21"/>
                <w:highlight w:val="none"/>
                <w:lang w:bidi="ar"/>
              </w:rPr>
              <w:t xml:space="preserve">分；本项满分</w:t>
            </w:r>
            <w:r>
              <w:rPr>
                <w:rFonts w:hint="eastAsia" w:ascii="宋体" w:hAnsi="宋体" w:cs="宋体"/>
                <w:color w:val="000000"/>
                <w:szCs w:val="21"/>
                <w:highlight w:val="none"/>
                <w:lang w:val="en-US" w:eastAsia="zh-CN" w:bidi="ar"/>
              </w:rPr>
              <w:t xml:space="preserve">2</w:t>
            </w:r>
            <w:r>
              <w:rPr>
                <w:rFonts w:hint="eastAsia" w:ascii="宋体" w:hAnsi="宋体" w:cs="宋体"/>
                <w:color w:val="000000"/>
                <w:szCs w:val="21"/>
                <w:highlight w:val="none"/>
                <w:lang w:bidi="ar"/>
              </w:rPr>
              <w:t xml:space="preserve">分。</w:t>
            </w:r>
            <w:r>
              <w:rPr>
                <w:rFonts w:hint="eastAsia" w:ascii="宋体" w:hAnsi="宋体" w:cs="宋体"/>
                <w:color w:val="000000"/>
                <w:szCs w:val="21"/>
                <w:highlight w:val="none"/>
                <w:lang w:bidi="ar"/>
              </w:rPr>
            </w:r>
            <w:r/>
          </w:p>
          <w:p>
            <w:pPr>
              <w:pStyle w:val="1064"/>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（2）技术负责人（</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1064"/>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拟投入的技术负责人具有环境类相关专业正高级职称的得</w:t>
            </w:r>
            <w:r>
              <w:rPr>
                <w:rFonts w:hint="eastAsia" w:ascii="宋体" w:hAnsi="宋体" w:cs="宋体"/>
                <w:color w:val="000000"/>
                <w:szCs w:val="21"/>
                <w:highlight w:val="none"/>
                <w:lang w:val="en-US" w:eastAsia="zh-CN" w:bidi="ar"/>
              </w:rPr>
              <w:t xml:space="preserve">2</w:t>
            </w:r>
            <w:r>
              <w:rPr>
                <w:rFonts w:hint="eastAsia" w:ascii="宋体" w:hAnsi="宋体" w:cs="宋体"/>
                <w:color w:val="000000"/>
                <w:szCs w:val="21"/>
                <w:highlight w:val="none"/>
                <w:lang w:bidi="ar"/>
              </w:rPr>
              <w:t xml:space="preserve">分</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具有环境类相关专业副高级职称的得</w:t>
            </w:r>
            <w:r>
              <w:rPr>
                <w:rFonts w:hint="eastAsia" w:ascii="宋体" w:hAnsi="宋体" w:cs="宋体"/>
                <w:color w:val="000000"/>
                <w:szCs w:val="21"/>
                <w:highlight w:val="none"/>
                <w:lang w:val="en-US" w:eastAsia="zh-CN" w:bidi="ar"/>
              </w:rPr>
              <w:t xml:space="preserve">1</w:t>
            </w:r>
            <w:r>
              <w:rPr>
                <w:rFonts w:hint="eastAsia" w:ascii="宋体" w:hAnsi="宋体" w:cs="宋体"/>
                <w:color w:val="000000"/>
                <w:szCs w:val="21"/>
                <w:highlight w:val="none"/>
                <w:lang w:bidi="ar"/>
              </w:rPr>
              <w:t xml:space="preserve">分；具有环境类相关专业中级职称的得</w:t>
            </w:r>
            <w:r>
              <w:rPr>
                <w:rFonts w:hint="eastAsia" w:ascii="宋体" w:hAnsi="宋体" w:cs="宋体"/>
                <w:color w:val="000000"/>
                <w:szCs w:val="21"/>
                <w:highlight w:val="none"/>
                <w:lang w:val="en-US" w:eastAsia="zh-CN" w:bidi="ar"/>
              </w:rPr>
              <w:t xml:space="preserve">0.5</w:t>
            </w:r>
            <w:r>
              <w:rPr>
                <w:rFonts w:hint="eastAsia" w:ascii="宋体" w:hAnsi="宋体" w:cs="宋体"/>
                <w:color w:val="000000"/>
                <w:szCs w:val="21"/>
                <w:highlight w:val="none"/>
                <w:lang w:bidi="ar"/>
              </w:rPr>
              <w:t xml:space="preserve">分；本项满分</w:t>
            </w:r>
            <w:r>
              <w:rPr>
                <w:rFonts w:hint="eastAsia" w:ascii="宋体" w:hAnsi="宋体" w:cs="宋体"/>
                <w:color w:val="000000"/>
                <w:szCs w:val="21"/>
                <w:highlight w:val="none"/>
                <w:lang w:val="en-US" w:eastAsia="zh-CN" w:bidi="ar"/>
              </w:rPr>
              <w:t xml:space="preserve">2</w:t>
            </w:r>
            <w:r>
              <w:rPr>
                <w:rFonts w:hint="eastAsia" w:ascii="宋体" w:hAnsi="宋体" w:cs="宋体"/>
                <w:color w:val="000000"/>
                <w:szCs w:val="21"/>
                <w:highlight w:val="none"/>
                <w:lang w:bidi="ar"/>
              </w:rPr>
              <w:t xml:space="preserve">分。</w:t>
            </w:r>
            <w:r>
              <w:rPr>
                <w:rFonts w:hint="eastAsia" w:ascii="宋体" w:hAnsi="宋体" w:cs="宋体"/>
                <w:color w:val="000000"/>
                <w:szCs w:val="21"/>
                <w:highlight w:val="none"/>
              </w:rPr>
            </w:r>
            <w:r/>
          </w:p>
          <w:p>
            <w:pPr>
              <w:pStyle w:val="1064"/>
              <w:ind w:right="129"/>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（3）项目组其他成员（除技术负责人、项目负责人外）（</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1064"/>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拟投入本项目的</w:t>
            </w:r>
            <w:r>
              <w:rPr>
                <w:rFonts w:hint="eastAsia" w:ascii="宋体" w:hAnsi="宋体" w:cs="宋体"/>
                <w:color w:val="000000"/>
                <w:szCs w:val="21"/>
                <w:highlight w:val="none"/>
              </w:rPr>
              <w:t xml:space="preserve">其他成员（除技术负责人、项目负责人外）</w:t>
            </w:r>
            <w:r>
              <w:rPr>
                <w:rFonts w:hint="eastAsia" w:ascii="宋体" w:hAnsi="宋体" w:cs="宋体"/>
                <w:color w:val="000000"/>
                <w:szCs w:val="21"/>
                <w:highlight w:val="none"/>
                <w:lang w:bidi="ar"/>
              </w:rPr>
              <w:t xml:space="preserve">具有环境类相关专业正高级职称的得1分/人；具有环境类相关专业副高级职称的得0.5分/人；具有环境类相关专业中级职称的得0.2分/人；本项满分</w:t>
            </w:r>
            <w:r>
              <w:rPr>
                <w:rFonts w:hint="eastAsia" w:ascii="宋体" w:hAnsi="宋体" w:cs="宋体"/>
                <w:color w:val="000000"/>
                <w:szCs w:val="21"/>
                <w:highlight w:val="none"/>
                <w:lang w:val="en-US" w:eastAsia="zh-CN" w:bidi="ar"/>
              </w:rPr>
              <w:t xml:space="preserve">5</w:t>
            </w:r>
            <w:r>
              <w:rPr>
                <w:rFonts w:hint="eastAsia" w:ascii="宋体" w:hAnsi="宋体" w:cs="宋体"/>
                <w:color w:val="000000"/>
                <w:szCs w:val="21"/>
                <w:highlight w:val="none"/>
                <w:lang w:bidi="ar"/>
              </w:rPr>
              <w:t xml:space="preserve">分。</w:t>
            </w:r>
            <w:r>
              <w:rPr>
                <w:rFonts w:hint="eastAsia" w:ascii="宋体" w:hAnsi="宋体" w:cs="宋体"/>
                <w:color w:val="000000"/>
                <w:szCs w:val="21"/>
                <w:highlight w:val="none"/>
              </w:rPr>
            </w:r>
            <w:r/>
          </w:p>
          <w:p>
            <w:pPr>
              <w:pStyle w:val="1064"/>
              <w:spacing w:line="44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注：以上人员一人一证，不得相互兼任。投标文件中提供上述人员相关证书以及由社保机构出具的供应商为上述人员缴纳的近三个月任意一个月份（不含投标当月）的社保证明材料扫描件（如供应商成立时间为2024年08月以后的，则可不提供社保证明材料），不提供或提供不全均不得分。</w:t>
            </w:r>
            <w:r>
              <w:rPr>
                <w:rFonts w:hint="eastAsia" w:ascii="宋体" w:hAnsi="宋体" w:cs="宋体"/>
                <w:color w:val="000000"/>
                <w:szCs w:val="21"/>
                <w:highlight w:val="none"/>
              </w:rPr>
            </w:r>
            <w:r/>
          </w:p>
        </w:tc>
      </w:tr>
      <w:tr>
        <w:trPr/>
        <w:tc>
          <w:tcPr>
            <w:tcW w:w="533" w:type="dxa"/>
            <w:vAlign w:val="center"/>
            <w:textDirection w:val="lrTb"/>
            <w:noWrap w:val="false"/>
          </w:tcPr>
          <w:p>
            <w:pPr>
              <w:pStyle w:val="1064"/>
              <w:jc w:val="center"/>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3</w:t>
            </w:r>
            <w:r>
              <w:rPr>
                <w:rFonts w:hint="eastAsia" w:ascii="宋体" w:hAnsi="宋体" w:cs="宋体"/>
                <w:bCs/>
                <w:color w:val="000000"/>
                <w:szCs w:val="21"/>
                <w:highlight w:val="none"/>
              </w:rPr>
            </w:r>
            <w:r/>
          </w:p>
        </w:tc>
        <w:tc>
          <w:tcPr>
            <w:tcW w:w="1271" w:type="dxa"/>
            <w:vAlign w:val="center"/>
            <w:textDirection w:val="lrTb"/>
            <w:noWrap w:val="false"/>
          </w:tcPr>
          <w:p>
            <w:pPr>
              <w:pStyle w:val="1064"/>
              <w:jc w:val="center"/>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认证证书</w:t>
            </w:r>
            <w:r>
              <w:rPr>
                <w:rFonts w:hint="eastAsia" w:ascii="宋体" w:hAnsi="宋体" w:cs="宋体"/>
                <w:bCs/>
                <w:color w:val="000000"/>
                <w:szCs w:val="21"/>
                <w:highlight w:val="none"/>
              </w:rPr>
            </w:r>
            <w:r/>
          </w:p>
        </w:tc>
        <w:tc>
          <w:tcPr>
            <w:tcW w:w="693" w:type="dxa"/>
            <w:vAlign w:val="center"/>
            <w:textDirection w:val="lrTb"/>
            <w:noWrap w:val="false"/>
          </w:tcPr>
          <w:p>
            <w:pPr>
              <w:pStyle w:val="1064"/>
              <w:jc w:val="center"/>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2分</w:t>
            </w:r>
            <w:r>
              <w:rPr>
                <w:rFonts w:hint="eastAsia" w:ascii="宋体" w:hAnsi="宋体" w:cs="宋体"/>
                <w:bCs/>
                <w:color w:val="000000"/>
                <w:szCs w:val="21"/>
                <w:highlight w:val="none"/>
              </w:rPr>
            </w:r>
            <w:r/>
          </w:p>
        </w:tc>
        <w:tc>
          <w:tcPr>
            <w:tcW w:w="8092" w:type="dxa"/>
            <w:vAlign w:val="center"/>
            <w:textDirection w:val="lrTb"/>
            <w:noWrap w:val="false"/>
          </w:tcPr>
          <w:p>
            <w:pPr>
              <w:pStyle w:val="1064"/>
              <w:spacing w:line="440" w:lineRule="exact"/>
              <w:widowControl/>
              <w:rPr>
                <w:rFonts w:hint="eastAsia" w:ascii="宋体" w:hAnsi="宋体" w:cs="宋体"/>
                <w:b/>
                <w:color w:val="000000"/>
                <w:szCs w:val="21"/>
                <w:highlight w:val="none"/>
              </w:rPr>
            </w:pPr>
            <w:r>
              <w:rPr>
                <w:rFonts w:hint="eastAsia" w:ascii="宋体" w:hAnsi="宋体" w:cs="宋体"/>
                <w:color w:val="000000"/>
                <w:szCs w:val="21"/>
                <w:highlight w:val="none"/>
                <w:lang w:bidi="ar"/>
              </w:rPr>
              <w:t xml:space="preserve">投标</w:t>
            </w:r>
            <w:r>
              <w:rPr>
                <w:rFonts w:hint="eastAsia" w:ascii="宋体" w:hAnsi="宋体" w:cs="宋体"/>
                <w:bCs/>
                <w:color w:val="000000"/>
                <w:szCs w:val="21"/>
                <w:highlight w:val="none"/>
              </w:rPr>
              <w:t xml:space="preserve">供应商具有</w:t>
            </w:r>
            <w:r>
              <w:rPr>
                <w:rFonts w:hint="eastAsia" w:ascii="宋体" w:hAnsi="宋体" w:cs="宋体"/>
                <w:color w:val="000000"/>
                <w:szCs w:val="21"/>
                <w:highlight w:val="none"/>
                <w:lang w:bidi="ar"/>
              </w:rPr>
              <w:t xml:space="preserve">由国家认证的 CMA</w:t>
            </w:r>
            <w:r>
              <w:rPr>
                <w:rFonts w:hint="eastAsia" w:ascii="宋体" w:hAnsi="宋体" w:cs="宋体"/>
                <w:bCs/>
                <w:color w:val="000000"/>
                <w:szCs w:val="21"/>
                <w:highlight w:val="none"/>
              </w:rPr>
              <w:t xml:space="preserve">证书的得2分，</w:t>
            </w:r>
            <w:r>
              <w:rPr>
                <w:rFonts w:hint="eastAsia" w:ascii="宋体" w:hAnsi="宋体" w:cs="宋体"/>
                <w:color w:val="000000"/>
                <w:szCs w:val="21"/>
                <w:highlight w:val="none"/>
                <w:lang w:bidi="ar"/>
              </w:rPr>
              <w:t xml:space="preserve">具有省级认证</w:t>
            </w:r>
            <w:r>
              <w:rPr>
                <w:rFonts w:hint="eastAsia" w:ascii="宋体" w:hAnsi="宋体" w:cs="宋体"/>
                <w:color w:val="000000"/>
                <w:szCs w:val="21"/>
                <w:highlight w:val="none"/>
                <w:lang w:bidi="ar"/>
              </w:rPr>
              <w:t xml:space="preserve">的 CMA</w:t>
            </w:r>
            <w:r>
              <w:rPr>
                <w:rFonts w:hint="eastAsia" w:ascii="宋体" w:hAnsi="宋体" w:cs="宋体"/>
                <w:bCs/>
                <w:color w:val="000000"/>
                <w:szCs w:val="21"/>
                <w:highlight w:val="none"/>
              </w:rPr>
              <w:t xml:space="preserve">证书的</w:t>
            </w:r>
            <w:r>
              <w:rPr>
                <w:rFonts w:hint="eastAsia" w:ascii="宋体" w:hAnsi="宋体" w:cs="宋体"/>
                <w:color w:val="000000"/>
                <w:szCs w:val="21"/>
                <w:highlight w:val="none"/>
                <w:lang w:bidi="ar"/>
              </w:rPr>
              <w:t xml:space="preserve">得1分，本项满分2分</w:t>
            </w:r>
            <w:r>
              <w:rPr>
                <w:rFonts w:hint="eastAsia" w:ascii="宋体" w:hAnsi="宋体" w:cs="宋体"/>
                <w:b/>
                <w:color w:val="000000"/>
                <w:szCs w:val="21"/>
                <w:highlight w:val="none"/>
              </w:rPr>
              <w:t xml:space="preserve">（投标文件中提供证书原件扫描件并加盖公章或签电子公章，不提供或不符合要求均不得分）。</w:t>
            </w:r>
            <w:r>
              <w:rPr>
                <w:rFonts w:hint="eastAsia" w:ascii="宋体" w:hAnsi="宋体" w:cs="宋体"/>
                <w:b/>
                <w:color w:val="000000"/>
                <w:szCs w:val="21"/>
                <w:highlight w:val="none"/>
              </w:rPr>
            </w:r>
            <w:r/>
          </w:p>
        </w:tc>
      </w:tr>
      <w:tr>
        <w:trPr/>
        <w:tc>
          <w:tcPr>
            <w:tcW w:w="533" w:type="dxa"/>
            <w:vAlign w:val="center"/>
            <w:textDirection w:val="lrTb"/>
            <w:noWrap w:val="false"/>
          </w:tcPr>
          <w:p>
            <w:pPr>
              <w:pStyle w:val="106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271" w:type="dxa"/>
            <w:vAlign w:val="center"/>
            <w:textDirection w:val="lrTb"/>
            <w:noWrap w:val="false"/>
          </w:tcPr>
          <w:p>
            <w:pPr>
              <w:pStyle w:val="1064"/>
              <w:jc w:val="center"/>
              <w:spacing w:line="440" w:lineRule="exact"/>
              <w:rPr>
                <w:rFonts w:hint="eastAsia" w:ascii="宋体" w:hAnsi="宋体" w:cs="宋体"/>
                <w:color w:val="000000"/>
                <w:szCs w:val="21"/>
                <w:highlight w:val="none"/>
                <w:lang w:eastAsia="en-US"/>
              </w:rPr>
            </w:pPr>
            <w:r>
              <w:rPr>
                <w:rFonts w:hint="eastAsia" w:ascii="宋体" w:hAnsi="宋体" w:cs="宋体"/>
                <w:color w:val="000000"/>
                <w:szCs w:val="21"/>
                <w:highlight w:val="none"/>
              </w:rPr>
              <w:t xml:space="preserve">企业实力</w:t>
            </w:r>
            <w:r>
              <w:rPr>
                <w:rFonts w:hint="eastAsia" w:ascii="宋体" w:hAnsi="宋体" w:cs="宋体"/>
                <w:color w:val="000000"/>
                <w:szCs w:val="21"/>
                <w:highlight w:val="none"/>
                <w:lang w:eastAsia="en-US"/>
              </w:rPr>
            </w:r>
            <w:r/>
          </w:p>
        </w:tc>
        <w:tc>
          <w:tcPr>
            <w:tcW w:w="693" w:type="dxa"/>
            <w:vAlign w:val="center"/>
            <w:textDirection w:val="lrTb"/>
            <w:noWrap w:val="false"/>
          </w:tcPr>
          <w:p>
            <w:pPr>
              <w:pStyle w:val="106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tcW w:w="8092" w:type="dxa"/>
            <w:vAlign w:val="center"/>
            <w:textDirection w:val="lrTb"/>
            <w:noWrap w:val="false"/>
          </w:tcPr>
          <w:p>
            <w:pPr>
              <w:pStyle w:val="1064"/>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（1）投标</w:t>
            </w:r>
            <w:r>
              <w:rPr>
                <w:rFonts w:hint="eastAsia" w:ascii="宋体" w:hAnsi="宋体" w:cs="宋体"/>
                <w:bCs/>
                <w:color w:val="000000"/>
                <w:szCs w:val="21"/>
                <w:highlight w:val="none"/>
              </w:rPr>
              <w:t xml:space="preserve">供应商</w:t>
            </w:r>
            <w:r>
              <w:rPr>
                <w:rFonts w:hint="eastAsia" w:ascii="宋体" w:hAnsi="宋体" w:cs="宋体"/>
                <w:color w:val="000000"/>
                <w:szCs w:val="21"/>
                <w:highlight w:val="none"/>
              </w:rPr>
              <w:t xml:space="preserve">拥有国家级重点实验室或工程实验室（生态环境类）的每个得</w:t>
            </w:r>
            <w:r>
              <w:rPr>
                <w:rFonts w:hint="eastAsia" w:ascii="宋体" w:hAnsi="宋体" w:cs="宋体"/>
                <w:color w:val="000000"/>
                <w:szCs w:val="21"/>
                <w:highlight w:val="none"/>
                <w:lang w:val="en-US" w:eastAsia="zh-CN"/>
              </w:rPr>
              <w:t xml:space="preserve">1.5</w:t>
            </w:r>
            <w:r>
              <w:rPr>
                <w:rFonts w:hint="eastAsia" w:ascii="宋体" w:hAnsi="宋体" w:cs="宋体"/>
                <w:color w:val="000000"/>
                <w:szCs w:val="21"/>
                <w:highlight w:val="none"/>
              </w:rPr>
              <w:t xml:space="preserve">分，拥有省部级重点实验室或工程实验室（生态环境类）的每个得1分，拥有市级重点实验室或工程实验室（生态环境类）的每个得</w:t>
            </w:r>
            <w:r>
              <w:rPr>
                <w:rFonts w:hint="eastAsia" w:ascii="宋体" w:hAnsi="宋体" w:cs="宋体"/>
                <w:color w:val="000000"/>
                <w:szCs w:val="21"/>
                <w:highlight w:val="none"/>
                <w:lang w:val="en-US" w:eastAsia="zh-CN"/>
              </w:rPr>
              <w:t xml:space="preserve">0.5</w:t>
            </w:r>
            <w:r>
              <w:rPr>
                <w:rFonts w:hint="eastAsia" w:ascii="宋体" w:hAnsi="宋体" w:cs="宋体"/>
                <w:color w:val="000000"/>
                <w:szCs w:val="21"/>
                <w:highlight w:val="none"/>
              </w:rPr>
              <w:t xml:space="preserve">分；本项满分</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w:t>
            </w:r>
            <w:r>
              <w:rPr>
                <w:rFonts w:hint="eastAsia" w:ascii="宋体" w:hAnsi="宋体" w:cs="宋体"/>
                <w:b/>
                <w:color w:val="000000"/>
                <w:szCs w:val="21"/>
                <w:highlight w:val="none"/>
              </w:rPr>
              <w:t xml:space="preserve">（投标文件中提供相关证明材料扫描件并加盖公章或签电子公章，不提供或不符合要求均不得分）。</w:t>
            </w:r>
            <w:r>
              <w:rPr>
                <w:rFonts w:hint="eastAsia" w:ascii="宋体" w:hAnsi="宋体" w:cs="宋体"/>
                <w:color w:val="000000"/>
                <w:szCs w:val="21"/>
                <w:highlight w:val="none"/>
              </w:rPr>
            </w:r>
            <w:r/>
          </w:p>
          <w:p>
            <w:pPr>
              <w:pStyle w:val="1064"/>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（2）投标人获得过近五届土壤或地下水生态环境领域国家科学技术奖项</w:t>
            </w:r>
            <w:r>
              <w:rPr>
                <w:rFonts w:hint="eastAsia" w:ascii="宋体" w:hAnsi="宋体" w:cs="宋体"/>
                <w:color w:val="000000"/>
                <w:szCs w:val="21"/>
                <w:highlight w:val="none"/>
              </w:rPr>
              <w:t xml:space="preserve">的每个</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1.5</w:t>
            </w:r>
            <w:r>
              <w:rPr>
                <w:rFonts w:hint="eastAsia" w:ascii="宋体" w:hAnsi="宋体" w:cs="宋体"/>
                <w:color w:val="000000"/>
                <w:szCs w:val="21"/>
                <w:highlight w:val="none"/>
              </w:rPr>
              <w:t xml:space="preserve">分，获得过近五届土壤或地下水生态环境领域省部级科学技术奖项</w:t>
            </w:r>
            <w:r>
              <w:rPr>
                <w:rFonts w:hint="eastAsia" w:ascii="宋体" w:hAnsi="宋体" w:cs="宋体"/>
                <w:color w:val="000000"/>
                <w:szCs w:val="21"/>
                <w:highlight w:val="none"/>
              </w:rPr>
              <w:t xml:space="preserve">的每个</w:t>
            </w:r>
            <w:r>
              <w:rPr>
                <w:rFonts w:hint="eastAsia" w:ascii="宋体" w:hAnsi="宋体" w:cs="宋体"/>
                <w:color w:val="000000"/>
                <w:szCs w:val="21"/>
                <w:highlight w:val="none"/>
              </w:rPr>
              <w:t xml:space="preserve">得1分，获得过近五届土壤或地下水生态环境领域市级科学技术奖项</w:t>
            </w:r>
            <w:r>
              <w:rPr>
                <w:rFonts w:hint="eastAsia" w:ascii="宋体" w:hAnsi="宋体" w:cs="宋体"/>
                <w:color w:val="000000"/>
                <w:szCs w:val="21"/>
                <w:highlight w:val="none"/>
              </w:rPr>
              <w:t xml:space="preserve">的每个</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.5分，本项满分</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w:t>
            </w:r>
            <w:r>
              <w:rPr>
                <w:rFonts w:hint="eastAsia" w:ascii="宋体" w:hAnsi="宋体" w:cs="宋体"/>
                <w:b/>
                <w:color w:val="000000"/>
                <w:szCs w:val="21"/>
                <w:highlight w:val="none"/>
              </w:rPr>
              <w:t xml:space="preserve">（投标文件中提供相关证明材料扫描件并加盖公章或签电子公章，不提供或不符合要求均不得分）。</w:t>
            </w:r>
            <w:r>
              <w:rPr>
                <w:rFonts w:hint="eastAsia" w:ascii="宋体" w:hAnsi="宋体" w:cs="宋体"/>
                <w:color w:val="000000"/>
                <w:szCs w:val="21"/>
                <w:highlight w:val="none"/>
              </w:rPr>
            </w:r>
            <w:r/>
          </w:p>
        </w:tc>
      </w:tr>
      <w:tr>
        <w:trPr/>
        <w:tc>
          <w:tcPr>
            <w:gridSpan w:val="4"/>
            <w:tcW w:w="10589" w:type="dxa"/>
            <w:vAlign w:val="center"/>
            <w:textDirection w:val="lrTb"/>
            <w:noWrap w:val="false"/>
          </w:tcPr>
          <w:p>
            <w:pPr>
              <w:pStyle w:val="1064"/>
              <w:spacing w:line="400" w:lineRule="exact"/>
              <w:rPr>
                <w:rFonts w:hint="eastAsia" w:ascii="宋体" w:hAnsi="宋体"/>
                <w:bCs/>
                <w:color w:val="000000"/>
                <w:sz w:val="22"/>
                <w:szCs w:val="20"/>
                <w:highlight w:val="none"/>
              </w:rPr>
            </w:pPr>
            <w:r>
              <w:rPr>
                <w:rFonts w:hint="eastAsia" w:ascii="宋体" w:hAnsi="宋体"/>
                <w:b/>
                <w:bCs/>
                <w:color w:val="000000"/>
                <w:sz w:val="22"/>
                <w:szCs w:val="20"/>
                <w:highlight w:val="none"/>
              </w:rPr>
              <w:t xml:space="preserve">（三）技术分（</w:t>
            </w:r>
            <w:r>
              <w:rPr>
                <w:rFonts w:hint="eastAsia" w:ascii="宋体" w:hAnsi="宋体"/>
                <w:b/>
                <w:bCs/>
                <w:color w:val="000000"/>
                <w:sz w:val="22"/>
                <w:szCs w:val="20"/>
                <w:highlight w:val="none"/>
                <w:lang w:val="en-US" w:eastAsia="zh-CN"/>
              </w:rPr>
              <w:t xml:space="preserve">60</w:t>
            </w:r>
            <w:r>
              <w:rPr>
                <w:rFonts w:hint="eastAsia" w:ascii="宋体" w:hAnsi="宋体"/>
                <w:b/>
                <w:bCs/>
                <w:color w:val="000000"/>
                <w:sz w:val="22"/>
                <w:szCs w:val="20"/>
                <w:highlight w:val="none"/>
              </w:rPr>
              <w:t xml:space="preserve">分）</w:t>
            </w:r>
            <w:r>
              <w:rPr>
                <w:rFonts w:hint="eastAsia" w:ascii="宋体" w:hAnsi="宋体"/>
                <w:bCs/>
                <w:color w:val="000000"/>
                <w:sz w:val="22"/>
                <w:szCs w:val="20"/>
                <w:highlight w:val="none"/>
              </w:rPr>
            </w:r>
            <w:r/>
          </w:p>
        </w:tc>
      </w:tr>
      <w:tr>
        <w:trPr/>
        <w:tc>
          <w:tcPr>
            <w:tcW w:w="533" w:type="dxa"/>
            <w:vAlign w:val="center"/>
            <w:textDirection w:val="lrTb"/>
            <w:noWrap w:val="false"/>
          </w:tcPr>
          <w:p>
            <w:pPr>
              <w:pStyle w:val="1064"/>
              <w:jc w:val="center"/>
              <w:spacing w:line="400" w:lineRule="exact"/>
              <w:rPr>
                <w:rFonts w:hint="eastAsia" w:ascii="宋体" w:hAnsi="宋体"/>
                <w:bCs/>
                <w:color w:val="000000"/>
                <w:sz w:val="22"/>
                <w:szCs w:val="20"/>
                <w:highlight w:val="none"/>
              </w:rPr>
            </w:pPr>
            <w:r>
              <w:rPr>
                <w:rFonts w:ascii="宋体" w:hAnsi="宋体"/>
                <w:color w:val="000000"/>
                <w:sz w:val="22"/>
                <w:szCs w:val="20"/>
                <w:highlight w:val="none"/>
              </w:rPr>
              <w:t xml:space="preserve">1</w:t>
            </w:r>
            <w:r>
              <w:rPr>
                <w:rFonts w:hint="eastAsia" w:ascii="宋体" w:hAnsi="宋体"/>
                <w:bCs/>
                <w:color w:val="000000"/>
                <w:sz w:val="22"/>
                <w:szCs w:val="20"/>
                <w:highlight w:val="none"/>
              </w:rPr>
            </w:r>
            <w:r/>
          </w:p>
        </w:tc>
        <w:tc>
          <w:tcPr>
            <w:tcW w:w="1271" w:type="dxa"/>
            <w:vAlign w:val="center"/>
            <w:textDirection w:val="lrTb"/>
            <w:noWrap w:val="false"/>
          </w:tcPr>
          <w:p>
            <w:pPr>
              <w:pStyle w:val="1064"/>
              <w:jc w:val="center"/>
              <w:spacing w:line="400" w:lineRule="exact"/>
              <w:rPr>
                <w:rFonts w:hint="eastAsia" w:ascii="宋体" w:hAnsi="宋体" w:eastAsia="宋体"/>
                <w:bCs/>
                <w:color w:val="000000"/>
                <w:sz w:val="22"/>
                <w:szCs w:val="20"/>
                <w:highlight w:val="none"/>
                <w:lang w:eastAsia="zh-CN"/>
              </w:rPr>
            </w:pPr>
            <w:r>
              <w:rPr>
                <w:rFonts w:hint="eastAsia" w:ascii="宋体" w:hAnsi="宋体"/>
                <w:bCs/>
                <w:color w:val="000000"/>
                <w:sz w:val="22"/>
                <w:szCs w:val="20"/>
                <w:highlight w:val="none"/>
                <w:lang w:eastAsia="zh-CN"/>
              </w:rPr>
              <w:t xml:space="preserve">项目总体分析</w:t>
            </w:r>
            <w:r>
              <w:rPr>
                <w:rFonts w:hint="eastAsia" w:ascii="宋体" w:hAnsi="宋体" w:eastAsia="宋体"/>
                <w:bCs/>
                <w:color w:val="000000"/>
                <w:sz w:val="22"/>
                <w:szCs w:val="20"/>
                <w:highlight w:val="none"/>
                <w:lang w:eastAsia="zh-CN"/>
              </w:rPr>
            </w:r>
            <w:r/>
          </w:p>
        </w:tc>
        <w:tc>
          <w:tcPr>
            <w:tcW w:w="693" w:type="dxa"/>
            <w:vAlign w:val="center"/>
            <w:textDirection w:val="lrTb"/>
            <w:noWrap w:val="false"/>
          </w:tcPr>
          <w:p>
            <w:pPr>
              <w:pStyle w:val="1064"/>
              <w:jc w:val="center"/>
              <w:spacing w:line="400" w:lineRule="exact"/>
              <w:rPr>
                <w:rFonts w:hint="eastAsia" w:ascii="宋体" w:hAnsi="宋体"/>
                <w:bCs/>
                <w:color w:val="000000"/>
                <w:sz w:val="22"/>
                <w:szCs w:val="20"/>
                <w:highlight w:val="none"/>
              </w:rPr>
            </w:pPr>
            <w:r>
              <w:rPr>
                <w:rFonts w:hint="eastAsia" w:ascii="宋体" w:hAnsi="宋体"/>
                <w:color w:val="000000"/>
                <w:sz w:val="22"/>
                <w:szCs w:val="20"/>
                <w:highlight w:val="none"/>
                <w:lang w:val="en-US" w:eastAsia="zh-CN"/>
              </w:rPr>
              <w:t xml:space="preserve">12</w:t>
            </w:r>
            <w:r>
              <w:rPr>
                <w:rFonts w:hint="eastAsia" w:ascii="宋体" w:hAnsi="宋体"/>
                <w:color w:val="000000"/>
                <w:sz w:val="22"/>
                <w:szCs w:val="20"/>
                <w:highlight w:val="none"/>
              </w:rPr>
              <w:t xml:space="preserve">分</w:t>
            </w:r>
            <w:r>
              <w:rPr>
                <w:rFonts w:hint="eastAsia" w:ascii="宋体" w:hAnsi="宋体"/>
                <w:bCs/>
                <w:color w:val="000000"/>
                <w:sz w:val="22"/>
                <w:szCs w:val="20"/>
                <w:highlight w:val="none"/>
              </w:rPr>
            </w:r>
            <w:r/>
          </w:p>
        </w:tc>
        <w:tc>
          <w:tcPr>
            <w:tcW w:w="8092" w:type="dxa"/>
            <w:vAlign w:val="top"/>
            <w:textDirection w:val="lrTb"/>
            <w:noWrap w:val="false"/>
          </w:tcPr>
          <w:p>
            <w:pPr>
              <w:pStyle w:val="1064"/>
              <w:spacing w:line="440" w:lineRule="exact"/>
              <w:rPr>
                <w:rFonts w:hint="eastAsia" w:ascii="宋体" w:hAnsi="宋体" w:eastAsia="宋体" w:cs="宋体"/>
                <w:color w:val="000000"/>
                <w:szCs w:val="21"/>
                <w:highlight w:val="none"/>
              </w:rPr>
            </w:pPr>
            <w:r>
              <w:rPr>
                <w:rFonts w:hint="eastAsia" w:ascii="宋体" w:hAnsi="宋体"/>
                <w:color w:val="000000"/>
                <w:sz w:val="21"/>
                <w:szCs w:val="21"/>
                <w:highlight w:val="none"/>
              </w:rPr>
              <w:t xml:space="preserve">包括</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但不限于</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w:t>
            </w:r>
            <w:r>
              <w:rPr>
                <w:rFonts w:hint="eastAsia" w:ascii="宋体" w:hAnsi="宋体" w:eastAsia="宋体" w:cs="宋体"/>
                <w:color w:val="000000"/>
                <w:szCs w:val="21"/>
                <w:highlight w:val="none"/>
              </w:rPr>
              <w:t xml:space="preserve">①对项目背景的</w:t>
            </w:r>
            <w:r>
              <w:rPr>
                <w:rFonts w:hint="eastAsia" w:ascii="宋体" w:hAnsi="宋体" w:eastAsia="宋体" w:cs="宋体"/>
                <w:color w:val="000000"/>
                <w:szCs w:val="21"/>
                <w:highlight w:val="none"/>
                <w:lang w:eastAsia="zh-CN"/>
              </w:rPr>
              <w:t xml:space="preserve">理解</w:t>
            </w:r>
            <w:r>
              <w:rPr>
                <w:rFonts w:hint="eastAsia" w:ascii="宋体" w:hAnsi="宋体" w:eastAsia="宋体" w:cs="宋体"/>
                <w:color w:val="000000"/>
                <w:szCs w:val="21"/>
                <w:highlight w:val="none"/>
              </w:rPr>
              <w:t xml:space="preserve">；②对项目需求的理解；③对发展现状的认知研判</w:t>
            </w:r>
            <w:r>
              <w:rPr>
                <w:rFonts w:hint="eastAsia" w:ascii="宋体" w:hAnsi="宋体" w:eastAsia="宋体" w:cs="宋体"/>
                <w:color w:val="000000"/>
                <w:szCs w:val="21"/>
                <w:highlight w:val="none"/>
                <w:lang w:eastAsia="zh-CN"/>
              </w:rPr>
              <w:t xml:space="preserve">等内容</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64"/>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提供的</w:t>
            </w:r>
            <w:r>
              <w:rPr>
                <w:rFonts w:hint="eastAsia" w:ascii="宋体" w:hAnsi="宋体"/>
                <w:bCs/>
                <w:color w:val="000000"/>
                <w:sz w:val="22"/>
                <w:szCs w:val="20"/>
                <w:highlight w:val="none"/>
                <w:lang w:eastAsia="zh-CN"/>
              </w:rPr>
              <w:t xml:space="preserve">项目总体分析</w:t>
            </w:r>
            <w:r>
              <w:rPr>
                <w:rFonts w:hint="eastAsia" w:ascii="宋体" w:hAnsi="宋体" w:eastAsia="宋体" w:cs="宋体"/>
                <w:color w:val="000000"/>
                <w:szCs w:val="21"/>
                <w:highlight w:val="none"/>
              </w:rPr>
              <w:t xml:space="preserve">各项内容全面，不漏项且有针对性解释说明：</w:t>
            </w:r>
            <w:r>
              <w:rPr>
                <w:rFonts w:hint="eastAsia" w:ascii="宋体" w:hAnsi="宋体" w:cs="宋体"/>
                <w:color w:val="000000"/>
                <w:szCs w:val="21"/>
                <w:highlight w:val="none"/>
                <w:lang w:val="en-US" w:eastAsia="zh-CN"/>
              </w:rPr>
              <w:t xml:space="preserve">12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64"/>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提供的</w:t>
            </w:r>
            <w:r>
              <w:rPr>
                <w:rFonts w:hint="eastAsia" w:ascii="宋体" w:hAnsi="宋体"/>
                <w:bCs/>
                <w:color w:val="000000"/>
                <w:sz w:val="22"/>
                <w:szCs w:val="20"/>
                <w:highlight w:val="none"/>
                <w:lang w:eastAsia="zh-CN"/>
              </w:rPr>
              <w:t xml:space="preserve">项目总体分析</w:t>
            </w:r>
            <w:r>
              <w:rPr>
                <w:rFonts w:hint="eastAsia" w:ascii="宋体" w:hAnsi="宋体" w:eastAsia="宋体" w:cs="宋体"/>
                <w:color w:val="000000"/>
                <w:szCs w:val="21"/>
                <w:highlight w:val="none"/>
              </w:rPr>
              <w:t xml:space="preserve">各项内容较全面，漏缺1项，有针对性解释说明：</w:t>
            </w: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64"/>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提供的</w:t>
            </w:r>
            <w:r>
              <w:rPr>
                <w:rFonts w:hint="eastAsia" w:ascii="宋体" w:hAnsi="宋体"/>
                <w:bCs/>
                <w:color w:val="000000"/>
                <w:sz w:val="22"/>
                <w:szCs w:val="20"/>
                <w:highlight w:val="none"/>
                <w:lang w:eastAsia="zh-CN"/>
              </w:rPr>
              <w:t xml:space="preserve">项目总体分析</w:t>
            </w:r>
            <w:r>
              <w:rPr>
                <w:rFonts w:hint="eastAsia" w:ascii="宋体" w:hAnsi="宋体" w:eastAsia="宋体" w:cs="宋体"/>
                <w:color w:val="000000"/>
                <w:szCs w:val="21"/>
                <w:highlight w:val="none"/>
              </w:rPr>
              <w:t xml:space="preserve">各项内容基本全面，漏缺2项，有针对性解释说明：</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64"/>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提供的</w:t>
            </w:r>
            <w:r>
              <w:rPr>
                <w:rFonts w:hint="eastAsia" w:ascii="宋体" w:hAnsi="宋体"/>
                <w:bCs/>
                <w:color w:val="000000"/>
                <w:sz w:val="22"/>
                <w:szCs w:val="20"/>
                <w:highlight w:val="none"/>
                <w:lang w:eastAsia="zh-CN"/>
              </w:rPr>
              <w:t xml:space="preserve">项目总体分析</w:t>
            </w:r>
            <w:r>
              <w:rPr>
                <w:rFonts w:hint="eastAsia" w:ascii="宋体" w:hAnsi="宋体" w:eastAsia="宋体" w:cs="宋体"/>
                <w:color w:val="000000"/>
                <w:szCs w:val="21"/>
                <w:highlight w:val="none"/>
              </w:rPr>
              <w:t xml:space="preserve">各项内容不全面，针对</w:t>
            </w:r>
            <w:r>
              <w:rPr>
                <w:rFonts w:hint="eastAsia" w:ascii="宋体" w:hAnsi="宋体"/>
                <w:bCs/>
                <w:color w:val="000000"/>
                <w:sz w:val="22"/>
                <w:szCs w:val="20"/>
                <w:highlight w:val="none"/>
                <w:lang w:eastAsia="zh-CN"/>
              </w:rPr>
              <w:t xml:space="preserve">项目总体分析</w:t>
            </w:r>
            <w:r>
              <w:rPr>
                <w:rFonts w:hint="eastAsia" w:ascii="宋体" w:hAnsi="宋体" w:eastAsia="宋体" w:cs="宋体"/>
                <w:color w:val="000000"/>
                <w:szCs w:val="21"/>
                <w:highlight w:val="none"/>
              </w:rPr>
              <w:t xml:space="preserve">各项内容没有解释说明：0分。</w:t>
            </w:r>
            <w:r>
              <w:rPr>
                <w:rFonts w:hint="eastAsia" w:ascii="宋体" w:hAnsi="宋体" w:eastAsia="宋体" w:cs="宋体"/>
                <w:color w:val="000000"/>
                <w:szCs w:val="21"/>
                <w:highlight w:val="none"/>
              </w:rPr>
            </w:r>
            <w:r/>
          </w:p>
        </w:tc>
      </w:tr>
      <w:tr>
        <w:trPr/>
        <w:tc>
          <w:tcPr>
            <w:tcW w:w="533" w:type="dxa"/>
            <w:vAlign w:val="center"/>
            <w:textDirection w:val="lrTb"/>
            <w:noWrap w:val="false"/>
          </w:tcPr>
          <w:p>
            <w:pPr>
              <w:pStyle w:val="1064"/>
              <w:jc w:val="center"/>
              <w:spacing w:line="400" w:lineRule="exact"/>
              <w:rPr>
                <w:rFonts w:hint="eastAsia" w:ascii="宋体" w:hAnsi="宋体" w:cs="宋体"/>
                <w:color w:val="000000"/>
                <w:sz w:val="22"/>
                <w:szCs w:val="20"/>
                <w:highlight w:val="none"/>
              </w:rPr>
            </w:pPr>
            <w:r>
              <w:rPr>
                <w:rFonts w:hint="eastAsia" w:ascii="宋体" w:hAnsi="宋体"/>
                <w:color w:val="000000"/>
                <w:sz w:val="22"/>
                <w:szCs w:val="20"/>
                <w:highlight w:val="none"/>
              </w:rPr>
              <w:t xml:space="preserve">2</w:t>
            </w:r>
            <w:r>
              <w:rPr>
                <w:rFonts w:hint="eastAsia" w:ascii="宋体" w:hAnsi="宋体" w:cs="宋体"/>
                <w:color w:val="000000"/>
                <w:sz w:val="22"/>
                <w:szCs w:val="20"/>
                <w:highlight w:val="none"/>
              </w:rPr>
            </w:r>
            <w:r/>
          </w:p>
        </w:tc>
        <w:tc>
          <w:tcPr>
            <w:tcW w:w="1271" w:type="dxa"/>
            <w:vAlign w:val="center"/>
            <w:textDirection w:val="lrTb"/>
            <w:noWrap w:val="false"/>
          </w:tcPr>
          <w:p>
            <w:pPr>
              <w:pStyle w:val="1064"/>
              <w:jc w:val="center"/>
              <w:spacing w:line="400" w:lineRule="exact"/>
              <w:rPr>
                <w:rFonts w:hint="eastAsia" w:ascii="宋体" w:hAnsi="宋体" w:eastAsia="宋体" w:cs="宋体"/>
                <w:bCs/>
                <w:color w:val="000000"/>
                <w:sz w:val="22"/>
                <w:szCs w:val="20"/>
                <w:highlight w:val="none"/>
                <w:lang w:eastAsia="zh-CN"/>
              </w:rPr>
            </w:pPr>
            <w:r>
              <w:rPr>
                <w:rFonts w:hint="eastAsia" w:ascii="宋体" w:hAnsi="宋体"/>
                <w:color w:val="000000"/>
                <w:sz w:val="22"/>
                <w:szCs w:val="20"/>
                <w:highlight w:val="none"/>
                <w:lang w:eastAsia="zh-CN"/>
              </w:rPr>
              <w:t xml:space="preserve">实施方案</w:t>
            </w:r>
            <w:r>
              <w:rPr>
                <w:rFonts w:hint="eastAsia" w:ascii="宋体" w:hAnsi="宋体" w:eastAsia="宋体" w:cs="宋体"/>
                <w:bCs/>
                <w:color w:val="000000"/>
                <w:sz w:val="22"/>
                <w:szCs w:val="20"/>
                <w:highlight w:val="none"/>
                <w:lang w:eastAsia="zh-CN"/>
              </w:rPr>
            </w:r>
            <w:r/>
          </w:p>
        </w:tc>
        <w:tc>
          <w:tcPr>
            <w:tcW w:w="693" w:type="dxa"/>
            <w:vAlign w:val="center"/>
            <w:textDirection w:val="lrTb"/>
            <w:noWrap w:val="false"/>
          </w:tcPr>
          <w:p>
            <w:pPr>
              <w:pStyle w:val="1064"/>
              <w:jc w:val="center"/>
              <w:spacing w:line="400" w:lineRule="exact"/>
              <w:rPr>
                <w:rFonts w:hint="eastAsia" w:ascii="宋体" w:hAnsi="宋体" w:cs="宋体"/>
                <w:color w:val="000000"/>
                <w:sz w:val="22"/>
                <w:szCs w:val="20"/>
                <w:highlight w:val="none"/>
              </w:rPr>
            </w:pPr>
            <w:r>
              <w:rPr>
                <w:rFonts w:hint="eastAsia" w:ascii="宋体" w:hAnsi="宋体"/>
                <w:color w:val="000000"/>
                <w:sz w:val="22"/>
                <w:szCs w:val="20"/>
                <w:highlight w:val="none"/>
              </w:rPr>
              <w:t xml:space="preserve">1</w:t>
            </w:r>
            <w:r>
              <w:rPr>
                <w:rFonts w:hint="eastAsia" w:ascii="宋体" w:hAnsi="宋体"/>
                <w:color w:val="000000"/>
                <w:sz w:val="22"/>
                <w:szCs w:val="20"/>
                <w:highlight w:val="none"/>
                <w:lang w:val="en-US" w:eastAsia="zh-CN"/>
              </w:rPr>
              <w:t xml:space="preserve">5</w:t>
            </w:r>
            <w:r>
              <w:rPr>
                <w:rFonts w:hint="eastAsia" w:ascii="宋体" w:hAnsi="宋体"/>
                <w:color w:val="000000"/>
                <w:sz w:val="22"/>
                <w:szCs w:val="20"/>
                <w:highlight w:val="none"/>
              </w:rPr>
              <w:t xml:space="preserve">分</w:t>
            </w:r>
            <w:r>
              <w:rPr>
                <w:rFonts w:hint="eastAsia" w:ascii="宋体" w:hAnsi="宋体" w:cs="宋体"/>
                <w:color w:val="000000"/>
                <w:sz w:val="22"/>
                <w:szCs w:val="20"/>
                <w:highlight w:val="none"/>
              </w:rPr>
            </w:r>
            <w:r/>
          </w:p>
        </w:tc>
        <w:tc>
          <w:tcPr>
            <w:tcW w:w="8092" w:type="dxa"/>
            <w:vAlign w:val="top"/>
            <w:textDirection w:val="lrTb"/>
            <w:noWrap w:val="false"/>
          </w:tcPr>
          <w:p>
            <w:pPr>
              <w:pStyle w:val="1064"/>
              <w:spacing w:line="440" w:lineRule="exact"/>
              <w:rPr>
                <w:rFonts w:hint="eastAsia" w:ascii="宋体" w:hAnsi="宋体" w:eastAsia="宋体" w:cs="宋体"/>
                <w:color w:val="000000"/>
                <w:szCs w:val="21"/>
                <w:highlight w:val="none"/>
              </w:rPr>
            </w:pPr>
            <w:r>
              <w:rPr>
                <w:rFonts w:hint="eastAsia" w:ascii="宋体" w:hAnsi="宋体"/>
                <w:color w:val="000000"/>
                <w:sz w:val="21"/>
                <w:szCs w:val="21"/>
                <w:highlight w:val="none"/>
              </w:rPr>
              <w:t xml:space="preserve">包括</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但不限于</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w:t>
            </w:r>
            <w:r>
              <w:rPr>
                <w:rFonts w:hint="eastAsia" w:ascii="宋体" w:hAnsi="宋体" w:eastAsia="宋体" w:cs="宋体"/>
                <w:color w:val="000000"/>
                <w:szCs w:val="21"/>
                <w:highlight w:val="none"/>
              </w:rPr>
              <w:t xml:space="preserve">①项目</w:t>
            </w:r>
            <w:r>
              <w:rPr>
                <w:rFonts w:hint="eastAsia" w:ascii="宋体" w:hAnsi="宋体"/>
                <w:color w:val="000000"/>
                <w:sz w:val="22"/>
                <w:szCs w:val="20"/>
                <w:highlight w:val="none"/>
              </w:rPr>
              <w:t xml:space="preserve">工作</w:t>
            </w:r>
            <w:r>
              <w:rPr>
                <w:rFonts w:hint="eastAsia" w:ascii="宋体" w:hAnsi="宋体"/>
                <w:color w:val="000000"/>
                <w:sz w:val="22"/>
                <w:szCs w:val="20"/>
                <w:highlight w:val="none"/>
                <w:lang w:eastAsia="zh-CN"/>
              </w:rPr>
              <w:t xml:space="preserve">实施及</w:t>
            </w:r>
            <w:r>
              <w:rPr>
                <w:rFonts w:hint="eastAsia" w:ascii="宋体" w:hAnsi="宋体"/>
                <w:color w:val="000000"/>
                <w:sz w:val="22"/>
                <w:szCs w:val="20"/>
                <w:highlight w:val="none"/>
              </w:rPr>
              <w:t xml:space="preserve">技术路线</w:t>
            </w:r>
            <w:r>
              <w:rPr>
                <w:rFonts w:hint="eastAsia" w:ascii="宋体" w:hAnsi="宋体" w:eastAsia="宋体" w:cs="宋体"/>
                <w:color w:val="000000"/>
                <w:szCs w:val="21"/>
                <w:highlight w:val="none"/>
              </w:rPr>
              <w:t xml:space="preserve">；②响应时间及方式；③成果形式；④服务期间人员安排及保障措施</w:t>
            </w:r>
            <w:r>
              <w:rPr>
                <w:rFonts w:hint="eastAsia" w:ascii="宋体" w:hAnsi="宋体" w:eastAsia="宋体" w:cs="宋体"/>
                <w:color w:val="000000"/>
                <w:szCs w:val="21"/>
                <w:highlight w:val="none"/>
                <w:lang w:eastAsia="zh-CN"/>
              </w:rPr>
              <w:t xml:space="preserve">等内容</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64"/>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提供的</w:t>
            </w:r>
            <w:r>
              <w:rPr>
                <w:rFonts w:hint="eastAsia" w:ascii="宋体" w:hAnsi="宋体"/>
                <w:color w:val="000000"/>
                <w:sz w:val="22"/>
                <w:szCs w:val="20"/>
                <w:highlight w:val="none"/>
                <w:lang w:eastAsia="zh-CN"/>
              </w:rPr>
              <w:t xml:space="preserve">实施方案</w:t>
            </w:r>
            <w:r>
              <w:rPr>
                <w:rFonts w:hint="eastAsia" w:ascii="宋体" w:hAnsi="宋体" w:eastAsia="宋体" w:cs="宋体"/>
                <w:color w:val="000000"/>
                <w:szCs w:val="21"/>
                <w:highlight w:val="none"/>
              </w:rPr>
              <w:t xml:space="preserve">各项内容全面，不漏项且有针对性解释说明：</w:t>
            </w:r>
            <w:r>
              <w:rPr>
                <w:rFonts w:hint="eastAsia" w:ascii="宋体" w:hAnsi="宋体" w:cs="宋体"/>
                <w:color w:val="000000"/>
                <w:szCs w:val="21"/>
                <w:highlight w:val="none"/>
                <w:lang w:val="en-US" w:eastAsia="zh-CN"/>
              </w:rPr>
              <w:t xml:space="preserve">15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64"/>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提供的</w:t>
            </w:r>
            <w:r>
              <w:rPr>
                <w:rFonts w:hint="eastAsia" w:ascii="宋体" w:hAnsi="宋体"/>
                <w:color w:val="000000"/>
                <w:sz w:val="22"/>
                <w:szCs w:val="20"/>
                <w:highlight w:val="none"/>
                <w:lang w:eastAsia="zh-CN"/>
              </w:rPr>
              <w:t xml:space="preserve">实施方案</w:t>
            </w:r>
            <w:r>
              <w:rPr>
                <w:rFonts w:hint="eastAsia" w:ascii="宋体" w:hAnsi="宋体" w:eastAsia="宋体" w:cs="宋体"/>
                <w:color w:val="000000"/>
                <w:szCs w:val="21"/>
                <w:highlight w:val="none"/>
              </w:rPr>
              <w:t xml:space="preserve">各项内容较全面，漏缺1项，有针对性解释说明：</w:t>
            </w:r>
            <w:r>
              <w:rPr>
                <w:rFonts w:hint="eastAsia" w:ascii="宋体" w:hAnsi="宋体" w:cs="宋体"/>
                <w:color w:val="000000"/>
                <w:szCs w:val="21"/>
                <w:highlight w:val="none"/>
                <w:lang w:val="en-US" w:eastAsia="zh-CN"/>
              </w:rPr>
              <w:t xml:space="preserve">11</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64"/>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提供的</w:t>
            </w:r>
            <w:r>
              <w:rPr>
                <w:rFonts w:hint="eastAsia" w:ascii="宋体" w:hAnsi="宋体"/>
                <w:color w:val="000000"/>
                <w:sz w:val="22"/>
                <w:szCs w:val="20"/>
                <w:highlight w:val="none"/>
                <w:lang w:eastAsia="zh-CN"/>
              </w:rPr>
              <w:t xml:space="preserve">实施方案</w:t>
            </w:r>
            <w:r>
              <w:rPr>
                <w:rFonts w:hint="eastAsia" w:ascii="宋体" w:hAnsi="宋体" w:eastAsia="宋体" w:cs="宋体"/>
                <w:color w:val="000000"/>
                <w:szCs w:val="21"/>
                <w:highlight w:val="none"/>
              </w:rPr>
              <w:t xml:space="preserve">各项内容基本全面，漏缺2项</w:t>
            </w:r>
            <w:r>
              <w:rPr>
                <w:rFonts w:hint="eastAsia" w:ascii="宋体" w:hAnsi="宋体" w:eastAsia="宋体" w:cs="宋体"/>
                <w:color w:val="000000"/>
                <w:szCs w:val="21"/>
                <w:highlight w:val="none"/>
                <w:lang w:eastAsia="zh-CN"/>
              </w:rPr>
              <w:t xml:space="preserve">或</w:t>
            </w:r>
            <w:r>
              <w:rPr>
                <w:rFonts w:hint="eastAsia" w:ascii="宋体" w:hAnsi="宋体" w:eastAsia="宋体" w:cs="宋体"/>
                <w:color w:val="000000"/>
                <w:szCs w:val="21"/>
                <w:highlight w:val="none"/>
                <w:lang w:val="en-US" w:eastAsia="zh-CN"/>
              </w:rPr>
              <w:t xml:space="preserve">3项</w:t>
            </w:r>
            <w:r>
              <w:rPr>
                <w:rFonts w:hint="eastAsia" w:ascii="宋体" w:hAnsi="宋体" w:eastAsia="宋体" w:cs="宋体"/>
                <w:color w:val="000000"/>
                <w:szCs w:val="21"/>
                <w:highlight w:val="none"/>
              </w:rPr>
              <w:t xml:space="preserve">，有针对性解释说明：</w:t>
            </w: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64"/>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提供的</w:t>
            </w:r>
            <w:r>
              <w:rPr>
                <w:rFonts w:hint="eastAsia" w:ascii="宋体" w:hAnsi="宋体"/>
                <w:color w:val="000000"/>
                <w:sz w:val="22"/>
                <w:szCs w:val="20"/>
                <w:highlight w:val="none"/>
                <w:lang w:eastAsia="zh-CN"/>
              </w:rPr>
              <w:t xml:space="preserve">实施方案</w:t>
            </w:r>
            <w:r>
              <w:rPr>
                <w:rFonts w:hint="eastAsia" w:ascii="宋体" w:hAnsi="宋体" w:eastAsia="宋体" w:cs="宋体"/>
                <w:color w:val="000000"/>
                <w:szCs w:val="21"/>
                <w:highlight w:val="none"/>
              </w:rPr>
              <w:t xml:space="preserve">各项内容不全面，针对</w:t>
            </w:r>
            <w:r>
              <w:rPr>
                <w:rFonts w:hint="eastAsia" w:ascii="宋体" w:hAnsi="宋体"/>
                <w:color w:val="000000"/>
                <w:sz w:val="22"/>
                <w:szCs w:val="20"/>
                <w:highlight w:val="none"/>
                <w:lang w:eastAsia="zh-CN"/>
              </w:rPr>
              <w:t xml:space="preserve">实施方案</w:t>
            </w:r>
            <w:r>
              <w:rPr>
                <w:rFonts w:hint="eastAsia" w:ascii="宋体" w:hAnsi="宋体" w:eastAsia="宋体" w:cs="宋体"/>
                <w:color w:val="000000"/>
                <w:szCs w:val="21"/>
                <w:highlight w:val="none"/>
              </w:rPr>
              <w:t xml:space="preserve">各项内容没有解释说明：0分。</w:t>
            </w:r>
            <w:r>
              <w:rPr>
                <w:rFonts w:hint="eastAsia" w:ascii="宋体" w:hAnsi="宋体" w:eastAsia="宋体" w:cs="宋体"/>
                <w:color w:val="000000"/>
                <w:szCs w:val="21"/>
                <w:highlight w:val="none"/>
              </w:rPr>
            </w:r>
            <w:r/>
          </w:p>
        </w:tc>
      </w:tr>
      <w:tr>
        <w:trPr/>
        <w:tc>
          <w:tcPr>
            <w:tcW w:w="533" w:type="dxa"/>
            <w:vAlign w:val="center"/>
            <w:textDirection w:val="lrTb"/>
            <w:noWrap w:val="false"/>
          </w:tcPr>
          <w:p>
            <w:pPr>
              <w:pStyle w:val="1064"/>
              <w:jc w:val="center"/>
              <w:spacing w:line="400" w:lineRule="exact"/>
              <w:rPr>
                <w:rFonts w:hint="eastAsia" w:ascii="宋体" w:hAnsi="宋体" w:cs="宋体"/>
                <w:color w:val="000000"/>
                <w:sz w:val="22"/>
                <w:szCs w:val="20"/>
                <w:highlight w:val="none"/>
              </w:rPr>
            </w:pPr>
            <w:r>
              <w:rPr>
                <w:rFonts w:ascii="宋体" w:hAnsi="宋体"/>
                <w:color w:val="000000"/>
                <w:sz w:val="22"/>
                <w:szCs w:val="20"/>
                <w:highlight w:val="none"/>
              </w:rPr>
              <w:t xml:space="preserve">3</w:t>
            </w:r>
            <w:r>
              <w:rPr>
                <w:rFonts w:hint="eastAsia" w:ascii="宋体" w:hAnsi="宋体" w:cs="宋体"/>
                <w:color w:val="000000"/>
                <w:sz w:val="22"/>
                <w:szCs w:val="20"/>
                <w:highlight w:val="none"/>
              </w:rPr>
            </w:r>
            <w:r/>
          </w:p>
        </w:tc>
        <w:tc>
          <w:tcPr>
            <w:tcW w:w="1271" w:type="dxa"/>
            <w:vAlign w:val="center"/>
            <w:textDirection w:val="lrTb"/>
            <w:noWrap w:val="false"/>
          </w:tcPr>
          <w:p>
            <w:pPr>
              <w:pStyle w:val="1064"/>
              <w:jc w:val="center"/>
              <w:spacing w:line="400" w:lineRule="exact"/>
              <w:rPr>
                <w:rFonts w:hint="eastAsia" w:ascii="宋体" w:hAnsi="宋体" w:eastAsia="宋体" w:cs="宋体"/>
                <w:bCs/>
                <w:color w:val="000000"/>
                <w:sz w:val="22"/>
                <w:szCs w:val="20"/>
                <w:highlight w:val="none"/>
                <w:lang w:eastAsia="zh-CN"/>
              </w:rPr>
            </w:pPr>
            <w:r>
              <w:rPr>
                <w:rFonts w:hint="eastAsia" w:ascii="宋体" w:hAnsi="宋体"/>
                <w:color w:val="000000"/>
                <w:sz w:val="22"/>
                <w:szCs w:val="20"/>
                <w:highlight w:val="none"/>
              </w:rPr>
              <w:t xml:space="preserve">重难点</w:t>
            </w:r>
            <w:r>
              <w:rPr>
                <w:rFonts w:hint="eastAsia" w:ascii="宋体" w:hAnsi="宋体"/>
                <w:color w:val="000000"/>
                <w:sz w:val="22"/>
                <w:szCs w:val="20"/>
                <w:highlight w:val="none"/>
                <w:lang w:eastAsia="zh-CN"/>
              </w:rPr>
              <w:t xml:space="preserve">方案</w:t>
            </w:r>
            <w:r>
              <w:rPr>
                <w:rFonts w:hint="eastAsia" w:ascii="宋体" w:hAnsi="宋体" w:eastAsia="宋体" w:cs="宋体"/>
                <w:bCs/>
                <w:color w:val="000000"/>
                <w:sz w:val="22"/>
                <w:szCs w:val="20"/>
                <w:highlight w:val="none"/>
                <w:lang w:eastAsia="zh-CN"/>
              </w:rPr>
            </w:r>
            <w:r/>
          </w:p>
        </w:tc>
        <w:tc>
          <w:tcPr>
            <w:tcW w:w="693" w:type="dxa"/>
            <w:vAlign w:val="center"/>
            <w:textDirection w:val="lrTb"/>
            <w:noWrap w:val="false"/>
          </w:tcPr>
          <w:p>
            <w:pPr>
              <w:pStyle w:val="1064"/>
              <w:jc w:val="center"/>
              <w:spacing w:line="400" w:lineRule="exact"/>
              <w:rPr>
                <w:rFonts w:hint="eastAsia" w:ascii="宋体" w:hAnsi="宋体" w:cs="宋体"/>
                <w:color w:val="000000"/>
                <w:sz w:val="22"/>
                <w:szCs w:val="20"/>
                <w:highlight w:val="none"/>
              </w:rPr>
            </w:pPr>
            <w:r>
              <w:rPr>
                <w:rFonts w:ascii="宋体" w:hAnsi="宋体"/>
                <w:color w:val="000000"/>
                <w:sz w:val="22"/>
                <w:szCs w:val="20"/>
                <w:highlight w:val="none"/>
              </w:rPr>
              <w:t xml:space="preserve">8</w:t>
            </w:r>
            <w:r>
              <w:rPr>
                <w:rFonts w:hint="eastAsia" w:ascii="宋体" w:hAnsi="宋体"/>
                <w:color w:val="000000"/>
                <w:sz w:val="22"/>
                <w:szCs w:val="20"/>
                <w:highlight w:val="none"/>
              </w:rPr>
              <w:t xml:space="preserve">分</w:t>
            </w:r>
            <w:r>
              <w:rPr>
                <w:rFonts w:hint="eastAsia" w:ascii="宋体" w:hAnsi="宋体" w:cs="宋体"/>
                <w:color w:val="000000"/>
                <w:sz w:val="22"/>
                <w:szCs w:val="20"/>
                <w:highlight w:val="none"/>
              </w:rPr>
            </w:r>
            <w:r/>
          </w:p>
        </w:tc>
        <w:tc>
          <w:tcPr>
            <w:tcW w:w="8092" w:type="dxa"/>
            <w:vAlign w:val="center"/>
            <w:textDirection w:val="lrTb"/>
            <w:noWrap w:val="false"/>
          </w:tcPr>
          <w:p>
            <w:pPr>
              <w:pStyle w:val="1064"/>
              <w:spacing w:line="440" w:lineRule="exact"/>
              <w:rPr>
                <w:rFonts w:hint="eastAsia" w:ascii="宋体" w:hAnsi="宋体" w:eastAsia="宋体" w:cs="宋体"/>
                <w:color w:val="000000"/>
                <w:szCs w:val="21"/>
                <w:highlight w:val="none"/>
              </w:rPr>
            </w:pPr>
            <w:r>
              <w:rPr>
                <w:rFonts w:hint="eastAsia" w:ascii="宋体" w:hAnsi="宋体"/>
                <w:color w:val="000000"/>
                <w:sz w:val="21"/>
                <w:szCs w:val="21"/>
                <w:highlight w:val="none"/>
              </w:rPr>
              <w:t xml:space="preserve">包括</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但不限于</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w:t>
            </w:r>
            <w:r>
              <w:rPr>
                <w:rFonts w:hint="eastAsia" w:ascii="宋体" w:hAnsi="宋体" w:eastAsia="宋体" w:cs="宋体"/>
                <w:color w:val="000000"/>
                <w:szCs w:val="21"/>
                <w:highlight w:val="none"/>
              </w:rPr>
              <w:t xml:space="preserve">①项目现状、重点及难点的分析；②应对本项目现状及重点难点的解决措施</w:t>
            </w:r>
            <w:r>
              <w:rPr>
                <w:rFonts w:hint="eastAsia" w:ascii="宋体" w:hAnsi="宋体" w:eastAsia="宋体" w:cs="宋体"/>
                <w:color w:val="000000"/>
                <w:szCs w:val="21"/>
                <w:highlight w:val="none"/>
                <w:lang w:eastAsia="zh-CN"/>
              </w:rPr>
              <w:t xml:space="preserve">等内容</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64"/>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提供的重难点</w:t>
            </w:r>
            <w:r>
              <w:rPr>
                <w:rFonts w:hint="eastAsia" w:ascii="宋体" w:hAnsi="宋体" w:eastAsia="宋体" w:cs="宋体"/>
                <w:color w:val="000000"/>
                <w:szCs w:val="21"/>
                <w:highlight w:val="none"/>
                <w:lang w:eastAsia="zh-CN"/>
              </w:rPr>
              <w:t xml:space="preserve">方案</w:t>
            </w:r>
            <w:r>
              <w:rPr>
                <w:rFonts w:hint="eastAsia" w:ascii="宋体" w:hAnsi="宋体" w:eastAsia="宋体" w:cs="宋体"/>
                <w:color w:val="000000"/>
                <w:szCs w:val="21"/>
                <w:highlight w:val="none"/>
              </w:rPr>
              <w:t xml:space="preserve">题各项内容全面，不漏项且有针对性解释说明：8分；</w:t>
            </w:r>
            <w:r>
              <w:rPr>
                <w:rFonts w:hint="eastAsia" w:ascii="宋体" w:hAnsi="宋体" w:eastAsia="宋体" w:cs="宋体"/>
                <w:color w:val="000000"/>
                <w:szCs w:val="21"/>
                <w:highlight w:val="none"/>
              </w:rPr>
            </w:r>
            <w:r/>
          </w:p>
          <w:p>
            <w:pPr>
              <w:pStyle w:val="1064"/>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提供的重难点</w:t>
            </w:r>
            <w:r>
              <w:rPr>
                <w:rFonts w:hint="eastAsia" w:ascii="宋体" w:hAnsi="宋体" w:eastAsia="宋体" w:cs="宋体"/>
                <w:color w:val="000000"/>
                <w:szCs w:val="21"/>
                <w:highlight w:val="none"/>
                <w:lang w:eastAsia="zh-CN"/>
              </w:rPr>
              <w:t xml:space="preserve">方案</w:t>
            </w:r>
            <w:r>
              <w:rPr>
                <w:rFonts w:hint="eastAsia" w:ascii="宋体" w:hAnsi="宋体" w:eastAsia="宋体" w:cs="宋体"/>
                <w:color w:val="000000"/>
                <w:szCs w:val="21"/>
                <w:highlight w:val="none"/>
              </w:rPr>
              <w:t xml:space="preserve">各项内容较全面，漏缺1项，有针对性解释说明：4分；</w:t>
            </w:r>
            <w:r>
              <w:rPr>
                <w:rFonts w:hint="eastAsia" w:ascii="宋体" w:hAnsi="宋体" w:eastAsia="宋体" w:cs="宋体"/>
                <w:color w:val="000000"/>
                <w:szCs w:val="21"/>
                <w:highlight w:val="none"/>
              </w:rPr>
            </w:r>
            <w:r/>
          </w:p>
          <w:p>
            <w:pPr>
              <w:pStyle w:val="1064"/>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提供的重难点</w:t>
            </w:r>
            <w:r>
              <w:rPr>
                <w:rFonts w:hint="eastAsia" w:ascii="宋体" w:hAnsi="宋体" w:eastAsia="宋体" w:cs="宋体"/>
                <w:color w:val="000000"/>
                <w:szCs w:val="21"/>
                <w:highlight w:val="none"/>
                <w:lang w:eastAsia="zh-CN"/>
              </w:rPr>
              <w:t xml:space="preserve">方案</w:t>
            </w:r>
            <w:r>
              <w:rPr>
                <w:rFonts w:hint="eastAsia" w:ascii="宋体" w:hAnsi="宋体" w:eastAsia="宋体" w:cs="宋体"/>
                <w:color w:val="000000"/>
                <w:szCs w:val="21"/>
                <w:highlight w:val="none"/>
              </w:rPr>
              <w:t xml:space="preserve">各项内容不全面，针对重难点</w:t>
            </w:r>
            <w:r>
              <w:rPr>
                <w:rFonts w:hint="eastAsia" w:ascii="宋体" w:hAnsi="宋体" w:eastAsia="宋体" w:cs="宋体"/>
                <w:color w:val="000000"/>
                <w:szCs w:val="21"/>
                <w:highlight w:val="none"/>
                <w:lang w:eastAsia="zh-CN"/>
              </w:rPr>
              <w:t xml:space="preserve">方案</w:t>
            </w:r>
            <w:r>
              <w:rPr>
                <w:rFonts w:hint="eastAsia" w:ascii="宋体" w:hAnsi="宋体" w:eastAsia="宋体" w:cs="宋体"/>
                <w:color w:val="000000"/>
                <w:szCs w:val="21"/>
                <w:highlight w:val="none"/>
              </w:rPr>
              <w:t xml:space="preserve">各项内容没有解释说明：0分。</w:t>
            </w:r>
            <w:r>
              <w:rPr>
                <w:rFonts w:hint="eastAsia" w:ascii="宋体" w:hAnsi="宋体" w:eastAsia="宋体" w:cs="宋体"/>
                <w:color w:val="000000"/>
                <w:szCs w:val="21"/>
                <w:highlight w:val="none"/>
              </w:rPr>
            </w:r>
            <w:r/>
          </w:p>
        </w:tc>
      </w:tr>
      <w:tr>
        <w:trPr/>
        <w:tc>
          <w:tcPr>
            <w:tcW w:w="533" w:type="dxa"/>
            <w:vAlign w:val="center"/>
            <w:textDirection w:val="lrTb"/>
            <w:noWrap w:val="false"/>
          </w:tcPr>
          <w:p>
            <w:pPr>
              <w:pStyle w:val="1064"/>
              <w:jc w:val="center"/>
              <w:spacing w:line="400" w:lineRule="exact"/>
              <w:rPr>
                <w:rFonts w:hint="eastAsia" w:ascii="宋体" w:hAnsi="宋体"/>
                <w:bCs/>
                <w:color w:val="000000"/>
                <w:sz w:val="22"/>
                <w:szCs w:val="20"/>
                <w:highlight w:val="none"/>
              </w:rPr>
            </w:pPr>
            <w:r>
              <w:rPr>
                <w:rFonts w:ascii="宋体" w:hAnsi="宋体"/>
                <w:color w:val="000000"/>
                <w:sz w:val="22"/>
                <w:szCs w:val="20"/>
                <w:highlight w:val="none"/>
              </w:rPr>
              <w:t xml:space="preserve">4</w:t>
            </w:r>
            <w:r>
              <w:rPr>
                <w:rFonts w:hint="eastAsia" w:ascii="宋体" w:hAnsi="宋体"/>
                <w:bCs/>
                <w:color w:val="000000"/>
                <w:sz w:val="22"/>
                <w:szCs w:val="20"/>
                <w:highlight w:val="none"/>
              </w:rPr>
            </w:r>
            <w:r/>
          </w:p>
        </w:tc>
        <w:tc>
          <w:tcPr>
            <w:tcW w:w="1271" w:type="dxa"/>
            <w:vAlign w:val="center"/>
            <w:textDirection w:val="lrTb"/>
            <w:noWrap w:val="false"/>
          </w:tcPr>
          <w:p>
            <w:pPr>
              <w:pStyle w:val="1064"/>
              <w:jc w:val="center"/>
              <w:spacing w:line="400" w:lineRule="exact"/>
              <w:rPr>
                <w:rFonts w:hint="eastAsia" w:ascii="宋体" w:hAnsi="宋体" w:eastAsia="宋体"/>
                <w:bCs/>
                <w:color w:val="000000"/>
                <w:sz w:val="22"/>
                <w:szCs w:val="20"/>
                <w:highlight w:val="none"/>
                <w:lang w:eastAsia="zh-CN"/>
              </w:rPr>
            </w:pPr>
            <w:r>
              <w:rPr>
                <w:rFonts w:hint="eastAsia" w:ascii="宋体" w:hAnsi="宋体"/>
                <w:color w:val="000000"/>
                <w:sz w:val="22"/>
                <w:szCs w:val="20"/>
                <w:highlight w:val="none"/>
                <w:lang w:eastAsia="zh-CN"/>
              </w:rPr>
              <w:t xml:space="preserve">进度保障方案</w:t>
            </w:r>
            <w:r>
              <w:rPr>
                <w:rFonts w:hint="eastAsia" w:ascii="宋体" w:hAnsi="宋体" w:eastAsia="宋体"/>
                <w:bCs/>
                <w:color w:val="000000"/>
                <w:sz w:val="22"/>
                <w:szCs w:val="20"/>
                <w:highlight w:val="none"/>
                <w:lang w:eastAsia="zh-CN"/>
              </w:rPr>
            </w:r>
            <w:r/>
          </w:p>
        </w:tc>
        <w:tc>
          <w:tcPr>
            <w:tcW w:w="693" w:type="dxa"/>
            <w:vAlign w:val="center"/>
            <w:textDirection w:val="lrTb"/>
            <w:noWrap w:val="false"/>
          </w:tcPr>
          <w:p>
            <w:pPr>
              <w:pStyle w:val="1064"/>
              <w:jc w:val="center"/>
              <w:spacing w:line="400" w:lineRule="exact"/>
              <w:rPr>
                <w:rFonts w:hint="eastAsia" w:ascii="宋体" w:hAnsi="宋体"/>
                <w:bCs/>
                <w:color w:val="000000"/>
                <w:sz w:val="22"/>
                <w:szCs w:val="20"/>
                <w:highlight w:val="none"/>
              </w:rPr>
            </w:pPr>
            <w:r>
              <w:rPr>
                <w:rFonts w:hint="eastAsia" w:ascii="宋体" w:hAnsi="宋体"/>
                <w:color w:val="000000"/>
                <w:sz w:val="22"/>
                <w:szCs w:val="20"/>
                <w:highlight w:val="none"/>
                <w:lang w:val="en-US" w:eastAsia="zh-CN"/>
              </w:rPr>
              <w:t xml:space="preserve">8</w:t>
            </w:r>
            <w:r>
              <w:rPr>
                <w:rFonts w:hint="eastAsia" w:ascii="宋体" w:hAnsi="宋体"/>
                <w:color w:val="000000"/>
                <w:sz w:val="22"/>
                <w:szCs w:val="20"/>
                <w:highlight w:val="none"/>
              </w:rPr>
              <w:t xml:space="preserve">分</w:t>
            </w:r>
            <w:r>
              <w:rPr>
                <w:rFonts w:hint="eastAsia" w:ascii="宋体" w:hAnsi="宋体"/>
                <w:bCs/>
                <w:color w:val="000000"/>
                <w:sz w:val="22"/>
                <w:szCs w:val="20"/>
                <w:highlight w:val="none"/>
              </w:rPr>
            </w:r>
            <w:r/>
          </w:p>
        </w:tc>
        <w:tc>
          <w:tcPr>
            <w:tcW w:w="8092" w:type="dxa"/>
            <w:vAlign w:val="center"/>
            <w:textDirection w:val="lrTb"/>
            <w:noWrap w:val="false"/>
          </w:tcPr>
          <w:p>
            <w:pPr>
              <w:pStyle w:val="1064"/>
              <w:spacing w:line="440" w:lineRule="exact"/>
              <w:rPr>
                <w:rFonts w:hint="eastAsia" w:ascii="宋体" w:hAnsi="宋体" w:eastAsia="宋体" w:cs="宋体"/>
                <w:color w:val="000000"/>
                <w:szCs w:val="21"/>
                <w:highlight w:val="none"/>
              </w:rPr>
            </w:pPr>
            <w:r>
              <w:rPr>
                <w:rFonts w:hint="eastAsia" w:ascii="宋体" w:hAnsi="宋体"/>
                <w:color w:val="000000"/>
                <w:sz w:val="21"/>
                <w:szCs w:val="21"/>
                <w:highlight w:val="none"/>
              </w:rPr>
              <w:t xml:space="preserve">包括</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但不限于</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w:t>
            </w:r>
            <w:r>
              <w:rPr>
                <w:rFonts w:hint="eastAsia" w:ascii="宋体" w:hAnsi="宋体" w:eastAsia="宋体" w:cs="宋体"/>
                <w:color w:val="000000"/>
                <w:szCs w:val="21"/>
                <w:highlight w:val="none"/>
              </w:rPr>
              <w:t xml:space="preserve">①工作进度计划；②工作组织安排</w:t>
            </w:r>
            <w:r>
              <w:rPr>
                <w:rFonts w:hint="eastAsia" w:ascii="宋体" w:hAnsi="宋体"/>
                <w:color w:val="000000"/>
                <w:sz w:val="21"/>
                <w:szCs w:val="21"/>
                <w:highlight w:val="none"/>
                <w:lang w:eastAsia="zh-CN"/>
              </w:rPr>
              <w:t xml:space="preserve">等内容</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64"/>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提供的</w:t>
            </w:r>
            <w:r>
              <w:rPr>
                <w:rFonts w:hint="eastAsia" w:ascii="宋体" w:hAnsi="宋体"/>
                <w:color w:val="000000"/>
                <w:sz w:val="22"/>
                <w:szCs w:val="20"/>
                <w:highlight w:val="none"/>
                <w:lang w:eastAsia="zh-CN"/>
              </w:rPr>
              <w:t xml:space="preserve">进度保障方案</w:t>
            </w:r>
            <w:r>
              <w:rPr>
                <w:rFonts w:hint="eastAsia" w:ascii="宋体" w:hAnsi="宋体" w:eastAsia="宋体" w:cs="宋体"/>
                <w:color w:val="000000"/>
                <w:szCs w:val="21"/>
                <w:highlight w:val="none"/>
              </w:rPr>
              <w:t xml:space="preserve">各项内容全面，不漏项且有针对性解释说明：</w:t>
            </w: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64"/>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提供的</w:t>
            </w:r>
            <w:r>
              <w:rPr>
                <w:rFonts w:hint="eastAsia" w:ascii="宋体" w:hAnsi="宋体"/>
                <w:color w:val="000000"/>
                <w:sz w:val="22"/>
                <w:szCs w:val="20"/>
                <w:highlight w:val="none"/>
                <w:lang w:eastAsia="zh-CN"/>
              </w:rPr>
              <w:t xml:space="preserve">进度保障方案</w:t>
            </w:r>
            <w:r>
              <w:rPr>
                <w:rFonts w:hint="eastAsia" w:ascii="宋体" w:hAnsi="宋体" w:eastAsia="宋体" w:cs="宋体"/>
                <w:color w:val="000000"/>
                <w:szCs w:val="21"/>
                <w:highlight w:val="none"/>
              </w:rPr>
              <w:t xml:space="preserve">各项内容较全面，漏缺1项，有针对性解释说明：</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64"/>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提供的</w:t>
            </w:r>
            <w:r>
              <w:rPr>
                <w:rFonts w:hint="eastAsia" w:ascii="宋体" w:hAnsi="宋体"/>
                <w:color w:val="000000"/>
                <w:sz w:val="22"/>
                <w:szCs w:val="20"/>
                <w:highlight w:val="none"/>
                <w:lang w:eastAsia="zh-CN"/>
              </w:rPr>
              <w:t xml:space="preserve">进度保障方案</w:t>
            </w:r>
            <w:r>
              <w:rPr>
                <w:rFonts w:hint="eastAsia" w:ascii="宋体" w:hAnsi="宋体" w:eastAsia="宋体" w:cs="宋体"/>
                <w:color w:val="000000"/>
                <w:szCs w:val="21"/>
                <w:highlight w:val="none"/>
              </w:rPr>
              <w:t xml:space="preserve">各项内容不全面，针对</w:t>
            </w:r>
            <w:r>
              <w:rPr>
                <w:rFonts w:hint="eastAsia" w:ascii="宋体" w:hAnsi="宋体"/>
                <w:color w:val="000000"/>
                <w:sz w:val="22"/>
                <w:szCs w:val="20"/>
                <w:highlight w:val="none"/>
                <w:lang w:eastAsia="zh-CN"/>
              </w:rPr>
              <w:t xml:space="preserve">进度保障方案</w:t>
            </w:r>
            <w:r>
              <w:rPr>
                <w:rFonts w:hint="eastAsia" w:ascii="宋体" w:hAnsi="宋体" w:eastAsia="宋体" w:cs="宋体"/>
                <w:color w:val="000000"/>
                <w:szCs w:val="21"/>
                <w:highlight w:val="none"/>
              </w:rPr>
              <w:t xml:space="preserve">各项内容没有解释说明：0分。</w:t>
            </w:r>
            <w:r>
              <w:rPr>
                <w:rFonts w:hint="eastAsia" w:ascii="宋体" w:hAnsi="宋体" w:eastAsia="宋体" w:cs="宋体"/>
                <w:color w:val="000000"/>
                <w:szCs w:val="21"/>
                <w:highlight w:val="none"/>
              </w:rPr>
            </w:r>
            <w:r/>
          </w:p>
        </w:tc>
      </w:tr>
      <w:tr>
        <w:trPr/>
        <w:tc>
          <w:tcPr>
            <w:tcW w:w="533" w:type="dxa"/>
            <w:vAlign w:val="center"/>
            <w:textDirection w:val="lrTb"/>
            <w:noWrap w:val="false"/>
          </w:tcPr>
          <w:p>
            <w:pPr>
              <w:pStyle w:val="1064"/>
              <w:jc w:val="center"/>
              <w:spacing w:line="400" w:lineRule="exact"/>
              <w:rPr>
                <w:rFonts w:hint="eastAsia" w:ascii="宋体" w:hAnsi="宋体"/>
                <w:bCs/>
                <w:color w:val="000000"/>
                <w:sz w:val="22"/>
                <w:szCs w:val="20"/>
                <w:highlight w:val="none"/>
              </w:rPr>
            </w:pPr>
            <w:r>
              <w:rPr>
                <w:rFonts w:ascii="宋体" w:hAnsi="宋体"/>
                <w:color w:val="000000"/>
                <w:sz w:val="22"/>
                <w:szCs w:val="20"/>
                <w:highlight w:val="none"/>
              </w:rPr>
              <w:t xml:space="preserve">5</w:t>
            </w:r>
            <w:r>
              <w:rPr>
                <w:rFonts w:hint="eastAsia" w:ascii="宋体" w:hAnsi="宋体"/>
                <w:bCs/>
                <w:color w:val="000000"/>
                <w:sz w:val="22"/>
                <w:szCs w:val="20"/>
                <w:highlight w:val="none"/>
              </w:rPr>
            </w:r>
            <w:r/>
          </w:p>
        </w:tc>
        <w:tc>
          <w:tcPr>
            <w:tcW w:w="1271" w:type="dxa"/>
            <w:vAlign w:val="center"/>
            <w:textDirection w:val="lrTb"/>
            <w:noWrap w:val="false"/>
          </w:tcPr>
          <w:p>
            <w:pPr>
              <w:pStyle w:val="1064"/>
              <w:jc w:val="center"/>
              <w:spacing w:line="400" w:lineRule="exact"/>
              <w:rPr>
                <w:rFonts w:hint="eastAsia" w:ascii="宋体" w:hAnsi="宋体" w:eastAsia="宋体"/>
                <w:bCs/>
                <w:color w:val="000000"/>
                <w:sz w:val="22"/>
                <w:szCs w:val="20"/>
                <w:highlight w:val="none"/>
                <w:lang w:eastAsia="zh-CN"/>
              </w:rPr>
            </w:pPr>
            <w:r>
              <w:rPr>
                <w:rFonts w:hint="eastAsia" w:ascii="宋体" w:hAnsi="宋体"/>
                <w:color w:val="000000"/>
                <w:sz w:val="22"/>
                <w:szCs w:val="20"/>
                <w:highlight w:val="none"/>
              </w:rPr>
              <w:t xml:space="preserve">质量管理</w:t>
            </w:r>
            <w:r>
              <w:rPr>
                <w:rFonts w:hint="eastAsia" w:ascii="宋体" w:hAnsi="宋体"/>
                <w:color w:val="000000"/>
                <w:sz w:val="22"/>
                <w:szCs w:val="20"/>
                <w:highlight w:val="none"/>
                <w:lang w:eastAsia="zh-CN"/>
              </w:rPr>
              <w:t xml:space="preserve">方案</w:t>
            </w:r>
            <w:r>
              <w:rPr>
                <w:rFonts w:hint="eastAsia" w:ascii="宋体" w:hAnsi="宋体" w:eastAsia="宋体"/>
                <w:bCs/>
                <w:color w:val="000000"/>
                <w:sz w:val="22"/>
                <w:szCs w:val="20"/>
                <w:highlight w:val="none"/>
                <w:lang w:eastAsia="zh-CN"/>
              </w:rPr>
            </w:r>
            <w:r/>
          </w:p>
        </w:tc>
        <w:tc>
          <w:tcPr>
            <w:tcW w:w="693" w:type="dxa"/>
            <w:vAlign w:val="center"/>
            <w:textDirection w:val="lrTb"/>
            <w:noWrap w:val="false"/>
          </w:tcPr>
          <w:p>
            <w:pPr>
              <w:pStyle w:val="1064"/>
              <w:jc w:val="center"/>
              <w:spacing w:line="400" w:lineRule="exact"/>
              <w:rPr>
                <w:rFonts w:hint="eastAsia" w:ascii="宋体" w:hAnsi="宋体"/>
                <w:bCs/>
                <w:color w:val="000000"/>
                <w:sz w:val="22"/>
                <w:szCs w:val="20"/>
                <w:highlight w:val="none"/>
              </w:rPr>
            </w:pPr>
            <w:r>
              <w:rPr>
                <w:rFonts w:hint="eastAsia" w:ascii="宋体" w:hAnsi="宋体"/>
                <w:color w:val="000000"/>
                <w:sz w:val="22"/>
                <w:szCs w:val="20"/>
                <w:highlight w:val="none"/>
                <w:lang w:val="en-US" w:eastAsia="zh-CN"/>
              </w:rPr>
              <w:t xml:space="preserve"> 8</w:t>
            </w:r>
            <w:r>
              <w:rPr>
                <w:rFonts w:hint="eastAsia" w:ascii="宋体" w:hAnsi="宋体"/>
                <w:color w:val="000000"/>
                <w:sz w:val="22"/>
                <w:szCs w:val="20"/>
                <w:highlight w:val="none"/>
              </w:rPr>
              <w:t xml:space="preserve">分</w:t>
            </w:r>
            <w:r>
              <w:rPr>
                <w:rFonts w:hint="eastAsia" w:ascii="宋体" w:hAnsi="宋体"/>
                <w:bCs/>
                <w:color w:val="000000"/>
                <w:sz w:val="22"/>
                <w:szCs w:val="20"/>
                <w:highlight w:val="none"/>
              </w:rPr>
            </w:r>
            <w:r/>
          </w:p>
        </w:tc>
        <w:tc>
          <w:tcPr>
            <w:tcW w:w="8092" w:type="dxa"/>
            <w:vAlign w:val="top"/>
            <w:textDirection w:val="lrTb"/>
            <w:noWrap w:val="false"/>
          </w:tcPr>
          <w:p>
            <w:pPr>
              <w:pStyle w:val="1064"/>
              <w:spacing w:line="440" w:lineRule="exact"/>
              <w:rPr>
                <w:rFonts w:hint="eastAsia" w:ascii="宋体" w:hAnsi="宋体" w:eastAsia="宋体" w:cs="宋体"/>
                <w:color w:val="000000"/>
                <w:szCs w:val="21"/>
                <w:highlight w:val="none"/>
              </w:rPr>
            </w:pPr>
            <w:r>
              <w:rPr>
                <w:rFonts w:hint="eastAsia" w:ascii="宋体" w:hAnsi="宋体"/>
                <w:color w:val="000000"/>
                <w:sz w:val="21"/>
                <w:szCs w:val="21"/>
                <w:highlight w:val="none"/>
              </w:rPr>
              <w:t xml:space="preserve">包括</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但不限于</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w:t>
            </w:r>
            <w:r>
              <w:rPr>
                <w:rFonts w:hint="eastAsia" w:ascii="宋体" w:hAnsi="宋体" w:eastAsia="宋体" w:cs="宋体"/>
                <w:color w:val="000000"/>
                <w:szCs w:val="21"/>
                <w:highlight w:val="none"/>
              </w:rPr>
              <w:t xml:space="preserve">①质量管理</w:t>
            </w:r>
            <w:r>
              <w:rPr>
                <w:rFonts w:hint="eastAsia" w:ascii="宋体" w:hAnsi="宋体" w:eastAsia="宋体" w:cs="宋体"/>
                <w:color w:val="000000"/>
                <w:szCs w:val="21"/>
                <w:highlight w:val="none"/>
                <w:lang w:eastAsia="zh-CN"/>
              </w:rPr>
              <w:t xml:space="preserve">机制</w:t>
            </w:r>
            <w:r>
              <w:rPr>
                <w:rFonts w:hint="eastAsia" w:ascii="宋体" w:hAnsi="宋体" w:eastAsia="宋体" w:cs="宋体"/>
                <w:color w:val="000000"/>
                <w:szCs w:val="21"/>
                <w:highlight w:val="none"/>
              </w:rPr>
              <w:t xml:space="preserve">；②质量保证</w:t>
            </w:r>
            <w:r>
              <w:rPr>
                <w:rFonts w:hint="eastAsia" w:ascii="宋体" w:hAnsi="宋体" w:eastAsia="宋体" w:cs="宋体"/>
                <w:color w:val="000000"/>
                <w:szCs w:val="21"/>
                <w:highlight w:val="none"/>
                <w:lang w:eastAsia="zh-CN"/>
              </w:rPr>
              <w:t xml:space="preserve">措施等内容</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64"/>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提供的</w:t>
            </w:r>
            <w:r>
              <w:rPr>
                <w:rFonts w:hint="eastAsia" w:ascii="宋体" w:hAnsi="宋体"/>
                <w:color w:val="000000"/>
                <w:sz w:val="22"/>
                <w:szCs w:val="20"/>
                <w:highlight w:val="none"/>
              </w:rPr>
              <w:t xml:space="preserve">质量管理</w:t>
            </w:r>
            <w:r>
              <w:rPr>
                <w:rFonts w:hint="eastAsia" w:ascii="宋体" w:hAnsi="宋体"/>
                <w:color w:val="000000"/>
                <w:sz w:val="22"/>
                <w:szCs w:val="20"/>
                <w:highlight w:val="none"/>
                <w:lang w:eastAsia="zh-CN"/>
              </w:rPr>
              <w:t xml:space="preserve">方案</w:t>
            </w:r>
            <w:r>
              <w:rPr>
                <w:rFonts w:hint="eastAsia" w:ascii="宋体" w:hAnsi="宋体" w:eastAsia="宋体" w:cs="宋体"/>
                <w:color w:val="000000"/>
                <w:szCs w:val="21"/>
                <w:highlight w:val="none"/>
              </w:rPr>
              <w:t xml:space="preserve">各项内容全面，不漏项且有针对性解释说明：</w:t>
            </w: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64"/>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提供的</w:t>
            </w:r>
            <w:r>
              <w:rPr>
                <w:rFonts w:hint="eastAsia" w:ascii="宋体" w:hAnsi="宋体"/>
                <w:color w:val="000000"/>
                <w:sz w:val="22"/>
                <w:szCs w:val="20"/>
                <w:highlight w:val="none"/>
              </w:rPr>
              <w:t xml:space="preserve">质量管理</w:t>
            </w:r>
            <w:r>
              <w:rPr>
                <w:rFonts w:hint="eastAsia" w:ascii="宋体" w:hAnsi="宋体"/>
                <w:color w:val="000000"/>
                <w:sz w:val="22"/>
                <w:szCs w:val="20"/>
                <w:highlight w:val="none"/>
                <w:lang w:eastAsia="zh-CN"/>
              </w:rPr>
              <w:t xml:space="preserve">方案</w:t>
            </w:r>
            <w:r>
              <w:rPr>
                <w:rFonts w:hint="eastAsia" w:ascii="宋体" w:hAnsi="宋体" w:eastAsia="宋体" w:cs="宋体"/>
                <w:color w:val="000000"/>
                <w:szCs w:val="21"/>
                <w:highlight w:val="none"/>
              </w:rPr>
              <w:t xml:space="preserve">各项内容较全面，漏缺1项，有针对性解释说明：</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64"/>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提供的</w:t>
            </w:r>
            <w:r>
              <w:rPr>
                <w:rFonts w:hint="eastAsia" w:ascii="宋体" w:hAnsi="宋体"/>
                <w:color w:val="000000"/>
                <w:sz w:val="22"/>
                <w:szCs w:val="20"/>
                <w:highlight w:val="none"/>
              </w:rPr>
              <w:t xml:space="preserve">质量管理</w:t>
            </w:r>
            <w:r>
              <w:rPr>
                <w:rFonts w:hint="eastAsia" w:ascii="宋体" w:hAnsi="宋体"/>
                <w:color w:val="000000"/>
                <w:sz w:val="22"/>
                <w:szCs w:val="20"/>
                <w:highlight w:val="none"/>
                <w:lang w:eastAsia="zh-CN"/>
              </w:rPr>
              <w:t xml:space="preserve">方案</w:t>
            </w:r>
            <w:r>
              <w:rPr>
                <w:rFonts w:hint="eastAsia" w:ascii="宋体" w:hAnsi="宋体" w:eastAsia="宋体" w:cs="宋体"/>
                <w:color w:val="000000"/>
                <w:szCs w:val="21"/>
                <w:highlight w:val="none"/>
              </w:rPr>
              <w:t xml:space="preserve">各项内容不全面，针对</w:t>
            </w:r>
            <w:r>
              <w:rPr>
                <w:rFonts w:hint="eastAsia" w:ascii="宋体" w:hAnsi="宋体"/>
                <w:color w:val="000000"/>
                <w:sz w:val="22"/>
                <w:szCs w:val="20"/>
                <w:highlight w:val="none"/>
              </w:rPr>
              <w:t xml:space="preserve">质量管理</w:t>
            </w:r>
            <w:r>
              <w:rPr>
                <w:rFonts w:hint="eastAsia" w:ascii="宋体" w:hAnsi="宋体"/>
                <w:color w:val="000000"/>
                <w:sz w:val="22"/>
                <w:szCs w:val="20"/>
                <w:highlight w:val="none"/>
                <w:lang w:eastAsia="zh-CN"/>
              </w:rPr>
              <w:t xml:space="preserve">方案</w:t>
            </w:r>
            <w:r>
              <w:rPr>
                <w:rFonts w:hint="eastAsia" w:ascii="宋体" w:hAnsi="宋体" w:eastAsia="宋体" w:cs="宋体"/>
                <w:color w:val="000000"/>
                <w:szCs w:val="21"/>
                <w:highlight w:val="none"/>
              </w:rPr>
              <w:t xml:space="preserve">各项内容没有解释说明：0分。</w:t>
            </w:r>
            <w:r>
              <w:rPr>
                <w:rFonts w:hint="eastAsia" w:ascii="宋体" w:hAnsi="宋体" w:eastAsia="宋体" w:cs="宋体"/>
                <w:color w:val="000000"/>
                <w:szCs w:val="21"/>
                <w:highlight w:val="none"/>
              </w:rPr>
            </w:r>
            <w:r/>
          </w:p>
        </w:tc>
      </w:tr>
      <w:tr>
        <w:trPr/>
        <w:tc>
          <w:tcPr>
            <w:tcW w:w="533" w:type="dxa"/>
            <w:vAlign w:val="center"/>
            <w:textDirection w:val="lrTb"/>
            <w:noWrap w:val="false"/>
          </w:tcPr>
          <w:p>
            <w:pPr>
              <w:pStyle w:val="1064"/>
              <w:jc w:val="center"/>
              <w:spacing w:line="400" w:lineRule="exact"/>
              <w:rPr>
                <w:rFonts w:hint="eastAsia" w:ascii="宋体" w:hAnsi="宋体"/>
                <w:color w:val="000000"/>
                <w:sz w:val="22"/>
                <w:szCs w:val="20"/>
                <w:highlight w:val="none"/>
              </w:rPr>
            </w:pPr>
            <w:r>
              <w:rPr>
                <w:rFonts w:hint="eastAsia" w:ascii="宋体" w:hAnsi="宋体"/>
                <w:color w:val="000000"/>
                <w:sz w:val="22"/>
                <w:szCs w:val="20"/>
                <w:highlight w:val="none"/>
              </w:rPr>
              <w:t xml:space="preserve">6</w:t>
            </w:r>
            <w:r>
              <w:rPr>
                <w:rFonts w:hint="eastAsia" w:ascii="宋体" w:hAnsi="宋体"/>
                <w:color w:val="000000"/>
                <w:sz w:val="22"/>
                <w:szCs w:val="20"/>
                <w:highlight w:val="none"/>
              </w:rPr>
            </w:r>
            <w:r/>
          </w:p>
        </w:tc>
        <w:tc>
          <w:tcPr>
            <w:tcW w:w="1271" w:type="dxa"/>
            <w:vAlign w:val="center"/>
            <w:textDirection w:val="lrTb"/>
            <w:noWrap w:val="false"/>
          </w:tcPr>
          <w:p>
            <w:pPr>
              <w:pStyle w:val="1064"/>
              <w:jc w:val="center"/>
              <w:spacing w:line="400" w:lineRule="exact"/>
              <w:rPr>
                <w:rFonts w:hint="eastAsia" w:ascii="宋体" w:hAnsi="宋体"/>
                <w:color w:val="000000"/>
                <w:sz w:val="22"/>
                <w:szCs w:val="20"/>
                <w:highlight w:val="none"/>
              </w:rPr>
            </w:pPr>
            <w:r>
              <w:rPr>
                <w:rFonts w:hint="eastAsia" w:ascii="宋体" w:hAnsi="宋体"/>
                <w:color w:val="000000"/>
                <w:sz w:val="22"/>
                <w:szCs w:val="20"/>
                <w:highlight w:val="none"/>
                <w:lang w:eastAsia="zh-CN"/>
              </w:rPr>
              <w:t xml:space="preserve">项目</w:t>
            </w:r>
            <w:r>
              <w:rPr>
                <w:rFonts w:hint="eastAsia" w:ascii="宋体" w:hAnsi="宋体"/>
                <w:color w:val="000000"/>
                <w:sz w:val="22"/>
                <w:szCs w:val="20"/>
                <w:highlight w:val="none"/>
              </w:rPr>
              <w:t xml:space="preserve">服务</w:t>
            </w:r>
            <w:r>
              <w:rPr>
                <w:rFonts w:hint="eastAsia" w:ascii="宋体" w:hAnsi="宋体"/>
                <w:color w:val="000000"/>
                <w:sz w:val="22"/>
                <w:szCs w:val="20"/>
                <w:highlight w:val="none"/>
              </w:rPr>
            </w:r>
            <w:r/>
          </w:p>
        </w:tc>
        <w:tc>
          <w:tcPr>
            <w:tcW w:w="693" w:type="dxa"/>
            <w:vAlign w:val="center"/>
            <w:textDirection w:val="lrTb"/>
            <w:noWrap w:val="false"/>
          </w:tcPr>
          <w:p>
            <w:pPr>
              <w:pStyle w:val="1064"/>
              <w:jc w:val="center"/>
              <w:spacing w:line="400" w:lineRule="exact"/>
              <w:rPr>
                <w:rFonts w:hint="eastAsia" w:ascii="宋体" w:hAnsi="宋体"/>
                <w:color w:val="000000"/>
                <w:sz w:val="22"/>
                <w:szCs w:val="20"/>
                <w:highlight w:val="none"/>
              </w:rPr>
            </w:pPr>
            <w:r>
              <w:rPr>
                <w:rFonts w:hint="eastAsia" w:ascii="宋体" w:hAnsi="宋体"/>
                <w:color w:val="000000"/>
                <w:sz w:val="22"/>
                <w:szCs w:val="20"/>
                <w:highlight w:val="none"/>
                <w:lang w:val="en-US" w:eastAsia="zh-CN"/>
              </w:rPr>
              <w:t xml:space="preserve">9</w:t>
            </w:r>
            <w:r>
              <w:rPr>
                <w:rFonts w:hint="eastAsia" w:ascii="宋体" w:hAnsi="宋体"/>
                <w:color w:val="000000"/>
                <w:sz w:val="22"/>
                <w:szCs w:val="20"/>
                <w:highlight w:val="none"/>
              </w:rPr>
              <w:t xml:space="preserve">分</w:t>
            </w:r>
            <w:r>
              <w:rPr>
                <w:rFonts w:hint="eastAsia" w:ascii="宋体" w:hAnsi="宋体"/>
                <w:color w:val="000000"/>
                <w:sz w:val="22"/>
                <w:szCs w:val="20"/>
                <w:highlight w:val="none"/>
              </w:rPr>
            </w:r>
            <w:r/>
          </w:p>
        </w:tc>
        <w:tc>
          <w:tcPr>
            <w:tcW w:w="8092" w:type="dxa"/>
            <w:vAlign w:val="center"/>
            <w:textDirection w:val="lrTb"/>
            <w:noWrap w:val="false"/>
          </w:tcPr>
          <w:p>
            <w:pPr>
              <w:pStyle w:val="1064"/>
              <w:spacing w:line="440" w:lineRule="exact"/>
              <w:rPr>
                <w:rFonts w:hint="eastAsia" w:ascii="宋体" w:hAnsi="宋体" w:eastAsia="宋体" w:cs="宋体"/>
                <w:color w:val="000000"/>
                <w:szCs w:val="21"/>
                <w:highlight w:val="none"/>
              </w:rPr>
            </w:pPr>
            <w:r>
              <w:rPr>
                <w:rFonts w:hint="eastAsia" w:ascii="宋体" w:hAnsi="宋体"/>
                <w:color w:val="000000"/>
                <w:sz w:val="21"/>
                <w:szCs w:val="21"/>
                <w:highlight w:val="none"/>
              </w:rPr>
              <w:t xml:space="preserve">包括</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但不限于</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w:t>
            </w:r>
            <w:r>
              <w:rPr>
                <w:rFonts w:hint="eastAsia" w:ascii="宋体" w:hAnsi="宋体" w:eastAsia="宋体" w:cs="宋体"/>
                <w:color w:val="000000"/>
                <w:szCs w:val="21"/>
                <w:highlight w:val="none"/>
              </w:rPr>
              <w:t xml:space="preserve">①质量承诺、对发生各类安全事故善后处理承诺；②依法规范用工承诺及应对履约期内各类风险承诺；③与采购人的配合措施</w:t>
            </w:r>
            <w:r>
              <w:rPr>
                <w:rFonts w:hint="eastAsia" w:ascii="宋体" w:hAnsi="宋体" w:eastAsia="宋体" w:cs="宋体"/>
                <w:color w:val="000000"/>
                <w:szCs w:val="21"/>
                <w:highlight w:val="none"/>
                <w:lang w:eastAsia="zh-CN"/>
              </w:rPr>
              <w:t xml:space="preserve">等内容</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64"/>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提供的</w:t>
            </w:r>
            <w:r>
              <w:rPr>
                <w:rFonts w:hint="eastAsia" w:ascii="宋体" w:hAnsi="宋体"/>
                <w:color w:val="000000"/>
                <w:sz w:val="22"/>
                <w:szCs w:val="20"/>
                <w:highlight w:val="none"/>
                <w:lang w:eastAsia="zh-CN"/>
              </w:rPr>
              <w:t xml:space="preserve">项目</w:t>
            </w:r>
            <w:r>
              <w:rPr>
                <w:rFonts w:hint="eastAsia" w:ascii="宋体" w:hAnsi="宋体"/>
                <w:color w:val="000000"/>
                <w:sz w:val="22"/>
                <w:szCs w:val="20"/>
                <w:highlight w:val="none"/>
              </w:rPr>
              <w:t xml:space="preserve">服务</w:t>
            </w:r>
            <w:r>
              <w:rPr>
                <w:rFonts w:hint="eastAsia" w:ascii="宋体" w:hAnsi="宋体" w:eastAsia="宋体" w:cs="宋体"/>
                <w:color w:val="000000"/>
                <w:szCs w:val="21"/>
                <w:highlight w:val="none"/>
              </w:rPr>
              <w:t xml:space="preserve">各项内容全面，不漏项且有针对性解释说明：9分；</w:t>
            </w:r>
            <w:r>
              <w:rPr>
                <w:rFonts w:hint="eastAsia" w:ascii="宋体" w:hAnsi="宋体" w:eastAsia="宋体" w:cs="宋体"/>
                <w:color w:val="000000"/>
                <w:szCs w:val="21"/>
                <w:highlight w:val="none"/>
              </w:rPr>
            </w:r>
            <w:r/>
          </w:p>
          <w:p>
            <w:pPr>
              <w:pStyle w:val="1064"/>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提供的</w:t>
            </w:r>
            <w:r>
              <w:rPr>
                <w:rFonts w:hint="eastAsia" w:ascii="宋体" w:hAnsi="宋体"/>
                <w:color w:val="000000"/>
                <w:sz w:val="22"/>
                <w:szCs w:val="20"/>
                <w:highlight w:val="none"/>
                <w:lang w:eastAsia="zh-CN"/>
              </w:rPr>
              <w:t xml:space="preserve">项目</w:t>
            </w:r>
            <w:r>
              <w:rPr>
                <w:rFonts w:hint="eastAsia" w:ascii="宋体" w:hAnsi="宋体"/>
                <w:color w:val="000000"/>
                <w:sz w:val="22"/>
                <w:szCs w:val="20"/>
                <w:highlight w:val="none"/>
              </w:rPr>
              <w:t xml:space="preserve">服务</w:t>
            </w:r>
            <w:r>
              <w:rPr>
                <w:rFonts w:hint="eastAsia" w:ascii="宋体" w:hAnsi="宋体" w:eastAsia="宋体" w:cs="宋体"/>
                <w:color w:val="000000"/>
                <w:szCs w:val="21"/>
                <w:highlight w:val="none"/>
              </w:rPr>
              <w:t xml:space="preserve">各项内容较全面，漏缺1项，有针对性解释说明：6分；</w:t>
            </w:r>
            <w:r>
              <w:rPr>
                <w:rFonts w:hint="eastAsia" w:ascii="宋体" w:hAnsi="宋体" w:eastAsia="宋体" w:cs="宋体"/>
                <w:color w:val="000000"/>
                <w:szCs w:val="21"/>
                <w:highlight w:val="none"/>
              </w:rPr>
            </w:r>
            <w:r/>
          </w:p>
          <w:p>
            <w:pPr>
              <w:pStyle w:val="1064"/>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提供的</w:t>
            </w:r>
            <w:r>
              <w:rPr>
                <w:rFonts w:hint="eastAsia" w:ascii="宋体" w:hAnsi="宋体"/>
                <w:color w:val="000000"/>
                <w:sz w:val="22"/>
                <w:szCs w:val="20"/>
                <w:highlight w:val="none"/>
                <w:lang w:eastAsia="zh-CN"/>
              </w:rPr>
              <w:t xml:space="preserve">项目</w:t>
            </w:r>
            <w:r>
              <w:rPr>
                <w:rFonts w:hint="eastAsia" w:ascii="宋体" w:hAnsi="宋体"/>
                <w:color w:val="000000"/>
                <w:sz w:val="22"/>
                <w:szCs w:val="20"/>
                <w:highlight w:val="none"/>
              </w:rPr>
              <w:t xml:space="preserve">服务</w:t>
            </w:r>
            <w:r>
              <w:rPr>
                <w:rFonts w:hint="eastAsia" w:ascii="宋体" w:hAnsi="宋体" w:eastAsia="宋体" w:cs="宋体"/>
                <w:color w:val="000000"/>
                <w:szCs w:val="21"/>
                <w:highlight w:val="none"/>
              </w:rPr>
              <w:t xml:space="preserve">各项内容基本全面，漏缺2项，有针对性解释说明：3分；</w:t>
            </w:r>
            <w:r>
              <w:rPr>
                <w:rFonts w:hint="eastAsia" w:ascii="宋体" w:hAnsi="宋体" w:eastAsia="宋体" w:cs="宋体"/>
                <w:color w:val="000000"/>
                <w:szCs w:val="21"/>
                <w:highlight w:val="none"/>
              </w:rPr>
            </w:r>
            <w:r/>
          </w:p>
          <w:p>
            <w:pPr>
              <w:pStyle w:val="1064"/>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提供的</w:t>
            </w:r>
            <w:r>
              <w:rPr>
                <w:rFonts w:hint="eastAsia" w:ascii="宋体" w:hAnsi="宋体"/>
                <w:color w:val="000000"/>
                <w:sz w:val="22"/>
                <w:szCs w:val="20"/>
                <w:highlight w:val="none"/>
                <w:lang w:eastAsia="zh-CN"/>
              </w:rPr>
              <w:t xml:space="preserve">项目</w:t>
            </w:r>
            <w:r>
              <w:rPr>
                <w:rFonts w:hint="eastAsia" w:ascii="宋体" w:hAnsi="宋体"/>
                <w:color w:val="000000"/>
                <w:sz w:val="22"/>
                <w:szCs w:val="20"/>
                <w:highlight w:val="none"/>
              </w:rPr>
              <w:t xml:space="preserve">服务</w:t>
            </w:r>
            <w:r>
              <w:rPr>
                <w:rFonts w:hint="eastAsia" w:ascii="宋体" w:hAnsi="宋体" w:eastAsia="宋体" w:cs="宋体"/>
                <w:color w:val="000000"/>
                <w:szCs w:val="21"/>
                <w:highlight w:val="none"/>
              </w:rPr>
              <w:t xml:space="preserve">各项内容基本全面不全面，针对</w:t>
            </w:r>
            <w:r>
              <w:rPr>
                <w:rFonts w:hint="eastAsia" w:ascii="宋体" w:hAnsi="宋体"/>
                <w:color w:val="000000"/>
                <w:sz w:val="22"/>
                <w:szCs w:val="20"/>
                <w:highlight w:val="none"/>
                <w:lang w:eastAsia="zh-CN"/>
              </w:rPr>
              <w:t xml:space="preserve">项目</w:t>
            </w:r>
            <w:r>
              <w:rPr>
                <w:rFonts w:hint="eastAsia" w:ascii="宋体" w:hAnsi="宋体"/>
                <w:color w:val="000000"/>
                <w:sz w:val="22"/>
                <w:szCs w:val="20"/>
                <w:highlight w:val="none"/>
              </w:rPr>
              <w:t xml:space="preserve">服务</w:t>
            </w:r>
            <w:r>
              <w:rPr>
                <w:rFonts w:hint="eastAsia" w:ascii="宋体" w:hAnsi="宋体" w:eastAsia="宋体" w:cs="宋体"/>
                <w:color w:val="000000"/>
                <w:szCs w:val="21"/>
                <w:highlight w:val="none"/>
              </w:rPr>
              <w:t xml:space="preserve">各项内容没有解释说明：0分。</w:t>
            </w:r>
            <w:r>
              <w:rPr>
                <w:rFonts w:hint="eastAsia" w:ascii="宋体" w:hAnsi="宋体" w:eastAsia="宋体" w:cs="宋体"/>
                <w:color w:val="000000"/>
                <w:szCs w:val="21"/>
                <w:highlight w:val="none"/>
              </w:rPr>
            </w:r>
            <w:r/>
          </w:p>
        </w:tc>
      </w:tr>
    </w:tbl>
    <w:p>
      <w:pPr>
        <w:pStyle w:val="1064"/>
        <w:keepLines w:val="0"/>
        <w:keepNext w:val="0"/>
        <w:pageBreakBefore w:val="0"/>
        <w:spacing w:line="400" w:lineRule="exact"/>
        <w:widowControl/>
        <w:tabs>
          <w:tab w:val="left" w:pos="360" w:leader="none"/>
          <w:tab w:val="left" w:pos="960" w:leader="none"/>
        </w:tabs>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注：投标供应商须针对本项目的实际情况，结合自身条件，编制相应的“服务方案”。</w:t>
      </w:r>
      <w:bookmarkEnd w:id="4"/>
      <w:r/>
      <w:bookmarkEnd w:id="5"/>
      <w:r>
        <w:rPr>
          <w:rFonts w:hint="eastAsia" w:ascii="宋体" w:hAnsi="宋体" w:eastAsia="宋体" w:cs="宋体"/>
          <w:b/>
          <w:color w:val="000000"/>
          <w:sz w:val="24"/>
          <w:szCs w:val="22"/>
          <w:highlight w:val="none"/>
        </w:rPr>
      </w:r>
      <w:r/>
    </w:p>
    <w:p>
      <w:pPr>
        <w:pStyle w:val="1064"/>
        <w:ind w:firstLine="482"/>
        <w:keepLines w:val="0"/>
        <w:keepNext w:val="0"/>
        <w:pageBreakBefore w:val="0"/>
        <w:spacing w:line="400" w:lineRule="exact"/>
        <w:widowControl/>
        <w:tabs>
          <w:tab w:val="left" w:pos="360" w:leader="none"/>
          <w:tab w:val="left" w:pos="96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以上证明材料原件扫描件应附入投标文件中。</w:t>
      </w:r>
      <w:r>
        <w:rPr>
          <w:rFonts w:hint="eastAsia" w:ascii="宋体" w:hAnsi="宋体" w:eastAsia="宋体" w:cs="宋体"/>
          <w:b/>
          <w:bCs/>
          <w:color w:val="000000"/>
          <w:sz w:val="24"/>
          <w:highlight w:val="none"/>
        </w:rPr>
      </w:r>
      <w:r/>
    </w:p>
    <w:p>
      <w:pPr>
        <w:pStyle w:val="1064"/>
        <w:ind w:firstLine="482"/>
        <w:keepLines w:val="0"/>
        <w:keepNext w:val="0"/>
        <w:pageBreakBefore w:val="0"/>
        <w:spacing w:line="400" w:lineRule="exact"/>
        <w:widowControl/>
        <w:tabs>
          <w:tab w:val="left" w:pos="360" w:leader="none"/>
          <w:tab w:val="left" w:pos="96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2</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每项评分由评委独立评分。各分项的平均分为该供应商各分项的得分，各分项得分合计即为该供应商的总得分。 最终</w:t>
      </w:r>
      <w:r>
        <w:rPr>
          <w:rFonts w:hint="eastAsia" w:ascii="宋体" w:hAnsi="宋体" w:eastAsia="宋体" w:cs="宋体"/>
          <w:b/>
          <w:bCs/>
          <w:color w:val="000000"/>
          <w:sz w:val="24"/>
          <w:highlight w:val="none"/>
          <w:lang w:eastAsia="zh-CN"/>
        </w:rPr>
        <w:t xml:space="preserve">总</w:t>
      </w:r>
      <w:r>
        <w:rPr>
          <w:rFonts w:hint="eastAsia" w:ascii="宋体" w:hAnsi="宋体" w:eastAsia="宋体" w:cs="宋体"/>
          <w:b/>
          <w:bCs/>
          <w:color w:val="000000"/>
          <w:sz w:val="24"/>
          <w:highlight w:val="none"/>
        </w:rPr>
        <w:t xml:space="preserve">得分最高者将被推荐第一中标候选人。</w:t>
      </w:r>
      <w:r>
        <w:rPr>
          <w:rFonts w:hint="eastAsia" w:ascii="宋体" w:hAnsi="宋体" w:eastAsia="宋体" w:cs="宋体"/>
          <w:b/>
          <w:bCs/>
          <w:color w:val="000000"/>
          <w:sz w:val="24"/>
          <w:highlight w:val="none"/>
        </w:rPr>
      </w:r>
      <w:r/>
    </w:p>
    <w:p>
      <w:pPr>
        <w:pStyle w:val="1064"/>
        <w:ind w:firstLine="482"/>
        <w:keepLines w:val="0"/>
        <w:keepNext w:val="0"/>
        <w:pageBreakBefore w:val="0"/>
        <w:spacing w:line="40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3</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评分办法及评分细则的解释权属采购人。未列入本评分细则的其他条件不作为评分内容。</w:t>
      </w:r>
      <w:r>
        <w:rPr>
          <w:rFonts w:hint="eastAsia" w:ascii="宋体" w:hAnsi="宋体" w:eastAsia="宋体" w:cs="宋体"/>
          <w:b/>
          <w:bCs/>
          <w:color w:val="000000"/>
          <w:sz w:val="24"/>
          <w:szCs w:val="22"/>
          <w:highlight w:val="none"/>
        </w:rPr>
      </w:r>
      <w:r/>
    </w:p>
    <w:p>
      <w:pPr>
        <w:pStyle w:val="1064"/>
        <w:keepLines w:val="0"/>
        <w:keepNext w:val="0"/>
        <w:pageBreakBefore w:val="0"/>
        <w:spacing w:line="40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（十一）定标：</w:t>
      </w:r>
      <w:r>
        <w:rPr>
          <w:rFonts w:hint="eastAsia" w:ascii="宋体" w:hAnsi="宋体" w:eastAsia="宋体" w:cs="宋体"/>
          <w:color w:val="000000"/>
          <w:sz w:val="24"/>
          <w:highlight w:val="none"/>
        </w:rPr>
      </w:r>
      <w:r/>
    </w:p>
    <w:p>
      <w:pPr>
        <w:pStyle w:val="1064"/>
        <w:ind w:firstLine="480"/>
        <w:keepLines w:val="0"/>
        <w:keepNext w:val="0"/>
        <w:pageBreakBefore w:val="0"/>
        <w:spacing w:line="400" w:lineRule="exact"/>
        <w:tabs>
          <w:tab w:val="left" w:pos="52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1.评标委员会根据招标文件规定的评标方法和评标标准进行评审，按招标文件的要求在3家中标候选单位中，依法确定中标投标供应商。江苏建威建设管理有限公司将在</w:t>
      </w:r>
      <w:r>
        <w:rPr>
          <w:rFonts w:hint="eastAsia" w:ascii="宋体" w:hAnsi="宋体" w:eastAsia="宋体" w:cs="宋体"/>
          <w:b/>
          <w:color w:val="000000"/>
          <w:sz w:val="24"/>
          <w:highlight w:val="none"/>
        </w:rPr>
        <w:t xml:space="preserve">无锡政府采购网、江苏政府采购网</w:t>
      </w:r>
      <w:r>
        <w:rPr>
          <w:rFonts w:hint="eastAsia" w:ascii="宋体" w:hAnsi="宋体" w:eastAsia="宋体" w:cs="宋体"/>
          <w:bCs/>
          <w:color w:val="000000"/>
          <w:sz w:val="24"/>
          <w:highlight w:val="none"/>
        </w:rPr>
        <w:t xml:space="preserve">上发布中标公告。如有质疑，</w:t>
      </w:r>
      <w:r>
        <w:rPr>
          <w:rFonts w:hint="eastAsia" w:ascii="宋体" w:hAnsi="宋体" w:eastAsia="宋体" w:cs="宋体"/>
          <w:bCs/>
          <w:color w:val="000000"/>
          <w:sz w:val="24"/>
          <w:highlight w:val="none"/>
        </w:rPr>
        <w:t xml:space="preserve">应在法定质疑期限内，即中标公告期限届满之日起7个工作日内，以一次性书面形式送达江苏建威建设管理有限公司。江苏建威建设管理有限公司在收到符合要求的书面质疑后七个工作日内，对质疑内容做出答复。投标供应商在法定质疑期限外送达的质疑函或法定质疑期限内送达的质疑函不符合上述要求的均为无效质疑，江苏建威建设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rPr>
          <w:rFonts w:hint="eastAsia" w:ascii="宋体" w:hAnsi="宋体" w:eastAsia="宋体" w:cs="宋体"/>
          <w:bCs/>
          <w:color w:val="000000"/>
          <w:sz w:val="24"/>
          <w:highlight w:val="none"/>
        </w:rPr>
      </w:r>
      <w:r/>
    </w:p>
    <w:p>
      <w:pPr>
        <w:pStyle w:val="1064"/>
        <w:ind w:firstLine="480"/>
        <w:keepLines w:val="0"/>
        <w:keepNext w:val="0"/>
        <w:pageBreakBefore w:val="0"/>
        <w:spacing w:line="400" w:lineRule="exact"/>
        <w:tabs>
          <w:tab w:val="left" w:pos="52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2.采购人或者采购代理机构对开标、评标现场活动进行全程录音录像。</w:t>
      </w:r>
      <w:r>
        <w:rPr>
          <w:rFonts w:hint="eastAsia" w:ascii="宋体" w:hAnsi="宋体" w:eastAsia="宋体" w:cs="宋体"/>
          <w:bCs/>
          <w:color w:val="000000"/>
          <w:sz w:val="24"/>
          <w:highlight w:val="none"/>
        </w:rPr>
      </w:r>
      <w:r/>
    </w:p>
    <w:p>
      <w:pPr>
        <w:pStyle w:val="1064"/>
        <w:ind w:firstLine="480"/>
        <w:keepLines w:val="0"/>
        <w:keepNext w:val="0"/>
        <w:pageBreakBefore w:val="0"/>
        <w:spacing w:line="400" w:lineRule="exact"/>
        <w:tabs>
          <w:tab w:val="left" w:pos="52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3.在发布中标公告的同时，江苏建威建设管理有限公司将向中标供应商发出中标通知书。</w:t>
      </w:r>
      <w:r>
        <w:rPr>
          <w:rFonts w:hint="eastAsia" w:ascii="宋体" w:hAnsi="宋体" w:eastAsia="宋体" w:cs="宋体"/>
          <w:bCs/>
          <w:color w:val="000000"/>
          <w:sz w:val="24"/>
          <w:highlight w:val="none"/>
        </w:rPr>
      </w:r>
      <w:r/>
    </w:p>
    <w:p>
      <w:pPr>
        <w:pStyle w:val="1064"/>
        <w:keepLines w:val="0"/>
        <w:keepNext w:val="0"/>
        <w:pageBreakBefore w:val="0"/>
        <w:spacing w:line="400" w:lineRule="exact"/>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（十二）废标的确认：</w:t>
      </w:r>
      <w:r>
        <w:rPr>
          <w:rFonts w:hint="eastAsia" w:ascii="宋体" w:hAnsi="宋体" w:eastAsia="宋体" w:cs="宋体"/>
          <w:bCs/>
          <w:color w:val="000000"/>
          <w:sz w:val="24"/>
          <w:highlight w:val="none"/>
        </w:rPr>
      </w:r>
      <w:r/>
    </w:p>
    <w:p>
      <w:pPr>
        <w:pStyle w:val="1064"/>
        <w:ind w:firstLine="360"/>
        <w:keepLines w:val="0"/>
        <w:keepNext w:val="0"/>
        <w:pageBreakBefore w:val="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在招标采购中，出现下列情况之一的，应予废标：</w:t>
      </w:r>
      <w:r>
        <w:rPr>
          <w:rFonts w:hint="eastAsia" w:ascii="宋体" w:hAnsi="宋体" w:eastAsia="宋体" w:cs="宋体"/>
          <w:bCs/>
          <w:color w:val="000000"/>
          <w:sz w:val="24"/>
          <w:highlight w:val="none"/>
        </w:rPr>
      </w:r>
      <w:r/>
    </w:p>
    <w:p>
      <w:pPr>
        <w:pStyle w:val="1064"/>
        <w:ind w:left="150" w:firstLine="240"/>
        <w:keepLines w:val="0"/>
        <w:keepNext w:val="0"/>
        <w:pageBreakBefore w:val="0"/>
        <w:spacing w:line="400" w:lineRule="exact"/>
        <w:tabs>
          <w:tab w:val="right" w:pos="180" w:leader="none"/>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1.符合专业条件的投标供应商或者对招标文件作出实质性响应的投标供应商不足三家；</w:t>
      </w:r>
      <w:r>
        <w:rPr>
          <w:rFonts w:hint="eastAsia" w:ascii="宋体" w:hAnsi="宋体" w:eastAsia="宋体" w:cs="宋体"/>
          <w:bCs/>
          <w:color w:val="000000"/>
          <w:sz w:val="24"/>
          <w:highlight w:val="none"/>
        </w:rPr>
      </w:r>
      <w:r/>
    </w:p>
    <w:p>
      <w:pPr>
        <w:pStyle w:val="1064"/>
        <w:ind w:firstLine="360"/>
        <w:keepLines w:val="0"/>
        <w:keepNext w:val="0"/>
        <w:pageBreakBefore w:val="0"/>
        <w:spacing w:line="400" w:lineRule="exact"/>
        <w:tabs>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2.出现影响采购公正的违法、违规行为；</w:t>
      </w:r>
      <w:r>
        <w:rPr>
          <w:rFonts w:hint="eastAsia" w:ascii="宋体" w:hAnsi="宋体" w:eastAsia="宋体" w:cs="宋体"/>
          <w:bCs/>
          <w:color w:val="000000"/>
          <w:sz w:val="24"/>
          <w:highlight w:val="none"/>
        </w:rPr>
      </w:r>
      <w:r/>
    </w:p>
    <w:p>
      <w:pPr>
        <w:pStyle w:val="1064"/>
        <w:ind w:firstLine="360"/>
        <w:keepLines w:val="0"/>
        <w:keepNext w:val="0"/>
        <w:pageBreakBefore w:val="0"/>
        <w:spacing w:line="400" w:lineRule="exact"/>
        <w:tabs>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3.投标供应商的报价均超过采购预算，采购人不能支付；</w:t>
      </w:r>
      <w:r>
        <w:rPr>
          <w:rFonts w:hint="eastAsia" w:ascii="宋体" w:hAnsi="宋体" w:eastAsia="宋体" w:cs="宋体"/>
          <w:bCs/>
          <w:color w:val="000000"/>
          <w:sz w:val="24"/>
          <w:highlight w:val="none"/>
        </w:rPr>
      </w:r>
      <w:r/>
    </w:p>
    <w:p>
      <w:pPr>
        <w:pStyle w:val="1064"/>
        <w:ind w:left="150" w:firstLine="240"/>
        <w:keepLines w:val="0"/>
        <w:keepNext w:val="0"/>
        <w:pageBreakBefore w:val="0"/>
        <w:spacing w:line="400" w:lineRule="exact"/>
        <w:tabs>
          <w:tab w:val="right" w:pos="180" w:leader="none"/>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4.因重大变故，采购任务取消的。</w:t>
      </w:r>
      <w:r>
        <w:rPr>
          <w:rFonts w:hint="eastAsia" w:ascii="宋体" w:hAnsi="宋体" w:eastAsia="宋体" w:cs="宋体"/>
          <w:bCs/>
          <w:color w:val="000000"/>
          <w:sz w:val="24"/>
          <w:highlight w:val="none"/>
        </w:rPr>
      </w:r>
      <w:r/>
    </w:p>
    <w:p>
      <w:pPr>
        <w:pStyle w:val="1064"/>
        <w:ind w:left="480" w:hanging="480"/>
        <w:keepLines w:val="0"/>
        <w:keepNext w:val="0"/>
        <w:pageBreakBefore w:val="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（十三）围标与串标的确认：</w:t>
      </w:r>
      <w:r>
        <w:rPr>
          <w:rFonts w:hint="eastAsia" w:ascii="宋体" w:hAnsi="宋体" w:eastAsia="宋体" w:cs="宋体"/>
          <w:bCs/>
          <w:color w:val="000000"/>
          <w:sz w:val="24"/>
          <w:highlight w:val="none"/>
        </w:rPr>
      </w:r>
      <w:r/>
    </w:p>
    <w:p>
      <w:pPr>
        <w:pStyle w:val="1064"/>
        <w:ind w:left="480" w:hanging="480"/>
        <w:keepLines w:val="0"/>
        <w:keepNext w:val="0"/>
        <w:pageBreakBefore w:val="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1.投标人在政府采购活动中有下列情形之一的，认定其有围标、串标行为：</w:t>
      </w:r>
      <w:r>
        <w:rPr>
          <w:rFonts w:hint="eastAsia" w:ascii="宋体" w:hAnsi="宋体" w:eastAsia="宋体" w:cs="宋体"/>
          <w:bCs/>
          <w:color w:val="000000"/>
          <w:sz w:val="24"/>
          <w:highlight w:val="none"/>
        </w:rPr>
      </w:r>
      <w:r/>
    </w:p>
    <w:p>
      <w:pPr>
        <w:pStyle w:val="1064"/>
        <w:ind w:left="480" w:hanging="480"/>
        <w:keepLines w:val="0"/>
        <w:keepNext w:val="0"/>
        <w:pageBreakBefore w:val="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（1）由同一人或分别由几个有利害关系人代表两个以上（含两个）投标人获取招标资料、开标的；</w:t>
      </w:r>
      <w:r>
        <w:rPr>
          <w:rFonts w:hint="eastAsia" w:ascii="宋体" w:hAnsi="宋体" w:eastAsia="宋体" w:cs="宋体"/>
          <w:bCs/>
          <w:color w:val="000000"/>
          <w:sz w:val="24"/>
          <w:highlight w:val="none"/>
        </w:rPr>
      </w:r>
      <w:r/>
    </w:p>
    <w:p>
      <w:pPr>
        <w:pStyle w:val="1064"/>
        <w:ind w:left="480" w:hanging="480"/>
        <w:keepLines w:val="0"/>
        <w:keepNext w:val="0"/>
        <w:pageBreakBefore w:val="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（2）不同投标人的法定代表人、委托代理人、项目负责人、项目经理（建造师）等人员有在同一个单位缴纳社会保险的；</w:t>
      </w:r>
      <w:r>
        <w:rPr>
          <w:rFonts w:hint="eastAsia" w:ascii="宋体" w:hAnsi="宋体" w:eastAsia="宋体" w:cs="宋体"/>
          <w:bCs/>
          <w:color w:val="000000"/>
          <w:sz w:val="24"/>
          <w:highlight w:val="none"/>
        </w:rPr>
      </w:r>
      <w:r/>
    </w:p>
    <w:p>
      <w:pPr>
        <w:pStyle w:val="1064"/>
        <w:ind w:left="480" w:hanging="480"/>
        <w:keepLines w:val="0"/>
        <w:keepNext w:val="0"/>
        <w:pageBreakBefore w:val="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（3）递交投标文件截止时间开始至评标结束，投标人撤回投标文件的；</w:t>
      </w:r>
      <w:r>
        <w:rPr>
          <w:rFonts w:hint="eastAsia" w:ascii="宋体" w:hAnsi="宋体" w:eastAsia="宋体" w:cs="宋体"/>
          <w:bCs/>
          <w:color w:val="000000"/>
          <w:sz w:val="24"/>
          <w:highlight w:val="none"/>
        </w:rPr>
      </w:r>
      <w:r/>
    </w:p>
    <w:p>
      <w:pPr>
        <w:pStyle w:val="1064"/>
        <w:ind w:left="480" w:hanging="480"/>
        <w:keepLines w:val="0"/>
        <w:keepNext w:val="0"/>
        <w:pageBreakBefore w:val="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（4）不同投标人的投标文件中项目组成员出现同一人的；</w:t>
      </w:r>
      <w:r>
        <w:rPr>
          <w:rFonts w:hint="eastAsia" w:ascii="宋体" w:hAnsi="宋体" w:eastAsia="宋体" w:cs="宋体"/>
          <w:bCs/>
          <w:color w:val="000000"/>
          <w:sz w:val="24"/>
          <w:highlight w:val="none"/>
        </w:rPr>
      </w:r>
      <w:r/>
    </w:p>
    <w:p>
      <w:pPr>
        <w:pStyle w:val="1064"/>
        <w:ind w:left="480" w:hanging="480"/>
        <w:keepLines w:val="0"/>
        <w:keepNext w:val="0"/>
        <w:pageBreakBefore w:val="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（5）不同投标人的投标文件内容存在非正常一致的；</w:t>
      </w:r>
      <w:r>
        <w:rPr>
          <w:rFonts w:hint="eastAsia" w:ascii="宋体" w:hAnsi="宋体" w:eastAsia="宋体" w:cs="宋体"/>
          <w:bCs/>
          <w:color w:val="000000"/>
          <w:sz w:val="24"/>
          <w:highlight w:val="none"/>
        </w:rPr>
      </w:r>
      <w:r/>
    </w:p>
    <w:p>
      <w:pPr>
        <w:pStyle w:val="1064"/>
        <w:ind w:left="480" w:hanging="480"/>
        <w:keepLines w:val="0"/>
        <w:keepNext w:val="0"/>
        <w:pageBreakBefore w:val="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（6）在资格审查或开标时不同投标人的投标资料相互混装的；</w:t>
      </w:r>
      <w:r>
        <w:rPr>
          <w:rFonts w:hint="eastAsia" w:ascii="宋体" w:hAnsi="宋体" w:eastAsia="宋体" w:cs="宋体"/>
          <w:bCs/>
          <w:color w:val="000000"/>
          <w:sz w:val="24"/>
          <w:highlight w:val="none"/>
        </w:rPr>
      </w:r>
      <w:r/>
    </w:p>
    <w:p>
      <w:pPr>
        <w:pStyle w:val="1064"/>
        <w:ind w:left="480" w:hanging="480"/>
        <w:keepLines w:val="0"/>
        <w:keepNext w:val="0"/>
        <w:pageBreakBefore w:val="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（7）中标公示的中标候选人无正当理由放弃中标或不按规定与采购人签订合同的；</w:t>
      </w:r>
      <w:r>
        <w:rPr>
          <w:rFonts w:hint="eastAsia" w:ascii="宋体" w:hAnsi="宋体" w:eastAsia="宋体" w:cs="宋体"/>
          <w:bCs/>
          <w:color w:val="000000"/>
          <w:sz w:val="24"/>
          <w:highlight w:val="none"/>
        </w:rPr>
      </w:r>
      <w:r/>
    </w:p>
    <w:p>
      <w:pPr>
        <w:pStyle w:val="1064"/>
        <w:ind w:left="480" w:hanging="480"/>
        <w:keepLines w:val="0"/>
        <w:keepNext w:val="0"/>
        <w:pageBreakBefore w:val="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（8）参加投标活动的人员不能提供其属于投标企业正式在职人员的有效证明的（如：社保缴纳情况证明等资料）；</w:t>
      </w:r>
      <w:r>
        <w:rPr>
          <w:rFonts w:hint="eastAsia" w:ascii="宋体" w:hAnsi="宋体" w:eastAsia="宋体" w:cs="宋体"/>
          <w:bCs/>
          <w:color w:val="000000"/>
          <w:sz w:val="24"/>
          <w:highlight w:val="none"/>
        </w:rPr>
      </w:r>
      <w:r/>
    </w:p>
    <w:p>
      <w:pPr>
        <w:pStyle w:val="1064"/>
        <w:ind w:left="480" w:hanging="480"/>
        <w:keepLines w:val="0"/>
        <w:keepNext w:val="0"/>
        <w:pageBreakBefore w:val="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（9）法律法规规定的其他围标、串标行为。</w:t>
      </w:r>
      <w:r>
        <w:rPr>
          <w:rFonts w:hint="eastAsia" w:ascii="宋体" w:hAnsi="宋体" w:eastAsia="宋体" w:cs="宋体"/>
          <w:bCs/>
          <w:color w:val="000000"/>
          <w:sz w:val="24"/>
          <w:highlight w:val="none"/>
        </w:rPr>
      </w:r>
      <w:r/>
    </w:p>
    <w:p>
      <w:pPr>
        <w:pStyle w:val="1064"/>
        <w:ind w:left="480" w:hanging="480"/>
        <w:keepLines w:val="0"/>
        <w:keepNext w:val="0"/>
        <w:pageBreakBefore w:val="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2.在评标过程中评标委员会发现投标人除（九）无效投标文件的确认规定的围标、串标行为外，另有下列情形之一的，认定其有围标、串标行为，否决其投标：</w:t>
      </w:r>
      <w:r>
        <w:rPr>
          <w:rFonts w:hint="eastAsia" w:ascii="宋体" w:hAnsi="宋体" w:eastAsia="宋体" w:cs="宋体"/>
          <w:bCs/>
          <w:color w:val="000000"/>
          <w:sz w:val="24"/>
          <w:highlight w:val="none"/>
        </w:rPr>
      </w:r>
      <w:r/>
    </w:p>
    <w:p>
      <w:pPr>
        <w:pStyle w:val="1064"/>
        <w:ind w:left="480" w:hanging="480"/>
        <w:keepLines w:val="0"/>
        <w:keepNext w:val="0"/>
        <w:pageBreakBefore w:val="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（1）不同投标人的投标总报价相近且各分项报价、综合单价分析表内容混乱不能相互对应、乱调乱压或乱抬的，而在询标时没有合理的解释或者不能提供计算依据和报价依据的；</w:t>
      </w:r>
      <w:r>
        <w:rPr>
          <w:rFonts w:hint="eastAsia" w:ascii="宋体" w:hAnsi="宋体" w:eastAsia="宋体" w:cs="宋体"/>
          <w:bCs/>
          <w:color w:val="000000"/>
          <w:sz w:val="24"/>
          <w:highlight w:val="none"/>
        </w:rPr>
      </w:r>
      <w:r/>
    </w:p>
    <w:p>
      <w:pPr>
        <w:pStyle w:val="1064"/>
        <w:ind w:left="480" w:hanging="480"/>
        <w:keepLines w:val="0"/>
        <w:keepNext w:val="0"/>
        <w:pageBreakBefore w:val="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（2）评标委员会依法认定的有其他明显违规行为情形的。</w:t>
      </w:r>
      <w:r>
        <w:rPr>
          <w:rFonts w:hint="eastAsia" w:ascii="宋体" w:hAnsi="宋体" w:eastAsia="宋体" w:cs="宋体"/>
          <w:bCs/>
          <w:color w:val="000000"/>
          <w:sz w:val="24"/>
          <w:highlight w:val="none"/>
        </w:rPr>
      </w:r>
      <w:r/>
    </w:p>
    <w:p>
      <w:pPr>
        <w:pStyle w:val="1064"/>
        <w:ind w:left="480" w:hanging="480"/>
        <w:keepLines w:val="0"/>
        <w:keepNext w:val="0"/>
        <w:pageBreakBefore w:val="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如出现上述围标、串标的行为，将及时</w:t>
      </w:r>
      <w:r>
        <w:rPr>
          <w:rFonts w:hint="eastAsia" w:ascii="宋体" w:hAnsi="宋体" w:eastAsia="宋体" w:cs="宋体"/>
          <w:bCs/>
          <w:color w:val="000000"/>
          <w:sz w:val="24"/>
          <w:highlight w:val="none"/>
          <w:lang w:eastAsia="zh-CN"/>
        </w:rPr>
        <w:t xml:space="preserve">上报</w:t>
      </w:r>
      <w:r>
        <w:rPr>
          <w:rFonts w:hint="eastAsia" w:ascii="宋体" w:hAnsi="宋体" w:eastAsia="宋体" w:cs="宋体"/>
          <w:bCs/>
          <w:color w:val="000000"/>
          <w:sz w:val="24"/>
          <w:highlight w:val="none"/>
        </w:rPr>
        <w:t xml:space="preserve">财政部门，进行相应的处罚。</w:t>
      </w:r>
      <w:r>
        <w:rPr>
          <w:rFonts w:hint="eastAsia" w:ascii="宋体" w:hAnsi="宋体" w:eastAsia="宋体" w:cs="宋体"/>
          <w:bCs/>
          <w:color w:val="000000"/>
          <w:sz w:val="24"/>
          <w:highlight w:val="none"/>
        </w:rPr>
      </w:r>
      <w:r/>
    </w:p>
    <w:p>
      <w:pPr>
        <w:pStyle w:val="1064"/>
        <w:keepLines w:val="0"/>
        <w:keepNext w:val="0"/>
        <w:pageBreakBefore w:val="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（十四）投标保证金：</w:t>
      </w:r>
      <w:r>
        <w:rPr>
          <w:rFonts w:hint="eastAsia" w:ascii="宋体" w:hAnsi="宋体" w:eastAsia="宋体" w:cs="宋体"/>
          <w:bCs/>
          <w:color w:val="000000"/>
          <w:sz w:val="24"/>
          <w:highlight w:val="none"/>
        </w:rPr>
      </w:r>
      <w:r/>
    </w:p>
    <w:p>
      <w:pPr>
        <w:pStyle w:val="1064"/>
        <w:ind w:firstLine="480"/>
        <w:keepLines w:val="0"/>
        <w:keepNext w:val="0"/>
        <w:pageBreakBefore w:val="0"/>
        <w:spacing w:line="400" w:lineRule="exact"/>
        <w:tabs>
          <w:tab w:val="left" w:pos="704" w:leader="none"/>
          <w:tab w:val="left" w:pos="735" w:leader="none"/>
          <w:tab w:val="left" w:pos="109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1.响应苏财购【2020】52号文要求，本项目不要求递交投标保证金。 </w:t>
      </w:r>
      <w:r>
        <w:rPr>
          <w:rFonts w:hint="eastAsia" w:ascii="宋体" w:hAnsi="宋体" w:eastAsia="宋体" w:cs="宋体"/>
          <w:bCs/>
          <w:color w:val="000000"/>
          <w:sz w:val="24"/>
          <w:highlight w:val="none"/>
        </w:rPr>
      </w:r>
      <w:r/>
    </w:p>
    <w:p>
      <w:pPr>
        <w:pStyle w:val="1064"/>
        <w:keepLines w:val="0"/>
        <w:keepNext w:val="0"/>
        <w:pageBreakBefore w:val="0"/>
        <w:spacing w:line="400" w:lineRule="exact"/>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（十五）中标无效的确认：</w:t>
      </w:r>
      <w:r>
        <w:rPr>
          <w:rFonts w:hint="eastAsia" w:ascii="宋体" w:hAnsi="宋体" w:eastAsia="宋体" w:cs="宋体"/>
          <w:bCs/>
          <w:color w:val="000000"/>
          <w:sz w:val="24"/>
          <w:highlight w:val="none"/>
        </w:rPr>
      </w:r>
      <w:r/>
    </w:p>
    <w:p>
      <w:pPr>
        <w:pStyle w:val="1332"/>
        <w:ind w:firstLine="218"/>
        <w:jc w:val="both"/>
        <w:keepLines w:val="0"/>
        <w:keepNext w:val="0"/>
        <w:pageBreakBefore w:val="0"/>
        <w:spacing w:line="400" w:lineRule="exact"/>
        <w:tabs>
          <w:tab w:val="left" w:pos="420" w:leader="none"/>
        </w:tabs>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（1）提供虚假材料谋取中标的；</w:t>
      </w:r>
      <w:r>
        <w:rPr>
          <w:rFonts w:hint="eastAsia" w:ascii="宋体" w:hAnsi="宋体" w:eastAsia="宋体" w:cs="宋体"/>
          <w:bCs/>
          <w:color w:val="000000"/>
          <w:sz w:val="24"/>
          <w:highlight w:val="none"/>
          <w:lang w:eastAsia="zh-CN"/>
        </w:rPr>
      </w:r>
      <w:r/>
    </w:p>
    <w:p>
      <w:pPr>
        <w:pStyle w:val="1332"/>
        <w:ind w:firstLine="218"/>
        <w:jc w:val="both"/>
        <w:keepLines w:val="0"/>
        <w:keepNext w:val="0"/>
        <w:pageBreakBefore w:val="0"/>
        <w:spacing w:line="400" w:lineRule="exact"/>
        <w:tabs>
          <w:tab w:val="left" w:pos="420" w:leader="none"/>
        </w:tabs>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（2）采取不正当手段诋毁、排挤其他投标供应商的；</w:t>
      </w:r>
      <w:r>
        <w:rPr>
          <w:rFonts w:hint="eastAsia" w:ascii="宋体" w:hAnsi="宋体" w:eastAsia="宋体" w:cs="宋体"/>
          <w:bCs/>
          <w:color w:val="000000"/>
          <w:sz w:val="24"/>
          <w:highlight w:val="none"/>
          <w:lang w:eastAsia="zh-CN"/>
        </w:rPr>
      </w:r>
      <w:r/>
    </w:p>
    <w:p>
      <w:pPr>
        <w:pStyle w:val="1064"/>
        <w:ind w:firstLine="218"/>
        <w:jc w:val="left"/>
        <w:keepLines w:val="0"/>
        <w:keepNext w:val="0"/>
        <w:pageBreakBefore w:val="0"/>
        <w:spacing w:line="40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（3）与招标采购单位、其他投标供应商恶意串通的；</w:t>
      </w:r>
      <w:r>
        <w:rPr>
          <w:rFonts w:hint="eastAsia" w:ascii="宋体" w:hAnsi="宋体" w:eastAsia="宋体" w:cs="宋体"/>
          <w:bCs/>
          <w:color w:val="000000"/>
          <w:sz w:val="24"/>
          <w:highlight w:val="none"/>
        </w:rPr>
      </w:r>
      <w:r/>
    </w:p>
    <w:p>
      <w:pPr>
        <w:pStyle w:val="1064"/>
        <w:ind w:firstLine="218"/>
        <w:keepLines w:val="0"/>
        <w:keepNext w:val="0"/>
        <w:pageBreakBefore w:val="0"/>
        <w:spacing w:line="40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（4）向采购人行贿或者提供其他不正当利益的；</w:t>
      </w:r>
      <w:r>
        <w:rPr>
          <w:rFonts w:hint="eastAsia" w:ascii="宋体" w:hAnsi="宋体" w:eastAsia="宋体" w:cs="宋体"/>
          <w:bCs/>
          <w:color w:val="000000"/>
          <w:sz w:val="24"/>
          <w:highlight w:val="none"/>
        </w:rPr>
      </w:r>
      <w:r/>
    </w:p>
    <w:p>
      <w:pPr>
        <w:pStyle w:val="1064"/>
        <w:ind w:firstLine="218"/>
        <w:keepLines w:val="0"/>
        <w:keepNext w:val="0"/>
        <w:pageBreakBefore w:val="0"/>
        <w:spacing w:line="40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（5）在招标过程中与采购人进行协商谈判、不按照招标文件和中标供应商的投标文件订立合同，或者与采购人另行订立背离合同实质性内容的协议的；</w:t>
      </w:r>
      <w:r>
        <w:rPr>
          <w:rFonts w:hint="eastAsia" w:ascii="宋体" w:hAnsi="宋体" w:eastAsia="宋体" w:cs="宋体"/>
          <w:bCs/>
          <w:color w:val="000000"/>
          <w:sz w:val="24"/>
          <w:highlight w:val="none"/>
        </w:rPr>
      </w:r>
      <w:r/>
    </w:p>
    <w:p>
      <w:pPr>
        <w:pStyle w:val="1064"/>
        <w:ind w:firstLine="218"/>
        <w:keepLines w:val="0"/>
        <w:keepNext w:val="0"/>
        <w:pageBreakBefore w:val="0"/>
        <w:spacing w:line="40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（6）拒绝有关部门监督检查或者提供虚假情况的。</w:t>
      </w:r>
      <w:r>
        <w:rPr>
          <w:rFonts w:hint="eastAsia" w:ascii="宋体" w:hAnsi="宋体" w:eastAsia="宋体" w:cs="宋体"/>
          <w:bCs/>
          <w:color w:val="000000"/>
          <w:sz w:val="24"/>
          <w:highlight w:val="none"/>
        </w:rPr>
      </w:r>
      <w:r/>
    </w:p>
    <w:p>
      <w:pPr>
        <w:pStyle w:val="1064"/>
        <w:ind w:firstLine="218"/>
        <w:keepLines w:val="0"/>
        <w:keepNext w:val="0"/>
        <w:pageBreakBefore w:val="0"/>
        <w:spacing w:line="40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投标供应商有上述（1）至（5）项情形之一的，中标无效。有上述（1）至（6）项情形之一的，处以政府采购项目中标金额万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bCs/>
          <w:color w:val="000000"/>
          <w:sz w:val="24"/>
          <w:highlight w:val="none"/>
        </w:rPr>
      </w:r>
      <w:r/>
    </w:p>
    <w:p>
      <w:pPr>
        <w:pStyle w:val="1064"/>
        <w:keepLines w:val="0"/>
        <w:keepNext w:val="0"/>
        <w:pageBreakBefore w:val="0"/>
        <w:spacing w:line="40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（十六）签订、履行合同：</w:t>
      </w:r>
      <w:r>
        <w:rPr>
          <w:rFonts w:hint="eastAsia" w:ascii="宋体" w:hAnsi="宋体" w:eastAsia="宋体" w:cs="宋体"/>
          <w:bCs/>
          <w:color w:val="000000"/>
          <w:sz w:val="24"/>
          <w:highlight w:val="none"/>
        </w:rPr>
      </w:r>
      <w:r/>
    </w:p>
    <w:p>
      <w:pPr>
        <w:pStyle w:val="1064"/>
        <w:ind w:firstLine="600"/>
        <w:keepLines w:val="0"/>
        <w:keepNext w:val="0"/>
        <w:pageBreakBefore w:val="0"/>
        <w:spacing w:line="40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bCs/>
          <w:color w:val="000000"/>
          <w:sz w:val="24"/>
          <w:highlight w:val="none"/>
        </w:rPr>
      </w:r>
      <w:r/>
    </w:p>
    <w:p>
      <w:pPr>
        <w:pStyle w:val="1064"/>
        <w:ind w:firstLine="480"/>
        <w:keepLines w:val="0"/>
        <w:keepNext w:val="0"/>
        <w:pageBreakBefore w:val="0"/>
        <w:spacing w:line="40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江苏建威建设管理有限公司监督合同的履行。中标方非因不可抗力未履行招、投标文件和合同规定的义务，一经查实，采购代理机构将根据具体情况提请政府采购管理部门作出相应处理。</w:t>
      </w:r>
      <w:r>
        <w:rPr>
          <w:rFonts w:hint="eastAsia" w:ascii="宋体" w:hAnsi="宋体" w:eastAsia="宋体" w:cs="宋体"/>
          <w:bCs/>
          <w:color w:val="000000"/>
          <w:sz w:val="24"/>
          <w:highlight w:val="none"/>
        </w:rPr>
      </w:r>
      <w:r/>
    </w:p>
    <w:p>
      <w:pPr>
        <w:pStyle w:val="1064"/>
        <w:keepLines w:val="0"/>
        <w:keepNext w:val="0"/>
        <w:pageBreakBefore w:val="0"/>
        <w:spacing w:line="400" w:lineRule="exact"/>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（十七）代理服务费：</w:t>
      </w:r>
      <w:r>
        <w:rPr>
          <w:rFonts w:hint="eastAsia" w:ascii="宋体" w:hAnsi="宋体" w:eastAsia="宋体" w:cs="宋体"/>
          <w:bCs/>
          <w:color w:val="000000"/>
          <w:sz w:val="24"/>
          <w:highlight w:val="none"/>
        </w:rPr>
      </w:r>
      <w:r/>
    </w:p>
    <w:p>
      <w:pPr>
        <w:pStyle w:val="1064"/>
        <w:ind w:firstLine="480"/>
        <w:keepLines w:val="0"/>
        <w:keepNext w:val="0"/>
        <w:pageBreakBefore w:val="0"/>
        <w:spacing w:line="400" w:lineRule="exact"/>
        <w:tabs>
          <w:tab w:val="left" w:pos="846"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 </w:t>
      </w:r>
      <w:r>
        <w:rPr>
          <w:rFonts w:hint="eastAsia" w:ascii="宋体" w:hAnsi="宋体" w:eastAsia="宋体" w:cs="宋体"/>
          <w:color w:val="000000"/>
          <w:sz w:val="24"/>
          <w:highlight w:val="none"/>
        </w:rPr>
        <w:t xml:space="preserve">本项目代理服务费以成交金额为计费基础，代理服务费费率：100万元以下1.5%，并在此基础上按</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0%计取</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rPr>
        <w:t xml:space="preserve">本项目代理服务费由采购人支付。</w:t>
      </w:r>
      <w:r>
        <w:rPr>
          <w:rFonts w:hint="eastAsia" w:ascii="宋体" w:hAnsi="宋体" w:eastAsia="宋体" w:cs="宋体"/>
          <w:bCs/>
          <w:color w:val="000000"/>
          <w:sz w:val="24"/>
          <w:highlight w:val="none"/>
        </w:rPr>
      </w:r>
      <w:r/>
    </w:p>
    <w:p>
      <w:pPr>
        <w:pStyle w:val="1064"/>
        <w:jc w:val="left"/>
        <w:keepLines w:val="0"/>
        <w:keepNext w:val="0"/>
        <w:pageBreakBefore w:val="0"/>
        <w:spacing w:line="40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（十八）</w:t>
      </w:r>
      <w:r>
        <w:rPr>
          <w:rFonts w:hint="eastAsia" w:ascii="宋体" w:hAnsi="宋体" w:eastAsia="宋体" w:cs="宋体"/>
          <w:color w:val="000000"/>
          <w:sz w:val="24"/>
          <w:highlight w:val="none"/>
        </w:rPr>
        <w:t xml:space="preserve">政府采购合同融资：</w:t>
      </w:r>
      <w:r>
        <w:rPr>
          <w:rFonts w:hint="eastAsia" w:ascii="宋体" w:hAnsi="宋体" w:eastAsia="宋体" w:cs="宋体"/>
          <w:color w:val="000000"/>
          <w:sz w:val="24"/>
          <w:highlight w:val="none"/>
        </w:rPr>
      </w:r>
      <w:r/>
    </w:p>
    <w:p>
      <w:pPr>
        <w:pStyle w:val="1064"/>
        <w:ind w:firstLine="480"/>
        <w:jc w:val="left"/>
        <w:keepLines w:val="0"/>
        <w:keepNext w:val="0"/>
        <w:pageBreakBefore w:val="0"/>
        <w:spacing w:line="400" w:lineRule="exact"/>
        <w:widowControl/>
        <w:tabs>
          <w:tab w:val="left" w:pos="846"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合同融资，是指参与政府采购的供应商，凭借中</w:t>
      </w:r>
      <w:r>
        <w:rPr>
          <w:rFonts w:hint="eastAsia" w:ascii="宋体" w:hAnsi="宋体" w:eastAsia="宋体" w:cs="宋体"/>
          <w:bCs/>
          <w:color w:val="000000"/>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eastAsia="宋体" w:cs="宋体"/>
          <w:bCs/>
          <w:color w:val="000000"/>
          <w:sz w:val="24"/>
          <w:highlight w:val="none"/>
        </w:rPr>
      </w:r>
      <w:r/>
    </w:p>
    <w:p>
      <w:pPr>
        <w:pStyle w:val="1064"/>
        <w:ind w:firstLine="480"/>
        <w:jc w:val="left"/>
        <w:keepLines w:val="0"/>
        <w:keepNext w:val="0"/>
        <w:pageBreakBefore w:val="0"/>
        <w:spacing w:line="400" w:lineRule="exact"/>
        <w:widowControl/>
        <w:tabs>
          <w:tab w:val="left" w:pos="846"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中标、成交供应商可根据自身情况，自行决定是否选择采用合同融资形式，在无锡政府采购网——政采贷专栏提供的银行名录内自主选择合作银行。如需要政府采购合同融资，请按《关于开展政府采购合同融资工作的通知》</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锡财购 </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2020</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 17号</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、《关于进一步推进政府采购合同融资工作的通知》</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 锡财购</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2022</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 7号</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文件执行。</w:t>
      </w:r>
      <w:r>
        <w:rPr>
          <w:rFonts w:hint="eastAsia" w:ascii="宋体" w:hAnsi="宋体" w:eastAsia="宋体" w:cs="宋体"/>
          <w:bCs/>
          <w:color w:val="000000"/>
          <w:sz w:val="24"/>
          <w:highlight w:val="none"/>
        </w:rPr>
      </w:r>
      <w:r/>
    </w:p>
    <w:p>
      <w:pPr>
        <w:pStyle w:val="1064"/>
        <w:jc w:val="left"/>
        <w:keepLines w:val="0"/>
        <w:keepNext w:val="0"/>
        <w:pageBreakBefore w:val="0"/>
        <w:spacing w:line="40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4"/>
        <w:jc w:val="both"/>
        <w:keepLines w:val="0"/>
        <w:keepNext w:val="0"/>
        <w:pageBreakBefore w:val="0"/>
        <w:spacing w:line="40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附：无锡市政府采购合同融资政策告知函：</w:t>
      </w:r>
      <w:r>
        <w:rPr>
          <w:rFonts w:hint="eastAsia" w:ascii="宋体" w:hAnsi="宋体" w:eastAsia="宋体" w:cs="宋体"/>
          <w:color w:val="000000"/>
          <w:sz w:val="24"/>
          <w:highlight w:val="none"/>
        </w:rPr>
      </w:r>
      <w:r/>
    </w:p>
    <w:p>
      <w:pPr>
        <w:pStyle w:val="1064"/>
        <w:ind w:firstLine="360"/>
        <w:jc w:val="left"/>
        <w:keepLines w:val="0"/>
        <w:keepNext w:val="0"/>
        <w:pageBreakBefore w:val="0"/>
        <w:spacing w:line="40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中标、成交供应商可依法依规使用本项目合同向金融机构融资，但采购人不为成交供应商的融资行为提供担保。</w:t>
      </w:r>
      <w:r>
        <w:rPr>
          <w:rFonts w:hint="eastAsia" w:ascii="宋体" w:hAnsi="宋体" w:eastAsia="宋体" w:cs="宋体"/>
          <w:color w:val="000000"/>
          <w:sz w:val="24"/>
          <w:highlight w:val="none"/>
        </w:rPr>
      </w:r>
      <w:r/>
    </w:p>
    <w:p>
      <w:pPr>
        <w:pStyle w:val="1064"/>
        <w:ind w:firstLine="360"/>
        <w:jc w:val="center"/>
        <w:keepLines w:val="0"/>
        <w:keepNext w:val="0"/>
        <w:pageBreakBefore w:val="0"/>
        <w:spacing w:line="40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无锡市政府采购合同融资政策告知函</w:t>
      </w:r>
      <w:r>
        <w:rPr>
          <w:rFonts w:hint="eastAsia" w:ascii="宋体" w:hAnsi="宋体" w:eastAsia="宋体" w:cs="宋体"/>
          <w:color w:val="000000"/>
          <w:sz w:val="24"/>
          <w:highlight w:val="none"/>
        </w:rPr>
      </w:r>
      <w:r/>
    </w:p>
    <w:p>
      <w:pPr>
        <w:pStyle w:val="1064"/>
        <w:ind w:firstLine="360"/>
        <w:jc w:val="left"/>
        <w:keepLines w:val="0"/>
        <w:keepNext w:val="0"/>
        <w:pageBreakBefore w:val="0"/>
        <w:spacing w:line="40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各供应商：</w:t>
      </w:r>
      <w:r>
        <w:rPr>
          <w:rFonts w:hint="eastAsia" w:ascii="宋体" w:hAnsi="宋体" w:eastAsia="宋体" w:cs="宋体"/>
          <w:color w:val="000000"/>
          <w:sz w:val="24"/>
          <w:highlight w:val="none"/>
        </w:rPr>
      </w:r>
      <w:r/>
    </w:p>
    <w:p>
      <w:pPr>
        <w:pStyle w:val="1064"/>
        <w:ind w:firstLine="360"/>
        <w:jc w:val="left"/>
        <w:keepLines w:val="0"/>
        <w:keepNext w:val="0"/>
        <w:pageBreakBefore w:val="0"/>
        <w:spacing w:line="40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欢迎贵公司参与无锡市政府采购活动！</w:t>
      </w:r>
      <w:r>
        <w:rPr>
          <w:rFonts w:hint="eastAsia" w:ascii="宋体" w:hAnsi="宋体" w:eastAsia="宋体" w:cs="宋体"/>
          <w:color w:val="000000"/>
          <w:sz w:val="24"/>
          <w:highlight w:val="none"/>
        </w:rPr>
      </w:r>
      <w:r/>
    </w:p>
    <w:p>
      <w:pPr>
        <w:pStyle w:val="1064"/>
        <w:ind w:firstLine="360"/>
        <w:jc w:val="left"/>
        <w:keepLines w:val="0"/>
        <w:keepNext w:val="0"/>
        <w:pageBreakBefore w:val="0"/>
        <w:spacing w:line="40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rPr>
          <w:rFonts w:hint="eastAsia" w:ascii="宋体" w:hAnsi="宋体" w:eastAsia="宋体" w:cs="宋体"/>
          <w:color w:val="000000"/>
          <w:sz w:val="24"/>
          <w:highlight w:val="none"/>
        </w:rPr>
      </w:r>
      <w:r/>
    </w:p>
    <w:p>
      <w:pPr>
        <w:pStyle w:val="1064"/>
        <w:ind w:firstLine="360"/>
        <w:jc w:val="left"/>
        <w:keepLines w:val="0"/>
        <w:keepNext w:val="0"/>
        <w:pageBreakBefore w:val="0"/>
        <w:spacing w:line="40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贷款渠道和提供贷款的金融机构，可在无锡政府采购网无锡市政府采购交易管理一体化系统查询联系。</w:t>
      </w:r>
      <w:r>
        <w:rPr>
          <w:rFonts w:hint="eastAsia" w:ascii="宋体" w:hAnsi="宋体" w:eastAsia="宋体" w:cs="宋体"/>
          <w:color w:val="000000"/>
          <w:sz w:val="24"/>
          <w:highlight w:val="none"/>
        </w:rPr>
      </w:r>
      <w:r/>
    </w:p>
    <w:p>
      <w:pPr>
        <w:pStyle w:val="110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4"/>
        <w:ind w:firstLine="360"/>
        <w:jc w:val="left"/>
        <w:spacing w:line="42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0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4"/>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64"/>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64"/>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64"/>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三、采购需求</w:t>
      </w:r>
      <w:r>
        <w:rPr>
          <w:rFonts w:hint="eastAsia" w:ascii="宋体" w:hAnsi="宋体" w:eastAsia="宋体" w:cs="宋体"/>
          <w:color w:val="000000"/>
          <w:sz w:val="32"/>
          <w:szCs w:val="32"/>
          <w:highlight w:val="none"/>
        </w:rPr>
      </w:r>
      <w:r/>
    </w:p>
    <w:p>
      <w:pPr>
        <w:pStyle w:val="1064"/>
        <w:jc w:val="left"/>
        <w:keepLines w:val="0"/>
        <w:keepNext w:val="0"/>
        <w:pageBreakBefore w:val="0"/>
        <w:spacing w:before="90" w:after="90" w:line="440" w:lineRule="exact"/>
        <w:shd w:val="clear" w:color="auto" w:fill="ffffff"/>
        <w:widowControl/>
        <w:rPr>
          <w:rFonts w:hint="eastAsia" w:ascii="宋体" w:hAnsi="宋体" w:eastAsia="宋体" w:cs="宋体"/>
          <w:b/>
          <w:color w:val="000000"/>
          <w:sz w:val="26"/>
          <w:szCs w:val="26"/>
          <w:highlight w:val="none"/>
        </w:rPr>
      </w:pPr>
      <w:r/>
      <w:bookmarkStart w:id="6" w:name="_Toc231463948"/>
      <w:r/>
      <w:bookmarkStart w:id="7" w:name="_Toc38197191"/>
      <w:r>
        <w:rPr>
          <w:rFonts w:hint="eastAsia" w:ascii="宋体" w:hAnsi="宋体" w:eastAsia="宋体" w:cs="宋体"/>
          <w:b/>
          <w:color w:val="000000"/>
          <w:sz w:val="26"/>
          <w:szCs w:val="26"/>
          <w:highlight w:val="none"/>
        </w:rPr>
        <w:t xml:space="preserve">（一）采购标的需实现的功能或者目标，以及为落实政府采购政策需满足的要求：</w:t>
      </w:r>
      <w:r>
        <w:rPr>
          <w:rFonts w:hint="eastAsia" w:ascii="宋体" w:hAnsi="宋体" w:eastAsia="宋体" w:cs="宋体"/>
          <w:b/>
          <w:color w:val="000000"/>
          <w:sz w:val="26"/>
          <w:szCs w:val="26"/>
          <w:highlight w:val="none"/>
        </w:rPr>
      </w:r>
      <w:r/>
    </w:p>
    <w:p>
      <w:pPr>
        <w:pStyle w:val="1064"/>
        <w:ind w:firstLine="482"/>
        <w:jc w:val="both"/>
        <w:keepLines w:val="0"/>
        <w:keepNext w:val="0"/>
        <w:pageBreakBefore w:val="0"/>
        <w:spacing w:line="440" w:lineRule="exact"/>
        <w:widowControl/>
        <w:rPr>
          <w:rFonts w:hint="eastAsia" w:ascii="宋体" w:hAnsi="宋体" w:eastAsia="宋体" w:cs="宋体"/>
          <w:color w:val="000000"/>
          <w:sz w:val="24"/>
          <w:highlight w:val="none"/>
        </w:rPr>
        <w:outlineLvl w:val="0"/>
      </w:pPr>
      <w:r>
        <w:rPr>
          <w:rFonts w:hint="eastAsia" w:ascii="宋体" w:hAnsi="宋体" w:eastAsia="宋体" w:cs="宋体"/>
          <w:b/>
          <w:bCs/>
          <w:color w:val="000000"/>
          <w:sz w:val="24"/>
          <w:highlight w:val="none"/>
        </w:rPr>
        <w:t xml:space="preserve">1、采购标的需实现的功能或者目标：</w:t>
      </w:r>
      <w:r>
        <w:rPr>
          <w:rFonts w:hint="eastAsia" w:ascii="宋体" w:hAnsi="宋体" w:eastAsia="宋体" w:cs="宋体"/>
          <w:color w:val="000000"/>
          <w:sz w:val="24"/>
          <w:highlight w:val="none"/>
          <w:lang w:eastAsia="zh-CN"/>
        </w:rPr>
        <w:t xml:space="preserve">无锡金属表面处理科技工业园区总占地面积为1.43km2。工业园位于无锡市西北部、惠山区西北、杨市镇镇区北部，北起锡溧运河以北950米，南至锡溧运河，西起北红线，东到杨市镇与洛社镇交界处。园内目前共有企业34家，主要从事电镀生产活动。现需对该地块公共面积开展土壤和地下水污染状况详细调查，具体包括监测井建设、水文地质调查和土壤、地下水样品检测，进一步明确土壤地下水污染程度和范围，开展风险评估，并进一步开展污染风险管控方案编制工作，为地块的开发利用提供数据支撑和科学依据，并按相关要求报送至生态环境管理部门。</w:t>
      </w:r>
      <w:r>
        <w:rPr>
          <w:rFonts w:hint="eastAsia" w:ascii="宋体" w:hAnsi="宋体" w:eastAsia="宋体" w:cs="宋体"/>
          <w:color w:val="000000"/>
          <w:sz w:val="24"/>
          <w:highlight w:val="none"/>
        </w:rPr>
      </w:r>
      <w:r/>
    </w:p>
    <w:p>
      <w:pPr>
        <w:pStyle w:val="1064"/>
        <w:ind w:firstLine="482"/>
        <w:jc w:val="both"/>
        <w:keepLines w:val="0"/>
        <w:keepNext w:val="0"/>
        <w:pageBreakBefore w:val="0"/>
        <w:spacing w:line="440" w:lineRule="exact"/>
        <w:widowControl/>
        <w:rPr>
          <w:rFonts w:hint="eastAsia" w:ascii="宋体" w:hAnsi="宋体" w:eastAsia="宋体" w:cs="宋体"/>
          <w:color w:val="000000"/>
          <w:sz w:val="24"/>
          <w:highlight w:val="none"/>
          <w:lang w:val="zh-CN" w:eastAsia="zh-CN"/>
        </w:rPr>
        <w:outlineLvl w:val="0"/>
      </w:pPr>
      <w:r>
        <w:rPr>
          <w:rFonts w:hint="eastAsia" w:ascii="宋体" w:hAnsi="宋体" w:eastAsia="宋体" w:cs="宋体"/>
          <w:b/>
          <w:bCs/>
          <w:color w:val="000000"/>
          <w:sz w:val="24"/>
          <w:highlight w:val="none"/>
        </w:rPr>
        <w:t xml:space="preserve">2、为落实政府采购政策需满足的要求：</w:t>
      </w:r>
      <w:bookmarkStart w:id="8" w:name="_Hlk37959418"/>
      <w:r>
        <w:rPr>
          <w:rFonts w:hint="eastAsia" w:ascii="宋体" w:hAnsi="宋体" w:eastAsia="宋体" w:cs="宋体"/>
          <w:color w:val="000000"/>
          <w:sz w:val="24"/>
          <w:highlight w:val="none"/>
          <w:lang w:eastAsia="zh-CN"/>
        </w:rPr>
        <w:t xml:space="preserve">按照《关于进一步加大政府采购支持中小企业力度的通知》财库（2022）19 号的规定，</w:t>
      </w:r>
      <w:r>
        <w:rPr>
          <w:rFonts w:hint="eastAsia" w:ascii="宋体" w:hAnsi="宋体" w:eastAsia="宋体" w:cs="宋体"/>
          <w:color w:val="000000"/>
          <w:sz w:val="24"/>
          <w:highlight w:val="none"/>
          <w:lang w:val="zh-CN" w:eastAsia="zh-CN"/>
        </w:rPr>
        <w:t xml:space="preserve">对小型和微型企业、监狱企业、残疾人福利企业的价格给予10%的扣除，用扣除后的价格进行评审。</w:t>
      </w:r>
      <w:r>
        <w:rPr>
          <w:rFonts w:hint="eastAsia" w:ascii="宋体" w:hAnsi="宋体" w:eastAsia="宋体" w:cs="宋体"/>
          <w:color w:val="000000"/>
          <w:sz w:val="24"/>
          <w:highlight w:val="none"/>
          <w:lang w:val="zh-CN" w:eastAsia="zh-CN"/>
        </w:rPr>
      </w:r>
      <w:r/>
    </w:p>
    <w:p>
      <w:pPr>
        <w:pStyle w:val="1064"/>
        <w:ind w:firstLine="480"/>
        <w:jc w:val="both"/>
        <w:keepLines w:val="0"/>
        <w:keepNext w:val="0"/>
        <w:pageBreakBefore w:val="0"/>
        <w:spacing w:line="440" w:lineRule="exact"/>
        <w:widowControl/>
        <w:rPr>
          <w:rFonts w:hint="eastAsia" w:ascii="宋体" w:hAnsi="宋体" w:eastAsia="宋体" w:cs="宋体"/>
          <w:color w:val="000000"/>
          <w:sz w:val="24"/>
          <w:highlight w:val="none"/>
          <w:lang w:val="zh-CN" w:eastAsia="zh-CN"/>
        </w:rPr>
        <w:outlineLvl w:val="0"/>
      </w:pPr>
      <w:r>
        <w:rPr>
          <w:rFonts w:hint="eastAsia" w:ascii="宋体" w:hAnsi="宋体" w:eastAsia="宋体" w:cs="宋体"/>
          <w:color w:val="000000"/>
          <w:sz w:val="24"/>
          <w:highlight w:val="none"/>
          <w:lang w:val="zh-CN" w:eastAsia="zh-CN"/>
        </w:rPr>
        <w:t xml:space="preserve">①、对小型和微型企业的价格给予10%的扣除，用扣除后的价格参与评审。投标供应商如为中小企业，应当按照《政府采购促进中小企业发展管理办法》（财库﹝2020﹞46 号）的规定提供《中小企业声明函》（中小企业划型标准详见《关于印发中小企业划型标准规定的通知》工信部联企业〔2011〕300号）。</w:t>
      </w:r>
      <w:r>
        <w:rPr>
          <w:rFonts w:hint="eastAsia" w:ascii="宋体" w:hAnsi="宋体" w:eastAsia="宋体" w:cs="宋体"/>
          <w:color w:val="000000"/>
          <w:sz w:val="24"/>
          <w:highlight w:val="none"/>
          <w:lang w:val="zh-CN" w:eastAsia="zh-CN"/>
        </w:rPr>
      </w:r>
      <w:r/>
    </w:p>
    <w:p>
      <w:pPr>
        <w:pStyle w:val="1064"/>
        <w:ind w:firstLine="480"/>
        <w:jc w:val="both"/>
        <w:keepLines w:val="0"/>
        <w:keepNext w:val="0"/>
        <w:pageBreakBefore w:val="0"/>
        <w:spacing w:line="440" w:lineRule="exact"/>
        <w:widowControl/>
        <w:rPr>
          <w:rFonts w:hint="eastAsia" w:ascii="宋体" w:hAnsi="宋体" w:eastAsia="宋体" w:cs="宋体"/>
          <w:color w:val="000000"/>
          <w:sz w:val="24"/>
          <w:highlight w:val="none"/>
          <w:lang w:val="zh-CN" w:eastAsia="zh-CN"/>
        </w:rPr>
        <w:outlineLvl w:val="0"/>
      </w:pPr>
      <w:r>
        <w:rPr>
          <w:rFonts w:hint="eastAsia" w:ascii="宋体" w:hAnsi="宋体" w:eastAsia="宋体" w:cs="宋体"/>
          <w:color w:val="000000"/>
          <w:sz w:val="24"/>
          <w:highlight w:val="none"/>
          <w:lang w:val="zh-CN" w:eastAsia="zh-CN"/>
        </w:rPr>
        <w:t xml:space="preserve">②、监狱企业视同小型、微型企业，对其价格给予10%的扣除，用扣除后的价格参与评审。投标供应商如为监狱企业，应当按照《关于政府采购支持监狱企业发展有关问题的通知》（财库[2014]68号）的规定提供由省级以上监狱管理局、戒毒管理局（含新疆生产建设兵团）出具的属于监狱企业的证明文件复印件。</w:t>
      </w:r>
      <w:r>
        <w:rPr>
          <w:rFonts w:hint="eastAsia" w:ascii="宋体" w:hAnsi="宋体" w:eastAsia="宋体" w:cs="宋体"/>
          <w:color w:val="000000"/>
          <w:sz w:val="24"/>
          <w:highlight w:val="none"/>
          <w:lang w:val="zh-CN" w:eastAsia="zh-CN"/>
        </w:rPr>
      </w:r>
      <w:r/>
    </w:p>
    <w:p>
      <w:pPr>
        <w:pStyle w:val="1064"/>
        <w:ind w:firstLine="480"/>
        <w:jc w:val="both"/>
        <w:keepLines w:val="0"/>
        <w:keepNext w:val="0"/>
        <w:pageBreakBefore w:val="0"/>
        <w:spacing w:line="440" w:lineRule="exact"/>
        <w:widowControl/>
        <w:rPr>
          <w:rFonts w:hint="eastAsia" w:ascii="宋体" w:hAnsi="宋体" w:eastAsia="宋体" w:cs="宋体"/>
          <w:color w:val="000000"/>
          <w:sz w:val="24"/>
          <w:highlight w:val="none"/>
          <w:lang w:val="zh-CN" w:eastAsia="zh-CN"/>
        </w:rPr>
        <w:outlineLvl w:val="0"/>
      </w:pPr>
      <w:r>
        <w:rPr>
          <w:rFonts w:hint="eastAsia" w:ascii="宋体" w:hAnsi="宋体" w:eastAsia="宋体" w:cs="宋体"/>
          <w:color w:val="000000"/>
          <w:sz w:val="24"/>
          <w:highlight w:val="none"/>
          <w:lang w:val="zh-CN" w:eastAsia="zh-CN"/>
        </w:rPr>
        <w:t xml:space="preserve">③、残疾人福利性单位视同小型、微型企业，对其价格给予10%的扣除，用扣除后的价格参与评审。投标供应商如为残疾人福利性单位，应当按照《财政部、民政部、中国残疾人联合会关于促进残疾人就业政府采购政策的通知》（财库〔2017〕141号）的规定提供《残疾人福利性单位声明函》。</w:t>
      </w:r>
      <w:r>
        <w:rPr>
          <w:rFonts w:hint="eastAsia" w:ascii="宋体" w:hAnsi="宋体" w:eastAsia="宋体" w:cs="宋体"/>
          <w:color w:val="000000"/>
          <w:sz w:val="24"/>
          <w:highlight w:val="none"/>
          <w:lang w:val="zh-CN" w:eastAsia="zh-CN"/>
        </w:rPr>
      </w:r>
      <w:r/>
    </w:p>
    <w:p>
      <w:pPr>
        <w:pStyle w:val="1064"/>
        <w:ind w:firstLine="480"/>
        <w:jc w:val="both"/>
        <w:keepLines w:val="0"/>
        <w:keepNext w:val="0"/>
        <w:pageBreakBefore w:val="0"/>
        <w:spacing w:line="440" w:lineRule="exact"/>
        <w:widowControl/>
        <w:rPr>
          <w:rFonts w:hint="eastAsia" w:ascii="宋体" w:hAnsi="宋体" w:eastAsia="宋体" w:cs="宋体"/>
          <w:color w:val="000000"/>
          <w:sz w:val="24"/>
          <w:highlight w:val="none"/>
          <w:lang w:val="zh-CN" w:eastAsia="zh-CN"/>
        </w:rPr>
        <w:outlineLvl w:val="0"/>
      </w:pPr>
      <w:r>
        <w:rPr>
          <w:rFonts w:hint="eastAsia" w:ascii="宋体" w:hAnsi="宋体" w:eastAsia="宋体" w:cs="宋体"/>
          <w:color w:val="000000"/>
          <w:sz w:val="24"/>
          <w:highlight w:val="none"/>
          <w:lang w:val="zh-CN" w:eastAsia="zh-CN"/>
        </w:rPr>
        <w:t xml:space="preserve">④以联合体形式参加政府采购活动的，联合体各方均为中小企业的，联合体视同中小企业；联合体各方均为小微企业的，联合体视同小微企业。大中型企业与小微企业组成联合体且联合协议约定小微企业的合同份额占到合同总金额30%以上的，给予联合体报价4%的扣除。</w:t>
      </w:r>
      <w:r>
        <w:rPr>
          <w:rFonts w:hint="eastAsia" w:ascii="宋体" w:hAnsi="宋体"/>
          <w:bCs/>
          <w:color w:val="000000"/>
          <w:sz w:val="24"/>
          <w:szCs w:val="24"/>
          <w:highlight w:val="none"/>
        </w:rPr>
        <w:t xml:space="preserve">组成联合体的小微企业与联合体内其他企业之间存在直接控股、管理关系的，不享受价格扣除。</w:t>
      </w:r>
      <w:r>
        <w:rPr>
          <w:rFonts w:hint="eastAsia" w:ascii="宋体" w:hAnsi="宋体"/>
          <w:bCs/>
          <w:color w:val="000000"/>
          <w:sz w:val="24"/>
          <w:szCs w:val="24"/>
          <w:highlight w:val="none"/>
          <w:lang w:eastAsia="zh-CN"/>
        </w:rPr>
        <w:t xml:space="preserve">组成联合体的小微企业与联合体内其他企业之间存在直接控股、管理关系的</w:t>
      </w:r>
      <w:r>
        <w:rPr>
          <w:rFonts w:ascii="宋体" w:hAnsi="宋体"/>
          <w:bCs/>
          <w:color w:val="000000"/>
          <w:sz w:val="24"/>
          <w:szCs w:val="24"/>
          <w:highlight w:val="none"/>
        </w:rPr>
        <w:t xml:space="preserve">，不得享受价格扣除</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lang w:val="en-US" w:eastAsia="zh-CN"/>
        </w:rPr>
        <w:t xml:space="preserve">书</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关系，如未进行明确的亦不得享受价格扣除</w:t>
      </w:r>
      <w:r>
        <w:rPr>
          <w:rFonts w:hint="eastAsia" w:ascii="宋体" w:hAnsi="宋体"/>
          <w:bCs/>
          <w:color w:val="000000"/>
          <w:sz w:val="24"/>
          <w:szCs w:val="24"/>
          <w:highlight w:val="none"/>
          <w:lang w:eastAsia="zh-CN"/>
        </w:rPr>
        <w:t xml:space="preserve">。</w:t>
      </w:r>
      <w:r>
        <w:rPr>
          <w:rFonts w:hint="eastAsia" w:ascii="宋体" w:hAnsi="宋体" w:eastAsia="宋体" w:cs="宋体"/>
          <w:color w:val="000000"/>
          <w:sz w:val="24"/>
          <w:highlight w:val="none"/>
          <w:lang w:val="zh-CN" w:eastAsia="zh-CN"/>
        </w:rPr>
      </w:r>
      <w:r/>
    </w:p>
    <w:p>
      <w:pPr>
        <w:pStyle w:val="1064"/>
        <w:ind w:firstLine="480"/>
        <w:jc w:val="both"/>
        <w:keepLines w:val="0"/>
        <w:keepNext w:val="0"/>
        <w:pageBreakBefore w:val="0"/>
        <w:spacing w:line="440" w:lineRule="exact"/>
        <w:widowControl/>
        <w:rPr>
          <w:rFonts w:hint="eastAsia" w:ascii="宋体" w:hAnsi="宋体" w:eastAsia="宋体" w:cs="宋体"/>
          <w:color w:val="000000"/>
          <w:sz w:val="24"/>
          <w:highlight w:val="none"/>
          <w:lang w:val="zh-CN" w:eastAsia="zh-CN"/>
        </w:rPr>
        <w:outlineLvl w:val="0"/>
      </w:pPr>
      <w:r>
        <w:rPr>
          <w:rFonts w:hint="eastAsia" w:ascii="宋体" w:hAnsi="宋体" w:eastAsia="宋体" w:cs="宋体"/>
          <w:color w:val="000000"/>
          <w:sz w:val="24"/>
          <w:highlight w:val="none"/>
          <w:lang w:val="zh-CN" w:eastAsia="zh-CN"/>
        </w:rPr>
        <w:t xml:space="preserve">投标供应商企业性质如按上述文件规定，同时属于可享受价格扣除的两类或两类以上企业，不享受重复价格扣除。</w:t>
      </w:r>
      <w:r>
        <w:rPr>
          <w:rFonts w:hint="eastAsia" w:ascii="宋体" w:hAnsi="宋体" w:eastAsia="宋体" w:cs="宋体"/>
          <w:color w:val="000000"/>
          <w:sz w:val="24"/>
          <w:highlight w:val="none"/>
          <w:lang w:val="zh-CN" w:eastAsia="zh-CN"/>
        </w:rPr>
      </w:r>
      <w:r/>
    </w:p>
    <w:p>
      <w:pPr>
        <w:pStyle w:val="1064"/>
        <w:ind w:firstLine="480"/>
        <w:jc w:val="left"/>
        <w:keepLines w:val="0"/>
        <w:keepNext w:val="0"/>
        <w:pageBreakBefore w:val="0"/>
        <w:spacing w:line="440" w:lineRule="exact"/>
        <w:widowControl/>
        <w:rPr>
          <w:rFonts w:hint="eastAsia" w:ascii="宋体" w:hAnsi="宋体" w:eastAsia="宋体" w:cs="宋体"/>
          <w:color w:val="000000"/>
          <w:sz w:val="24"/>
          <w:highlight w:val="none"/>
          <w:lang w:val="zh-CN" w:eastAsia="zh-CN"/>
        </w:rPr>
        <w:outlineLvl w:val="0"/>
      </w:pPr>
      <w:r>
        <w:rPr>
          <w:rFonts w:hint="eastAsia" w:ascii="宋体" w:hAnsi="宋体" w:eastAsia="宋体" w:cs="宋体"/>
          <w:color w:val="000000"/>
          <w:sz w:val="24"/>
          <w:highlight w:val="none"/>
          <w:lang w:val="zh-CN" w:eastAsia="zh-CN"/>
        </w:rPr>
        <w:t xml:space="preserve">本项目为非专门面向中小企业的项目。</w:t>
      </w:r>
      <w:r>
        <w:rPr>
          <w:rFonts w:hint="eastAsia" w:ascii="宋体" w:hAnsi="宋体" w:eastAsia="宋体" w:cs="宋体"/>
          <w:color w:val="000000"/>
          <w:sz w:val="24"/>
          <w:highlight w:val="none"/>
          <w:lang w:val="zh-CN" w:eastAsia="zh-CN"/>
        </w:rPr>
      </w:r>
      <w:r/>
    </w:p>
    <w:p>
      <w:pPr>
        <w:pStyle w:val="1064"/>
        <w:jc w:val="left"/>
        <w:keepLines w:val="0"/>
        <w:keepNext w:val="0"/>
        <w:pageBreakBefore w:val="0"/>
        <w:spacing w:line="440" w:lineRule="exact"/>
        <w:widowControl/>
        <w:rPr>
          <w:rFonts w:hint="eastAsia" w:ascii="宋体" w:hAnsi="宋体" w:eastAsia="宋体" w:cs="宋体"/>
          <w:b/>
          <w:color w:val="000000"/>
          <w:sz w:val="26"/>
          <w:szCs w:val="26"/>
          <w:highlight w:val="none"/>
        </w:rPr>
        <w:outlineLvl w:val="0"/>
      </w:pPr>
      <w:r>
        <w:rPr>
          <w:rFonts w:hint="eastAsia" w:ascii="宋体" w:hAnsi="宋体" w:eastAsia="宋体" w:cs="宋体"/>
          <w:b/>
          <w:color w:val="000000"/>
          <w:sz w:val="26"/>
          <w:szCs w:val="26"/>
          <w:highlight w:val="none"/>
        </w:rPr>
        <w:t xml:space="preserve">（二）本项目采购标的概况、采购项目交付或者实施的时间、地点</w:t>
      </w:r>
      <w:bookmarkEnd w:id="8"/>
      <w:r>
        <w:rPr>
          <w:rFonts w:hint="eastAsia" w:ascii="宋体" w:hAnsi="宋体" w:eastAsia="宋体" w:cs="宋体"/>
          <w:b/>
          <w:color w:val="000000"/>
          <w:sz w:val="26"/>
          <w:szCs w:val="26"/>
          <w:highlight w:val="none"/>
        </w:rPr>
        <w:t xml:space="preserve">、内容及要求：</w:t>
      </w:r>
      <w:r>
        <w:rPr>
          <w:rFonts w:hint="eastAsia" w:ascii="宋体" w:hAnsi="宋体" w:eastAsia="宋体" w:cs="宋体"/>
          <w:b/>
          <w:color w:val="000000"/>
          <w:sz w:val="26"/>
          <w:szCs w:val="26"/>
          <w:highlight w:val="none"/>
        </w:rPr>
      </w:r>
      <w:r/>
    </w:p>
    <w:p>
      <w:pPr>
        <w:pStyle w:val="1064"/>
        <w:ind w:firstLine="482"/>
        <w:jc w:val="both"/>
        <w:keepLines w:val="0"/>
        <w:keepNext w:val="0"/>
        <w:pageBreakBefore w:val="0"/>
        <w:spacing w:line="440" w:lineRule="exact"/>
        <w:rPr>
          <w:rFonts w:hint="eastAsia" w:ascii="宋体" w:hAnsi="宋体" w:eastAsia="宋体" w:cs="宋体"/>
          <w:color w:val="000000"/>
          <w:sz w:val="24"/>
          <w:highlight w:val="none"/>
          <w:lang w:eastAsia="zh-CN"/>
        </w:rPr>
      </w:pPr>
      <w:r>
        <w:rPr>
          <w:rFonts w:hint="eastAsia" w:ascii="宋体" w:hAnsi="宋体" w:eastAsia="宋体" w:cs="宋体"/>
          <w:b/>
          <w:bCs/>
          <w:color w:val="000000"/>
          <w:sz w:val="24"/>
          <w:highlight w:val="none"/>
        </w:rPr>
        <w:t xml:space="preserve">1、项目编号：</w:t>
      </w:r>
      <w:r>
        <w:rPr>
          <w:rFonts w:hint="eastAsia" w:ascii="宋体" w:hAnsi="宋体" w:eastAsia="宋体" w:cs="宋体"/>
          <w:bCs/>
          <w:color w:val="000000"/>
          <w:sz w:val="24"/>
          <w:highlight w:val="none"/>
          <w:lang w:eastAsia="zh-CN"/>
        </w:rPr>
        <w:t xml:space="preserve">JSZC-320206-JSJW-G2024-0076</w:t>
      </w:r>
      <w:r>
        <w:rPr>
          <w:rFonts w:hint="eastAsia" w:ascii="宋体" w:hAnsi="宋体" w:eastAsia="宋体" w:cs="宋体"/>
          <w:color w:val="000000"/>
          <w:sz w:val="24"/>
          <w:highlight w:val="none"/>
          <w:lang w:eastAsia="zh-CN"/>
        </w:rPr>
      </w:r>
      <w:r/>
    </w:p>
    <w:p>
      <w:pPr>
        <w:pStyle w:val="1064"/>
        <w:ind w:firstLine="482"/>
        <w:jc w:val="both"/>
        <w:keepLines w:val="0"/>
        <w:keepNext w:val="0"/>
        <w:pageBreakBefore w:val="0"/>
        <w:spacing w:line="440" w:lineRule="exact"/>
        <w:widowControl/>
        <w:rPr>
          <w:rFonts w:hint="eastAsia" w:ascii="宋体" w:hAnsi="宋体" w:eastAsia="宋体" w:cs="宋体"/>
          <w:color w:val="000000"/>
          <w:sz w:val="24"/>
          <w:highlight w:val="none"/>
          <w:lang w:eastAsia="zh-CN"/>
        </w:rPr>
      </w:pPr>
      <w:r>
        <w:rPr>
          <w:rFonts w:hint="eastAsia" w:ascii="宋体" w:hAnsi="宋体" w:eastAsia="宋体" w:cs="宋体"/>
          <w:b/>
          <w:bCs/>
          <w:color w:val="000000"/>
          <w:sz w:val="24"/>
          <w:highlight w:val="none"/>
        </w:rPr>
        <w:t xml:space="preserve">2、项目名称：</w:t>
      </w:r>
      <w:r>
        <w:rPr>
          <w:rFonts w:hint="eastAsia" w:ascii="宋体" w:hAnsi="宋体" w:eastAsia="宋体" w:cs="宋体"/>
          <w:color w:val="000000"/>
          <w:sz w:val="24"/>
          <w:highlight w:val="none"/>
          <w:lang w:val="en-US" w:eastAsia="zh-CN"/>
        </w:rPr>
        <w:t xml:space="preserve">无锡金属表面处理科技工业园区土壤和地下水污染管控方案编制采购服务</w:t>
      </w:r>
      <w:r>
        <w:rPr>
          <w:rFonts w:hint="eastAsia" w:ascii="宋体" w:hAnsi="宋体" w:eastAsia="宋体" w:cs="宋体"/>
          <w:color w:val="000000"/>
          <w:sz w:val="24"/>
          <w:highlight w:val="none"/>
          <w:lang w:eastAsia="zh-CN"/>
        </w:rPr>
      </w:r>
      <w:r/>
    </w:p>
    <w:p>
      <w:pPr>
        <w:pStyle w:val="1064"/>
        <w:ind w:firstLine="482"/>
        <w:jc w:val="both"/>
        <w:keepLines w:val="0"/>
        <w:keepNext w:val="0"/>
        <w:pageBreakBefore w:val="0"/>
        <w:spacing w:line="440" w:lineRule="exact"/>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3、项目概况：</w:t>
      </w:r>
      <w:r>
        <w:rPr>
          <w:rFonts w:hint="eastAsia" w:ascii="宋体" w:hAnsi="宋体" w:eastAsia="宋体" w:cs="宋体"/>
          <w:color w:val="000000"/>
          <w:sz w:val="24"/>
          <w:highlight w:val="none"/>
          <w:lang w:eastAsia="zh-CN"/>
        </w:rPr>
        <w:t xml:space="preserve">无锡金属表面处理科技工业园区总占地面积为1.43km2。工业园位于无锡市西北部、惠山区西北、杨市镇镇区北部，北起锡溧运河以北950米，南至锡溧运河，西起北红线，东到杨市镇与洛社镇交界处。园内目前共有企业34家，全部为金属表面加工企业，主要从事电镀生产活动。现需对该地块公共面积开展土壤和地下水污染状况详细调查，具体包括监测井建设、水文地质详细调查和土壤、地下水样品检测，进一步明确土壤地下水污染程度和范围，开展风险评估，并开展污染风险管控方案编制工作，为地块后续的开发及管理提供必要的数据支撑</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rPr>
      </w:r>
      <w:r/>
    </w:p>
    <w:p>
      <w:pPr>
        <w:pStyle w:val="1064"/>
        <w:ind w:firstLine="482"/>
        <w:jc w:val="both"/>
        <w:keepLines w:val="0"/>
        <w:keepNext w:val="0"/>
        <w:pageBreakBefore w:val="0"/>
        <w:spacing w:line="440" w:lineRule="exact"/>
        <w:widowControl/>
        <w:rPr>
          <w:rFonts w:hint="eastAsia" w:ascii="宋体" w:hAnsi="宋体" w:eastAsia="宋体" w:cs="宋体"/>
          <w:b w:val="0"/>
          <w:bCs w:val="0"/>
          <w:color w:val="000000"/>
          <w:sz w:val="24"/>
          <w:highlight w:val="none"/>
        </w:rPr>
      </w:pPr>
      <w:r>
        <w:rPr>
          <w:rFonts w:hint="eastAsia" w:ascii="宋体" w:hAnsi="宋体" w:eastAsia="宋体" w:cs="宋体"/>
          <w:b/>
          <w:bCs/>
          <w:color w:val="000000"/>
          <w:sz w:val="24"/>
          <w:highlight w:val="none"/>
          <w:lang w:val="en-US" w:eastAsia="zh-CN"/>
        </w:rPr>
        <w:t xml:space="preserve">4</w:t>
      </w:r>
      <w:r>
        <w:rPr>
          <w:rFonts w:hint="eastAsia" w:ascii="宋体" w:hAnsi="宋体" w:eastAsia="宋体" w:cs="宋体"/>
          <w:b/>
          <w:bCs/>
          <w:color w:val="000000"/>
          <w:sz w:val="24"/>
          <w:highlight w:val="none"/>
        </w:rPr>
        <w:t xml:space="preserve">、服务期：</w:t>
      </w:r>
      <w:r>
        <w:rPr>
          <w:rFonts w:hint="eastAsia" w:ascii="宋体" w:hAnsi="宋体" w:eastAsia="宋体" w:cs="宋体"/>
          <w:color w:val="000000"/>
          <w:sz w:val="24"/>
          <w:highlight w:val="none"/>
        </w:rPr>
        <w:t xml:space="preserve">合同签订后</w:t>
      </w:r>
      <w:r>
        <w:rPr>
          <w:rFonts w:hint="eastAsia" w:ascii="宋体" w:hAnsi="宋体" w:eastAsia="宋体" w:cs="宋体"/>
          <w:color w:val="000000"/>
          <w:sz w:val="24"/>
          <w:highlight w:val="none"/>
          <w:lang w:val="en-US" w:eastAsia="zh-CN"/>
        </w:rPr>
        <w:t xml:space="preserve">150</w:t>
      </w:r>
      <w:r>
        <w:rPr>
          <w:rFonts w:hint="eastAsia" w:ascii="宋体" w:hAnsi="宋体" w:eastAsia="宋体" w:cs="宋体"/>
          <w:color w:val="000000"/>
          <w:sz w:val="24"/>
          <w:highlight w:val="none"/>
        </w:rPr>
        <w:t xml:space="preserve">日历天内出具最终的成果文件、</w:t>
      </w:r>
      <w:r>
        <w:rPr>
          <w:rFonts w:hint="eastAsia" w:ascii="宋体" w:hAnsi="宋体" w:eastAsia="宋体" w:cs="宋体"/>
          <w:color w:val="000000"/>
          <w:sz w:val="24"/>
          <w:highlight w:val="none"/>
          <w:lang w:eastAsia="zh-CN"/>
        </w:rPr>
        <w:t xml:space="preserve">经采购人确认后上报省环保厅并确认通过</w:t>
      </w:r>
      <w:r>
        <w:rPr>
          <w:rFonts w:hint="eastAsia" w:ascii="宋体" w:hAnsi="宋体" w:eastAsia="宋体" w:cs="宋体"/>
          <w:color w:val="000000"/>
          <w:sz w:val="24"/>
          <w:highlight w:val="none"/>
        </w:rPr>
        <w:t xml:space="preserve">；误期违约金：2000元/天；</w:t>
      </w:r>
      <w:r>
        <w:rPr>
          <w:rFonts w:hint="eastAsia" w:ascii="宋体" w:hAnsi="宋体" w:eastAsia="宋体" w:cs="宋体"/>
          <w:b w:val="0"/>
          <w:bCs w:val="0"/>
          <w:color w:val="000000"/>
          <w:sz w:val="24"/>
          <w:highlight w:val="none"/>
        </w:rPr>
      </w:r>
      <w:r/>
    </w:p>
    <w:p>
      <w:pPr>
        <w:pStyle w:val="1064"/>
        <w:ind w:firstLine="482"/>
        <w:jc w:val="both"/>
        <w:keepLines w:val="0"/>
        <w:keepNext w:val="0"/>
        <w:pageBreakBefore w:val="0"/>
        <w:spacing w:line="440" w:lineRule="exact"/>
        <w:widowControl/>
        <w:rPr>
          <w:rFonts w:hint="eastAsia" w:ascii="宋体" w:hAnsi="宋体" w:eastAsia="宋体" w:cs="宋体"/>
          <w:b w:val="0"/>
          <w:bCs w:val="0"/>
          <w:color w:val="000000"/>
          <w:sz w:val="24"/>
          <w:highlight w:val="none"/>
        </w:rPr>
      </w:pPr>
      <w:r>
        <w:rPr>
          <w:rFonts w:hint="eastAsia" w:ascii="宋体" w:hAnsi="宋体" w:eastAsia="宋体" w:cs="宋体"/>
          <w:b/>
          <w:bCs/>
          <w:color w:val="000000"/>
          <w:sz w:val="24"/>
          <w:highlight w:val="none"/>
          <w:lang w:val="en-US" w:eastAsia="zh-CN"/>
        </w:rPr>
        <w:t xml:space="preserve">5、</w:t>
      </w:r>
      <w:r>
        <w:rPr>
          <w:rFonts w:hint="eastAsia" w:ascii="宋体" w:hAnsi="宋体" w:eastAsia="宋体" w:cs="宋体"/>
          <w:b/>
          <w:bCs/>
          <w:color w:val="000000"/>
          <w:sz w:val="24"/>
          <w:highlight w:val="none"/>
        </w:rPr>
        <w:t xml:space="preserve">服务质量标准：</w:t>
      </w:r>
      <w:r>
        <w:rPr>
          <w:rFonts w:hint="eastAsia" w:ascii="宋体" w:hAnsi="宋体" w:eastAsia="宋体" w:cs="宋体"/>
          <w:color w:val="000000"/>
          <w:sz w:val="24"/>
          <w:highlight w:val="none"/>
        </w:rPr>
        <w:t xml:space="preserve">出具的</w:t>
      </w:r>
      <w:r>
        <w:rPr>
          <w:rFonts w:hint="eastAsia" w:ascii="宋体" w:hAnsi="宋体" w:eastAsia="宋体" w:cs="宋体"/>
          <w:color w:val="000000"/>
          <w:sz w:val="24"/>
          <w:highlight w:val="none"/>
          <w:lang w:eastAsia="zh-CN"/>
        </w:rPr>
        <w:t xml:space="preserve">成果文件</w:t>
      </w:r>
      <w:r>
        <w:rPr>
          <w:rFonts w:hint="eastAsia" w:ascii="宋体" w:hAnsi="宋体" w:eastAsia="宋体" w:cs="宋体"/>
          <w:color w:val="000000"/>
          <w:sz w:val="24"/>
          <w:highlight w:val="none"/>
        </w:rPr>
        <w:t xml:space="preserve">等须符合国家、行业、地方相关标准</w:t>
      </w:r>
      <w:r>
        <w:rPr>
          <w:rFonts w:hint="eastAsia" w:ascii="宋体" w:hAnsi="宋体" w:eastAsia="宋体" w:cs="宋体"/>
          <w:b w:val="0"/>
          <w:bCs w:val="0"/>
          <w:color w:val="000000"/>
          <w:sz w:val="24"/>
          <w:highlight w:val="none"/>
          <w:lang w:eastAsia="zh-CN"/>
        </w:rPr>
        <w:t xml:space="preserve">及</w:t>
      </w:r>
      <w:r>
        <w:rPr>
          <w:rFonts w:hint="eastAsia" w:ascii="宋体" w:hAnsi="宋体" w:eastAsia="宋体" w:cs="宋体"/>
          <w:b w:val="0"/>
          <w:bCs w:val="0"/>
          <w:color w:val="000000"/>
          <w:sz w:val="24"/>
          <w:highlight w:val="none"/>
        </w:rPr>
        <w:t xml:space="preserve">采购人要求</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经采购人确认后上报省环保厅并确认通过</w:t>
      </w:r>
      <w:r>
        <w:rPr>
          <w:rFonts w:hint="eastAsia" w:ascii="宋体" w:hAnsi="宋体" w:eastAsia="宋体" w:cs="宋体"/>
          <w:color w:val="000000"/>
          <w:sz w:val="24"/>
          <w:highlight w:val="none"/>
        </w:rPr>
        <w:t xml:space="preserve">，成果客观公正、科学；</w:t>
      </w:r>
      <w:r>
        <w:rPr>
          <w:rFonts w:hint="eastAsia" w:ascii="宋体" w:hAnsi="宋体" w:eastAsia="宋体" w:cs="宋体"/>
          <w:b w:val="0"/>
          <w:bCs w:val="0"/>
          <w:color w:val="000000"/>
          <w:sz w:val="24"/>
          <w:highlight w:val="none"/>
        </w:rPr>
      </w:r>
      <w:r/>
    </w:p>
    <w:p>
      <w:pPr>
        <w:pStyle w:val="1064"/>
        <w:ind w:firstLine="482"/>
        <w:jc w:val="both"/>
        <w:keepLines w:val="0"/>
        <w:keepNext w:val="0"/>
        <w:pageBreakBefore w:val="0"/>
        <w:spacing w:line="440" w:lineRule="exact"/>
        <w:widowControl/>
        <w:rPr>
          <w:rFonts w:hint="eastAsia" w:ascii="宋体" w:hAnsi="宋体" w:eastAsia="宋体" w:cs="宋体"/>
          <w:bCs/>
          <w:color w:val="000000"/>
          <w:sz w:val="24"/>
          <w:highlight w:val="none"/>
          <w:lang w:eastAsia="zh-CN"/>
        </w:rPr>
      </w:pPr>
      <w:r>
        <w:rPr>
          <w:rFonts w:hint="eastAsia" w:ascii="宋体" w:hAnsi="宋体" w:eastAsia="宋体" w:cs="宋体"/>
          <w:b/>
          <w:color w:val="000000"/>
          <w:sz w:val="24"/>
          <w:highlight w:val="none"/>
          <w:lang w:val="en-US" w:eastAsia="zh-CN"/>
        </w:rPr>
        <w:t xml:space="preserve">6</w:t>
      </w:r>
      <w:r>
        <w:rPr>
          <w:rFonts w:hint="eastAsia" w:ascii="宋体" w:hAnsi="宋体" w:eastAsia="宋体" w:cs="宋体"/>
          <w:b/>
          <w:color w:val="000000"/>
          <w:sz w:val="24"/>
          <w:highlight w:val="none"/>
        </w:rPr>
        <w:t xml:space="preserve">、实施的地点：</w:t>
      </w:r>
      <w:r>
        <w:rPr>
          <w:rFonts w:hint="eastAsia" w:ascii="宋体" w:hAnsi="宋体" w:eastAsia="宋体" w:cs="宋体"/>
          <w:bCs/>
          <w:color w:val="000000"/>
          <w:sz w:val="24"/>
          <w:highlight w:val="none"/>
        </w:rPr>
        <w:t xml:space="preserve">无锡市惠山区</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1064"/>
        <w:ind w:firstLine="482"/>
        <w:jc w:val="both"/>
        <w:keepLines w:val="0"/>
        <w:keepNext w:val="0"/>
        <w:pageBreakBefore w:val="0"/>
        <w:spacing w:line="44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7</w:t>
      </w:r>
      <w:r>
        <w:rPr>
          <w:rFonts w:hint="eastAsia" w:ascii="宋体" w:hAnsi="宋体" w:eastAsia="宋体" w:cs="宋体"/>
          <w:b/>
          <w:bCs/>
          <w:color w:val="000000"/>
          <w:sz w:val="24"/>
          <w:highlight w:val="none"/>
        </w:rPr>
        <w:t xml:space="preserve">付款方式：</w:t>
      </w:r>
      <w:r>
        <w:rPr>
          <w:rFonts w:hint="eastAsia" w:ascii="宋体" w:hAnsi="宋体" w:eastAsia="宋体" w:cs="宋体"/>
          <w:color w:val="000000"/>
          <w:sz w:val="24"/>
          <w:highlight w:val="none"/>
        </w:rPr>
        <w:t xml:space="preserve">合同签订后，采购人支付合同价款的</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0%；中标供应商在规定时间内完</w:t>
      </w:r>
      <w:r>
        <w:rPr>
          <w:rFonts w:hint="eastAsia" w:ascii="宋体" w:hAnsi="宋体" w:eastAsia="宋体" w:cs="宋体"/>
          <w:color w:val="000000"/>
          <w:sz w:val="24"/>
          <w:highlight w:val="none"/>
          <w:lang w:eastAsia="zh-CN"/>
        </w:rPr>
        <w:t xml:space="preserve">成</w:t>
      </w:r>
      <w:r>
        <w:rPr>
          <w:rFonts w:hint="eastAsia" w:ascii="宋体" w:hAnsi="宋体" w:eastAsia="宋体" w:cs="宋体"/>
          <w:color w:val="000000"/>
          <w:sz w:val="24"/>
          <w:highlight w:val="none"/>
        </w:rPr>
        <w:t xml:space="preserve">所有工作并提交全部成果文件后支付合同价款的40%，余款待成果文件通过采购人专家组评审验收合格后一次性付清。付款时中标供应商须出具相应的税金发票。</w:t>
      </w:r>
      <w:r>
        <w:rPr>
          <w:rFonts w:hint="eastAsia" w:ascii="宋体" w:hAnsi="宋体" w:eastAsia="宋体" w:cs="宋体"/>
          <w:color w:val="000000"/>
          <w:sz w:val="24"/>
          <w:highlight w:val="none"/>
        </w:rPr>
      </w:r>
      <w:r/>
    </w:p>
    <w:p>
      <w:pPr>
        <w:pStyle w:val="1064"/>
        <w:ind w:firstLine="480"/>
        <w:keepLines w:val="0"/>
        <w:keepNext w:val="0"/>
        <w:pageBreakBefore w:val="0"/>
        <w:spacing w:line="340" w:lineRule="exact"/>
        <w:widowControl/>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本项目是否专门面向中小（微）企业（含监狱企业、残疾人福利性单位）：否；</w:t>
      </w:r>
      <w:r>
        <w:rPr>
          <w:rFonts w:hint="eastAsia" w:ascii="宋体" w:hAnsi="宋体" w:eastAsia="宋体" w:cs="宋体"/>
          <w:color w:val="000000"/>
          <w:sz w:val="24"/>
          <w:highlight w:val="none"/>
        </w:rPr>
      </w:r>
      <w:r/>
    </w:p>
    <w:p>
      <w:pPr>
        <w:pStyle w:val="1064"/>
        <w:ind w:firstLine="480"/>
        <w:jc w:val="both"/>
        <w:keepLines w:val="0"/>
        <w:keepNext w:val="0"/>
        <w:pageBreakBefore w:val="0"/>
        <w:spacing w:line="440" w:lineRule="exac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本项目标的所属行业：根据中小企业划型标准规定（工信部联企业[2011]300号）中的“其他未列明行业”。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4"/>
          <w:highlight w:val="none"/>
          <w:lang w:eastAsia="zh-CN"/>
        </w:rPr>
      </w:r>
      <w:r/>
    </w:p>
    <w:p>
      <w:pPr>
        <w:pStyle w:val="1064"/>
        <w:jc w:val="left"/>
        <w:keepLines w:val="0"/>
        <w:keepNext w:val="0"/>
        <w:pageBreakBefore w:val="0"/>
        <w:spacing w:before="90" w:after="90" w:line="440" w:lineRule="exact"/>
        <w:shd w:val="clear" w:color="auto" w:fill="ffffff"/>
        <w:widowControl/>
        <w:rPr>
          <w:rFonts w:hint="eastAsia" w:ascii="宋体" w:hAnsi="宋体" w:eastAsia="宋体" w:cs="宋体"/>
          <w:b/>
          <w:bCs/>
          <w:color w:val="000000"/>
          <w:sz w:val="24"/>
          <w:highlight w:val="none"/>
        </w:rPr>
      </w:pPr>
      <w:r>
        <w:rPr>
          <w:rFonts w:hint="eastAsia" w:ascii="宋体" w:hAnsi="宋体" w:eastAsia="宋体" w:cs="宋体"/>
          <w:b/>
          <w:color w:val="000000"/>
          <w:sz w:val="26"/>
          <w:szCs w:val="26"/>
          <w:highlight w:val="none"/>
        </w:rPr>
        <w:t xml:space="preserve">（三）本项目需执行的国家相关标准、行业标准、地方标准：</w:t>
      </w:r>
      <w:r>
        <w:rPr>
          <w:rFonts w:hint="eastAsia" w:ascii="宋体" w:hAnsi="宋体" w:eastAsia="宋体" w:cs="宋体"/>
          <w:b/>
          <w:bCs/>
          <w:color w:val="000000"/>
          <w:sz w:val="24"/>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bookmarkEnd w:id="6"/>
      <w:r>
        <w:rPr>
          <w:rFonts w:hint="eastAsia" w:ascii="宋体" w:hAnsi="宋体" w:eastAsia="宋体" w:cs="宋体"/>
          <w:b w:val="0"/>
          <w:bCs w:val="0"/>
          <w:color w:val="000000"/>
          <w:sz w:val="24"/>
          <w:szCs w:val="22"/>
          <w:highlight w:val="none"/>
        </w:rPr>
        <w:t xml:space="preserve">包括但不限于以下有关标准和技术规范文件：</w:t>
      </w:r>
      <w:r>
        <w:rPr>
          <w:rFonts w:hint="eastAsia" w:ascii="宋体" w:hAnsi="宋体" w:eastAsia="宋体" w:cs="宋体"/>
          <w:b w:val="0"/>
          <w:bCs w:val="0"/>
          <w:color w:val="000000"/>
          <w:sz w:val="24"/>
          <w:szCs w:val="22"/>
          <w:highlight w:val="none"/>
        </w:rPr>
      </w:r>
      <w:r/>
    </w:p>
    <w:p>
      <w:pPr>
        <w:pStyle w:val="1064"/>
        <w:ind w:firstLine="482"/>
        <w:jc w:val="left"/>
        <w:keepLines w:val="0"/>
        <w:keepNext w:val="0"/>
        <w:pageBreakBefore w:val="0"/>
        <w:spacing w:line="440" w:lineRule="exact"/>
        <w:tabs>
          <w:tab w:val="left" w:pos="1154" w:leader="none"/>
        </w:tabs>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（1）相关法律、法规及政策</w:t>
      </w:r>
      <w:r>
        <w:rPr>
          <w:rFonts w:hint="eastAsia" w:ascii="宋体" w:hAnsi="宋体" w:eastAsia="宋体" w:cs="宋体"/>
          <w:b/>
          <w:bCs/>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1）《中华人民共和国环境保护法》，2014年4月24日修订通过，2015年1月1日起施行；</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2）《中华人民共和国土壤污染防治法》，2018年8月31日通过，自2019年1月1日起施行；</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3）《中华人民共和国大气污染防治法》，2015年8月29日修订通过，自2016年1月1日起施行；</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4）《中华人民共和国固体废物污染环境防治法》，2020年4月29日修订，2020年9月1日实施；</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5）《中华人民共和国水污染防治法》，2017年6月27日修订，2018年1月1日实施；</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6）《国务院关于印发土壤污染防治行动计划的通知》（国发〔2016〕31号）；</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7）</w:t>
      </w:r>
      <w:bookmarkStart w:id="9" w:name="_Hlk54619160"/>
      <w:r>
        <w:rPr>
          <w:rFonts w:hint="eastAsia" w:ascii="宋体" w:hAnsi="宋体" w:eastAsia="宋体" w:cs="宋体"/>
          <w:b w:val="0"/>
          <w:bCs w:val="0"/>
          <w:color w:val="000000"/>
          <w:sz w:val="24"/>
          <w:szCs w:val="22"/>
          <w:highlight w:val="none"/>
        </w:rPr>
        <w:t xml:space="preserve">《污染地块土壤环境管理办法（试行）》（部令〔2016〕42号）</w:t>
      </w:r>
      <w:bookmarkEnd w:id="9"/>
      <w:r>
        <w:rPr>
          <w:rFonts w:hint="eastAsia" w:ascii="宋体" w:hAnsi="宋体" w:eastAsia="宋体" w:cs="宋体"/>
          <w:b w:val="0"/>
          <w:bCs w:val="0"/>
          <w:color w:val="000000"/>
          <w:sz w:val="24"/>
          <w:szCs w:val="22"/>
          <w:highlight w:val="none"/>
        </w:rPr>
        <w:t xml:space="preserve">；</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8）《工矿用地土壤环境管理办法（试行）》（生态环境部令第 3 号）；</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9）《工业企业地块污染环境调查评估与修复工作指南（试行）》（环发[2014]78 号）；</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10）《省政府关于印发江苏省土壤污染防治工作方案的通知》（苏政发[2016]169号）；</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11）《江苏省土壤污染防治条例》，2022年3月31日通过，自2022年9月1日起施行；</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12）《江苏省深入打好净土保卫战实施方案》（苏政办发〔2022〕78号）；</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13）《无锡市土壤污染防治工作方案》（锡政发〔2017〕15号）。</w:t>
      </w:r>
      <w:r>
        <w:rPr>
          <w:rFonts w:hint="eastAsia" w:ascii="宋体" w:hAnsi="宋体" w:eastAsia="宋体" w:cs="宋体"/>
          <w:b w:val="0"/>
          <w:bCs w:val="0"/>
          <w:color w:val="000000"/>
          <w:sz w:val="24"/>
          <w:szCs w:val="22"/>
          <w:highlight w:val="none"/>
        </w:rPr>
      </w:r>
      <w:r/>
    </w:p>
    <w:p>
      <w:pPr>
        <w:pStyle w:val="1064"/>
        <w:ind w:firstLine="482"/>
        <w:jc w:val="left"/>
        <w:keepLines w:val="0"/>
        <w:keepNext w:val="0"/>
        <w:pageBreakBefore w:val="0"/>
        <w:spacing w:line="440" w:lineRule="exact"/>
        <w:tabs>
          <w:tab w:val="left" w:pos="1154" w:leader="none"/>
        </w:tabs>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（2）相关标准</w:t>
      </w:r>
      <w:r>
        <w:rPr>
          <w:rFonts w:hint="eastAsia" w:ascii="宋体" w:hAnsi="宋体" w:eastAsia="宋体" w:cs="宋体"/>
          <w:b/>
          <w:bCs/>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1）《土壤环境质量建设用地土壤污染风险管控标准（试行）》（GB36600-2018）；</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2）《地下水质量标准》（GB/T14848-2017）；</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3）《地表水环境质量标准》（GB3838-2002）；</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4）《生活饮用水卫生标准》（GB5749-2006）；</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5）《上海市建设用地土壤污染状况调查、风险评估、风险管控与修复方案编制、风险管控与修复效果评估工作的补充规定》（沪环土[2020]62号）；</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6）《建设用地土壤污染风险筛选值》（DB13/T5216-2020）（河北省地方标准）；</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7）《建设用地土壤污染风险筛选值和管制值》（DB4403/T67-2020）（深圳市地方标准）；</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8）《环境影响评价技术导则土壤环境（试行）》（HJ964-2018）。</w:t>
      </w:r>
      <w:r>
        <w:rPr>
          <w:rFonts w:hint="eastAsia" w:ascii="宋体" w:hAnsi="宋体" w:eastAsia="宋体" w:cs="宋体"/>
          <w:b w:val="0"/>
          <w:bCs w:val="0"/>
          <w:color w:val="000000"/>
          <w:sz w:val="24"/>
          <w:szCs w:val="22"/>
          <w:highlight w:val="none"/>
        </w:rPr>
      </w:r>
      <w:r/>
    </w:p>
    <w:p>
      <w:pPr>
        <w:pStyle w:val="1064"/>
        <w:ind w:firstLine="482"/>
        <w:jc w:val="left"/>
        <w:keepLines w:val="0"/>
        <w:keepNext w:val="0"/>
        <w:pageBreakBefore w:val="0"/>
        <w:spacing w:line="440" w:lineRule="exact"/>
        <w:tabs>
          <w:tab w:val="left" w:pos="1154" w:leader="none"/>
        </w:tabs>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（3）技术导则和规范及指南</w:t>
      </w:r>
      <w:r>
        <w:rPr>
          <w:rFonts w:hint="eastAsia" w:ascii="宋体" w:hAnsi="宋体" w:eastAsia="宋体" w:cs="宋体"/>
          <w:b/>
          <w:bCs/>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1）《建设用地土壤污染状况调查技术导则》（HJ25.1-2019）；</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2）《建设用地土壤污染风险管控和修复监测技术导则》（HJ25.2-2019）；</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3）《建设用地土壤污染风险评估技术导则》（HJ25.3-2019）；</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4）《建设用地土壤修复技术导则》（HJ25.4-2019）；</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5）《污染地块地下水修复和风险管控技术导则》（HJ 25.6-2019）；</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6）《建设用地土壤环境调查评估技术指南》（原环境保护部，2017年12月14日）；</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7）《建设用地土壤污染修复目标值制定指南》（试行）（环办土壤函〔2022〕488号）；</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8）《岩土工程勘察规范》（2009年版）（GB50021-2001）；</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9）《地下水环境监测技术规范》</w:t>
      </w:r>
      <w:r>
        <w:rPr>
          <w:rFonts w:hint="eastAsia" w:ascii="宋体" w:hAnsi="宋体" w:eastAsia="宋体" w:cs="宋体"/>
          <w:b w:val="0"/>
          <w:bCs w:val="0"/>
          <w:color w:val="000000"/>
          <w:sz w:val="24"/>
          <w:szCs w:val="22"/>
          <w:highlight w:val="none"/>
          <w:lang w:eastAsia="zh-CN"/>
        </w:rPr>
        <w:t xml:space="preserve">（</w:t>
      </w:r>
      <w:r>
        <w:rPr>
          <w:rFonts w:hint="eastAsia" w:ascii="宋体" w:hAnsi="宋体" w:eastAsia="宋体" w:cs="宋体"/>
          <w:b w:val="0"/>
          <w:bCs w:val="0"/>
          <w:color w:val="000000"/>
          <w:sz w:val="24"/>
          <w:szCs w:val="22"/>
          <w:highlight w:val="none"/>
        </w:rPr>
        <w:t xml:space="preserve">HJ 164-2020</w:t>
      </w:r>
      <w:r>
        <w:rPr>
          <w:rFonts w:hint="eastAsia" w:ascii="宋体" w:hAnsi="宋体" w:eastAsia="宋体" w:cs="宋体"/>
          <w:b w:val="0"/>
          <w:bCs w:val="0"/>
          <w:color w:val="000000"/>
          <w:sz w:val="24"/>
          <w:szCs w:val="22"/>
          <w:highlight w:val="none"/>
          <w:lang w:eastAsia="zh-CN"/>
        </w:rPr>
        <w:t xml:space="preserve">）</w:t>
      </w:r>
      <w:r>
        <w:rPr>
          <w:rFonts w:hint="eastAsia" w:ascii="宋体" w:hAnsi="宋体" w:eastAsia="宋体" w:cs="宋体"/>
          <w:b w:val="0"/>
          <w:bCs w:val="0"/>
          <w:color w:val="000000"/>
          <w:sz w:val="24"/>
          <w:szCs w:val="22"/>
          <w:highlight w:val="none"/>
        </w:rPr>
        <w:t xml:space="preserve">；</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10）《环境影响评价技术导则-地下水环境》（HJ610-2016）；</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11）《地下水环境状况调查评价工作指南》（环办土壤函[2019]770 号）；</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12）《地下水污染健康风险评估工作指南》（环办土壤函[2019]770 号）；</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13）《地下水污染模拟预测评估工作指南》（环办土壤函[2019]770 号）；</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14）《水文地质调查规范（1：50000）》（DZ T0282-2015）；</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15）</w:t>
      </w:r>
      <w:r>
        <w:rPr>
          <w:rFonts w:hint="eastAsia" w:ascii="宋体" w:hAnsi="宋体" w:eastAsia="宋体" w:cs="宋体"/>
          <w:b w:val="0"/>
          <w:bCs w:val="0"/>
          <w:color w:val="000000"/>
          <w:sz w:val="24"/>
          <w:szCs w:val="22"/>
          <w:highlight w:val="none"/>
          <w:lang w:val="en-US" w:eastAsia="zh-CN"/>
        </w:rPr>
        <w:t xml:space="preserve"> </w:t>
      </w:r>
      <w:r>
        <w:rPr>
          <w:rFonts w:hint="eastAsia" w:ascii="宋体" w:hAnsi="宋体" w:eastAsia="宋体" w:cs="宋体"/>
          <w:b w:val="0"/>
          <w:bCs w:val="0"/>
          <w:color w:val="000000"/>
          <w:sz w:val="24"/>
          <w:szCs w:val="22"/>
          <w:highlight w:val="none"/>
        </w:rPr>
        <w:t xml:space="preserve">《区域水文地质工程地质环境地质综合勘察规范（比例尺 1</w:t>
      </w:r>
      <w:r>
        <w:rPr>
          <w:rFonts w:hint="eastAsia" w:ascii="宋体" w:hAnsi="宋体" w:eastAsia="宋体" w:cs="宋体"/>
          <w:b w:val="0"/>
          <w:bCs w:val="0"/>
          <w:color w:val="000000"/>
          <w:sz w:val="24"/>
          <w:szCs w:val="22"/>
          <w:highlight w:val="none"/>
          <w:lang w:eastAsia="zh-CN"/>
        </w:rPr>
        <w:t xml:space="preserve">：</w:t>
      </w:r>
      <w:r>
        <w:rPr>
          <w:rFonts w:hint="eastAsia" w:ascii="宋体" w:hAnsi="宋体" w:eastAsia="宋体" w:cs="宋体"/>
          <w:b w:val="0"/>
          <w:bCs w:val="0"/>
          <w:color w:val="000000"/>
          <w:sz w:val="24"/>
          <w:szCs w:val="22"/>
          <w:highlight w:val="none"/>
        </w:rPr>
        <w:t xml:space="preserve">50000）》（GB/T 14158-93）；</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16）《区域地下水污染调查评价规范》（DZ/T 0288-2015）；</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17）《地下水监测井建设规范》（DZ/T 0270-2014）；</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18）《水文地质钻探规程》（DZ/T0148-1994）；</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19）《水环境监测规范》（SL 219-2013）；</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20）《地下水监测规范》（SL 183-2005）；</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21）《水质 样品的保存和管理技术规定》（HJ 493-2009）；</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22）《水质 采样技术指导》（HJ 494-2009）；</w:t>
      </w:r>
      <w:r>
        <w:rPr>
          <w:rFonts w:hint="eastAsia" w:ascii="宋体" w:hAnsi="宋体" w:eastAsia="宋体" w:cs="宋体"/>
          <w:b w:val="0"/>
          <w:bCs w:val="0"/>
          <w:color w:val="000000"/>
          <w:sz w:val="24"/>
          <w:szCs w:val="22"/>
          <w:highlight w:val="none"/>
        </w:rPr>
      </w:r>
      <w:r/>
    </w:p>
    <w:p>
      <w:pPr>
        <w:pStyle w:val="1064"/>
        <w:ind w:firstLine="480"/>
        <w:jc w:val="left"/>
        <w:keepLines w:val="0"/>
        <w:keepNext w:val="0"/>
        <w:pageBreakBefore w:val="0"/>
        <w:spacing w:line="440" w:lineRule="exact"/>
        <w:tabs>
          <w:tab w:val="left" w:pos="1154" w:leader="none"/>
        </w:tabs>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23）《水质 采样方案设计技术规定》（HJ 495-2009）。</w:t>
      </w:r>
      <w:r>
        <w:rPr>
          <w:rFonts w:hint="eastAsia" w:ascii="宋体" w:hAnsi="宋体" w:eastAsia="宋体" w:cs="宋体"/>
          <w:b w:val="0"/>
          <w:bCs w:val="0"/>
          <w:color w:val="000000"/>
          <w:sz w:val="24"/>
          <w:szCs w:val="22"/>
          <w:highlight w:val="none"/>
        </w:rPr>
      </w:r>
      <w:r/>
    </w:p>
    <w:p>
      <w:pPr>
        <w:pStyle w:val="1418"/>
        <w:ind w:firstLine="482"/>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1、以上标准的采用并非是全面以及最新的，如有不一致的，以效力较高或技术标准较高的文件规定为准。投标供应商应提供符合本次采购需求和最新国家及行业标准的优质服务，任何由于投标供应商或提供违反国家强制规范的服务而造成的损失，均由投标供应商承担等。</w:t>
      </w:r>
      <w:r>
        <w:rPr>
          <w:rFonts w:hint="eastAsia" w:ascii="宋体" w:hAnsi="宋体" w:eastAsia="宋体" w:cs="宋体"/>
          <w:b/>
          <w:bCs/>
          <w:color w:val="000000"/>
          <w:sz w:val="24"/>
          <w:szCs w:val="24"/>
          <w:highlight w:val="none"/>
        </w:rPr>
      </w:r>
      <w:r/>
    </w:p>
    <w:p>
      <w:pPr>
        <w:pStyle w:val="1418"/>
        <w:keepLines w:val="0"/>
        <w:keepNext w:val="0"/>
        <w:pageBreakBefore w:val="0"/>
        <w:spacing w:line="44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2、出具的成果文件等须符合国家、行业、地方相关标准及采购人要求，</w:t>
      </w:r>
      <w:r>
        <w:rPr>
          <w:rFonts w:hint="eastAsia" w:ascii="宋体" w:hAnsi="宋体" w:eastAsia="宋体" w:cs="宋体"/>
          <w:b/>
          <w:bCs/>
          <w:color w:val="000000"/>
          <w:sz w:val="24"/>
          <w:szCs w:val="24"/>
          <w:highlight w:val="none"/>
          <w:lang w:eastAsia="zh-CN"/>
        </w:rPr>
        <w:t xml:space="preserve">经采购人确认后上报省环保厅并确认通过</w:t>
      </w:r>
      <w:r>
        <w:rPr>
          <w:rFonts w:hint="eastAsia" w:ascii="宋体" w:hAnsi="宋体" w:eastAsia="宋体" w:cs="宋体"/>
          <w:b/>
          <w:bCs/>
          <w:color w:val="000000"/>
          <w:sz w:val="24"/>
          <w:szCs w:val="24"/>
          <w:highlight w:val="none"/>
        </w:rPr>
        <w:t xml:space="preserve">，成果客观公正、科学</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418"/>
        <w:numPr>
          <w:ilvl w:val="0"/>
          <w:numId w:val="15"/>
        </w:numPr>
        <w:ind w:firstLine="0"/>
        <w:keepLines w:val="0"/>
        <w:keepNext w:val="0"/>
        <w:pageBreakBefore w:val="0"/>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采购标的需满足的内容要求：</w:t>
      </w:r>
      <w:r>
        <w:rPr>
          <w:rFonts w:hint="eastAsia" w:ascii="宋体" w:hAnsi="宋体" w:eastAsia="宋体" w:cs="宋体"/>
          <w:b/>
          <w:color w:val="000000"/>
          <w:sz w:val="24"/>
          <w:szCs w:val="24"/>
          <w:highlight w:val="none"/>
        </w:rPr>
      </w:r>
      <w:r/>
    </w:p>
    <w:p>
      <w:pPr>
        <w:pStyle w:val="1064"/>
        <w:numPr>
          <w:ilvl w:val="0"/>
          <w:numId w:val="0"/>
        </w:numPr>
        <w:ind w:firstLine="482"/>
        <w:keepLines w:val="0"/>
        <w:keepNext w:val="0"/>
        <w:pageBreakBefore w:val="0"/>
        <w:spacing w:line="440" w:lineRule="exact"/>
        <w:rPr>
          <w:rFonts w:hint="eastAsia" w:ascii="宋体" w:hAnsi="宋体" w:eastAsia="宋体" w:cs="宋体"/>
          <w:b/>
          <w:bCs/>
          <w:color w:val="000000"/>
          <w:sz w:val="24"/>
          <w:highlight w:val="none"/>
          <w:lang w:eastAsia="zh-CN"/>
        </w:rPr>
      </w:pPr>
      <w:r/>
      <w:bookmarkStart w:id="10" w:name="_Toc10870"/>
      <w:r>
        <w:rPr>
          <w:rFonts w:hint="eastAsia" w:ascii="宋体" w:hAnsi="宋体" w:eastAsia="宋体" w:cs="宋体"/>
          <w:b/>
          <w:bCs/>
          <w:color w:val="000000"/>
          <w:sz w:val="24"/>
          <w:szCs w:val="24"/>
          <w:highlight w:val="none"/>
          <w:lang w:val="en-US" w:eastAsia="zh-CN" w:bidi="ar-SA"/>
        </w:rPr>
        <w:t xml:space="preserve">1、</w:t>
      </w:r>
      <w:r>
        <w:rPr>
          <w:rFonts w:hint="eastAsia" w:ascii="宋体" w:hAnsi="宋体" w:eastAsia="宋体" w:cs="宋体"/>
          <w:b/>
          <w:bCs/>
          <w:color w:val="000000"/>
          <w:sz w:val="24"/>
          <w:highlight w:val="none"/>
          <w:lang w:eastAsia="zh-CN"/>
        </w:rPr>
        <w:t xml:space="preserve">项目概况</w:t>
      </w:r>
      <w:r>
        <w:rPr>
          <w:rFonts w:hint="eastAsia" w:ascii="宋体" w:hAnsi="宋体" w:eastAsia="宋体" w:cs="宋体"/>
          <w:b/>
          <w:bCs/>
          <w:color w:val="000000"/>
          <w:sz w:val="24"/>
          <w:highlight w:val="none"/>
          <w:lang w:eastAsia="zh-CN"/>
        </w:rPr>
      </w:r>
      <w:r/>
    </w:p>
    <w:p>
      <w:pPr>
        <w:pStyle w:val="1064"/>
        <w:ind w:firstLine="480"/>
        <w:spacing w:line="440" w:lineRule="exact"/>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工业园内目前共有企业</w:t>
      </w:r>
      <w:r>
        <w:rPr>
          <w:rFonts w:ascii="Times New Roman" w:hAnsi="Times New Roman" w:eastAsia="宋体" w:cs="Times New Roman"/>
          <w:color w:val="000000"/>
          <w:sz w:val="24"/>
          <w:szCs w:val="20"/>
          <w:highlight w:val="none"/>
        </w:rPr>
        <w:t xml:space="preserve"> 34 </w:t>
      </w:r>
      <w:r>
        <w:rPr>
          <w:rFonts w:hint="eastAsia" w:ascii="Times New Roman" w:hAnsi="Times New Roman" w:eastAsia="宋体" w:cs="Times New Roman"/>
          <w:color w:val="000000"/>
          <w:sz w:val="24"/>
          <w:szCs w:val="20"/>
          <w:highlight w:val="none"/>
        </w:rPr>
        <w:t xml:space="preserve">家，包括无锡鑫明表面处理有限公司、无锡天杨电子有限公司、无锡嘉运表面处理有限公司、无锡鸿运电镀有限公司、无锡福荣表面处理有限公司和无锡普瑞嘉金属表面处理有限公司等</w:t>
      </w:r>
      <w:r>
        <w:rPr>
          <w:rFonts w:ascii="Times New Roman" w:hAnsi="Times New Roman" w:eastAsia="宋体" w:cs="Times New Roman"/>
          <w:color w:val="000000"/>
          <w:sz w:val="24"/>
          <w:szCs w:val="20"/>
          <w:highlight w:val="none"/>
        </w:rPr>
        <w:t xml:space="preserve">34</w:t>
      </w:r>
      <w:r>
        <w:rPr>
          <w:rFonts w:hint="eastAsia" w:ascii="Times New Roman" w:hAnsi="Times New Roman" w:eastAsia="宋体" w:cs="Times New Roman"/>
          <w:color w:val="000000"/>
          <w:sz w:val="24"/>
          <w:szCs w:val="20"/>
          <w:highlight w:val="none"/>
        </w:rPr>
        <w:t xml:space="preserve">家企业。全部为金属表面加工企业，主要从事电镀生产活动，均属于土壤重点监管企业。</w:t>
      </w:r>
      <w:r>
        <w:rPr>
          <w:rFonts w:hint="eastAsia" w:ascii="宋体" w:hAnsi="宋体" w:eastAsia="宋体" w:cs="宋体"/>
          <w:b w:val="0"/>
          <w:bCs w:val="0"/>
          <w:color w:val="000000"/>
          <w:sz w:val="24"/>
          <w:highlight w:val="none"/>
        </w:rPr>
        <w:t xml:space="preserve">根据《无锡市惠山区洛社镇总体规划（2015-2030）》，该地块规划用作M1一类工业用地和M2二类工业用地。</w:t>
      </w:r>
      <w:r>
        <w:rPr>
          <w:rFonts w:hint="eastAsia"/>
          <w:color w:val="000000"/>
          <w:sz w:val="24"/>
          <w:szCs w:val="20"/>
          <w:highlight w:val="none"/>
        </w:rPr>
        <w:t xml:space="preserve">前期调查发现，工业园区内存在土壤和地下水污染，需进一步开展污染调查、风险评估和</w:t>
      </w:r>
      <w:r>
        <w:rPr>
          <w:color w:val="000000"/>
          <w:sz w:val="24"/>
          <w:highlight w:val="none"/>
        </w:rPr>
        <w:t xml:space="preserve">污染风险管控方案编制</w:t>
      </w:r>
      <w:r>
        <w:rPr>
          <w:rFonts w:hint="eastAsia"/>
          <w:color w:val="000000"/>
          <w:sz w:val="24"/>
          <w:szCs w:val="20"/>
          <w:highlight w:val="none"/>
        </w:rPr>
        <w:t xml:space="preserve">工作，为地块的开发利用提供数据支撑和科学依据，并按相关要求报送至生态环境管理部门</w:t>
      </w:r>
      <w:r>
        <w:rPr>
          <w:rFonts w:hint="eastAsia" w:ascii="Times New Roman" w:hAnsi="Times New Roman" w:eastAsia="宋体" w:cs="Times New Roman"/>
          <w:color w:val="000000"/>
          <w:sz w:val="24"/>
          <w:szCs w:val="20"/>
          <w:highlight w:val="none"/>
        </w:rPr>
        <w:t xml:space="preserve">。</w:t>
      </w:r>
      <w:r>
        <w:rPr>
          <w:rFonts w:ascii="Times New Roman" w:hAnsi="Times New Roman" w:eastAsia="宋体" w:cs="Times New Roman"/>
          <w:color w:val="000000"/>
          <w:sz w:val="24"/>
          <w:szCs w:val="20"/>
          <w:highlight w:val="none"/>
        </w:rPr>
      </w:r>
      <w:r/>
    </w:p>
    <w:p>
      <w:pPr>
        <w:pStyle w:val="1064"/>
        <w:numPr>
          <w:ilvl w:val="0"/>
          <w:numId w:val="0"/>
        </w:numPr>
        <w:ind w:firstLine="482"/>
        <w:keepLines w:val="0"/>
        <w:keepNext w:val="0"/>
        <w:pageBreakBefore w:val="0"/>
        <w:spacing w:line="460" w:lineRule="exact"/>
        <w:rPr>
          <w:rFonts w:hint="eastAsia" w:ascii="宋体" w:hAnsi="宋体" w:eastAsia="宋体" w:cs="宋体"/>
          <w:b/>
          <w:bCs/>
          <w:color w:val="000000"/>
          <w:sz w:val="24"/>
          <w:highlight w:val="none"/>
          <w:lang w:eastAsia="zh-CN"/>
        </w:rPr>
      </w:pPr>
      <w:r/>
      <w:bookmarkEnd w:id="10"/>
      <w:r/>
      <w:bookmarkStart w:id="11" w:name="_Hlk55253617"/>
      <w:r>
        <w:rPr>
          <w:rFonts w:hint="eastAsia" w:ascii="宋体" w:hAnsi="宋体" w:eastAsia="宋体" w:cs="宋体"/>
          <w:b/>
          <w:bCs/>
          <w:color w:val="000000"/>
          <w:sz w:val="24"/>
          <w:highlight w:val="none"/>
          <w:lang w:eastAsia="zh-CN"/>
        </w:rPr>
        <w:t xml:space="preserve">2、调查范围</w:t>
      </w:r>
      <w:r>
        <w:rPr>
          <w:rFonts w:hint="eastAsia" w:ascii="宋体" w:hAnsi="宋体" w:eastAsia="宋体" w:cs="宋体"/>
          <w:b/>
          <w:bCs/>
          <w:color w:val="000000"/>
          <w:sz w:val="24"/>
          <w:highlight w:val="none"/>
          <w:lang w:eastAsia="zh-CN"/>
        </w:rPr>
      </w:r>
      <w:r/>
    </w:p>
    <w:p>
      <w:pPr>
        <w:pStyle w:val="1064"/>
        <w:ind w:firstLine="420"/>
        <w:keepLines w:val="0"/>
        <w:keepNext w:val="0"/>
        <w:pageBreakBefore w:val="0"/>
        <w:spacing w:line="460" w:lineRule="exact"/>
        <w:tabs>
          <w:tab w:val="left" w:pos="945" w:leader="none"/>
        </w:tabs>
        <w:rPr>
          <w:rFonts w:ascii="Times New Roman" w:hAnsi="Times New Roman" w:eastAsia="宋体" w:cs="Times New Roman"/>
          <w:color w:val="000000"/>
          <w:highlight w:val="none"/>
        </w:rPr>
        <w:outlineLvl w:val="0"/>
      </w:pPr>
      <w:r>
        <w:rPr>
          <w:rFonts w:ascii="Times New Roman" w:hAnsi="Times New Roman" w:eastAsia="宋体"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401955</wp:posOffset>
                </wp:positionH>
                <wp:positionV relativeFrom="paragraph">
                  <wp:posOffset>90170</wp:posOffset>
                </wp:positionV>
                <wp:extent cx="5457190" cy="2466975"/>
                <wp:effectExtent l="0" t="0" r="0" b="0"/>
                <wp:wrapSquare wrapText="bothSides"/>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457190" cy="2466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5;o:allowoverlap:true;o:allowincell:true;mso-position-horizontal-relative:text;margin-left:31.6pt;mso-position-horizontal:absolute;mso-position-vertical-relative:text;margin-top:7.1pt;mso-position-vertical:absolute;width:429.7pt;height:194.2pt;mso-wrap-distance-left:9.0pt;mso-wrap-distance-top:0.0pt;mso-wrap-distance-right:9.0pt;mso-wrap-distance-bottom:0.0pt;" stroked="f">
                <v:path textboxrect="0,0,0,0"/>
                <w10:wrap type="square"/>
                <v:imagedata r:id="rId19" o:title=""/>
              </v:shape>
            </w:pict>
          </mc:Fallback>
        </mc:AlternateContent>
      </w:r>
      <w:r>
        <w:rPr>
          <w:rFonts w:ascii="Times New Roman" w:hAnsi="Times New Roman" w:eastAsia="宋体" w:cs="Times New Roman"/>
          <w:color w:val="000000"/>
          <w:highlight w:val="none"/>
        </w:rPr>
      </w:r>
      <w:r/>
    </w:p>
    <w:p>
      <w:pPr>
        <w:pStyle w:val="1064"/>
        <w:ind w:firstLine="420"/>
        <w:keepLines w:val="0"/>
        <w:keepNext w:val="0"/>
        <w:pageBreakBefore w:val="0"/>
        <w:spacing w:line="460" w:lineRule="exact"/>
        <w:tabs>
          <w:tab w:val="left" w:pos="945" w:leader="none"/>
        </w:tabs>
        <w:rPr>
          <w:rFonts w:ascii="Times New Roman" w:hAnsi="Times New Roman" w:eastAsia="宋体" w:cs="Times New Roman"/>
          <w:color w:val="000000"/>
          <w:highlight w:val="none"/>
        </w:rPr>
        <w:outlineLvl w:val="0"/>
      </w:pPr>
      <w:r>
        <w:rPr>
          <w:rFonts w:ascii="Times New Roman" w:hAnsi="Times New Roman" w:eastAsia="宋体" w:cs="Times New Roman"/>
          <w:color w:val="000000"/>
          <w:highlight w:val="none"/>
        </w:rPr>
      </w:r>
      <w:r/>
    </w:p>
    <w:p>
      <w:pPr>
        <w:pStyle w:val="1064"/>
        <w:ind w:firstLine="420"/>
        <w:keepLines w:val="0"/>
        <w:keepNext w:val="0"/>
        <w:pageBreakBefore w:val="0"/>
        <w:spacing w:line="460" w:lineRule="exact"/>
        <w:tabs>
          <w:tab w:val="left" w:pos="945" w:leader="none"/>
        </w:tabs>
        <w:rPr>
          <w:rFonts w:ascii="Times New Roman" w:hAnsi="Times New Roman" w:eastAsia="宋体" w:cs="Times New Roman"/>
          <w:color w:val="000000"/>
          <w:highlight w:val="none"/>
        </w:rPr>
        <w:outlineLvl w:val="0"/>
      </w:pPr>
      <w:r>
        <w:rPr>
          <w:rFonts w:ascii="Times New Roman" w:hAnsi="Times New Roman" w:eastAsia="宋体" w:cs="Times New Roman"/>
          <w:color w:val="000000"/>
          <w:highlight w:val="none"/>
        </w:rPr>
      </w:r>
      <w:r/>
    </w:p>
    <w:p>
      <w:pPr>
        <w:pStyle w:val="1064"/>
        <w:ind w:firstLine="420"/>
        <w:keepLines w:val="0"/>
        <w:keepNext w:val="0"/>
        <w:pageBreakBefore w:val="0"/>
        <w:spacing w:line="460" w:lineRule="exact"/>
        <w:tabs>
          <w:tab w:val="left" w:pos="945" w:leader="none"/>
        </w:tabs>
        <w:rPr>
          <w:rFonts w:ascii="Times New Roman" w:hAnsi="Times New Roman" w:eastAsia="宋体" w:cs="Times New Roman"/>
          <w:color w:val="000000"/>
          <w:highlight w:val="none"/>
        </w:rPr>
        <w:outlineLvl w:val="0"/>
      </w:pPr>
      <w:r>
        <w:rPr>
          <w:rFonts w:ascii="Times New Roman" w:hAnsi="Times New Roman" w:eastAsia="宋体" w:cs="Times New Roman"/>
          <w:color w:val="000000"/>
          <w:highlight w:val="none"/>
        </w:rPr>
      </w:r>
      <w:r/>
    </w:p>
    <w:p>
      <w:pPr>
        <w:pStyle w:val="1064"/>
        <w:ind w:firstLine="420"/>
        <w:keepLines w:val="0"/>
        <w:keepNext w:val="0"/>
        <w:pageBreakBefore w:val="0"/>
        <w:spacing w:line="460" w:lineRule="exact"/>
        <w:tabs>
          <w:tab w:val="left" w:pos="945" w:leader="none"/>
        </w:tabs>
        <w:rPr>
          <w:rFonts w:ascii="Times New Roman" w:hAnsi="Times New Roman" w:eastAsia="宋体" w:cs="Times New Roman"/>
          <w:color w:val="000000"/>
          <w:highlight w:val="none"/>
        </w:rPr>
        <w:outlineLvl w:val="0"/>
      </w:pPr>
      <w:r>
        <w:rPr>
          <w:rFonts w:ascii="Times New Roman" w:hAnsi="Times New Roman" w:eastAsia="宋体" w:cs="Times New Roman"/>
          <w:color w:val="000000"/>
          <w:highlight w:val="none"/>
        </w:rPr>
      </w:r>
      <w:r/>
    </w:p>
    <w:p>
      <w:pPr>
        <w:pStyle w:val="1064"/>
        <w:ind w:firstLine="420"/>
        <w:keepLines w:val="0"/>
        <w:keepNext w:val="0"/>
        <w:pageBreakBefore w:val="0"/>
        <w:spacing w:line="460" w:lineRule="exact"/>
        <w:tabs>
          <w:tab w:val="left" w:pos="945" w:leader="none"/>
        </w:tabs>
        <w:rPr>
          <w:rFonts w:ascii="Times New Roman" w:hAnsi="Times New Roman" w:eastAsia="宋体" w:cs="Times New Roman"/>
          <w:color w:val="000000"/>
          <w:highlight w:val="none"/>
        </w:rPr>
        <w:outlineLvl w:val="0"/>
      </w:pPr>
      <w:r>
        <w:rPr>
          <w:rFonts w:ascii="Times New Roman" w:hAnsi="Times New Roman" w:eastAsia="宋体" w:cs="Times New Roman"/>
          <w:color w:val="000000"/>
          <w:highlight w:val="none"/>
        </w:rPr>
      </w:r>
      <w:r/>
    </w:p>
    <w:p>
      <w:pPr>
        <w:pStyle w:val="1064"/>
        <w:ind w:firstLine="420"/>
        <w:keepLines w:val="0"/>
        <w:keepNext w:val="0"/>
        <w:pageBreakBefore w:val="0"/>
        <w:spacing w:line="460" w:lineRule="exact"/>
        <w:tabs>
          <w:tab w:val="left" w:pos="945" w:leader="none"/>
        </w:tabs>
        <w:rPr>
          <w:rFonts w:ascii="Times New Roman" w:hAnsi="Times New Roman" w:eastAsia="宋体" w:cs="Times New Roman"/>
          <w:color w:val="000000"/>
          <w:highlight w:val="none"/>
        </w:rPr>
        <w:outlineLvl w:val="0"/>
      </w:pPr>
      <w:r>
        <w:rPr>
          <w:rFonts w:ascii="Times New Roman" w:hAnsi="Times New Roman" w:eastAsia="宋体" w:cs="Times New Roman"/>
          <w:color w:val="000000"/>
          <w:highlight w:val="none"/>
        </w:rPr>
      </w:r>
      <w:r/>
    </w:p>
    <w:p>
      <w:pPr>
        <w:pStyle w:val="1064"/>
        <w:ind w:left="479" w:firstLine="0"/>
        <w:keepLines w:val="0"/>
        <w:keepNext w:val="0"/>
        <w:pageBreakBefore w:val="0"/>
        <w:spacing w:line="460" w:lineRule="exact"/>
        <w:tabs>
          <w:tab w:val="left" w:pos="945" w:leader="none"/>
        </w:tabs>
        <w:rPr>
          <w:rFonts w:hint="eastAsia" w:ascii="宋体" w:hAnsi="宋体" w:eastAsia="宋体" w:cs="宋体"/>
          <w:b/>
          <w:bCs w:val="0"/>
          <w:color w:val="000000"/>
          <w:sz w:val="24"/>
          <w:highlight w:val="none"/>
          <w:lang w:val="en-US" w:eastAsia="zh-CN"/>
        </w:rPr>
        <w:outlineLvl w:val="0"/>
      </w:pPr>
      <w:r>
        <w:rPr>
          <w:rFonts w:hint="eastAsia" w:ascii="宋体" w:hAnsi="宋体" w:eastAsia="宋体" w:cs="宋体"/>
          <w:b/>
          <w:bCs w:val="0"/>
          <w:color w:val="000000"/>
          <w:sz w:val="24"/>
          <w:highlight w:val="none"/>
          <w:lang w:val="en-US" w:eastAsia="zh-CN"/>
        </w:rPr>
      </w:r>
      <w:r/>
    </w:p>
    <w:p>
      <w:pPr>
        <w:pStyle w:val="1064"/>
        <w:ind w:left="479" w:firstLine="0"/>
        <w:keepLines w:val="0"/>
        <w:keepNext w:val="0"/>
        <w:pageBreakBefore w:val="0"/>
        <w:spacing w:line="460" w:lineRule="exact"/>
        <w:tabs>
          <w:tab w:val="left" w:pos="945" w:leader="none"/>
        </w:tabs>
        <w:rPr>
          <w:rFonts w:hint="eastAsia" w:ascii="宋体" w:hAnsi="宋体" w:eastAsia="宋体" w:cs="宋体"/>
          <w:b/>
          <w:bCs w:val="0"/>
          <w:color w:val="000000"/>
          <w:sz w:val="24"/>
          <w:highlight w:val="none"/>
          <w:lang w:val="en-US" w:eastAsia="zh-CN"/>
        </w:rPr>
        <w:outlineLvl w:val="0"/>
      </w:pPr>
      <w:r>
        <w:rPr>
          <w:rFonts w:hint="eastAsia" w:ascii="宋体" w:hAnsi="宋体" w:eastAsia="宋体" w:cs="宋体"/>
          <w:b/>
          <w:bCs w:val="0"/>
          <w:color w:val="000000"/>
          <w:sz w:val="24"/>
          <w:highlight w:val="none"/>
          <w:lang w:val="en-US" w:eastAsia="zh-CN"/>
        </w:rPr>
      </w:r>
      <w:r/>
    </w:p>
    <w:p>
      <w:pPr>
        <w:pStyle w:val="1064"/>
        <w:ind w:left="479" w:firstLine="0"/>
        <w:keepLines w:val="0"/>
        <w:keepNext w:val="0"/>
        <w:pageBreakBefore w:val="0"/>
        <w:spacing w:line="460" w:lineRule="exact"/>
        <w:tabs>
          <w:tab w:val="left" w:pos="945" w:leader="none"/>
        </w:tabs>
        <w:rPr>
          <w:rFonts w:ascii="宋体" w:hAnsi="宋体" w:eastAsia="宋体" w:cs="宋体"/>
          <w:b/>
          <w:bCs w:val="0"/>
          <w:color w:val="000000"/>
          <w:sz w:val="24"/>
          <w:highlight w:val="none"/>
          <w:lang w:val="en-US" w:eastAsia="zh-CN"/>
        </w:rPr>
        <w:outlineLvl w:val="0"/>
      </w:pPr>
      <w:r>
        <w:rPr>
          <w:rFonts w:hint="eastAsia" w:ascii="宋体" w:hAnsi="宋体" w:eastAsia="宋体" w:cs="宋体"/>
          <w:b/>
          <w:bCs w:val="0"/>
          <w:color w:val="000000"/>
          <w:sz w:val="24"/>
          <w:highlight w:val="none"/>
          <w:lang w:val="en-US" w:eastAsia="zh-CN"/>
        </w:rPr>
        <w:t xml:space="preserve">3、工作要求：</w:t>
      </w:r>
      <w:r>
        <w:rPr>
          <w:rFonts w:ascii="宋体" w:hAnsi="宋体" w:eastAsia="宋体" w:cs="宋体"/>
          <w:b/>
          <w:bCs w:val="0"/>
          <w:color w:val="000000"/>
          <w:sz w:val="24"/>
          <w:highlight w:val="none"/>
          <w:lang w:val="en-US" w:eastAsia="zh-CN"/>
        </w:rPr>
      </w:r>
      <w:r/>
    </w:p>
    <w:p>
      <w:pPr>
        <w:pStyle w:val="1064"/>
        <w:ind w:firstLine="482"/>
        <w:spacing w:line="440" w:lineRule="exact"/>
        <w:rPr>
          <w:rFonts w:ascii="Times New Roman" w:hAnsi="Times New Roman" w:eastAsia="宋体" w:cs="Times New Roman"/>
          <w:b/>
          <w:bCs/>
          <w:color w:val="000000"/>
          <w:sz w:val="24"/>
          <w:szCs w:val="20"/>
          <w:highlight w:val="none"/>
        </w:rPr>
      </w:pPr>
      <w:r>
        <w:rPr>
          <w:rFonts w:ascii="Times New Roman" w:hAnsi="Times New Roman" w:eastAsia="宋体" w:cs="Times New Roman"/>
          <w:b/>
          <w:bCs/>
          <w:color w:val="000000"/>
          <w:sz w:val="24"/>
          <w:szCs w:val="20"/>
          <w:highlight w:val="none"/>
        </w:rPr>
        <w:t xml:space="preserve">3.1</w:t>
      </w:r>
      <w:r>
        <w:rPr>
          <w:rFonts w:hint="eastAsia" w:ascii="Times New Roman" w:hAnsi="Times New Roman" w:eastAsia="宋体" w:cs="Times New Roman"/>
          <w:b/>
          <w:bCs/>
          <w:color w:val="000000"/>
          <w:sz w:val="24"/>
          <w:szCs w:val="20"/>
          <w:highlight w:val="none"/>
        </w:rPr>
        <w:t xml:space="preserve">土壤污染状况调查要求</w:t>
      </w:r>
      <w:r>
        <w:rPr>
          <w:rFonts w:ascii="Times New Roman" w:hAnsi="Times New Roman" w:eastAsia="宋体" w:cs="Times New Roman"/>
          <w:b/>
          <w:bCs/>
          <w:color w:val="000000"/>
          <w:sz w:val="24"/>
          <w:szCs w:val="20"/>
          <w:highlight w:val="none"/>
        </w:rPr>
      </w:r>
      <w:r/>
    </w:p>
    <w:p>
      <w:pPr>
        <w:pStyle w:val="1064"/>
        <w:ind w:firstLine="480"/>
        <w:spacing w:line="440" w:lineRule="exact"/>
        <w:rPr>
          <w:rFonts w:ascii="Times New Roman" w:hAnsi="Times New Roman" w:eastAsia="宋体" w:cs="Times New Roman"/>
          <w:b/>
          <w:bCs/>
          <w:color w:val="000000"/>
          <w:sz w:val="24"/>
          <w:szCs w:val="20"/>
          <w:highlight w:val="none"/>
        </w:rPr>
      </w:pPr>
      <w:r>
        <w:rPr>
          <w:rFonts w:hint="eastAsia" w:ascii="Times New Roman" w:hAnsi="Times New Roman" w:eastAsia="宋体" w:cs="Times New Roman"/>
          <w:bCs/>
          <w:color w:val="000000"/>
          <w:sz w:val="24"/>
          <w:szCs w:val="20"/>
          <w:highlight w:val="none"/>
        </w:rPr>
        <w:t xml:space="preserve">本次工作主要根据</w:t>
      </w:r>
      <w:r>
        <w:rPr>
          <w:rFonts w:hint="eastAsia" w:ascii="Times New Roman" w:hAnsi="Times New Roman" w:eastAsia="宋体" w:cs="Times New Roman"/>
          <w:bCs/>
          <w:color w:val="000000"/>
          <w:sz w:val="24"/>
          <w:szCs w:val="20"/>
          <w:highlight w:val="none"/>
          <w:lang w:eastAsia="zh-CN"/>
        </w:rPr>
        <w:t xml:space="preserve">生态环境部</w:t>
      </w:r>
      <w:r>
        <w:rPr>
          <w:rFonts w:hint="eastAsia" w:ascii="Times New Roman" w:hAnsi="Times New Roman" w:eastAsia="宋体" w:cs="Times New Roman"/>
          <w:bCs/>
          <w:color w:val="000000"/>
          <w:sz w:val="24"/>
          <w:szCs w:val="20"/>
          <w:highlight w:val="none"/>
        </w:rPr>
        <w:t xml:space="preserve">《建设用地土壤污染状况调查技术导则》（</w:t>
      </w:r>
      <w:r>
        <w:rPr>
          <w:rFonts w:ascii="Times New Roman" w:hAnsi="Times New Roman" w:eastAsia="宋体" w:cs="Times New Roman"/>
          <w:bCs/>
          <w:color w:val="000000"/>
          <w:sz w:val="24"/>
          <w:szCs w:val="20"/>
          <w:highlight w:val="none"/>
        </w:rPr>
        <w:t xml:space="preserve">HJ 25.1-2019）、《建设用地土壤污染风险管控和修复监测技术导则》（HJ 25.2-2019）、《建设用地土壤污染风险评估技术导则》（HJ 25.3-2019）</w:t>
      </w:r>
      <w:r>
        <w:rPr>
          <w:rFonts w:hint="eastAsia" w:ascii="Times New Roman" w:hAnsi="Times New Roman" w:eastAsia="宋体" w:cs="Times New Roman"/>
          <w:bCs/>
          <w:color w:val="000000"/>
          <w:sz w:val="24"/>
          <w:szCs w:val="20"/>
          <w:highlight w:val="none"/>
        </w:rPr>
        <w:t xml:space="preserve">、《建设用地土壤修复技术导则》</w:t>
      </w:r>
      <w:r>
        <w:rPr>
          <w:rFonts w:hint="eastAsia" w:ascii="Times New Roman" w:hAnsi="Times New Roman" w:eastAsia="宋体" w:cs="Times New Roman"/>
          <w:bCs/>
          <w:color w:val="000000"/>
          <w:sz w:val="24"/>
          <w:szCs w:val="20"/>
          <w:highlight w:val="none"/>
          <w:lang w:eastAsia="zh-CN"/>
        </w:rPr>
        <w:t xml:space="preserve">（</w:t>
      </w:r>
      <w:r>
        <w:rPr>
          <w:rFonts w:ascii="Times New Roman" w:hAnsi="Times New Roman" w:eastAsia="宋体" w:cs="Times New Roman"/>
          <w:bCs/>
          <w:color w:val="000000"/>
          <w:sz w:val="24"/>
          <w:szCs w:val="20"/>
          <w:highlight w:val="none"/>
        </w:rPr>
        <w:t xml:space="preserve">HJ25.4-2019</w:t>
      </w:r>
      <w:r>
        <w:rPr>
          <w:rFonts w:hint="eastAsia" w:ascii="Times New Roman" w:hAnsi="Times New Roman" w:eastAsia="宋体" w:cs="Times New Roman"/>
          <w:bCs/>
          <w:color w:val="000000"/>
          <w:sz w:val="24"/>
          <w:szCs w:val="20"/>
          <w:highlight w:val="none"/>
          <w:lang w:eastAsia="zh-CN"/>
        </w:rPr>
        <w:t xml:space="preserve">）</w:t>
      </w:r>
      <w:r>
        <w:rPr>
          <w:rFonts w:hint="eastAsia" w:ascii="Times New Roman" w:hAnsi="Times New Roman" w:eastAsia="宋体" w:cs="Times New Roman"/>
          <w:bCs/>
          <w:color w:val="000000"/>
          <w:sz w:val="24"/>
          <w:szCs w:val="20"/>
          <w:highlight w:val="none"/>
        </w:rPr>
        <w:t xml:space="preserve">、《建设用地土壤环境调查评估技术指南》（原环境保护部，公告</w:t>
      </w:r>
      <w:r>
        <w:rPr>
          <w:rFonts w:ascii="Times New Roman" w:hAnsi="Times New Roman" w:eastAsia="宋体" w:cs="Times New Roman"/>
          <w:bCs/>
          <w:color w:val="000000"/>
          <w:sz w:val="24"/>
          <w:szCs w:val="20"/>
          <w:highlight w:val="none"/>
        </w:rPr>
        <w:t xml:space="preserve">2017年 </w:t>
      </w:r>
      <w:r>
        <w:rPr>
          <w:rFonts w:hint="eastAsia" w:ascii="Times New Roman" w:hAnsi="Times New Roman" w:eastAsia="宋体" w:cs="Times New Roman"/>
          <w:bCs/>
          <w:color w:val="000000"/>
          <w:sz w:val="24"/>
          <w:szCs w:val="20"/>
          <w:highlight w:val="none"/>
        </w:rPr>
        <w:t xml:space="preserve">第</w:t>
      </w:r>
      <w:r>
        <w:rPr>
          <w:rFonts w:ascii="Times New Roman" w:hAnsi="Times New Roman" w:eastAsia="宋体" w:cs="Times New Roman"/>
          <w:bCs/>
          <w:color w:val="000000"/>
          <w:sz w:val="24"/>
          <w:szCs w:val="20"/>
          <w:highlight w:val="none"/>
        </w:rPr>
        <w:t xml:space="preserve">72号）</w:t>
      </w:r>
      <w:r>
        <w:rPr>
          <w:rFonts w:hint="eastAsia" w:ascii="Times New Roman" w:hAnsi="Times New Roman" w:eastAsia="宋体" w:cs="Times New Roman"/>
          <w:bCs/>
          <w:color w:val="000000"/>
          <w:sz w:val="24"/>
          <w:szCs w:val="20"/>
          <w:highlight w:val="none"/>
        </w:rPr>
        <w:t xml:space="preserve">、《</w:t>
      </w:r>
      <w:r>
        <w:rPr>
          <w:rFonts w:ascii="Times New Roman" w:hAnsi="Times New Roman" w:eastAsia="宋体" w:cs="Times New Roman"/>
          <w:color w:val="000000"/>
          <w:sz w:val="24"/>
          <w:szCs w:val="24"/>
          <w:highlight w:val="none"/>
          <w:lang w:bidi="ar"/>
        </w:rPr>
        <w:t xml:space="preserve">地下水环境监测技术规范》</w:t>
      </w:r>
      <w:r>
        <w:rPr>
          <w:rFonts w:hint="eastAsia" w:ascii="Times New Roman" w:hAnsi="Times New Roman" w:eastAsia="宋体" w:cs="Times New Roman"/>
          <w:color w:val="000000"/>
          <w:sz w:val="24"/>
          <w:szCs w:val="24"/>
          <w:highlight w:val="none"/>
          <w:lang w:eastAsia="zh-CN" w:bidi="ar"/>
        </w:rPr>
        <w:t xml:space="preserve">（</w:t>
      </w:r>
      <w:r>
        <w:rPr>
          <w:rFonts w:ascii="Times New Roman" w:hAnsi="Times New Roman" w:eastAsia="宋体" w:cs="Times New Roman"/>
          <w:color w:val="000000"/>
          <w:sz w:val="24"/>
          <w:szCs w:val="24"/>
          <w:highlight w:val="none"/>
          <w:lang w:bidi="ar"/>
        </w:rPr>
        <w:t xml:space="preserve">HJ 164-2020</w:t>
      </w:r>
      <w:r>
        <w:rPr>
          <w:rFonts w:hint="eastAsia" w:ascii="Times New Roman" w:hAnsi="Times New Roman" w:eastAsia="宋体" w:cs="Times New Roman"/>
          <w:color w:val="000000"/>
          <w:sz w:val="24"/>
          <w:szCs w:val="24"/>
          <w:highlight w:val="none"/>
          <w:lang w:eastAsia="zh-CN" w:bidi="ar"/>
        </w:rPr>
        <w:t xml:space="preserve">）</w:t>
      </w:r>
      <w:r>
        <w:rPr>
          <w:rFonts w:ascii="Times New Roman" w:hAnsi="Times New Roman" w:eastAsia="宋体" w:cs="Times New Roman"/>
          <w:color w:val="000000"/>
          <w:sz w:val="24"/>
          <w:szCs w:val="24"/>
          <w:highlight w:val="none"/>
          <w:lang w:bidi="ar"/>
        </w:rPr>
        <w:t xml:space="preserve">、《环境影响评价技术导则-地下水环境》（HJ610-2016）</w:t>
      </w:r>
      <w:r>
        <w:rPr>
          <w:rFonts w:hint="eastAsia" w:ascii="Times New Roman" w:hAnsi="Times New Roman" w:eastAsia="宋体" w:cs="Times New Roman"/>
          <w:color w:val="000000"/>
          <w:sz w:val="24"/>
          <w:szCs w:val="24"/>
          <w:highlight w:val="none"/>
          <w:lang w:bidi="ar"/>
        </w:rPr>
        <w:t xml:space="preserve">等技术文件</w:t>
      </w:r>
      <w:r>
        <w:rPr>
          <w:rFonts w:hint="eastAsia" w:ascii="Times New Roman" w:hAnsi="Times New Roman" w:eastAsia="宋体" w:cs="Times New Roman"/>
          <w:bCs/>
          <w:color w:val="000000"/>
          <w:sz w:val="24"/>
          <w:szCs w:val="20"/>
          <w:highlight w:val="none"/>
        </w:rPr>
        <w:t xml:space="preserve">，并结合</w:t>
      </w:r>
      <w:r>
        <w:rPr>
          <w:rFonts w:ascii="Times New Roman" w:hAnsi="Times New Roman" w:eastAsia="宋体" w:cs="Times New Roman"/>
          <w:color w:val="000000"/>
          <w:sz w:val="24"/>
          <w:szCs w:val="20"/>
          <w:highlight w:val="none"/>
        </w:rPr>
        <w:t xml:space="preserve">无锡金属表面处理科技工业园</w:t>
      </w:r>
      <w:r>
        <w:rPr>
          <w:rFonts w:hint="eastAsia" w:ascii="Times New Roman" w:hAnsi="Times New Roman" w:eastAsia="宋体" w:cs="Times New Roman"/>
          <w:bCs/>
          <w:color w:val="000000"/>
          <w:sz w:val="24"/>
          <w:szCs w:val="20"/>
          <w:highlight w:val="none"/>
        </w:rPr>
        <w:t xml:space="preserve">土壤地下水污染状况调查相关经验和地块的实际情况，开展本次调查工作。</w:t>
      </w:r>
      <w:r>
        <w:rPr>
          <w:rFonts w:ascii="Times New Roman" w:hAnsi="Times New Roman" w:eastAsia="宋体" w:cs="Times New Roman"/>
          <w:b/>
          <w:bCs/>
          <w:color w:val="000000"/>
          <w:sz w:val="24"/>
          <w:szCs w:val="20"/>
          <w:highlight w:val="none"/>
        </w:rPr>
      </w:r>
      <w:r/>
    </w:p>
    <w:p>
      <w:pPr>
        <w:pStyle w:val="1064"/>
        <w:ind w:firstLine="480"/>
        <w:spacing w:line="440" w:lineRule="exact"/>
        <w:rPr>
          <w:rFonts w:ascii="Times New Roman" w:hAnsi="Times New Roman" w:eastAsia="宋体" w:cs="Times New Roman"/>
          <w:bCs/>
          <w:color w:val="000000"/>
          <w:sz w:val="24"/>
          <w:szCs w:val="20"/>
          <w:highlight w:val="none"/>
        </w:rPr>
      </w:pPr>
      <w:r>
        <w:rPr>
          <w:rFonts w:hint="eastAsia"/>
          <w:bCs/>
          <w:color w:val="000000"/>
          <w:sz w:val="24"/>
          <w:szCs w:val="20"/>
          <w:highlight w:val="none"/>
        </w:rPr>
        <w:t xml:space="preserve">基于所收集资料，分析调查地块建设资料和地块历史变迁过程，结合地块所在区域的水文地质等相关资料初步判断地块可能的污染类型及其分布，</w:t>
      </w:r>
      <w:r>
        <w:rPr>
          <w:bCs/>
          <w:color w:val="000000"/>
          <w:sz w:val="24"/>
          <w:szCs w:val="20"/>
          <w:highlight w:val="none"/>
        </w:rPr>
        <w:t xml:space="preserve">制定</w:t>
      </w:r>
      <w:r>
        <w:rPr>
          <w:rFonts w:hint="eastAsia"/>
          <w:bCs/>
          <w:color w:val="000000"/>
          <w:sz w:val="24"/>
          <w:szCs w:val="20"/>
          <w:highlight w:val="none"/>
        </w:rPr>
        <w:t xml:space="preserve">工作</w:t>
      </w:r>
      <w:r>
        <w:rPr>
          <w:bCs/>
          <w:color w:val="000000"/>
          <w:sz w:val="24"/>
          <w:szCs w:val="20"/>
          <w:highlight w:val="none"/>
        </w:rPr>
        <w:t xml:space="preserve">方案</w:t>
      </w:r>
      <w:r>
        <w:rPr>
          <w:rFonts w:hint="eastAsia"/>
          <w:bCs/>
          <w:color w:val="000000"/>
          <w:sz w:val="24"/>
          <w:szCs w:val="20"/>
          <w:highlight w:val="none"/>
        </w:rPr>
        <w:t xml:space="preserve">，并进行相应的土壤地下水取样测试</w:t>
      </w:r>
      <w:r>
        <w:rPr>
          <w:bCs/>
          <w:color w:val="000000"/>
          <w:sz w:val="24"/>
          <w:szCs w:val="20"/>
          <w:highlight w:val="none"/>
        </w:rPr>
        <w:t xml:space="preserve">，</w:t>
      </w:r>
      <w:r>
        <w:rPr>
          <w:rFonts w:hint="eastAsia"/>
          <w:bCs/>
          <w:color w:val="000000"/>
          <w:sz w:val="24"/>
          <w:szCs w:val="20"/>
          <w:highlight w:val="none"/>
        </w:rPr>
        <w:t xml:space="preserve">以及</w:t>
      </w:r>
      <w:r>
        <w:rPr>
          <w:bCs/>
          <w:color w:val="000000"/>
          <w:sz w:val="24"/>
          <w:szCs w:val="20"/>
          <w:highlight w:val="none"/>
        </w:rPr>
        <w:t xml:space="preserve">水文地质勘察包括</w:t>
      </w:r>
      <w:r>
        <w:rPr>
          <w:rFonts w:hint="eastAsia"/>
          <w:bCs/>
          <w:color w:val="000000"/>
          <w:sz w:val="24"/>
          <w:szCs w:val="20"/>
          <w:highlight w:val="none"/>
        </w:rPr>
        <w:t xml:space="preserve">但不限于</w:t>
      </w:r>
      <w:r>
        <w:rPr>
          <w:bCs/>
          <w:color w:val="000000"/>
          <w:sz w:val="24"/>
          <w:szCs w:val="20"/>
          <w:highlight w:val="none"/>
        </w:rPr>
        <w:t xml:space="preserve">土工试验、抽水试验</w:t>
      </w:r>
      <w:r>
        <w:rPr>
          <w:rFonts w:hint="eastAsia"/>
          <w:bCs/>
          <w:color w:val="000000"/>
          <w:sz w:val="24"/>
          <w:szCs w:val="20"/>
          <w:highlight w:val="none"/>
        </w:rPr>
        <w:t xml:space="preserve">。通过土壤和地下水监测等手段，判断地块土壤地下水受污染程度和范围</w:t>
      </w:r>
      <w:r>
        <w:rPr>
          <w:rFonts w:hint="eastAsia" w:ascii="Times New Roman" w:hAnsi="Times New Roman" w:eastAsia="宋体" w:cs="Times New Roman"/>
          <w:bCs/>
          <w:color w:val="000000"/>
          <w:sz w:val="24"/>
          <w:szCs w:val="20"/>
          <w:highlight w:val="none"/>
        </w:rPr>
        <w:t xml:space="preserve">。</w:t>
      </w:r>
      <w:r>
        <w:rPr>
          <w:rFonts w:ascii="Times New Roman" w:hAnsi="Times New Roman" w:eastAsia="宋体" w:cs="Times New Roman"/>
          <w:bCs/>
          <w:color w:val="000000"/>
          <w:sz w:val="24"/>
          <w:szCs w:val="20"/>
          <w:highlight w:val="none"/>
        </w:rPr>
      </w:r>
      <w:r/>
    </w:p>
    <w:p>
      <w:pPr>
        <w:pStyle w:val="1064"/>
        <w:ind w:firstLine="482"/>
        <w:spacing w:line="440" w:lineRule="exact"/>
        <w:rPr>
          <w:rFonts w:ascii="Times New Roman" w:hAnsi="Times New Roman" w:eastAsia="宋体" w:cs="Times New Roman"/>
          <w:b/>
          <w:bCs/>
          <w:color w:val="000000"/>
          <w:sz w:val="24"/>
          <w:szCs w:val="20"/>
          <w:highlight w:val="none"/>
        </w:rPr>
      </w:pPr>
      <w:r>
        <w:rPr>
          <w:rFonts w:ascii="Times New Roman" w:hAnsi="Times New Roman" w:eastAsia="宋体" w:cs="Times New Roman"/>
          <w:b/>
          <w:bCs/>
          <w:color w:val="000000"/>
          <w:sz w:val="24"/>
          <w:szCs w:val="20"/>
          <w:highlight w:val="none"/>
        </w:rPr>
        <w:t xml:space="preserve">3.</w:t>
      </w:r>
      <w:r>
        <w:rPr>
          <w:rFonts w:hint="eastAsia" w:ascii="Times New Roman" w:hAnsi="Times New Roman" w:eastAsia="宋体" w:cs="Times New Roman"/>
          <w:b/>
          <w:bCs/>
          <w:color w:val="000000"/>
          <w:sz w:val="24"/>
          <w:szCs w:val="20"/>
          <w:highlight w:val="none"/>
        </w:rPr>
        <w:t xml:space="preserve">2</w:t>
      </w:r>
      <w:r>
        <w:rPr>
          <w:rFonts w:ascii="Times New Roman" w:hAnsi="Times New Roman" w:eastAsia="宋体" w:cs="Times New Roman"/>
          <w:b/>
          <w:bCs/>
          <w:color w:val="000000"/>
          <w:sz w:val="24"/>
          <w:szCs w:val="20"/>
          <w:highlight w:val="none"/>
        </w:rPr>
        <w:t xml:space="preserve"> </w:t>
      </w:r>
      <w:r>
        <w:rPr>
          <w:rFonts w:hint="eastAsia" w:ascii="Times New Roman" w:hAnsi="Times New Roman" w:eastAsia="宋体" w:cs="Times New Roman"/>
          <w:b/>
          <w:bCs/>
          <w:color w:val="000000"/>
          <w:sz w:val="24"/>
          <w:szCs w:val="20"/>
          <w:highlight w:val="none"/>
        </w:rPr>
        <w:t xml:space="preserve">风险评估要求</w:t>
      </w:r>
      <w:r>
        <w:rPr>
          <w:rFonts w:ascii="Times New Roman" w:hAnsi="Times New Roman" w:eastAsia="宋体" w:cs="Times New Roman"/>
          <w:b/>
          <w:bCs/>
          <w:color w:val="000000"/>
          <w:sz w:val="24"/>
          <w:szCs w:val="20"/>
          <w:highlight w:val="none"/>
        </w:rPr>
      </w:r>
      <w:r/>
    </w:p>
    <w:p>
      <w:pPr>
        <w:pStyle w:val="1064"/>
        <w:ind w:firstLine="480"/>
        <w:spacing w:line="440" w:lineRule="exact"/>
        <w:rPr>
          <w:rFonts w:ascii="Times New Roman" w:hAnsi="Times New Roman" w:eastAsia="宋体" w:cs="Times New Roman"/>
          <w:bCs/>
          <w:color w:val="000000"/>
          <w:sz w:val="24"/>
          <w:szCs w:val="20"/>
          <w:highlight w:val="none"/>
        </w:rPr>
      </w:pPr>
      <w:r>
        <w:rPr>
          <w:rFonts w:hint="eastAsia" w:ascii="Times New Roman" w:hAnsi="Times New Roman" w:eastAsia="宋体" w:cs="Times New Roman"/>
          <w:bCs/>
          <w:color w:val="000000"/>
          <w:sz w:val="24"/>
          <w:szCs w:val="20"/>
          <w:highlight w:val="none"/>
        </w:rPr>
        <w:t xml:space="preserve">依据《污染场地风险评估技术导则》（</w:t>
      </w:r>
      <w:r>
        <w:rPr>
          <w:rFonts w:ascii="Times New Roman" w:hAnsi="Times New Roman" w:eastAsia="宋体" w:cs="Times New Roman"/>
          <w:bCs/>
          <w:color w:val="000000"/>
          <w:sz w:val="24"/>
          <w:szCs w:val="20"/>
          <w:highlight w:val="none"/>
        </w:rPr>
        <w:t xml:space="preserve">HJ25.3）及《建设用地土壤环境调查评估技术指南》相关要求，建设用地土壤污染风险评估按照危害识别、暴露评估、毒性评估、风险表征和控制值计算五个步骤展开。由于需进行风险评估，</w:t>
      </w:r>
      <w:r>
        <w:rPr>
          <w:rFonts w:hint="eastAsia" w:ascii="Times New Roman" w:hAnsi="Times New Roman" w:eastAsia="宋体" w:cs="Times New Roman"/>
          <w:bCs/>
          <w:color w:val="000000"/>
          <w:sz w:val="24"/>
          <w:szCs w:val="20"/>
          <w:highlight w:val="none"/>
        </w:rPr>
        <w:t xml:space="preserve">如上述</w:t>
      </w:r>
      <w:r>
        <w:rPr>
          <w:rFonts w:ascii="Times New Roman" w:hAnsi="Times New Roman" w:eastAsia="宋体" w:cs="Times New Roman"/>
          <w:bCs/>
          <w:color w:val="000000"/>
          <w:sz w:val="24"/>
          <w:szCs w:val="20"/>
          <w:highlight w:val="none"/>
        </w:rPr>
        <w:t xml:space="preserve">调查结果</w:t>
      </w:r>
      <w:r>
        <w:rPr>
          <w:rFonts w:hint="eastAsia" w:ascii="Times New Roman" w:hAnsi="Times New Roman" w:eastAsia="宋体" w:cs="Times New Roman"/>
          <w:bCs/>
          <w:color w:val="000000"/>
          <w:sz w:val="24"/>
          <w:szCs w:val="20"/>
          <w:highlight w:val="none"/>
        </w:rPr>
        <w:t xml:space="preserve">不足以支撑相关工作，需</w:t>
      </w:r>
      <w:r>
        <w:rPr>
          <w:rFonts w:ascii="Times New Roman" w:hAnsi="Times New Roman" w:eastAsia="宋体" w:cs="Times New Roman"/>
          <w:bCs/>
          <w:color w:val="000000"/>
          <w:sz w:val="24"/>
          <w:szCs w:val="20"/>
          <w:highlight w:val="none"/>
        </w:rPr>
        <w:t xml:space="preserve">开展补充采样和测试，获得满足风险评估所需要的</w:t>
      </w:r>
      <w:r>
        <w:rPr>
          <w:rFonts w:hint="eastAsia" w:ascii="Times New Roman" w:hAnsi="Times New Roman" w:eastAsia="宋体" w:cs="Times New Roman"/>
          <w:bCs/>
          <w:color w:val="000000"/>
          <w:sz w:val="24"/>
          <w:szCs w:val="20"/>
          <w:highlight w:val="none"/>
        </w:rPr>
        <w:t xml:space="preserve">数据</w:t>
      </w:r>
      <w:r>
        <w:rPr>
          <w:rFonts w:ascii="Times New Roman" w:hAnsi="Times New Roman" w:eastAsia="宋体" w:cs="Times New Roman"/>
          <w:bCs/>
          <w:color w:val="000000"/>
          <w:sz w:val="24"/>
          <w:szCs w:val="20"/>
          <w:highlight w:val="none"/>
        </w:rPr>
        <w:t xml:space="preserve">。</w:t>
      </w:r>
      <w:r>
        <w:rPr>
          <w:rFonts w:ascii="Times New Roman" w:hAnsi="Times New Roman" w:eastAsia="宋体" w:cs="Times New Roman"/>
          <w:bCs/>
          <w:color w:val="000000"/>
          <w:sz w:val="24"/>
          <w:szCs w:val="20"/>
          <w:highlight w:val="none"/>
        </w:rPr>
      </w:r>
      <w:r/>
    </w:p>
    <w:p>
      <w:pPr>
        <w:pStyle w:val="1064"/>
        <w:ind w:firstLine="480"/>
        <w:spacing w:line="440" w:lineRule="exact"/>
        <w:rPr>
          <w:rFonts w:ascii="Times New Roman" w:hAnsi="Times New Roman" w:eastAsia="宋体" w:cs="Times New Roman"/>
          <w:bCs/>
          <w:color w:val="000000"/>
          <w:sz w:val="24"/>
          <w:szCs w:val="20"/>
          <w:highlight w:val="none"/>
        </w:rPr>
      </w:pPr>
      <w:r>
        <w:rPr>
          <w:rFonts w:hint="eastAsia" w:ascii="Times New Roman" w:hAnsi="Times New Roman" w:eastAsia="宋体" w:cs="Times New Roman"/>
          <w:bCs/>
          <w:color w:val="000000"/>
          <w:sz w:val="24"/>
          <w:szCs w:val="20"/>
          <w:highlight w:val="none"/>
        </w:rPr>
        <w:t xml:space="preserve">（</w:t>
      </w:r>
      <w:r>
        <w:rPr>
          <w:rFonts w:ascii="Times New Roman" w:hAnsi="Times New Roman" w:eastAsia="宋体" w:cs="Times New Roman"/>
          <w:bCs/>
          <w:color w:val="000000"/>
          <w:sz w:val="24"/>
          <w:szCs w:val="20"/>
          <w:highlight w:val="none"/>
        </w:rPr>
        <w:t xml:space="preserve">1）危害识别：根据地块土壤污染状况调查获取的资料，掌握地块土壤和地下水中关注污染物的浓度分布，明确规划土地利用方式，分析可能的敏感受体，如儿童、成人、地下水体等。</w:t>
      </w:r>
      <w:r>
        <w:rPr>
          <w:rFonts w:ascii="Times New Roman" w:hAnsi="Times New Roman" w:eastAsia="宋体" w:cs="Times New Roman"/>
          <w:bCs/>
          <w:color w:val="000000"/>
          <w:sz w:val="24"/>
          <w:szCs w:val="20"/>
          <w:highlight w:val="none"/>
        </w:rPr>
      </w:r>
      <w:r/>
    </w:p>
    <w:p>
      <w:pPr>
        <w:pStyle w:val="1064"/>
        <w:ind w:firstLine="480"/>
        <w:spacing w:line="440" w:lineRule="exact"/>
        <w:rPr>
          <w:rFonts w:ascii="Times New Roman" w:hAnsi="Times New Roman" w:eastAsia="宋体" w:cs="Times New Roman"/>
          <w:bCs/>
          <w:color w:val="000000"/>
          <w:sz w:val="24"/>
          <w:szCs w:val="20"/>
          <w:highlight w:val="none"/>
        </w:rPr>
      </w:pPr>
      <w:r>
        <w:rPr>
          <w:rFonts w:hint="eastAsia" w:ascii="Times New Roman" w:hAnsi="Times New Roman" w:eastAsia="宋体" w:cs="Times New Roman"/>
          <w:bCs/>
          <w:color w:val="000000"/>
          <w:sz w:val="24"/>
          <w:szCs w:val="20"/>
          <w:highlight w:val="none"/>
        </w:rPr>
        <w:t xml:space="preserve">（</w:t>
      </w:r>
      <w:r>
        <w:rPr>
          <w:rFonts w:ascii="Times New Roman" w:hAnsi="Times New Roman" w:eastAsia="宋体" w:cs="Times New Roman"/>
          <w:bCs/>
          <w:color w:val="000000"/>
          <w:sz w:val="24"/>
          <w:szCs w:val="20"/>
          <w:highlight w:val="none"/>
        </w:rPr>
        <w:t xml:space="preserve">2）暴露评估：在危害识别的基础上，分析地块内关注污染物迁移和危害敏感受体的可能性，确定地块土壤和地下水污染物的主要暴露途径和暴露评估模型，确定评估模型参数取值，计算敏感人群对土壤和地下水中污染物的暴露量。</w:t>
      </w:r>
      <w:r>
        <w:rPr>
          <w:rFonts w:ascii="Times New Roman" w:hAnsi="Times New Roman" w:eastAsia="宋体" w:cs="Times New Roman"/>
          <w:bCs/>
          <w:color w:val="000000"/>
          <w:sz w:val="24"/>
          <w:szCs w:val="20"/>
          <w:highlight w:val="none"/>
        </w:rPr>
      </w:r>
      <w:r/>
    </w:p>
    <w:p>
      <w:pPr>
        <w:pStyle w:val="1064"/>
        <w:ind w:firstLine="480"/>
        <w:spacing w:line="440" w:lineRule="exact"/>
        <w:rPr>
          <w:rFonts w:ascii="Times New Roman" w:hAnsi="Times New Roman" w:eastAsia="宋体" w:cs="Times New Roman"/>
          <w:bCs/>
          <w:color w:val="000000"/>
          <w:sz w:val="24"/>
          <w:szCs w:val="20"/>
          <w:highlight w:val="none"/>
        </w:rPr>
      </w:pPr>
      <w:r>
        <w:rPr>
          <w:rFonts w:hint="eastAsia" w:ascii="Times New Roman" w:hAnsi="Times New Roman" w:eastAsia="宋体" w:cs="Times New Roman"/>
          <w:bCs/>
          <w:color w:val="000000"/>
          <w:sz w:val="24"/>
          <w:szCs w:val="20"/>
          <w:highlight w:val="none"/>
        </w:rPr>
        <w:t xml:space="preserve">（</w:t>
      </w:r>
      <w:r>
        <w:rPr>
          <w:rFonts w:ascii="Times New Roman" w:hAnsi="Times New Roman" w:eastAsia="宋体" w:cs="Times New Roman"/>
          <w:bCs/>
          <w:color w:val="000000"/>
          <w:sz w:val="24"/>
          <w:szCs w:val="20"/>
          <w:highlight w:val="none"/>
        </w:rPr>
        <w:t xml:space="preserve">3）毒性评估：在危害识别的工作基础上，分析关注污染物对人体健康的危害效应，包括致癌效应和非致癌效应，确定与关注污染物相关的参数，包括参考剂量、参考浓度、致癌斜率因子和呼吸吸入单位致癌因子等。</w:t>
      </w:r>
      <w:r>
        <w:rPr>
          <w:rFonts w:ascii="Times New Roman" w:hAnsi="Times New Roman" w:eastAsia="宋体" w:cs="Times New Roman"/>
          <w:bCs/>
          <w:color w:val="000000"/>
          <w:sz w:val="24"/>
          <w:szCs w:val="20"/>
          <w:highlight w:val="none"/>
        </w:rPr>
      </w:r>
      <w:r/>
    </w:p>
    <w:p>
      <w:pPr>
        <w:pStyle w:val="1064"/>
        <w:ind w:firstLine="480"/>
        <w:spacing w:line="440" w:lineRule="exact"/>
        <w:rPr>
          <w:rFonts w:ascii="Times New Roman" w:hAnsi="Times New Roman" w:eastAsia="宋体" w:cs="Times New Roman"/>
          <w:bCs/>
          <w:color w:val="000000"/>
          <w:sz w:val="24"/>
          <w:szCs w:val="20"/>
          <w:highlight w:val="none"/>
        </w:rPr>
      </w:pPr>
      <w:r>
        <w:rPr>
          <w:rFonts w:hint="eastAsia" w:ascii="Times New Roman" w:hAnsi="Times New Roman" w:eastAsia="宋体" w:cs="Times New Roman"/>
          <w:bCs/>
          <w:color w:val="000000"/>
          <w:sz w:val="24"/>
          <w:szCs w:val="20"/>
          <w:highlight w:val="none"/>
        </w:rPr>
        <w:t xml:space="preserve">（</w:t>
      </w:r>
      <w:r>
        <w:rPr>
          <w:rFonts w:ascii="Times New Roman" w:hAnsi="Times New Roman" w:eastAsia="宋体" w:cs="Times New Roman"/>
          <w:bCs/>
          <w:color w:val="000000"/>
          <w:sz w:val="24"/>
          <w:szCs w:val="20"/>
          <w:highlight w:val="none"/>
        </w:rPr>
        <w:t xml:space="preserve">4）风险表征：在暴露评估和毒性评估的基础上，采用风险评估模型计算土壤和地下水中单一污染物经单一途径的致癌风险和危害商，计算单一污染物的总致癌风险和危害指数，进行不确定性分析。</w:t>
      </w:r>
      <w:r>
        <w:rPr>
          <w:rFonts w:ascii="Times New Roman" w:hAnsi="Times New Roman" w:eastAsia="宋体" w:cs="Times New Roman"/>
          <w:bCs/>
          <w:color w:val="000000"/>
          <w:sz w:val="24"/>
          <w:szCs w:val="20"/>
          <w:highlight w:val="none"/>
        </w:rPr>
      </w:r>
      <w:r/>
    </w:p>
    <w:p>
      <w:pPr>
        <w:pStyle w:val="1064"/>
        <w:ind w:firstLine="480"/>
        <w:spacing w:line="440" w:lineRule="exact"/>
        <w:rPr>
          <w:rFonts w:ascii="Times New Roman" w:hAnsi="Times New Roman" w:eastAsia="宋体" w:cs="Times New Roman"/>
          <w:bCs/>
          <w:color w:val="000000"/>
          <w:sz w:val="24"/>
          <w:szCs w:val="20"/>
          <w:highlight w:val="none"/>
        </w:rPr>
      </w:pPr>
      <w:r>
        <w:rPr>
          <w:rFonts w:hint="eastAsia" w:ascii="Times New Roman" w:hAnsi="Times New Roman" w:eastAsia="宋体" w:cs="Times New Roman"/>
          <w:bCs/>
          <w:color w:val="000000"/>
          <w:sz w:val="24"/>
          <w:szCs w:val="20"/>
          <w:highlight w:val="none"/>
        </w:rPr>
        <w:t xml:space="preserve">（</w:t>
      </w:r>
      <w:r>
        <w:rPr>
          <w:rFonts w:ascii="Times New Roman" w:hAnsi="Times New Roman" w:eastAsia="宋体" w:cs="Times New Roman"/>
          <w:bCs/>
          <w:color w:val="000000"/>
          <w:sz w:val="24"/>
          <w:szCs w:val="20"/>
          <w:highlight w:val="none"/>
        </w:rPr>
        <w:t xml:space="preserve">5）土壤和地下水风险控制值的计算：在风险表征的基础上，判断计算得到的风险值是否超过可接受风险水平。如地块风险评估结果未超过可接受风险水平，则结束风险评估工作；如污染场地风险评估结果超过可接受风险水平，则计算土壤、地下水中关注污染物的风险控制值；如调查结果表明，土壤中关注污染物可迁移进入地下水，则计算保护地下水的土壤风险控制值；根据计算结果，提出关注污染物的土壤和地下水风险控制值。</w:t>
      </w:r>
      <w:r>
        <w:rPr>
          <w:rFonts w:ascii="Times New Roman" w:hAnsi="Times New Roman" w:eastAsia="宋体" w:cs="Times New Roman"/>
          <w:bCs/>
          <w:color w:val="000000"/>
          <w:sz w:val="24"/>
          <w:szCs w:val="20"/>
          <w:highlight w:val="none"/>
        </w:rPr>
      </w:r>
      <w:r/>
    </w:p>
    <w:p>
      <w:pPr>
        <w:pStyle w:val="1064"/>
        <w:ind w:firstLine="482"/>
        <w:spacing w:line="440" w:lineRule="exact"/>
        <w:rPr>
          <w:rFonts w:ascii="Times New Roman" w:hAnsi="Times New Roman" w:eastAsia="宋体" w:cs="Times New Roman"/>
          <w:b/>
          <w:bCs w:val="0"/>
          <w:color w:val="000000"/>
          <w:sz w:val="24"/>
          <w:szCs w:val="20"/>
          <w:highlight w:val="none"/>
        </w:rPr>
      </w:pPr>
      <w:r>
        <w:rPr>
          <w:rFonts w:ascii="Times New Roman" w:hAnsi="Times New Roman" w:eastAsia="宋体" w:cs="Times New Roman"/>
          <w:b/>
          <w:bCs w:val="0"/>
          <w:color w:val="000000"/>
          <w:sz w:val="24"/>
          <w:szCs w:val="20"/>
          <w:highlight w:val="none"/>
        </w:rPr>
        <w:t xml:space="preserve">3.</w:t>
      </w:r>
      <w:r>
        <w:rPr>
          <w:rFonts w:hint="eastAsia" w:ascii="Times New Roman" w:hAnsi="Times New Roman" w:eastAsia="宋体" w:cs="Times New Roman"/>
          <w:b/>
          <w:bCs w:val="0"/>
          <w:color w:val="000000"/>
          <w:sz w:val="24"/>
          <w:szCs w:val="20"/>
          <w:highlight w:val="none"/>
        </w:rPr>
        <w:t xml:space="preserve">3</w:t>
      </w:r>
      <w:r>
        <w:rPr>
          <w:rFonts w:ascii="Times New Roman" w:hAnsi="Times New Roman" w:eastAsia="宋体" w:cs="Times New Roman"/>
          <w:b/>
          <w:bCs w:val="0"/>
          <w:color w:val="000000"/>
          <w:sz w:val="24"/>
          <w:szCs w:val="20"/>
          <w:highlight w:val="none"/>
        </w:rPr>
        <w:t xml:space="preserve"> </w:t>
      </w:r>
      <w:r>
        <w:rPr>
          <w:rFonts w:hint="eastAsia" w:ascii="Times New Roman" w:hAnsi="Times New Roman" w:eastAsia="宋体" w:cs="Times New Roman"/>
          <w:b/>
          <w:color w:val="000000"/>
          <w:sz w:val="24"/>
          <w:szCs w:val="24"/>
          <w:highlight w:val="none"/>
          <w:lang w:bidi="ar"/>
        </w:rPr>
        <w:t xml:space="preserve">土壤和地下水污染管控方案</w:t>
      </w:r>
      <w:r>
        <w:rPr>
          <w:rFonts w:hint="eastAsia" w:ascii="Times New Roman" w:hAnsi="Times New Roman" w:eastAsia="宋体" w:cs="Times New Roman"/>
          <w:b/>
          <w:bCs w:val="0"/>
          <w:color w:val="000000"/>
          <w:sz w:val="24"/>
          <w:szCs w:val="20"/>
          <w:highlight w:val="none"/>
        </w:rPr>
        <w:t xml:space="preserve">要求</w:t>
      </w:r>
      <w:r>
        <w:rPr>
          <w:rFonts w:ascii="Times New Roman" w:hAnsi="Times New Roman" w:eastAsia="宋体" w:cs="Times New Roman"/>
          <w:b/>
          <w:bCs w:val="0"/>
          <w:color w:val="000000"/>
          <w:sz w:val="24"/>
          <w:szCs w:val="20"/>
          <w:highlight w:val="none"/>
        </w:rPr>
      </w:r>
      <w:r/>
    </w:p>
    <w:p>
      <w:pPr>
        <w:pStyle w:val="1064"/>
        <w:ind w:firstLine="480"/>
        <w:spacing w:line="44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bCs/>
          <w:color w:val="000000"/>
          <w:sz w:val="24"/>
          <w:szCs w:val="20"/>
          <w:highlight w:val="none"/>
        </w:rPr>
        <w:t xml:space="preserve">基于土壤和地下水污染风险评估报告，结合园区内电镀工艺特点、污染源和敏感点的分布特征等资料进行综合分析，判断土壤和地下水污染影响范围，</w:t>
      </w:r>
      <w:r>
        <w:rPr>
          <w:rFonts w:hint="eastAsia" w:ascii="Times New Roman" w:hAnsi="Times New Roman" w:eastAsia="宋体" w:cs="Times New Roman"/>
          <w:color w:val="000000"/>
          <w:sz w:val="24"/>
          <w:szCs w:val="24"/>
          <w:highlight w:val="none"/>
        </w:rPr>
        <w:t xml:space="preserve">提出因地制宜的土壤和地下水污染管控方案。</w:t>
      </w:r>
      <w:r>
        <w:rPr>
          <w:rFonts w:ascii="Times New Roman" w:hAnsi="Times New Roman" w:eastAsia="宋体" w:cs="Times New Roman"/>
          <w:color w:val="000000"/>
          <w:sz w:val="24"/>
          <w:szCs w:val="24"/>
          <w:highlight w:val="none"/>
        </w:rPr>
      </w:r>
      <w:r/>
    </w:p>
    <w:p>
      <w:pPr>
        <w:pStyle w:val="1064"/>
        <w:ind w:firstLine="480"/>
        <w:spacing w:line="440" w:lineRule="exact"/>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4"/>
          <w:highlight w:val="none"/>
        </w:rPr>
        <w:t xml:space="preserve">最终形成《</w:t>
      </w:r>
      <w:r>
        <w:rPr>
          <w:rFonts w:ascii="Times New Roman" w:hAnsi="Times New Roman" w:eastAsia="宋体" w:cs="Times New Roman"/>
          <w:color w:val="000000"/>
          <w:sz w:val="24"/>
          <w:szCs w:val="24"/>
          <w:highlight w:val="none"/>
        </w:rPr>
        <w:t xml:space="preserve">无锡金属表面处理科技工业园区土壤和地下水污染风险管控方案</w:t>
      </w:r>
      <w:r>
        <w:rPr>
          <w:rFonts w:hint="eastAsia" w:ascii="Times New Roman" w:hAnsi="Times New Roman" w:eastAsia="宋体" w:cs="Times New Roman"/>
          <w:color w:val="000000"/>
          <w:sz w:val="24"/>
          <w:szCs w:val="24"/>
          <w:highlight w:val="none"/>
        </w:rPr>
        <w:t xml:space="preserve">》，在开展编写过程中需严格执行国家有关对顶标准和相关</w:t>
      </w:r>
      <w:r>
        <w:rPr>
          <w:rFonts w:hint="eastAsia" w:ascii="宋体" w:hAnsi="宋体" w:eastAsia="宋体" w:cs="Times New Roman"/>
          <w:bCs/>
          <w:color w:val="000000"/>
          <w:sz w:val="24"/>
          <w:szCs w:val="20"/>
          <w:highlight w:val="none"/>
        </w:rPr>
        <w:t xml:space="preserve">技术规范要求进行，以保证</w:t>
      </w:r>
      <w:r>
        <w:rPr>
          <w:rFonts w:hint="eastAsia"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t xml:space="preserve">无锡金属表面处理科技工业园区土壤和地下水污染风险管控方案</w:t>
      </w:r>
      <w:r>
        <w:rPr>
          <w:rFonts w:hint="eastAsia" w:ascii="Times New Roman" w:hAnsi="Times New Roman" w:eastAsia="宋体" w:cs="Times New Roman"/>
          <w:color w:val="000000"/>
          <w:sz w:val="24"/>
          <w:szCs w:val="24"/>
          <w:highlight w:val="none"/>
        </w:rPr>
        <w:t xml:space="preserve">》通过专家评审。</w:t>
      </w:r>
      <w:r>
        <w:rPr>
          <w:rFonts w:ascii="Times New Roman" w:hAnsi="Times New Roman" w:eastAsia="宋体" w:cs="Times New Roman"/>
          <w:color w:val="000000"/>
          <w:sz w:val="24"/>
          <w:szCs w:val="20"/>
          <w:highlight w:val="none"/>
        </w:rPr>
      </w:r>
      <w:r/>
    </w:p>
    <w:p>
      <w:pPr>
        <w:pStyle w:val="1064"/>
        <w:ind w:firstLine="482"/>
        <w:keepLines w:val="0"/>
        <w:keepNext w:val="0"/>
        <w:pageBreakBefore w:val="0"/>
        <w:spacing w:line="460" w:lineRule="exact"/>
        <w:tabs>
          <w:tab w:val="left" w:pos="945" w:leader="none"/>
        </w:tabs>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lang w:val="en-US" w:eastAsia="zh-CN"/>
        </w:rPr>
        <w:t xml:space="preserve">4、</w:t>
      </w:r>
      <w:r>
        <w:rPr>
          <w:rFonts w:hint="eastAsia" w:ascii="宋体" w:hAnsi="宋体" w:eastAsia="宋体" w:cs="宋体"/>
          <w:b/>
          <w:color w:val="000000"/>
          <w:sz w:val="24"/>
          <w:highlight w:val="none"/>
        </w:rPr>
        <w:t xml:space="preserve">成果文件要求</w:t>
      </w:r>
      <w:r>
        <w:rPr>
          <w:rFonts w:hint="eastAsia" w:ascii="宋体" w:hAnsi="宋体" w:eastAsia="宋体" w:cs="宋体"/>
          <w:b/>
          <w:color w:val="000000"/>
          <w:sz w:val="24"/>
          <w:highlight w:val="none"/>
        </w:rPr>
      </w:r>
      <w:r/>
    </w:p>
    <w:p>
      <w:pPr>
        <w:pStyle w:val="1064"/>
        <w:ind w:firstLine="480"/>
        <w:spacing w:line="440" w:lineRule="exact"/>
        <w:rPr>
          <w:rFonts w:hint="eastAsia" w:ascii="Times New Roman" w:hAnsi="Times New Roman" w:eastAsia="宋体" w:cs="Times New Roman"/>
          <w:color w:val="000000"/>
          <w:sz w:val="24"/>
          <w:szCs w:val="24"/>
          <w:highlight w:val="none"/>
          <w:lang w:val="en-US" w:eastAsia="zh-CN"/>
        </w:rPr>
      </w:pPr>
      <w:r/>
      <w:bookmarkEnd w:id="11"/>
      <w:r>
        <w:rPr>
          <w:rFonts w:hint="eastAsia" w:ascii="Times New Roman" w:hAnsi="Times New Roman" w:eastAsia="宋体" w:cs="Times New Roman"/>
          <w:color w:val="000000"/>
          <w:sz w:val="24"/>
          <w:szCs w:val="24"/>
          <w:highlight w:val="none"/>
          <w:lang w:val="en-US" w:eastAsia="zh-CN"/>
        </w:rPr>
        <w:t xml:space="preserve">（1）</w:t>
      </w:r>
      <w:r>
        <w:rPr>
          <w:rFonts w:hint="eastAsia"/>
          <w:color w:val="000000"/>
          <w:sz w:val="24"/>
          <w:highlight w:val="none"/>
        </w:rPr>
        <w:t xml:space="preserve">编制《</w:t>
      </w:r>
      <w:r>
        <w:rPr>
          <w:color w:val="000000"/>
          <w:sz w:val="24"/>
          <w:highlight w:val="none"/>
        </w:rPr>
        <w:t xml:space="preserve">无锡金属表面处理科技工业园区</w:t>
      </w:r>
      <w:r>
        <w:rPr>
          <w:rFonts w:hint="eastAsia"/>
          <w:color w:val="000000"/>
          <w:sz w:val="24"/>
          <w:highlight w:val="none"/>
        </w:rPr>
        <w:t xml:space="preserve">土壤地下水污染状况</w:t>
      </w:r>
      <w:r>
        <w:rPr>
          <w:rFonts w:hint="eastAsia"/>
          <w:color w:val="000000"/>
          <w:sz w:val="24"/>
          <w:highlight w:val="none"/>
          <w:lang w:val="en-US" w:eastAsia="zh-CN"/>
        </w:rPr>
        <w:t xml:space="preserve">详细</w:t>
      </w:r>
      <w:r>
        <w:rPr>
          <w:rFonts w:hint="eastAsia"/>
          <w:color w:val="000000"/>
          <w:sz w:val="24"/>
          <w:highlight w:val="none"/>
        </w:rPr>
        <w:t xml:space="preserve">调查报告》、《</w:t>
      </w:r>
      <w:r>
        <w:rPr>
          <w:color w:val="000000"/>
          <w:sz w:val="24"/>
          <w:highlight w:val="none"/>
        </w:rPr>
        <w:t xml:space="preserve">无锡金属表面处理科技工业园区</w:t>
      </w:r>
      <w:r>
        <w:rPr>
          <w:rFonts w:hint="eastAsia"/>
          <w:color w:val="000000"/>
          <w:sz w:val="24"/>
          <w:highlight w:val="none"/>
        </w:rPr>
        <w:t xml:space="preserve">土壤地下水污染风险评估报告》、《</w:t>
      </w:r>
      <w:r>
        <w:rPr>
          <w:color w:val="000000"/>
          <w:sz w:val="24"/>
          <w:highlight w:val="none"/>
        </w:rPr>
        <w:t xml:space="preserve">无锡金属表面处理科技工业园区</w:t>
      </w:r>
      <w:r>
        <w:rPr>
          <w:rFonts w:hint="eastAsia"/>
          <w:color w:val="000000"/>
          <w:sz w:val="24"/>
          <w:highlight w:val="none"/>
        </w:rPr>
        <w:t xml:space="preserve">土壤地下水污染渗漏排查报告》和《</w:t>
      </w:r>
      <w:r>
        <w:rPr>
          <w:color w:val="000000"/>
          <w:sz w:val="24"/>
          <w:highlight w:val="none"/>
        </w:rPr>
        <w:t xml:space="preserve">无锡金属表面处理科技工业园区土壤和地下水污染风险管控方案</w:t>
      </w:r>
      <w:r>
        <w:rPr>
          <w:rFonts w:hint="eastAsia"/>
          <w:color w:val="000000"/>
          <w:sz w:val="24"/>
          <w:highlight w:val="none"/>
        </w:rPr>
        <w:t xml:space="preserve">》，在开展相关工作过程中需严格执行国家有关规定标准和相关技术规范要求进行，成果客观公正、科学，并按规定开展专家评审和管理部门备案工作</w:t>
      </w:r>
      <w:r>
        <w:rPr>
          <w:rFonts w:hint="eastAsia" w:ascii="Times New Roman" w:hAnsi="Times New Roman" w:eastAsia="宋体"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lang w:val="en-US" w:eastAsia="zh-CN"/>
        </w:rPr>
      </w:r>
      <w:r/>
    </w:p>
    <w:p>
      <w:pPr>
        <w:pStyle w:val="1064"/>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项目成果报告必须做到清晰、完整、准确且符合相关法律法规及采购人的相关要求。报告以电子版形式交付采购人确认，采购人对电子版报告确认无误并经专家论证通过后，中标供应商交付报告纸质版1套正本、4套副本、电子版一份。</w:t>
      </w:r>
      <w:r>
        <w:rPr>
          <w:rFonts w:hint="eastAsia" w:ascii="Times New Roman" w:hAnsi="Times New Roman" w:eastAsia="宋体" w:cs="Times New Roman"/>
          <w:color w:val="000000"/>
          <w:sz w:val="24"/>
          <w:szCs w:val="24"/>
          <w:highlight w:val="none"/>
          <w:lang w:val="en-US" w:eastAsia="zh-CN"/>
        </w:rPr>
      </w:r>
      <w:r/>
    </w:p>
    <w:p>
      <w:pPr>
        <w:pStyle w:val="1064"/>
        <w:ind w:firstLine="354"/>
        <w:jc w:val="left"/>
        <w:keepLines w:val="0"/>
        <w:keepNext w:val="0"/>
        <w:pageBreakBefore w:val="0"/>
        <w:spacing w:line="460" w:lineRule="exact"/>
        <w:shd w:val="clear" w:color="auto" w:fill="ffffff"/>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highlight w:val="none"/>
          <w:lang w:val="en-US" w:eastAsia="zh-CN"/>
        </w:rPr>
        <w:t xml:space="preserve">5、</w:t>
      </w:r>
      <w:r>
        <w:rPr>
          <w:rFonts w:hint="eastAsia" w:ascii="宋体" w:hAnsi="宋体" w:eastAsia="宋体" w:cs="宋体"/>
          <w:b/>
          <w:color w:val="000000"/>
          <w:sz w:val="24"/>
          <w:szCs w:val="24"/>
          <w:highlight w:val="none"/>
          <w:lang w:eastAsia="zh-CN"/>
        </w:rPr>
        <w:t xml:space="preserve">服务</w:t>
      </w:r>
      <w:r>
        <w:rPr>
          <w:rFonts w:hint="eastAsia" w:ascii="宋体" w:hAnsi="宋体" w:eastAsia="宋体" w:cs="宋体"/>
          <w:b/>
          <w:color w:val="000000"/>
          <w:sz w:val="24"/>
          <w:szCs w:val="24"/>
          <w:highlight w:val="none"/>
        </w:rPr>
        <w:t xml:space="preserve">人员</w:t>
      </w:r>
      <w:r>
        <w:rPr>
          <w:rFonts w:hint="eastAsia" w:ascii="宋体" w:hAnsi="宋体" w:eastAsia="宋体" w:cs="宋体"/>
          <w:b/>
          <w:color w:val="000000"/>
          <w:sz w:val="24"/>
          <w:szCs w:val="24"/>
          <w:highlight w:val="none"/>
          <w:lang w:val="en-US" w:eastAsia="zh-CN"/>
        </w:rPr>
        <w:t xml:space="preserve">组成及</w:t>
      </w:r>
      <w:r>
        <w:rPr>
          <w:rFonts w:hint="eastAsia" w:ascii="宋体" w:hAnsi="宋体" w:eastAsia="宋体" w:cs="宋体"/>
          <w:b/>
          <w:color w:val="000000"/>
          <w:sz w:val="24"/>
          <w:szCs w:val="24"/>
          <w:highlight w:val="none"/>
        </w:rPr>
        <w:t xml:space="preserve">职责</w:t>
      </w:r>
      <w:r>
        <w:rPr>
          <w:rFonts w:hint="eastAsia" w:ascii="宋体" w:hAnsi="宋体" w:eastAsia="宋体" w:cs="宋体"/>
          <w:b/>
          <w:color w:val="000000"/>
          <w:sz w:val="24"/>
          <w:szCs w:val="24"/>
          <w:highlight w:val="none"/>
        </w:rPr>
      </w:r>
      <w:r/>
    </w:p>
    <w:p>
      <w:pPr>
        <w:pStyle w:val="1064"/>
        <w:ind w:firstLine="352"/>
        <w:jc w:val="left"/>
        <w:keepLines w:val="0"/>
        <w:keepNext w:val="0"/>
        <w:pageBreakBefore w:val="0"/>
        <w:spacing w:line="460" w:lineRule="exact"/>
        <w:shd w:val="clear" w:color="auto" w:fill="ffffff"/>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本项目实施过程涉及采样、质控等工作，保障项目成果的质量。</w:t>
      </w:r>
      <w:r>
        <w:rPr>
          <w:rFonts w:hint="eastAsia" w:ascii="宋体" w:hAnsi="宋体" w:eastAsia="宋体" w:cs="宋体"/>
          <w:bCs/>
          <w:color w:val="000000"/>
          <w:sz w:val="24"/>
          <w:szCs w:val="24"/>
          <w:highlight w:val="none"/>
          <w:lang w:val="en-US" w:eastAsia="zh-CN"/>
        </w:rPr>
      </w:r>
      <w:r/>
    </w:p>
    <w:p>
      <w:pPr>
        <w:pStyle w:val="1064"/>
        <w:ind w:firstLine="352"/>
        <w:jc w:val="left"/>
        <w:keepLines w:val="0"/>
        <w:keepNext w:val="0"/>
        <w:pageBreakBefore w:val="0"/>
        <w:spacing w:line="460" w:lineRule="exact"/>
        <w:shd w:val="clear" w:color="auto" w:fill="ffffff"/>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（2）供应商应配备足够数量的服务人员，确保项目顺利开展。</w:t>
      </w:r>
      <w:r>
        <w:rPr>
          <w:rFonts w:hint="eastAsia" w:ascii="宋体" w:hAnsi="宋体" w:eastAsia="宋体" w:cs="宋体"/>
          <w:bCs/>
          <w:color w:val="000000"/>
          <w:sz w:val="24"/>
          <w:szCs w:val="24"/>
          <w:highlight w:val="none"/>
          <w:lang w:val="en-US" w:eastAsia="zh-CN"/>
        </w:rPr>
      </w:r>
      <w:r/>
    </w:p>
    <w:p>
      <w:pPr>
        <w:pStyle w:val="1064"/>
        <w:ind w:firstLine="352"/>
        <w:jc w:val="left"/>
        <w:keepLines w:val="0"/>
        <w:keepNext w:val="0"/>
        <w:pageBreakBefore w:val="0"/>
        <w:spacing w:line="460" w:lineRule="exact"/>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rPr>
        <w:t xml:space="preserve">人员应确保服务工作的质量，按时完成任务。同时，在</w:t>
      </w: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rPr>
        <w:t xml:space="preserve">工作中</w:t>
      </w:r>
      <w:r>
        <w:rPr>
          <w:rFonts w:hint="eastAsia" w:ascii="宋体" w:hAnsi="宋体" w:eastAsia="宋体" w:cs="宋体"/>
          <w:bCs/>
          <w:color w:val="000000"/>
          <w:sz w:val="24"/>
          <w:szCs w:val="24"/>
          <w:highlight w:val="none"/>
          <w:lang w:eastAsia="zh-CN"/>
        </w:rPr>
        <w:t xml:space="preserve">应</w:t>
      </w:r>
      <w:r>
        <w:rPr>
          <w:rFonts w:hint="eastAsia" w:ascii="宋体" w:hAnsi="宋体" w:eastAsia="宋体" w:cs="宋体"/>
          <w:bCs/>
          <w:color w:val="000000"/>
          <w:sz w:val="24"/>
          <w:szCs w:val="24"/>
          <w:highlight w:val="none"/>
        </w:rPr>
        <w:t xml:space="preserve">严格遵守国家法律、法规、规章及有关执业规范要求。</w:t>
      </w:r>
      <w:r>
        <w:rPr>
          <w:rFonts w:hint="eastAsia" w:ascii="宋体" w:hAnsi="宋体" w:eastAsia="宋体" w:cs="宋体"/>
          <w:bCs/>
          <w:color w:val="000000"/>
          <w:sz w:val="24"/>
          <w:szCs w:val="24"/>
          <w:highlight w:val="none"/>
        </w:rPr>
      </w:r>
      <w:r/>
    </w:p>
    <w:p>
      <w:pPr>
        <w:pStyle w:val="1064"/>
        <w:ind w:firstLine="352"/>
        <w:jc w:val="left"/>
        <w:keepLines w:val="0"/>
        <w:keepNext w:val="0"/>
        <w:pageBreakBefore w:val="0"/>
        <w:spacing w:line="460" w:lineRule="exact"/>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项目组服务人员</w:t>
      </w:r>
      <w:r>
        <w:rPr>
          <w:rFonts w:hint="eastAsia" w:ascii="宋体" w:hAnsi="宋体" w:eastAsia="宋体" w:cs="宋体"/>
          <w:bCs/>
          <w:color w:val="000000"/>
          <w:sz w:val="24"/>
          <w:szCs w:val="24"/>
          <w:highlight w:val="none"/>
        </w:rPr>
        <w:t xml:space="preserve">对执业过程中得悉的单位情况、资料严加保密，且保密义务不因项目结束而解除。</w:t>
      </w:r>
      <w:r>
        <w:rPr>
          <w:rFonts w:hint="eastAsia" w:ascii="宋体" w:hAnsi="宋体" w:eastAsia="宋体" w:cs="宋体"/>
          <w:bCs/>
          <w:color w:val="000000"/>
          <w:sz w:val="24"/>
          <w:szCs w:val="24"/>
          <w:highlight w:val="none"/>
        </w:rPr>
      </w:r>
      <w:r/>
    </w:p>
    <w:p>
      <w:pPr>
        <w:pStyle w:val="1064"/>
        <w:ind w:firstLine="352"/>
        <w:jc w:val="left"/>
        <w:keepLines w:val="0"/>
        <w:keepNext w:val="0"/>
        <w:pageBreakBefore w:val="0"/>
        <w:spacing w:line="460" w:lineRule="exact"/>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）项目实施过程中形成的材料只供采购人使用，不得自行提供给</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任何单位。</w:t>
      </w:r>
      <w:r>
        <w:rPr>
          <w:rFonts w:hint="eastAsia" w:ascii="宋体" w:hAnsi="宋体" w:eastAsia="宋体" w:cs="宋体"/>
          <w:bCs/>
          <w:color w:val="000000"/>
          <w:sz w:val="24"/>
          <w:szCs w:val="24"/>
          <w:highlight w:val="none"/>
        </w:rPr>
      </w:r>
      <w:r/>
    </w:p>
    <w:p>
      <w:pPr>
        <w:pStyle w:val="1064"/>
        <w:ind w:firstLine="482"/>
        <w:keepLines w:val="0"/>
        <w:keepNext w:val="0"/>
        <w:pageBreakBefore w:val="0"/>
        <w:spacing w:line="460" w:lineRule="exact"/>
        <w:shd w:val="clear" w:color="auto" w:fill="ffff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6、</w:t>
      </w:r>
      <w:r>
        <w:rPr>
          <w:rFonts w:hint="eastAsia" w:ascii="宋体" w:hAnsi="宋体" w:eastAsia="宋体" w:cs="宋体"/>
          <w:b/>
          <w:bCs/>
          <w:color w:val="000000"/>
          <w:sz w:val="24"/>
          <w:highlight w:val="none"/>
        </w:rPr>
        <w:t xml:space="preserve">知识产权</w:t>
      </w:r>
      <w:r>
        <w:rPr>
          <w:rFonts w:hint="eastAsia" w:ascii="宋体" w:hAnsi="宋体" w:eastAsia="宋体" w:cs="宋体"/>
          <w:b/>
          <w:bCs/>
          <w:color w:val="000000"/>
          <w:sz w:val="24"/>
          <w:highlight w:val="none"/>
        </w:rPr>
      </w:r>
      <w:r/>
    </w:p>
    <w:p>
      <w:pPr>
        <w:pStyle w:val="1064"/>
        <w:ind w:firstLine="480"/>
        <w:keepLines w:val="0"/>
        <w:keepNext w:val="0"/>
        <w:pageBreakBefore w:val="0"/>
        <w:spacing w:line="460" w:lineRule="exact"/>
        <w:shd w:val="clear" w:color="auto" w:fill="ffff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1）中标供应商必须保证</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文件、中标后提供的文件及资料均未侵犯他人的知识产权，否则必须承担由此引起的全部法律责任和经济责任。</w:t>
      </w:r>
      <w:r>
        <w:rPr>
          <w:rFonts w:hint="eastAsia" w:ascii="宋体" w:hAnsi="宋体" w:eastAsia="宋体" w:cs="宋体"/>
          <w:color w:val="000000"/>
          <w:sz w:val="24"/>
          <w:highlight w:val="none"/>
        </w:rPr>
      </w:r>
      <w:r/>
    </w:p>
    <w:p>
      <w:pPr>
        <w:pStyle w:val="1064"/>
        <w:ind w:firstLine="480"/>
        <w:keepLines w:val="0"/>
        <w:keepNext w:val="0"/>
        <w:pageBreakBefore w:val="0"/>
        <w:spacing w:line="460" w:lineRule="exact"/>
        <w:shd w:val="clear" w:color="auto" w:fill="ffff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2）中标供应商提交的所有</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文件及成果，其所有权均归采购人所有，采购人可任意使用其全部成果。</w:t>
      </w:r>
      <w:r>
        <w:rPr>
          <w:rFonts w:hint="eastAsia" w:ascii="宋体" w:hAnsi="宋体" w:eastAsia="宋体" w:cs="宋体"/>
          <w:color w:val="000000"/>
          <w:sz w:val="24"/>
          <w:highlight w:val="none"/>
        </w:rPr>
      </w:r>
      <w:r/>
    </w:p>
    <w:p>
      <w:pPr>
        <w:pStyle w:val="1064"/>
        <w:ind w:firstLine="482"/>
        <w:keepLines w:val="0"/>
        <w:keepNext w:val="0"/>
        <w:pageBreakBefore w:val="0"/>
        <w:spacing w:line="460" w:lineRule="exact"/>
        <w:shd w:val="clear" w:color="auto" w:fill="ffff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7、</w:t>
      </w:r>
      <w:r>
        <w:rPr>
          <w:rFonts w:hint="eastAsia" w:ascii="宋体" w:hAnsi="宋体" w:eastAsia="宋体" w:cs="宋体"/>
          <w:b/>
          <w:bCs/>
          <w:color w:val="000000"/>
          <w:sz w:val="24"/>
          <w:highlight w:val="none"/>
        </w:rPr>
        <w:t xml:space="preserve">保密要求</w:t>
      </w:r>
      <w:r>
        <w:rPr>
          <w:rFonts w:hint="eastAsia" w:ascii="宋体" w:hAnsi="宋体" w:eastAsia="宋体" w:cs="宋体"/>
          <w:b/>
          <w:bCs/>
          <w:color w:val="000000"/>
          <w:sz w:val="24"/>
          <w:highlight w:val="none"/>
        </w:rPr>
      </w:r>
      <w:r/>
    </w:p>
    <w:p>
      <w:pPr>
        <w:pStyle w:val="1064"/>
        <w:ind w:firstLine="480"/>
        <w:keepLines w:val="0"/>
        <w:keepNext w:val="0"/>
        <w:pageBreakBefore w:val="0"/>
        <w:spacing w:line="460" w:lineRule="exact"/>
        <w:shd w:val="clear" w:color="auto" w:fill="ffff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参加</w:t>
      </w:r>
      <w:r>
        <w:rPr>
          <w:rFonts w:hint="eastAsia" w:ascii="宋体" w:hAnsi="宋体" w:eastAsia="宋体" w:cs="宋体"/>
          <w:color w:val="000000"/>
          <w:sz w:val="24"/>
          <w:highlight w:val="none"/>
          <w:lang w:eastAsia="zh-CN"/>
        </w:rPr>
        <w:t xml:space="preserve">项目实施</w:t>
      </w:r>
      <w:r>
        <w:rPr>
          <w:rFonts w:hint="eastAsia" w:ascii="宋体" w:hAnsi="宋体" w:eastAsia="宋体" w:cs="宋体"/>
          <w:color w:val="000000"/>
          <w:sz w:val="24"/>
          <w:highlight w:val="none"/>
        </w:rPr>
        <w:t xml:space="preserve">工作的单位和个人，对属于国家秘密、商业机密的信息，必须严格遵守有关保密法律法规，确保不发生失泄密问题。</w:t>
      </w:r>
      <w:r>
        <w:rPr>
          <w:rFonts w:hint="eastAsia" w:ascii="宋体" w:hAnsi="宋体" w:eastAsia="宋体" w:cs="宋体"/>
          <w:color w:val="000000"/>
          <w:sz w:val="24"/>
          <w:highlight w:val="none"/>
        </w:rPr>
      </w:r>
      <w:r/>
    </w:p>
    <w:p>
      <w:pPr>
        <w:pStyle w:val="1064"/>
        <w:jc w:val="left"/>
        <w:keepLines w:val="0"/>
        <w:keepNext w:val="0"/>
        <w:pageBreakBefore w:val="0"/>
        <w:spacing w:before="90" w:after="90" w:line="460" w:lineRule="exact"/>
        <w:shd w:val="clear" w:color="auto" w:fill="ffffff"/>
        <w:widowControl/>
        <w:rPr>
          <w:rFonts w:hint="eastAsia" w:ascii="宋体" w:hAnsi="宋体" w:eastAsia="宋体" w:cs="宋体"/>
          <w:b/>
          <w:color w:val="000000"/>
          <w:sz w:val="26"/>
          <w:szCs w:val="26"/>
          <w:highlight w:val="none"/>
        </w:rPr>
      </w:pPr>
      <w:r>
        <w:rPr>
          <w:rFonts w:hint="eastAsia" w:ascii="宋体" w:hAnsi="宋体" w:eastAsia="宋体" w:cs="宋体"/>
          <w:b/>
          <w:color w:val="000000"/>
          <w:sz w:val="26"/>
          <w:szCs w:val="26"/>
          <w:highlight w:val="none"/>
        </w:rPr>
        <w:t xml:space="preserve">（五）报价要求：</w:t>
      </w:r>
      <w:r>
        <w:rPr>
          <w:rFonts w:hint="eastAsia" w:ascii="宋体" w:hAnsi="宋体" w:eastAsia="宋体" w:cs="宋体"/>
          <w:b/>
          <w:color w:val="000000"/>
          <w:sz w:val="26"/>
          <w:szCs w:val="26"/>
          <w:highlight w:val="none"/>
        </w:rPr>
      </w:r>
      <w:r/>
    </w:p>
    <w:p>
      <w:pPr>
        <w:pStyle w:val="1064"/>
        <w:ind w:firstLine="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1、投标供应商的投标报价应是投标供应商在报价文件中提出的各项支付金额的总和，也应是完成招标文件所列采购需求的全部费用。</w:t>
      </w:r>
      <w:r>
        <w:rPr>
          <w:rFonts w:hint="eastAsia" w:ascii="宋体" w:hAnsi="宋体" w:eastAsia="宋体" w:cs="宋体"/>
          <w:bCs/>
          <w:color w:val="000000"/>
          <w:sz w:val="24"/>
          <w:highlight w:val="none"/>
        </w:rPr>
      </w:r>
      <w:r/>
    </w:p>
    <w:p>
      <w:pPr>
        <w:pStyle w:val="1064"/>
        <w:ind w:firstLine="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2、投标供应商的投标报价应包括但不限于人工费、材料费、调查费、交通费、采样费、所有检测费、</w:t>
      </w:r>
      <w:r>
        <w:rPr>
          <w:rFonts w:hint="eastAsia" w:ascii="宋体" w:hAnsi="宋体" w:eastAsia="宋体" w:cs="宋体"/>
          <w:bCs/>
          <w:color w:val="000000"/>
          <w:sz w:val="24"/>
          <w:highlight w:val="none"/>
          <w:lang w:eastAsia="zh-CN"/>
        </w:rPr>
        <w:t xml:space="preserve">仪器设备</w:t>
      </w:r>
      <w:r>
        <w:rPr>
          <w:rFonts w:hint="eastAsia" w:ascii="宋体" w:hAnsi="宋体" w:eastAsia="宋体" w:cs="宋体"/>
          <w:bCs/>
          <w:color w:val="000000"/>
          <w:sz w:val="24"/>
          <w:highlight w:val="none"/>
        </w:rPr>
        <w:t xml:space="preserve">使用费、专家</w:t>
      </w:r>
      <w:r>
        <w:rPr>
          <w:rFonts w:hint="eastAsia" w:ascii="宋体" w:hAnsi="宋体" w:eastAsia="宋体" w:cs="宋体"/>
          <w:bCs/>
          <w:color w:val="000000"/>
          <w:sz w:val="24"/>
          <w:highlight w:val="none"/>
          <w:lang w:eastAsia="zh-CN"/>
        </w:rPr>
        <w:t xml:space="preserve">评审</w:t>
      </w:r>
      <w:r>
        <w:rPr>
          <w:rFonts w:hint="eastAsia" w:ascii="宋体" w:hAnsi="宋体" w:eastAsia="宋体" w:cs="宋体"/>
          <w:bCs/>
          <w:color w:val="000000"/>
          <w:sz w:val="24"/>
          <w:highlight w:val="none"/>
        </w:rPr>
        <w:t xml:space="preserve">费、管理费和利润、税费、成果文件编制费、政策性文件规定的各项规费等费用以及合同明示或暗示的所有一切风险责任和义务等各项应有费用。一旦</w:t>
      </w:r>
      <w:r>
        <w:rPr>
          <w:rFonts w:hint="eastAsia" w:ascii="宋体" w:hAnsi="宋体" w:eastAsia="宋体" w:cs="宋体"/>
          <w:bCs/>
          <w:color w:val="000000"/>
          <w:sz w:val="24"/>
          <w:highlight w:val="none"/>
          <w:lang w:eastAsia="zh-CN"/>
        </w:rPr>
        <w:t xml:space="preserve">中标</w:t>
      </w:r>
      <w:r>
        <w:rPr>
          <w:rFonts w:hint="eastAsia" w:ascii="宋体" w:hAnsi="宋体" w:eastAsia="宋体" w:cs="宋体"/>
          <w:bCs/>
          <w:color w:val="000000"/>
          <w:sz w:val="24"/>
          <w:highlight w:val="none"/>
        </w:rPr>
        <w:t xml:space="preserve">，除合同另行约定外，合同价格后期不作调整</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r>
      <w:r/>
    </w:p>
    <w:p>
      <w:pPr>
        <w:pStyle w:val="1064"/>
        <w:ind w:firstLine="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3、投标供应商应自行踏勘现场，充分考虑企业管理情况、市场风险等因素，认真测算成本，同时自行承担投标费用，凡未列费用，视为已包含在投标报价中。</w:t>
      </w:r>
      <w:r>
        <w:rPr>
          <w:rFonts w:hint="eastAsia" w:ascii="宋体" w:hAnsi="宋体" w:eastAsia="宋体" w:cs="宋体"/>
          <w:bCs/>
          <w:color w:val="000000"/>
          <w:sz w:val="24"/>
          <w:highlight w:val="none"/>
        </w:rPr>
      </w:r>
      <w:r/>
    </w:p>
    <w:p>
      <w:pPr>
        <w:pStyle w:val="1064"/>
        <w:ind w:firstLine="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4、如惠山环保部门对在本辖区内从事土壤</w:t>
      </w:r>
      <w:r>
        <w:rPr>
          <w:rFonts w:hint="eastAsia" w:ascii="宋体" w:hAnsi="宋体" w:eastAsia="宋体" w:cs="宋体"/>
          <w:bCs/>
          <w:color w:val="000000"/>
          <w:sz w:val="24"/>
          <w:highlight w:val="none"/>
          <w:lang w:eastAsia="zh-CN"/>
        </w:rPr>
        <w:t xml:space="preserve">、地下水</w:t>
      </w:r>
      <w:r>
        <w:rPr>
          <w:rFonts w:hint="eastAsia" w:ascii="宋体" w:hAnsi="宋体" w:eastAsia="宋体" w:cs="宋体"/>
          <w:bCs/>
          <w:color w:val="000000"/>
          <w:sz w:val="24"/>
          <w:highlight w:val="none"/>
        </w:rPr>
        <w:t xml:space="preserve">调查的第三方技术单位有相关要求的，中标供应商须严格遵照执行，并按期保质保量完成工作任务，由此产生的费用由中标供应商自行承担，采购人不另行支付；中标供应商须确保本项目通过</w:t>
      </w:r>
      <w:r>
        <w:rPr>
          <w:rFonts w:hint="eastAsia" w:ascii="宋体" w:hAnsi="宋体" w:eastAsia="宋体" w:cs="宋体"/>
          <w:bCs/>
          <w:color w:val="000000"/>
          <w:sz w:val="24"/>
          <w:highlight w:val="none"/>
          <w:lang w:eastAsia="zh-CN"/>
        </w:rPr>
        <w:t xml:space="preserve">专家评审</w:t>
      </w:r>
      <w:r>
        <w:rPr>
          <w:rFonts w:hint="eastAsia" w:ascii="宋体" w:hAnsi="宋体" w:eastAsia="宋体" w:cs="宋体"/>
          <w:bCs/>
          <w:color w:val="000000"/>
          <w:sz w:val="24"/>
          <w:highlight w:val="none"/>
        </w:rPr>
        <w:t xml:space="preserve">，若</w:t>
      </w:r>
      <w:r>
        <w:rPr>
          <w:rFonts w:hint="eastAsia" w:ascii="宋体" w:hAnsi="宋体" w:eastAsia="宋体" w:cs="宋体"/>
          <w:bCs/>
          <w:color w:val="000000"/>
          <w:sz w:val="24"/>
          <w:highlight w:val="none"/>
          <w:lang w:eastAsia="zh-CN"/>
        </w:rPr>
        <w:t xml:space="preserve">评审</w:t>
      </w:r>
      <w:r>
        <w:rPr>
          <w:rFonts w:hint="eastAsia" w:ascii="宋体" w:hAnsi="宋体" w:eastAsia="宋体" w:cs="宋体"/>
          <w:bCs/>
          <w:color w:val="000000"/>
          <w:sz w:val="24"/>
          <w:highlight w:val="none"/>
        </w:rPr>
        <w:t xml:space="preserve">不通过，采购人书面通知中标供应商限期进行整改，由此产生的费用由中标供应商全额承担；若中标供应商未按时完成整改或整改后再次</w:t>
      </w:r>
      <w:r>
        <w:rPr>
          <w:rFonts w:hint="eastAsia" w:ascii="宋体" w:hAnsi="宋体" w:eastAsia="宋体" w:cs="宋体"/>
          <w:bCs/>
          <w:color w:val="000000"/>
          <w:sz w:val="24"/>
          <w:highlight w:val="none"/>
          <w:lang w:eastAsia="zh-CN"/>
        </w:rPr>
        <w:t xml:space="preserve">评审</w:t>
      </w:r>
      <w:r>
        <w:rPr>
          <w:rFonts w:hint="eastAsia" w:ascii="宋体" w:hAnsi="宋体" w:eastAsia="宋体" w:cs="宋体"/>
          <w:bCs/>
          <w:color w:val="000000"/>
          <w:sz w:val="24"/>
          <w:highlight w:val="none"/>
        </w:rPr>
        <w:t xml:space="preserve">不通过的，采购人有权解除合同，并有权委托第三方进行整改，因整改产生的费用及由此带来的其他法律责任由中标供应商全额承担。若给采购人造成损失的，中标供应商还应当进行赔偿。</w:t>
      </w:r>
      <w:r>
        <w:rPr>
          <w:rFonts w:hint="eastAsia" w:ascii="宋体" w:hAnsi="宋体" w:eastAsia="宋体" w:cs="宋体"/>
          <w:bCs/>
          <w:color w:val="000000"/>
          <w:sz w:val="24"/>
          <w:highlight w:val="none"/>
        </w:rPr>
      </w:r>
      <w:r/>
    </w:p>
    <w:p>
      <w:pPr>
        <w:pStyle w:val="1064"/>
        <w:jc w:val="left"/>
        <w:keepLines w:val="0"/>
        <w:keepNext w:val="0"/>
        <w:pageBreakBefore w:val="0"/>
        <w:spacing w:before="90" w:after="90" w:line="460" w:lineRule="exact"/>
        <w:shd w:val="clear" w:color="auto" w:fill="ffffff"/>
        <w:widowControl/>
        <w:rPr>
          <w:rFonts w:hint="eastAsia" w:ascii="宋体" w:hAnsi="宋体" w:eastAsia="宋体" w:cs="宋体"/>
          <w:b/>
          <w:color w:val="000000"/>
          <w:sz w:val="26"/>
          <w:szCs w:val="26"/>
          <w:highlight w:val="none"/>
        </w:rPr>
      </w:pPr>
      <w:r>
        <w:rPr>
          <w:rFonts w:hint="eastAsia" w:ascii="宋体" w:hAnsi="宋体" w:eastAsia="宋体" w:cs="宋体"/>
          <w:b/>
          <w:color w:val="000000"/>
          <w:sz w:val="26"/>
          <w:szCs w:val="26"/>
          <w:highlight w:val="none"/>
        </w:rPr>
        <w:t xml:space="preserve">（六）综合说明及其他要求：</w:t>
      </w:r>
      <w:r>
        <w:rPr>
          <w:rFonts w:hint="eastAsia" w:ascii="宋体" w:hAnsi="宋体" w:eastAsia="宋体" w:cs="宋体"/>
          <w:b/>
          <w:color w:val="000000"/>
          <w:sz w:val="26"/>
          <w:szCs w:val="26"/>
          <w:highlight w:val="none"/>
        </w:rPr>
      </w:r>
      <w:r/>
    </w:p>
    <w:p>
      <w:pPr>
        <w:pStyle w:val="1064"/>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1、中标供应商成交后有下列情形之一</w:t>
      </w:r>
      <w:r>
        <w:rPr>
          <w:rFonts w:hint="eastAsia" w:ascii="宋体" w:hAnsi="宋体" w:eastAsia="宋体" w:cs="宋体"/>
          <w:bCs/>
          <w:color w:val="000000"/>
          <w:sz w:val="24"/>
          <w:highlight w:val="none"/>
        </w:rPr>
        <w:t xml:space="preserve">的，采购人有权取消其</w:t>
      </w:r>
      <w:r>
        <w:rPr>
          <w:rFonts w:hint="eastAsia" w:ascii="宋体" w:hAnsi="宋体" w:eastAsia="宋体" w:cs="宋体"/>
          <w:bCs/>
          <w:color w:val="000000"/>
          <w:sz w:val="24"/>
          <w:highlight w:val="none"/>
          <w:lang w:eastAsia="zh-CN"/>
        </w:rPr>
        <w:t xml:space="preserve">中标</w:t>
      </w:r>
      <w:r>
        <w:rPr>
          <w:rFonts w:hint="eastAsia" w:ascii="宋体" w:hAnsi="宋体" w:eastAsia="宋体" w:cs="宋体"/>
          <w:bCs/>
          <w:color w:val="000000"/>
          <w:sz w:val="24"/>
          <w:highlight w:val="none"/>
        </w:rPr>
        <w:t xml:space="preserve">资格，并由第二</w:t>
      </w:r>
      <w:r>
        <w:rPr>
          <w:rFonts w:hint="eastAsia" w:ascii="宋体" w:hAnsi="宋体" w:eastAsia="宋体" w:cs="宋体"/>
          <w:bCs/>
          <w:color w:val="000000"/>
          <w:sz w:val="24"/>
          <w:highlight w:val="none"/>
          <w:lang w:eastAsia="zh-CN"/>
        </w:rPr>
        <w:t xml:space="preserve">中标</w:t>
      </w:r>
      <w:r>
        <w:rPr>
          <w:rFonts w:hint="eastAsia" w:ascii="宋体" w:hAnsi="宋体" w:eastAsia="宋体" w:cs="宋体"/>
          <w:bCs/>
          <w:color w:val="000000"/>
          <w:sz w:val="24"/>
          <w:highlight w:val="none"/>
        </w:rPr>
        <w:t xml:space="preserve">候选人顺序替补为中标供应商，并与采购人签订合同。采购人也可以重新招标。给采购人造成的损失，原中标供应商还应当予以赔偿：</w:t>
      </w:r>
      <w:r>
        <w:rPr>
          <w:rFonts w:hint="eastAsia" w:ascii="宋体" w:hAnsi="宋体" w:eastAsia="宋体" w:cs="宋体"/>
          <w:color w:val="000000"/>
          <w:sz w:val="24"/>
          <w:highlight w:val="none"/>
        </w:rPr>
      </w:r>
      <w:r/>
    </w:p>
    <w:p>
      <w:pPr>
        <w:pStyle w:val="1064"/>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（1）放弃</w:t>
      </w:r>
      <w:r>
        <w:rPr>
          <w:rFonts w:hint="eastAsia" w:ascii="宋体" w:hAnsi="宋体" w:eastAsia="宋体" w:cs="宋体"/>
          <w:bCs/>
          <w:color w:val="000000"/>
          <w:sz w:val="24"/>
          <w:highlight w:val="none"/>
          <w:lang w:eastAsia="zh-CN"/>
        </w:rPr>
        <w:t xml:space="preserve">中标</w:t>
      </w:r>
      <w:r>
        <w:rPr>
          <w:rFonts w:hint="eastAsia" w:ascii="宋体" w:hAnsi="宋体" w:eastAsia="宋体" w:cs="宋体"/>
          <w:color w:val="000000"/>
          <w:sz w:val="24"/>
          <w:highlight w:val="none"/>
        </w:rPr>
        <w:t xml:space="preserve">项目；</w:t>
      </w:r>
      <w:r>
        <w:rPr>
          <w:rFonts w:hint="eastAsia" w:ascii="宋体" w:hAnsi="宋体" w:eastAsia="宋体" w:cs="宋体"/>
          <w:color w:val="000000"/>
          <w:sz w:val="24"/>
          <w:highlight w:val="none"/>
        </w:rPr>
      </w:r>
      <w:r/>
    </w:p>
    <w:p>
      <w:pPr>
        <w:pStyle w:val="1064"/>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（2）无正当理由不与采购人签订合同</w:t>
      </w:r>
      <w:r>
        <w:rPr>
          <w:rFonts w:hint="eastAsia" w:ascii="宋体" w:hAnsi="宋体" w:eastAsia="宋体" w:cs="宋体"/>
          <w:color w:val="000000"/>
          <w:sz w:val="24"/>
          <w:highlight w:val="none"/>
          <w:lang w:eastAsia="zh-CN"/>
        </w:rPr>
        <w:t xml:space="preserve">或者不缴纳履约保证金的</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64"/>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（3）在签订合同时向采购人提出附加条件或者更改合同实质性内容的。</w:t>
      </w:r>
      <w:r>
        <w:rPr>
          <w:rFonts w:hint="eastAsia" w:ascii="宋体" w:hAnsi="宋体" w:eastAsia="宋体" w:cs="宋体"/>
          <w:color w:val="000000"/>
          <w:sz w:val="24"/>
          <w:highlight w:val="none"/>
        </w:rPr>
      </w:r>
      <w:r/>
    </w:p>
    <w:p>
      <w:pPr>
        <w:pStyle w:val="1064"/>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2、采购文件中所提要求为项目实施的基本技术要求，投标供应商应根据采购需求，提供满足本技术规范和所列标准要求的服务，对国家有关安全和环保等强制性标准，必须予以说明并满足</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64"/>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3、中标供应商服务人员在服务期间因正常服务或采购人派遣的委托项目任务内造成的任何人员伤亡事故，</w:t>
      </w:r>
      <w:r>
        <w:rPr>
          <w:rFonts w:hint="eastAsia" w:ascii="宋体" w:hAnsi="宋体" w:eastAsia="宋体" w:cs="宋体"/>
          <w:color w:val="000000"/>
          <w:sz w:val="24"/>
          <w:highlight w:val="none"/>
          <w:lang w:eastAsia="zh-CN"/>
        </w:rPr>
        <w:t xml:space="preserve">均由</w:t>
      </w:r>
      <w:r>
        <w:rPr>
          <w:rFonts w:hint="eastAsia" w:ascii="宋体" w:hAnsi="宋体" w:eastAsia="宋体" w:cs="宋体"/>
          <w:color w:val="000000"/>
          <w:sz w:val="24"/>
          <w:highlight w:val="none"/>
        </w:rPr>
        <w:t xml:space="preserve">中标供应商</w:t>
      </w:r>
      <w:r>
        <w:rPr>
          <w:rFonts w:hint="eastAsia" w:ascii="宋体" w:hAnsi="宋体" w:eastAsia="宋体" w:cs="宋体"/>
          <w:color w:val="000000"/>
          <w:sz w:val="24"/>
          <w:highlight w:val="none"/>
          <w:lang w:eastAsia="zh-CN"/>
        </w:rPr>
        <w:t xml:space="preserve">全权承担一切责任及经济赔偿、损失，</w:t>
      </w:r>
      <w:r>
        <w:rPr>
          <w:rFonts w:hint="eastAsia" w:ascii="宋体" w:hAnsi="宋体" w:eastAsia="宋体" w:cs="宋体"/>
          <w:color w:val="000000"/>
          <w:sz w:val="24"/>
          <w:highlight w:val="none"/>
        </w:rPr>
        <w:t xml:space="preserve">采购人不承担任何责任</w:t>
      </w:r>
      <w:r>
        <w:rPr>
          <w:rFonts w:hint="eastAsia" w:ascii="宋体" w:hAnsi="宋体" w:eastAsia="宋体" w:cs="宋体"/>
          <w:color w:val="000000"/>
          <w:sz w:val="24"/>
          <w:highlight w:val="none"/>
          <w:lang w:eastAsia="zh-CN"/>
        </w:rPr>
        <w:t xml:space="preserve">及经济赔偿、损失</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64"/>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4、中标供应商应遵守安全生产的有关管理规定，严格按照安全标准</w:t>
      </w:r>
      <w:r>
        <w:rPr>
          <w:rFonts w:hint="eastAsia" w:ascii="宋体" w:hAnsi="宋体" w:eastAsia="宋体" w:cs="宋体"/>
          <w:color w:val="000000"/>
          <w:sz w:val="24"/>
          <w:highlight w:val="none"/>
          <w:lang w:eastAsia="zh-CN"/>
        </w:rPr>
        <w:t xml:space="preserve">开展服务工作</w:t>
      </w:r>
      <w:r>
        <w:rPr>
          <w:rFonts w:hint="eastAsia" w:ascii="宋体" w:hAnsi="宋体" w:eastAsia="宋体" w:cs="宋体"/>
          <w:color w:val="000000"/>
          <w:sz w:val="24"/>
          <w:highlight w:val="none"/>
        </w:rPr>
        <w:t xml:space="preserve">，采取必要的安全防护措施，消除隐患。由于中标供应商管理或安全措施不力造成周边环境破坏或事故的责任和因此发生的费用，由中标供应商承担。</w:t>
      </w:r>
      <w:r>
        <w:rPr>
          <w:rFonts w:hint="eastAsia" w:ascii="宋体" w:hAnsi="宋体" w:eastAsia="宋体" w:cs="宋体"/>
          <w:color w:val="000000"/>
          <w:sz w:val="24"/>
          <w:highlight w:val="none"/>
        </w:rPr>
      </w:r>
      <w:r/>
    </w:p>
    <w:p>
      <w:pPr>
        <w:pStyle w:val="1064"/>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中标供应商应按照采购人的要求，及时更换不能胜任工作的工作人员，应在接到书面通知之日起10天内予以调换合格人员；负责处理合同服务期内所有劳资纠纷和调解管理纠纷；落实采购人根据规章制度和工作需要提出的其他管理要求，并向采购人提供相关证明材料备案。</w:t>
      </w:r>
      <w:r>
        <w:rPr>
          <w:rFonts w:hint="eastAsia" w:ascii="宋体" w:hAnsi="宋体" w:eastAsia="宋体" w:cs="宋体"/>
          <w:color w:val="000000"/>
          <w:sz w:val="24"/>
          <w:highlight w:val="none"/>
        </w:rPr>
      </w:r>
      <w:r/>
    </w:p>
    <w:p>
      <w:pPr>
        <w:pStyle w:val="1064"/>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合同服务期内所有劳资纠纷和调解管理纠纷</w:t>
      </w:r>
      <w:r>
        <w:rPr>
          <w:rFonts w:hint="eastAsia" w:ascii="宋体" w:hAnsi="宋体" w:eastAsia="宋体" w:cs="宋体"/>
          <w:color w:val="000000"/>
          <w:sz w:val="24"/>
          <w:highlight w:val="none"/>
          <w:lang w:eastAsia="zh-CN"/>
        </w:rPr>
        <w:t xml:space="preserve">均由</w:t>
      </w:r>
      <w:r>
        <w:rPr>
          <w:rFonts w:hint="eastAsia" w:ascii="宋体" w:hAnsi="宋体" w:eastAsia="宋体" w:cs="宋体"/>
          <w:color w:val="000000"/>
          <w:sz w:val="24"/>
          <w:highlight w:val="none"/>
        </w:rPr>
        <w:t xml:space="preserve">中标供应商</w:t>
      </w:r>
      <w:r>
        <w:rPr>
          <w:rFonts w:hint="eastAsia" w:ascii="宋体" w:hAnsi="宋体" w:eastAsia="宋体" w:cs="宋体"/>
          <w:color w:val="000000"/>
          <w:sz w:val="24"/>
          <w:highlight w:val="none"/>
          <w:lang w:eastAsia="zh-CN"/>
        </w:rPr>
        <w:t xml:space="preserve">负责处理，由</w:t>
      </w:r>
      <w:r>
        <w:rPr>
          <w:rFonts w:hint="eastAsia" w:ascii="宋体" w:hAnsi="宋体" w:eastAsia="宋体" w:cs="宋体"/>
          <w:color w:val="000000"/>
          <w:sz w:val="24"/>
          <w:highlight w:val="none"/>
        </w:rPr>
        <w:t xml:space="preserve">中标供应商</w:t>
      </w:r>
      <w:r>
        <w:rPr>
          <w:rFonts w:hint="eastAsia" w:ascii="宋体" w:hAnsi="宋体" w:eastAsia="宋体" w:cs="宋体"/>
          <w:color w:val="000000"/>
          <w:sz w:val="24"/>
          <w:highlight w:val="none"/>
          <w:lang w:eastAsia="zh-CN"/>
        </w:rPr>
        <w:t xml:space="preserve">承担一切责任及经济赔偿、损失，</w:t>
      </w:r>
      <w:r>
        <w:rPr>
          <w:rFonts w:hint="eastAsia" w:ascii="宋体" w:hAnsi="宋体" w:eastAsia="宋体" w:cs="宋体"/>
          <w:color w:val="000000"/>
          <w:sz w:val="24"/>
          <w:highlight w:val="none"/>
        </w:rPr>
        <w:t xml:space="preserve">采购人不承担任何责任</w:t>
      </w:r>
      <w:r>
        <w:rPr>
          <w:rFonts w:hint="eastAsia" w:ascii="宋体" w:hAnsi="宋体" w:eastAsia="宋体" w:cs="宋体"/>
          <w:color w:val="000000"/>
          <w:sz w:val="24"/>
          <w:highlight w:val="none"/>
          <w:lang w:eastAsia="zh-CN"/>
        </w:rPr>
        <w:t xml:space="preserve">及经济赔偿、损失</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64"/>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投标文件必须如实进行实质性响应，量化指标必须列明具体数值，同时供应商必须根据提供的货物及服务，明确其必须说明的相关情况。供应商提供的响应文件内容必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rPr>
          <w:rFonts w:hint="eastAsia" w:ascii="宋体" w:hAnsi="宋体" w:eastAsia="宋体" w:cs="宋体"/>
          <w:color w:val="000000"/>
          <w:sz w:val="24"/>
          <w:highlight w:val="none"/>
        </w:rPr>
      </w:r>
      <w:r/>
    </w:p>
    <w:p>
      <w:pPr>
        <w:pStyle w:val="1064"/>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8、验收标准：采购人根据国家有关规定、招标文件、中标供应商的响应文件以及合同约定的内容和考核标准进行验收，验收情况作为支付服务费用的依据。</w:t>
      </w:r>
      <w:r>
        <w:rPr>
          <w:rFonts w:hint="eastAsia" w:ascii="宋体" w:hAnsi="宋体" w:eastAsia="宋体" w:cs="宋体"/>
          <w:color w:val="000000"/>
          <w:sz w:val="24"/>
          <w:highlight w:val="none"/>
        </w:rPr>
      </w:r>
      <w:r/>
    </w:p>
    <w:p>
      <w:pPr>
        <w:pStyle w:val="1064"/>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9、知识产权：中标供应商保证采购人在使用过程中不受到第三方关于侵犯专利权等知识产权的指控。任何第三方如果提出指控，中标供应商须与第三方交涉并承担可能发生的一切法律责任和费用。</w:t>
      </w:r>
      <w:r>
        <w:rPr>
          <w:rFonts w:hint="eastAsia" w:ascii="宋体" w:hAnsi="宋体" w:eastAsia="宋体" w:cs="宋体"/>
          <w:color w:val="000000"/>
          <w:sz w:val="24"/>
          <w:highlight w:val="none"/>
        </w:rPr>
      </w:r>
      <w:r/>
    </w:p>
    <w:p>
      <w:pPr>
        <w:pStyle w:val="1064"/>
        <w:ind w:firstLine="480"/>
        <w:keepLines w:val="0"/>
        <w:keepNext w:val="0"/>
        <w:pageBreakBefore w:val="0"/>
        <w:spacing w:line="460" w:lineRule="exact"/>
        <w:rPr>
          <w:rFonts w:hint="eastAsia" w:ascii="宋体" w:hAnsi="宋体" w:eastAsia="宋体" w:cs="宋体"/>
          <w:color w:val="000000"/>
          <w:sz w:val="24"/>
          <w:highlight w:val="none"/>
        </w:rPr>
      </w:pPr>
      <w:r/>
      <w:bookmarkStart w:id="12" w:name="_Hlk62691437"/>
      <w:r>
        <w:rPr>
          <w:rFonts w:hint="eastAsia" w:ascii="宋体" w:hAnsi="宋体" w:eastAsia="宋体" w:cs="宋体"/>
          <w:color w:val="000000"/>
          <w:sz w:val="24"/>
          <w:highlight w:val="none"/>
        </w:rPr>
        <w:t xml:space="preserve">10、根据国家扶持中小企业的有关政策，本项目中标供应商，如需要政府采购合同融资，请按</w:t>
      </w:r>
      <w:r>
        <w:rPr>
          <w:rFonts w:hint="eastAsia" w:ascii="宋体" w:hAnsi="宋体" w:eastAsia="宋体" w:cs="宋体"/>
          <w:bCs/>
          <w:color w:val="000000"/>
          <w:sz w:val="24"/>
          <w:highlight w:val="none"/>
        </w:rPr>
        <w:t xml:space="preserve">《关于开展政府采购合同融资工作的通知》</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锡财购 </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2020</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 17号</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、《关于进一步推进政府采购合同融资工作的通知》</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 锡财购</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2022</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 7号</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文件执行</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64"/>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11、中标供应商为</w:t>
      </w:r>
      <w:r>
        <w:rPr>
          <w:rFonts w:hint="eastAsia" w:ascii="宋体" w:hAnsi="宋体" w:eastAsia="宋体" w:cs="宋体"/>
          <w:bCs/>
          <w:color w:val="000000"/>
          <w:sz w:val="24"/>
          <w:highlight w:val="none"/>
        </w:rPr>
        <w:t xml:space="preserve">中小微企业或监狱企业或残疾人福</w:t>
      </w:r>
      <w:r>
        <w:rPr>
          <w:rFonts w:hint="eastAsia" w:ascii="宋体" w:hAnsi="宋体" w:eastAsia="宋体" w:cs="宋体"/>
          <w:color w:val="000000"/>
          <w:sz w:val="24"/>
          <w:highlight w:val="none"/>
        </w:rPr>
        <w:t xml:space="preserve">利性单位的，其《中小企业声明函》、由省级以上监狱管理局、戒毒管理局（含新疆生产建设兵团）出具的属于监狱企业的证明文件、《残疾人福利性单位声明函》将随成交公告同时发布，接受社会监督。供应商提供的《中小企业声明函》、由省级以上监狱管理局、戒毒管理局（含新疆生产建设兵团）出具的属于监狱企业的证明文件、《残疾人福利性单位声明函》与事实不符的，依照《政府采购法》第七十七条第一款的规定追究法律责任。</w:t>
      </w:r>
      <w:r>
        <w:rPr>
          <w:rFonts w:hint="eastAsia" w:ascii="宋体" w:hAnsi="宋体" w:eastAsia="宋体" w:cs="宋体"/>
          <w:color w:val="000000"/>
          <w:sz w:val="24"/>
          <w:highlight w:val="none"/>
        </w:rPr>
      </w:r>
      <w:r/>
    </w:p>
    <w:p>
      <w:pPr>
        <w:pStyle w:val="1064"/>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color w:val="000000"/>
          <w:sz w:val="24"/>
          <w:highlight w:val="none"/>
        </w:rPr>
      </w:r>
      <w:r/>
    </w:p>
    <w:p>
      <w:pPr>
        <w:pStyle w:val="1064"/>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13、中标供应商不得将项目整体或部分进行转包或分包，且不得让第三方公司采用挂靠中标供应商的方式承担服务工作。</w:t>
      </w:r>
      <w:r>
        <w:rPr>
          <w:rFonts w:hint="eastAsia" w:ascii="宋体" w:hAnsi="宋体" w:eastAsia="宋体" w:cs="宋体"/>
          <w:color w:val="000000"/>
          <w:sz w:val="24"/>
          <w:highlight w:val="none"/>
        </w:rPr>
      </w:r>
      <w:r/>
    </w:p>
    <w:p>
      <w:pPr>
        <w:pStyle w:val="1064"/>
        <w:ind w:firstLine="480"/>
        <w:keepLines w:val="0"/>
        <w:keepNext w:val="0"/>
        <w:pageBreakBefore w:val="0"/>
        <w:spacing w:line="460" w:lineRule="exact"/>
        <w:rPr>
          <w:rFonts w:hint="eastAsia" w:ascii="宋体" w:hAnsi="宋体" w:eastAsia="宋体" w:cs="宋体"/>
          <w:color w:val="000000"/>
          <w:sz w:val="24"/>
          <w:highlight w:val="none"/>
        </w:rPr>
      </w:pPr>
      <w:r/>
      <w:bookmarkEnd w:id="12"/>
      <w:r>
        <w:rPr>
          <w:rFonts w:hint="eastAsia" w:ascii="宋体" w:hAnsi="宋体" w:eastAsia="宋体" w:cs="宋体"/>
          <w:color w:val="000000"/>
          <w:sz w:val="24"/>
          <w:highlight w:val="none"/>
        </w:rPr>
        <w:t xml:space="preserve">14、凡涉及招标文件的补充说明和修改，均以江苏建威建设管理有限公司书面通知为准。</w:t>
      </w:r>
      <w:r>
        <w:rPr>
          <w:rFonts w:hint="eastAsia" w:ascii="宋体" w:hAnsi="宋体" w:eastAsia="宋体" w:cs="宋体"/>
          <w:color w:val="000000"/>
          <w:sz w:val="24"/>
          <w:highlight w:val="none"/>
        </w:rPr>
      </w:r>
      <w:r/>
    </w:p>
    <w:p>
      <w:pPr>
        <w:pStyle w:val="106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4"/>
        <w:jc w:val="center"/>
        <w:widowControl/>
        <w:rPr>
          <w:rFonts w:hint="eastAsia" w:ascii="宋体" w:hAnsi="宋体" w:cs="宋体"/>
          <w:b/>
          <w:bCs/>
          <w:color w:val="000000"/>
          <w:sz w:val="52"/>
          <w:szCs w:val="52"/>
          <w:highlight w:val="none"/>
          <w:u w:val="none"/>
          <w:lang w:val="en-US" w:eastAsia="zh-CN"/>
        </w:rPr>
      </w:pPr>
      <w:r>
        <w:rPr>
          <w:rFonts w:hint="eastAsia" w:ascii="宋体" w:hAnsi="宋体" w:eastAsia="宋体" w:cs="宋体"/>
          <w:color w:val="000000"/>
          <w:sz w:val="32"/>
          <w:szCs w:val="32"/>
          <w:highlight w:val="none"/>
        </w:rPr>
        <w:t xml:space="preserve">四、合同书（格式文本）</w:t>
      </w:r>
      <w:r>
        <w:rPr>
          <w:rFonts w:hint="eastAsia" w:ascii="宋体" w:hAnsi="宋体" w:cs="宋体"/>
          <w:b/>
          <w:bCs/>
          <w:color w:val="000000"/>
          <w:sz w:val="52"/>
          <w:szCs w:val="52"/>
          <w:highlight w:val="none"/>
          <w:u w:val="none"/>
          <w:lang w:val="en-US" w:eastAsia="zh-CN"/>
        </w:rPr>
      </w:r>
      <w:r/>
    </w:p>
    <w:p>
      <w:pPr>
        <w:pStyle w:val="1418"/>
        <w:ind w:left="0" w:firstLine="0"/>
        <w:jc w:val="center"/>
        <w:rPr>
          <w:rFonts w:hint="eastAsia" w:ascii="宋体" w:hAnsi="宋体" w:eastAsia="宋体" w:cs="宋体"/>
          <w:b/>
          <w:bCs/>
          <w:color w:val="000000"/>
          <w:sz w:val="44"/>
          <w:szCs w:val="44"/>
          <w:highlight w:val="none"/>
          <w:u w:val="none"/>
        </w:rPr>
      </w:pPr>
      <w:r>
        <w:rPr>
          <w:rFonts w:hint="eastAsia" w:ascii="宋体" w:hAnsi="宋体" w:eastAsia="宋体" w:cs="宋体"/>
          <w:b/>
          <w:bCs/>
          <w:color w:val="000000"/>
          <w:sz w:val="44"/>
          <w:szCs w:val="44"/>
          <w:highlight w:val="none"/>
          <w:u w:val="none"/>
        </w:rPr>
      </w:r>
      <w:r/>
    </w:p>
    <w:p>
      <w:pPr>
        <w:pStyle w:val="1418"/>
        <w:ind w:left="0" w:firstLine="0"/>
        <w:jc w:val="center"/>
        <w:rPr>
          <w:rFonts w:hint="eastAsia" w:ascii="宋体" w:hAnsi="宋体" w:eastAsia="宋体" w:cs="宋体"/>
          <w:b/>
          <w:bCs/>
          <w:color w:val="000000"/>
          <w:sz w:val="44"/>
          <w:szCs w:val="44"/>
          <w:highlight w:val="none"/>
          <w:u w:val="none"/>
          <w:lang w:eastAsia="zh-CN"/>
        </w:rPr>
      </w:pPr>
      <w:r>
        <w:rPr>
          <w:rFonts w:hint="eastAsia" w:ascii="宋体" w:hAnsi="宋体" w:eastAsia="宋体" w:cs="宋体"/>
          <w:b/>
          <w:bCs/>
          <w:color w:val="000000"/>
          <w:sz w:val="44"/>
          <w:szCs w:val="44"/>
          <w:highlight w:val="none"/>
          <w:u w:val="none"/>
          <w:lang w:eastAsia="zh-CN"/>
        </w:rPr>
        <w:t xml:space="preserve">无锡金属表面处理科技工业园区土壤和地下水污染管控方案编制采购服务</w:t>
      </w:r>
      <w:r>
        <w:rPr>
          <w:rFonts w:hint="eastAsia" w:ascii="宋体" w:hAnsi="宋体" w:eastAsia="宋体" w:cs="宋体"/>
          <w:b/>
          <w:bCs/>
          <w:color w:val="000000"/>
          <w:sz w:val="44"/>
          <w:szCs w:val="44"/>
          <w:highlight w:val="none"/>
          <w:u w:val="none"/>
          <w:lang w:eastAsia="zh-CN"/>
        </w:rPr>
      </w:r>
      <w:r/>
    </w:p>
    <w:p>
      <w:pPr>
        <w:pStyle w:val="1418"/>
        <w:rPr>
          <w:rFonts w:hint="eastAsia" w:ascii="宋体" w:hAnsi="宋体" w:eastAsia="宋体" w:cs="宋体"/>
          <w:color w:val="000000"/>
          <w:sz w:val="44"/>
          <w:szCs w:val="44"/>
          <w:highlight w:val="none"/>
          <w:u w:val="none"/>
        </w:rPr>
      </w:pPr>
      <w:r>
        <w:rPr>
          <w:rFonts w:hint="eastAsia" w:ascii="宋体" w:hAnsi="宋体" w:eastAsia="宋体" w:cs="宋体"/>
          <w:color w:val="000000"/>
          <w:sz w:val="44"/>
          <w:szCs w:val="44"/>
          <w:highlight w:val="none"/>
          <w:u w:val="none"/>
        </w:rPr>
      </w:r>
      <w:r/>
    </w:p>
    <w:p>
      <w:pPr>
        <w:pStyle w:val="1064"/>
        <w:jc w:val="both"/>
        <w:widowControl/>
        <w:rPr>
          <w:rFonts w:hint="eastAsia" w:ascii="宋体" w:hAnsi="宋体" w:eastAsia="宋体" w:cs="宋体"/>
          <w:color w:val="000000"/>
          <w:sz w:val="44"/>
          <w:szCs w:val="44"/>
          <w:highlight w:val="none"/>
          <w:u w:val="none"/>
          <w:lang w:val="en-US" w:eastAsia="zh-CN"/>
        </w:rPr>
      </w:pPr>
      <w:r>
        <w:rPr>
          <w:rFonts w:hint="eastAsia" w:ascii="宋体" w:hAnsi="宋体" w:eastAsia="宋体" w:cs="宋体"/>
          <w:color w:val="000000"/>
          <w:sz w:val="44"/>
          <w:szCs w:val="44"/>
          <w:highlight w:val="none"/>
          <w:u w:val="none"/>
          <w:lang w:val="en-US" w:eastAsia="zh-CN"/>
        </w:rPr>
      </w:r>
      <w:r/>
    </w:p>
    <w:p>
      <w:pPr>
        <w:pStyle w:val="1104"/>
        <w:rPr>
          <w:rFonts w:hint="eastAsia"/>
          <w:color w:val="000000"/>
          <w:sz w:val="72"/>
          <w:szCs w:val="72"/>
          <w:highlight w:val="none"/>
          <w:u w:val="none"/>
          <w:lang w:val="en-US" w:eastAsia="zh-CN"/>
        </w:rPr>
      </w:pPr>
      <w:r>
        <w:rPr>
          <w:rFonts w:hint="eastAsia"/>
          <w:color w:val="000000"/>
          <w:sz w:val="72"/>
          <w:szCs w:val="72"/>
          <w:highlight w:val="none"/>
          <w:u w:val="none"/>
          <w:lang w:val="en-US" w:eastAsia="zh-CN"/>
        </w:rPr>
      </w:r>
      <w:r/>
    </w:p>
    <w:p>
      <w:pPr>
        <w:pStyle w:val="1064"/>
        <w:jc w:val="center"/>
        <w:widowControl/>
        <w:rPr>
          <w:rFonts w:hint="eastAsia" w:ascii="宋体" w:hAnsi="宋体" w:eastAsia="宋体" w:cs="宋体"/>
          <w:b/>
          <w:bCs/>
          <w:color w:val="000000"/>
          <w:sz w:val="72"/>
          <w:szCs w:val="72"/>
          <w:highlight w:val="none"/>
          <w:u w:val="none"/>
          <w:lang w:val="en-US" w:eastAsia="zh-CN"/>
        </w:rPr>
      </w:pPr>
      <w:r>
        <w:rPr>
          <w:rFonts w:hint="eastAsia" w:ascii="宋体" w:hAnsi="宋体" w:eastAsia="宋体" w:cs="宋体"/>
          <w:b/>
          <w:bCs/>
          <w:color w:val="000000"/>
          <w:sz w:val="72"/>
          <w:szCs w:val="72"/>
          <w:highlight w:val="none"/>
          <w:u w:val="none"/>
          <w:lang w:val="en-US" w:eastAsia="zh-CN"/>
        </w:rPr>
      </w:r>
      <w:r/>
    </w:p>
    <w:p>
      <w:pPr>
        <w:pStyle w:val="1064"/>
        <w:jc w:val="center"/>
        <w:widowControl/>
        <w:rPr>
          <w:rFonts w:hint="eastAsia" w:ascii="宋体" w:hAnsi="宋体" w:eastAsia="宋体" w:cs="宋体"/>
          <w:b/>
          <w:bCs/>
          <w:color w:val="000000"/>
          <w:sz w:val="72"/>
          <w:szCs w:val="72"/>
          <w:highlight w:val="none"/>
          <w:u w:val="none"/>
          <w:lang w:val="en-US" w:eastAsia="zh-CN"/>
        </w:rPr>
      </w:pPr>
      <w:r>
        <w:rPr>
          <w:rFonts w:hint="eastAsia" w:ascii="宋体" w:hAnsi="宋体" w:eastAsia="宋体" w:cs="宋体"/>
          <w:b/>
          <w:bCs/>
          <w:color w:val="000000"/>
          <w:sz w:val="72"/>
          <w:szCs w:val="72"/>
          <w:highlight w:val="none"/>
          <w:u w:val="none"/>
          <w:lang w:val="en-US" w:eastAsia="zh-CN"/>
        </w:rPr>
        <w:t xml:space="preserve">合</w:t>
      </w:r>
      <w:r>
        <w:rPr>
          <w:rFonts w:hint="eastAsia" w:ascii="宋体" w:hAnsi="宋体" w:cs="宋体"/>
          <w:b/>
          <w:bCs/>
          <w:color w:val="000000"/>
          <w:sz w:val="72"/>
          <w:szCs w:val="72"/>
          <w:highlight w:val="none"/>
          <w:u w:val="none"/>
          <w:lang w:val="en-US" w:eastAsia="zh-CN"/>
        </w:rPr>
        <w:t xml:space="preserve">      </w:t>
      </w:r>
      <w:r>
        <w:rPr>
          <w:rFonts w:hint="eastAsia" w:ascii="宋体" w:hAnsi="宋体" w:eastAsia="宋体" w:cs="宋体"/>
          <w:b/>
          <w:bCs/>
          <w:color w:val="000000"/>
          <w:sz w:val="72"/>
          <w:szCs w:val="72"/>
          <w:highlight w:val="none"/>
          <w:u w:val="none"/>
          <w:lang w:val="en-US" w:eastAsia="zh-CN"/>
        </w:rPr>
        <w:t xml:space="preserve">同</w:t>
      </w:r>
      <w:r>
        <w:rPr>
          <w:rFonts w:hint="eastAsia" w:ascii="宋体" w:hAnsi="宋体" w:eastAsia="宋体" w:cs="宋体"/>
          <w:b/>
          <w:bCs/>
          <w:color w:val="000000"/>
          <w:sz w:val="72"/>
          <w:szCs w:val="72"/>
          <w:highlight w:val="none"/>
          <w:u w:val="none"/>
          <w:lang w:val="en-US" w:eastAsia="zh-CN"/>
        </w:rPr>
      </w:r>
      <w:r/>
    </w:p>
    <w:p>
      <w:pPr>
        <w:pStyle w:val="1064"/>
        <w:jc w:val="center"/>
        <w:widowControl/>
        <w:rPr>
          <w:rFonts w:hint="eastAsia" w:ascii="宋体" w:hAnsi="宋体" w:cs="宋体"/>
          <w:b/>
          <w:bCs/>
          <w:color w:val="000000"/>
          <w:sz w:val="24"/>
          <w:szCs w:val="24"/>
          <w:highlight w:val="none"/>
          <w:u w:val="none"/>
          <w:lang w:val="en-US" w:eastAsia="zh-CN"/>
        </w:rPr>
      </w:pPr>
      <w:r>
        <w:rPr>
          <w:rFonts w:hint="eastAsia" w:ascii="宋体" w:hAnsi="宋体" w:cs="宋体"/>
          <w:b/>
          <w:bCs/>
          <w:color w:val="000000"/>
          <w:sz w:val="24"/>
          <w:szCs w:val="24"/>
          <w:highlight w:val="none"/>
          <w:u w:val="none"/>
          <w:lang w:val="en-US" w:eastAsia="zh-CN"/>
        </w:rPr>
      </w:r>
      <w:r/>
    </w:p>
    <w:p>
      <w:pPr>
        <w:pStyle w:val="1064"/>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pStyle w:val="1064"/>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pStyle w:val="1064"/>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pStyle w:val="1064"/>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pStyle w:val="1064"/>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pStyle w:val="1064"/>
        <w:jc w:val="left"/>
        <w:widowControl/>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1418"/>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1418"/>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1418"/>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1418"/>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1064"/>
        <w:keepLines w:val="0"/>
        <w:keepNext w:val="0"/>
        <w:pageBreakBefore w:val="0"/>
        <w:spacing w:line="600" w:lineRule="exact"/>
        <w:widowControl w:val="off"/>
        <w:rPr>
          <w:rFonts w:hint="eastAsia" w:ascii="宋体" w:hAnsi="宋体" w:eastAsia="宋体" w:cs="宋体"/>
          <w:b/>
          <w:bCs w:val="0"/>
          <w:color w:val="000000"/>
          <w:sz w:val="30"/>
          <w:szCs w:val="30"/>
          <w:highlight w:val="none"/>
          <w:lang w:eastAsia="zh-CN"/>
        </w:rPr>
      </w:pPr>
      <w:r>
        <w:rPr>
          <w:rFonts w:hint="eastAsia" w:ascii="宋体" w:hAnsi="宋体" w:eastAsia="宋体" w:cs="宋体"/>
          <w:b/>
          <w:bCs w:val="0"/>
          <w:color w:val="000000"/>
          <w:sz w:val="30"/>
          <w:szCs w:val="30"/>
          <w:highlight w:val="none"/>
          <w:lang w:eastAsia="zh-CN"/>
        </w:rPr>
        <w:t xml:space="preserve">甲方（采购人）：</w:t>
      </w:r>
      <w:r>
        <w:rPr>
          <w:rFonts w:hint="eastAsia" w:ascii="宋体" w:hAnsi="宋体" w:eastAsia="宋体" w:cs="宋体"/>
          <w:b/>
          <w:bCs w:val="0"/>
          <w:color w:val="000000"/>
          <w:sz w:val="30"/>
          <w:szCs w:val="30"/>
          <w:highlight w:val="none"/>
          <w:u w:val="single"/>
          <w:lang w:eastAsia="zh-CN"/>
        </w:rPr>
        <w:t xml:space="preserve">无锡市惠山区洛社镇人民政府</w:t>
      </w:r>
      <w:r>
        <w:rPr>
          <w:rFonts w:hint="eastAsia" w:ascii="宋体" w:hAnsi="宋体" w:eastAsia="宋体" w:cs="宋体"/>
          <w:b/>
          <w:bCs w:val="0"/>
          <w:color w:val="000000"/>
          <w:sz w:val="30"/>
          <w:szCs w:val="30"/>
          <w:highlight w:val="none"/>
          <w:lang w:eastAsia="zh-CN"/>
        </w:rPr>
      </w:r>
      <w:r/>
    </w:p>
    <w:p>
      <w:pPr>
        <w:pStyle w:val="1064"/>
        <w:keepLines w:val="0"/>
        <w:keepNext w:val="0"/>
        <w:pageBreakBefore w:val="0"/>
        <w:spacing w:line="600" w:lineRule="exact"/>
        <w:widowControl w:val="off"/>
        <w:rPr>
          <w:rFonts w:hint="eastAsia" w:ascii="宋体" w:hAnsi="宋体" w:eastAsia="宋体" w:cs="宋体"/>
          <w:b/>
          <w:bCs w:val="0"/>
          <w:color w:val="000000"/>
          <w:sz w:val="30"/>
          <w:szCs w:val="30"/>
          <w:highlight w:val="none"/>
          <w:u w:val="single"/>
          <w:lang w:eastAsia="zh-CN"/>
        </w:rPr>
      </w:pPr>
      <w:r>
        <w:rPr>
          <w:rFonts w:hint="eastAsia" w:ascii="宋体" w:hAnsi="宋体" w:eastAsia="宋体" w:cs="宋体"/>
          <w:b/>
          <w:bCs w:val="0"/>
          <w:color w:val="000000"/>
          <w:sz w:val="30"/>
          <w:szCs w:val="30"/>
          <w:highlight w:val="none"/>
          <w:lang w:eastAsia="zh-CN"/>
        </w:rPr>
        <w:t xml:space="preserve">乙方（中标供应商）：</w:t>
      </w:r>
      <w:r>
        <w:rPr>
          <w:rFonts w:hint="eastAsia" w:ascii="宋体" w:hAnsi="宋体" w:eastAsia="宋体" w:cs="宋体"/>
          <w:b/>
          <w:bCs w:val="0"/>
          <w:color w:val="000000"/>
          <w:sz w:val="30"/>
          <w:szCs w:val="30"/>
          <w:highlight w:val="none"/>
          <w:u w:val="single"/>
          <w:lang w:val="en-US" w:eastAsia="zh-CN"/>
        </w:rPr>
        <w:t xml:space="preserve">                         </w:t>
      </w:r>
      <w:r>
        <w:rPr>
          <w:rFonts w:hint="eastAsia" w:ascii="宋体" w:hAnsi="宋体" w:eastAsia="宋体" w:cs="宋体"/>
          <w:b/>
          <w:bCs w:val="0"/>
          <w:color w:val="000000"/>
          <w:sz w:val="30"/>
          <w:szCs w:val="30"/>
          <w:highlight w:val="none"/>
          <w:u w:val="single"/>
          <w:lang w:eastAsia="zh-CN"/>
        </w:rPr>
        <w:t xml:space="preserve"> </w:t>
      </w:r>
      <w:r>
        <w:rPr>
          <w:rFonts w:hint="eastAsia" w:ascii="宋体" w:hAnsi="宋体" w:eastAsia="宋体" w:cs="宋体"/>
          <w:b/>
          <w:bCs w:val="0"/>
          <w:color w:val="000000"/>
          <w:sz w:val="30"/>
          <w:szCs w:val="30"/>
          <w:highlight w:val="none"/>
          <w:u w:val="single"/>
          <w:lang w:eastAsia="zh-CN"/>
        </w:rPr>
      </w:r>
      <w:r/>
    </w:p>
    <w:p>
      <w:pPr>
        <w:pStyle w:val="1064"/>
        <w:keepLines w:val="0"/>
        <w:keepNext w:val="0"/>
        <w:pageBreakBefore w:val="0"/>
        <w:spacing w:line="600" w:lineRule="exact"/>
        <w:widowControl w:val="off"/>
        <w:rPr>
          <w:rFonts w:ascii="宋体" w:hAnsi="宋体" w:eastAsia="宋体" w:cs="宋体"/>
          <w:b/>
          <w:bCs w:val="0"/>
          <w:color w:val="000000"/>
          <w:sz w:val="30"/>
          <w:szCs w:val="30"/>
          <w:highlight w:val="none"/>
          <w:lang w:val="en-US" w:eastAsia="zh-CN"/>
        </w:rPr>
      </w:pPr>
      <w:r>
        <w:rPr>
          <w:rFonts w:hint="eastAsia" w:ascii="宋体" w:hAnsi="宋体" w:eastAsia="宋体" w:cs="宋体"/>
          <w:b/>
          <w:bCs w:val="0"/>
          <w:color w:val="000000"/>
          <w:sz w:val="30"/>
          <w:szCs w:val="30"/>
          <w:highlight w:val="none"/>
          <w:lang w:eastAsia="zh-CN"/>
        </w:rPr>
        <w:t xml:space="preserve">合同签订时间：</w:t>
      </w:r>
      <w:r>
        <w:rPr>
          <w:rFonts w:hint="eastAsia" w:ascii="宋体" w:hAnsi="宋体" w:eastAsia="宋体" w:cs="宋体"/>
          <w:b/>
          <w:bCs w:val="0"/>
          <w:color w:val="000000"/>
          <w:sz w:val="30"/>
          <w:szCs w:val="30"/>
          <w:highlight w:val="none"/>
          <w:u w:val="single"/>
          <w:lang w:val="en-US" w:eastAsia="zh-CN"/>
        </w:rPr>
        <w:t xml:space="preserve">2024年</w:t>
      </w:r>
      <w:r>
        <w:rPr>
          <w:rFonts w:hint="eastAsia" w:ascii="宋体" w:hAnsi="宋体" w:cs="宋体"/>
          <w:b/>
          <w:bCs w:val="0"/>
          <w:color w:val="000000"/>
          <w:sz w:val="30"/>
          <w:szCs w:val="30"/>
          <w:highlight w:val="none"/>
          <w:u w:val="single"/>
          <w:lang w:val="en-US" w:eastAsia="zh-CN"/>
        </w:rPr>
        <w:t xml:space="preserve">     </w:t>
      </w:r>
      <w:r>
        <w:rPr>
          <w:rFonts w:hint="eastAsia" w:ascii="宋体" w:hAnsi="宋体" w:eastAsia="宋体" w:cs="宋体"/>
          <w:b/>
          <w:bCs w:val="0"/>
          <w:color w:val="000000"/>
          <w:sz w:val="30"/>
          <w:szCs w:val="30"/>
          <w:highlight w:val="none"/>
          <w:u w:val="single"/>
          <w:lang w:val="en-US" w:eastAsia="zh-CN"/>
        </w:rPr>
        <w:t xml:space="preserve">月</w:t>
      </w:r>
      <w:r>
        <w:rPr>
          <w:rFonts w:hint="eastAsia" w:ascii="宋体" w:hAnsi="宋体" w:cs="宋体"/>
          <w:b/>
          <w:bCs w:val="0"/>
          <w:color w:val="000000"/>
          <w:sz w:val="30"/>
          <w:szCs w:val="30"/>
          <w:highlight w:val="none"/>
          <w:u w:val="single"/>
          <w:lang w:val="en-US" w:eastAsia="zh-CN"/>
        </w:rPr>
        <w:t xml:space="preserve">   </w:t>
      </w:r>
      <w:r>
        <w:rPr>
          <w:rFonts w:hint="eastAsia" w:ascii="宋体" w:hAnsi="宋体" w:eastAsia="宋体" w:cs="宋体"/>
          <w:b/>
          <w:bCs w:val="0"/>
          <w:color w:val="000000"/>
          <w:sz w:val="30"/>
          <w:szCs w:val="30"/>
          <w:highlight w:val="none"/>
          <w:u w:val="single"/>
          <w:lang w:val="en-US" w:eastAsia="zh-CN"/>
        </w:rPr>
        <w:t xml:space="preserve">日</w:t>
      </w:r>
      <w:r>
        <w:rPr>
          <w:rFonts w:hint="eastAsia" w:ascii="宋体" w:hAnsi="宋体" w:eastAsia="宋体" w:cs="宋体"/>
          <w:b/>
          <w:bCs w:val="0"/>
          <w:color w:val="000000"/>
          <w:sz w:val="30"/>
          <w:szCs w:val="30"/>
          <w:highlight w:val="none"/>
          <w:lang w:val="en-US" w:eastAsia="zh-CN"/>
        </w:rPr>
        <w:t xml:space="preserve"> </w:t>
      </w:r>
      <w:r>
        <w:rPr>
          <w:rFonts w:ascii="宋体" w:hAnsi="宋体" w:eastAsia="宋体" w:cs="宋体"/>
          <w:b/>
          <w:bCs w:val="0"/>
          <w:color w:val="000000"/>
          <w:sz w:val="30"/>
          <w:szCs w:val="30"/>
          <w:highlight w:val="none"/>
          <w:lang w:val="en-US" w:eastAsia="zh-CN"/>
        </w:rPr>
      </w:r>
      <w:r/>
    </w:p>
    <w:p>
      <w:pPr>
        <w:pStyle w:val="1064"/>
        <w:ind w:firstLine="301"/>
        <w:keepLines w:val="0"/>
        <w:keepNext w:val="0"/>
        <w:pageBreakBefore w:val="0"/>
        <w:spacing w:line="600" w:lineRule="exact"/>
        <w:widowControl w:val="off"/>
        <w:rPr>
          <w:rFonts w:hint="eastAsia" w:ascii="宋体" w:hAnsi="宋体" w:eastAsia="宋体" w:cs="宋体"/>
          <w:b/>
          <w:bCs w:val="0"/>
          <w:color w:val="000000"/>
          <w:sz w:val="30"/>
          <w:szCs w:val="30"/>
          <w:highlight w:val="none"/>
          <w:lang w:eastAsia="zh-CN"/>
        </w:rPr>
        <w:sectPr>
          <w:headerReference w:type="default" r:id="rId12"/>
          <w:footnotePr/>
          <w:endnotePr/>
          <w:type w:val="nextPage"/>
          <w:pgSz w:w="11906" w:h="16838" w:orient="portrait"/>
          <w:pgMar w:top="1440" w:right="1049" w:bottom="1440" w:left="1049" w:header="851" w:footer="992" w:gutter="0"/>
          <w:cols w:num="1" w:sep="0" w:space="1701" w:equalWidth="1"/>
          <w:docGrid w:linePitch="360"/>
        </w:sectPr>
      </w:pPr>
      <w:r>
        <w:rPr>
          <w:rFonts w:hint="eastAsia" w:ascii="宋体" w:hAnsi="宋体" w:eastAsia="宋体" w:cs="宋体"/>
          <w:b/>
          <w:bCs w:val="0"/>
          <w:color w:val="000000"/>
          <w:sz w:val="30"/>
          <w:szCs w:val="30"/>
          <w:highlight w:val="none"/>
          <w:lang w:eastAsia="zh-CN"/>
        </w:rPr>
      </w:r>
      <w:r/>
    </w:p>
    <w:p>
      <w:pPr>
        <w:pStyle w:val="1064"/>
        <w:jc w:val="center"/>
        <w:keepLines w:val="0"/>
        <w:keepNext w:val="0"/>
        <w:pageBreakBefore w:val="0"/>
        <w:spacing w:line="480" w:lineRule="exact"/>
        <w:rPr>
          <w:rFonts w:hint="eastAsia" w:ascii="宋体" w:hAnsi="宋体" w:eastAsia="宋体" w:cs="宋体"/>
          <w:color w:val="000000"/>
          <w:sz w:val="32"/>
          <w:szCs w:val="32"/>
          <w:highlight w:val="none"/>
        </w:rPr>
      </w:pPr>
      <w:r/>
      <w:bookmarkEnd w:id="7"/>
      <w:r>
        <w:rPr>
          <w:rFonts w:hint="eastAsia" w:ascii="宋体" w:hAnsi="宋体" w:eastAsia="宋体" w:cs="宋体"/>
          <w:color w:val="000000"/>
          <w:sz w:val="32"/>
          <w:szCs w:val="32"/>
          <w:highlight w:val="none"/>
        </w:rPr>
        <w:t xml:space="preserve">合同书（格式文本）</w:t>
      </w:r>
      <w:r>
        <w:rPr>
          <w:rFonts w:hint="eastAsia" w:ascii="宋体" w:hAnsi="宋体" w:eastAsia="宋体" w:cs="宋体"/>
          <w:color w:val="000000"/>
          <w:sz w:val="32"/>
          <w:szCs w:val="32"/>
          <w:highlight w:val="none"/>
        </w:rPr>
      </w:r>
      <w:r/>
    </w:p>
    <w:p>
      <w:pPr>
        <w:pStyle w:val="1064"/>
        <w:ind w:firstLine="482"/>
        <w:keepLines w:val="0"/>
        <w:keepNext w:val="0"/>
        <w:pageBreakBefore w:val="0"/>
        <w:spacing w:line="480" w:lineRule="exact"/>
        <w:rPr>
          <w:rFonts w:hint="eastAsia" w:ascii="宋体" w:hAnsi="宋体" w:eastAsia="宋体" w:cs="宋体"/>
          <w:b/>
          <w:bCs/>
          <w:color w:val="000000"/>
          <w:sz w:val="24"/>
          <w:highlight w:val="none"/>
          <w:lang w:eastAsia="zh-CN"/>
        </w:rPr>
      </w:pPr>
      <w:r/>
      <w:bookmarkStart w:id="13" w:name="五．合同条款"/>
      <w:r/>
      <w:bookmarkEnd w:id="13"/>
      <w:r>
        <w:rPr>
          <w:rFonts w:hint="eastAsia" w:ascii="宋体" w:hAnsi="宋体" w:eastAsia="宋体" w:cs="宋体"/>
          <w:b/>
          <w:bCs/>
          <w:color w:val="000000"/>
          <w:sz w:val="24"/>
          <w:highlight w:val="none"/>
        </w:rPr>
        <w:t xml:space="preserve">甲方（采购人）：</w:t>
      </w:r>
      <w:r>
        <w:rPr>
          <w:rFonts w:hint="eastAsia" w:ascii="宋体" w:hAnsi="宋体" w:eastAsia="宋体" w:cs="宋体"/>
          <w:b/>
          <w:bCs/>
          <w:color w:val="000000"/>
          <w:sz w:val="24"/>
          <w:highlight w:val="none"/>
          <w:u w:val="single"/>
          <w:lang w:eastAsia="zh-CN"/>
        </w:rPr>
        <w:t xml:space="preserve">无锡市惠山区洛社镇人民政府</w:t>
      </w:r>
      <w:r>
        <w:rPr>
          <w:rFonts w:hint="eastAsia" w:ascii="宋体" w:hAnsi="宋体" w:eastAsia="宋体" w:cs="宋体"/>
          <w:b/>
          <w:bCs/>
          <w:color w:val="000000"/>
          <w:sz w:val="24"/>
          <w:highlight w:val="none"/>
          <w:lang w:eastAsia="zh-CN"/>
        </w:rPr>
      </w:r>
      <w:r/>
    </w:p>
    <w:p>
      <w:pPr>
        <w:pStyle w:val="1064"/>
        <w:ind w:firstLine="482"/>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乙方（中标供应商）：</w:t>
      </w:r>
      <w:r>
        <w:rPr>
          <w:rFonts w:hint="eastAsia" w:ascii="宋体" w:hAnsi="宋体" w:eastAsia="宋体" w:cs="宋体"/>
          <w:b/>
          <w:bCs/>
          <w:color w:val="000000"/>
          <w:sz w:val="24"/>
          <w:highlight w:val="none"/>
          <w:u w:val="single"/>
        </w:rPr>
        <w:t xml:space="preserve">                             </w:t>
      </w:r>
      <w:r>
        <w:rPr>
          <w:rFonts w:hint="eastAsia" w:ascii="宋体" w:hAnsi="宋体" w:eastAsia="宋体" w:cs="宋体"/>
          <w:b/>
          <w:color w:val="000000"/>
          <w:sz w:val="24"/>
          <w:highlight w:val="none"/>
          <w:u w:val="single"/>
        </w:rPr>
        <w:t xml:space="preserve"> </w:t>
      </w:r>
      <w:r>
        <w:rPr>
          <w:rFonts w:hint="eastAsia" w:ascii="宋体" w:hAnsi="宋体" w:eastAsia="宋体" w:cs="宋体"/>
          <w:color w:val="000000"/>
          <w:sz w:val="24"/>
          <w:highlight w:val="none"/>
        </w:rPr>
      </w:r>
      <w:r/>
    </w:p>
    <w:p>
      <w:pPr>
        <w:pStyle w:val="1064"/>
        <w:ind w:firstLine="480"/>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依照《中华人民共和国民法典》、《中华人民共和国政府采购法》及其他有关法律、行政法规，遵照平等、自愿、公平和诚实信用的原则，双方就</w:t>
      </w:r>
      <w:r>
        <w:rPr>
          <w:rFonts w:hint="eastAsia" w:ascii="宋体" w:hAnsi="宋体" w:eastAsia="宋体" w:cs="宋体"/>
          <w:b/>
          <w:bCs/>
          <w:color w:val="000000"/>
          <w:sz w:val="24"/>
          <w:highlight w:val="none"/>
          <w:u w:val="single"/>
          <w:lang w:eastAsia="zh-CN"/>
        </w:rPr>
        <w:t xml:space="preserve">无锡金属表面处理科技工业园区土壤和地下水污染管控方案编制采购服务</w:t>
      </w:r>
      <w:r>
        <w:rPr>
          <w:rFonts w:hint="eastAsia" w:ascii="宋体" w:hAnsi="宋体" w:eastAsia="宋体" w:cs="宋体"/>
          <w:color w:val="000000"/>
          <w:sz w:val="24"/>
          <w:highlight w:val="none"/>
        </w:rPr>
        <w:t xml:space="preserve">协商一致，订立本合同。</w:t>
      </w:r>
      <w:r>
        <w:rPr>
          <w:rFonts w:hint="eastAsia" w:ascii="宋体" w:hAnsi="宋体" w:eastAsia="宋体" w:cs="宋体"/>
          <w:color w:val="000000"/>
          <w:sz w:val="24"/>
          <w:highlight w:val="none"/>
        </w:rPr>
      </w:r>
      <w:r/>
    </w:p>
    <w:p>
      <w:pPr>
        <w:pStyle w:val="1064"/>
        <w:ind w:firstLine="480"/>
        <w:jc w:val="both"/>
        <w:keepLines w:val="0"/>
        <w:keepNext w:val="0"/>
        <w:pageBreakBefore w:val="0"/>
        <w:spacing w:line="480" w:lineRule="exact"/>
        <w:widowControl/>
        <w:rPr>
          <w:rFonts w:hint="eastAsia" w:ascii="宋体" w:hAnsi="宋体" w:eastAsia="宋体" w:cs="宋体"/>
          <w:color w:val="000000"/>
          <w:sz w:val="24"/>
          <w:highlight w:val="none"/>
          <w:u w:val="single"/>
        </w:rPr>
      </w:pPr>
      <w:r/>
      <w:bookmarkStart w:id="14" w:name="_Toc76417655"/>
      <w:r>
        <w:rPr>
          <w:rFonts w:hint="eastAsia" w:ascii="宋体" w:hAnsi="宋体" w:eastAsia="宋体" w:cs="宋体"/>
          <w:bCs/>
          <w:color w:val="000000"/>
          <w:sz w:val="24"/>
          <w:highlight w:val="none"/>
        </w:rPr>
        <w:t xml:space="preserve">一、采购内容：</w:t>
      </w:r>
      <w:r>
        <w:rPr>
          <w:rFonts w:hint="eastAsia" w:ascii="宋体" w:hAnsi="宋体" w:eastAsia="宋体" w:cs="宋体"/>
          <w:bCs/>
          <w:color w:val="000000"/>
          <w:sz w:val="24"/>
          <w:highlight w:val="none"/>
          <w:u w:val="single"/>
        </w:rPr>
        <w:t xml:space="preserve">无锡金属表面处理科技工业园区总占地面积为1.43km2。工业园位于无锡市西北部、惠山区西北、杨市镇镇区北部，北起锡溧运河以北950米，南至锡溧运河，西起北红线，东到杨市镇与洛社镇交界处。</w:t>
      </w:r>
      <w:r>
        <w:rPr>
          <w:rFonts w:hint="eastAsia" w:ascii="宋体" w:hAnsi="宋体" w:eastAsia="宋体" w:cs="宋体"/>
          <w:color w:val="000000"/>
          <w:sz w:val="24"/>
          <w:highlight w:val="none"/>
          <w:u w:val="single"/>
          <w:lang w:eastAsia="zh-CN"/>
        </w:rPr>
        <w:t xml:space="preserve">园内目前共有企业34家，主要从事电镀生产活动。现需对该地块公共面积开展土壤和地下水污染状况详细调查，具体包括监测井建设、水文地质调查和土壤、地下水样品检测，进一步明确土壤地下水污染程度和范围，开展风险评估，并进一步开展污染风险管控方案编制工作，为地块的开发利用提供数据支撑和科学依据，并按相关要求报送至生态环境管理部门</w:t>
      </w:r>
      <w:r>
        <w:rPr>
          <w:rFonts w:hint="eastAsia" w:ascii="宋体" w:hAnsi="宋体" w:eastAsia="宋体" w:cs="宋体"/>
          <w:bCs/>
          <w:color w:val="000000"/>
          <w:sz w:val="24"/>
          <w:highlight w:val="none"/>
          <w:u w:val="single"/>
        </w:rPr>
        <w:t xml:space="preserve">；</w:t>
      </w:r>
      <w:r>
        <w:rPr>
          <w:rFonts w:hint="eastAsia" w:ascii="宋体" w:hAnsi="宋体" w:eastAsia="宋体" w:cs="宋体"/>
          <w:color w:val="000000"/>
          <w:sz w:val="24"/>
          <w:highlight w:val="none"/>
          <w:u w:val="single"/>
        </w:rPr>
      </w:r>
      <w:r/>
    </w:p>
    <w:p>
      <w:pPr>
        <w:pStyle w:val="1064"/>
        <w:ind w:firstLine="480"/>
        <w:keepLines w:val="0"/>
        <w:keepNext w:val="0"/>
        <w:pageBreakBefore w:val="0"/>
        <w:spacing w:line="480" w:lineRule="exact"/>
        <w:tabs>
          <w:tab w:val="left" w:pos="73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二、合同金额：人民币（大写）</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元 ；人民币（小写）</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元</w:t>
      </w:r>
      <w:r>
        <w:rPr>
          <w:rFonts w:hint="eastAsia" w:ascii="宋体" w:hAnsi="宋体" w:eastAsia="宋体" w:cs="宋体"/>
          <w:bCs/>
          <w:color w:val="000000"/>
          <w:sz w:val="24"/>
          <w:highlight w:val="none"/>
        </w:rPr>
      </w:r>
      <w:r/>
    </w:p>
    <w:p>
      <w:pPr>
        <w:pStyle w:val="1064"/>
        <w:ind w:firstLine="482"/>
        <w:jc w:val="left"/>
        <w:keepLines w:val="0"/>
        <w:keepNext w:val="0"/>
        <w:pageBreakBefore w:val="0"/>
        <w:spacing w:line="480" w:lineRule="exac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w:t>
      </w:r>
      <w:r>
        <w:rPr>
          <w:rFonts w:hint="eastAsia" w:ascii="宋体" w:hAnsi="宋体" w:eastAsia="宋体" w:cs="宋体"/>
          <w:b/>
          <w:bCs/>
          <w:color w:val="000000"/>
          <w:sz w:val="24"/>
          <w:highlight w:val="none"/>
          <w:lang w:eastAsia="zh-CN"/>
        </w:rPr>
        <w:t xml:space="preserve">合同金额</w:t>
      </w:r>
      <w:r>
        <w:rPr>
          <w:rFonts w:hint="eastAsia" w:ascii="宋体" w:hAnsi="宋体" w:eastAsia="宋体" w:cs="宋体"/>
          <w:b/>
          <w:bCs/>
          <w:color w:val="000000"/>
          <w:sz w:val="24"/>
          <w:highlight w:val="none"/>
        </w:rPr>
        <w:t xml:space="preserve">包括但不限于人工费、材料费、调查费、交通费、采样费、所有检测费、机械使用费、专家费、管理费和利润、税费、成果文件编制费、政策性文件规定的各项规费等费用以及合同明示或暗示的所有一切风险责任和义务等各项应有费用。除合同另行约定外，合同价格后期不作调整。</w:t>
      </w:r>
      <w:r>
        <w:rPr>
          <w:rFonts w:hint="eastAsia" w:ascii="宋体" w:hAnsi="宋体" w:eastAsia="宋体" w:cs="宋体"/>
          <w:b/>
          <w:bCs/>
          <w:color w:val="000000"/>
          <w:sz w:val="24"/>
          <w:highlight w:val="none"/>
        </w:rPr>
      </w:r>
      <w:r/>
    </w:p>
    <w:p>
      <w:pPr>
        <w:pStyle w:val="1064"/>
        <w:ind w:firstLine="480"/>
        <w:keepLines w:val="0"/>
        <w:keepNext w:val="0"/>
        <w:pageBreakBefore w:val="0"/>
        <w:spacing w:line="480" w:lineRule="exact"/>
        <w:tabs>
          <w:tab w:val="left" w:pos="735" w:leader="none"/>
          <w:tab w:val="left" w:pos="1260" w:leader="none"/>
        </w:tabs>
        <w:rPr>
          <w:rFonts w:hint="eastAsia" w:ascii="宋体" w:hAnsi="宋体" w:eastAsia="宋体" w:cs="宋体"/>
          <w:color w:val="000000"/>
          <w:sz w:val="24"/>
          <w:highlight w:val="none"/>
          <w:u w:val="single"/>
          <w:lang w:eastAsia="zh-CN"/>
        </w:rPr>
      </w:pPr>
      <w:r>
        <w:rPr>
          <w:rFonts w:hint="eastAsia" w:ascii="宋体" w:hAnsi="宋体" w:eastAsia="宋体" w:cs="宋体"/>
          <w:color w:val="000000"/>
          <w:sz w:val="24"/>
          <w:highlight w:val="none"/>
        </w:rPr>
        <w:t xml:space="preserve">三、服务期：</w:t>
      </w:r>
      <w:r>
        <w:rPr>
          <w:rFonts w:hint="eastAsia" w:ascii="宋体" w:hAnsi="宋体" w:eastAsia="宋体" w:cs="宋体"/>
          <w:color w:val="000000"/>
          <w:sz w:val="24"/>
          <w:highlight w:val="none"/>
          <w:u w:val="single"/>
        </w:rPr>
        <w:t xml:space="preserve">合同签订后</w:t>
      </w:r>
      <w:r>
        <w:rPr>
          <w:rFonts w:hint="eastAsia" w:ascii="宋体" w:hAnsi="宋体" w:eastAsia="宋体" w:cs="宋体"/>
          <w:color w:val="000000"/>
          <w:sz w:val="24"/>
          <w:highlight w:val="none"/>
          <w:u w:val="single"/>
          <w:lang w:val="en-US" w:eastAsia="zh-CN"/>
        </w:rPr>
        <w:t xml:space="preserve">150</w:t>
      </w:r>
      <w:r>
        <w:rPr>
          <w:rFonts w:hint="eastAsia" w:ascii="宋体" w:hAnsi="宋体" w:eastAsia="宋体" w:cs="宋体"/>
          <w:color w:val="000000"/>
          <w:sz w:val="24"/>
          <w:highlight w:val="none"/>
          <w:u w:val="single"/>
        </w:rPr>
        <w:t xml:space="preserve">日历天内出具最终的成果文件、</w:t>
      </w:r>
      <w:r>
        <w:rPr>
          <w:rFonts w:hint="eastAsia" w:ascii="宋体" w:hAnsi="宋体" w:eastAsia="宋体" w:cs="宋体"/>
          <w:color w:val="000000"/>
          <w:sz w:val="24"/>
          <w:highlight w:val="none"/>
          <w:u w:val="single"/>
          <w:lang w:eastAsia="zh-CN"/>
        </w:rPr>
        <w:t xml:space="preserve">经甲方确认后上报省环保厅并确认通过</w:t>
      </w:r>
      <w:r>
        <w:rPr>
          <w:rFonts w:hint="eastAsia" w:ascii="宋体" w:hAnsi="宋体" w:eastAsia="宋体" w:cs="宋体"/>
          <w:color w:val="000000"/>
          <w:sz w:val="24"/>
          <w:highlight w:val="none"/>
          <w:u w:val="single"/>
        </w:rPr>
        <w:t xml:space="preserve">；误期违约金：2000元/天</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lang w:eastAsia="zh-CN"/>
        </w:rPr>
      </w:r>
      <w:r/>
    </w:p>
    <w:p>
      <w:pPr>
        <w:pStyle w:val="1064"/>
        <w:ind w:firstLine="480"/>
        <w:keepLines w:val="0"/>
        <w:keepNext w:val="0"/>
        <w:pageBreakBefore w:val="0"/>
        <w:spacing w:line="480" w:lineRule="exact"/>
        <w:tabs>
          <w:tab w:val="left" w:pos="73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四、服务地点和方式：</w:t>
      </w:r>
      <w:r>
        <w:rPr>
          <w:rFonts w:hint="eastAsia" w:ascii="宋体" w:hAnsi="宋体" w:eastAsia="宋体" w:cs="宋体"/>
          <w:bCs/>
          <w:color w:val="000000"/>
          <w:sz w:val="24"/>
          <w:highlight w:val="none"/>
          <w:u w:val="single"/>
        </w:rPr>
        <w:t xml:space="preserve">无锡市惠山区。</w:t>
      </w:r>
      <w:r>
        <w:rPr>
          <w:rFonts w:hint="eastAsia" w:ascii="宋体" w:hAnsi="宋体" w:eastAsia="宋体" w:cs="宋体"/>
          <w:bCs/>
          <w:color w:val="000000"/>
          <w:sz w:val="24"/>
          <w:highlight w:val="none"/>
        </w:rPr>
      </w:r>
      <w:r/>
    </w:p>
    <w:p>
      <w:pPr>
        <w:pStyle w:val="1064"/>
        <w:ind w:firstLine="480"/>
        <w:keepLines w:val="0"/>
        <w:keepNext w:val="0"/>
        <w:pageBreakBefore w:val="0"/>
        <w:spacing w:line="480" w:lineRule="exact"/>
        <w:tabs>
          <w:tab w:val="left" w:pos="735" w:leader="none"/>
          <w:tab w:val="left" w:pos="1260" w:leader="none"/>
        </w:tabs>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五、服务质量标准：</w:t>
      </w:r>
      <w:r>
        <w:rPr>
          <w:rFonts w:hint="eastAsia" w:ascii="宋体" w:hAnsi="宋体" w:eastAsia="宋体" w:cs="宋体"/>
          <w:color w:val="000000"/>
          <w:sz w:val="24"/>
          <w:highlight w:val="none"/>
          <w:u w:val="single"/>
        </w:rPr>
        <w:t xml:space="preserve">出具的</w:t>
      </w:r>
      <w:r>
        <w:rPr>
          <w:rFonts w:hint="eastAsia" w:ascii="宋体" w:hAnsi="宋体" w:eastAsia="宋体" w:cs="宋体"/>
          <w:color w:val="000000"/>
          <w:sz w:val="24"/>
          <w:highlight w:val="none"/>
          <w:u w:val="single"/>
          <w:lang w:eastAsia="zh-CN"/>
        </w:rPr>
        <w:t xml:space="preserve">成果文件</w:t>
      </w:r>
      <w:r>
        <w:rPr>
          <w:rFonts w:hint="eastAsia" w:ascii="宋体" w:hAnsi="宋体" w:eastAsia="宋体" w:cs="宋体"/>
          <w:color w:val="000000"/>
          <w:sz w:val="24"/>
          <w:highlight w:val="none"/>
          <w:u w:val="single"/>
        </w:rPr>
        <w:t xml:space="preserve">等须符合国家、行业、地方相关标准</w:t>
      </w:r>
      <w:r>
        <w:rPr>
          <w:rFonts w:hint="eastAsia" w:ascii="宋体" w:hAnsi="宋体" w:eastAsia="宋体" w:cs="宋体"/>
          <w:b w:val="0"/>
          <w:bCs w:val="0"/>
          <w:color w:val="000000"/>
          <w:sz w:val="24"/>
          <w:highlight w:val="none"/>
          <w:u w:val="single"/>
          <w:lang w:eastAsia="zh-CN"/>
        </w:rPr>
        <w:t xml:space="preserve">及甲方</w:t>
      </w:r>
      <w:r>
        <w:rPr>
          <w:rFonts w:hint="eastAsia" w:ascii="宋体" w:hAnsi="宋体" w:eastAsia="宋体" w:cs="宋体"/>
          <w:b w:val="0"/>
          <w:bCs w:val="0"/>
          <w:color w:val="000000"/>
          <w:sz w:val="24"/>
          <w:highlight w:val="none"/>
          <w:u w:val="single"/>
        </w:rPr>
        <w:t xml:space="preserve">要求</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eastAsia="zh-CN"/>
        </w:rPr>
        <w:t xml:space="preserve">经甲方确认后上报省环保厅并确认通过</w:t>
      </w:r>
      <w:r>
        <w:rPr>
          <w:rFonts w:hint="eastAsia" w:ascii="宋体" w:hAnsi="宋体" w:eastAsia="宋体" w:cs="宋体"/>
          <w:color w:val="000000"/>
          <w:sz w:val="24"/>
          <w:highlight w:val="none"/>
          <w:u w:val="single"/>
        </w:rPr>
        <w:t xml:space="preserve">，成果客观公正、科学；</w:t>
      </w:r>
      <w:r>
        <w:rPr>
          <w:rFonts w:hint="eastAsia" w:ascii="宋体" w:hAnsi="宋体" w:eastAsia="宋体" w:cs="宋体"/>
          <w:bCs/>
          <w:color w:val="000000"/>
          <w:sz w:val="24"/>
          <w:highlight w:val="none"/>
          <w:u w:val="single"/>
        </w:rPr>
      </w:r>
      <w:r/>
    </w:p>
    <w:p>
      <w:pPr>
        <w:pStyle w:val="1064"/>
        <w:ind w:firstLine="480"/>
        <w:keepLines w:val="0"/>
        <w:keepNext w:val="0"/>
        <w:pageBreakBefore w:val="0"/>
        <w:spacing w:line="480" w:lineRule="exact"/>
        <w:tabs>
          <w:tab w:val="left" w:pos="735" w:leader="none"/>
          <w:tab w:val="left" w:pos="1260" w:leader="none"/>
        </w:tabs>
        <w:rPr>
          <w:rFonts w:hint="eastAsia" w:ascii="宋体" w:hAnsi="宋体" w:eastAsia="宋体" w:cs="宋体"/>
          <w:color w:val="000000"/>
          <w:sz w:val="24"/>
          <w:highlight w:val="none"/>
          <w:u w:val="single"/>
        </w:rPr>
      </w:pPr>
      <w:r>
        <w:rPr>
          <w:rFonts w:hint="eastAsia" w:ascii="宋体" w:hAnsi="宋体" w:eastAsia="宋体" w:cs="宋体"/>
          <w:bCs/>
          <w:color w:val="000000"/>
          <w:sz w:val="24"/>
          <w:highlight w:val="none"/>
        </w:rPr>
        <w:t xml:space="preserve">六、合同价款支付步骤和办法：</w:t>
      </w:r>
      <w:bookmarkEnd w:id="14"/>
      <w:r>
        <w:rPr>
          <w:rFonts w:hint="eastAsia" w:ascii="宋体" w:hAnsi="宋体" w:eastAsia="宋体" w:cs="宋体"/>
          <w:color w:val="000000"/>
          <w:sz w:val="24"/>
          <w:highlight w:val="none"/>
          <w:u w:val="single"/>
        </w:rPr>
        <w:t xml:space="preserve">合同签订后，</w:t>
      </w:r>
      <w:r>
        <w:rPr>
          <w:rFonts w:hint="eastAsia" w:ascii="宋体" w:hAnsi="宋体" w:eastAsia="宋体" w:cs="宋体"/>
          <w:color w:val="000000"/>
          <w:sz w:val="24"/>
          <w:highlight w:val="none"/>
          <w:u w:val="single"/>
          <w:lang w:eastAsia="zh-CN"/>
        </w:rPr>
        <w:t xml:space="preserve">甲方</w:t>
      </w:r>
      <w:r>
        <w:rPr>
          <w:rFonts w:hint="eastAsia" w:ascii="宋体" w:hAnsi="宋体" w:eastAsia="宋体" w:cs="宋体"/>
          <w:color w:val="000000"/>
          <w:sz w:val="24"/>
          <w:highlight w:val="none"/>
          <w:u w:val="single"/>
        </w:rPr>
        <w:t xml:space="preserve">支付合同价款的</w:t>
      </w:r>
      <w:r>
        <w:rPr>
          <w:rFonts w:hint="eastAsia" w:ascii="宋体" w:hAnsi="宋体" w:eastAsia="宋体" w:cs="宋体"/>
          <w:color w:val="000000"/>
          <w:sz w:val="24"/>
          <w:highlight w:val="none"/>
          <w:u w:val="single"/>
          <w:lang w:val="en-US" w:eastAsia="zh-CN"/>
        </w:rPr>
        <w:t xml:space="preserve">3</w:t>
      </w:r>
      <w:r>
        <w:rPr>
          <w:rFonts w:hint="eastAsia" w:ascii="宋体" w:hAnsi="宋体" w:eastAsia="宋体" w:cs="宋体"/>
          <w:color w:val="000000"/>
          <w:sz w:val="24"/>
          <w:highlight w:val="none"/>
          <w:u w:val="single"/>
        </w:rPr>
        <w:t xml:space="preserve">0%；</w:t>
      </w:r>
      <w:r>
        <w:rPr>
          <w:rFonts w:hint="eastAsia" w:ascii="宋体" w:hAnsi="宋体" w:eastAsia="宋体" w:cs="宋体"/>
          <w:color w:val="000000"/>
          <w:sz w:val="24"/>
          <w:highlight w:val="none"/>
          <w:u w:val="single"/>
          <w:lang w:eastAsia="zh-CN"/>
        </w:rPr>
        <w:t xml:space="preserve">乙方</w:t>
      </w:r>
      <w:r>
        <w:rPr>
          <w:rFonts w:hint="eastAsia" w:ascii="宋体" w:hAnsi="宋体" w:eastAsia="宋体" w:cs="宋体"/>
          <w:color w:val="000000"/>
          <w:sz w:val="24"/>
          <w:highlight w:val="none"/>
          <w:u w:val="single"/>
        </w:rPr>
        <w:t xml:space="preserve">在规定时间内完</w:t>
      </w:r>
      <w:r>
        <w:rPr>
          <w:rFonts w:hint="eastAsia" w:ascii="宋体" w:hAnsi="宋体" w:eastAsia="宋体" w:cs="宋体"/>
          <w:color w:val="000000"/>
          <w:sz w:val="24"/>
          <w:highlight w:val="none"/>
          <w:u w:val="single"/>
          <w:lang w:eastAsia="zh-CN"/>
        </w:rPr>
        <w:t xml:space="preserve">成</w:t>
      </w:r>
      <w:r>
        <w:rPr>
          <w:rFonts w:hint="eastAsia" w:ascii="宋体" w:hAnsi="宋体" w:eastAsia="宋体" w:cs="宋体"/>
          <w:color w:val="000000"/>
          <w:sz w:val="24"/>
          <w:highlight w:val="none"/>
          <w:u w:val="single"/>
        </w:rPr>
        <w:t xml:space="preserve">所有工作并提交全部成果文件后支付合同价款的40%，余款待成果文件通过</w:t>
      </w:r>
      <w:r>
        <w:rPr>
          <w:rFonts w:hint="eastAsia" w:ascii="宋体" w:hAnsi="宋体" w:eastAsia="宋体" w:cs="宋体"/>
          <w:color w:val="000000"/>
          <w:sz w:val="24"/>
          <w:highlight w:val="none"/>
          <w:u w:val="single"/>
          <w:lang w:eastAsia="zh-CN"/>
        </w:rPr>
        <w:t xml:space="preserve">甲方</w:t>
      </w:r>
      <w:r>
        <w:rPr>
          <w:rFonts w:hint="eastAsia" w:ascii="宋体" w:hAnsi="宋体" w:eastAsia="宋体" w:cs="宋体"/>
          <w:color w:val="000000"/>
          <w:sz w:val="24"/>
          <w:highlight w:val="none"/>
          <w:u w:val="single"/>
        </w:rPr>
        <w:t xml:space="preserve">、专家组评审验收合格</w:t>
      </w:r>
      <w:r>
        <w:rPr>
          <w:rFonts w:hint="eastAsia" w:ascii="宋体" w:hAnsi="宋体" w:eastAsia="宋体" w:cs="宋体"/>
          <w:bCs/>
          <w:color w:val="000000"/>
          <w:sz w:val="24"/>
          <w:highlight w:val="none"/>
          <w:u w:val="single"/>
          <w:lang w:eastAsia="zh-CN"/>
        </w:rPr>
        <w:t xml:space="preserve">后</w:t>
      </w:r>
      <w:r>
        <w:rPr>
          <w:rFonts w:hint="eastAsia" w:ascii="宋体" w:hAnsi="宋体" w:eastAsia="宋体" w:cs="宋体"/>
          <w:color w:val="000000"/>
          <w:sz w:val="24"/>
          <w:highlight w:val="none"/>
          <w:u w:val="single"/>
        </w:rPr>
        <w:t xml:space="preserve">一次性付清。付款时</w:t>
      </w:r>
      <w:r>
        <w:rPr>
          <w:rFonts w:hint="eastAsia" w:ascii="宋体" w:hAnsi="宋体" w:eastAsia="宋体" w:cs="宋体"/>
          <w:color w:val="000000"/>
          <w:sz w:val="24"/>
          <w:highlight w:val="none"/>
          <w:u w:val="single"/>
          <w:lang w:eastAsia="zh-CN"/>
        </w:rPr>
        <w:t xml:space="preserve">乙方</w:t>
      </w:r>
      <w:r>
        <w:rPr>
          <w:rFonts w:hint="eastAsia" w:ascii="宋体" w:hAnsi="宋体" w:eastAsia="宋体" w:cs="宋体"/>
          <w:color w:val="000000"/>
          <w:sz w:val="24"/>
          <w:highlight w:val="none"/>
          <w:u w:val="single"/>
        </w:rPr>
        <w:t xml:space="preserve">须出具相应的税金发票。</w:t>
      </w:r>
      <w:r>
        <w:rPr>
          <w:rFonts w:hint="eastAsia" w:ascii="宋体" w:hAnsi="宋体" w:eastAsia="宋体" w:cs="宋体"/>
          <w:color w:val="000000"/>
          <w:sz w:val="24"/>
          <w:highlight w:val="none"/>
          <w:u w:val="single"/>
        </w:rPr>
      </w:r>
      <w:r/>
    </w:p>
    <w:p>
      <w:pPr>
        <w:pStyle w:val="1064"/>
        <w:ind w:firstLine="480"/>
        <w:keepLines w:val="0"/>
        <w:keepNext w:val="0"/>
        <w:pageBreakBefore w:val="0"/>
        <w:spacing w:line="480" w:lineRule="exact"/>
        <w:tabs>
          <w:tab w:val="left" w:pos="73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七、合同文件的优先次序</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64"/>
        <w:ind w:firstLine="482"/>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构成本合同的文件可视为是能互相说明的，如果合同文件存在歧义或不一致，则根据如下优先次序来判断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1064"/>
        <w:ind w:firstLine="482"/>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1）合同书---（有）</w:t>
      </w:r>
      <w:r>
        <w:rPr>
          <w:rFonts w:hint="eastAsia" w:ascii="宋体" w:hAnsi="宋体" w:eastAsia="宋体" w:cs="宋体"/>
          <w:color w:val="000000"/>
          <w:sz w:val="24"/>
          <w:highlight w:val="none"/>
        </w:rPr>
      </w:r>
      <w:r/>
    </w:p>
    <w:p>
      <w:pPr>
        <w:pStyle w:val="1064"/>
        <w:ind w:firstLine="482"/>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2）中标通知书---（有）</w:t>
      </w:r>
      <w:r>
        <w:rPr>
          <w:rFonts w:hint="eastAsia" w:ascii="宋体" w:hAnsi="宋体" w:eastAsia="宋体" w:cs="宋体"/>
          <w:color w:val="000000"/>
          <w:sz w:val="24"/>
          <w:highlight w:val="none"/>
        </w:rPr>
      </w:r>
      <w:r/>
    </w:p>
    <w:p>
      <w:pPr>
        <w:pStyle w:val="1064"/>
        <w:ind w:firstLine="482"/>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3）发包人要求及委托书---（有）</w:t>
      </w:r>
      <w:r>
        <w:rPr>
          <w:rFonts w:hint="eastAsia" w:ascii="宋体" w:hAnsi="宋体" w:eastAsia="宋体" w:cs="宋体"/>
          <w:color w:val="000000"/>
          <w:sz w:val="24"/>
          <w:highlight w:val="none"/>
        </w:rPr>
      </w:r>
      <w:r/>
    </w:p>
    <w:p>
      <w:pPr>
        <w:pStyle w:val="1064"/>
        <w:ind w:firstLine="480"/>
        <w:keepLines w:val="0"/>
        <w:keepNext w:val="0"/>
        <w:pageBreakBefore w:val="0"/>
        <w:spacing w:line="48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4）投</w:t>
      </w:r>
      <w:r>
        <w:rPr>
          <w:rFonts w:hint="eastAsia" w:ascii="宋体" w:hAnsi="宋体" w:eastAsia="宋体" w:cs="宋体"/>
          <w:bCs/>
          <w:color w:val="000000"/>
          <w:sz w:val="24"/>
          <w:highlight w:val="none"/>
        </w:rPr>
        <w:t xml:space="preserve">标</w:t>
      </w:r>
      <w:r>
        <w:rPr>
          <w:rFonts w:hint="eastAsia" w:ascii="宋体" w:hAnsi="宋体" w:eastAsia="宋体" w:cs="宋体"/>
          <w:bCs/>
          <w:color w:val="000000"/>
          <w:sz w:val="24"/>
          <w:highlight w:val="none"/>
          <w:lang w:eastAsia="zh-CN"/>
        </w:rPr>
        <w:t xml:space="preserve">文件</w:t>
      </w:r>
      <w:r>
        <w:rPr>
          <w:rFonts w:hint="eastAsia" w:ascii="宋体" w:hAnsi="宋体" w:eastAsia="宋体" w:cs="宋体"/>
          <w:bCs/>
          <w:color w:val="000000"/>
          <w:sz w:val="24"/>
          <w:highlight w:val="none"/>
        </w:rPr>
        <w:t xml:space="preserve">---（有）</w:t>
      </w:r>
      <w:r>
        <w:rPr>
          <w:rFonts w:hint="eastAsia" w:ascii="宋体" w:hAnsi="宋体" w:eastAsia="宋体" w:cs="宋体"/>
          <w:bCs/>
          <w:color w:val="000000"/>
          <w:sz w:val="24"/>
          <w:highlight w:val="none"/>
        </w:rPr>
      </w:r>
      <w:r/>
    </w:p>
    <w:p>
      <w:pPr>
        <w:pStyle w:val="1064"/>
        <w:ind w:firstLine="480"/>
        <w:keepLines w:val="0"/>
        <w:keepNext w:val="0"/>
        <w:pageBreakBefore w:val="0"/>
        <w:spacing w:line="480" w:lineRule="exact"/>
        <w:tabs>
          <w:tab w:val="left" w:pos="735" w:leader="none"/>
          <w:tab w:val="left" w:pos="1260" w:leader="none"/>
        </w:tabs>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八、履约保证金：</w:t>
      </w:r>
      <w:r>
        <w:rPr>
          <w:rFonts w:hint="eastAsia" w:ascii="宋体" w:hAnsi="宋体" w:eastAsia="宋体" w:cs="宋体"/>
          <w:bCs/>
          <w:color w:val="000000"/>
          <w:sz w:val="24"/>
          <w:highlight w:val="none"/>
          <w:lang w:val="zh-CN"/>
        </w:rPr>
      </w:r>
      <w:r/>
    </w:p>
    <w:p>
      <w:pPr>
        <w:pStyle w:val="1064"/>
        <w:ind w:firstLine="480"/>
        <w:keepLines w:val="0"/>
        <w:keepNext w:val="0"/>
        <w:pageBreakBefore w:val="0"/>
        <w:spacing w:line="480" w:lineRule="exact"/>
        <w:tabs>
          <w:tab w:val="left" w:pos="735" w:leader="none"/>
          <w:tab w:val="left" w:pos="1260" w:leader="none"/>
        </w:tabs>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乙方签订合同时，需一次性缴纳履约保证金，履约保证金金额为合同价的10%。</w:t>
      </w:r>
      <w:r>
        <w:rPr>
          <w:rFonts w:hint="eastAsia" w:ascii="宋体" w:hAnsi="宋体" w:eastAsia="宋体" w:cs="宋体"/>
          <w:bCs/>
          <w:color w:val="000000"/>
          <w:sz w:val="24"/>
          <w:highlight w:val="none"/>
          <w:lang w:val="zh-CN"/>
        </w:rPr>
      </w:r>
      <w:r/>
    </w:p>
    <w:p>
      <w:pPr>
        <w:pStyle w:val="1064"/>
        <w:ind w:firstLine="480"/>
        <w:keepLines w:val="0"/>
        <w:keepNext w:val="0"/>
        <w:pageBreakBefore w:val="0"/>
        <w:spacing w:line="480" w:lineRule="exact"/>
        <w:tabs>
          <w:tab w:val="left" w:pos="735" w:leader="none"/>
          <w:tab w:val="left" w:pos="1260" w:leader="none"/>
        </w:tabs>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乙方提供履约担保的形式及期限： </w:t>
      </w:r>
      <w:r>
        <w:rPr>
          <w:rFonts w:hint="eastAsia" w:ascii="宋体" w:hAnsi="宋体" w:eastAsia="宋体" w:cs="宋体"/>
          <w:bCs/>
          <w:color w:val="000000"/>
          <w:sz w:val="24"/>
          <w:highlight w:val="none"/>
          <w:lang w:val="zh-CN"/>
        </w:rPr>
      </w:r>
      <w:r/>
    </w:p>
    <w:p>
      <w:pPr>
        <w:pStyle w:val="1064"/>
        <w:ind w:firstLine="480"/>
        <w:keepLines w:val="0"/>
        <w:keepNext w:val="0"/>
        <w:pageBreakBefore w:val="0"/>
        <w:spacing w:line="480" w:lineRule="exact"/>
        <w:tabs>
          <w:tab w:val="left" w:pos="735" w:leader="none"/>
          <w:tab w:val="left" w:pos="1260" w:leader="none"/>
        </w:tabs>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1）履约保证金缴纳形式：支票、汇票、本票、保函、电汇等非现金方式缴纳。</w:t>
      </w:r>
      <w:r>
        <w:rPr>
          <w:rFonts w:hint="eastAsia" w:ascii="宋体" w:hAnsi="宋体" w:eastAsia="宋体" w:cs="宋体"/>
          <w:bCs/>
          <w:color w:val="000000"/>
          <w:sz w:val="24"/>
          <w:highlight w:val="none"/>
          <w:lang w:val="zh-CN"/>
        </w:rPr>
      </w:r>
      <w:r/>
    </w:p>
    <w:p>
      <w:pPr>
        <w:pStyle w:val="1064"/>
        <w:ind w:firstLine="480"/>
        <w:keepLines w:val="0"/>
        <w:keepNext w:val="0"/>
        <w:pageBreakBefore w:val="0"/>
        <w:spacing w:line="480" w:lineRule="exact"/>
        <w:tabs>
          <w:tab w:val="left" w:pos="735" w:leader="none"/>
          <w:tab w:val="left" w:pos="1260" w:leader="none"/>
        </w:tabs>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2）如果乙方未能履行合同规定的任何义务，甲方有权从履约保证金中取得补偿。</w:t>
      </w:r>
      <w:r>
        <w:rPr>
          <w:rFonts w:hint="eastAsia" w:ascii="宋体" w:hAnsi="宋体" w:eastAsia="宋体" w:cs="宋体"/>
          <w:bCs/>
          <w:color w:val="000000"/>
          <w:sz w:val="24"/>
          <w:highlight w:val="none"/>
          <w:lang w:val="zh-CN"/>
        </w:rPr>
      </w:r>
      <w:r/>
    </w:p>
    <w:p>
      <w:pPr>
        <w:pStyle w:val="1064"/>
        <w:ind w:firstLine="480"/>
        <w:keepLines w:val="0"/>
        <w:keepNext w:val="0"/>
        <w:pageBreakBefore w:val="0"/>
        <w:spacing w:line="480" w:lineRule="exact"/>
        <w:tabs>
          <w:tab w:val="left" w:pos="735" w:leader="none"/>
          <w:tab w:val="left" w:pos="1260" w:leader="none"/>
        </w:tabs>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3）履约保证金退还时间、方式：履约保证金（无息）将在服务期满并验收合格后无息退回。</w:t>
      </w:r>
      <w:r>
        <w:rPr>
          <w:rFonts w:hint="eastAsia" w:ascii="宋体" w:hAnsi="宋体" w:eastAsia="宋体" w:cs="宋体"/>
          <w:bCs/>
          <w:color w:val="000000"/>
          <w:sz w:val="24"/>
          <w:highlight w:val="none"/>
          <w:lang w:val="zh-CN"/>
        </w:rPr>
      </w:r>
      <w:r/>
    </w:p>
    <w:p>
      <w:pPr>
        <w:pStyle w:val="1064"/>
        <w:ind w:firstLine="480"/>
        <w:keepLines w:val="0"/>
        <w:keepNext w:val="0"/>
        <w:pageBreakBefore w:val="0"/>
        <w:spacing w:line="480" w:lineRule="exact"/>
        <w:tabs>
          <w:tab w:val="left" w:pos="735" w:leader="none"/>
          <w:tab w:val="left" w:pos="1260" w:leader="none"/>
        </w:tabs>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4）履约过程中乙方在服务期限、服务质量、安全作业、现场管理及服务人员配备、将中标项目转包或分包给他人的、拒绝履行合同义务等方面发生的不履约或违背合同规定的责任和义务的行为，都可能导致甲方扣缴其部分乃至全部履约保证金。</w:t>
      </w:r>
      <w:r>
        <w:rPr>
          <w:rFonts w:hint="eastAsia" w:ascii="宋体" w:hAnsi="宋体" w:eastAsia="宋体" w:cs="宋体"/>
          <w:bCs/>
          <w:color w:val="000000"/>
          <w:sz w:val="24"/>
          <w:highlight w:val="none"/>
          <w:lang w:val="zh-CN"/>
        </w:rPr>
      </w:r>
      <w:r/>
    </w:p>
    <w:p>
      <w:pPr>
        <w:pStyle w:val="1064"/>
        <w:ind w:firstLine="480"/>
        <w:keepLines w:val="0"/>
        <w:keepNext w:val="0"/>
        <w:pageBreakBefore w:val="0"/>
        <w:spacing w:line="480" w:lineRule="exact"/>
        <w:tabs>
          <w:tab w:val="left" w:pos="735" w:leader="none"/>
          <w:tab w:val="left" w:pos="1260" w:leader="none"/>
        </w:tabs>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九、具体服务内容及要求：</w:t>
      </w:r>
      <w:r>
        <w:rPr>
          <w:rFonts w:hint="eastAsia" w:ascii="宋体" w:hAnsi="宋体" w:eastAsia="宋体" w:cs="宋体"/>
          <w:bCs/>
          <w:color w:val="000000"/>
          <w:sz w:val="24"/>
          <w:highlight w:val="none"/>
          <w:lang w:val="zh-CN"/>
        </w:rPr>
      </w:r>
      <w:r/>
    </w:p>
    <w:p>
      <w:pPr>
        <w:pStyle w:val="1064"/>
        <w:numPr>
          <w:ilvl w:val="0"/>
          <w:numId w:val="0"/>
        </w:numPr>
        <w:ind w:firstLine="482"/>
        <w:keepLines w:val="0"/>
        <w:keepNext w:val="0"/>
        <w:pageBreakBefore w:val="0"/>
        <w:spacing w:line="440" w:lineRule="exact"/>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szCs w:val="24"/>
          <w:highlight w:val="none"/>
          <w:lang w:val="en-US" w:eastAsia="zh-CN" w:bidi="ar-SA"/>
        </w:rPr>
        <w:t xml:space="preserve">1、</w:t>
      </w:r>
      <w:r>
        <w:rPr>
          <w:rFonts w:hint="eastAsia" w:ascii="宋体" w:hAnsi="宋体" w:eastAsia="宋体" w:cs="宋体"/>
          <w:b/>
          <w:bCs/>
          <w:color w:val="000000"/>
          <w:sz w:val="24"/>
          <w:highlight w:val="none"/>
          <w:lang w:eastAsia="zh-CN"/>
        </w:rPr>
        <w:t xml:space="preserve">项目概况</w:t>
      </w:r>
      <w:r>
        <w:rPr>
          <w:rFonts w:hint="eastAsia" w:ascii="宋体" w:hAnsi="宋体" w:eastAsia="宋体" w:cs="宋体"/>
          <w:b/>
          <w:bCs/>
          <w:color w:val="000000"/>
          <w:sz w:val="24"/>
          <w:highlight w:val="none"/>
          <w:lang w:eastAsia="zh-CN"/>
        </w:rPr>
      </w:r>
      <w:r/>
    </w:p>
    <w:p>
      <w:pPr>
        <w:pStyle w:val="1064"/>
        <w:ind w:firstLine="480"/>
        <w:spacing w:line="440" w:lineRule="exact"/>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工业园内目前共有企业</w:t>
      </w:r>
      <w:r>
        <w:rPr>
          <w:rFonts w:ascii="Times New Roman" w:hAnsi="Times New Roman" w:eastAsia="宋体" w:cs="Times New Roman"/>
          <w:color w:val="000000"/>
          <w:sz w:val="24"/>
          <w:szCs w:val="20"/>
          <w:highlight w:val="none"/>
        </w:rPr>
        <w:t xml:space="preserve"> 34 </w:t>
      </w:r>
      <w:r>
        <w:rPr>
          <w:rFonts w:hint="eastAsia" w:ascii="Times New Roman" w:hAnsi="Times New Roman" w:eastAsia="宋体" w:cs="Times New Roman"/>
          <w:color w:val="000000"/>
          <w:sz w:val="24"/>
          <w:szCs w:val="20"/>
          <w:highlight w:val="none"/>
        </w:rPr>
        <w:t xml:space="preserve">家，包括无锡鑫明表面处理有限公司、无锡天杨电子有限公司、无锡嘉运表面处理有限公司、无锡鸿运电镀有限公司、无锡福荣表面处理有限公司和无锡普瑞嘉金属表面处理有限公司等</w:t>
      </w:r>
      <w:r>
        <w:rPr>
          <w:rFonts w:ascii="Times New Roman" w:hAnsi="Times New Roman" w:eastAsia="宋体" w:cs="Times New Roman"/>
          <w:color w:val="000000"/>
          <w:sz w:val="24"/>
          <w:szCs w:val="20"/>
          <w:highlight w:val="none"/>
        </w:rPr>
        <w:t xml:space="preserve">34</w:t>
      </w:r>
      <w:r>
        <w:rPr>
          <w:rFonts w:hint="eastAsia" w:ascii="Times New Roman" w:hAnsi="Times New Roman" w:eastAsia="宋体" w:cs="Times New Roman"/>
          <w:color w:val="000000"/>
          <w:sz w:val="24"/>
          <w:szCs w:val="20"/>
          <w:highlight w:val="none"/>
        </w:rPr>
        <w:t xml:space="preserve">家企业。全部为金属表面加工企业，主要从事电镀生产活动，均属于土壤重点监管企业。</w:t>
      </w:r>
      <w:r>
        <w:rPr>
          <w:rFonts w:hint="eastAsia" w:ascii="宋体" w:hAnsi="宋体" w:eastAsia="宋体" w:cs="宋体"/>
          <w:b w:val="0"/>
          <w:bCs w:val="0"/>
          <w:color w:val="000000"/>
          <w:sz w:val="24"/>
          <w:highlight w:val="none"/>
        </w:rPr>
        <w:t xml:space="preserve">根据《无锡市惠山区洛社镇总体规划（2015-2030）》，该地块规划用作M1一类工业用地和M2二类工业用地。</w:t>
      </w:r>
      <w:r>
        <w:rPr>
          <w:rFonts w:hint="eastAsia"/>
          <w:color w:val="000000"/>
          <w:sz w:val="24"/>
          <w:szCs w:val="20"/>
          <w:highlight w:val="none"/>
        </w:rPr>
        <w:t xml:space="preserve">前期调查发现，工业园区内存在土壤和地下水污染，需进一步开展污染调查、风险评估和</w:t>
      </w:r>
      <w:r>
        <w:rPr>
          <w:color w:val="000000"/>
          <w:sz w:val="24"/>
          <w:highlight w:val="none"/>
        </w:rPr>
        <w:t xml:space="preserve">污染风险管控方案编制</w:t>
      </w:r>
      <w:r>
        <w:rPr>
          <w:rFonts w:hint="eastAsia"/>
          <w:color w:val="000000"/>
          <w:sz w:val="24"/>
          <w:szCs w:val="20"/>
          <w:highlight w:val="none"/>
        </w:rPr>
        <w:t xml:space="preserve">工作，为地块的开发利用提供数据支撑和科学依据，并按相关要求报送至生态环境管理部门</w:t>
      </w:r>
      <w:r>
        <w:rPr>
          <w:rFonts w:hint="eastAsia" w:ascii="Times New Roman" w:hAnsi="Times New Roman" w:eastAsia="宋体" w:cs="Times New Roman"/>
          <w:color w:val="000000"/>
          <w:sz w:val="24"/>
          <w:szCs w:val="20"/>
          <w:highlight w:val="none"/>
        </w:rPr>
        <w:t xml:space="preserve">。</w:t>
      </w:r>
      <w:r>
        <w:rPr>
          <w:rFonts w:ascii="Times New Roman" w:hAnsi="Times New Roman" w:eastAsia="宋体" w:cs="Times New Roman"/>
          <w:color w:val="000000"/>
          <w:sz w:val="24"/>
          <w:szCs w:val="20"/>
          <w:highlight w:val="none"/>
        </w:rPr>
      </w:r>
      <w:r/>
    </w:p>
    <w:p>
      <w:pPr>
        <w:pStyle w:val="1064"/>
        <w:numPr>
          <w:ilvl w:val="0"/>
          <w:numId w:val="0"/>
        </w:numPr>
        <w:ind w:firstLine="482"/>
        <w:keepLines w:val="0"/>
        <w:keepNext w:val="0"/>
        <w:pageBreakBefore w:val="0"/>
        <w:spacing w:line="460" w:lineRule="exact"/>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2、调查范围：</w:t>
      </w:r>
      <w:r>
        <w:rPr>
          <w:rFonts w:hint="eastAsia" w:ascii="宋体" w:hAnsi="宋体" w:eastAsia="宋体" w:cs="宋体"/>
          <w:b/>
          <w:bCs/>
          <w:color w:val="000000"/>
          <w:sz w:val="24"/>
          <w:highlight w:val="none"/>
          <w:lang w:eastAsia="zh-CN"/>
        </w:rPr>
      </w:r>
      <w:r/>
    </w:p>
    <w:p>
      <w:pPr>
        <w:pStyle w:val="1064"/>
        <w:ind w:firstLine="420"/>
        <w:keepLines w:val="0"/>
        <w:keepNext w:val="0"/>
        <w:pageBreakBefore w:val="0"/>
        <w:spacing w:line="460" w:lineRule="exact"/>
        <w:tabs>
          <w:tab w:val="left" w:pos="945" w:leader="none"/>
        </w:tabs>
        <w:rPr>
          <w:rFonts w:ascii="Times New Roman" w:hAnsi="Times New Roman" w:eastAsia="宋体" w:cs="Times New Roman"/>
          <w:color w:val="000000"/>
          <w:highlight w:val="none"/>
        </w:rPr>
        <w:outlineLvl w:val="0"/>
      </w:pPr>
      <w:r>
        <w:rPr>
          <w:rFonts w:ascii="Times New Roman" w:hAnsi="Times New Roman" w:eastAsia="宋体"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623570</wp:posOffset>
                </wp:positionH>
                <wp:positionV relativeFrom="paragraph">
                  <wp:posOffset>8890</wp:posOffset>
                </wp:positionV>
                <wp:extent cx="4780915" cy="1758950"/>
                <wp:effectExtent l="0" t="0" r="0" b="0"/>
                <wp:wrapSquare wrapText="bothSides"/>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4780915" cy="1758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6;o:allowoverlap:true;o:allowincell:true;mso-position-horizontal-relative:text;margin-left:49.1pt;mso-position-horizontal:absolute;mso-position-vertical-relative:text;margin-top:0.7pt;mso-position-vertical:absolute;width:376.4pt;height:138.5pt;mso-wrap-distance-left:9.0pt;mso-wrap-distance-top:0.0pt;mso-wrap-distance-right:9.0pt;mso-wrap-distance-bottom:0.0pt;" stroked="f">
                <v:path textboxrect="0,0,0,0"/>
                <w10:wrap type="square"/>
                <v:imagedata r:id="rId20" o:title=""/>
              </v:shape>
            </w:pict>
          </mc:Fallback>
        </mc:AlternateContent>
      </w:r>
      <w:r>
        <w:rPr>
          <w:rFonts w:ascii="Times New Roman" w:hAnsi="Times New Roman" w:eastAsia="宋体" w:cs="Times New Roman"/>
          <w:color w:val="000000"/>
          <w:highlight w:val="none"/>
        </w:rPr>
      </w:r>
      <w:r/>
    </w:p>
    <w:p>
      <w:pPr>
        <w:pStyle w:val="1064"/>
        <w:ind w:firstLine="420"/>
        <w:keepLines w:val="0"/>
        <w:keepNext w:val="0"/>
        <w:pageBreakBefore w:val="0"/>
        <w:spacing w:line="460" w:lineRule="exact"/>
        <w:tabs>
          <w:tab w:val="left" w:pos="945" w:leader="none"/>
        </w:tabs>
        <w:rPr>
          <w:rFonts w:ascii="Times New Roman" w:hAnsi="Times New Roman" w:eastAsia="宋体" w:cs="Times New Roman"/>
          <w:color w:val="000000"/>
          <w:highlight w:val="none"/>
        </w:rPr>
        <w:outlineLvl w:val="0"/>
      </w:pPr>
      <w:r>
        <w:rPr>
          <w:rFonts w:ascii="Times New Roman" w:hAnsi="Times New Roman" w:eastAsia="宋体" w:cs="Times New Roman"/>
          <w:color w:val="000000"/>
          <w:highlight w:val="none"/>
        </w:rPr>
      </w:r>
      <w:r/>
    </w:p>
    <w:p>
      <w:pPr>
        <w:pStyle w:val="1064"/>
        <w:ind w:firstLine="420"/>
        <w:keepLines w:val="0"/>
        <w:keepNext w:val="0"/>
        <w:pageBreakBefore w:val="0"/>
        <w:spacing w:line="460" w:lineRule="exact"/>
        <w:tabs>
          <w:tab w:val="left" w:pos="945" w:leader="none"/>
        </w:tabs>
        <w:rPr>
          <w:rFonts w:ascii="Times New Roman" w:hAnsi="Times New Roman" w:eastAsia="宋体" w:cs="Times New Roman"/>
          <w:color w:val="000000"/>
          <w:highlight w:val="none"/>
        </w:rPr>
        <w:outlineLvl w:val="0"/>
      </w:pPr>
      <w:r>
        <w:rPr>
          <w:rFonts w:ascii="Times New Roman" w:hAnsi="Times New Roman" w:eastAsia="宋体" w:cs="Times New Roman"/>
          <w:color w:val="000000"/>
          <w:highlight w:val="none"/>
        </w:rPr>
      </w:r>
      <w:r/>
    </w:p>
    <w:p>
      <w:pPr>
        <w:pStyle w:val="1064"/>
        <w:ind w:firstLine="420"/>
        <w:keepLines w:val="0"/>
        <w:keepNext w:val="0"/>
        <w:pageBreakBefore w:val="0"/>
        <w:spacing w:line="460" w:lineRule="exact"/>
        <w:tabs>
          <w:tab w:val="left" w:pos="945" w:leader="none"/>
        </w:tabs>
        <w:rPr>
          <w:rFonts w:ascii="Times New Roman" w:hAnsi="Times New Roman" w:eastAsia="宋体" w:cs="Times New Roman"/>
          <w:color w:val="000000"/>
          <w:highlight w:val="none"/>
        </w:rPr>
        <w:outlineLvl w:val="0"/>
      </w:pPr>
      <w:r>
        <w:rPr>
          <w:rFonts w:ascii="Times New Roman" w:hAnsi="Times New Roman" w:eastAsia="宋体" w:cs="Times New Roman"/>
          <w:color w:val="000000"/>
          <w:highlight w:val="none"/>
        </w:rPr>
      </w:r>
      <w:r/>
    </w:p>
    <w:p>
      <w:pPr>
        <w:pStyle w:val="1064"/>
        <w:keepLines w:val="0"/>
        <w:keepNext w:val="0"/>
        <w:pageBreakBefore w:val="0"/>
        <w:spacing w:line="460" w:lineRule="exact"/>
        <w:tabs>
          <w:tab w:val="left" w:pos="945" w:leader="none"/>
        </w:tabs>
        <w:rPr>
          <w:rFonts w:ascii="Times New Roman" w:hAnsi="Times New Roman" w:eastAsia="宋体" w:cs="Times New Roman"/>
          <w:color w:val="000000"/>
          <w:highlight w:val="none"/>
        </w:rPr>
        <w:outlineLvl w:val="0"/>
      </w:pPr>
      <w:r>
        <w:rPr>
          <w:rFonts w:ascii="Times New Roman" w:hAnsi="Times New Roman" w:eastAsia="宋体" w:cs="Times New Roman"/>
          <w:color w:val="000000"/>
          <w:highlight w:val="none"/>
        </w:rPr>
      </w:r>
      <w:r/>
    </w:p>
    <w:p>
      <w:pPr>
        <w:pStyle w:val="1064"/>
        <w:ind w:firstLine="420"/>
        <w:keepLines w:val="0"/>
        <w:keepNext w:val="0"/>
        <w:pageBreakBefore w:val="0"/>
        <w:spacing w:line="460" w:lineRule="exact"/>
        <w:tabs>
          <w:tab w:val="left" w:pos="945" w:leader="none"/>
        </w:tabs>
        <w:rPr>
          <w:rFonts w:ascii="Times New Roman" w:hAnsi="Times New Roman" w:eastAsia="宋体" w:cs="Times New Roman"/>
          <w:color w:val="000000"/>
          <w:highlight w:val="none"/>
        </w:rPr>
        <w:outlineLvl w:val="0"/>
      </w:pPr>
      <w:r>
        <w:rPr>
          <w:rFonts w:ascii="Times New Roman" w:hAnsi="Times New Roman" w:eastAsia="宋体" w:cs="Times New Roman"/>
          <w:color w:val="000000"/>
          <w:highlight w:val="none"/>
        </w:rPr>
      </w:r>
      <w:r/>
    </w:p>
    <w:p>
      <w:pPr>
        <w:pStyle w:val="1064"/>
        <w:ind w:left="479" w:firstLine="0"/>
        <w:keepLines w:val="0"/>
        <w:keepNext w:val="0"/>
        <w:pageBreakBefore w:val="0"/>
        <w:spacing w:line="460" w:lineRule="exact"/>
        <w:tabs>
          <w:tab w:val="left" w:pos="945" w:leader="none"/>
        </w:tabs>
        <w:rPr>
          <w:rFonts w:ascii="宋体" w:hAnsi="宋体" w:eastAsia="宋体" w:cs="宋体"/>
          <w:b/>
          <w:bCs w:val="0"/>
          <w:color w:val="000000"/>
          <w:sz w:val="24"/>
          <w:highlight w:val="none"/>
          <w:lang w:val="en-US" w:eastAsia="zh-CN"/>
        </w:rPr>
        <w:outlineLvl w:val="0"/>
      </w:pPr>
      <w:r>
        <w:rPr>
          <w:rFonts w:hint="eastAsia" w:ascii="宋体" w:hAnsi="宋体" w:eastAsia="宋体" w:cs="宋体"/>
          <w:b/>
          <w:bCs w:val="0"/>
          <w:color w:val="000000"/>
          <w:sz w:val="24"/>
          <w:highlight w:val="none"/>
          <w:lang w:val="en-US" w:eastAsia="zh-CN"/>
        </w:rPr>
        <w:t xml:space="preserve">3、工作要求：</w:t>
      </w:r>
      <w:r>
        <w:rPr>
          <w:rFonts w:ascii="宋体" w:hAnsi="宋体" w:eastAsia="宋体" w:cs="宋体"/>
          <w:b/>
          <w:bCs w:val="0"/>
          <w:color w:val="000000"/>
          <w:sz w:val="24"/>
          <w:highlight w:val="none"/>
          <w:lang w:val="en-US" w:eastAsia="zh-CN"/>
        </w:rPr>
      </w:r>
      <w:r/>
    </w:p>
    <w:p>
      <w:pPr>
        <w:pStyle w:val="1064"/>
        <w:ind w:firstLine="482"/>
        <w:spacing w:line="440" w:lineRule="exact"/>
        <w:rPr>
          <w:rFonts w:ascii="Times New Roman" w:hAnsi="Times New Roman" w:eastAsia="宋体" w:cs="Times New Roman"/>
          <w:b/>
          <w:bCs/>
          <w:color w:val="000000"/>
          <w:sz w:val="24"/>
          <w:szCs w:val="20"/>
          <w:highlight w:val="none"/>
        </w:rPr>
      </w:pPr>
      <w:r>
        <w:rPr>
          <w:rFonts w:ascii="Times New Roman" w:hAnsi="Times New Roman" w:eastAsia="宋体" w:cs="Times New Roman"/>
          <w:b/>
          <w:bCs/>
          <w:color w:val="000000"/>
          <w:sz w:val="24"/>
          <w:szCs w:val="20"/>
          <w:highlight w:val="none"/>
        </w:rPr>
        <w:t xml:space="preserve">3.1</w:t>
      </w:r>
      <w:r>
        <w:rPr>
          <w:rFonts w:hint="eastAsia" w:ascii="Times New Roman" w:hAnsi="Times New Roman" w:eastAsia="宋体" w:cs="Times New Roman"/>
          <w:b/>
          <w:bCs/>
          <w:color w:val="000000"/>
          <w:sz w:val="24"/>
          <w:szCs w:val="20"/>
          <w:highlight w:val="none"/>
        </w:rPr>
        <w:t xml:space="preserve">土壤污染状况调查要求</w:t>
      </w:r>
      <w:r>
        <w:rPr>
          <w:rFonts w:ascii="Times New Roman" w:hAnsi="Times New Roman" w:eastAsia="宋体" w:cs="Times New Roman"/>
          <w:b/>
          <w:bCs/>
          <w:color w:val="000000"/>
          <w:sz w:val="24"/>
          <w:szCs w:val="20"/>
          <w:highlight w:val="none"/>
        </w:rPr>
      </w:r>
      <w:r/>
    </w:p>
    <w:p>
      <w:pPr>
        <w:pStyle w:val="1064"/>
        <w:ind w:firstLine="480"/>
        <w:spacing w:line="440" w:lineRule="exact"/>
        <w:rPr>
          <w:rFonts w:ascii="Times New Roman" w:hAnsi="Times New Roman" w:eastAsia="宋体" w:cs="Times New Roman"/>
          <w:b/>
          <w:bCs/>
          <w:color w:val="000000"/>
          <w:sz w:val="24"/>
          <w:szCs w:val="20"/>
          <w:highlight w:val="none"/>
        </w:rPr>
      </w:pPr>
      <w:r>
        <w:rPr>
          <w:rFonts w:hint="eastAsia" w:ascii="Times New Roman" w:hAnsi="Times New Roman" w:eastAsia="宋体" w:cs="Times New Roman"/>
          <w:bCs/>
          <w:color w:val="000000"/>
          <w:sz w:val="24"/>
          <w:szCs w:val="20"/>
          <w:highlight w:val="none"/>
        </w:rPr>
        <w:t xml:space="preserve">本次工作主要根据</w:t>
      </w:r>
      <w:r>
        <w:rPr>
          <w:rFonts w:hint="eastAsia" w:ascii="Times New Roman" w:hAnsi="Times New Roman" w:eastAsia="宋体" w:cs="Times New Roman"/>
          <w:bCs/>
          <w:color w:val="000000"/>
          <w:sz w:val="24"/>
          <w:szCs w:val="20"/>
          <w:highlight w:val="none"/>
          <w:lang w:eastAsia="zh-CN"/>
        </w:rPr>
        <w:t xml:space="preserve">生态环境部</w:t>
      </w:r>
      <w:r>
        <w:rPr>
          <w:rFonts w:hint="eastAsia" w:ascii="Times New Roman" w:hAnsi="Times New Roman" w:eastAsia="宋体" w:cs="Times New Roman"/>
          <w:bCs/>
          <w:color w:val="000000"/>
          <w:sz w:val="24"/>
          <w:szCs w:val="20"/>
          <w:highlight w:val="none"/>
        </w:rPr>
        <w:t xml:space="preserve">《建设用地土壤污染状况调查技术导则》（</w:t>
      </w:r>
      <w:r>
        <w:rPr>
          <w:rFonts w:ascii="Times New Roman" w:hAnsi="Times New Roman" w:eastAsia="宋体" w:cs="Times New Roman"/>
          <w:bCs/>
          <w:color w:val="000000"/>
          <w:sz w:val="24"/>
          <w:szCs w:val="20"/>
          <w:highlight w:val="none"/>
        </w:rPr>
        <w:t xml:space="preserve">HJ 25.1-2019）、《建设用地土壤污染风险管控和修复监测技术导则》（HJ 25.2-2019）、《建设用地土壤污染风险评估技术导则》（HJ 25.3-2019）</w:t>
      </w:r>
      <w:r>
        <w:rPr>
          <w:rFonts w:hint="eastAsia" w:ascii="Times New Roman" w:hAnsi="Times New Roman" w:eastAsia="宋体" w:cs="Times New Roman"/>
          <w:bCs/>
          <w:color w:val="000000"/>
          <w:sz w:val="24"/>
          <w:szCs w:val="20"/>
          <w:highlight w:val="none"/>
        </w:rPr>
        <w:t xml:space="preserve">、《建设用地土壤修复技术导则》</w:t>
      </w:r>
      <w:r>
        <w:rPr>
          <w:rFonts w:hint="eastAsia" w:ascii="Times New Roman" w:hAnsi="Times New Roman" w:eastAsia="宋体" w:cs="Times New Roman"/>
          <w:bCs/>
          <w:color w:val="000000"/>
          <w:sz w:val="24"/>
          <w:szCs w:val="20"/>
          <w:highlight w:val="none"/>
          <w:lang w:eastAsia="zh-CN"/>
        </w:rPr>
        <w:t xml:space="preserve">（</w:t>
      </w:r>
      <w:r>
        <w:rPr>
          <w:rFonts w:ascii="Times New Roman" w:hAnsi="Times New Roman" w:eastAsia="宋体" w:cs="Times New Roman"/>
          <w:bCs/>
          <w:color w:val="000000"/>
          <w:sz w:val="24"/>
          <w:szCs w:val="20"/>
          <w:highlight w:val="none"/>
        </w:rPr>
        <w:t xml:space="preserve">HJ25.4-2019</w:t>
      </w:r>
      <w:r>
        <w:rPr>
          <w:rFonts w:hint="eastAsia" w:ascii="Times New Roman" w:hAnsi="Times New Roman" w:eastAsia="宋体" w:cs="Times New Roman"/>
          <w:bCs/>
          <w:color w:val="000000"/>
          <w:sz w:val="24"/>
          <w:szCs w:val="20"/>
          <w:highlight w:val="none"/>
          <w:lang w:eastAsia="zh-CN"/>
        </w:rPr>
        <w:t xml:space="preserve">）</w:t>
      </w:r>
      <w:r>
        <w:rPr>
          <w:rFonts w:hint="eastAsia" w:ascii="Times New Roman" w:hAnsi="Times New Roman" w:eastAsia="宋体" w:cs="Times New Roman"/>
          <w:bCs/>
          <w:color w:val="000000"/>
          <w:sz w:val="24"/>
          <w:szCs w:val="20"/>
          <w:highlight w:val="none"/>
        </w:rPr>
        <w:t xml:space="preserve">、《建设用地土壤环境调查评估技术指南》（原环境保护部，公告</w:t>
      </w:r>
      <w:r>
        <w:rPr>
          <w:rFonts w:ascii="Times New Roman" w:hAnsi="Times New Roman" w:eastAsia="宋体" w:cs="Times New Roman"/>
          <w:bCs/>
          <w:color w:val="000000"/>
          <w:sz w:val="24"/>
          <w:szCs w:val="20"/>
          <w:highlight w:val="none"/>
        </w:rPr>
        <w:t xml:space="preserve">2017年 </w:t>
      </w:r>
      <w:r>
        <w:rPr>
          <w:rFonts w:hint="eastAsia" w:ascii="Times New Roman" w:hAnsi="Times New Roman" w:eastAsia="宋体" w:cs="Times New Roman"/>
          <w:bCs/>
          <w:color w:val="000000"/>
          <w:sz w:val="24"/>
          <w:szCs w:val="20"/>
          <w:highlight w:val="none"/>
        </w:rPr>
        <w:t xml:space="preserve">第</w:t>
      </w:r>
      <w:r>
        <w:rPr>
          <w:rFonts w:ascii="Times New Roman" w:hAnsi="Times New Roman" w:eastAsia="宋体" w:cs="Times New Roman"/>
          <w:bCs/>
          <w:color w:val="000000"/>
          <w:sz w:val="24"/>
          <w:szCs w:val="20"/>
          <w:highlight w:val="none"/>
        </w:rPr>
        <w:t xml:space="preserve">72号）</w:t>
      </w:r>
      <w:r>
        <w:rPr>
          <w:rFonts w:hint="eastAsia" w:ascii="Times New Roman" w:hAnsi="Times New Roman" w:eastAsia="宋体" w:cs="Times New Roman"/>
          <w:bCs/>
          <w:color w:val="000000"/>
          <w:sz w:val="24"/>
          <w:szCs w:val="20"/>
          <w:highlight w:val="none"/>
        </w:rPr>
        <w:t xml:space="preserve">、《</w:t>
      </w:r>
      <w:r>
        <w:rPr>
          <w:rFonts w:ascii="Times New Roman" w:hAnsi="Times New Roman" w:eastAsia="宋体" w:cs="Times New Roman"/>
          <w:color w:val="000000"/>
          <w:sz w:val="24"/>
          <w:szCs w:val="24"/>
          <w:highlight w:val="none"/>
          <w:lang w:bidi="ar"/>
        </w:rPr>
        <w:t xml:space="preserve">地下水环境监测技术规范》</w:t>
      </w:r>
      <w:r>
        <w:rPr>
          <w:rFonts w:hint="eastAsia" w:ascii="Times New Roman" w:hAnsi="Times New Roman" w:eastAsia="宋体" w:cs="Times New Roman"/>
          <w:color w:val="000000"/>
          <w:sz w:val="24"/>
          <w:szCs w:val="24"/>
          <w:highlight w:val="none"/>
          <w:lang w:eastAsia="zh-CN" w:bidi="ar"/>
        </w:rPr>
        <w:t xml:space="preserve">（</w:t>
      </w:r>
      <w:r>
        <w:rPr>
          <w:rFonts w:ascii="Times New Roman" w:hAnsi="Times New Roman" w:eastAsia="宋体" w:cs="Times New Roman"/>
          <w:color w:val="000000"/>
          <w:sz w:val="24"/>
          <w:szCs w:val="24"/>
          <w:highlight w:val="none"/>
          <w:lang w:bidi="ar"/>
        </w:rPr>
        <w:t xml:space="preserve">HJ 164-2020</w:t>
      </w:r>
      <w:r>
        <w:rPr>
          <w:rFonts w:hint="eastAsia" w:ascii="Times New Roman" w:hAnsi="Times New Roman" w:eastAsia="宋体" w:cs="Times New Roman"/>
          <w:color w:val="000000"/>
          <w:sz w:val="24"/>
          <w:szCs w:val="24"/>
          <w:highlight w:val="none"/>
          <w:lang w:eastAsia="zh-CN" w:bidi="ar"/>
        </w:rPr>
        <w:t xml:space="preserve">）</w:t>
      </w:r>
      <w:r>
        <w:rPr>
          <w:rFonts w:ascii="Times New Roman" w:hAnsi="Times New Roman" w:eastAsia="宋体" w:cs="Times New Roman"/>
          <w:color w:val="000000"/>
          <w:sz w:val="24"/>
          <w:szCs w:val="24"/>
          <w:highlight w:val="none"/>
          <w:lang w:bidi="ar"/>
        </w:rPr>
        <w:t xml:space="preserve">、《环境影响评价技术导则-地下水环境》（HJ610-2016）</w:t>
      </w:r>
      <w:r>
        <w:rPr>
          <w:rFonts w:hint="eastAsia" w:ascii="Times New Roman" w:hAnsi="Times New Roman" w:eastAsia="宋体" w:cs="Times New Roman"/>
          <w:color w:val="000000"/>
          <w:sz w:val="24"/>
          <w:szCs w:val="24"/>
          <w:highlight w:val="none"/>
          <w:lang w:bidi="ar"/>
        </w:rPr>
        <w:t xml:space="preserve">等技术文件</w:t>
      </w:r>
      <w:r>
        <w:rPr>
          <w:rFonts w:hint="eastAsia" w:ascii="Times New Roman" w:hAnsi="Times New Roman" w:eastAsia="宋体" w:cs="Times New Roman"/>
          <w:bCs/>
          <w:color w:val="000000"/>
          <w:sz w:val="24"/>
          <w:szCs w:val="20"/>
          <w:highlight w:val="none"/>
        </w:rPr>
        <w:t xml:space="preserve">，并结合</w:t>
      </w:r>
      <w:r>
        <w:rPr>
          <w:rFonts w:ascii="Times New Roman" w:hAnsi="Times New Roman" w:eastAsia="宋体" w:cs="Times New Roman"/>
          <w:color w:val="000000"/>
          <w:sz w:val="24"/>
          <w:szCs w:val="20"/>
          <w:highlight w:val="none"/>
        </w:rPr>
        <w:t xml:space="preserve">无锡金属表面处理科技工业园</w:t>
      </w:r>
      <w:r>
        <w:rPr>
          <w:rFonts w:hint="eastAsia" w:ascii="Times New Roman" w:hAnsi="Times New Roman" w:eastAsia="宋体" w:cs="Times New Roman"/>
          <w:bCs/>
          <w:color w:val="000000"/>
          <w:sz w:val="24"/>
          <w:szCs w:val="20"/>
          <w:highlight w:val="none"/>
        </w:rPr>
        <w:t xml:space="preserve">土壤地下水污染状况调查相关经验和地块的实际情况，开展本次调查工作。</w:t>
      </w:r>
      <w:r>
        <w:rPr>
          <w:rFonts w:ascii="Times New Roman" w:hAnsi="Times New Roman" w:eastAsia="宋体" w:cs="Times New Roman"/>
          <w:b/>
          <w:bCs/>
          <w:color w:val="000000"/>
          <w:sz w:val="24"/>
          <w:szCs w:val="20"/>
          <w:highlight w:val="none"/>
        </w:rPr>
      </w:r>
      <w:r/>
    </w:p>
    <w:p>
      <w:pPr>
        <w:pStyle w:val="1064"/>
        <w:ind w:firstLine="480"/>
        <w:spacing w:line="440" w:lineRule="exact"/>
        <w:rPr>
          <w:rFonts w:ascii="Times New Roman" w:hAnsi="Times New Roman" w:eastAsia="宋体" w:cs="Times New Roman"/>
          <w:bCs/>
          <w:color w:val="000000"/>
          <w:sz w:val="24"/>
          <w:szCs w:val="20"/>
          <w:highlight w:val="none"/>
        </w:rPr>
      </w:pPr>
      <w:r>
        <w:rPr>
          <w:rFonts w:hint="eastAsia"/>
          <w:bCs/>
          <w:color w:val="000000"/>
          <w:sz w:val="24"/>
          <w:szCs w:val="20"/>
          <w:highlight w:val="none"/>
        </w:rPr>
        <w:t xml:space="preserve">基于所收集资料，分析调查地块建设资料和地块历史变迁过程，结合地块所在区域的水文地质等相关资料初步判断地块可能的污染类型及其分布，</w:t>
      </w:r>
      <w:r>
        <w:rPr>
          <w:bCs/>
          <w:color w:val="000000"/>
          <w:sz w:val="24"/>
          <w:szCs w:val="20"/>
          <w:highlight w:val="none"/>
        </w:rPr>
        <w:t xml:space="preserve">制定</w:t>
      </w:r>
      <w:r>
        <w:rPr>
          <w:rFonts w:hint="eastAsia"/>
          <w:bCs/>
          <w:color w:val="000000"/>
          <w:sz w:val="24"/>
          <w:szCs w:val="20"/>
          <w:highlight w:val="none"/>
        </w:rPr>
        <w:t xml:space="preserve">工作</w:t>
      </w:r>
      <w:r>
        <w:rPr>
          <w:bCs/>
          <w:color w:val="000000"/>
          <w:sz w:val="24"/>
          <w:szCs w:val="20"/>
          <w:highlight w:val="none"/>
        </w:rPr>
        <w:t xml:space="preserve">方案</w:t>
      </w:r>
      <w:r>
        <w:rPr>
          <w:rFonts w:hint="eastAsia"/>
          <w:bCs/>
          <w:color w:val="000000"/>
          <w:sz w:val="24"/>
          <w:szCs w:val="20"/>
          <w:highlight w:val="none"/>
        </w:rPr>
        <w:t xml:space="preserve">，并进行相应的土壤地下水取样测试</w:t>
      </w:r>
      <w:r>
        <w:rPr>
          <w:bCs/>
          <w:color w:val="000000"/>
          <w:sz w:val="24"/>
          <w:szCs w:val="20"/>
          <w:highlight w:val="none"/>
        </w:rPr>
        <w:t xml:space="preserve">，</w:t>
      </w:r>
      <w:r>
        <w:rPr>
          <w:rFonts w:hint="eastAsia"/>
          <w:bCs/>
          <w:color w:val="000000"/>
          <w:sz w:val="24"/>
          <w:szCs w:val="20"/>
          <w:highlight w:val="none"/>
        </w:rPr>
        <w:t xml:space="preserve">以及</w:t>
      </w:r>
      <w:r>
        <w:rPr>
          <w:bCs/>
          <w:color w:val="000000"/>
          <w:sz w:val="24"/>
          <w:szCs w:val="20"/>
          <w:highlight w:val="none"/>
        </w:rPr>
        <w:t xml:space="preserve">水文地质勘察包括</w:t>
      </w:r>
      <w:r>
        <w:rPr>
          <w:rFonts w:hint="eastAsia"/>
          <w:bCs/>
          <w:color w:val="000000"/>
          <w:sz w:val="24"/>
          <w:szCs w:val="20"/>
          <w:highlight w:val="none"/>
        </w:rPr>
        <w:t xml:space="preserve">但不限于</w:t>
      </w:r>
      <w:r>
        <w:rPr>
          <w:bCs/>
          <w:color w:val="000000"/>
          <w:sz w:val="24"/>
          <w:szCs w:val="20"/>
          <w:highlight w:val="none"/>
        </w:rPr>
        <w:t xml:space="preserve">土工试验、抽水试验</w:t>
      </w:r>
      <w:r>
        <w:rPr>
          <w:rFonts w:hint="eastAsia"/>
          <w:bCs/>
          <w:color w:val="000000"/>
          <w:sz w:val="24"/>
          <w:szCs w:val="20"/>
          <w:highlight w:val="none"/>
        </w:rPr>
        <w:t xml:space="preserve">。通过土壤和地下水监测等手段，判断地块土壤地下水受污染程度和范围</w:t>
      </w:r>
      <w:r>
        <w:rPr>
          <w:rFonts w:hint="eastAsia" w:ascii="Times New Roman" w:hAnsi="Times New Roman" w:eastAsia="宋体" w:cs="Times New Roman"/>
          <w:bCs/>
          <w:color w:val="000000"/>
          <w:sz w:val="24"/>
          <w:szCs w:val="20"/>
          <w:highlight w:val="none"/>
        </w:rPr>
        <w:t xml:space="preserve">。</w:t>
      </w:r>
      <w:r>
        <w:rPr>
          <w:rFonts w:ascii="Times New Roman" w:hAnsi="Times New Roman" w:eastAsia="宋体" w:cs="Times New Roman"/>
          <w:bCs/>
          <w:color w:val="000000"/>
          <w:sz w:val="24"/>
          <w:szCs w:val="20"/>
          <w:highlight w:val="none"/>
        </w:rPr>
      </w:r>
      <w:r/>
    </w:p>
    <w:p>
      <w:pPr>
        <w:pStyle w:val="1064"/>
        <w:ind w:firstLine="482"/>
        <w:spacing w:line="440" w:lineRule="exact"/>
        <w:rPr>
          <w:rFonts w:ascii="Times New Roman" w:hAnsi="Times New Roman" w:eastAsia="宋体" w:cs="Times New Roman"/>
          <w:b/>
          <w:bCs/>
          <w:color w:val="000000"/>
          <w:sz w:val="24"/>
          <w:szCs w:val="20"/>
          <w:highlight w:val="none"/>
        </w:rPr>
      </w:pPr>
      <w:r>
        <w:rPr>
          <w:rFonts w:ascii="Times New Roman" w:hAnsi="Times New Roman" w:eastAsia="宋体" w:cs="Times New Roman"/>
          <w:b/>
          <w:bCs/>
          <w:color w:val="000000"/>
          <w:sz w:val="24"/>
          <w:szCs w:val="20"/>
          <w:highlight w:val="none"/>
        </w:rPr>
        <w:t xml:space="preserve">3.</w:t>
      </w:r>
      <w:r>
        <w:rPr>
          <w:rFonts w:hint="eastAsia" w:ascii="Times New Roman" w:hAnsi="Times New Roman" w:eastAsia="宋体" w:cs="Times New Roman"/>
          <w:b/>
          <w:bCs/>
          <w:color w:val="000000"/>
          <w:sz w:val="24"/>
          <w:szCs w:val="20"/>
          <w:highlight w:val="none"/>
        </w:rPr>
        <w:t xml:space="preserve">2</w:t>
      </w:r>
      <w:r>
        <w:rPr>
          <w:rFonts w:ascii="Times New Roman" w:hAnsi="Times New Roman" w:eastAsia="宋体" w:cs="Times New Roman"/>
          <w:b/>
          <w:bCs/>
          <w:color w:val="000000"/>
          <w:sz w:val="24"/>
          <w:szCs w:val="20"/>
          <w:highlight w:val="none"/>
        </w:rPr>
        <w:t xml:space="preserve"> </w:t>
      </w:r>
      <w:r>
        <w:rPr>
          <w:rFonts w:hint="eastAsia" w:ascii="Times New Roman" w:hAnsi="Times New Roman" w:eastAsia="宋体" w:cs="Times New Roman"/>
          <w:b/>
          <w:bCs/>
          <w:color w:val="000000"/>
          <w:sz w:val="24"/>
          <w:szCs w:val="20"/>
          <w:highlight w:val="none"/>
        </w:rPr>
        <w:t xml:space="preserve">风险评估要求</w:t>
      </w:r>
      <w:r>
        <w:rPr>
          <w:rFonts w:ascii="Times New Roman" w:hAnsi="Times New Roman" w:eastAsia="宋体" w:cs="Times New Roman"/>
          <w:b/>
          <w:bCs/>
          <w:color w:val="000000"/>
          <w:sz w:val="24"/>
          <w:szCs w:val="20"/>
          <w:highlight w:val="none"/>
        </w:rPr>
      </w:r>
      <w:r/>
    </w:p>
    <w:p>
      <w:pPr>
        <w:pStyle w:val="1064"/>
        <w:ind w:firstLine="480"/>
        <w:spacing w:line="440" w:lineRule="exact"/>
        <w:rPr>
          <w:rFonts w:ascii="Times New Roman" w:hAnsi="Times New Roman" w:eastAsia="宋体" w:cs="Times New Roman"/>
          <w:bCs/>
          <w:color w:val="000000"/>
          <w:sz w:val="24"/>
          <w:szCs w:val="20"/>
          <w:highlight w:val="none"/>
        </w:rPr>
      </w:pPr>
      <w:r>
        <w:rPr>
          <w:rFonts w:hint="eastAsia" w:ascii="Times New Roman" w:hAnsi="Times New Roman" w:eastAsia="宋体" w:cs="Times New Roman"/>
          <w:bCs/>
          <w:color w:val="000000"/>
          <w:sz w:val="24"/>
          <w:szCs w:val="20"/>
          <w:highlight w:val="none"/>
        </w:rPr>
        <w:t xml:space="preserve">依据《污染场地风险评估技术导则》（</w:t>
      </w:r>
      <w:r>
        <w:rPr>
          <w:rFonts w:ascii="Times New Roman" w:hAnsi="Times New Roman" w:eastAsia="宋体" w:cs="Times New Roman"/>
          <w:bCs/>
          <w:color w:val="000000"/>
          <w:sz w:val="24"/>
          <w:szCs w:val="20"/>
          <w:highlight w:val="none"/>
        </w:rPr>
        <w:t xml:space="preserve">HJ25.3）及《建设用地土壤环境调查评估技术指南》相关要求，建设用地土壤污染风险评估按照危害识别、暴露评估、毒性评估、风险表征和控制值计算五个步骤展开。由于需进行风险评估，</w:t>
      </w:r>
      <w:r>
        <w:rPr>
          <w:rFonts w:hint="eastAsia" w:ascii="Times New Roman" w:hAnsi="Times New Roman" w:eastAsia="宋体" w:cs="Times New Roman"/>
          <w:bCs/>
          <w:color w:val="000000"/>
          <w:sz w:val="24"/>
          <w:szCs w:val="20"/>
          <w:highlight w:val="none"/>
        </w:rPr>
        <w:t xml:space="preserve">如上述</w:t>
      </w:r>
      <w:r>
        <w:rPr>
          <w:rFonts w:ascii="Times New Roman" w:hAnsi="Times New Roman" w:eastAsia="宋体" w:cs="Times New Roman"/>
          <w:bCs/>
          <w:color w:val="000000"/>
          <w:sz w:val="24"/>
          <w:szCs w:val="20"/>
          <w:highlight w:val="none"/>
        </w:rPr>
        <w:t xml:space="preserve">调查结果</w:t>
      </w:r>
      <w:r>
        <w:rPr>
          <w:rFonts w:hint="eastAsia" w:ascii="Times New Roman" w:hAnsi="Times New Roman" w:eastAsia="宋体" w:cs="Times New Roman"/>
          <w:bCs/>
          <w:color w:val="000000"/>
          <w:sz w:val="24"/>
          <w:szCs w:val="20"/>
          <w:highlight w:val="none"/>
        </w:rPr>
        <w:t xml:space="preserve">不足以支撑相关工作，需</w:t>
      </w:r>
      <w:r>
        <w:rPr>
          <w:rFonts w:ascii="Times New Roman" w:hAnsi="Times New Roman" w:eastAsia="宋体" w:cs="Times New Roman"/>
          <w:bCs/>
          <w:color w:val="000000"/>
          <w:sz w:val="24"/>
          <w:szCs w:val="20"/>
          <w:highlight w:val="none"/>
        </w:rPr>
        <w:t xml:space="preserve">开展补充采样和测试，获得满足风险评估所需要的</w:t>
      </w:r>
      <w:r>
        <w:rPr>
          <w:rFonts w:hint="eastAsia" w:ascii="Times New Roman" w:hAnsi="Times New Roman" w:eastAsia="宋体" w:cs="Times New Roman"/>
          <w:bCs/>
          <w:color w:val="000000"/>
          <w:sz w:val="24"/>
          <w:szCs w:val="20"/>
          <w:highlight w:val="none"/>
        </w:rPr>
        <w:t xml:space="preserve">数据</w:t>
      </w:r>
      <w:r>
        <w:rPr>
          <w:rFonts w:ascii="Times New Roman" w:hAnsi="Times New Roman" w:eastAsia="宋体" w:cs="Times New Roman"/>
          <w:bCs/>
          <w:color w:val="000000"/>
          <w:sz w:val="24"/>
          <w:szCs w:val="20"/>
          <w:highlight w:val="none"/>
        </w:rPr>
        <w:t xml:space="preserve">。</w:t>
      </w:r>
      <w:r>
        <w:rPr>
          <w:rFonts w:ascii="Times New Roman" w:hAnsi="Times New Roman" w:eastAsia="宋体" w:cs="Times New Roman"/>
          <w:bCs/>
          <w:color w:val="000000"/>
          <w:sz w:val="24"/>
          <w:szCs w:val="20"/>
          <w:highlight w:val="none"/>
        </w:rPr>
      </w:r>
      <w:r/>
    </w:p>
    <w:p>
      <w:pPr>
        <w:pStyle w:val="1064"/>
        <w:ind w:firstLine="480"/>
        <w:spacing w:line="440" w:lineRule="exact"/>
        <w:rPr>
          <w:rFonts w:ascii="Times New Roman" w:hAnsi="Times New Roman" w:eastAsia="宋体" w:cs="Times New Roman"/>
          <w:bCs/>
          <w:color w:val="000000"/>
          <w:sz w:val="24"/>
          <w:szCs w:val="20"/>
          <w:highlight w:val="none"/>
        </w:rPr>
      </w:pPr>
      <w:r>
        <w:rPr>
          <w:rFonts w:hint="eastAsia" w:ascii="Times New Roman" w:hAnsi="Times New Roman" w:eastAsia="宋体" w:cs="Times New Roman"/>
          <w:bCs/>
          <w:color w:val="000000"/>
          <w:sz w:val="24"/>
          <w:szCs w:val="20"/>
          <w:highlight w:val="none"/>
        </w:rPr>
        <w:t xml:space="preserve">（</w:t>
      </w:r>
      <w:r>
        <w:rPr>
          <w:rFonts w:ascii="Times New Roman" w:hAnsi="Times New Roman" w:eastAsia="宋体" w:cs="Times New Roman"/>
          <w:bCs/>
          <w:color w:val="000000"/>
          <w:sz w:val="24"/>
          <w:szCs w:val="20"/>
          <w:highlight w:val="none"/>
        </w:rPr>
        <w:t xml:space="preserve">1）危害识别：根据地块土壤污染状况调查获取的资料，掌握地块土壤和地下水中关注污染物的浓度分布，明确规划土地利用方式，分析可能的敏感受体，如儿童、成人、地下水体等。</w:t>
      </w:r>
      <w:r>
        <w:rPr>
          <w:rFonts w:ascii="Times New Roman" w:hAnsi="Times New Roman" w:eastAsia="宋体" w:cs="Times New Roman"/>
          <w:bCs/>
          <w:color w:val="000000"/>
          <w:sz w:val="24"/>
          <w:szCs w:val="20"/>
          <w:highlight w:val="none"/>
        </w:rPr>
      </w:r>
      <w:r/>
    </w:p>
    <w:p>
      <w:pPr>
        <w:pStyle w:val="1064"/>
        <w:ind w:firstLine="480"/>
        <w:spacing w:line="440" w:lineRule="exact"/>
        <w:rPr>
          <w:rFonts w:ascii="Times New Roman" w:hAnsi="Times New Roman" w:eastAsia="宋体" w:cs="Times New Roman"/>
          <w:bCs/>
          <w:color w:val="000000"/>
          <w:sz w:val="24"/>
          <w:szCs w:val="20"/>
          <w:highlight w:val="none"/>
        </w:rPr>
      </w:pPr>
      <w:r>
        <w:rPr>
          <w:rFonts w:hint="eastAsia" w:ascii="Times New Roman" w:hAnsi="Times New Roman" w:eastAsia="宋体" w:cs="Times New Roman"/>
          <w:bCs/>
          <w:color w:val="000000"/>
          <w:sz w:val="24"/>
          <w:szCs w:val="20"/>
          <w:highlight w:val="none"/>
        </w:rPr>
        <w:t xml:space="preserve">（</w:t>
      </w:r>
      <w:r>
        <w:rPr>
          <w:rFonts w:ascii="Times New Roman" w:hAnsi="Times New Roman" w:eastAsia="宋体" w:cs="Times New Roman"/>
          <w:bCs/>
          <w:color w:val="000000"/>
          <w:sz w:val="24"/>
          <w:szCs w:val="20"/>
          <w:highlight w:val="none"/>
        </w:rPr>
        <w:t xml:space="preserve">2）暴露评估：在危害识别的基础上，分析地块内关注污染物迁移和危害敏感受体的可能性，确定地块土壤和地下水污染物的主要暴露途径和暴露评估模型，确定评估模型参数取值，计算敏感人群对土壤和地下水中污染物的暴露量。</w:t>
      </w:r>
      <w:r>
        <w:rPr>
          <w:rFonts w:ascii="Times New Roman" w:hAnsi="Times New Roman" w:eastAsia="宋体" w:cs="Times New Roman"/>
          <w:bCs/>
          <w:color w:val="000000"/>
          <w:sz w:val="24"/>
          <w:szCs w:val="20"/>
          <w:highlight w:val="none"/>
        </w:rPr>
      </w:r>
      <w:r/>
    </w:p>
    <w:p>
      <w:pPr>
        <w:pStyle w:val="1064"/>
        <w:ind w:firstLine="480"/>
        <w:spacing w:line="440" w:lineRule="exact"/>
        <w:rPr>
          <w:rFonts w:ascii="Times New Roman" w:hAnsi="Times New Roman" w:eastAsia="宋体" w:cs="Times New Roman"/>
          <w:bCs/>
          <w:color w:val="000000"/>
          <w:sz w:val="24"/>
          <w:szCs w:val="20"/>
          <w:highlight w:val="none"/>
        </w:rPr>
      </w:pPr>
      <w:r>
        <w:rPr>
          <w:rFonts w:hint="eastAsia" w:ascii="Times New Roman" w:hAnsi="Times New Roman" w:eastAsia="宋体" w:cs="Times New Roman"/>
          <w:bCs/>
          <w:color w:val="000000"/>
          <w:sz w:val="24"/>
          <w:szCs w:val="20"/>
          <w:highlight w:val="none"/>
        </w:rPr>
        <w:t xml:space="preserve">（</w:t>
      </w:r>
      <w:r>
        <w:rPr>
          <w:rFonts w:ascii="Times New Roman" w:hAnsi="Times New Roman" w:eastAsia="宋体" w:cs="Times New Roman"/>
          <w:bCs/>
          <w:color w:val="000000"/>
          <w:sz w:val="24"/>
          <w:szCs w:val="20"/>
          <w:highlight w:val="none"/>
        </w:rPr>
        <w:t xml:space="preserve">3）毒性评估：在危害识别的工作基础上，分析关注污染物对人体健康的危害效应，包括致癌效应和非致癌效应，确定与关注污染物相关的参数，包括参考剂量、参考浓度、致癌斜率因子和呼吸吸入单位致癌因子等。</w:t>
      </w:r>
      <w:r>
        <w:rPr>
          <w:rFonts w:ascii="Times New Roman" w:hAnsi="Times New Roman" w:eastAsia="宋体" w:cs="Times New Roman"/>
          <w:bCs/>
          <w:color w:val="000000"/>
          <w:sz w:val="24"/>
          <w:szCs w:val="20"/>
          <w:highlight w:val="none"/>
        </w:rPr>
      </w:r>
      <w:r/>
    </w:p>
    <w:p>
      <w:pPr>
        <w:pStyle w:val="1064"/>
        <w:ind w:firstLine="480"/>
        <w:spacing w:line="440" w:lineRule="exact"/>
        <w:rPr>
          <w:rFonts w:ascii="Times New Roman" w:hAnsi="Times New Roman" w:eastAsia="宋体" w:cs="Times New Roman"/>
          <w:bCs/>
          <w:color w:val="000000"/>
          <w:sz w:val="24"/>
          <w:szCs w:val="20"/>
          <w:highlight w:val="none"/>
        </w:rPr>
      </w:pPr>
      <w:r>
        <w:rPr>
          <w:rFonts w:hint="eastAsia" w:ascii="Times New Roman" w:hAnsi="Times New Roman" w:eastAsia="宋体" w:cs="Times New Roman"/>
          <w:bCs/>
          <w:color w:val="000000"/>
          <w:sz w:val="24"/>
          <w:szCs w:val="20"/>
          <w:highlight w:val="none"/>
        </w:rPr>
        <w:t xml:space="preserve">（</w:t>
      </w:r>
      <w:r>
        <w:rPr>
          <w:rFonts w:ascii="Times New Roman" w:hAnsi="Times New Roman" w:eastAsia="宋体" w:cs="Times New Roman"/>
          <w:bCs/>
          <w:color w:val="000000"/>
          <w:sz w:val="24"/>
          <w:szCs w:val="20"/>
          <w:highlight w:val="none"/>
        </w:rPr>
        <w:t xml:space="preserve">4）风险表征：在暴露评估和毒性评估的基础上，采用风险评估模型计算土壤和地下水中单一污染物经单一途径的致癌风险和危害商，计算单一污染物的总致癌风险和危害指数，进行不确定性分析。</w:t>
      </w:r>
      <w:r>
        <w:rPr>
          <w:rFonts w:ascii="Times New Roman" w:hAnsi="Times New Roman" w:eastAsia="宋体" w:cs="Times New Roman"/>
          <w:bCs/>
          <w:color w:val="000000"/>
          <w:sz w:val="24"/>
          <w:szCs w:val="20"/>
          <w:highlight w:val="none"/>
        </w:rPr>
      </w:r>
      <w:r/>
    </w:p>
    <w:p>
      <w:pPr>
        <w:pStyle w:val="1064"/>
        <w:ind w:firstLine="480"/>
        <w:spacing w:line="440" w:lineRule="exact"/>
        <w:rPr>
          <w:rFonts w:ascii="Times New Roman" w:hAnsi="Times New Roman" w:eastAsia="宋体" w:cs="Times New Roman"/>
          <w:bCs/>
          <w:color w:val="000000"/>
          <w:sz w:val="24"/>
          <w:szCs w:val="20"/>
          <w:highlight w:val="none"/>
        </w:rPr>
      </w:pPr>
      <w:r>
        <w:rPr>
          <w:rFonts w:hint="eastAsia" w:ascii="Times New Roman" w:hAnsi="Times New Roman" w:eastAsia="宋体" w:cs="Times New Roman"/>
          <w:bCs/>
          <w:color w:val="000000"/>
          <w:sz w:val="24"/>
          <w:szCs w:val="20"/>
          <w:highlight w:val="none"/>
        </w:rPr>
        <w:t xml:space="preserve">（</w:t>
      </w:r>
      <w:r>
        <w:rPr>
          <w:rFonts w:ascii="Times New Roman" w:hAnsi="Times New Roman" w:eastAsia="宋体" w:cs="Times New Roman"/>
          <w:bCs/>
          <w:color w:val="000000"/>
          <w:sz w:val="24"/>
          <w:szCs w:val="20"/>
          <w:highlight w:val="none"/>
        </w:rPr>
        <w:t xml:space="preserve">5）土壤和地下水风险控制值的计算：在风险表征的基础上，判断计算得到的风险值是否超过可接受风险水平。如地块风险评估结果未超过可接受风险水平，则结束风险评估工作；如污染场地风险评估结果超过可接受风险水平，则计算土壤、地下水中关注污染物的风险控制值；如调查结果表明，土壤中关注污染物可迁移进入地下水，则计算保护地下水的土壤风险控制值；根据计算结果，提出关注污染物的土壤和地下水风险控制值。</w:t>
      </w:r>
      <w:r>
        <w:rPr>
          <w:rFonts w:ascii="Times New Roman" w:hAnsi="Times New Roman" w:eastAsia="宋体" w:cs="Times New Roman"/>
          <w:bCs/>
          <w:color w:val="000000"/>
          <w:sz w:val="24"/>
          <w:szCs w:val="20"/>
          <w:highlight w:val="none"/>
        </w:rPr>
      </w:r>
      <w:r/>
    </w:p>
    <w:p>
      <w:pPr>
        <w:pStyle w:val="1064"/>
        <w:ind w:firstLine="482"/>
        <w:spacing w:line="440" w:lineRule="exact"/>
        <w:rPr>
          <w:rFonts w:ascii="Times New Roman" w:hAnsi="Times New Roman" w:eastAsia="宋体" w:cs="Times New Roman"/>
          <w:b/>
          <w:bCs w:val="0"/>
          <w:color w:val="000000"/>
          <w:sz w:val="24"/>
          <w:szCs w:val="20"/>
          <w:highlight w:val="none"/>
        </w:rPr>
      </w:pPr>
      <w:r>
        <w:rPr>
          <w:rFonts w:ascii="Times New Roman" w:hAnsi="Times New Roman" w:eastAsia="宋体" w:cs="Times New Roman"/>
          <w:b/>
          <w:bCs w:val="0"/>
          <w:color w:val="000000"/>
          <w:sz w:val="24"/>
          <w:szCs w:val="20"/>
          <w:highlight w:val="none"/>
        </w:rPr>
        <w:t xml:space="preserve">3.</w:t>
      </w:r>
      <w:r>
        <w:rPr>
          <w:rFonts w:hint="eastAsia" w:ascii="Times New Roman" w:hAnsi="Times New Roman" w:eastAsia="宋体" w:cs="Times New Roman"/>
          <w:b/>
          <w:bCs w:val="0"/>
          <w:color w:val="000000"/>
          <w:sz w:val="24"/>
          <w:szCs w:val="20"/>
          <w:highlight w:val="none"/>
        </w:rPr>
        <w:t xml:space="preserve">3</w:t>
      </w:r>
      <w:r>
        <w:rPr>
          <w:rFonts w:ascii="Times New Roman" w:hAnsi="Times New Roman" w:eastAsia="宋体" w:cs="Times New Roman"/>
          <w:b/>
          <w:bCs w:val="0"/>
          <w:color w:val="000000"/>
          <w:sz w:val="24"/>
          <w:szCs w:val="20"/>
          <w:highlight w:val="none"/>
        </w:rPr>
        <w:t xml:space="preserve"> </w:t>
      </w:r>
      <w:r>
        <w:rPr>
          <w:rFonts w:hint="eastAsia" w:ascii="Times New Roman" w:hAnsi="Times New Roman" w:eastAsia="宋体" w:cs="Times New Roman"/>
          <w:b/>
          <w:color w:val="000000"/>
          <w:sz w:val="24"/>
          <w:szCs w:val="24"/>
          <w:highlight w:val="none"/>
          <w:lang w:bidi="ar"/>
        </w:rPr>
        <w:t xml:space="preserve">土壤和地下水污染管控方案</w:t>
      </w:r>
      <w:r>
        <w:rPr>
          <w:rFonts w:hint="eastAsia" w:ascii="Times New Roman" w:hAnsi="Times New Roman" w:eastAsia="宋体" w:cs="Times New Roman"/>
          <w:b/>
          <w:bCs w:val="0"/>
          <w:color w:val="000000"/>
          <w:sz w:val="24"/>
          <w:szCs w:val="20"/>
          <w:highlight w:val="none"/>
        </w:rPr>
        <w:t xml:space="preserve">要求</w:t>
      </w:r>
      <w:r>
        <w:rPr>
          <w:rFonts w:ascii="Times New Roman" w:hAnsi="Times New Roman" w:eastAsia="宋体" w:cs="Times New Roman"/>
          <w:b/>
          <w:bCs w:val="0"/>
          <w:color w:val="000000"/>
          <w:sz w:val="24"/>
          <w:szCs w:val="20"/>
          <w:highlight w:val="none"/>
        </w:rPr>
      </w:r>
      <w:r/>
    </w:p>
    <w:p>
      <w:pPr>
        <w:pStyle w:val="1064"/>
        <w:ind w:firstLine="480"/>
        <w:spacing w:line="44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bCs/>
          <w:color w:val="000000"/>
          <w:sz w:val="24"/>
          <w:szCs w:val="20"/>
          <w:highlight w:val="none"/>
        </w:rPr>
        <w:t xml:space="preserve">基于土壤和地下水污染风险评估报告，结合园区内电镀工艺特点、污染源和敏感点的分布特征等资料进行综合分析，判断土壤和地下水污染影响范围，</w:t>
      </w:r>
      <w:r>
        <w:rPr>
          <w:rFonts w:hint="eastAsia" w:ascii="Times New Roman" w:hAnsi="Times New Roman" w:eastAsia="宋体" w:cs="Times New Roman"/>
          <w:color w:val="000000"/>
          <w:sz w:val="24"/>
          <w:szCs w:val="24"/>
          <w:highlight w:val="none"/>
        </w:rPr>
        <w:t xml:space="preserve">提出因地制宜的土壤和地下水污染管控方案。</w:t>
      </w:r>
      <w:r>
        <w:rPr>
          <w:rFonts w:ascii="Times New Roman" w:hAnsi="Times New Roman" w:eastAsia="宋体" w:cs="Times New Roman"/>
          <w:color w:val="000000"/>
          <w:sz w:val="24"/>
          <w:szCs w:val="24"/>
          <w:highlight w:val="none"/>
        </w:rPr>
      </w:r>
      <w:r/>
    </w:p>
    <w:p>
      <w:pPr>
        <w:pStyle w:val="1064"/>
        <w:ind w:firstLine="480"/>
        <w:spacing w:line="440" w:lineRule="exact"/>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4"/>
          <w:highlight w:val="none"/>
        </w:rPr>
        <w:t xml:space="preserve">最终形成《</w:t>
      </w:r>
      <w:r>
        <w:rPr>
          <w:rFonts w:ascii="Times New Roman" w:hAnsi="Times New Roman" w:eastAsia="宋体" w:cs="Times New Roman"/>
          <w:color w:val="000000"/>
          <w:sz w:val="24"/>
          <w:szCs w:val="24"/>
          <w:highlight w:val="none"/>
        </w:rPr>
        <w:t xml:space="preserve">无锡金属表面处理科技工业园区土壤和地下水污染风险管控方案</w:t>
      </w:r>
      <w:r>
        <w:rPr>
          <w:rFonts w:hint="eastAsia" w:ascii="Times New Roman" w:hAnsi="Times New Roman" w:eastAsia="宋体" w:cs="Times New Roman"/>
          <w:color w:val="000000"/>
          <w:sz w:val="24"/>
          <w:szCs w:val="24"/>
          <w:highlight w:val="none"/>
        </w:rPr>
        <w:t xml:space="preserve">》，在开展编写过程中需严格执行国家有关对顶标准和相关</w:t>
      </w:r>
      <w:r>
        <w:rPr>
          <w:rFonts w:hint="eastAsia" w:ascii="宋体" w:hAnsi="宋体" w:eastAsia="宋体" w:cs="Times New Roman"/>
          <w:bCs/>
          <w:color w:val="000000"/>
          <w:sz w:val="24"/>
          <w:szCs w:val="20"/>
          <w:highlight w:val="none"/>
        </w:rPr>
        <w:t xml:space="preserve">技术规范要求进行，以保证</w:t>
      </w:r>
      <w:r>
        <w:rPr>
          <w:rFonts w:hint="eastAsia"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t xml:space="preserve">无锡金属表面处理科技工业园区土壤和地下水污染风险管控方案</w:t>
      </w:r>
      <w:r>
        <w:rPr>
          <w:rFonts w:hint="eastAsia" w:ascii="Times New Roman" w:hAnsi="Times New Roman" w:eastAsia="宋体" w:cs="Times New Roman"/>
          <w:color w:val="000000"/>
          <w:sz w:val="24"/>
          <w:szCs w:val="24"/>
          <w:highlight w:val="none"/>
        </w:rPr>
        <w:t xml:space="preserve">》通过专家评审。</w:t>
      </w:r>
      <w:r>
        <w:rPr>
          <w:rFonts w:ascii="Times New Roman" w:hAnsi="Times New Roman" w:eastAsia="宋体" w:cs="Times New Roman"/>
          <w:color w:val="000000"/>
          <w:sz w:val="24"/>
          <w:szCs w:val="20"/>
          <w:highlight w:val="none"/>
        </w:rPr>
      </w:r>
      <w:r/>
    </w:p>
    <w:p>
      <w:pPr>
        <w:pStyle w:val="1064"/>
        <w:ind w:firstLine="482"/>
        <w:keepLines w:val="0"/>
        <w:keepNext w:val="0"/>
        <w:pageBreakBefore w:val="0"/>
        <w:spacing w:line="460" w:lineRule="exact"/>
        <w:tabs>
          <w:tab w:val="left" w:pos="945" w:leader="none"/>
        </w:tabs>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lang w:val="en-US" w:eastAsia="zh-CN"/>
        </w:rPr>
        <w:t xml:space="preserve">4、</w:t>
      </w:r>
      <w:r>
        <w:rPr>
          <w:rFonts w:hint="eastAsia" w:ascii="宋体" w:hAnsi="宋体" w:eastAsia="宋体" w:cs="宋体"/>
          <w:b/>
          <w:color w:val="000000"/>
          <w:sz w:val="24"/>
          <w:highlight w:val="none"/>
        </w:rPr>
        <w:t xml:space="preserve">成果文件要求</w:t>
      </w:r>
      <w:r>
        <w:rPr>
          <w:rFonts w:hint="eastAsia" w:ascii="宋体" w:hAnsi="宋体" w:eastAsia="宋体" w:cs="宋体"/>
          <w:b/>
          <w:color w:val="000000"/>
          <w:sz w:val="24"/>
          <w:highlight w:val="none"/>
        </w:rPr>
      </w:r>
      <w:r/>
    </w:p>
    <w:p>
      <w:pPr>
        <w:pStyle w:val="1064"/>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（1）</w:t>
      </w:r>
      <w:r>
        <w:rPr>
          <w:rFonts w:hint="eastAsia"/>
          <w:color w:val="000000"/>
          <w:sz w:val="24"/>
          <w:highlight w:val="none"/>
        </w:rPr>
        <w:t xml:space="preserve">编制《</w:t>
      </w:r>
      <w:r>
        <w:rPr>
          <w:color w:val="000000"/>
          <w:sz w:val="24"/>
          <w:highlight w:val="none"/>
        </w:rPr>
        <w:t xml:space="preserve">无锡金属表面处理科技工业园区</w:t>
      </w:r>
      <w:r>
        <w:rPr>
          <w:rFonts w:hint="eastAsia"/>
          <w:color w:val="000000"/>
          <w:sz w:val="24"/>
          <w:highlight w:val="none"/>
        </w:rPr>
        <w:t xml:space="preserve">土壤地下水污染状况</w:t>
      </w:r>
      <w:r>
        <w:rPr>
          <w:rFonts w:hint="eastAsia"/>
          <w:color w:val="000000"/>
          <w:sz w:val="24"/>
          <w:highlight w:val="none"/>
          <w:lang w:val="en-US" w:eastAsia="zh-CN"/>
        </w:rPr>
        <w:t xml:space="preserve">详细</w:t>
      </w:r>
      <w:r>
        <w:rPr>
          <w:rFonts w:hint="eastAsia"/>
          <w:color w:val="000000"/>
          <w:sz w:val="24"/>
          <w:highlight w:val="none"/>
        </w:rPr>
        <w:t xml:space="preserve">调查报告》、《</w:t>
      </w:r>
      <w:r>
        <w:rPr>
          <w:color w:val="000000"/>
          <w:sz w:val="24"/>
          <w:highlight w:val="none"/>
        </w:rPr>
        <w:t xml:space="preserve">无锡金属表面处理科技工业园区</w:t>
      </w:r>
      <w:r>
        <w:rPr>
          <w:rFonts w:hint="eastAsia"/>
          <w:color w:val="000000"/>
          <w:sz w:val="24"/>
          <w:highlight w:val="none"/>
        </w:rPr>
        <w:t xml:space="preserve">土壤地下水污染风险评估报告》、《</w:t>
      </w:r>
      <w:r>
        <w:rPr>
          <w:color w:val="000000"/>
          <w:sz w:val="24"/>
          <w:highlight w:val="none"/>
        </w:rPr>
        <w:t xml:space="preserve">无锡金属表面处理科技工业园区</w:t>
      </w:r>
      <w:r>
        <w:rPr>
          <w:rFonts w:hint="eastAsia"/>
          <w:color w:val="000000"/>
          <w:sz w:val="24"/>
          <w:highlight w:val="none"/>
        </w:rPr>
        <w:t xml:space="preserve">土壤地下水污染渗漏排查报告》和《</w:t>
      </w:r>
      <w:r>
        <w:rPr>
          <w:color w:val="000000"/>
          <w:sz w:val="24"/>
          <w:highlight w:val="none"/>
        </w:rPr>
        <w:t xml:space="preserve">无锡金属表面处理科技工业园区土壤和地下水污染风险管控方案</w:t>
      </w:r>
      <w:r>
        <w:rPr>
          <w:rFonts w:hint="eastAsia"/>
          <w:color w:val="000000"/>
          <w:sz w:val="24"/>
          <w:highlight w:val="none"/>
        </w:rPr>
        <w:t xml:space="preserve">》，在开展相关工作过程中需严格执行国家有关规定标准和相关技术规范要求进行，成果客观公正、科学，并按规定开展专家评审和管理部门备案工作</w:t>
      </w:r>
      <w:r>
        <w:rPr>
          <w:rFonts w:hint="eastAsia" w:ascii="Times New Roman" w:hAnsi="Times New Roman" w:eastAsia="宋体"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lang w:val="en-US" w:eastAsia="zh-CN"/>
        </w:rPr>
      </w:r>
      <w:r/>
    </w:p>
    <w:p>
      <w:pPr>
        <w:pStyle w:val="1064"/>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（2）项目成果报告必须做到清晰、完整、准确且符合相关法律法规及</w:t>
      </w:r>
      <w:r>
        <w:rPr>
          <w:rFonts w:hint="eastAsia" w:cs="Times New Roman"/>
          <w:color w:val="000000"/>
          <w:sz w:val="24"/>
          <w:szCs w:val="24"/>
          <w:highlight w:val="none"/>
          <w:lang w:val="en-US" w:eastAsia="zh-CN"/>
        </w:rPr>
        <w:t xml:space="preserve">甲方</w:t>
      </w:r>
      <w:r>
        <w:rPr>
          <w:rFonts w:hint="eastAsia" w:ascii="Times New Roman" w:hAnsi="Times New Roman" w:eastAsia="宋体" w:cs="Times New Roman"/>
          <w:color w:val="000000"/>
          <w:sz w:val="24"/>
          <w:szCs w:val="24"/>
          <w:highlight w:val="none"/>
          <w:lang w:val="en-US" w:eastAsia="zh-CN"/>
        </w:rPr>
        <w:t xml:space="preserve">的相关要求。报告以电子版形式交付</w:t>
      </w:r>
      <w:r>
        <w:rPr>
          <w:rFonts w:hint="eastAsia" w:cs="Times New Roman"/>
          <w:color w:val="000000"/>
          <w:sz w:val="24"/>
          <w:szCs w:val="24"/>
          <w:highlight w:val="none"/>
          <w:lang w:val="en-US" w:eastAsia="zh-CN"/>
        </w:rPr>
        <w:t xml:space="preserve">甲方</w:t>
      </w:r>
      <w:r>
        <w:rPr>
          <w:rFonts w:hint="eastAsia" w:ascii="Times New Roman" w:hAnsi="Times New Roman" w:eastAsia="宋体" w:cs="Times New Roman"/>
          <w:color w:val="000000"/>
          <w:sz w:val="24"/>
          <w:szCs w:val="24"/>
          <w:highlight w:val="none"/>
          <w:lang w:val="en-US" w:eastAsia="zh-CN"/>
        </w:rPr>
        <w:t xml:space="preserve">确认，</w:t>
      </w:r>
      <w:r>
        <w:rPr>
          <w:rFonts w:hint="eastAsia" w:cs="Times New Roman"/>
          <w:color w:val="000000"/>
          <w:sz w:val="24"/>
          <w:szCs w:val="24"/>
          <w:highlight w:val="none"/>
          <w:lang w:val="en-US" w:eastAsia="zh-CN"/>
        </w:rPr>
        <w:t xml:space="preserve">甲方</w:t>
      </w:r>
      <w:r>
        <w:rPr>
          <w:rFonts w:hint="eastAsia" w:ascii="Times New Roman" w:hAnsi="Times New Roman" w:eastAsia="宋体" w:cs="Times New Roman"/>
          <w:color w:val="000000"/>
          <w:sz w:val="24"/>
          <w:szCs w:val="24"/>
          <w:highlight w:val="none"/>
          <w:lang w:val="en-US" w:eastAsia="zh-CN"/>
        </w:rPr>
        <w:t xml:space="preserve">对电子版报告确认无误并经专家论证通过后，</w:t>
      </w:r>
      <w:r>
        <w:rPr>
          <w:rFonts w:hint="eastAsia" w:cs="Times New Roman"/>
          <w:color w:val="000000"/>
          <w:sz w:val="24"/>
          <w:szCs w:val="24"/>
          <w:highlight w:val="none"/>
          <w:lang w:val="en-US" w:eastAsia="zh-CN"/>
        </w:rPr>
        <w:t xml:space="preserve">乙方</w:t>
      </w:r>
      <w:r>
        <w:rPr>
          <w:rFonts w:hint="eastAsia" w:ascii="Times New Roman" w:hAnsi="Times New Roman" w:eastAsia="宋体" w:cs="Times New Roman"/>
          <w:color w:val="000000"/>
          <w:sz w:val="24"/>
          <w:szCs w:val="24"/>
          <w:highlight w:val="none"/>
          <w:lang w:val="en-US" w:eastAsia="zh-CN"/>
        </w:rPr>
        <w:t xml:space="preserve">交付报告纸质版1套正本、4套副本、电子版一份。</w:t>
      </w:r>
      <w:r>
        <w:rPr>
          <w:rFonts w:hint="eastAsia" w:ascii="Times New Roman" w:hAnsi="Times New Roman" w:eastAsia="宋体" w:cs="Times New Roman"/>
          <w:color w:val="000000"/>
          <w:sz w:val="24"/>
          <w:szCs w:val="24"/>
          <w:highlight w:val="none"/>
          <w:lang w:val="en-US" w:eastAsia="zh-CN"/>
        </w:rPr>
      </w:r>
      <w:r/>
    </w:p>
    <w:p>
      <w:pPr>
        <w:pStyle w:val="1064"/>
        <w:ind w:firstLine="354"/>
        <w:jc w:val="left"/>
        <w:keepLines w:val="0"/>
        <w:keepNext w:val="0"/>
        <w:pageBreakBefore w:val="0"/>
        <w:spacing w:line="460" w:lineRule="exact"/>
        <w:shd w:val="clear" w:color="auto" w:fill="ffffff"/>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highlight w:val="none"/>
          <w:lang w:val="en-US" w:eastAsia="zh-CN"/>
        </w:rPr>
        <w:t xml:space="preserve">5、</w:t>
      </w:r>
      <w:r>
        <w:rPr>
          <w:rFonts w:hint="eastAsia" w:ascii="宋体" w:hAnsi="宋体" w:eastAsia="宋体" w:cs="宋体"/>
          <w:b/>
          <w:color w:val="000000"/>
          <w:sz w:val="24"/>
          <w:szCs w:val="24"/>
          <w:highlight w:val="none"/>
          <w:lang w:eastAsia="zh-CN"/>
        </w:rPr>
        <w:t xml:space="preserve">服务</w:t>
      </w:r>
      <w:r>
        <w:rPr>
          <w:rFonts w:hint="eastAsia" w:ascii="宋体" w:hAnsi="宋体" w:eastAsia="宋体" w:cs="宋体"/>
          <w:b/>
          <w:color w:val="000000"/>
          <w:sz w:val="24"/>
          <w:szCs w:val="24"/>
          <w:highlight w:val="none"/>
        </w:rPr>
        <w:t xml:space="preserve">人员</w:t>
      </w:r>
      <w:r>
        <w:rPr>
          <w:rFonts w:hint="eastAsia" w:ascii="宋体" w:hAnsi="宋体" w:eastAsia="宋体" w:cs="宋体"/>
          <w:b/>
          <w:color w:val="000000"/>
          <w:sz w:val="24"/>
          <w:szCs w:val="24"/>
          <w:highlight w:val="none"/>
          <w:lang w:val="en-US" w:eastAsia="zh-CN"/>
        </w:rPr>
        <w:t xml:space="preserve">组成及</w:t>
      </w:r>
      <w:r>
        <w:rPr>
          <w:rFonts w:hint="eastAsia" w:ascii="宋体" w:hAnsi="宋体" w:eastAsia="宋体" w:cs="宋体"/>
          <w:b/>
          <w:color w:val="000000"/>
          <w:sz w:val="24"/>
          <w:szCs w:val="24"/>
          <w:highlight w:val="none"/>
        </w:rPr>
        <w:t xml:space="preserve">职责</w:t>
      </w:r>
      <w:r>
        <w:rPr>
          <w:rFonts w:hint="eastAsia" w:ascii="宋体" w:hAnsi="宋体" w:eastAsia="宋体" w:cs="宋体"/>
          <w:b/>
          <w:color w:val="000000"/>
          <w:sz w:val="24"/>
          <w:szCs w:val="24"/>
          <w:highlight w:val="none"/>
        </w:rPr>
      </w:r>
      <w:r/>
    </w:p>
    <w:p>
      <w:pPr>
        <w:pStyle w:val="1064"/>
        <w:ind w:firstLine="352"/>
        <w:jc w:val="left"/>
        <w:keepLines w:val="0"/>
        <w:keepNext w:val="0"/>
        <w:pageBreakBefore w:val="0"/>
        <w:spacing w:line="460" w:lineRule="exact"/>
        <w:shd w:val="clear" w:color="auto" w:fill="ffffff"/>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本项目实施过程涉及采样、质控等工作，保障项目成果的质量。</w:t>
      </w:r>
      <w:r>
        <w:rPr>
          <w:rFonts w:hint="eastAsia" w:ascii="宋体" w:hAnsi="宋体" w:eastAsia="宋体" w:cs="宋体"/>
          <w:bCs/>
          <w:color w:val="000000"/>
          <w:sz w:val="24"/>
          <w:szCs w:val="24"/>
          <w:highlight w:val="none"/>
          <w:lang w:val="en-US" w:eastAsia="zh-CN"/>
        </w:rPr>
      </w:r>
      <w:r/>
    </w:p>
    <w:p>
      <w:pPr>
        <w:pStyle w:val="1064"/>
        <w:ind w:firstLine="352"/>
        <w:jc w:val="left"/>
        <w:keepLines w:val="0"/>
        <w:keepNext w:val="0"/>
        <w:pageBreakBefore w:val="0"/>
        <w:spacing w:line="460" w:lineRule="exact"/>
        <w:shd w:val="clear" w:color="auto" w:fill="ffffff"/>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lang w:val="en-US" w:eastAsia="zh-CN"/>
        </w:rPr>
        <w:t xml:space="preserve">应配备足够数量的服务人员，确保项目顺利开展。</w:t>
      </w:r>
      <w:r>
        <w:rPr>
          <w:rFonts w:hint="eastAsia" w:ascii="宋体" w:hAnsi="宋体" w:eastAsia="宋体" w:cs="宋体"/>
          <w:bCs/>
          <w:color w:val="000000"/>
          <w:sz w:val="24"/>
          <w:szCs w:val="24"/>
          <w:highlight w:val="none"/>
          <w:lang w:val="en-US" w:eastAsia="zh-CN"/>
        </w:rPr>
      </w:r>
      <w:r/>
    </w:p>
    <w:p>
      <w:pPr>
        <w:pStyle w:val="1064"/>
        <w:ind w:firstLine="352"/>
        <w:jc w:val="left"/>
        <w:keepLines w:val="0"/>
        <w:keepNext w:val="0"/>
        <w:pageBreakBefore w:val="0"/>
        <w:spacing w:line="460" w:lineRule="exact"/>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rPr>
        <w:t xml:space="preserve">人员应确保服务工作的质量，按时完成任务。同时，在</w:t>
      </w: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rPr>
        <w:t xml:space="preserve">工作中</w:t>
      </w:r>
      <w:r>
        <w:rPr>
          <w:rFonts w:hint="eastAsia" w:ascii="宋体" w:hAnsi="宋体" w:eastAsia="宋体" w:cs="宋体"/>
          <w:bCs/>
          <w:color w:val="000000"/>
          <w:sz w:val="24"/>
          <w:szCs w:val="24"/>
          <w:highlight w:val="none"/>
          <w:lang w:eastAsia="zh-CN"/>
        </w:rPr>
        <w:t xml:space="preserve">应</w:t>
      </w:r>
      <w:r>
        <w:rPr>
          <w:rFonts w:hint="eastAsia" w:ascii="宋体" w:hAnsi="宋体" w:eastAsia="宋体" w:cs="宋体"/>
          <w:bCs/>
          <w:color w:val="000000"/>
          <w:sz w:val="24"/>
          <w:szCs w:val="24"/>
          <w:highlight w:val="none"/>
        </w:rPr>
        <w:t xml:space="preserve">严格遵守国家法律、法规、规章及有关执业规范要求。</w:t>
      </w:r>
      <w:r>
        <w:rPr>
          <w:rFonts w:hint="eastAsia" w:ascii="宋体" w:hAnsi="宋体" w:eastAsia="宋体" w:cs="宋体"/>
          <w:bCs/>
          <w:color w:val="000000"/>
          <w:sz w:val="24"/>
          <w:szCs w:val="24"/>
          <w:highlight w:val="none"/>
        </w:rPr>
      </w:r>
      <w:r/>
    </w:p>
    <w:p>
      <w:pPr>
        <w:pStyle w:val="1064"/>
        <w:ind w:firstLine="352"/>
        <w:jc w:val="left"/>
        <w:keepLines w:val="0"/>
        <w:keepNext w:val="0"/>
        <w:pageBreakBefore w:val="0"/>
        <w:spacing w:line="460" w:lineRule="exact"/>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项目组服务人员</w:t>
      </w:r>
      <w:r>
        <w:rPr>
          <w:rFonts w:hint="eastAsia" w:ascii="宋体" w:hAnsi="宋体" w:eastAsia="宋体" w:cs="宋体"/>
          <w:bCs/>
          <w:color w:val="000000"/>
          <w:sz w:val="24"/>
          <w:szCs w:val="24"/>
          <w:highlight w:val="none"/>
        </w:rPr>
        <w:t xml:space="preserve">对执业过程中得悉的单位情况、资料严加保密，且保密义务不因项目结束而解除。</w:t>
      </w:r>
      <w:r>
        <w:rPr>
          <w:rFonts w:hint="eastAsia" w:ascii="宋体" w:hAnsi="宋体" w:eastAsia="宋体" w:cs="宋体"/>
          <w:bCs/>
          <w:color w:val="000000"/>
          <w:sz w:val="24"/>
          <w:szCs w:val="24"/>
          <w:highlight w:val="none"/>
        </w:rPr>
      </w:r>
      <w:r/>
    </w:p>
    <w:p>
      <w:pPr>
        <w:pStyle w:val="1064"/>
        <w:ind w:firstLine="352"/>
        <w:jc w:val="left"/>
        <w:keepLines w:val="0"/>
        <w:keepNext w:val="0"/>
        <w:pageBreakBefore w:val="0"/>
        <w:spacing w:line="460" w:lineRule="exact"/>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）项目实施过程中形成的材料只供</w:t>
      </w:r>
      <w:r>
        <w:rPr>
          <w:rFonts w:hint="eastAsia" w:ascii="宋体" w:hAnsi="宋体" w:cs="宋体"/>
          <w:bCs/>
          <w:color w:val="000000"/>
          <w:sz w:val="24"/>
          <w:szCs w:val="24"/>
          <w:highlight w:val="none"/>
          <w:lang w:eastAsia="zh-CN"/>
        </w:rPr>
        <w:t xml:space="preserve">甲方</w:t>
      </w:r>
      <w:r>
        <w:rPr>
          <w:rFonts w:hint="eastAsia" w:ascii="宋体" w:hAnsi="宋体" w:eastAsia="宋体" w:cs="宋体"/>
          <w:bCs/>
          <w:color w:val="000000"/>
          <w:sz w:val="24"/>
          <w:szCs w:val="24"/>
          <w:highlight w:val="none"/>
        </w:rPr>
        <w:t xml:space="preserve">使用，不得自行提供给</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任何单位。</w:t>
      </w:r>
      <w:r>
        <w:rPr>
          <w:rFonts w:hint="eastAsia" w:ascii="宋体" w:hAnsi="宋体" w:eastAsia="宋体" w:cs="宋体"/>
          <w:bCs/>
          <w:color w:val="000000"/>
          <w:sz w:val="24"/>
          <w:szCs w:val="24"/>
          <w:highlight w:val="none"/>
        </w:rPr>
      </w:r>
      <w:r/>
    </w:p>
    <w:p>
      <w:pPr>
        <w:pStyle w:val="1064"/>
        <w:ind w:firstLine="482"/>
        <w:keepLines w:val="0"/>
        <w:keepNext w:val="0"/>
        <w:pageBreakBefore w:val="0"/>
        <w:spacing w:line="460" w:lineRule="exact"/>
        <w:shd w:val="clear" w:color="auto" w:fill="ffff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6、</w:t>
      </w:r>
      <w:r>
        <w:rPr>
          <w:rFonts w:hint="eastAsia" w:ascii="宋体" w:hAnsi="宋体" w:eastAsia="宋体" w:cs="宋体"/>
          <w:b/>
          <w:bCs/>
          <w:color w:val="000000"/>
          <w:sz w:val="24"/>
          <w:highlight w:val="none"/>
        </w:rPr>
        <w:t xml:space="preserve">知识产权</w:t>
      </w:r>
      <w:r>
        <w:rPr>
          <w:rFonts w:hint="eastAsia" w:ascii="宋体" w:hAnsi="宋体" w:eastAsia="宋体" w:cs="宋体"/>
          <w:b/>
          <w:bCs/>
          <w:color w:val="000000"/>
          <w:sz w:val="24"/>
          <w:highlight w:val="none"/>
        </w:rPr>
      </w:r>
      <w:r/>
    </w:p>
    <w:p>
      <w:pPr>
        <w:pStyle w:val="1064"/>
        <w:ind w:firstLine="480"/>
        <w:keepLines w:val="0"/>
        <w:keepNext w:val="0"/>
        <w:pageBreakBefore w:val="0"/>
        <w:spacing w:line="460" w:lineRule="exact"/>
        <w:shd w:val="clear" w:color="auto" w:fill="ffff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eastAsia="zh-CN"/>
        </w:rPr>
        <w:t xml:space="preserve">乙方</w:t>
      </w:r>
      <w:r>
        <w:rPr>
          <w:rFonts w:hint="eastAsia" w:ascii="宋体" w:hAnsi="宋体" w:eastAsia="宋体" w:cs="宋体"/>
          <w:color w:val="000000"/>
          <w:sz w:val="24"/>
          <w:highlight w:val="none"/>
        </w:rPr>
        <w:t xml:space="preserve">必须保证</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文件、中标后提供的文件及资料均未侵犯他人的知识产权，否则必须承担由此引起的全部法律责任和经济责任。</w:t>
      </w:r>
      <w:r>
        <w:rPr>
          <w:rFonts w:hint="eastAsia" w:ascii="宋体" w:hAnsi="宋体" w:eastAsia="宋体" w:cs="宋体"/>
          <w:color w:val="000000"/>
          <w:sz w:val="24"/>
          <w:highlight w:val="none"/>
        </w:rPr>
      </w:r>
      <w:r/>
    </w:p>
    <w:p>
      <w:pPr>
        <w:pStyle w:val="1064"/>
        <w:ind w:firstLine="480"/>
        <w:keepLines w:val="0"/>
        <w:keepNext w:val="0"/>
        <w:pageBreakBefore w:val="0"/>
        <w:spacing w:line="460" w:lineRule="exact"/>
        <w:shd w:val="clear" w:color="auto" w:fill="ffff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eastAsia="zh-CN"/>
        </w:rPr>
        <w:t xml:space="preserve">乙方</w:t>
      </w:r>
      <w:r>
        <w:rPr>
          <w:rFonts w:hint="eastAsia" w:ascii="宋体" w:hAnsi="宋体" w:eastAsia="宋体" w:cs="宋体"/>
          <w:color w:val="000000"/>
          <w:sz w:val="24"/>
          <w:highlight w:val="none"/>
        </w:rPr>
        <w:t xml:space="preserve">提交的所有</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文件及成果，其所有权均归</w:t>
      </w:r>
      <w:r>
        <w:rPr>
          <w:rFonts w:hint="eastAsia" w:ascii="宋体" w:hAnsi="宋体" w:cs="宋体"/>
          <w:color w:val="000000"/>
          <w:sz w:val="24"/>
          <w:highlight w:val="none"/>
          <w:lang w:eastAsia="zh-CN"/>
        </w:rPr>
        <w:t xml:space="preserve">甲方</w:t>
      </w:r>
      <w:r>
        <w:rPr>
          <w:rFonts w:hint="eastAsia" w:ascii="宋体" w:hAnsi="宋体" w:eastAsia="宋体" w:cs="宋体"/>
          <w:color w:val="000000"/>
          <w:sz w:val="24"/>
          <w:highlight w:val="none"/>
        </w:rPr>
        <w:t xml:space="preserve">所有，</w:t>
      </w:r>
      <w:r>
        <w:rPr>
          <w:rFonts w:hint="eastAsia" w:ascii="宋体" w:hAnsi="宋体" w:cs="宋体"/>
          <w:color w:val="000000"/>
          <w:sz w:val="24"/>
          <w:highlight w:val="none"/>
          <w:lang w:eastAsia="zh-CN"/>
        </w:rPr>
        <w:t xml:space="preserve">甲方</w:t>
      </w:r>
      <w:r>
        <w:rPr>
          <w:rFonts w:hint="eastAsia" w:ascii="宋体" w:hAnsi="宋体" w:eastAsia="宋体" w:cs="宋体"/>
          <w:color w:val="000000"/>
          <w:sz w:val="24"/>
          <w:highlight w:val="none"/>
        </w:rPr>
        <w:t xml:space="preserve">可任意使用其全部成果。</w:t>
      </w:r>
      <w:r>
        <w:rPr>
          <w:rFonts w:hint="eastAsia" w:ascii="宋体" w:hAnsi="宋体" w:eastAsia="宋体" w:cs="宋体"/>
          <w:color w:val="000000"/>
          <w:sz w:val="24"/>
          <w:highlight w:val="none"/>
        </w:rPr>
      </w:r>
      <w:r/>
    </w:p>
    <w:p>
      <w:pPr>
        <w:pStyle w:val="1064"/>
        <w:ind w:firstLine="482"/>
        <w:keepLines w:val="0"/>
        <w:keepNext w:val="0"/>
        <w:pageBreakBefore w:val="0"/>
        <w:spacing w:line="460" w:lineRule="exact"/>
        <w:shd w:val="clear" w:color="auto" w:fill="ffff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7、</w:t>
      </w:r>
      <w:r>
        <w:rPr>
          <w:rFonts w:hint="eastAsia" w:ascii="宋体" w:hAnsi="宋体" w:eastAsia="宋体" w:cs="宋体"/>
          <w:b/>
          <w:bCs/>
          <w:color w:val="000000"/>
          <w:sz w:val="24"/>
          <w:highlight w:val="none"/>
        </w:rPr>
        <w:t xml:space="preserve">保密要求</w:t>
      </w:r>
      <w:r>
        <w:rPr>
          <w:rFonts w:hint="eastAsia" w:ascii="宋体" w:hAnsi="宋体" w:eastAsia="宋体" w:cs="宋体"/>
          <w:b/>
          <w:bCs/>
          <w:color w:val="000000"/>
          <w:sz w:val="24"/>
          <w:highlight w:val="none"/>
        </w:rPr>
      </w:r>
      <w:r/>
    </w:p>
    <w:p>
      <w:pPr>
        <w:pStyle w:val="1064"/>
        <w:ind w:firstLine="480"/>
        <w:keepLines w:val="0"/>
        <w:keepNext w:val="0"/>
        <w:pageBreakBefore w:val="0"/>
        <w:spacing w:line="460" w:lineRule="exact"/>
        <w:shd w:val="clear" w:color="auto" w:fill="ffff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参加</w:t>
      </w:r>
      <w:r>
        <w:rPr>
          <w:rFonts w:hint="eastAsia" w:ascii="宋体" w:hAnsi="宋体" w:eastAsia="宋体" w:cs="宋体"/>
          <w:color w:val="000000"/>
          <w:sz w:val="24"/>
          <w:highlight w:val="none"/>
          <w:lang w:eastAsia="zh-CN"/>
        </w:rPr>
        <w:t xml:space="preserve">项目实施</w:t>
      </w:r>
      <w:r>
        <w:rPr>
          <w:rFonts w:hint="eastAsia" w:ascii="宋体" w:hAnsi="宋体" w:eastAsia="宋体" w:cs="宋体"/>
          <w:color w:val="000000"/>
          <w:sz w:val="24"/>
          <w:highlight w:val="none"/>
        </w:rPr>
        <w:t xml:space="preserve">工作的单位和个人，对属于国家秘密、商业机密的信息，必须严格遵守有关保密法律法规，确保不发生失泄密问题。</w:t>
      </w:r>
      <w:r>
        <w:rPr>
          <w:rFonts w:hint="eastAsia" w:ascii="宋体" w:hAnsi="宋体" w:eastAsia="宋体" w:cs="宋体"/>
          <w:color w:val="000000"/>
          <w:sz w:val="24"/>
          <w:highlight w:val="none"/>
        </w:rPr>
      </w:r>
      <w:r/>
    </w:p>
    <w:p>
      <w:pPr>
        <w:pStyle w:val="1064"/>
        <w:ind w:firstLine="480"/>
        <w:jc w:val="left"/>
        <w:keepLines w:val="0"/>
        <w:keepNext w:val="0"/>
        <w:pageBreakBefore w:val="0"/>
        <w:spacing w:line="480" w:lineRule="exact"/>
        <w:widowControl/>
        <w:rPr>
          <w:rFonts w:hint="eastAsia" w:ascii="宋体" w:hAnsi="宋体" w:eastAsia="宋体" w:cs="宋体"/>
          <w:b/>
          <w:color w:val="000000"/>
          <w:sz w:val="24"/>
          <w:highlight w:val="none"/>
        </w:rPr>
      </w:pPr>
      <w:r>
        <w:rPr>
          <w:rFonts w:hint="eastAsia" w:ascii="宋体" w:hAnsi="宋体" w:eastAsia="宋体" w:cs="宋体"/>
          <w:color w:val="000000"/>
          <w:sz w:val="24"/>
          <w:highlight w:val="none"/>
          <w:lang w:eastAsia="zh-CN"/>
        </w:rPr>
        <w:t xml:space="preserve">十</w:t>
      </w:r>
      <w:r>
        <w:rPr>
          <w:rFonts w:hint="eastAsia" w:ascii="宋体" w:hAnsi="宋体" w:eastAsia="宋体" w:cs="宋体"/>
          <w:color w:val="000000"/>
          <w:sz w:val="24"/>
          <w:highlight w:val="none"/>
        </w:rPr>
        <w:t xml:space="preserve">、违约责任</w:t>
      </w:r>
      <w:r>
        <w:rPr>
          <w:rFonts w:hint="eastAsia" w:ascii="宋体" w:hAnsi="宋体" w:eastAsia="宋体" w:cs="宋体"/>
          <w:b/>
          <w:color w:val="000000"/>
          <w:sz w:val="24"/>
          <w:highlight w:val="none"/>
        </w:rPr>
      </w:r>
      <w:r/>
    </w:p>
    <w:p>
      <w:pPr>
        <w:pStyle w:val="1064"/>
        <w:ind w:firstLine="480"/>
        <w:jc w:val="both"/>
        <w:keepLines w:val="0"/>
        <w:keepNext w:val="0"/>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1、由于乙方原因，延误提交</w:t>
      </w:r>
      <w:r>
        <w:rPr>
          <w:rFonts w:hint="eastAsia" w:ascii="宋体" w:hAnsi="宋体" w:eastAsia="宋体" w:cs="宋体"/>
          <w:color w:val="000000"/>
          <w:sz w:val="24"/>
          <w:highlight w:val="none"/>
          <w:lang w:eastAsia="zh-CN"/>
        </w:rPr>
        <w:t xml:space="preserve">成果文件</w:t>
      </w:r>
      <w:r>
        <w:rPr>
          <w:rFonts w:hint="eastAsia" w:ascii="宋体" w:hAnsi="宋体" w:eastAsia="宋体" w:cs="宋体"/>
          <w:color w:val="000000"/>
          <w:sz w:val="24"/>
          <w:highlight w:val="none"/>
        </w:rPr>
        <w:t xml:space="preserve">的，每延误一天，应向甲方支付该2000元/天违约金，单期逾期超过10个工作日或累计逾期超过20个工作日的，视为乙方根本违约，乙方应赔偿甲方合同价款的10%作为违约金，并赔偿由此给甲方造成的全部损失和费用。上述违约金和赔偿金可直接从</w:t>
      </w:r>
      <w:r>
        <w:rPr>
          <w:rFonts w:hint="eastAsia" w:ascii="宋体" w:hAnsi="宋体" w:eastAsia="宋体" w:cs="宋体"/>
          <w:color w:val="000000"/>
          <w:sz w:val="24"/>
          <w:highlight w:val="none"/>
          <w:lang w:eastAsia="zh-CN"/>
        </w:rPr>
        <w:t xml:space="preserve">服务</w:t>
      </w:r>
      <w:r>
        <w:rPr>
          <w:rFonts w:hint="eastAsia" w:ascii="宋体" w:hAnsi="宋体" w:eastAsia="宋体" w:cs="宋体"/>
          <w:color w:val="000000"/>
          <w:sz w:val="24"/>
          <w:highlight w:val="none"/>
        </w:rPr>
        <w:t xml:space="preserve">费中扣除。</w:t>
      </w:r>
      <w:r>
        <w:rPr>
          <w:rFonts w:hint="eastAsia" w:ascii="宋体" w:hAnsi="宋体" w:eastAsia="宋体" w:cs="宋体"/>
          <w:color w:val="000000"/>
          <w:sz w:val="24"/>
          <w:highlight w:val="none"/>
        </w:rPr>
      </w:r>
      <w:r/>
    </w:p>
    <w:p>
      <w:pPr>
        <w:pStyle w:val="1064"/>
        <w:ind w:firstLine="480"/>
        <w:jc w:val="both"/>
        <w:keepLines w:val="0"/>
        <w:keepNext w:val="0"/>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2、乙方应确保所递交的报告通过甲方及相关部门组织的专家组评审验收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如乙方报告未能通过上述任何一项验收的，乙方应在两周内修改补充完善报告，保证完成上述相关事项，否则，甲方有权解除本合同，要求乙方返还已支付的调查费，并要求乙方支付本合同价款5%的违约金。上述违约金和赔偿金可直接从</w:t>
      </w:r>
      <w:r>
        <w:rPr>
          <w:rFonts w:hint="eastAsia" w:ascii="宋体" w:hAnsi="宋体" w:eastAsia="宋体" w:cs="宋体"/>
          <w:color w:val="000000"/>
          <w:sz w:val="24"/>
          <w:highlight w:val="none"/>
          <w:lang w:eastAsia="zh-CN"/>
        </w:rPr>
        <w:t xml:space="preserve">服务</w:t>
      </w:r>
      <w:r>
        <w:rPr>
          <w:rFonts w:hint="eastAsia" w:ascii="宋体" w:hAnsi="宋体" w:eastAsia="宋体" w:cs="宋体"/>
          <w:color w:val="000000"/>
          <w:sz w:val="24"/>
          <w:highlight w:val="none"/>
        </w:rPr>
        <w:t xml:space="preserve">费中扣除。</w:t>
      </w:r>
      <w:r>
        <w:rPr>
          <w:rFonts w:hint="eastAsia" w:ascii="宋体" w:hAnsi="宋体" w:eastAsia="宋体" w:cs="宋体"/>
          <w:color w:val="000000"/>
          <w:sz w:val="24"/>
          <w:highlight w:val="none"/>
        </w:rPr>
      </w:r>
      <w:r/>
    </w:p>
    <w:p>
      <w:pPr>
        <w:pStyle w:val="1064"/>
        <w:ind w:firstLine="480"/>
        <w:jc w:val="both"/>
        <w:keepLines w:val="0"/>
        <w:keepNext w:val="0"/>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3、合同生效后，未经甲方书面同意，乙方不得擅自解除合同或终止合同履行，否则，应向甲方支付合同总价30％的违约金，并赔偿由此给甲方造成的全部损失和费用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包括但不限于诉讼仲裁费、律师费、鉴定费等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。上述违约金和赔偿金可直接从</w:t>
      </w:r>
      <w:r>
        <w:rPr>
          <w:rFonts w:hint="eastAsia" w:ascii="宋体" w:hAnsi="宋体" w:eastAsia="宋体" w:cs="宋体"/>
          <w:color w:val="000000"/>
          <w:sz w:val="24"/>
          <w:highlight w:val="none"/>
          <w:lang w:eastAsia="zh-CN"/>
        </w:rPr>
        <w:t xml:space="preserve">服务</w:t>
      </w:r>
      <w:r>
        <w:rPr>
          <w:rFonts w:hint="eastAsia" w:ascii="宋体" w:hAnsi="宋体" w:eastAsia="宋体" w:cs="宋体"/>
          <w:color w:val="000000"/>
          <w:sz w:val="24"/>
          <w:highlight w:val="none"/>
        </w:rPr>
        <w:t xml:space="preserve">费中扣除。</w:t>
      </w:r>
      <w:r>
        <w:rPr>
          <w:rFonts w:hint="eastAsia" w:ascii="宋体" w:hAnsi="宋体" w:eastAsia="宋体" w:cs="宋体"/>
          <w:color w:val="000000"/>
          <w:sz w:val="24"/>
          <w:highlight w:val="none"/>
        </w:rPr>
      </w:r>
      <w:r/>
    </w:p>
    <w:p>
      <w:pPr>
        <w:pStyle w:val="1064"/>
        <w:ind w:firstLine="480"/>
        <w:jc w:val="both"/>
        <w:keepLines w:val="0"/>
        <w:keepNext w:val="0"/>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4、乙方应确保其工作人员的人身安全，自费购买安全保险、安全防护设备等（该费用已包含在总价中，乙方不得再向甲方主张），乙方工作人员如发生任何人身损害，</w:t>
      </w:r>
      <w:r>
        <w:rPr>
          <w:rFonts w:hint="eastAsia" w:ascii="宋体" w:hAnsi="宋体" w:eastAsia="宋体" w:cs="宋体"/>
          <w:color w:val="000000"/>
          <w:sz w:val="24"/>
          <w:highlight w:val="none"/>
          <w:lang w:eastAsia="zh-CN"/>
        </w:rPr>
        <w:t xml:space="preserve">由</w:t>
      </w:r>
      <w:r>
        <w:rPr>
          <w:rFonts w:hint="eastAsia" w:ascii="宋体" w:hAnsi="宋体" w:eastAsia="宋体" w:cs="宋体"/>
          <w:color w:val="000000"/>
          <w:sz w:val="24"/>
          <w:highlight w:val="none"/>
        </w:rPr>
        <w:t xml:space="preserve">乙方</w:t>
      </w:r>
      <w:r>
        <w:rPr>
          <w:rFonts w:hint="eastAsia" w:ascii="宋体" w:hAnsi="宋体" w:eastAsia="宋体" w:cs="宋体"/>
          <w:color w:val="000000"/>
          <w:sz w:val="24"/>
          <w:highlight w:val="none"/>
          <w:lang w:eastAsia="zh-CN"/>
        </w:rPr>
        <w:t xml:space="preserve">承担一切责任及经济赔偿、损失，甲方</w:t>
      </w:r>
      <w:r>
        <w:rPr>
          <w:rFonts w:hint="eastAsia" w:ascii="宋体" w:hAnsi="宋体" w:eastAsia="宋体" w:cs="宋体"/>
          <w:color w:val="000000"/>
          <w:sz w:val="24"/>
          <w:highlight w:val="none"/>
        </w:rPr>
        <w:t xml:space="preserve">不承担任何责任</w:t>
      </w:r>
      <w:r>
        <w:rPr>
          <w:rFonts w:hint="eastAsia" w:ascii="宋体" w:hAnsi="宋体" w:eastAsia="宋体" w:cs="宋体"/>
          <w:color w:val="000000"/>
          <w:sz w:val="24"/>
          <w:highlight w:val="none"/>
          <w:lang w:eastAsia="zh-CN"/>
        </w:rPr>
        <w:t xml:space="preserve">及经济赔偿、损失；</w:t>
      </w:r>
      <w:r>
        <w:rPr>
          <w:rFonts w:hint="eastAsia" w:ascii="宋体" w:hAnsi="宋体" w:eastAsia="宋体" w:cs="宋体"/>
          <w:color w:val="000000"/>
          <w:sz w:val="24"/>
          <w:highlight w:val="none"/>
        </w:rPr>
        <w:t xml:space="preserve">如对甲方造成损失的，乙方应全额赔偿甲方损失。</w:t>
      </w:r>
      <w:r>
        <w:rPr>
          <w:rFonts w:hint="eastAsia" w:ascii="宋体" w:hAnsi="宋体" w:eastAsia="宋体" w:cs="宋体"/>
          <w:color w:val="000000"/>
          <w:sz w:val="24"/>
          <w:highlight w:val="none"/>
        </w:rPr>
      </w:r>
      <w:r/>
    </w:p>
    <w:p>
      <w:pPr>
        <w:pStyle w:val="1064"/>
        <w:ind w:firstLine="480"/>
        <w:jc w:val="both"/>
        <w:keepLines w:val="0"/>
        <w:keepNext w:val="0"/>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乙方须负责该项目作业人员的人事、劳资、办理社会保险和商业保险、计生等人事劳资管理工作，并提供为该项目人员办理劳动用工手续、结算发放工资、发放经济补偿金、缴纳社会保险、处理保险理赔、管理人事档案等方面的管理服务；合同服务期内所有劳资纠纷和调解管理纠纷</w:t>
      </w:r>
      <w:r>
        <w:rPr>
          <w:rFonts w:hint="eastAsia" w:ascii="宋体" w:hAnsi="宋体" w:eastAsia="宋体" w:cs="宋体"/>
          <w:color w:val="000000"/>
          <w:sz w:val="24"/>
          <w:highlight w:val="none"/>
          <w:lang w:eastAsia="zh-CN"/>
        </w:rPr>
        <w:t xml:space="preserve">均由</w:t>
      </w:r>
      <w:r>
        <w:rPr>
          <w:rFonts w:hint="eastAsia" w:ascii="宋体" w:hAnsi="宋体" w:eastAsia="宋体" w:cs="宋体"/>
          <w:color w:val="000000"/>
          <w:sz w:val="24"/>
          <w:highlight w:val="none"/>
        </w:rPr>
        <w:t xml:space="preserve">乙方</w:t>
      </w:r>
      <w:r>
        <w:rPr>
          <w:rFonts w:hint="eastAsia" w:ascii="宋体" w:hAnsi="宋体" w:eastAsia="宋体" w:cs="宋体"/>
          <w:color w:val="000000"/>
          <w:sz w:val="24"/>
          <w:highlight w:val="none"/>
          <w:lang w:eastAsia="zh-CN"/>
        </w:rPr>
        <w:t xml:space="preserve">负责处理，由</w:t>
      </w:r>
      <w:r>
        <w:rPr>
          <w:rFonts w:hint="eastAsia" w:ascii="宋体" w:hAnsi="宋体" w:eastAsia="宋体" w:cs="宋体"/>
          <w:color w:val="000000"/>
          <w:sz w:val="24"/>
          <w:highlight w:val="none"/>
        </w:rPr>
        <w:t xml:space="preserve">乙方</w:t>
      </w:r>
      <w:r>
        <w:rPr>
          <w:rFonts w:hint="eastAsia" w:ascii="宋体" w:hAnsi="宋体" w:eastAsia="宋体" w:cs="宋体"/>
          <w:color w:val="000000"/>
          <w:sz w:val="24"/>
          <w:highlight w:val="none"/>
          <w:lang w:eastAsia="zh-CN"/>
        </w:rPr>
        <w:t xml:space="preserve">承担一切责任及经济赔偿、损失，甲方</w:t>
      </w:r>
      <w:r>
        <w:rPr>
          <w:rFonts w:hint="eastAsia" w:ascii="宋体" w:hAnsi="宋体" w:eastAsia="宋体" w:cs="宋体"/>
          <w:color w:val="000000"/>
          <w:sz w:val="24"/>
          <w:highlight w:val="none"/>
        </w:rPr>
        <w:t xml:space="preserve">不承担任何责任</w:t>
      </w:r>
      <w:r>
        <w:rPr>
          <w:rFonts w:hint="eastAsia" w:ascii="宋体" w:hAnsi="宋体" w:eastAsia="宋体" w:cs="宋体"/>
          <w:color w:val="000000"/>
          <w:sz w:val="24"/>
          <w:highlight w:val="none"/>
          <w:lang w:eastAsia="zh-CN"/>
        </w:rPr>
        <w:t xml:space="preserve">及经济赔偿、损失；</w:t>
      </w:r>
      <w:r>
        <w:rPr>
          <w:rFonts w:hint="eastAsia" w:ascii="宋体" w:hAnsi="宋体" w:eastAsia="宋体" w:cs="宋体"/>
          <w:color w:val="000000"/>
          <w:sz w:val="24"/>
          <w:highlight w:val="none"/>
        </w:rPr>
        <w:t xml:space="preserve">如对甲方造成损失的，乙方应全额赔偿甲方损失。</w:t>
      </w:r>
      <w:r>
        <w:rPr>
          <w:rFonts w:hint="eastAsia" w:ascii="宋体" w:hAnsi="宋体" w:eastAsia="宋体" w:cs="宋体"/>
          <w:color w:val="000000"/>
          <w:sz w:val="24"/>
          <w:highlight w:val="none"/>
        </w:rPr>
      </w:r>
      <w:r/>
    </w:p>
    <w:p>
      <w:pPr>
        <w:pStyle w:val="1064"/>
        <w:ind w:firstLine="480"/>
        <w:jc w:val="both"/>
        <w:keepLines w:val="0"/>
        <w:keepNext w:val="0"/>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未经甲方书面同意，乙方不得将本合同项下委托事项全部或部分转包分包给第三人，否则，甲方有权立即解除本合同，并要求乙方返还已支付的调查费及支付本合同调查费20%的违约金，并赔偿由此给甲方造成的全部损失和费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包括但不限于诉讼仲裁费、律师费、鉴定费等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。上述违约金和赔偿金可直接从</w:t>
      </w:r>
      <w:r>
        <w:rPr>
          <w:rFonts w:hint="eastAsia" w:ascii="宋体" w:hAnsi="宋体" w:eastAsia="宋体" w:cs="宋体"/>
          <w:color w:val="000000"/>
          <w:sz w:val="24"/>
          <w:highlight w:val="none"/>
          <w:lang w:eastAsia="zh-CN"/>
        </w:rPr>
        <w:t xml:space="preserve">服务</w:t>
      </w:r>
      <w:r>
        <w:rPr>
          <w:rFonts w:hint="eastAsia" w:ascii="宋体" w:hAnsi="宋体" w:eastAsia="宋体" w:cs="宋体"/>
          <w:color w:val="000000"/>
          <w:sz w:val="24"/>
          <w:highlight w:val="none"/>
        </w:rPr>
        <w:t xml:space="preserve">费中扣除。</w:t>
      </w:r>
      <w:r>
        <w:rPr>
          <w:rFonts w:hint="eastAsia" w:ascii="宋体" w:hAnsi="宋体" w:eastAsia="宋体" w:cs="宋体"/>
          <w:color w:val="000000"/>
          <w:sz w:val="24"/>
          <w:highlight w:val="none"/>
        </w:rPr>
      </w:r>
      <w:r/>
    </w:p>
    <w:p>
      <w:pPr>
        <w:pStyle w:val="1064"/>
        <w:ind w:firstLine="480"/>
        <w:keepLines w:val="0"/>
        <w:keepNext w:val="0"/>
        <w:pageBreakBefore w:val="0"/>
        <w:spacing w:line="480" w:lineRule="exact"/>
        <w:rPr>
          <w:rFonts w:hint="eastAsia" w:ascii="宋体" w:hAnsi="宋体" w:eastAsia="宋体" w:cs="宋体"/>
          <w:color w:val="000000"/>
          <w:sz w:val="24"/>
          <w:highlight w:val="none"/>
        </w:rPr>
        <w:outlineLvl w:val="0"/>
      </w:pPr>
      <w:r/>
      <w:bookmarkStart w:id="15" w:name="_Toc76417657"/>
      <w:r>
        <w:rPr>
          <w:rFonts w:hint="eastAsia" w:ascii="宋体" w:hAnsi="宋体" w:eastAsia="宋体" w:cs="宋体"/>
          <w:color w:val="000000"/>
          <w:sz w:val="24"/>
          <w:highlight w:val="none"/>
        </w:rPr>
        <w:t xml:space="preserve">十</w:t>
      </w:r>
      <w:r>
        <w:rPr>
          <w:rFonts w:hint="eastAsia" w:ascii="宋体" w:hAnsi="宋体" w:eastAsia="宋体" w:cs="宋体"/>
          <w:color w:val="000000"/>
          <w:sz w:val="24"/>
          <w:highlight w:val="none"/>
          <w:lang w:eastAsia="zh-CN"/>
        </w:rPr>
        <w:t xml:space="preserve">一</w:t>
      </w:r>
      <w:r>
        <w:rPr>
          <w:rFonts w:hint="eastAsia" w:ascii="宋体" w:hAnsi="宋体" w:eastAsia="宋体" w:cs="宋体"/>
          <w:color w:val="000000"/>
          <w:sz w:val="24"/>
          <w:highlight w:val="none"/>
        </w:rPr>
        <w:t xml:space="preserve">、保密</w:t>
      </w:r>
      <w:bookmarkEnd w:id="15"/>
      <w:r>
        <w:rPr>
          <w:rFonts w:hint="eastAsia" w:ascii="宋体" w:hAnsi="宋体" w:eastAsia="宋体" w:cs="宋体"/>
          <w:color w:val="000000"/>
          <w:sz w:val="24"/>
          <w:highlight w:val="none"/>
        </w:rPr>
      </w:r>
      <w:r/>
    </w:p>
    <w:p>
      <w:pPr>
        <w:pStyle w:val="1064"/>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双方均应保护对方的知识产权，未经对方同意，任何一方均不得对对方的资料及文件擅自修改、复制或向第三人转让或用于本合同项目外的项目。如发生以上情况，泄密方承担一切由此引起的后果并承担赔偿责任。</w:t>
      </w:r>
      <w:r>
        <w:rPr>
          <w:rFonts w:hint="eastAsia" w:ascii="宋体" w:hAnsi="宋体" w:eastAsia="宋体" w:cs="宋体"/>
          <w:color w:val="000000"/>
          <w:sz w:val="24"/>
          <w:highlight w:val="none"/>
        </w:rPr>
      </w:r>
      <w:r/>
    </w:p>
    <w:p>
      <w:pPr>
        <w:pStyle w:val="1064"/>
        <w:keepLines w:val="0"/>
        <w:keepNext w:val="0"/>
        <w:pageBreakBefore w:val="0"/>
        <w:spacing w:line="48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　　</w:t>
      </w:r>
      <w:bookmarkStart w:id="16" w:name="_Toc76417658"/>
      <w:r>
        <w:rPr>
          <w:rFonts w:hint="eastAsia" w:ascii="宋体" w:hAnsi="宋体" w:eastAsia="宋体" w:cs="宋体"/>
          <w:color w:val="000000"/>
          <w:sz w:val="24"/>
          <w:highlight w:val="none"/>
        </w:rPr>
        <w:t xml:space="preserve">十</w:t>
      </w:r>
      <w:r>
        <w:rPr>
          <w:rFonts w:hint="eastAsia" w:ascii="宋体" w:hAnsi="宋体" w:eastAsia="宋体" w:cs="宋体"/>
          <w:color w:val="000000"/>
          <w:sz w:val="24"/>
          <w:highlight w:val="none"/>
          <w:lang w:eastAsia="zh-CN"/>
        </w:rPr>
        <w:t xml:space="preserve">二</w:t>
      </w:r>
      <w:r>
        <w:rPr>
          <w:rFonts w:hint="eastAsia" w:ascii="宋体" w:hAnsi="宋体" w:eastAsia="宋体" w:cs="宋体"/>
          <w:color w:val="000000"/>
          <w:sz w:val="24"/>
          <w:highlight w:val="none"/>
        </w:rPr>
        <w:t xml:space="preserve">、争议解决</w:t>
      </w:r>
      <w:bookmarkEnd w:id="16"/>
      <w:r>
        <w:rPr>
          <w:rFonts w:hint="eastAsia" w:ascii="宋体" w:hAnsi="宋体" w:eastAsia="宋体" w:cs="宋体"/>
          <w:color w:val="000000"/>
          <w:sz w:val="24"/>
          <w:highlight w:val="none"/>
        </w:rPr>
      </w:r>
      <w:r/>
    </w:p>
    <w:p>
      <w:pPr>
        <w:pStyle w:val="1064"/>
        <w:ind w:firstLine="480"/>
        <w:keepLines w:val="0"/>
        <w:keepNext w:val="0"/>
        <w:pageBreakBefore w:val="0"/>
        <w:spacing w:line="48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本合同发生争议，甲方与乙方应及时协商解决。也可由当地行政主管部门调解，调解不成时，双方当事人同意向甲方所在地人民法院诉讼解决。</w:t>
      </w:r>
      <w:r>
        <w:rPr>
          <w:rFonts w:hint="eastAsia" w:ascii="宋体" w:hAnsi="宋体" w:eastAsia="宋体" w:cs="宋体"/>
          <w:color w:val="000000"/>
          <w:sz w:val="24"/>
          <w:highlight w:val="none"/>
        </w:rPr>
      </w:r>
      <w:r/>
    </w:p>
    <w:p>
      <w:pPr>
        <w:pStyle w:val="1064"/>
        <w:ind w:firstLine="480"/>
        <w:keepLines w:val="0"/>
        <w:keepNext w:val="0"/>
        <w:pageBreakBefore w:val="0"/>
        <w:spacing w:line="480" w:lineRule="exact"/>
        <w:rPr>
          <w:rFonts w:hint="eastAsia" w:ascii="宋体" w:hAnsi="宋体" w:eastAsia="宋体" w:cs="宋体"/>
          <w:color w:val="000000"/>
          <w:sz w:val="24"/>
          <w:highlight w:val="none"/>
        </w:rPr>
        <w:outlineLvl w:val="0"/>
      </w:pPr>
      <w:r/>
      <w:bookmarkStart w:id="17" w:name="_Toc76417659"/>
      <w:r>
        <w:rPr>
          <w:rFonts w:hint="eastAsia" w:ascii="宋体" w:hAnsi="宋体" w:eastAsia="宋体" w:cs="宋体"/>
          <w:color w:val="000000"/>
          <w:sz w:val="24"/>
          <w:highlight w:val="none"/>
        </w:rPr>
        <w:t xml:space="preserve">十</w:t>
      </w:r>
      <w:r>
        <w:rPr>
          <w:rFonts w:hint="eastAsia" w:ascii="宋体" w:hAnsi="宋体" w:eastAsia="宋体" w:cs="宋体"/>
          <w:color w:val="000000"/>
          <w:sz w:val="24"/>
          <w:highlight w:val="none"/>
          <w:lang w:eastAsia="zh-CN"/>
        </w:rPr>
        <w:t xml:space="preserve">三</w:t>
      </w:r>
      <w:r>
        <w:rPr>
          <w:rFonts w:hint="eastAsia" w:ascii="宋体" w:hAnsi="宋体" w:eastAsia="宋体" w:cs="宋体"/>
          <w:color w:val="000000"/>
          <w:sz w:val="24"/>
          <w:highlight w:val="none"/>
        </w:rPr>
        <w:t xml:space="preserve">、合同生效及其他</w:t>
      </w:r>
      <w:bookmarkEnd w:id="17"/>
      <w:r>
        <w:rPr>
          <w:rFonts w:hint="eastAsia" w:ascii="宋体" w:hAnsi="宋体" w:eastAsia="宋体" w:cs="宋体"/>
          <w:color w:val="000000"/>
          <w:sz w:val="24"/>
          <w:highlight w:val="none"/>
        </w:rPr>
      </w:r>
      <w:r/>
    </w:p>
    <w:p>
      <w:pPr>
        <w:pStyle w:val="1064"/>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1.承包人在本合同约定的服务期限内为发包人提供服务。</w:t>
      </w:r>
      <w:r>
        <w:rPr>
          <w:rFonts w:hint="eastAsia" w:ascii="宋体" w:hAnsi="宋体" w:eastAsia="宋体" w:cs="宋体"/>
          <w:color w:val="000000"/>
          <w:sz w:val="24"/>
          <w:highlight w:val="none"/>
        </w:rPr>
      </w:r>
      <w:r/>
    </w:p>
    <w:p>
      <w:pPr>
        <w:pStyle w:val="1064"/>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2.发包人委托承包人承担本合同内容以外的工作服务，另行签订协议并支付费用。</w:t>
      </w:r>
      <w:r>
        <w:rPr>
          <w:rFonts w:hint="eastAsia" w:ascii="宋体" w:hAnsi="宋体" w:eastAsia="宋体" w:cs="宋体"/>
          <w:color w:val="000000"/>
          <w:sz w:val="24"/>
          <w:highlight w:val="none"/>
        </w:rPr>
      </w:r>
      <w:r/>
    </w:p>
    <w:p>
      <w:pPr>
        <w:pStyle w:val="1064"/>
        <w:ind w:firstLine="480"/>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3.由于不可抗力因素致使合同无法履行时，双方应及时协商解决。</w:t>
      </w:r>
      <w:r>
        <w:rPr>
          <w:rFonts w:hint="eastAsia" w:ascii="宋体" w:hAnsi="宋体" w:eastAsia="宋体" w:cs="宋体"/>
          <w:color w:val="000000"/>
          <w:sz w:val="24"/>
          <w:highlight w:val="none"/>
        </w:rPr>
      </w:r>
      <w:r/>
    </w:p>
    <w:p>
      <w:pPr>
        <w:pStyle w:val="1064"/>
        <w:ind w:firstLine="480"/>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4.双方认可的来往传真、电报、会议纪要等，均为合同的组成部分，与本合同具有同等法律效力。</w:t>
      </w:r>
      <w:r>
        <w:rPr>
          <w:rFonts w:hint="eastAsia" w:ascii="宋体" w:hAnsi="宋体" w:eastAsia="宋体" w:cs="宋体"/>
          <w:color w:val="000000"/>
          <w:sz w:val="24"/>
          <w:highlight w:val="none"/>
        </w:rPr>
      </w:r>
      <w:r/>
    </w:p>
    <w:p>
      <w:pPr>
        <w:pStyle w:val="1064"/>
        <w:ind w:firstLine="480"/>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5.合同不可分割部分：采购文件、响应文件、合同条款及中标通知书，乙方在投标、评标过程中所作其它有关承诺、声明、书面澄清等均为合同不可分割的部分，与主合同具有同等法律效力。</w:t>
      </w:r>
      <w:r>
        <w:rPr>
          <w:rFonts w:hint="eastAsia" w:ascii="宋体" w:hAnsi="宋体" w:eastAsia="宋体" w:cs="宋体"/>
          <w:color w:val="000000"/>
          <w:sz w:val="24"/>
          <w:highlight w:val="none"/>
        </w:rPr>
      </w:r>
      <w:r/>
    </w:p>
    <w:p>
      <w:pPr>
        <w:pStyle w:val="1064"/>
        <w:ind w:firstLine="480"/>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6.本合同双方签字盖章并见证即生效，一式</w:t>
      </w:r>
      <w:r>
        <w:rPr>
          <w:rFonts w:hint="eastAsia" w:ascii="宋体" w:hAnsi="宋体" w:eastAsia="宋体" w:cs="宋体"/>
          <w:color w:val="000000"/>
          <w:sz w:val="24"/>
          <w:highlight w:val="none"/>
          <w:u w:val="single"/>
        </w:rPr>
        <w:t xml:space="preserve"> 伍 </w:t>
      </w:r>
      <w:r>
        <w:rPr>
          <w:rFonts w:hint="eastAsia" w:ascii="宋体" w:hAnsi="宋体" w:eastAsia="宋体" w:cs="宋体"/>
          <w:color w:val="000000"/>
          <w:sz w:val="24"/>
          <w:highlight w:val="none"/>
        </w:rPr>
        <w:t xml:space="preserve">份，发包人</w:t>
      </w:r>
      <w:r>
        <w:rPr>
          <w:rFonts w:hint="eastAsia" w:ascii="宋体" w:hAnsi="宋体" w:eastAsia="宋体" w:cs="宋体"/>
          <w:color w:val="000000"/>
          <w:sz w:val="24"/>
          <w:highlight w:val="none"/>
          <w:u w:val="single"/>
        </w:rPr>
        <w:t xml:space="preserve"> 贰 </w:t>
      </w:r>
      <w:r>
        <w:rPr>
          <w:rFonts w:hint="eastAsia" w:ascii="宋体" w:hAnsi="宋体" w:eastAsia="宋体" w:cs="宋体"/>
          <w:color w:val="000000"/>
          <w:sz w:val="24"/>
          <w:highlight w:val="none"/>
        </w:rPr>
        <w:t xml:space="preserve">份，承包人</w:t>
      </w:r>
      <w:r>
        <w:rPr>
          <w:rFonts w:hint="eastAsia" w:ascii="宋体" w:hAnsi="宋体" w:eastAsia="宋体" w:cs="宋体"/>
          <w:color w:val="000000"/>
          <w:sz w:val="24"/>
          <w:highlight w:val="none"/>
          <w:u w:val="single"/>
        </w:rPr>
        <w:t xml:space="preserve"> 贰 </w:t>
      </w:r>
      <w:r>
        <w:rPr>
          <w:rFonts w:hint="eastAsia" w:ascii="宋体" w:hAnsi="宋体" w:eastAsia="宋体" w:cs="宋体"/>
          <w:color w:val="000000"/>
          <w:sz w:val="24"/>
          <w:highlight w:val="none"/>
        </w:rPr>
        <w:t xml:space="preserve">份，见证人</w:t>
      </w:r>
      <w:r>
        <w:rPr>
          <w:rFonts w:hint="eastAsia" w:ascii="宋体" w:hAnsi="宋体" w:eastAsia="宋体" w:cs="宋体"/>
          <w:color w:val="000000"/>
          <w:sz w:val="24"/>
          <w:highlight w:val="none"/>
          <w:u w:val="single"/>
        </w:rPr>
        <w:t xml:space="preserve">壹</w:t>
      </w:r>
      <w:r>
        <w:rPr>
          <w:rFonts w:hint="eastAsia" w:ascii="宋体" w:hAnsi="宋体" w:eastAsia="宋体" w:cs="宋体"/>
          <w:color w:val="000000"/>
          <w:sz w:val="24"/>
          <w:highlight w:val="none"/>
        </w:rPr>
        <w:t xml:space="preserve">份。</w:t>
      </w:r>
      <w:r>
        <w:rPr>
          <w:rFonts w:hint="eastAsia" w:ascii="宋体" w:hAnsi="宋体" w:eastAsia="宋体" w:cs="宋体"/>
          <w:color w:val="000000"/>
          <w:sz w:val="24"/>
          <w:highlight w:val="none"/>
        </w:rPr>
      </w:r>
      <w:r/>
    </w:p>
    <w:p>
      <w:pPr>
        <w:pStyle w:val="1064"/>
        <w:ind w:firstLine="420"/>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7.未尽事宜，经双方协商一致，签订补充协议，补充协议与本合同具有同等效力。</w:t>
      </w:r>
      <w:r>
        <w:rPr>
          <w:rFonts w:hint="eastAsia" w:ascii="宋体" w:hAnsi="宋体" w:eastAsia="宋体" w:cs="宋体"/>
          <w:color w:val="000000"/>
          <w:sz w:val="24"/>
          <w:highlight w:val="none"/>
        </w:rPr>
      </w:r>
      <w:r/>
    </w:p>
    <w:p>
      <w:pPr>
        <w:pStyle w:val="1064"/>
        <w:ind w:firstLine="480"/>
        <w:keepLines w:val="0"/>
        <w:keepNext w:val="0"/>
        <w:pageBreakBefore w:val="0"/>
        <w:spacing w:before="120" w:after="120"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4"/>
        <w:ind w:firstLine="480"/>
        <w:keepLines w:val="0"/>
        <w:keepNext w:val="0"/>
        <w:pageBreakBefore w:val="0"/>
        <w:spacing w:before="120" w:after="120" w:line="2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盖章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承包人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盖章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64"/>
        <w:ind w:firstLine="480"/>
        <w:keepLines w:val="0"/>
        <w:keepNext w:val="0"/>
        <w:pageBreakBefore w:val="0"/>
        <w:spacing w:before="120" w:after="120" w:line="2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法定代表人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64"/>
        <w:ind w:firstLine="480"/>
        <w:keepLines w:val="0"/>
        <w:keepNext w:val="0"/>
        <w:pageBreakBefore w:val="0"/>
        <w:spacing w:before="120" w:after="120" w:line="2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委托代理人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委托代理人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64"/>
        <w:ind w:firstLine="480"/>
        <w:keepLines w:val="0"/>
        <w:keepNext w:val="0"/>
        <w:pageBreakBefore w:val="0"/>
        <w:spacing w:before="120" w:after="120" w:line="2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电　　话</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64"/>
        <w:ind w:firstLine="480"/>
        <w:keepLines w:val="0"/>
        <w:keepNext w:val="0"/>
        <w:pageBreakBefore w:val="0"/>
        <w:spacing w:before="120" w:after="120" w:line="2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　　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传　　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64"/>
        <w:ind w:firstLine="480"/>
        <w:keepLines w:val="0"/>
        <w:keepNext w:val="0"/>
        <w:pageBreakBefore w:val="0"/>
        <w:spacing w:before="120" w:after="120" w:line="2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银行账号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银行账号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64"/>
        <w:ind w:firstLine="461"/>
        <w:keepLines w:val="0"/>
        <w:keepNext w:val="0"/>
        <w:pageBreakBefore w:val="0"/>
        <w:spacing w:line="320" w:lineRule="exact"/>
        <w:rPr>
          <w:rFonts w:hint="eastAsia" w:ascii="宋体" w:hAnsi="宋体" w:eastAsia="宋体" w:cs="宋体"/>
          <w:b/>
          <w:color w:val="000000"/>
          <w:spacing w:val="12"/>
          <w:sz w:val="24"/>
          <w:highlight w:val="none"/>
        </w:rPr>
      </w:pPr>
      <w:r>
        <w:rPr>
          <w:rFonts w:hint="eastAsia" w:ascii="宋体" w:hAnsi="宋体" w:eastAsia="宋体" w:cs="宋体"/>
          <w:b/>
          <w:color w:val="000000"/>
          <w:spacing w:val="12"/>
          <w:sz w:val="24"/>
          <w:highlight w:val="none"/>
        </w:rPr>
      </w:r>
      <w:r/>
    </w:p>
    <w:p>
      <w:pPr>
        <w:pStyle w:val="1064"/>
        <w:ind w:firstLine="461"/>
        <w:keepLines w:val="0"/>
        <w:keepNext w:val="0"/>
        <w:pageBreakBefore w:val="0"/>
        <w:spacing w:line="320" w:lineRule="exact"/>
        <w:rPr>
          <w:rFonts w:hint="eastAsia" w:ascii="宋体" w:hAnsi="宋体" w:eastAsia="宋体" w:cs="宋体"/>
          <w:b/>
          <w:color w:val="000000"/>
          <w:spacing w:val="12"/>
          <w:sz w:val="24"/>
          <w:highlight w:val="none"/>
          <w:u w:val="single"/>
        </w:rPr>
      </w:pPr>
      <w:r>
        <w:rPr>
          <w:rFonts w:hint="eastAsia" w:ascii="宋体" w:hAnsi="宋体" w:eastAsia="宋体" w:cs="宋体"/>
          <w:b/>
          <w:color w:val="000000"/>
          <w:spacing w:val="12"/>
          <w:sz w:val="24"/>
          <w:highlight w:val="none"/>
        </w:rPr>
        <w:t xml:space="preserve">见证人：</w:t>
      </w:r>
      <w:r>
        <w:rPr>
          <w:rFonts w:hint="eastAsia" w:ascii="宋体" w:hAnsi="宋体" w:eastAsia="宋体" w:cs="宋体"/>
          <w:b/>
          <w:color w:val="000000"/>
          <w:spacing w:val="12"/>
          <w:sz w:val="24"/>
          <w:highlight w:val="none"/>
          <w:u w:val="single"/>
        </w:rPr>
        <w:t xml:space="preserve">             （公章）</w:t>
      </w:r>
      <w:r>
        <w:rPr>
          <w:rFonts w:hint="eastAsia" w:ascii="宋体" w:hAnsi="宋体" w:eastAsia="宋体" w:cs="宋体"/>
          <w:b/>
          <w:color w:val="000000"/>
          <w:spacing w:val="12"/>
          <w:sz w:val="24"/>
          <w:highlight w:val="none"/>
          <w:u w:val="single"/>
        </w:rPr>
      </w:r>
      <w:r/>
    </w:p>
    <w:p>
      <w:pPr>
        <w:pStyle w:val="1064"/>
        <w:ind w:firstLine="480"/>
        <w:keepLines w:val="0"/>
        <w:keepNext w:val="0"/>
        <w:pageBreakBefore w:val="0"/>
        <w:spacing w:line="320" w:lineRule="exact"/>
        <w:shd w:val="clear" w:color="auto" w:fill="ffffff"/>
        <w:widowControl/>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日    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年　月　日</w:t>
      </w:r>
      <w:r>
        <w:rPr>
          <w:rFonts w:hint="eastAsia" w:ascii="宋体" w:hAnsi="宋体" w:eastAsia="宋体" w:cs="宋体"/>
          <w:color w:val="000000"/>
          <w:sz w:val="24"/>
          <w:highlight w:val="none"/>
        </w:rPr>
        <w:t xml:space="preserve">　</w:t>
      </w:r>
      <w:r>
        <w:rPr>
          <w:rFonts w:hint="eastAsia" w:ascii="宋体" w:hAnsi="宋体" w:eastAsia="宋体" w:cs="宋体"/>
          <w:b/>
          <w:color w:val="000000"/>
          <w:sz w:val="24"/>
          <w:highlight w:val="none"/>
        </w:rPr>
      </w:r>
      <w:r/>
    </w:p>
    <w:p>
      <w:pPr>
        <w:pStyle w:val="1064"/>
        <w:ind w:firstLine="482"/>
        <w:keepLines w:val="0"/>
        <w:keepNext w:val="0"/>
        <w:pageBreakBefore w:val="0"/>
        <w:spacing w:line="420" w:lineRule="exact"/>
        <w:shd w:val="clear" w:color="auto" w:fill="ffffff"/>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64"/>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五、 附件（投标文件格式）</w:t>
      </w:r>
      <w:r>
        <w:rPr>
          <w:rFonts w:hint="eastAsia" w:ascii="宋体" w:hAnsi="宋体" w:eastAsia="宋体" w:cs="宋体"/>
          <w:bCs/>
          <w:color w:val="000000"/>
          <w:sz w:val="28"/>
          <w:szCs w:val="28"/>
          <w:highlight w:val="none"/>
        </w:rPr>
      </w:r>
      <w:r/>
    </w:p>
    <w:p>
      <w:pPr>
        <w:pStyle w:val="1064"/>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64"/>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141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1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8"/>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4"/>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投</w:t>
      </w:r>
      <w:r>
        <w:rPr>
          <w:rFonts w:hint="eastAsia" w:ascii="宋体" w:hAnsi="宋体" w:eastAsia="宋体" w:cs="宋体"/>
          <w:bCs/>
          <w:color w:val="000000"/>
          <w:sz w:val="52"/>
          <w:szCs w:val="52"/>
          <w:highlight w:val="none"/>
        </w:rPr>
      </w:r>
      <w:r/>
    </w:p>
    <w:p>
      <w:pPr>
        <w:pStyle w:val="1064"/>
        <w:jc w:val="center"/>
        <w:rPr>
          <w:rFonts w:hint="eastAsia" w:ascii="宋体" w:hAnsi="宋体" w:eastAsia="宋体" w:cs="宋体"/>
          <w:bCs/>
          <w:color w:val="000000"/>
          <w:sz w:val="72"/>
          <w:highlight w:val="none"/>
        </w:rPr>
      </w:pPr>
      <w:r>
        <w:rPr>
          <w:rFonts w:hint="eastAsia" w:ascii="宋体" w:hAnsi="宋体" w:eastAsia="宋体" w:cs="宋体"/>
          <w:bCs/>
          <w:color w:val="000000"/>
          <w:sz w:val="72"/>
          <w:highlight w:val="none"/>
        </w:rPr>
      </w:r>
      <w:r/>
    </w:p>
    <w:p>
      <w:pPr>
        <w:pStyle w:val="1064"/>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标</w:t>
      </w:r>
      <w:r>
        <w:rPr>
          <w:rFonts w:hint="eastAsia" w:ascii="宋体" w:hAnsi="宋体" w:eastAsia="宋体" w:cs="宋体"/>
          <w:bCs/>
          <w:color w:val="000000"/>
          <w:sz w:val="52"/>
          <w:szCs w:val="52"/>
          <w:highlight w:val="none"/>
        </w:rPr>
      </w:r>
      <w:r/>
    </w:p>
    <w:p>
      <w:pPr>
        <w:pStyle w:val="1064"/>
        <w:jc w:val="center"/>
        <w:rPr>
          <w:rFonts w:hint="eastAsia" w:ascii="宋体" w:hAnsi="宋体" w:eastAsia="宋体" w:cs="宋体"/>
          <w:bCs/>
          <w:color w:val="000000"/>
          <w:sz w:val="72"/>
          <w:highlight w:val="none"/>
        </w:rPr>
      </w:pPr>
      <w:r>
        <w:rPr>
          <w:rFonts w:hint="eastAsia" w:ascii="宋体" w:hAnsi="宋体" w:eastAsia="宋体" w:cs="宋体"/>
          <w:bCs/>
          <w:color w:val="000000"/>
          <w:sz w:val="72"/>
          <w:highlight w:val="none"/>
        </w:rPr>
      </w:r>
      <w:r/>
    </w:p>
    <w:p>
      <w:pPr>
        <w:pStyle w:val="1064"/>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文</w:t>
      </w:r>
      <w:r>
        <w:rPr>
          <w:rFonts w:hint="eastAsia" w:ascii="宋体" w:hAnsi="宋体" w:eastAsia="宋体" w:cs="宋体"/>
          <w:bCs/>
          <w:color w:val="000000"/>
          <w:sz w:val="52"/>
          <w:szCs w:val="52"/>
          <w:highlight w:val="none"/>
        </w:rPr>
      </w:r>
      <w:r/>
    </w:p>
    <w:p>
      <w:pPr>
        <w:pStyle w:val="1064"/>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r>
      <w:r/>
    </w:p>
    <w:p>
      <w:pPr>
        <w:pStyle w:val="1064"/>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件</w:t>
      </w:r>
      <w:r>
        <w:rPr>
          <w:rFonts w:hint="eastAsia" w:ascii="宋体" w:hAnsi="宋体" w:eastAsia="宋体" w:cs="宋体"/>
          <w:bCs/>
          <w:color w:val="000000"/>
          <w:sz w:val="52"/>
          <w:szCs w:val="52"/>
          <w:highlight w:val="none"/>
        </w:rPr>
      </w:r>
      <w:r/>
    </w:p>
    <w:p>
      <w:pPr>
        <w:pStyle w:val="1064"/>
        <w:rPr>
          <w:rFonts w:hint="eastAsia" w:ascii="宋体" w:hAnsi="宋体" w:eastAsia="宋体" w:cs="宋体"/>
          <w:bCs/>
          <w:color w:val="000000"/>
          <w:sz w:val="28"/>
          <w:highlight w:val="none"/>
        </w:rPr>
      </w:pPr>
      <w:r>
        <w:rPr>
          <w:rFonts w:hint="eastAsia" w:ascii="宋体" w:hAnsi="宋体" w:eastAsia="宋体" w:cs="宋体"/>
          <w:bCs/>
          <w:color w:val="000000"/>
          <w:sz w:val="28"/>
          <w:highlight w:val="none"/>
        </w:rPr>
      </w:r>
      <w:r/>
    </w:p>
    <w:p>
      <w:pPr>
        <w:pStyle w:val="1064"/>
        <w:ind w:firstLine="2715"/>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177"/>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177"/>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177"/>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177"/>
        <w:ind w:firstLine="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177"/>
        <w:ind w:firstLine="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064"/>
        <w:ind w:firstLine="2715"/>
        <w:spacing w:line="5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政府采购编号：</w:t>
      </w:r>
      <w:r>
        <w:rPr>
          <w:rFonts w:hint="eastAsia" w:ascii="宋体" w:hAnsi="宋体" w:eastAsia="宋体" w:cs="宋体"/>
          <w:bCs/>
          <w:color w:val="000000"/>
          <w:sz w:val="28"/>
          <w:szCs w:val="28"/>
          <w:highlight w:val="none"/>
        </w:rPr>
      </w:r>
      <w:r/>
    </w:p>
    <w:p>
      <w:pPr>
        <w:pStyle w:val="1064"/>
        <w:ind w:firstLine="2703"/>
        <w:spacing w:line="5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采购项目名称：</w:t>
      </w:r>
      <w:r>
        <w:rPr>
          <w:rFonts w:hint="eastAsia" w:ascii="宋体" w:hAnsi="宋体" w:eastAsia="宋体" w:cs="宋体"/>
          <w:bCs/>
          <w:color w:val="000000"/>
          <w:sz w:val="28"/>
          <w:szCs w:val="28"/>
          <w:highlight w:val="none"/>
        </w:rPr>
      </w:r>
      <w:r/>
    </w:p>
    <w:p>
      <w:pPr>
        <w:pStyle w:val="1064"/>
        <w:ind w:firstLine="2703"/>
        <w:spacing w:line="5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投标人：</w:t>
      </w:r>
      <w:r>
        <w:rPr>
          <w:rFonts w:hint="eastAsia" w:ascii="宋体" w:hAnsi="宋体" w:eastAsia="宋体" w:cs="宋体"/>
          <w:bCs/>
          <w:color w:val="000000"/>
          <w:sz w:val="28"/>
          <w:szCs w:val="28"/>
          <w:highlight w:val="none"/>
        </w:rPr>
      </w:r>
      <w:r/>
    </w:p>
    <w:p>
      <w:pPr>
        <w:pStyle w:val="1064"/>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17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7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7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4"/>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二○二</w:t>
      </w:r>
      <w:r>
        <w:rPr>
          <w:rFonts w:hint="eastAsia" w:ascii="宋体" w:hAnsi="宋体" w:eastAsia="宋体" w:cs="宋体"/>
          <w:bCs/>
          <w:color w:val="000000"/>
          <w:sz w:val="28"/>
          <w:szCs w:val="28"/>
          <w:highlight w:val="none"/>
          <w:lang w:eastAsia="zh-CN"/>
        </w:rPr>
        <w:t xml:space="preserve">四</w:t>
      </w:r>
      <w:r>
        <w:rPr>
          <w:rFonts w:hint="eastAsia" w:ascii="宋体" w:hAnsi="宋体" w:eastAsia="宋体" w:cs="宋体"/>
          <w:bCs/>
          <w:color w:val="000000"/>
          <w:sz w:val="28"/>
          <w:szCs w:val="28"/>
          <w:highlight w:val="none"/>
        </w:rPr>
        <w:t xml:space="preserve">年  月  日</w:t>
      </w:r>
      <w:r>
        <w:rPr>
          <w:rFonts w:hint="eastAsia" w:ascii="宋体" w:hAnsi="宋体" w:eastAsia="宋体" w:cs="宋体"/>
          <w:bCs/>
          <w:color w:val="000000"/>
          <w:sz w:val="28"/>
          <w:szCs w:val="28"/>
          <w:highlight w:val="none"/>
        </w:rPr>
      </w:r>
      <w:r/>
    </w:p>
    <w:p>
      <w:pPr>
        <w:pStyle w:val="1064"/>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6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6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（一）投标函（格式）：</w:t>
      </w:r>
      <w:r>
        <w:rPr>
          <w:rFonts w:hint="eastAsia" w:ascii="宋体" w:hAnsi="宋体" w:eastAsia="宋体" w:cs="宋体"/>
          <w:bCs/>
          <w:color w:val="000000"/>
          <w:sz w:val="24"/>
          <w:highlight w:val="none"/>
        </w:rPr>
      </w:r>
      <w:r/>
    </w:p>
    <w:p>
      <w:pPr>
        <w:pStyle w:val="1064"/>
        <w:rPr>
          <w:rFonts w:hint="eastAsia" w:ascii="宋体" w:hAnsi="宋体" w:eastAsia="宋体" w:cs="宋体"/>
          <w:b/>
          <w:bCs/>
          <w:color w:val="000000"/>
          <w:sz w:val="24"/>
          <w:highlight w:val="none"/>
        </w:rPr>
        <w:outlineLvl w:val="0"/>
      </w:pPr>
      <w:r>
        <w:rPr>
          <w:rFonts w:hint="eastAsia" w:ascii="宋体" w:hAnsi="宋体" w:eastAsia="宋体" w:cs="宋体"/>
          <w:b/>
          <w:bCs/>
          <w:color w:val="000000"/>
          <w:sz w:val="24"/>
          <w:highlight w:val="none"/>
        </w:rPr>
      </w:r>
      <w:r/>
    </w:p>
    <w:p>
      <w:pPr>
        <w:pStyle w:val="1064"/>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8"/>
          <w:szCs w:val="28"/>
          <w:highlight w:val="none"/>
        </w:rPr>
        <w:t xml:space="preserve">投标函</w:t>
      </w:r>
      <w:r>
        <w:rPr>
          <w:rFonts w:hint="eastAsia" w:ascii="宋体" w:hAnsi="宋体" w:eastAsia="宋体" w:cs="宋体"/>
          <w:bCs/>
          <w:color w:val="000000"/>
          <w:sz w:val="24"/>
          <w:highlight w:val="none"/>
        </w:rPr>
      </w:r>
      <w:r/>
    </w:p>
    <w:p>
      <w:pPr>
        <w:pStyle w:val="1064"/>
        <w:spacing w:before="4" w:line="4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致：江苏建威建设管理有限公司</w:t>
      </w:r>
      <w:r>
        <w:rPr>
          <w:rFonts w:hint="eastAsia" w:ascii="宋体" w:hAnsi="宋体" w:eastAsia="宋体" w:cs="宋体"/>
          <w:color w:val="000000"/>
          <w:sz w:val="24"/>
          <w:highlight w:val="none"/>
        </w:rPr>
      </w:r>
      <w:r/>
    </w:p>
    <w:p>
      <w:pPr>
        <w:pStyle w:val="1064"/>
        <w:ind w:firstLine="48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我方收到贵方编号</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eastAsia="zh-CN"/>
        </w:rPr>
        <w:t xml:space="preserve">JSZC-320206-JSJW-G2024-0076</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招标文件，经仔细阅读和研究，我方决定参加此次</w:t>
      </w:r>
      <w:r>
        <w:rPr>
          <w:rFonts w:hint="eastAsia" w:ascii="宋体" w:hAnsi="宋体" w:eastAsia="宋体" w:cs="宋体"/>
          <w:bCs/>
          <w:color w:val="000000"/>
          <w:sz w:val="24"/>
          <w:highlight w:val="none"/>
          <w:lang w:eastAsia="zh-CN"/>
        </w:rPr>
        <w:t xml:space="preserve">无锡金属表面处理科技工业园区土壤和地下水污染管控方案编制采购服务</w:t>
      </w:r>
      <w:r>
        <w:rPr>
          <w:rFonts w:hint="eastAsia" w:ascii="宋体" w:hAnsi="宋体" w:eastAsia="宋体" w:cs="宋体"/>
          <w:bCs/>
          <w:color w:val="000000"/>
          <w:sz w:val="24"/>
          <w:highlight w:val="none"/>
        </w:rPr>
        <w:t xml:space="preserve">的投标。</w:t>
      </w:r>
      <w:r>
        <w:rPr>
          <w:rFonts w:hint="eastAsia" w:ascii="宋体" w:hAnsi="宋体" w:eastAsia="宋体" w:cs="宋体"/>
          <w:bCs/>
          <w:color w:val="000000"/>
          <w:sz w:val="24"/>
          <w:highlight w:val="none"/>
        </w:rPr>
      </w:r>
      <w:r/>
    </w:p>
    <w:p>
      <w:pPr>
        <w:pStyle w:val="1064"/>
        <w:numPr>
          <w:ilvl w:val="0"/>
          <w:numId w:val="16"/>
        </w:numPr>
        <w:ind w:left="0" w:firstLine="525"/>
        <w:spacing w:line="42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我方愿意按照招标文件的一切要求，提供本项目的投标，投标总价见《开标一览表》。</w:t>
      </w:r>
      <w:r>
        <w:rPr>
          <w:rFonts w:hint="eastAsia" w:ascii="宋体" w:hAnsi="宋体" w:eastAsia="宋体" w:cs="宋体"/>
          <w:bCs/>
          <w:color w:val="000000"/>
          <w:sz w:val="24"/>
          <w:highlight w:val="none"/>
        </w:rPr>
      </w:r>
      <w:r/>
    </w:p>
    <w:p>
      <w:pPr>
        <w:pStyle w:val="1064"/>
        <w:ind w:firstLine="424"/>
        <w:jc w:val="left"/>
        <w:spacing w:line="440" w:lineRule="exact"/>
        <w:widowControl/>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我方愿意提供</w:t>
      </w:r>
      <w:r>
        <w:rPr>
          <w:rFonts w:hint="eastAsia" w:ascii="宋体" w:hAnsi="宋体" w:eastAsia="宋体" w:cs="宋体"/>
          <w:color w:val="000000"/>
          <w:sz w:val="24"/>
          <w:highlight w:val="none"/>
        </w:rPr>
        <w:t xml:space="preserve">江苏建威建设管理有限公司</w:t>
      </w:r>
      <w:r>
        <w:rPr>
          <w:rFonts w:hint="eastAsia" w:ascii="宋体" w:hAnsi="宋体" w:eastAsia="宋体" w:cs="宋体"/>
          <w:bCs/>
          <w:color w:val="000000"/>
          <w:sz w:val="24"/>
          <w:highlight w:val="none"/>
        </w:rPr>
        <w:t xml:space="preserve">在招标文件中要求的文件、资料（具体内容如下）</w:t>
      </w:r>
      <w:r>
        <w:rPr>
          <w:rFonts w:hint="eastAsia" w:ascii="宋体" w:hAnsi="宋体" w:eastAsia="宋体" w:cs="宋体"/>
          <w:bCs/>
          <w:color w:val="000000"/>
          <w:sz w:val="24"/>
          <w:highlight w:val="none"/>
        </w:rPr>
      </w:r>
      <w:r/>
    </w:p>
    <w:p>
      <w:pPr>
        <w:pStyle w:val="1064"/>
        <w:spacing w:line="420" w:lineRule="exact"/>
        <w:rPr>
          <w:rFonts w:hint="eastAsia" w:ascii="宋体" w:hAnsi="宋体" w:eastAsia="宋体" w:cs="宋体"/>
          <w:bCs/>
          <w:color w:val="000000"/>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b/>
          <w:bCs/>
          <w:color w:val="000000"/>
          <w:sz w:val="24"/>
          <w:highlight w:val="none"/>
        </w:rPr>
        <w:t xml:space="preserve">相应内容上传至投标客户端）</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64"/>
        <w:ind w:firstLine="477"/>
        <w:spacing w:line="440" w:lineRule="exact"/>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投标文件由证明文件、商务文件、报价文件、技术文件四部分组成</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1064"/>
        <w:ind w:firstLine="241"/>
        <w:keepLines w:val="0"/>
        <w:keepNext w:val="0"/>
        <w:pageBreakBefore w:val="0"/>
        <w:spacing w:line="4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1.证明文件：</w:t>
      </w:r>
      <w:r>
        <w:rPr>
          <w:rFonts w:hint="eastAsia" w:ascii="宋体" w:hAnsi="宋体" w:eastAsia="宋体" w:cs="宋体"/>
          <w:b/>
          <w:color w:val="000000"/>
          <w:sz w:val="24"/>
          <w:highlight w:val="none"/>
        </w:rPr>
      </w:r>
      <w:r/>
    </w:p>
    <w:p>
      <w:pPr>
        <w:pStyle w:val="1064"/>
        <w:ind w:left="372"/>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1.1资格、资信证明文件</w:t>
      </w:r>
      <w:r>
        <w:rPr>
          <w:rFonts w:hint="eastAsia" w:ascii="宋体" w:hAnsi="宋体" w:eastAsia="宋体" w:cs="宋体"/>
          <w:b/>
          <w:color w:val="000000"/>
          <w:sz w:val="24"/>
          <w:highlight w:val="none"/>
        </w:rPr>
        <w:t xml:space="preserve">（相关证明材料原件扫描后上传）</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64"/>
        <w:ind w:left="21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（1）关于资格的声明函</w:t>
      </w:r>
      <w:r>
        <w:rPr>
          <w:rFonts w:hint="eastAsia" w:ascii="宋体" w:hAnsi="宋体" w:eastAsia="宋体" w:cs="宋体"/>
          <w:b/>
          <w:color w:val="000000"/>
          <w:sz w:val="24"/>
          <w:highlight w:val="none"/>
        </w:rPr>
        <w:t xml:space="preserve">（格式见附件）</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64"/>
        <w:ind w:left="21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（2）供应商有效的营业执照或相关部门的登记证明文件</w:t>
      </w:r>
      <w:r>
        <w:rPr>
          <w:rFonts w:hint="eastAsia" w:ascii="宋体" w:hAnsi="宋体" w:eastAsia="宋体" w:cs="宋体"/>
          <w:b/>
          <w:color w:val="000000"/>
          <w:sz w:val="24"/>
          <w:highlight w:val="none"/>
          <w:lang w:val="zh-CN"/>
        </w:rPr>
        <w:t xml:space="preserve">（原件扫描件）</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64"/>
        <w:ind w:left="21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供应商法定代表人授权委托书</w:t>
      </w:r>
      <w:r>
        <w:rPr>
          <w:rFonts w:hint="eastAsia" w:ascii="宋体" w:hAnsi="宋体" w:eastAsia="宋体" w:cs="宋体"/>
          <w:b/>
          <w:bCs/>
          <w:color w:val="000000"/>
          <w:sz w:val="24"/>
          <w:highlight w:val="none"/>
        </w:rPr>
        <w:t xml:space="preserve">（格式见附件，法定代表人亲自参与的除外）</w:t>
      </w:r>
      <w:r>
        <w:rPr>
          <w:rFonts w:hint="eastAsia" w:ascii="宋体" w:hAnsi="宋体" w:eastAsia="宋体" w:cs="宋体"/>
          <w:b/>
          <w:color w:val="000000"/>
          <w:sz w:val="24"/>
          <w:highlight w:val="none"/>
        </w:rPr>
        <w:t xml:space="preserve">；</w:t>
      </w:r>
      <w:r>
        <w:rPr>
          <w:rFonts w:hint="eastAsia" w:ascii="宋体" w:hAnsi="宋体" w:eastAsia="宋体" w:cs="宋体"/>
          <w:bCs/>
          <w:color w:val="000000"/>
          <w:sz w:val="24"/>
          <w:highlight w:val="none"/>
          <w:lang w:val="zh-CN"/>
        </w:rPr>
      </w:r>
      <w:r/>
    </w:p>
    <w:p>
      <w:pPr>
        <w:pStyle w:val="1064"/>
        <w:ind w:firstLine="24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4</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供应商法定代表人身份证及法定代表人授权代表身份证</w:t>
      </w:r>
      <w:r>
        <w:rPr>
          <w:rFonts w:hint="eastAsia" w:ascii="宋体" w:hAnsi="宋体" w:eastAsia="宋体" w:cs="宋体"/>
          <w:b/>
          <w:color w:val="000000"/>
          <w:sz w:val="24"/>
          <w:highlight w:val="none"/>
        </w:rPr>
        <w:t xml:space="preserve">（原件扫描件，</w:t>
      </w:r>
      <w:r>
        <w:rPr>
          <w:rFonts w:hint="eastAsia" w:ascii="宋体" w:hAnsi="宋体" w:eastAsia="宋体" w:cs="宋体"/>
          <w:b/>
          <w:bCs/>
          <w:color w:val="000000"/>
          <w:sz w:val="24"/>
          <w:highlight w:val="none"/>
        </w:rPr>
        <w:t xml:space="preserve">正、反双面扫描</w:t>
      </w: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64"/>
        <w:ind w:firstLine="240"/>
        <w:keepLines w:val="0"/>
        <w:keepNext w:val="0"/>
        <w:pageBreakBefore w:val="0"/>
        <w:spacing w:line="430" w:lineRule="exact"/>
        <w:tabs>
          <w:tab w:val="left" w:pos="0" w:leader="none"/>
          <w:tab w:val="left" w:pos="945" w:leader="none"/>
        </w:tabs>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5</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授权代表和项目负责人与企业签订的劳动合同</w:t>
      </w:r>
      <w:r>
        <w:rPr>
          <w:rFonts w:hint="eastAsia" w:ascii="宋体" w:hAnsi="宋体" w:eastAsia="宋体" w:cs="宋体"/>
          <w:b/>
          <w:color w:val="000000"/>
          <w:sz w:val="24"/>
          <w:highlight w:val="none"/>
        </w:rPr>
        <w:t xml:space="preserve">（原件扫描件）</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1064"/>
        <w:ind w:firstLine="240"/>
        <w:keepLines w:val="0"/>
        <w:keepNext w:val="0"/>
        <w:pageBreakBefore w:val="0"/>
        <w:spacing w:line="430" w:lineRule="exact"/>
        <w:tabs>
          <w:tab w:val="left" w:pos="0" w:leader="none"/>
          <w:tab w:val="left" w:pos="94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授权代表和项目负责人的由社保机构出具的供应商为其缴纳的近三个月任意一个月份（不含投标当月）的社保证明或相关证明材料（如供应商成立时间为2024年</w:t>
      </w:r>
      <w:r>
        <w:rPr>
          <w:rFonts w:hint="eastAsia" w:ascii="宋体" w:hAnsi="宋体" w:eastAsia="宋体" w:cs="宋体"/>
          <w:color w:val="000000"/>
          <w:sz w:val="24"/>
          <w:highlight w:val="none"/>
          <w:lang w:val="en-US" w:eastAsia="zh-CN"/>
        </w:rPr>
        <w:t xml:space="preserve">08</w:t>
      </w:r>
      <w:r>
        <w:rPr>
          <w:rFonts w:hint="eastAsia" w:ascii="宋体" w:hAnsi="宋体" w:eastAsia="宋体" w:cs="宋体"/>
          <w:color w:val="000000"/>
          <w:sz w:val="24"/>
          <w:highlight w:val="none"/>
        </w:rPr>
        <w:t xml:space="preserve">月以后的，则可不提供社保证明材料）</w:t>
      </w:r>
      <w:r>
        <w:rPr>
          <w:rFonts w:hint="eastAsia" w:ascii="宋体" w:hAnsi="宋体" w:eastAsia="宋体" w:cs="宋体"/>
          <w:b/>
          <w:bCs/>
          <w:color w:val="000000"/>
          <w:sz w:val="24"/>
          <w:highlight w:val="none"/>
        </w:rPr>
        <w:t xml:space="preserve">（原件扫描件）；</w:t>
      </w:r>
      <w:r>
        <w:rPr>
          <w:rFonts w:hint="eastAsia" w:ascii="宋体" w:hAnsi="宋体" w:eastAsia="宋体" w:cs="宋体"/>
          <w:color w:val="000000"/>
          <w:sz w:val="24"/>
          <w:highlight w:val="none"/>
          <w:lang w:val="zh-CN"/>
        </w:rPr>
      </w:r>
      <w:r/>
    </w:p>
    <w:p>
      <w:pPr>
        <w:pStyle w:val="1064"/>
        <w:ind w:firstLine="24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供应商的财务审计报告（202</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年度</w:t>
      </w:r>
      <w:r>
        <w:rPr>
          <w:rFonts w:hint="eastAsia" w:ascii="宋体" w:hAnsi="宋体" w:eastAsia="宋体" w:cs="宋体"/>
          <w:color w:val="000000"/>
          <w:sz w:val="24"/>
          <w:highlight w:val="none"/>
          <w:lang w:eastAsia="zh-CN"/>
        </w:rPr>
        <w:t xml:space="preserve">或</w:t>
      </w:r>
      <w:r>
        <w:rPr>
          <w:rFonts w:hint="eastAsia" w:ascii="宋体" w:hAnsi="宋体" w:eastAsia="宋体" w:cs="宋体"/>
          <w:color w:val="000000"/>
          <w:sz w:val="24"/>
          <w:highlight w:val="none"/>
          <w:lang w:val="en-US" w:eastAsia="zh-CN"/>
        </w:rPr>
        <w:t xml:space="preserve">2023年度</w:t>
      </w:r>
      <w:r>
        <w:rPr>
          <w:rFonts w:hint="eastAsia" w:ascii="宋体" w:hAnsi="宋体" w:eastAsia="宋体" w:cs="宋体"/>
          <w:color w:val="000000"/>
          <w:sz w:val="24"/>
          <w:highlight w:val="none"/>
        </w:rPr>
        <w:t xml:space="preserve">）或者近三个月任意一个月份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不含投标当月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财务报表</w:t>
      </w:r>
      <w:r>
        <w:rPr>
          <w:rFonts w:hint="eastAsia" w:ascii="宋体" w:hAnsi="宋体" w:eastAsia="宋体" w:cs="宋体"/>
          <w:b/>
          <w:color w:val="000000"/>
          <w:sz w:val="24"/>
          <w:highlight w:val="none"/>
        </w:rPr>
        <w:t xml:space="preserve">（原件扫描件）；</w:t>
      </w:r>
      <w:r>
        <w:rPr>
          <w:rFonts w:hint="eastAsia" w:ascii="宋体" w:hAnsi="宋体" w:eastAsia="宋体" w:cs="宋体"/>
          <w:bCs/>
          <w:color w:val="000000"/>
          <w:sz w:val="24"/>
          <w:highlight w:val="none"/>
          <w:lang w:val="zh-CN"/>
        </w:rPr>
      </w:r>
      <w:r/>
    </w:p>
    <w:p>
      <w:pPr>
        <w:pStyle w:val="1064"/>
        <w:ind w:firstLine="24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8</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供应商近三个月中任意一个月份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不含投标当月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的依法缴纳税收的相关材料（提供相关主管部门证明或银行代扣证明）</w:t>
      </w:r>
      <w:r>
        <w:rPr>
          <w:rFonts w:hint="eastAsia" w:ascii="宋体" w:hAnsi="宋体" w:eastAsia="宋体" w:cs="宋体"/>
          <w:b/>
          <w:color w:val="000000"/>
          <w:sz w:val="24"/>
          <w:highlight w:val="none"/>
        </w:rPr>
        <w:t xml:space="preserve">（原件扫描件）；</w:t>
      </w:r>
      <w:r>
        <w:rPr>
          <w:rFonts w:hint="eastAsia" w:ascii="宋体" w:hAnsi="宋体" w:eastAsia="宋体" w:cs="宋体"/>
          <w:bCs/>
          <w:color w:val="000000"/>
          <w:sz w:val="24"/>
          <w:highlight w:val="none"/>
          <w:lang w:val="zh-CN"/>
        </w:rPr>
      </w:r>
      <w:r/>
    </w:p>
    <w:p>
      <w:pPr>
        <w:pStyle w:val="1064"/>
        <w:ind w:firstLine="24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9</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供应商近三个月中任意一个月份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不含投标当月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的依法缴纳社会保障资金的相关材料（提供相关主管部门证明或银行代扣证明）</w:t>
      </w:r>
      <w:r>
        <w:rPr>
          <w:rFonts w:hint="eastAsia" w:ascii="宋体" w:hAnsi="宋体" w:eastAsia="宋体" w:cs="宋体"/>
          <w:b/>
          <w:color w:val="000000"/>
          <w:sz w:val="24"/>
          <w:highlight w:val="none"/>
        </w:rPr>
        <w:t xml:space="preserve">（原件扫描件）</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lang w:val="zh-CN"/>
        </w:rPr>
      </w:r>
      <w:r/>
    </w:p>
    <w:p>
      <w:pPr>
        <w:pStyle w:val="1064"/>
        <w:ind w:left="21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10</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承诺书</w:t>
      </w:r>
      <w:r>
        <w:rPr>
          <w:rFonts w:hint="eastAsia" w:ascii="宋体" w:hAnsi="宋体" w:eastAsia="宋体" w:cs="宋体"/>
          <w:b/>
          <w:bCs/>
          <w:color w:val="000000"/>
          <w:sz w:val="24"/>
          <w:highlight w:val="none"/>
        </w:rPr>
        <w:t xml:space="preserve">（格式见附件）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64"/>
        <w:ind w:firstLine="523"/>
        <w:keepLines w:val="0"/>
        <w:keepNext w:val="0"/>
        <w:pageBreakBefore w:val="0"/>
        <w:spacing w:line="430" w:lineRule="exact"/>
        <w:tabs>
          <w:tab w:val="left" w:pos="420" w:leader="none"/>
          <w:tab w:val="left" w:pos="94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上述证明文件中的资格、资信证明文件必须全部提供。投标供应商法定代表人或被授权代表为外籍、港、澳、台地区人士的，其身份证明须提供有效的护照或港澳同胞来往内地通行证、台湾同胞来往大陆通行证，</w:t>
      </w:r>
      <w:r>
        <w:rPr>
          <w:rFonts w:hint="eastAsia" w:ascii="宋体" w:hAnsi="宋体" w:eastAsia="宋体" w:cs="宋体"/>
          <w:b/>
          <w:bCs/>
          <w:color w:val="000000"/>
          <w:sz w:val="24"/>
          <w:highlight w:val="none"/>
          <w:lang w:eastAsia="zh-CN"/>
        </w:rPr>
        <w:t xml:space="preserve">或其他</w:t>
      </w:r>
      <w:r>
        <w:rPr>
          <w:rFonts w:hint="eastAsia" w:ascii="宋体" w:hAnsi="宋体" w:eastAsia="宋体" w:cs="宋体"/>
          <w:b/>
          <w:bCs/>
          <w:color w:val="000000"/>
          <w:sz w:val="24"/>
          <w:highlight w:val="none"/>
        </w:rPr>
        <w:t xml:space="preserve">可在中国大陆有效居留的许可证明。投标供应商所提交的证明文件的完整与否，将直接影响其投标文件的审核和评分结果。</w:t>
      </w:r>
      <w:r>
        <w:rPr>
          <w:rFonts w:hint="eastAsia" w:ascii="宋体" w:hAnsi="宋体" w:eastAsia="宋体" w:cs="宋体"/>
          <w:b/>
          <w:bCs/>
          <w:color w:val="000000"/>
          <w:sz w:val="24"/>
          <w:highlight w:val="none"/>
        </w:rPr>
      </w:r>
      <w:r/>
    </w:p>
    <w:p>
      <w:pPr>
        <w:pStyle w:val="1064"/>
        <w:ind w:firstLine="426"/>
        <w:keepLines w:val="0"/>
        <w:keepNext w:val="0"/>
        <w:pageBreakBefore w:val="0"/>
        <w:spacing w:line="430" w:lineRule="exact"/>
        <w:widowControl/>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b/>
          <w:bCs/>
          <w:color w:val="000000"/>
          <w:sz w:val="24"/>
          <w:highlight w:val="none"/>
        </w:rPr>
      </w:r>
      <w:r/>
    </w:p>
    <w:p>
      <w:pPr>
        <w:pStyle w:val="1064"/>
        <w:ind w:firstLine="482"/>
        <w:keepLines w:val="0"/>
        <w:keepNext w:val="0"/>
        <w:pageBreakBefore w:val="0"/>
        <w:spacing w:line="4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2.商务文件：</w:t>
      </w:r>
      <w:r>
        <w:rPr>
          <w:rFonts w:hint="eastAsia" w:ascii="宋体" w:hAnsi="宋体" w:eastAsia="宋体" w:cs="宋体"/>
          <w:b/>
          <w:color w:val="000000"/>
          <w:sz w:val="24"/>
          <w:highlight w:val="none"/>
        </w:rPr>
      </w:r>
      <w:r/>
    </w:p>
    <w:p>
      <w:pPr>
        <w:pStyle w:val="1064"/>
        <w:ind w:firstLine="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（1）投标函</w:t>
      </w:r>
      <w:r>
        <w:rPr>
          <w:rFonts w:hint="eastAsia" w:ascii="宋体" w:hAnsi="宋体" w:eastAsia="宋体" w:cs="宋体"/>
          <w:color w:val="000000"/>
          <w:sz w:val="24"/>
          <w:highlight w:val="none"/>
        </w:rPr>
        <w:t xml:space="preserve">（格式见附件）</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6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（2）开标一览表（格式见附件）；</w:t>
      </w:r>
      <w:r>
        <w:rPr>
          <w:rFonts w:hint="eastAsia" w:ascii="宋体" w:hAnsi="宋体" w:eastAsia="宋体" w:cs="宋体"/>
          <w:color w:val="000000"/>
          <w:sz w:val="24"/>
          <w:highlight w:val="none"/>
        </w:rPr>
      </w:r>
      <w:r/>
    </w:p>
    <w:p>
      <w:pPr>
        <w:pStyle w:val="106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（3）投标供应商情况表（格式见附件）；</w:t>
      </w:r>
      <w:r>
        <w:rPr>
          <w:rFonts w:hint="eastAsia" w:ascii="宋体" w:hAnsi="宋体" w:eastAsia="宋体" w:cs="宋体"/>
          <w:color w:val="000000"/>
          <w:sz w:val="24"/>
          <w:highlight w:val="none"/>
        </w:rPr>
      </w:r>
      <w:r/>
    </w:p>
    <w:p>
      <w:pPr>
        <w:pStyle w:val="106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（4）项目管理机构配备情况表、项目负责人简历表（格式见附件）；</w:t>
      </w:r>
      <w:r>
        <w:rPr>
          <w:rFonts w:hint="eastAsia" w:ascii="宋体" w:hAnsi="宋体" w:eastAsia="宋体" w:cs="宋体"/>
          <w:color w:val="000000"/>
          <w:sz w:val="24"/>
          <w:highlight w:val="none"/>
        </w:rPr>
      </w:r>
      <w:r/>
    </w:p>
    <w:p>
      <w:pPr>
        <w:pStyle w:val="106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）供应商类似业绩一览表（格式见附件）；</w:t>
      </w:r>
      <w:r>
        <w:rPr>
          <w:rFonts w:hint="eastAsia" w:ascii="宋体" w:hAnsi="宋体" w:eastAsia="宋体" w:cs="宋体"/>
          <w:color w:val="000000"/>
          <w:sz w:val="24"/>
          <w:highlight w:val="none"/>
        </w:rPr>
      </w:r>
      <w:r/>
    </w:p>
    <w:p>
      <w:pPr>
        <w:pStyle w:val="106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）商务条款偏离表、技术要求条款偏离表（格式见附件）；</w:t>
      </w:r>
      <w:r>
        <w:rPr>
          <w:rFonts w:hint="eastAsia" w:ascii="宋体" w:hAnsi="宋体" w:eastAsia="宋体" w:cs="宋体"/>
          <w:color w:val="000000"/>
          <w:sz w:val="24"/>
          <w:highlight w:val="none"/>
        </w:rPr>
      </w:r>
      <w:r/>
    </w:p>
    <w:p>
      <w:pPr>
        <w:pStyle w:val="106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）投标供应商简介和经营情况说明；</w:t>
      </w:r>
      <w:r>
        <w:rPr>
          <w:rFonts w:hint="eastAsia" w:ascii="宋体" w:hAnsi="宋体" w:eastAsia="宋体" w:cs="宋体"/>
          <w:color w:val="000000"/>
          <w:sz w:val="24"/>
          <w:highlight w:val="none"/>
        </w:rPr>
      </w:r>
      <w:r/>
    </w:p>
    <w:p>
      <w:pPr>
        <w:pStyle w:val="106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）服务承诺（格式见附件）；</w:t>
      </w:r>
      <w:r>
        <w:rPr>
          <w:rFonts w:hint="eastAsia" w:ascii="宋体" w:hAnsi="宋体" w:eastAsia="宋体" w:cs="宋体"/>
          <w:color w:val="000000"/>
          <w:sz w:val="24"/>
          <w:highlight w:val="none"/>
        </w:rPr>
      </w:r>
      <w:r/>
    </w:p>
    <w:p>
      <w:pPr>
        <w:pStyle w:val="1064"/>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补充证明文件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6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①</w:t>
      </w:r>
      <w:r>
        <w:rPr>
          <w:rFonts w:hint="eastAsia" w:ascii="宋体" w:hAnsi="宋体" w:eastAsia="宋体" w:cs="宋体"/>
          <w:color w:val="000000"/>
          <w:sz w:val="24"/>
          <w:highlight w:val="none"/>
        </w:rPr>
        <w:t xml:space="preserve">中小企业声明函（供应商</w:t>
      </w:r>
      <w:r>
        <w:rPr>
          <w:rFonts w:hint="eastAsia" w:ascii="宋体" w:hAnsi="宋体" w:eastAsia="宋体" w:cs="宋体"/>
          <w:color w:val="000000"/>
          <w:sz w:val="24"/>
          <w:highlight w:val="none"/>
          <w:lang w:eastAsia="zh-CN"/>
        </w:rPr>
        <w:t xml:space="preserve">如</w:t>
      </w:r>
      <w:r>
        <w:rPr>
          <w:rFonts w:hint="eastAsia" w:ascii="宋体" w:hAnsi="宋体" w:eastAsia="宋体" w:cs="宋体"/>
          <w:color w:val="000000"/>
          <w:sz w:val="24"/>
          <w:highlight w:val="none"/>
        </w:rPr>
        <w:t xml:space="preserve">为中小企业的提供，格式见附件）；</w:t>
      </w:r>
      <w:r>
        <w:rPr>
          <w:rFonts w:hint="eastAsia" w:ascii="宋体" w:hAnsi="宋体" w:eastAsia="宋体" w:cs="宋体"/>
          <w:color w:val="000000"/>
          <w:sz w:val="24"/>
          <w:highlight w:val="none"/>
        </w:rPr>
      </w:r>
      <w:r/>
    </w:p>
    <w:p>
      <w:pPr>
        <w:pStyle w:val="106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②</w:t>
      </w:r>
      <w:r>
        <w:rPr>
          <w:rFonts w:hint="eastAsia" w:ascii="宋体" w:hAnsi="宋体" w:eastAsia="宋体" w:cs="宋体"/>
          <w:color w:val="000000"/>
          <w:sz w:val="24"/>
          <w:highlight w:val="none"/>
        </w:rPr>
        <w:t xml:space="preserve">省级以上监狱管理局、戒毒管理局（含新疆生产建设兵团）出具的属于监狱企业的证明文件（供应商</w:t>
      </w:r>
      <w:r>
        <w:rPr>
          <w:rFonts w:hint="eastAsia" w:ascii="宋体" w:hAnsi="宋体" w:eastAsia="宋体" w:cs="宋体"/>
          <w:color w:val="000000"/>
          <w:sz w:val="24"/>
          <w:highlight w:val="none"/>
          <w:lang w:eastAsia="zh-CN"/>
        </w:rPr>
        <w:t xml:space="preserve">如</w:t>
      </w:r>
      <w:r>
        <w:rPr>
          <w:rFonts w:hint="eastAsia" w:ascii="宋体" w:hAnsi="宋体" w:eastAsia="宋体" w:cs="宋体"/>
          <w:color w:val="000000"/>
          <w:sz w:val="24"/>
          <w:highlight w:val="none"/>
        </w:rPr>
        <w:t xml:space="preserve">为监狱企业的提供）；</w:t>
      </w:r>
      <w:r>
        <w:rPr>
          <w:rFonts w:hint="eastAsia" w:ascii="宋体" w:hAnsi="宋体" w:eastAsia="宋体" w:cs="宋体"/>
          <w:color w:val="000000"/>
          <w:sz w:val="24"/>
          <w:highlight w:val="none"/>
        </w:rPr>
      </w:r>
      <w:r/>
    </w:p>
    <w:p>
      <w:pPr>
        <w:pStyle w:val="106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③</w:t>
      </w:r>
      <w:r>
        <w:rPr>
          <w:rFonts w:hint="eastAsia" w:ascii="宋体" w:hAnsi="宋体" w:eastAsia="宋体" w:cs="宋体"/>
          <w:color w:val="000000"/>
          <w:sz w:val="24"/>
          <w:highlight w:val="none"/>
        </w:rPr>
        <w:t xml:space="preserve">残疾人福利性单位声明函（供应商</w:t>
      </w:r>
      <w:r>
        <w:rPr>
          <w:rFonts w:hint="eastAsia" w:ascii="宋体" w:hAnsi="宋体" w:eastAsia="宋体" w:cs="宋体"/>
          <w:color w:val="000000"/>
          <w:sz w:val="24"/>
          <w:highlight w:val="none"/>
          <w:lang w:eastAsia="zh-CN"/>
        </w:rPr>
        <w:t xml:space="preserve">如</w:t>
      </w:r>
      <w:r>
        <w:rPr>
          <w:rFonts w:hint="eastAsia" w:ascii="宋体" w:hAnsi="宋体" w:eastAsia="宋体" w:cs="宋体"/>
          <w:color w:val="000000"/>
          <w:sz w:val="24"/>
          <w:highlight w:val="none"/>
        </w:rPr>
        <w:t xml:space="preserve">为残疾人福利性单位的提供，格式见附件）；</w:t>
      </w:r>
      <w:r>
        <w:rPr>
          <w:rFonts w:hint="eastAsia" w:ascii="宋体" w:hAnsi="宋体" w:eastAsia="宋体" w:cs="宋体"/>
          <w:color w:val="000000"/>
          <w:sz w:val="24"/>
          <w:highlight w:val="none"/>
        </w:rPr>
      </w:r>
      <w:r/>
    </w:p>
    <w:p>
      <w:pPr>
        <w:pStyle w:val="1064"/>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④</w:t>
      </w:r>
      <w:r>
        <w:rPr>
          <w:rFonts w:hint="eastAsia" w:ascii="宋体" w:hAnsi="宋体" w:eastAsia="宋体" w:cs="宋体"/>
          <w:color w:val="000000"/>
          <w:sz w:val="24"/>
          <w:highlight w:val="none"/>
        </w:rPr>
        <w:t xml:space="preserve">投标供应商认为有必要提供的承诺、声明和证明材料（根据招标文件及评标标准要求）</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64"/>
        <w:ind w:left="480"/>
        <w:keepLines w:val="0"/>
        <w:keepNext w:val="0"/>
        <w:pageBreakBefore w:val="0"/>
        <w:spacing w:line="4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3.报价文件：</w:t>
      </w:r>
      <w:r>
        <w:rPr>
          <w:rFonts w:hint="eastAsia" w:ascii="宋体" w:hAnsi="宋体" w:eastAsia="宋体" w:cs="宋体"/>
          <w:b/>
          <w:color w:val="000000"/>
          <w:sz w:val="24"/>
          <w:highlight w:val="none"/>
        </w:rPr>
      </w:r>
      <w:r/>
    </w:p>
    <w:p>
      <w:pPr>
        <w:pStyle w:val="106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（1）报价明细表（格式见附件）。</w:t>
      </w:r>
      <w:r>
        <w:rPr>
          <w:rFonts w:hint="eastAsia" w:ascii="宋体" w:hAnsi="宋体" w:eastAsia="宋体" w:cs="宋体"/>
          <w:color w:val="000000"/>
          <w:sz w:val="24"/>
          <w:highlight w:val="none"/>
        </w:rPr>
      </w:r>
      <w:r/>
    </w:p>
    <w:p>
      <w:pPr>
        <w:pStyle w:val="1064"/>
        <w:ind w:firstLine="482"/>
        <w:keepLines w:val="0"/>
        <w:keepNext w:val="0"/>
        <w:pageBreakBefore w:val="0"/>
        <w:spacing w:line="43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 技术文件：</w:t>
      </w:r>
      <w:r>
        <w:rPr>
          <w:rFonts w:hint="eastAsia" w:ascii="宋体" w:hAnsi="宋体" w:eastAsia="宋体" w:cs="宋体"/>
          <w:b/>
          <w:bCs/>
          <w:color w:val="000000"/>
          <w:sz w:val="24"/>
          <w:highlight w:val="none"/>
        </w:rPr>
      </w:r>
      <w:r/>
    </w:p>
    <w:p>
      <w:pPr>
        <w:pStyle w:val="106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（1）项目总体分析；</w:t>
      </w:r>
      <w:r>
        <w:rPr>
          <w:rFonts w:hint="eastAsia" w:ascii="宋体" w:hAnsi="宋体" w:eastAsia="宋体" w:cs="宋体"/>
          <w:color w:val="000000"/>
          <w:sz w:val="24"/>
          <w:highlight w:val="none"/>
        </w:rPr>
      </w:r>
      <w:r/>
    </w:p>
    <w:p>
      <w:pPr>
        <w:pStyle w:val="106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（2）实施方案；</w:t>
      </w:r>
      <w:r>
        <w:rPr>
          <w:rFonts w:hint="eastAsia" w:ascii="宋体" w:hAnsi="宋体" w:eastAsia="宋体" w:cs="宋体"/>
          <w:color w:val="000000"/>
          <w:sz w:val="24"/>
          <w:highlight w:val="none"/>
        </w:rPr>
      </w:r>
      <w:r/>
    </w:p>
    <w:p>
      <w:pPr>
        <w:pStyle w:val="1064"/>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（3）重难点方案；</w:t>
      </w:r>
      <w:r>
        <w:rPr>
          <w:rFonts w:hint="eastAsia" w:ascii="宋体" w:hAnsi="宋体" w:eastAsia="宋体" w:cs="宋体"/>
          <w:color w:val="000000"/>
          <w:sz w:val="24"/>
          <w:highlight w:val="none"/>
          <w:lang w:eastAsia="zh-CN"/>
        </w:rPr>
      </w:r>
      <w:r/>
    </w:p>
    <w:p>
      <w:pPr>
        <w:pStyle w:val="1064"/>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）进度保障方案；</w:t>
      </w:r>
      <w:r>
        <w:rPr>
          <w:rFonts w:hint="eastAsia" w:ascii="宋体" w:hAnsi="宋体" w:eastAsia="宋体" w:cs="宋体"/>
          <w:color w:val="000000"/>
          <w:sz w:val="24"/>
          <w:highlight w:val="none"/>
          <w:lang w:eastAsia="zh-CN"/>
        </w:rPr>
      </w:r>
      <w:r/>
    </w:p>
    <w:p>
      <w:pPr>
        <w:pStyle w:val="1064"/>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）质量管理方案；</w:t>
      </w:r>
      <w:r>
        <w:rPr>
          <w:rFonts w:hint="eastAsia" w:ascii="宋体" w:hAnsi="宋体" w:eastAsia="宋体" w:cs="宋体"/>
          <w:color w:val="000000"/>
          <w:sz w:val="24"/>
          <w:highlight w:val="none"/>
          <w:lang w:eastAsia="zh-CN"/>
        </w:rPr>
      </w:r>
      <w:r/>
    </w:p>
    <w:p>
      <w:pPr>
        <w:pStyle w:val="1064"/>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）项目服务。</w:t>
      </w:r>
      <w:r>
        <w:rPr>
          <w:rFonts w:hint="eastAsia" w:ascii="宋体" w:hAnsi="宋体" w:eastAsia="宋体" w:cs="宋体"/>
          <w:color w:val="000000"/>
          <w:sz w:val="24"/>
          <w:highlight w:val="none"/>
          <w:lang w:eastAsia="zh-CN"/>
        </w:rPr>
      </w:r>
      <w:r/>
    </w:p>
    <w:p>
      <w:pPr>
        <w:pStyle w:val="1064"/>
        <w:numPr>
          <w:ilvl w:val="0"/>
          <w:numId w:val="16"/>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我方同意按招标文件中的规定，本投标文件投标的有效期限为投标截止之日起90天。</w:t>
      </w:r>
      <w:r>
        <w:rPr>
          <w:rFonts w:hint="eastAsia" w:ascii="宋体" w:hAnsi="宋体" w:eastAsia="宋体" w:cs="宋体"/>
          <w:bCs/>
          <w:color w:val="000000"/>
          <w:sz w:val="24"/>
          <w:highlight w:val="none"/>
        </w:rPr>
      </w:r>
      <w:r/>
    </w:p>
    <w:p>
      <w:pPr>
        <w:pStyle w:val="1064"/>
        <w:numPr>
          <w:ilvl w:val="0"/>
          <w:numId w:val="16"/>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如果我方的投标文件被接受，我方将履行招标文件中规定的每一项要求，按期、按质、按量，完成任务。</w:t>
      </w:r>
      <w:r>
        <w:rPr>
          <w:rFonts w:hint="eastAsia" w:ascii="宋体" w:hAnsi="宋体" w:eastAsia="宋体" w:cs="宋体"/>
          <w:bCs/>
          <w:color w:val="000000"/>
          <w:sz w:val="24"/>
          <w:highlight w:val="none"/>
        </w:rPr>
      </w:r>
      <w:r/>
    </w:p>
    <w:p>
      <w:pPr>
        <w:pStyle w:val="1064"/>
        <w:numPr>
          <w:ilvl w:val="0"/>
          <w:numId w:val="16"/>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我方认为贵方有权决定中标者。</w:t>
      </w:r>
      <w:r>
        <w:rPr>
          <w:rFonts w:hint="eastAsia" w:ascii="宋体" w:hAnsi="宋体" w:eastAsia="宋体" w:cs="宋体"/>
          <w:bCs/>
          <w:color w:val="000000"/>
          <w:sz w:val="24"/>
          <w:highlight w:val="none"/>
        </w:rPr>
      </w:r>
      <w:r/>
    </w:p>
    <w:p>
      <w:pPr>
        <w:pStyle w:val="1064"/>
        <w:numPr>
          <w:ilvl w:val="0"/>
          <w:numId w:val="16"/>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我方愿意遵守《中华人民共和国政府采购法》，并按《中华人民共和国民法典》、财政部《政府采购货物和服务招标投标管理办法》</w:t>
      </w:r>
      <w:r>
        <w:rPr>
          <w:rFonts w:hint="eastAsia" w:ascii="宋体" w:hAnsi="宋体" w:eastAsia="宋体" w:cs="宋体"/>
          <w:color w:val="000000"/>
          <w:sz w:val="24"/>
          <w:highlight w:val="none"/>
        </w:rPr>
        <w:t xml:space="preserve">和</w:t>
      </w:r>
      <w:r>
        <w:rPr>
          <w:rFonts w:hint="eastAsia" w:ascii="宋体" w:hAnsi="宋体" w:eastAsia="宋体" w:cs="宋体"/>
          <w:bCs/>
          <w:color w:val="000000"/>
          <w:sz w:val="24"/>
          <w:highlight w:val="none"/>
        </w:rPr>
        <w:t xml:space="preserve">合同条款履行自己的全部责任。</w:t>
      </w:r>
      <w:r>
        <w:rPr>
          <w:rFonts w:hint="eastAsia" w:ascii="宋体" w:hAnsi="宋体" w:eastAsia="宋体" w:cs="宋体"/>
          <w:bCs/>
          <w:color w:val="000000"/>
          <w:sz w:val="24"/>
          <w:highlight w:val="none"/>
        </w:rPr>
      </w:r>
      <w:r/>
    </w:p>
    <w:p>
      <w:pPr>
        <w:pStyle w:val="1064"/>
        <w:numPr>
          <w:ilvl w:val="0"/>
          <w:numId w:val="16"/>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我方认可并遵守招标文件的所有规定，放弃对招标文件提出质疑的权利。</w:t>
      </w:r>
      <w:r>
        <w:rPr>
          <w:rFonts w:hint="eastAsia" w:ascii="宋体" w:hAnsi="宋体" w:eastAsia="宋体" w:cs="宋体"/>
          <w:bCs/>
          <w:color w:val="000000"/>
          <w:sz w:val="24"/>
          <w:highlight w:val="none"/>
        </w:rPr>
      </w:r>
      <w:r/>
    </w:p>
    <w:p>
      <w:pPr>
        <w:pStyle w:val="1064"/>
        <w:numPr>
          <w:ilvl w:val="0"/>
          <w:numId w:val="16"/>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如我方在投标截止期后撤回投标及中标后拒绝遵守投标承诺或拒绝在规定的时间内与采购人签订合同，我方愿接受相关处罚。</w:t>
      </w:r>
      <w:r>
        <w:rPr>
          <w:rFonts w:hint="eastAsia" w:ascii="宋体" w:hAnsi="宋体" w:eastAsia="宋体" w:cs="宋体"/>
          <w:bCs/>
          <w:color w:val="000000"/>
          <w:sz w:val="24"/>
          <w:highlight w:val="none"/>
        </w:rPr>
      </w:r>
      <w:r/>
    </w:p>
    <w:p>
      <w:pPr>
        <w:pStyle w:val="1064"/>
        <w:numPr>
          <w:ilvl w:val="0"/>
          <w:numId w:val="16"/>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如果我方被确定为中标供应商，我方愿意在见证合同时按招标文件的规定</w:t>
      </w:r>
      <w:r>
        <w:rPr>
          <w:rFonts w:hint="eastAsia" w:ascii="宋体" w:hAnsi="宋体" w:eastAsia="宋体" w:cs="宋体"/>
          <w:bCs/>
          <w:color w:val="000000"/>
          <w:sz w:val="24"/>
          <w:highlight w:val="none"/>
          <w:lang w:eastAsia="zh-CN"/>
        </w:rPr>
        <w:t xml:space="preserve">缴纳</w:t>
      </w:r>
      <w:r>
        <w:rPr>
          <w:rFonts w:hint="eastAsia" w:ascii="宋体" w:hAnsi="宋体" w:eastAsia="宋体" w:cs="宋体"/>
          <w:bCs/>
          <w:color w:val="000000"/>
          <w:sz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rPr>
          <w:rFonts w:hint="eastAsia" w:ascii="宋体" w:hAnsi="宋体" w:eastAsia="宋体" w:cs="宋体"/>
          <w:bCs/>
          <w:color w:val="000000"/>
          <w:sz w:val="24"/>
          <w:highlight w:val="none"/>
        </w:rPr>
      </w:r>
      <w:r/>
    </w:p>
    <w:p>
      <w:pPr>
        <w:pStyle w:val="1064"/>
        <w:numPr>
          <w:ilvl w:val="0"/>
          <w:numId w:val="16"/>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我方决不提供虚假材料谋取中标、决不采取不正当手段诋毁、排挤其他供应商、决不与采购人、</w:t>
      </w:r>
      <w:r>
        <w:rPr>
          <w:rFonts w:hint="eastAsia" w:ascii="宋体" w:hAnsi="宋体" w:eastAsia="宋体" w:cs="宋体"/>
          <w:bCs/>
          <w:color w:val="000000"/>
          <w:sz w:val="24"/>
          <w:highlight w:val="none"/>
          <w:lang w:eastAsia="zh-CN"/>
        </w:rPr>
        <w:t xml:space="preserve">其他</w:t>
      </w:r>
      <w:r>
        <w:rPr>
          <w:rFonts w:hint="eastAsia" w:ascii="宋体" w:hAnsi="宋体" w:eastAsia="宋体" w:cs="宋体"/>
          <w:bCs/>
          <w:color w:val="000000"/>
          <w:sz w:val="24"/>
          <w:highlight w:val="none"/>
        </w:rPr>
        <w:t xml:space="preserve">供应商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s="宋体"/>
          <w:bCs/>
          <w:color w:val="000000"/>
          <w:sz w:val="24"/>
          <w:highlight w:val="none"/>
        </w:rPr>
      </w:r>
      <w:r/>
    </w:p>
    <w:p>
      <w:pPr>
        <w:pStyle w:val="1064"/>
        <w:ind w:firstLine="48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64"/>
        <w:ind w:firstLine="48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投标人（盖章）：     </w:t>
      </w:r>
      <w:r>
        <w:rPr>
          <w:rFonts w:hint="eastAsia" w:ascii="宋体" w:hAnsi="宋体" w:eastAsia="宋体" w:cs="宋体"/>
          <w:bCs/>
          <w:color w:val="000000"/>
          <w:sz w:val="24"/>
          <w:highlight w:val="none"/>
        </w:rPr>
      </w:r>
      <w:r/>
    </w:p>
    <w:p>
      <w:pPr>
        <w:pStyle w:val="1064"/>
        <w:ind w:firstLine="48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法定代表人或法定代表人授权代表签字或盖章：</w:t>
      </w:r>
      <w:r>
        <w:rPr>
          <w:rFonts w:hint="eastAsia" w:ascii="宋体" w:hAnsi="宋体" w:eastAsia="宋体" w:cs="宋体"/>
          <w:bCs/>
          <w:color w:val="000000"/>
          <w:sz w:val="24"/>
          <w:highlight w:val="none"/>
        </w:rPr>
      </w:r>
      <w:r/>
    </w:p>
    <w:p>
      <w:pPr>
        <w:pStyle w:val="1064"/>
        <w:ind w:firstLine="48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电话：                              传真：</w:t>
      </w:r>
      <w:r>
        <w:rPr>
          <w:rFonts w:hint="eastAsia" w:ascii="宋体" w:hAnsi="宋体" w:eastAsia="宋体" w:cs="宋体"/>
          <w:bCs/>
          <w:color w:val="000000"/>
          <w:sz w:val="24"/>
          <w:highlight w:val="none"/>
        </w:rPr>
      </w:r>
      <w:r/>
    </w:p>
    <w:p>
      <w:pPr>
        <w:pStyle w:val="1064"/>
        <w:ind w:firstLine="48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通讯地址：                          邮编：</w:t>
      </w:r>
      <w:r>
        <w:rPr>
          <w:rFonts w:hint="eastAsia" w:ascii="宋体" w:hAnsi="宋体" w:eastAsia="宋体" w:cs="宋体"/>
          <w:bCs/>
          <w:color w:val="000000"/>
          <w:sz w:val="24"/>
          <w:highlight w:val="none"/>
        </w:rPr>
      </w:r>
      <w:r/>
    </w:p>
    <w:p>
      <w:pPr>
        <w:pStyle w:val="1064"/>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6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6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6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128"/>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28"/>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28"/>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28"/>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28"/>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28"/>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28"/>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28"/>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28"/>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28"/>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28"/>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28"/>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28"/>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64"/>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4"/>
          <w:highlight w:val="none"/>
        </w:rPr>
        <w:t xml:space="preserve">（二）（投标人）关于资格的声明函（格式）：</w:t>
      </w:r>
      <w:r>
        <w:rPr>
          <w:rFonts w:hint="eastAsia" w:ascii="宋体" w:hAnsi="宋体" w:eastAsia="宋体" w:cs="宋体"/>
          <w:bCs/>
          <w:color w:val="000000"/>
          <w:sz w:val="28"/>
          <w:szCs w:val="28"/>
          <w:highlight w:val="none"/>
        </w:rPr>
      </w:r>
      <w:r/>
    </w:p>
    <w:p>
      <w:pPr>
        <w:pStyle w:val="1064"/>
        <w:rPr>
          <w:rFonts w:hint="eastAsia" w:ascii="宋体" w:hAnsi="宋体" w:eastAsia="宋体" w:cs="宋体"/>
          <w:bCs/>
          <w:color w:val="000000"/>
          <w:sz w:val="36"/>
          <w:highlight w:val="none"/>
        </w:rPr>
      </w:pPr>
      <w:r>
        <w:rPr>
          <w:rFonts w:hint="eastAsia" w:ascii="宋体" w:hAnsi="宋体" w:eastAsia="宋体" w:cs="宋体"/>
          <w:bCs/>
          <w:color w:val="000000"/>
          <w:sz w:val="36"/>
          <w:highlight w:val="none"/>
        </w:rPr>
      </w:r>
      <w:r/>
    </w:p>
    <w:p>
      <w:pPr>
        <w:pStyle w:val="1064"/>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关于资格的声明函</w:t>
      </w:r>
      <w:r>
        <w:rPr>
          <w:rFonts w:hint="eastAsia" w:ascii="宋体" w:hAnsi="宋体" w:eastAsia="宋体" w:cs="宋体"/>
          <w:bCs/>
          <w:color w:val="000000"/>
          <w:sz w:val="28"/>
          <w:szCs w:val="28"/>
          <w:highlight w:val="none"/>
        </w:rPr>
      </w:r>
      <w:r/>
    </w:p>
    <w:p>
      <w:pPr>
        <w:pStyle w:val="1064"/>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1064"/>
        <w:rPr>
          <w:rFonts w:hint="eastAsia" w:ascii="宋体" w:hAnsi="宋体" w:eastAsia="宋体" w:cs="宋体"/>
          <w:bCs/>
          <w:color w:val="000000"/>
          <w:sz w:val="24"/>
          <w:highlight w:val="none"/>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highlight w:val="none"/>
        </w:rPr>
        <w:t xml:space="preserve">                                         政府采购编号： </w:t>
      </w:r>
      <w:r>
        <w:rPr>
          <w:rFonts w:hint="eastAsia" w:ascii="宋体" w:hAnsi="宋体" w:eastAsia="宋体" w:cs="宋体"/>
          <w:bCs/>
          <w:color w:val="000000"/>
          <w:sz w:val="24"/>
          <w:highlight w:val="none"/>
        </w:rPr>
      </w:r>
      <w:r/>
    </w:p>
    <w:p>
      <w:pPr>
        <w:pStyle w:val="1064"/>
        <w:tabs>
          <w:tab w:val="left" w:pos="63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日期：</w:t>
      </w:r>
      <w:r>
        <w:rPr>
          <w:rFonts w:hint="eastAsia" w:ascii="宋体" w:hAnsi="宋体" w:eastAsia="宋体" w:cs="宋体"/>
          <w:bCs/>
          <w:color w:val="000000"/>
          <w:sz w:val="24"/>
          <w:highlight w:val="none"/>
        </w:rPr>
      </w:r>
      <w:r/>
    </w:p>
    <w:p>
      <w:pPr>
        <w:pStyle w:val="1064"/>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64"/>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致：</w:t>
      </w:r>
      <w:r>
        <w:rPr>
          <w:rFonts w:hint="eastAsia" w:ascii="宋体" w:hAnsi="宋体" w:eastAsia="宋体" w:cs="宋体"/>
          <w:bCs/>
          <w:color w:val="000000"/>
          <w:sz w:val="24"/>
          <w:highlight w:val="none"/>
          <w:u w:val="single"/>
        </w:rPr>
        <w:t xml:space="preserve">江苏建威建设管理有限公司</w:t>
      </w:r>
      <w:r>
        <w:rPr>
          <w:rFonts w:hint="eastAsia" w:ascii="宋体" w:hAnsi="宋体" w:eastAsia="宋体" w:cs="宋体"/>
          <w:bCs/>
          <w:color w:val="000000"/>
          <w:sz w:val="24"/>
          <w:highlight w:val="none"/>
        </w:rPr>
      </w:r>
      <w:r/>
    </w:p>
    <w:p>
      <w:pPr>
        <w:pStyle w:val="1064"/>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64"/>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我公司（单位）愿针对本次项目</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进行投标。</w:t>
      </w:r>
      <w:r>
        <w:rPr>
          <w:rFonts w:hint="eastAsia" w:ascii="宋体" w:hAnsi="宋体" w:eastAsia="宋体" w:cs="宋体"/>
          <w:bCs/>
          <w:color w:val="000000"/>
          <w:sz w:val="24"/>
          <w:highlight w:val="none"/>
        </w:rPr>
      </w:r>
      <w:r/>
    </w:p>
    <w:p>
      <w:pPr>
        <w:pStyle w:val="1064"/>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我公司符合《中华人民共和国政府采购法》第二十二条的规定，在此郑重承诺具备以下条件：</w:t>
      </w:r>
      <w:r>
        <w:rPr>
          <w:rFonts w:hint="eastAsia" w:ascii="宋体" w:hAnsi="宋体" w:eastAsia="宋体" w:cs="宋体"/>
          <w:color w:val="000000"/>
          <w:sz w:val="24"/>
          <w:highlight w:val="none"/>
        </w:rPr>
      </w:r>
      <w:r/>
    </w:p>
    <w:p>
      <w:pPr>
        <w:pStyle w:val="1064"/>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（一）具有独立承担民事责任的能力；</w:t>
      </w:r>
      <w:r>
        <w:rPr>
          <w:rFonts w:hint="eastAsia" w:ascii="宋体" w:hAnsi="宋体" w:eastAsia="宋体" w:cs="宋体"/>
          <w:color w:val="000000"/>
          <w:sz w:val="24"/>
          <w:highlight w:val="none"/>
        </w:rPr>
      </w:r>
      <w:r/>
    </w:p>
    <w:p>
      <w:pPr>
        <w:pStyle w:val="1064"/>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（二）具有良好的商业信誉和健全的财务会计制度；</w:t>
      </w:r>
      <w:r>
        <w:rPr>
          <w:rFonts w:hint="eastAsia" w:ascii="宋体" w:hAnsi="宋体" w:eastAsia="宋体" w:cs="宋体"/>
          <w:color w:val="000000"/>
          <w:sz w:val="24"/>
          <w:highlight w:val="none"/>
        </w:rPr>
      </w:r>
      <w:r/>
    </w:p>
    <w:p>
      <w:pPr>
        <w:pStyle w:val="1064"/>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（三）具有履行合同所必需的设备和专业技术能力；</w:t>
      </w:r>
      <w:r>
        <w:rPr>
          <w:rFonts w:hint="eastAsia" w:ascii="宋体" w:hAnsi="宋体" w:eastAsia="宋体" w:cs="宋体"/>
          <w:color w:val="000000"/>
          <w:sz w:val="24"/>
          <w:highlight w:val="none"/>
        </w:rPr>
      </w:r>
      <w:r/>
    </w:p>
    <w:p>
      <w:pPr>
        <w:pStyle w:val="1064"/>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（四）有依法缴纳税收和社会保障资金的良好记录；</w:t>
      </w:r>
      <w:r>
        <w:rPr>
          <w:rFonts w:hint="eastAsia" w:ascii="宋体" w:hAnsi="宋体" w:eastAsia="宋体" w:cs="宋体"/>
          <w:color w:val="000000"/>
          <w:sz w:val="24"/>
          <w:highlight w:val="none"/>
        </w:rPr>
      </w:r>
      <w:r/>
    </w:p>
    <w:p>
      <w:pPr>
        <w:pStyle w:val="1064"/>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（五）近三年内，在经营活动中没有重大违法记录；</w:t>
      </w:r>
      <w:r>
        <w:rPr>
          <w:rFonts w:hint="eastAsia" w:ascii="宋体" w:hAnsi="宋体" w:eastAsia="宋体" w:cs="宋体"/>
          <w:color w:val="000000"/>
          <w:sz w:val="24"/>
          <w:highlight w:val="none"/>
        </w:rPr>
      </w:r>
      <w:r/>
    </w:p>
    <w:p>
      <w:pPr>
        <w:pStyle w:val="1064"/>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（六）投标文件中所有关于投标资格的文件、证明、陈述均是真实的、准确的。</w:t>
      </w:r>
      <w:r>
        <w:rPr>
          <w:rFonts w:hint="eastAsia" w:ascii="宋体" w:hAnsi="宋体" w:eastAsia="宋体" w:cs="宋体"/>
          <w:bCs/>
          <w:color w:val="000000"/>
          <w:sz w:val="24"/>
          <w:highlight w:val="none"/>
        </w:rPr>
      </w:r>
      <w:r/>
    </w:p>
    <w:p>
      <w:pPr>
        <w:pStyle w:val="1064"/>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若有违背，我公司（单位）愿意承担由此而产生的一切后果。</w:t>
      </w:r>
      <w:r>
        <w:rPr>
          <w:rFonts w:hint="eastAsia" w:ascii="宋体" w:hAnsi="宋体" w:eastAsia="宋体" w:cs="宋体"/>
          <w:bCs/>
          <w:color w:val="000000"/>
          <w:sz w:val="24"/>
          <w:highlight w:val="none"/>
        </w:rPr>
      </w:r>
      <w:r/>
    </w:p>
    <w:p>
      <w:pPr>
        <w:pStyle w:val="1064"/>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7"/>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7"/>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7"/>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64"/>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投标人（盖章）：</w:t>
      </w:r>
      <w:r>
        <w:rPr>
          <w:rFonts w:hint="eastAsia" w:ascii="宋体" w:hAnsi="宋体" w:eastAsia="宋体" w:cs="宋体"/>
          <w:bCs/>
          <w:color w:val="000000"/>
          <w:sz w:val="24"/>
          <w:highlight w:val="none"/>
        </w:rPr>
      </w:r>
      <w:r/>
    </w:p>
    <w:p>
      <w:pPr>
        <w:pStyle w:val="1064"/>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法定代表人（签字或盖章）：</w:t>
      </w:r>
      <w:r>
        <w:rPr>
          <w:rFonts w:hint="eastAsia" w:ascii="宋体" w:hAnsi="宋体" w:eastAsia="宋体" w:cs="宋体"/>
          <w:bCs/>
          <w:color w:val="000000"/>
          <w:sz w:val="24"/>
          <w:highlight w:val="none"/>
        </w:rPr>
      </w:r>
      <w:r/>
    </w:p>
    <w:p>
      <w:pPr>
        <w:pStyle w:val="1064"/>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64"/>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64"/>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64"/>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64"/>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64"/>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128"/>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28"/>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28"/>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28"/>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64"/>
        <w:rPr>
          <w:rFonts w:hint="eastAsia" w:ascii="宋体" w:hAnsi="宋体" w:eastAsia="宋体" w:cs="宋体"/>
          <w:bCs/>
          <w:color w:val="000000"/>
          <w:sz w:val="32"/>
          <w:szCs w:val="32"/>
          <w:highlight w:val="none"/>
        </w:rPr>
      </w:pPr>
      <w:r>
        <w:rPr>
          <w:rFonts w:hint="eastAsia" w:ascii="宋体" w:hAnsi="宋体" w:eastAsia="宋体" w:cs="宋体"/>
          <w:bCs/>
          <w:color w:val="000000"/>
          <w:sz w:val="24"/>
          <w:highlight w:val="none"/>
        </w:rPr>
        <w:t xml:space="preserve">（三）</w:t>
      </w:r>
      <w:r>
        <w:rPr>
          <w:rFonts w:hint="eastAsia" w:ascii="宋体" w:hAnsi="宋体" w:eastAsia="宋体" w:cs="宋体"/>
          <w:color w:val="000000"/>
          <w:sz w:val="24"/>
          <w:highlight w:val="none"/>
        </w:rPr>
        <w:t xml:space="preserve">（投标人）法定代表人授权委托书（格式）：</w:t>
      </w:r>
      <w:r>
        <w:rPr>
          <w:rFonts w:hint="eastAsia" w:ascii="宋体" w:hAnsi="宋体" w:eastAsia="宋体" w:cs="宋体"/>
          <w:bCs/>
          <w:color w:val="000000"/>
          <w:sz w:val="32"/>
          <w:szCs w:val="32"/>
          <w:highlight w:val="none"/>
        </w:rPr>
      </w:r>
      <w:r/>
    </w:p>
    <w:p>
      <w:pPr>
        <w:pStyle w:val="1064"/>
        <w:jc w:val="center"/>
        <w:rPr>
          <w:rFonts w:hint="eastAsia" w:ascii="宋体" w:hAnsi="宋体" w:eastAsia="宋体" w:cs="宋体"/>
          <w:bCs/>
          <w:color w:val="000000"/>
          <w:sz w:val="32"/>
          <w:szCs w:val="32"/>
          <w:highlight w:val="none"/>
        </w:rPr>
        <w:outlineLvl w:val="0"/>
      </w:pPr>
      <w:r>
        <w:rPr>
          <w:rFonts w:hint="eastAsia" w:ascii="宋体" w:hAnsi="宋体" w:eastAsia="宋体" w:cs="宋体"/>
          <w:bCs/>
          <w:color w:val="000000"/>
          <w:sz w:val="32"/>
          <w:szCs w:val="32"/>
          <w:highlight w:val="none"/>
        </w:rPr>
      </w:r>
      <w:r/>
    </w:p>
    <w:p>
      <w:pPr>
        <w:pStyle w:val="1064"/>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32"/>
          <w:szCs w:val="32"/>
          <w:highlight w:val="none"/>
        </w:rPr>
        <w:t xml:space="preserve">法定代表人授权委托书</w:t>
      </w:r>
      <w:r>
        <w:rPr>
          <w:rFonts w:hint="eastAsia" w:ascii="宋体" w:hAnsi="宋体" w:eastAsia="宋体" w:cs="宋体"/>
          <w:bCs/>
          <w:color w:val="000000"/>
          <w:sz w:val="28"/>
          <w:szCs w:val="28"/>
          <w:highlight w:val="none"/>
        </w:rPr>
      </w:r>
      <w:r/>
    </w:p>
    <w:p>
      <w:pPr>
        <w:pStyle w:val="1064"/>
        <w:rPr>
          <w:rFonts w:hint="eastAsia" w:ascii="宋体" w:hAnsi="宋体" w:eastAsia="宋体" w:cs="宋体"/>
          <w:bCs/>
          <w:color w:val="000000"/>
          <w:sz w:val="24"/>
          <w:highlight w:val="none"/>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highlight w:val="none"/>
        </w:rPr>
        <w:t xml:space="preserve">政府采购编号： </w:t>
      </w:r>
      <w:r>
        <w:rPr>
          <w:rFonts w:hint="eastAsia" w:ascii="宋体" w:hAnsi="宋体" w:eastAsia="宋体" w:cs="宋体"/>
          <w:bCs/>
          <w:color w:val="000000"/>
          <w:sz w:val="24"/>
          <w:highlight w:val="none"/>
        </w:rPr>
      </w:r>
      <w:r/>
    </w:p>
    <w:p>
      <w:pPr>
        <w:pStyle w:val="1064"/>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日期：</w:t>
      </w:r>
      <w:r>
        <w:rPr>
          <w:rFonts w:hint="eastAsia" w:ascii="宋体" w:hAnsi="宋体" w:eastAsia="宋体" w:cs="宋体"/>
          <w:bCs/>
          <w:color w:val="000000"/>
          <w:sz w:val="24"/>
          <w:highlight w:val="none"/>
        </w:rPr>
      </w:r>
      <w:r/>
    </w:p>
    <w:p>
      <w:pPr>
        <w:pStyle w:val="1064"/>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64"/>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r>
      <w:r/>
    </w:p>
    <w:p>
      <w:pPr>
        <w:pStyle w:val="1064"/>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致：</w:t>
      </w:r>
      <w:r>
        <w:rPr>
          <w:rFonts w:hint="eastAsia" w:ascii="宋体" w:hAnsi="宋体" w:eastAsia="宋体" w:cs="宋体"/>
          <w:bCs/>
          <w:color w:val="000000"/>
          <w:sz w:val="24"/>
          <w:highlight w:val="none"/>
          <w:u w:val="single"/>
        </w:rPr>
        <w:t xml:space="preserve">江苏建威建设管理有限公司</w:t>
      </w:r>
      <w:r>
        <w:rPr>
          <w:rFonts w:hint="eastAsia" w:ascii="宋体" w:hAnsi="宋体" w:eastAsia="宋体" w:cs="宋体"/>
          <w:bCs/>
          <w:color w:val="000000"/>
          <w:sz w:val="24"/>
          <w:highlight w:val="none"/>
          <w:u w:val="single"/>
        </w:rPr>
      </w:r>
      <w:r/>
    </w:p>
    <w:p>
      <w:pPr>
        <w:pStyle w:val="1064"/>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 系中华人民共和国合法企业，特授权</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代表我公司（单位）全权办理针对本项目的投标、参与开标、评标、签约等具体工作，并签署全部有关的文件、协议及合同。</w:t>
      </w:r>
      <w:r>
        <w:rPr>
          <w:rFonts w:hint="eastAsia" w:ascii="宋体" w:hAnsi="宋体" w:eastAsia="宋体" w:cs="宋体"/>
          <w:bCs/>
          <w:color w:val="000000"/>
          <w:sz w:val="24"/>
          <w:highlight w:val="none"/>
        </w:rPr>
      </w:r>
      <w:r/>
    </w:p>
    <w:p>
      <w:pPr>
        <w:pStyle w:val="1064"/>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我公司（单位）对授权代表的签名负全部责任。</w:t>
      </w:r>
      <w:r>
        <w:rPr>
          <w:rFonts w:hint="eastAsia" w:ascii="宋体" w:hAnsi="宋体" w:eastAsia="宋体" w:cs="宋体"/>
          <w:bCs/>
          <w:color w:val="000000"/>
          <w:sz w:val="24"/>
          <w:highlight w:val="none"/>
        </w:rPr>
      </w:r>
      <w:r/>
    </w:p>
    <w:p>
      <w:pPr>
        <w:pStyle w:val="1064"/>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在撤销授权的书面通知送达你处以前，本授权书一直有效，授权代表签署的所有文件（在授权书有效期内签署的）不因授权的撤销而失效。</w:t>
      </w:r>
      <w:r>
        <w:rPr>
          <w:rFonts w:hint="eastAsia" w:ascii="宋体" w:hAnsi="宋体" w:eastAsia="宋体" w:cs="宋体"/>
          <w:bCs/>
          <w:color w:val="000000"/>
          <w:sz w:val="24"/>
          <w:highlight w:val="none"/>
        </w:rPr>
      </w:r>
      <w:r/>
    </w:p>
    <w:p>
      <w:pPr>
        <w:pStyle w:val="1064"/>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授权代表情况：</w:t>
      </w:r>
      <w:r>
        <w:rPr>
          <w:rFonts w:hint="eastAsia" w:ascii="宋体" w:hAnsi="宋体" w:eastAsia="宋体" w:cs="宋体"/>
          <w:bCs/>
          <w:color w:val="000000"/>
          <w:sz w:val="24"/>
          <w:highlight w:val="none"/>
        </w:rPr>
      </w:r>
      <w:r/>
    </w:p>
    <w:p>
      <w:pPr>
        <w:pStyle w:val="1064"/>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姓名：         性别：  </w:t>
      </w:r>
      <w:r>
        <w:rPr>
          <w:rFonts w:hint="eastAsia" w:ascii="宋体" w:hAnsi="宋体" w:eastAsia="宋体" w:cs="宋体"/>
          <w:bCs/>
          <w:color w:val="000000"/>
          <w:sz w:val="24"/>
          <w:highlight w:val="none"/>
        </w:rPr>
      </w:r>
      <w:r/>
    </w:p>
    <w:p>
      <w:pPr>
        <w:pStyle w:val="1064"/>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身份证件号码：                电话：</w:t>
      </w:r>
      <w:r>
        <w:rPr>
          <w:rFonts w:hint="eastAsia" w:ascii="宋体" w:hAnsi="宋体" w:eastAsia="宋体" w:cs="宋体"/>
          <w:bCs/>
          <w:color w:val="000000"/>
          <w:sz w:val="24"/>
          <w:highlight w:val="none"/>
        </w:rPr>
      </w:r>
      <w:r/>
    </w:p>
    <w:p>
      <w:pPr>
        <w:pStyle w:val="1064"/>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授权代表（签字或盖章）：               </w:t>
      </w:r>
      <w:r>
        <w:rPr>
          <w:rFonts w:hint="eastAsia" w:ascii="宋体" w:hAnsi="宋体" w:eastAsia="宋体" w:cs="宋体"/>
          <w:bCs/>
          <w:color w:val="000000"/>
          <w:sz w:val="24"/>
          <w:highlight w:val="none"/>
        </w:rPr>
      </w:r>
      <w:r/>
    </w:p>
    <w:p>
      <w:pPr>
        <w:pStyle w:val="1064"/>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64"/>
        <w:ind w:firstLine="40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单位名称（盖章）：</w:t>
      </w:r>
      <w:r>
        <w:rPr>
          <w:rFonts w:hint="eastAsia" w:ascii="宋体" w:hAnsi="宋体" w:eastAsia="宋体" w:cs="宋体"/>
          <w:bCs/>
          <w:color w:val="000000"/>
          <w:sz w:val="24"/>
          <w:highlight w:val="none"/>
        </w:rPr>
      </w:r>
      <w:r/>
    </w:p>
    <w:p>
      <w:pPr>
        <w:pStyle w:val="1064"/>
        <w:ind w:firstLine="40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法定代表人（签字或盖章）：</w:t>
      </w:r>
      <w:r>
        <w:rPr>
          <w:rFonts w:hint="eastAsia" w:ascii="宋体" w:hAnsi="宋体" w:eastAsia="宋体" w:cs="宋体"/>
          <w:bCs/>
          <w:color w:val="000000"/>
          <w:sz w:val="24"/>
          <w:highlight w:val="none"/>
        </w:rPr>
      </w:r>
      <w:r/>
    </w:p>
    <w:p>
      <w:pPr>
        <w:pStyle w:val="106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64"/>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投标人法定代表人身份证扫描件：</w:t>
      </w:r>
      <w:r>
        <w:rPr>
          <w:rFonts w:hint="eastAsia" w:ascii="宋体" w:hAnsi="宋体" w:eastAsia="宋体" w:cs="宋体"/>
          <w:bCs/>
          <w:color w:val="000000"/>
          <w:sz w:val="24"/>
          <w:highlight w:val="none"/>
        </w:rPr>
      </w:r>
      <w:r/>
    </w:p>
    <w:p>
      <w:pPr>
        <w:pStyle w:val="1064"/>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SHAPE  \* MERGEFORMAT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mc:AlternateContent>
          <mc:Choice Requires="wpg">
            <w:drawing>
              <wp:inline xmlns:wp="http://schemas.openxmlformats.org/drawingml/2006/wordprocessingDrawing" distT="0" distB="0" distL="0" distR="0">
                <wp:extent cx="2807335" cy="1584960"/>
                <wp:effectExtent l="0" t="0" r="0" b="0"/>
                <wp:docPr id="8"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pStyle w:val="1064"/>
                              <w:jc w:val="center"/>
                              <w:rPr>
                                <w:rFonts w:ascii="黑体" w:eastAsia="黑体"/>
                                <w:sz w:val="32"/>
                                <w:szCs w:val="32"/>
                              </w:rPr>
                            </w:pPr>
                            <w:r>
                              <w:rPr>
                                <w:rFonts w:ascii="黑体" w:eastAsia="黑体"/>
                                <w:sz w:val="32"/>
                                <w:szCs w:val="32"/>
                              </w:rPr>
                            </w:r>
                            <w:r/>
                          </w:p>
                          <w:p>
                            <w:pPr>
                              <w:pStyle w:val="1064"/>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064"/>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1064"/>
                            </w:pPr>
                            <w:r/>
                            <w:r/>
                          </w:p>
                        </w:txbxContent>
                      </wps:txbx>
                      <wps:bodyPr wrap="square" upright="1"/>
                    </wps:wsp>
                  </a:graphicData>
                </a:graphic>
              </wp:inline>
            </w:drawing>
          </mc:Choice>
          <mc:Fallback>
            <w:pict>
              <v:shape id="shape 7" o:spid="_x0000_s7" o:spt="202" type="#_x0000_t202" style="width:221.0pt;height:124.8pt;mso-wrap-distance-left:0.0pt;mso-wrap-distance-top:0.0pt;mso-wrap-distance-right:0.0pt;mso-wrap-distance-bottom:0.0pt;visibility:visible;" fillcolor="#FFFFFF" strokecolor="#000000">
                <v:textbox inset="0,0,0,0">
                  <w:txbxContent>
                    <w:p>
                      <w:pPr>
                        <w:pStyle w:val="1064"/>
                        <w:jc w:val="center"/>
                        <w:rPr>
                          <w:rFonts w:ascii="黑体" w:eastAsia="黑体"/>
                          <w:sz w:val="32"/>
                          <w:szCs w:val="32"/>
                        </w:rPr>
                      </w:pPr>
                      <w:r>
                        <w:rPr>
                          <w:rFonts w:ascii="黑体" w:eastAsia="黑体"/>
                          <w:sz w:val="32"/>
                          <w:szCs w:val="32"/>
                        </w:rPr>
                      </w:r>
                      <w:r/>
                    </w:p>
                    <w:p>
                      <w:pPr>
                        <w:pStyle w:val="1064"/>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064"/>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1064"/>
                      </w:pPr>
                      <w:r/>
                      <w:r/>
                    </w:p>
                  </w:txbxContent>
                </v:textbox>
              </v:shape>
            </w:pict>
          </mc:Fallback>
        </mc:AlternateContent>
      </w:r>
      <w:r>
        <w:rPr>
          <w:rFonts w:hint="eastAsia" w:ascii="宋体" w:hAnsi="宋体" w:eastAsia="宋体" w:cs="宋体"/>
          <w:bCs/>
          <w:color w:val="000000"/>
          <w:sz w:val="24"/>
          <w:highlight w:val="none"/>
        </w:rPr>
        <w:fldChar w:fldCharType="end"/>
      </w:r>
      <w:r>
        <w:rPr>
          <w:rFonts w:hint="eastAsia" w:ascii="宋体" w:hAnsi="宋体" w:eastAsia="宋体" w:cs="宋体"/>
          <w:color w:val="000000"/>
          <w:sz w:val="32"/>
          <w:szCs w:val="32"/>
          <w:highlight w:val="none"/>
        </w:rPr>
        <w:t xml:space="preserve"> </w:t>
      </w: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SHAPE  \* MERGEFORMAT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mc:AlternateContent>
          <mc:Choice Requires="wpg">
            <w:drawing>
              <wp:inline xmlns:wp="http://schemas.openxmlformats.org/drawingml/2006/wordprocessingDrawing" distT="0" distB="0" distL="0" distR="0">
                <wp:extent cx="2679700" cy="1584960"/>
                <wp:effectExtent l="0" t="0" r="0" b="0"/>
                <wp:docPr id="9" name=""/>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pStyle w:val="1064"/>
                              <w:jc w:val="center"/>
                              <w:rPr>
                                <w:rFonts w:ascii="黑体" w:eastAsia="黑体"/>
                                <w:sz w:val="32"/>
                                <w:szCs w:val="32"/>
                              </w:rPr>
                            </w:pPr>
                            <w:r>
                              <w:rPr>
                                <w:rFonts w:ascii="黑体" w:eastAsia="黑体"/>
                                <w:sz w:val="32"/>
                                <w:szCs w:val="32"/>
                              </w:rPr>
                            </w:r>
                            <w:r/>
                          </w:p>
                          <w:p>
                            <w:pPr>
                              <w:pStyle w:val="1064"/>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064"/>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1064"/>
                            </w:pPr>
                            <w:r/>
                            <w:r/>
                          </w:p>
                        </w:txbxContent>
                      </wps:txbx>
                      <wps:bodyPr wrap="square" upright="1"/>
                    </wps:wsp>
                  </a:graphicData>
                </a:graphic>
              </wp:inline>
            </w:drawing>
          </mc:Choice>
          <mc:Fallback>
            <w:pict>
              <v:shape id="shape 8" o:spid="_x0000_s8" o:spt="202" type="#_x0000_t202" style="width:211.0pt;height:124.8pt;mso-wrap-distance-left:0.0pt;mso-wrap-distance-top:0.0pt;mso-wrap-distance-right:0.0pt;mso-wrap-distance-bottom:0.0pt;visibility:visible;" fillcolor="#FFFFFF" strokecolor="#000000">
                <v:textbox inset="0,0,0,0">
                  <w:txbxContent>
                    <w:p>
                      <w:pPr>
                        <w:pStyle w:val="1064"/>
                        <w:jc w:val="center"/>
                        <w:rPr>
                          <w:rFonts w:ascii="黑体" w:eastAsia="黑体"/>
                          <w:sz w:val="32"/>
                          <w:szCs w:val="32"/>
                        </w:rPr>
                      </w:pPr>
                      <w:r>
                        <w:rPr>
                          <w:rFonts w:ascii="黑体" w:eastAsia="黑体"/>
                          <w:sz w:val="32"/>
                          <w:szCs w:val="32"/>
                        </w:rPr>
                      </w:r>
                      <w:r/>
                    </w:p>
                    <w:p>
                      <w:pPr>
                        <w:pStyle w:val="1064"/>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064"/>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1064"/>
                      </w:pPr>
                      <w:r/>
                      <w:r/>
                    </w:p>
                  </w:txbxContent>
                </v:textbox>
              </v:shape>
            </w:pict>
          </mc:Fallback>
        </mc:AlternateContent>
      </w:r>
      <w:r>
        <w:rPr>
          <w:rFonts w:hint="eastAsia" w:ascii="宋体" w:hAnsi="宋体" w:eastAsia="宋体" w:cs="宋体"/>
          <w:bCs/>
          <w:color w:val="000000"/>
          <w:sz w:val="24"/>
          <w:highlight w:val="none"/>
        </w:rPr>
        <w:fldChar w:fldCharType="end"/>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1064"/>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64"/>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64"/>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法定代表人授权代表身份证扫描件：（</w:t>
      </w:r>
      <w:r>
        <w:rPr>
          <w:rFonts w:hint="eastAsia" w:ascii="宋体" w:hAnsi="宋体" w:eastAsia="宋体" w:cs="宋体"/>
          <w:b/>
          <w:bCs/>
          <w:color w:val="000000"/>
          <w:sz w:val="24"/>
          <w:highlight w:val="none"/>
        </w:rPr>
        <w:t xml:space="preserve">法定代表人亲自参与投标的除外）</w:t>
      </w:r>
      <w:r>
        <w:rPr>
          <w:rFonts w:hint="eastAsia" w:ascii="宋体" w:hAnsi="宋体" w:eastAsia="宋体" w:cs="宋体"/>
          <w:bCs/>
          <w:color w:val="000000"/>
          <w:sz w:val="24"/>
          <w:highlight w:val="none"/>
        </w:rPr>
      </w:r>
      <w:r/>
    </w:p>
    <w:p>
      <w:pPr>
        <w:pStyle w:val="1064"/>
        <w:rPr>
          <w:rFonts w:hint="eastAsia" w:ascii="宋体" w:hAnsi="宋体" w:eastAsia="宋体" w:cs="宋体"/>
          <w:color w:val="000000"/>
          <w:sz w:val="32"/>
          <w:szCs w:val="32"/>
          <w:highlight w:val="none"/>
        </w:rPr>
      </w:pP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SHAPE  \* MERGEFORMAT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mc:AlternateContent>
          <mc:Choice Requires="wpg">
            <w:drawing>
              <wp:inline xmlns:wp="http://schemas.openxmlformats.org/drawingml/2006/wordprocessingDrawing" distT="0" distB="0" distL="0" distR="0">
                <wp:extent cx="2804160" cy="1584960"/>
                <wp:effectExtent l="0" t="0" r="0" b="0"/>
                <wp:docPr id="10" name=""/>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pStyle w:val="1064"/>
                              <w:jc w:val="center"/>
                              <w:rPr>
                                <w:rFonts w:ascii="黑体" w:eastAsia="黑体"/>
                                <w:sz w:val="32"/>
                                <w:szCs w:val="32"/>
                              </w:rPr>
                            </w:pPr>
                            <w:r>
                              <w:rPr>
                                <w:rFonts w:ascii="黑体" w:eastAsia="黑体"/>
                                <w:sz w:val="32"/>
                                <w:szCs w:val="32"/>
                              </w:rPr>
                            </w:r>
                            <w:r/>
                          </w:p>
                          <w:p>
                            <w:pPr>
                              <w:pStyle w:val="1064"/>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rPr>
                                <w:rFonts w:hint="eastAsia" w:ascii="黑体" w:eastAsia="黑体"/>
                                <w:color w:val="000000"/>
                                <w:sz w:val="32"/>
                                <w:szCs w:val="32"/>
                              </w:rPr>
                            </w:r>
                            <w:r/>
                          </w:p>
                          <w:p>
                            <w:pPr>
                              <w:pStyle w:val="1064"/>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1064"/>
                            </w:pPr>
                            <w:r/>
                            <w:r/>
                          </w:p>
                        </w:txbxContent>
                      </wps:txbx>
                      <wps:bodyPr wrap="square" upright="1"/>
                    </wps:wsp>
                  </a:graphicData>
                </a:graphic>
              </wp:inline>
            </w:drawing>
          </mc:Choice>
          <mc:Fallback>
            <w:pict>
              <v:shape id="shape 9" o:spid="_x0000_s9" o:spt="202" type="#_x0000_t202" style="width:220.8pt;height:124.8pt;mso-wrap-distance-left:0.0pt;mso-wrap-distance-top:0.0pt;mso-wrap-distance-right:0.0pt;mso-wrap-distance-bottom:0.0pt;visibility:visible;" fillcolor="#FFFFFF" strokecolor="#000000">
                <v:textbox inset="0,0,0,0">
                  <w:txbxContent>
                    <w:p>
                      <w:pPr>
                        <w:pStyle w:val="1064"/>
                        <w:jc w:val="center"/>
                        <w:rPr>
                          <w:rFonts w:ascii="黑体" w:eastAsia="黑体"/>
                          <w:sz w:val="32"/>
                          <w:szCs w:val="32"/>
                        </w:rPr>
                      </w:pPr>
                      <w:r>
                        <w:rPr>
                          <w:rFonts w:ascii="黑体" w:eastAsia="黑体"/>
                          <w:sz w:val="32"/>
                          <w:szCs w:val="32"/>
                        </w:rPr>
                      </w:r>
                      <w:r/>
                    </w:p>
                    <w:p>
                      <w:pPr>
                        <w:pStyle w:val="1064"/>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rPr>
                          <w:rFonts w:hint="eastAsia" w:ascii="黑体" w:eastAsia="黑体"/>
                          <w:color w:val="000000"/>
                          <w:sz w:val="32"/>
                          <w:szCs w:val="32"/>
                        </w:rPr>
                      </w:r>
                      <w:r/>
                    </w:p>
                    <w:p>
                      <w:pPr>
                        <w:pStyle w:val="1064"/>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1064"/>
                      </w:pPr>
                      <w:r/>
                      <w:r/>
                    </w:p>
                  </w:txbxContent>
                </v:textbox>
              </v:shape>
            </w:pict>
          </mc:Fallback>
        </mc:AlternateContent>
      </w:r>
      <w:r>
        <w:rPr>
          <w:rFonts w:hint="eastAsia" w:ascii="宋体" w:hAnsi="宋体" w:eastAsia="宋体" w:cs="宋体"/>
          <w:bCs/>
          <w:color w:val="000000"/>
          <w:sz w:val="24"/>
          <w:highlight w:val="none"/>
        </w:rPr>
        <w:fldChar w:fldCharType="end"/>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SHAPE  \* MERGEFORMAT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mc:AlternateContent>
          <mc:Choice Requires="wpg">
            <w:drawing>
              <wp:inline xmlns:wp="http://schemas.openxmlformats.org/drawingml/2006/wordprocessingDrawing" distT="0" distB="0" distL="0" distR="0">
                <wp:extent cx="2719705" cy="1584960"/>
                <wp:effectExtent l="0" t="0" r="0" b="0"/>
                <wp:docPr id="11" name=""/>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pStyle w:val="1064"/>
                              <w:jc w:val="center"/>
                              <w:rPr>
                                <w:rFonts w:ascii="黑体" w:eastAsia="黑体"/>
                                <w:sz w:val="32"/>
                                <w:szCs w:val="32"/>
                              </w:rPr>
                            </w:pPr>
                            <w:r>
                              <w:rPr>
                                <w:rFonts w:ascii="黑体" w:eastAsia="黑体"/>
                                <w:sz w:val="32"/>
                                <w:szCs w:val="32"/>
                              </w:rPr>
                            </w:r>
                            <w:r/>
                          </w:p>
                          <w:p>
                            <w:pPr>
                              <w:pStyle w:val="1064"/>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rPr>
                                <w:rFonts w:hint="eastAsia" w:ascii="黑体" w:eastAsia="黑体"/>
                                <w:color w:val="000000"/>
                                <w:sz w:val="32"/>
                                <w:szCs w:val="32"/>
                              </w:rPr>
                            </w:r>
                            <w:r/>
                          </w:p>
                          <w:p>
                            <w:pPr>
                              <w:pStyle w:val="1064"/>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1064"/>
                            </w:pPr>
                            <w:r/>
                            <w:r/>
                          </w:p>
                        </w:txbxContent>
                      </wps:txbx>
                      <wps:bodyPr wrap="square" upright="1"/>
                    </wps:wsp>
                  </a:graphicData>
                </a:graphic>
              </wp:inline>
            </w:drawing>
          </mc:Choice>
          <mc:Fallback>
            <w:pict>
              <v:shape id="shape 10" o:spid="_x0000_s10" o:spt="202" type="#_x0000_t202" style="width:214.1pt;height:124.8pt;mso-wrap-distance-left:0.0pt;mso-wrap-distance-top:0.0pt;mso-wrap-distance-right:0.0pt;mso-wrap-distance-bottom:0.0pt;visibility:visible;" fillcolor="#FFFFFF" strokecolor="#000000">
                <v:textbox inset="0,0,0,0">
                  <w:txbxContent>
                    <w:p>
                      <w:pPr>
                        <w:pStyle w:val="1064"/>
                        <w:jc w:val="center"/>
                        <w:rPr>
                          <w:rFonts w:ascii="黑体" w:eastAsia="黑体"/>
                          <w:sz w:val="32"/>
                          <w:szCs w:val="32"/>
                        </w:rPr>
                      </w:pPr>
                      <w:r>
                        <w:rPr>
                          <w:rFonts w:ascii="黑体" w:eastAsia="黑体"/>
                          <w:sz w:val="32"/>
                          <w:szCs w:val="32"/>
                        </w:rPr>
                      </w:r>
                      <w:r/>
                    </w:p>
                    <w:p>
                      <w:pPr>
                        <w:pStyle w:val="1064"/>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rPr>
                          <w:rFonts w:hint="eastAsia" w:ascii="黑体" w:eastAsia="黑体"/>
                          <w:color w:val="000000"/>
                          <w:sz w:val="32"/>
                          <w:szCs w:val="32"/>
                        </w:rPr>
                      </w:r>
                      <w:r/>
                    </w:p>
                    <w:p>
                      <w:pPr>
                        <w:pStyle w:val="1064"/>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1064"/>
                      </w:pPr>
                      <w:r/>
                      <w:r/>
                    </w:p>
                  </w:txbxContent>
                </v:textbox>
              </v:shape>
            </w:pict>
          </mc:Fallback>
        </mc:AlternateContent>
      </w:r>
      <w:r>
        <w:rPr>
          <w:rFonts w:hint="eastAsia" w:ascii="宋体" w:hAnsi="宋体" w:eastAsia="宋体" w:cs="宋体"/>
          <w:bCs/>
          <w:color w:val="000000"/>
          <w:sz w:val="24"/>
          <w:highlight w:val="none"/>
        </w:rPr>
        <w:fldChar w:fldCharType="end"/>
      </w:r>
      <w:r>
        <w:rPr>
          <w:rFonts w:hint="eastAsia" w:ascii="宋体" w:hAnsi="宋体" w:eastAsia="宋体" w:cs="宋体"/>
          <w:color w:val="000000"/>
          <w:sz w:val="32"/>
          <w:szCs w:val="32"/>
          <w:highlight w:val="none"/>
        </w:rPr>
      </w:r>
      <w:r/>
    </w:p>
    <w:p>
      <w:pPr>
        <w:pStyle w:val="106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128"/>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（四）承诺书（格式）：</w:t>
      </w:r>
      <w:r>
        <w:rPr>
          <w:rFonts w:hint="eastAsia" w:ascii="宋体" w:hAnsi="宋体" w:eastAsia="宋体" w:cs="宋体"/>
          <w:bCs/>
          <w:color w:val="000000"/>
          <w:sz w:val="24"/>
          <w:highlight w:val="none"/>
        </w:rPr>
      </w:r>
      <w:r/>
    </w:p>
    <w:p>
      <w:pPr>
        <w:pStyle w:val="1064"/>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1064"/>
        <w:jc w:val="center"/>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 承诺书（格式）</w:t>
      </w:r>
      <w:r>
        <w:rPr>
          <w:rFonts w:hint="eastAsia" w:ascii="宋体" w:hAnsi="宋体" w:eastAsia="宋体" w:cs="宋体"/>
          <w:b/>
          <w:bCs/>
          <w:color w:val="000000"/>
          <w:sz w:val="30"/>
          <w:szCs w:val="30"/>
          <w:highlight w:val="none"/>
        </w:rPr>
      </w:r>
      <w:r/>
    </w:p>
    <w:p>
      <w:pPr>
        <w:pStyle w:val="1064"/>
        <w:jc w:val="center"/>
        <w:spacing w:line="500" w:lineRule="exact"/>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1064"/>
        <w:spacing w:line="500" w:lineRule="exact"/>
        <w:rPr>
          <w:rFonts w:hint="eastAsia" w:ascii="宋体" w:hAnsi="宋体" w:eastAsia="宋体" w:cs="宋体"/>
          <w:color w:val="000000"/>
          <w:sz w:val="24"/>
          <w:highlight w:val="none"/>
          <w:u w:val="single"/>
          <w:lang w:eastAsia="zh-CN"/>
        </w:rPr>
      </w:pPr>
      <w:r>
        <w:rPr>
          <w:rFonts w:hint="eastAsia" w:ascii="宋体" w:hAnsi="宋体" w:eastAsia="宋体" w:cs="宋体"/>
          <w:color w:val="000000"/>
          <w:sz w:val="24"/>
          <w:highlight w:val="none"/>
        </w:rPr>
        <w:t xml:space="preserve">致：</w:t>
      </w:r>
      <w:r>
        <w:rPr>
          <w:rFonts w:hint="eastAsia" w:ascii="宋体" w:hAnsi="宋体" w:eastAsia="宋体" w:cs="宋体"/>
          <w:bCs/>
          <w:color w:val="000000"/>
          <w:sz w:val="24"/>
          <w:highlight w:val="none"/>
          <w:u w:val="single"/>
          <w:lang w:eastAsia="zh-CN"/>
        </w:rPr>
        <w:t xml:space="preserve">无锡市惠山区洛社镇人民政府</w:t>
      </w:r>
      <w:r>
        <w:rPr>
          <w:rFonts w:hint="eastAsia" w:ascii="宋体" w:hAnsi="宋体" w:eastAsia="宋体" w:cs="宋体"/>
          <w:color w:val="000000"/>
          <w:sz w:val="24"/>
          <w:highlight w:val="none"/>
          <w:u w:val="single"/>
          <w:lang w:eastAsia="zh-CN"/>
        </w:rPr>
      </w:r>
      <w:r/>
    </w:p>
    <w:p>
      <w:pPr>
        <w:pStyle w:val="1064"/>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我公司自愿参加贵单位（公司）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rPr>
          <w:rFonts w:hint="eastAsia" w:ascii="宋体" w:hAnsi="宋体" w:eastAsia="宋体" w:cs="宋体"/>
          <w:color w:val="000000"/>
          <w:sz w:val="24"/>
          <w:highlight w:val="none"/>
        </w:rPr>
      </w:r>
      <w:r/>
    </w:p>
    <w:p>
      <w:pPr>
        <w:pStyle w:val="106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4"/>
        <w:ind w:firstLine="480"/>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4"/>
        <w:ind w:firstLine="480"/>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4"/>
        <w:ind w:firstLine="480"/>
        <w:jc w:val="right"/>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投标人：（盖章）          </w:t>
      </w:r>
      <w:r>
        <w:rPr>
          <w:rFonts w:hint="eastAsia" w:ascii="宋体" w:hAnsi="宋体" w:eastAsia="宋体" w:cs="宋体"/>
          <w:color w:val="000000"/>
          <w:sz w:val="24"/>
          <w:highlight w:val="none"/>
        </w:rPr>
      </w:r>
      <w:r/>
    </w:p>
    <w:p>
      <w:pPr>
        <w:pStyle w:val="1064"/>
        <w:ind w:right="480" w:firstLine="480"/>
        <w:jc w:val="center"/>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法定代表人签名或盖章：            </w:t>
      </w:r>
      <w:r>
        <w:rPr>
          <w:rFonts w:hint="eastAsia" w:ascii="宋体" w:hAnsi="宋体" w:eastAsia="宋体" w:cs="宋体"/>
          <w:color w:val="000000"/>
          <w:sz w:val="24"/>
          <w:highlight w:val="none"/>
        </w:rPr>
      </w:r>
      <w:r/>
    </w:p>
    <w:p>
      <w:pPr>
        <w:pStyle w:val="1064"/>
        <w:ind w:right="480" w:firstLine="6840"/>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    月    日</w:t>
      </w:r>
      <w:r>
        <w:rPr>
          <w:rFonts w:hint="eastAsia" w:ascii="宋体" w:hAnsi="宋体" w:eastAsia="宋体" w:cs="宋体"/>
          <w:color w:val="000000"/>
          <w:sz w:val="24"/>
          <w:highlight w:val="none"/>
        </w:rPr>
      </w:r>
      <w:r/>
    </w:p>
    <w:p>
      <w:pPr>
        <w:pStyle w:val="1064"/>
        <w:ind w:firstLine="480"/>
        <w:jc w:val="right"/>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7"/>
        <w:spacing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6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8"/>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8"/>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8"/>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8"/>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4"/>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4"/>
          <w:highlight w:val="none"/>
        </w:rPr>
        <w:t xml:space="preserve">（五）开标一览表（格式）：</w:t>
      </w:r>
      <w:r>
        <w:rPr>
          <w:rFonts w:hint="eastAsia" w:ascii="宋体" w:hAnsi="宋体" w:eastAsia="宋体" w:cs="宋体"/>
          <w:bCs/>
          <w:color w:val="000000"/>
          <w:sz w:val="28"/>
          <w:szCs w:val="28"/>
          <w:highlight w:val="none"/>
        </w:rPr>
      </w:r>
      <w:r/>
    </w:p>
    <w:p>
      <w:pPr>
        <w:pStyle w:val="1064"/>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1064"/>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开标一览表 </w:t>
      </w:r>
      <w:r>
        <w:rPr>
          <w:rFonts w:hint="eastAsia" w:ascii="宋体" w:hAnsi="宋体" w:eastAsia="宋体" w:cs="宋体"/>
          <w:bCs/>
          <w:color w:val="000000"/>
          <w:sz w:val="28"/>
          <w:szCs w:val="28"/>
          <w:highlight w:val="none"/>
        </w:rPr>
      </w:r>
      <w:r/>
    </w:p>
    <w:p>
      <w:pPr>
        <w:pStyle w:val="1064"/>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1064"/>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 项目名称：</w:t>
      </w:r>
      <w:r>
        <w:rPr>
          <w:rFonts w:hint="eastAsia" w:ascii="宋体" w:hAnsi="宋体" w:eastAsia="宋体" w:cs="宋体"/>
          <w:color w:val="000000"/>
          <w:sz w:val="24"/>
          <w:highlight w:val="none"/>
          <w:lang w:eastAsia="zh-CN"/>
        </w:rPr>
        <w:t xml:space="preserve">无锡金属表面处理科技工业园区土壤和地下水污染管控方案编制采购服务</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tbl>
      <w:tblPr>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8"/>
        <w:gridCol w:w="7361"/>
      </w:tblGrid>
      <w:tr>
        <w:trPr>
          <w:cantSplit/>
          <w:trHeight w:val="1133"/>
        </w:trPr>
        <w:tc>
          <w:tcPr>
            <w:tcW w:w="2738" w:type="dxa"/>
            <w:vAlign w:val="center"/>
            <w:textDirection w:val="lrTb"/>
            <w:noWrap w:val="false"/>
          </w:tcPr>
          <w:p>
            <w:pPr>
              <w:pStyle w:val="1104"/>
              <w:ind w:left="280" w:hanging="280"/>
              <w:jc w:val="center"/>
              <w:spacing w:line="300" w:lineRule="auto"/>
              <w:rPr>
                <w:rFonts w:hint="eastAsia" w:ascii="宋体" w:hAnsi="宋体" w:eastAsia="宋体" w:cs="宋体"/>
                <w:color w:val="000000"/>
                <w:sz w:val="24"/>
                <w:highlight w:val="none"/>
                <w:lang w:val="en-US" w:eastAsia="zh-CN"/>
              </w:rPr>
            </w:pPr>
            <w:r>
              <w:rPr>
                <w:rFonts w:hint="eastAsia" w:ascii="宋体" w:hAnsi="宋体" w:eastAsia="宋体" w:cs="宋体"/>
                <w:bCs/>
                <w:color w:val="000000"/>
                <w:highlight w:val="none"/>
                <w:lang w:val="en-US" w:eastAsia="zh-CN"/>
              </w:rPr>
              <w:t xml:space="preserve"> </w:t>
            </w:r>
            <w:r>
              <w:rPr>
                <w:rFonts w:hint="eastAsia" w:ascii="宋体" w:hAnsi="宋体" w:eastAsia="宋体" w:cs="宋体"/>
                <w:color w:val="000000"/>
                <w:sz w:val="24"/>
                <w:highlight w:val="none"/>
                <w:lang w:val="en-US" w:eastAsia="zh-CN"/>
              </w:rPr>
              <w:t xml:space="preserve">项目总报价</w:t>
            </w:r>
            <w:r>
              <w:rPr>
                <w:rFonts w:hint="eastAsia" w:ascii="宋体" w:hAnsi="宋体" w:eastAsia="宋体" w:cs="宋体"/>
                <w:color w:val="000000"/>
                <w:sz w:val="24"/>
                <w:highlight w:val="none"/>
                <w:lang w:val="en-US" w:eastAsia="zh-CN"/>
              </w:rPr>
            </w:r>
            <w:r/>
          </w:p>
          <w:p>
            <w:pPr>
              <w:pStyle w:val="1064"/>
              <w:jc w:val="center"/>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（人民币）</w:t>
            </w:r>
            <w:r>
              <w:rPr>
                <w:rFonts w:hint="eastAsia" w:ascii="宋体" w:hAnsi="宋体" w:eastAsia="宋体" w:cs="宋体"/>
                <w:b/>
                <w:bCs/>
                <w:color w:val="000000"/>
                <w:sz w:val="24"/>
                <w:highlight w:val="none"/>
              </w:rPr>
            </w:r>
            <w:r/>
          </w:p>
        </w:tc>
        <w:tc>
          <w:tcPr>
            <w:tcW w:w="7361" w:type="dxa"/>
            <w:vAlign w:val="center"/>
            <w:textDirection w:val="lrTb"/>
            <w:noWrap w:val="false"/>
          </w:tcPr>
          <w:p>
            <w:pPr>
              <w:pStyle w:val="1405"/>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小写：</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元　</w:t>
            </w:r>
            <w:r>
              <w:rPr>
                <w:rFonts w:hint="eastAsia" w:ascii="宋体" w:hAnsi="宋体" w:eastAsia="宋体" w:cs="宋体"/>
                <w:bCs/>
                <w:color w:val="000000"/>
                <w:highlight w:val="none"/>
              </w:rPr>
            </w:r>
            <w:r/>
          </w:p>
          <w:p>
            <w:pPr>
              <w:pStyle w:val="1405"/>
              <w:spacing w:line="360" w:lineRule="auto"/>
              <w:rPr>
                <w:rFonts w:hint="eastAsia" w:ascii="宋体" w:hAnsi="宋体" w:eastAsia="宋体" w:cs="宋体"/>
                <w:b/>
                <w:bCs/>
                <w:color w:val="000000"/>
                <w:highlight w:val="none"/>
              </w:rPr>
            </w:pPr>
            <w:r>
              <w:rPr>
                <w:rFonts w:hint="eastAsia" w:ascii="宋体" w:hAnsi="宋体" w:eastAsia="宋体" w:cs="宋体"/>
                <w:bCs/>
                <w:color w:val="000000"/>
                <w:highlight w:val="none"/>
              </w:rPr>
              <w:t xml:space="preserve">大写：</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元</w:t>
            </w:r>
            <w:r>
              <w:rPr>
                <w:rFonts w:hint="eastAsia" w:ascii="宋体" w:hAnsi="宋体" w:eastAsia="宋体" w:cs="宋体"/>
                <w:b/>
                <w:bCs/>
                <w:color w:val="000000"/>
                <w:highlight w:val="none"/>
              </w:rPr>
            </w:r>
            <w:r/>
          </w:p>
        </w:tc>
      </w:tr>
      <w:tr>
        <w:trPr>
          <w:cantSplit/>
          <w:trHeight w:val="1117"/>
        </w:trPr>
        <w:tc>
          <w:tcPr>
            <w:tcW w:w="2738" w:type="dxa"/>
            <w:vAlign w:val="center"/>
            <w:textDirection w:val="lrTb"/>
            <w:noWrap w:val="false"/>
          </w:tcPr>
          <w:p>
            <w:pPr>
              <w:pStyle w:val="1064"/>
              <w:jc w:val="center"/>
              <w:rPr>
                <w:rFonts w:hint="eastAsia" w:ascii="宋体" w:hAnsi="宋体" w:eastAsia="宋体" w:cs="宋体"/>
                <w:color w:val="000000"/>
                <w:sz w:val="24"/>
                <w:highlight w:val="none"/>
              </w:rPr>
            </w:pPr>
            <w:r>
              <w:rPr>
                <w:rFonts w:hint="eastAsia" w:ascii="宋体" w:hAnsi="宋体" w:eastAsia="宋体" w:cs="宋体"/>
                <w:color w:val="000000"/>
                <w:sz w:val="24"/>
                <w:szCs w:val="28"/>
                <w:highlight w:val="none"/>
              </w:rPr>
              <w:t xml:space="preserve">服务期</w:t>
            </w:r>
            <w:r>
              <w:rPr>
                <w:rFonts w:hint="eastAsia" w:ascii="宋体" w:hAnsi="宋体" w:eastAsia="宋体" w:cs="宋体"/>
                <w:color w:val="000000"/>
                <w:sz w:val="24"/>
                <w:highlight w:val="none"/>
              </w:rPr>
            </w:r>
            <w:r/>
          </w:p>
        </w:tc>
        <w:tc>
          <w:tcPr>
            <w:tcW w:w="7361" w:type="dxa"/>
            <w:vAlign w:val="center"/>
            <w:textDirection w:val="lrTb"/>
            <w:noWrap w:val="false"/>
          </w:tcPr>
          <w:p>
            <w:pPr>
              <w:pStyle w:val="1405"/>
              <w:spacing w:line="360" w:lineRule="auto"/>
              <w:rPr>
                <w:rFonts w:hint="eastAsia"/>
                <w:color w:val="000000"/>
                <w:highlight w:val="none"/>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color w:val="000000"/>
                <w:highlight w:val="none"/>
              </w:rPr>
            </w:r>
            <w:r/>
          </w:p>
        </w:tc>
      </w:tr>
      <w:tr>
        <w:trPr>
          <w:cantSplit/>
          <w:trHeight w:val="997"/>
        </w:trPr>
        <w:tc>
          <w:tcPr>
            <w:tcW w:w="2738" w:type="dxa"/>
            <w:vAlign w:val="center"/>
            <w:textDirection w:val="lrTb"/>
            <w:noWrap w:val="false"/>
          </w:tcPr>
          <w:p>
            <w:pPr>
              <w:pStyle w:val="106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质量标准</w:t>
            </w:r>
            <w:r>
              <w:rPr>
                <w:rFonts w:hint="eastAsia" w:ascii="宋体" w:hAnsi="宋体" w:eastAsia="宋体" w:cs="宋体"/>
                <w:color w:val="000000"/>
                <w:sz w:val="24"/>
                <w:highlight w:val="none"/>
              </w:rPr>
            </w:r>
            <w:r/>
          </w:p>
        </w:tc>
        <w:tc>
          <w:tcPr>
            <w:tcW w:w="7361" w:type="dxa"/>
            <w:vAlign w:val="center"/>
            <w:textDirection w:val="lrTb"/>
            <w:noWrap w:val="false"/>
          </w:tcPr>
          <w:p>
            <w:pPr>
              <w:pStyle w:val="1405"/>
              <w:spacing w:line="360" w:lineRule="auto"/>
              <w:rPr>
                <w:rFonts w:hint="eastAsia" w:ascii="宋体" w:hAnsi="宋体" w:eastAsia="宋体" w:cs="宋体"/>
                <w:bCs/>
                <w:color w:val="000000"/>
                <w:highlight w:val="none"/>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bCs/>
                <w:color w:val="000000"/>
                <w:highlight w:val="none"/>
              </w:rPr>
            </w:r>
            <w:r/>
          </w:p>
        </w:tc>
      </w:tr>
      <w:tr>
        <w:trPr>
          <w:cantSplit/>
          <w:trHeight w:val="1110"/>
        </w:trPr>
        <w:tc>
          <w:tcPr>
            <w:tcW w:w="2738" w:type="dxa"/>
            <w:vAlign w:val="center"/>
            <w:textDirection w:val="lrTb"/>
            <w:noWrap w:val="false"/>
          </w:tcPr>
          <w:p>
            <w:pPr>
              <w:pStyle w:val="106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项目负责人</w:t>
            </w:r>
            <w:r>
              <w:rPr>
                <w:rFonts w:hint="eastAsia" w:ascii="宋体" w:hAnsi="宋体" w:eastAsia="宋体" w:cs="宋体"/>
                <w:color w:val="000000"/>
                <w:sz w:val="24"/>
                <w:highlight w:val="none"/>
              </w:rPr>
            </w:r>
            <w:r/>
          </w:p>
        </w:tc>
        <w:tc>
          <w:tcPr>
            <w:tcW w:w="7361" w:type="dxa"/>
            <w:vAlign w:val="center"/>
            <w:textDirection w:val="lrTb"/>
            <w:noWrap w:val="false"/>
          </w:tcPr>
          <w:p>
            <w:pPr>
              <w:pStyle w:val="1064"/>
              <w:spacing w:line="30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tab/>
            </w:r>
            <w:r>
              <w:rPr>
                <w:rFonts w:hint="eastAsia" w:ascii="宋体" w:hAnsi="宋体" w:eastAsia="宋体" w:cs="宋体"/>
                <w:color w:val="000000"/>
                <w:sz w:val="24"/>
                <w:szCs w:val="28"/>
                <w:highlight w:val="none"/>
              </w:rPr>
            </w:r>
            <w:r/>
          </w:p>
          <w:p>
            <w:pPr>
              <w:pStyle w:val="1405"/>
              <w:spacing w:line="360" w:lineRule="auto"/>
              <w:rPr>
                <w:rFonts w:hint="eastAsia" w:ascii="宋体" w:hAnsi="宋体" w:eastAsia="宋体" w:cs="宋体"/>
                <w:bCs/>
                <w:color w:val="000000"/>
                <w:highlight w:val="none"/>
              </w:rPr>
            </w:pPr>
            <w:r>
              <w:rPr>
                <w:rFonts w:hint="eastAsia" w:ascii="宋体" w:hAnsi="宋体" w:eastAsia="宋体" w:cs="宋体"/>
                <w:color w:val="000000"/>
                <w:szCs w:val="28"/>
                <w:highlight w:val="none"/>
              </w:rPr>
              <w:t xml:space="preserve">身份证号：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bCs/>
                <w:color w:val="000000"/>
                <w:highlight w:val="none"/>
              </w:rPr>
            </w:r>
            <w:r/>
          </w:p>
        </w:tc>
      </w:tr>
    </w:tbl>
    <w:p>
      <w:pPr>
        <w:pStyle w:val="1064"/>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64"/>
        <w:spacing w:line="360" w:lineRule="auto"/>
        <w:rPr>
          <w:rFonts w:hint="eastAsia" w:ascii="宋体" w:hAnsi="宋体" w:eastAsia="宋体" w:cs="宋体"/>
          <w:bCs/>
          <w:color w:val="000000"/>
          <w:sz w:val="24"/>
          <w:highlight w:val="none"/>
        </w:rPr>
      </w:pPr>
      <w:r>
        <w:rPr>
          <w:rFonts w:hint="eastAsia" w:ascii="宋体" w:hAnsi="宋体" w:eastAsia="宋体" w:cs="宋体"/>
          <w:b/>
          <w:bCs/>
          <w:color w:val="000000"/>
          <w:sz w:val="24"/>
          <w:highlight w:val="none"/>
        </w:rPr>
        <w:t xml:space="preserve">投标人（盖章）： </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1064"/>
        <w:spacing w:line="400" w:lineRule="exact"/>
        <w:rPr>
          <w:rFonts w:hint="eastAsia" w:ascii="宋体" w:hAnsi="宋体" w:eastAsia="宋体" w:cs="宋体"/>
          <w:bCs/>
          <w:color w:val="000000"/>
          <w:sz w:val="32"/>
          <w:highlight w:val="none"/>
        </w:rPr>
      </w:pPr>
      <w:r>
        <w:rPr>
          <w:rFonts w:hint="eastAsia" w:ascii="宋体" w:hAnsi="宋体" w:eastAsia="宋体" w:cs="宋体"/>
          <w:b/>
          <w:bCs/>
          <w:color w:val="000000"/>
          <w:sz w:val="24"/>
          <w:highlight w:val="none"/>
        </w:rPr>
        <w:t xml:space="preserve">法定代表人或法定代表人授权代表签字或盖章：</w:t>
      </w:r>
      <w:r>
        <w:rPr>
          <w:rFonts w:hint="eastAsia" w:ascii="宋体" w:hAnsi="宋体" w:eastAsia="宋体" w:cs="宋体"/>
          <w:bCs/>
          <w:color w:val="000000"/>
          <w:sz w:val="32"/>
          <w:highlight w:val="none"/>
        </w:rPr>
      </w:r>
      <w:r/>
    </w:p>
    <w:p>
      <w:pPr>
        <w:pStyle w:val="1064"/>
        <w:spacing w:line="400" w:lineRule="exact"/>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1067"/>
        <w:jc w:val="left"/>
        <w:rPr>
          <w:rFonts w:hint="eastAsia" w:ascii="宋体" w:hAnsi="宋体" w:eastAsia="宋体" w:cs="宋体"/>
          <w:b w:val="0"/>
          <w:color w:val="000000"/>
          <w:sz w:val="24"/>
          <w:highlight w:val="none"/>
        </w:rPr>
      </w:pPr>
      <w:r>
        <w:rPr>
          <w:rFonts w:hint="eastAsia" w:ascii="宋体" w:hAnsi="宋体" w:eastAsia="宋体" w:cs="宋体"/>
          <w:color w:val="000000"/>
          <w:sz w:val="24"/>
          <w:highlight w:val="none"/>
        </w:rPr>
        <w:t xml:space="preserve">年    月    日</w:t>
      </w:r>
      <w:r>
        <w:rPr>
          <w:rFonts w:hint="eastAsia" w:ascii="宋体" w:hAnsi="宋体" w:eastAsia="宋体" w:cs="宋体"/>
          <w:b w:val="0"/>
          <w:bCs w:val="0"/>
          <w:color w:val="000000"/>
          <w:sz w:val="24"/>
          <w:highlight w:val="none"/>
        </w:rPr>
        <w:br w:type="page" w:clear="all"/>
      </w:r>
      <w:r>
        <w:rPr>
          <w:rFonts w:hint="eastAsia" w:ascii="宋体" w:hAnsi="宋体" w:eastAsia="宋体" w:cs="宋体"/>
          <w:b w:val="0"/>
          <w:color w:val="000000"/>
          <w:sz w:val="24"/>
          <w:highlight w:val="none"/>
        </w:rPr>
        <w:t xml:space="preserve">（六）投标供应商情况表（格式）：</w:t>
      </w:r>
      <w:r>
        <w:rPr>
          <w:rFonts w:hint="eastAsia" w:ascii="宋体" w:hAnsi="宋体" w:eastAsia="宋体" w:cs="宋体"/>
          <w:b w:val="0"/>
          <w:color w:val="000000"/>
          <w:sz w:val="24"/>
          <w:highlight w:val="none"/>
        </w:rPr>
      </w:r>
      <w:r/>
    </w:p>
    <w:p>
      <w:pPr>
        <w:pStyle w:val="1064"/>
        <w:ind w:left="456"/>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64"/>
        <w:ind w:left="456"/>
        <w:jc w:val="center"/>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 xml:space="preserve">投标供应商情况表</w:t>
      </w:r>
      <w:r>
        <w:rPr>
          <w:rFonts w:hint="eastAsia" w:ascii="宋体" w:hAnsi="宋体" w:eastAsia="宋体" w:cs="宋体"/>
          <w:color w:val="000000"/>
          <w:sz w:val="32"/>
          <w:szCs w:val="32"/>
          <w:highlight w:val="none"/>
        </w:rPr>
      </w:r>
      <w:r/>
    </w:p>
    <w:p>
      <w:pPr>
        <w:pStyle w:val="1064"/>
        <w:jc w:val="center"/>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（内容写不完的栏目可相应扩展）</w:t>
      </w:r>
      <w:r>
        <w:rPr>
          <w:rFonts w:hint="eastAsia" w:ascii="宋体" w:hAnsi="宋体" w:eastAsia="宋体" w:cs="宋体"/>
          <w:color w:val="000000"/>
          <w:sz w:val="24"/>
          <w:highlight w:val="none"/>
        </w:rPr>
      </w:r>
      <w:r/>
    </w:p>
    <w:p>
      <w:pPr>
        <w:pStyle w:val="1078"/>
        <w:ind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投标供应商情况表1</w:t>
      </w:r>
      <w:r>
        <w:rPr>
          <w:rFonts w:hint="eastAsia" w:ascii="宋体" w:hAnsi="宋体" w:eastAsia="宋体" w:cs="宋体"/>
          <w:color w:val="000000"/>
          <w:sz w:val="24"/>
          <w:highlight w:val="none"/>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3004"/>
      </w:tblGrid>
      <w:tr>
        <w:trPr/>
        <w:tc>
          <w:tcPr>
            <w:tcW w:w="2510" w:type="dxa"/>
            <w:vAlign w:val="top"/>
            <w:textDirection w:val="lrTb"/>
            <w:noWrap w:val="false"/>
          </w:tcPr>
          <w:p>
            <w:pPr>
              <w:pStyle w:val="106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法定代表人</w:t>
            </w:r>
            <w:r>
              <w:rPr>
                <w:rFonts w:hint="eastAsia" w:ascii="宋体" w:hAnsi="宋体" w:eastAsia="宋体" w:cs="宋体"/>
                <w:color w:val="000000"/>
                <w:sz w:val="24"/>
                <w:szCs w:val="20"/>
                <w:highlight w:val="none"/>
              </w:rPr>
            </w:r>
            <w:r/>
          </w:p>
        </w:tc>
        <w:tc>
          <w:tcPr>
            <w:gridSpan w:val="2"/>
            <w:tcW w:w="2259" w:type="dxa"/>
            <w:vAlign w:val="top"/>
            <w:textDirection w:val="lrTb"/>
            <w:noWrap w:val="false"/>
          </w:tcPr>
          <w:p>
            <w:pPr>
              <w:pStyle w:val="106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1757" w:type="dxa"/>
            <w:vAlign w:val="top"/>
            <w:textDirection w:val="lrTb"/>
            <w:noWrap w:val="false"/>
          </w:tcPr>
          <w:p>
            <w:pPr>
              <w:pStyle w:val="106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成立日期</w:t>
            </w:r>
            <w:r>
              <w:rPr>
                <w:rFonts w:hint="eastAsia" w:ascii="宋体" w:hAnsi="宋体" w:eastAsia="宋体" w:cs="宋体"/>
                <w:color w:val="000000"/>
                <w:sz w:val="24"/>
                <w:szCs w:val="20"/>
                <w:highlight w:val="none"/>
              </w:rPr>
            </w:r>
            <w:r/>
          </w:p>
        </w:tc>
        <w:tc>
          <w:tcPr>
            <w:tcW w:w="3004" w:type="dxa"/>
            <w:vAlign w:val="top"/>
            <w:textDirection w:val="lrTb"/>
            <w:noWrap w:val="false"/>
          </w:tcPr>
          <w:p>
            <w:pPr>
              <w:pStyle w:val="106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tcW w:w="2510" w:type="dxa"/>
            <w:vAlign w:val="top"/>
            <w:textDirection w:val="lrTb"/>
            <w:noWrap w:val="false"/>
          </w:tcPr>
          <w:p>
            <w:pPr>
              <w:pStyle w:val="106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企业地址</w:t>
            </w:r>
            <w:r>
              <w:rPr>
                <w:rFonts w:hint="eastAsia" w:ascii="宋体" w:hAnsi="宋体" w:eastAsia="宋体" w:cs="宋体"/>
                <w:color w:val="000000"/>
                <w:sz w:val="24"/>
                <w:szCs w:val="20"/>
                <w:highlight w:val="none"/>
              </w:rPr>
            </w:r>
            <w:r/>
          </w:p>
        </w:tc>
        <w:tc>
          <w:tcPr>
            <w:gridSpan w:val="2"/>
            <w:tcW w:w="2259" w:type="dxa"/>
            <w:vAlign w:val="top"/>
            <w:textDirection w:val="lrTb"/>
            <w:noWrap w:val="false"/>
          </w:tcPr>
          <w:p>
            <w:pPr>
              <w:pStyle w:val="106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1757" w:type="dxa"/>
            <w:vAlign w:val="top"/>
            <w:textDirection w:val="lrTb"/>
            <w:noWrap w:val="false"/>
          </w:tcPr>
          <w:p>
            <w:pPr>
              <w:pStyle w:val="106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注册资本</w:t>
            </w:r>
            <w:r>
              <w:rPr>
                <w:rFonts w:hint="eastAsia" w:ascii="宋体" w:hAnsi="宋体" w:eastAsia="宋体" w:cs="宋体"/>
                <w:color w:val="000000"/>
                <w:sz w:val="24"/>
                <w:szCs w:val="20"/>
                <w:highlight w:val="none"/>
              </w:rPr>
            </w:r>
            <w:r/>
          </w:p>
        </w:tc>
        <w:tc>
          <w:tcPr>
            <w:tcW w:w="3004" w:type="dxa"/>
            <w:vAlign w:val="top"/>
            <w:textDirection w:val="lrTb"/>
            <w:noWrap w:val="false"/>
          </w:tcPr>
          <w:p>
            <w:pPr>
              <w:pStyle w:val="1064"/>
              <w:ind w:firstLine="84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万元</w:t>
            </w:r>
            <w:r>
              <w:rPr>
                <w:rFonts w:hint="eastAsia" w:ascii="宋体" w:hAnsi="宋体" w:eastAsia="宋体" w:cs="宋体"/>
                <w:color w:val="000000"/>
                <w:sz w:val="24"/>
                <w:szCs w:val="20"/>
                <w:highlight w:val="none"/>
              </w:rPr>
            </w:r>
            <w:r/>
          </w:p>
        </w:tc>
      </w:tr>
      <w:tr>
        <w:trPr/>
        <w:tc>
          <w:tcPr>
            <w:tcW w:w="2510" w:type="dxa"/>
            <w:vAlign w:val="top"/>
            <w:textDirection w:val="lrTb"/>
            <w:noWrap w:val="false"/>
          </w:tcPr>
          <w:p>
            <w:pPr>
              <w:pStyle w:val="106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经营范围</w:t>
            </w:r>
            <w:r>
              <w:rPr>
                <w:rFonts w:hint="eastAsia" w:ascii="宋体" w:hAnsi="宋体" w:eastAsia="宋体" w:cs="宋体"/>
                <w:color w:val="000000"/>
                <w:sz w:val="24"/>
                <w:szCs w:val="20"/>
                <w:highlight w:val="none"/>
              </w:rPr>
            </w:r>
            <w:r/>
          </w:p>
        </w:tc>
        <w:tc>
          <w:tcPr>
            <w:gridSpan w:val="4"/>
            <w:tcW w:w="7020" w:type="dxa"/>
            <w:vAlign w:val="top"/>
            <w:textDirection w:val="lrTb"/>
            <w:noWrap w:val="false"/>
          </w:tcPr>
          <w:p>
            <w:pPr>
              <w:pStyle w:val="106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tcW w:w="2510" w:type="dxa"/>
            <w:vAlign w:val="top"/>
            <w:textDirection w:val="lrTb"/>
            <w:noWrap w:val="false"/>
          </w:tcPr>
          <w:p>
            <w:pPr>
              <w:pStyle w:val="106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职工人数</w:t>
            </w:r>
            <w:r>
              <w:rPr>
                <w:rFonts w:hint="eastAsia" w:ascii="宋体" w:hAnsi="宋体" w:eastAsia="宋体" w:cs="宋体"/>
                <w:color w:val="000000"/>
                <w:sz w:val="24"/>
                <w:szCs w:val="20"/>
                <w:highlight w:val="none"/>
              </w:rPr>
            </w:r>
            <w:r/>
          </w:p>
        </w:tc>
        <w:tc>
          <w:tcPr>
            <w:tcW w:w="2110" w:type="dxa"/>
            <w:vAlign w:val="top"/>
            <w:textDirection w:val="lrTb"/>
            <w:noWrap w:val="false"/>
          </w:tcPr>
          <w:p>
            <w:pPr>
              <w:pStyle w:val="106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106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其中：</w:t>
            </w:r>
            <w:r>
              <w:rPr>
                <w:rFonts w:hint="eastAsia" w:ascii="宋体" w:hAnsi="宋体" w:eastAsia="宋体" w:cs="宋体"/>
                <w:color w:val="000000"/>
                <w:sz w:val="24"/>
                <w:szCs w:val="20"/>
                <w:highlight w:val="none"/>
              </w:rPr>
            </w:r>
            <w:r/>
          </w:p>
          <w:p>
            <w:pPr>
              <w:pStyle w:val="1064"/>
              <w:ind w:left="959" w:hanging="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中级职称</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人数、</w:t>
            </w:r>
            <w:r>
              <w:rPr>
                <w:rFonts w:hint="eastAsia" w:ascii="宋体" w:hAnsi="宋体" w:eastAsia="宋体" w:cs="宋体"/>
                <w:color w:val="000000"/>
                <w:sz w:val="24"/>
                <w:szCs w:val="20"/>
                <w:highlight w:val="none"/>
              </w:rPr>
            </w:r>
            <w:r/>
          </w:p>
          <w:p>
            <w:pPr>
              <w:pStyle w:val="1064"/>
              <w:ind w:left="959" w:hanging="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高级职称</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人数</w:t>
            </w:r>
            <w:r>
              <w:rPr>
                <w:rFonts w:hint="eastAsia" w:ascii="宋体" w:hAnsi="宋体" w:eastAsia="宋体" w:cs="宋体"/>
                <w:color w:val="000000"/>
                <w:sz w:val="24"/>
                <w:szCs w:val="20"/>
                <w:highlight w:val="none"/>
              </w:rPr>
            </w:r>
            <w:r/>
          </w:p>
        </w:tc>
      </w:tr>
      <w:tr>
        <w:trPr>
          <w:trHeight w:val="566"/>
        </w:trPr>
        <w:tc>
          <w:tcPr>
            <w:tcW w:w="2510" w:type="dxa"/>
            <w:vAlign w:val="top"/>
            <w:textDirection w:val="lrTb"/>
            <w:noWrap w:val="false"/>
          </w:tcPr>
          <w:p>
            <w:pPr>
              <w:pStyle w:val="1064"/>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202</w:t>
            </w:r>
            <w:r>
              <w:rPr>
                <w:rFonts w:hint="eastAsia" w:ascii="宋体" w:hAnsi="宋体" w:eastAsia="宋体" w:cs="宋体"/>
                <w:color w:val="000000"/>
                <w:sz w:val="24"/>
                <w:szCs w:val="20"/>
                <w:highlight w:val="none"/>
                <w:lang w:val="en-US" w:eastAsia="zh-CN"/>
              </w:rPr>
              <w:t xml:space="preserve">3</w:t>
            </w:r>
            <w:r>
              <w:rPr>
                <w:rFonts w:hint="eastAsia" w:ascii="宋体" w:hAnsi="宋体" w:eastAsia="宋体" w:cs="宋体"/>
                <w:color w:val="000000"/>
                <w:sz w:val="24"/>
                <w:szCs w:val="20"/>
                <w:highlight w:val="none"/>
              </w:rPr>
              <w:t xml:space="preserve">年12月资产总额</w:t>
            </w:r>
            <w:r>
              <w:rPr>
                <w:rFonts w:hint="eastAsia" w:ascii="宋体" w:hAnsi="宋体" w:eastAsia="宋体" w:cs="宋体"/>
                <w:color w:val="000000"/>
                <w:sz w:val="24"/>
                <w:szCs w:val="20"/>
                <w:highlight w:val="none"/>
              </w:rPr>
            </w:r>
            <w:r/>
          </w:p>
        </w:tc>
        <w:tc>
          <w:tcPr>
            <w:tcW w:w="2110" w:type="dxa"/>
            <w:vAlign w:val="top"/>
            <w:textDirection w:val="lrTb"/>
            <w:noWrap w:val="false"/>
          </w:tcPr>
          <w:p>
            <w:pPr>
              <w:pStyle w:val="106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       万元</w:t>
            </w:r>
            <w:r>
              <w:rPr>
                <w:rFonts w:hint="eastAsia" w:ascii="宋体" w:hAnsi="宋体" w:eastAsia="宋体" w:cs="宋体"/>
                <w:color w:val="000000"/>
                <w:sz w:val="24"/>
                <w:szCs w:val="20"/>
                <w:highlight w:val="none"/>
              </w:rPr>
            </w:r>
            <w:r/>
          </w:p>
        </w:tc>
        <w:tc>
          <w:tcPr>
            <w:gridSpan w:val="2"/>
            <w:tcW w:w="1906" w:type="dxa"/>
            <w:vAlign w:val="top"/>
            <w:textDirection w:val="lrTb"/>
            <w:noWrap w:val="false"/>
          </w:tcPr>
          <w:p>
            <w:pPr>
              <w:pStyle w:val="1064"/>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净资产</w:t>
            </w:r>
            <w:r>
              <w:rPr>
                <w:rFonts w:hint="eastAsia" w:ascii="宋体" w:hAnsi="宋体" w:eastAsia="宋体" w:cs="宋体"/>
                <w:color w:val="000000"/>
                <w:sz w:val="24"/>
                <w:szCs w:val="20"/>
                <w:highlight w:val="none"/>
              </w:rPr>
            </w:r>
            <w:r/>
          </w:p>
        </w:tc>
        <w:tc>
          <w:tcPr>
            <w:tcW w:w="3004" w:type="dxa"/>
            <w:vAlign w:val="top"/>
            <w:textDirection w:val="lrTb"/>
            <w:noWrap w:val="false"/>
          </w:tcPr>
          <w:p>
            <w:pPr>
              <w:pStyle w:val="106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         万元</w:t>
            </w:r>
            <w:r>
              <w:rPr>
                <w:rFonts w:hint="eastAsia" w:ascii="宋体" w:hAnsi="宋体" w:eastAsia="宋体" w:cs="宋体"/>
                <w:color w:val="000000"/>
                <w:sz w:val="24"/>
                <w:szCs w:val="20"/>
                <w:highlight w:val="none"/>
              </w:rPr>
            </w:r>
            <w:r/>
          </w:p>
        </w:tc>
      </w:tr>
      <w:tr>
        <w:trPr/>
        <w:tc>
          <w:tcPr>
            <w:tcW w:w="2510" w:type="dxa"/>
            <w:vAlign w:val="top"/>
            <w:textDirection w:val="lrTb"/>
            <w:noWrap w:val="false"/>
          </w:tcPr>
          <w:p>
            <w:pPr>
              <w:pStyle w:val="1064"/>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202</w:t>
            </w:r>
            <w:r>
              <w:rPr>
                <w:rFonts w:hint="eastAsia" w:ascii="宋体" w:hAnsi="宋体" w:eastAsia="宋体" w:cs="宋体"/>
                <w:color w:val="000000"/>
                <w:sz w:val="24"/>
                <w:szCs w:val="20"/>
                <w:highlight w:val="none"/>
                <w:lang w:val="en-US" w:eastAsia="zh-CN"/>
              </w:rPr>
              <w:t xml:space="preserve">3</w:t>
            </w:r>
            <w:r>
              <w:rPr>
                <w:rFonts w:hint="eastAsia" w:ascii="宋体" w:hAnsi="宋体" w:eastAsia="宋体" w:cs="宋体"/>
                <w:color w:val="000000"/>
                <w:sz w:val="24"/>
                <w:szCs w:val="20"/>
                <w:highlight w:val="none"/>
              </w:rPr>
              <w:t xml:space="preserve">年12月股东权益</w:t>
            </w:r>
            <w:r>
              <w:rPr>
                <w:rFonts w:hint="eastAsia" w:ascii="宋体" w:hAnsi="宋体" w:eastAsia="宋体" w:cs="宋体"/>
                <w:color w:val="000000"/>
                <w:sz w:val="24"/>
                <w:szCs w:val="20"/>
                <w:highlight w:val="none"/>
              </w:rPr>
            </w:r>
            <w:r/>
          </w:p>
        </w:tc>
        <w:tc>
          <w:tcPr>
            <w:tcW w:w="2110" w:type="dxa"/>
            <w:vAlign w:val="top"/>
            <w:textDirection w:val="lrTb"/>
            <w:noWrap w:val="false"/>
          </w:tcPr>
          <w:p>
            <w:pPr>
              <w:pStyle w:val="106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       万元</w:t>
            </w:r>
            <w:r>
              <w:rPr>
                <w:rFonts w:hint="eastAsia" w:ascii="宋体" w:hAnsi="宋体" w:eastAsia="宋体" w:cs="宋体"/>
                <w:color w:val="000000"/>
                <w:sz w:val="24"/>
                <w:szCs w:val="20"/>
                <w:highlight w:val="none"/>
              </w:rPr>
            </w:r>
            <w:r/>
          </w:p>
        </w:tc>
        <w:tc>
          <w:tcPr>
            <w:gridSpan w:val="2"/>
            <w:tcW w:w="1906" w:type="dxa"/>
            <w:vAlign w:val="top"/>
            <w:textDirection w:val="lrTb"/>
            <w:noWrap w:val="false"/>
          </w:tcPr>
          <w:p>
            <w:pPr>
              <w:pStyle w:val="1064"/>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202</w:t>
            </w:r>
            <w:r>
              <w:rPr>
                <w:rFonts w:hint="eastAsia" w:ascii="宋体" w:hAnsi="宋体" w:eastAsia="宋体" w:cs="宋体"/>
                <w:color w:val="000000"/>
                <w:sz w:val="24"/>
                <w:szCs w:val="20"/>
                <w:highlight w:val="none"/>
                <w:lang w:val="en-US" w:eastAsia="zh-CN"/>
              </w:rPr>
              <w:t xml:space="preserve">3</w:t>
            </w:r>
            <w:r>
              <w:rPr>
                <w:rFonts w:hint="eastAsia" w:ascii="宋体" w:hAnsi="宋体" w:eastAsia="宋体" w:cs="宋体"/>
                <w:color w:val="000000"/>
                <w:sz w:val="24"/>
                <w:szCs w:val="20"/>
                <w:highlight w:val="none"/>
              </w:rPr>
              <w:t xml:space="preserve">年业务收入</w:t>
            </w:r>
            <w:r>
              <w:rPr>
                <w:rFonts w:hint="eastAsia" w:ascii="宋体" w:hAnsi="宋体" w:eastAsia="宋体" w:cs="宋体"/>
                <w:color w:val="000000"/>
                <w:sz w:val="24"/>
                <w:szCs w:val="20"/>
                <w:highlight w:val="none"/>
              </w:rPr>
            </w:r>
            <w:r/>
          </w:p>
        </w:tc>
        <w:tc>
          <w:tcPr>
            <w:tcW w:w="3004" w:type="dxa"/>
            <w:vAlign w:val="top"/>
            <w:textDirection w:val="lrTb"/>
            <w:noWrap w:val="false"/>
          </w:tcPr>
          <w:p>
            <w:pPr>
              <w:pStyle w:val="106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         万元</w:t>
            </w:r>
            <w:r>
              <w:rPr>
                <w:rFonts w:hint="eastAsia" w:ascii="宋体" w:hAnsi="宋体" w:eastAsia="宋体" w:cs="宋体"/>
                <w:color w:val="000000"/>
                <w:sz w:val="24"/>
                <w:szCs w:val="20"/>
                <w:highlight w:val="none"/>
              </w:rPr>
            </w:r>
            <w:r/>
          </w:p>
        </w:tc>
      </w:tr>
      <w:tr>
        <w:trPr/>
        <w:tc>
          <w:tcPr>
            <w:tcW w:w="2510" w:type="dxa"/>
            <w:vAlign w:val="top"/>
            <w:textDirection w:val="lrTb"/>
            <w:noWrap w:val="false"/>
          </w:tcPr>
          <w:p>
            <w:pPr>
              <w:pStyle w:val="1064"/>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202</w:t>
            </w:r>
            <w:r>
              <w:rPr>
                <w:rFonts w:hint="eastAsia" w:ascii="宋体" w:hAnsi="宋体" w:eastAsia="宋体" w:cs="宋体"/>
                <w:color w:val="000000"/>
                <w:sz w:val="24"/>
                <w:szCs w:val="20"/>
                <w:highlight w:val="none"/>
                <w:lang w:val="en-US" w:eastAsia="zh-CN"/>
              </w:rPr>
              <w:t xml:space="preserve">3</w:t>
            </w:r>
            <w:r>
              <w:rPr>
                <w:rFonts w:hint="eastAsia" w:ascii="宋体" w:hAnsi="宋体" w:eastAsia="宋体" w:cs="宋体"/>
                <w:color w:val="000000"/>
                <w:sz w:val="24"/>
                <w:szCs w:val="20"/>
                <w:highlight w:val="none"/>
              </w:rPr>
              <w:t xml:space="preserve">年实现利润</w:t>
            </w:r>
            <w:r>
              <w:rPr>
                <w:rFonts w:hint="eastAsia" w:ascii="宋体" w:hAnsi="宋体" w:eastAsia="宋体" w:cs="宋体"/>
                <w:color w:val="000000"/>
                <w:sz w:val="24"/>
                <w:szCs w:val="20"/>
                <w:highlight w:val="none"/>
              </w:rPr>
            </w:r>
            <w:r/>
          </w:p>
        </w:tc>
        <w:tc>
          <w:tcPr>
            <w:tcW w:w="2110" w:type="dxa"/>
            <w:vAlign w:val="top"/>
            <w:textDirection w:val="lrTb"/>
            <w:noWrap w:val="false"/>
          </w:tcPr>
          <w:p>
            <w:pPr>
              <w:pStyle w:val="1064"/>
              <w:ind w:firstLine="132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万元</w:t>
            </w:r>
            <w:r>
              <w:rPr>
                <w:rFonts w:hint="eastAsia" w:ascii="宋体" w:hAnsi="宋体" w:eastAsia="宋体" w:cs="宋体"/>
                <w:color w:val="000000"/>
                <w:sz w:val="24"/>
                <w:szCs w:val="20"/>
                <w:highlight w:val="none"/>
              </w:rPr>
            </w:r>
            <w:r/>
          </w:p>
        </w:tc>
        <w:tc>
          <w:tcPr>
            <w:gridSpan w:val="2"/>
            <w:tcW w:w="1906" w:type="dxa"/>
            <w:vAlign w:val="top"/>
            <w:textDirection w:val="lrTb"/>
            <w:noWrap w:val="false"/>
          </w:tcPr>
          <w:p>
            <w:pPr>
              <w:pStyle w:val="106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3004" w:type="dxa"/>
            <w:vAlign w:val="top"/>
            <w:textDirection w:val="lrTb"/>
            <w:noWrap w:val="false"/>
          </w:tcPr>
          <w:p>
            <w:pPr>
              <w:pStyle w:val="106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tcW w:w="2510" w:type="dxa"/>
            <w:vAlign w:val="top"/>
            <w:textDirection w:val="lrTb"/>
            <w:noWrap w:val="false"/>
          </w:tcPr>
          <w:p>
            <w:pPr>
              <w:pStyle w:val="106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办公面积</w:t>
            </w:r>
            <w:r>
              <w:rPr>
                <w:rFonts w:hint="eastAsia" w:ascii="宋体" w:hAnsi="宋体" w:eastAsia="宋体" w:cs="宋体"/>
                <w:color w:val="000000"/>
                <w:sz w:val="24"/>
                <w:szCs w:val="20"/>
                <w:highlight w:val="none"/>
              </w:rPr>
            </w:r>
            <w:r/>
          </w:p>
          <w:p>
            <w:pPr>
              <w:pStyle w:val="106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2110" w:type="dxa"/>
            <w:vAlign w:val="top"/>
            <w:textDirection w:val="lrTb"/>
            <w:noWrap w:val="false"/>
          </w:tcPr>
          <w:p>
            <w:pPr>
              <w:pStyle w:val="106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     平方米</w:t>
            </w:r>
            <w:r>
              <w:rPr>
                <w:rFonts w:hint="eastAsia" w:ascii="宋体" w:hAnsi="宋体" w:eastAsia="宋体" w:cs="宋体"/>
                <w:color w:val="000000"/>
                <w:sz w:val="24"/>
                <w:szCs w:val="20"/>
                <w:highlight w:val="none"/>
              </w:rPr>
            </w:r>
            <w:r/>
          </w:p>
        </w:tc>
        <w:tc>
          <w:tcPr>
            <w:gridSpan w:val="2"/>
            <w:tcW w:w="1906" w:type="dxa"/>
            <w:vAlign w:val="top"/>
            <w:textDirection w:val="lrTb"/>
            <w:noWrap w:val="false"/>
          </w:tcPr>
          <w:p>
            <w:pPr>
              <w:pStyle w:val="106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其中：</w:t>
            </w:r>
            <w:r>
              <w:rPr>
                <w:rFonts w:hint="eastAsia" w:ascii="宋体" w:hAnsi="宋体" w:eastAsia="宋体" w:cs="宋体"/>
                <w:color w:val="000000"/>
                <w:sz w:val="24"/>
                <w:szCs w:val="20"/>
                <w:highlight w:val="none"/>
              </w:rPr>
            </w:r>
            <w:r/>
          </w:p>
        </w:tc>
        <w:tc>
          <w:tcPr>
            <w:tcW w:w="3004" w:type="dxa"/>
            <w:vAlign w:val="top"/>
            <w:textDirection w:val="lrTb"/>
            <w:noWrap w:val="false"/>
          </w:tcPr>
          <w:p>
            <w:pPr>
              <w:pStyle w:val="1064"/>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自有面积    平方米</w:t>
            </w:r>
            <w:r>
              <w:rPr>
                <w:rFonts w:hint="eastAsia" w:ascii="宋体" w:hAnsi="宋体" w:eastAsia="宋体" w:cs="宋体"/>
                <w:color w:val="000000"/>
                <w:sz w:val="24"/>
                <w:szCs w:val="20"/>
                <w:highlight w:val="none"/>
              </w:rPr>
            </w:r>
            <w:r/>
          </w:p>
          <w:p>
            <w:pPr>
              <w:pStyle w:val="1064"/>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承租面积    平方米</w:t>
            </w:r>
            <w:r>
              <w:rPr>
                <w:rFonts w:hint="eastAsia" w:ascii="宋体" w:hAnsi="宋体" w:eastAsia="宋体" w:cs="宋体"/>
                <w:color w:val="000000"/>
                <w:sz w:val="24"/>
                <w:szCs w:val="20"/>
                <w:highlight w:val="none"/>
              </w:rPr>
            </w:r>
            <w:r/>
          </w:p>
        </w:tc>
      </w:tr>
      <w:tr>
        <w:trPr/>
        <w:tc>
          <w:tcPr>
            <w:gridSpan w:val="2"/>
            <w:tcW w:w="4620" w:type="dxa"/>
            <w:vAlign w:val="top"/>
            <w:textDirection w:val="lrTb"/>
            <w:noWrap w:val="false"/>
          </w:tcPr>
          <w:p>
            <w:pPr>
              <w:pStyle w:val="1064"/>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单位简历及内设机构情况</w:t>
            </w: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106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gridSpan w:val="2"/>
            <w:tcW w:w="4620" w:type="dxa"/>
            <w:vAlign w:val="top"/>
            <w:textDirection w:val="lrTb"/>
            <w:noWrap w:val="false"/>
          </w:tcPr>
          <w:p>
            <w:pPr>
              <w:pStyle w:val="1064"/>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单位优势及特长</w:t>
            </w: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106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gridSpan w:val="2"/>
            <w:tcW w:w="4620" w:type="dxa"/>
            <w:vAlign w:val="top"/>
            <w:textDirection w:val="lrTb"/>
            <w:noWrap w:val="false"/>
          </w:tcPr>
          <w:p>
            <w:pPr>
              <w:pStyle w:val="1064"/>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近三年来完成或正在履行的重大合同情况</w:t>
            </w: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106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gridSpan w:val="2"/>
            <w:tcW w:w="4620" w:type="dxa"/>
            <w:vAlign w:val="top"/>
            <w:textDirection w:val="lrTb"/>
            <w:noWrap w:val="false"/>
          </w:tcPr>
          <w:p>
            <w:pPr>
              <w:pStyle w:val="1064"/>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bCs/>
                <w:color w:val="000000"/>
                <w:sz w:val="24"/>
                <w:szCs w:val="20"/>
                <w:highlight w:val="none"/>
              </w:rPr>
              <w:t xml:space="preserve">近三年来受行业主管部门考核评价及业主评价意见</w:t>
            </w: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106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gridSpan w:val="2"/>
            <w:tcW w:w="4620" w:type="dxa"/>
            <w:vAlign w:val="top"/>
            <w:textDirection w:val="lrTb"/>
            <w:noWrap w:val="false"/>
          </w:tcPr>
          <w:p>
            <w:pPr>
              <w:pStyle w:val="1064"/>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最近3年内有无因违纪或是其他原因被投诉或起诉的情况及说明</w:t>
            </w: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106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（包括解决方式和结果）</w:t>
            </w:r>
            <w:r>
              <w:rPr>
                <w:rFonts w:hint="eastAsia" w:ascii="宋体" w:hAnsi="宋体" w:eastAsia="宋体" w:cs="宋体"/>
                <w:color w:val="000000"/>
                <w:sz w:val="24"/>
                <w:szCs w:val="20"/>
                <w:highlight w:val="none"/>
              </w:rPr>
            </w:r>
            <w:r/>
          </w:p>
        </w:tc>
      </w:tr>
      <w:tr>
        <w:trPr/>
        <w:tc>
          <w:tcPr>
            <w:gridSpan w:val="2"/>
            <w:tcW w:w="4620" w:type="dxa"/>
            <w:vAlign w:val="top"/>
            <w:textDirection w:val="lrTb"/>
            <w:noWrap w:val="false"/>
          </w:tcPr>
          <w:p>
            <w:pPr>
              <w:pStyle w:val="1064"/>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最近3年内主要负责人有无因经济犯罪被司法机关追究的情况及说明</w:t>
            </w: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10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47"/>
        </w:trPr>
        <w:tc>
          <w:tcPr>
            <w:gridSpan w:val="2"/>
            <w:tcW w:w="4620" w:type="dxa"/>
            <w:vAlign w:val="top"/>
            <w:textDirection w:val="lrTb"/>
            <w:noWrap w:val="false"/>
          </w:tcPr>
          <w:p>
            <w:pPr>
              <w:pStyle w:val="1064"/>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其他需要说明的情况</w:t>
            </w: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106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1078"/>
        <w:ind w:left="2940"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8"/>
        <w:ind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单位名称（盖章）：</w:t>
      </w:r>
      <w:r>
        <w:rPr>
          <w:rFonts w:hint="eastAsia" w:ascii="宋体" w:hAnsi="宋体" w:eastAsia="宋体" w:cs="宋体"/>
          <w:color w:val="000000"/>
          <w:sz w:val="24"/>
          <w:highlight w:val="none"/>
        </w:rPr>
      </w:r>
      <w:r/>
    </w:p>
    <w:p>
      <w:pPr>
        <w:pStyle w:val="106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4"/>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法定代表人或授权代表签字：</w:t>
      </w:r>
      <w:r>
        <w:rPr>
          <w:rFonts w:hint="eastAsia" w:ascii="宋体" w:hAnsi="宋体" w:eastAsia="宋体" w:cs="宋体"/>
          <w:color w:val="000000"/>
          <w:sz w:val="24"/>
          <w:highlight w:val="none"/>
        </w:rPr>
      </w:r>
      <w:r/>
    </w:p>
    <w:p>
      <w:pPr>
        <w:pStyle w:val="1064"/>
        <w:ind w:firstLine="482"/>
        <w:rPr>
          <w:rFonts w:hint="eastAsia" w:ascii="宋体" w:hAnsi="宋体" w:eastAsia="宋体" w:cs="宋体"/>
          <w:b/>
          <w:bCs/>
          <w:color w:val="000000"/>
          <w:sz w:val="24"/>
          <w:highlight w:val="none"/>
        </w:rPr>
        <w:outlineLvl w:val="0"/>
      </w:pPr>
      <w:r>
        <w:rPr>
          <w:rFonts w:hint="eastAsia" w:ascii="宋体" w:hAnsi="宋体" w:eastAsia="宋体" w:cs="宋体"/>
          <w:b/>
          <w:bCs/>
          <w:color w:val="000000"/>
          <w:sz w:val="24"/>
          <w:highlight w:val="none"/>
        </w:rPr>
      </w:r>
      <w:r/>
    </w:p>
    <w:p>
      <w:pPr>
        <w:pStyle w:val="1064"/>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64"/>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64"/>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67"/>
        <w:jc w:val="both"/>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highlight w:val="none"/>
        </w:rPr>
      </w:r>
      <w:r>
        <w:rPr>
          <w:rFonts w:hint="eastAsia" w:ascii="宋体" w:hAnsi="宋体" w:eastAsia="宋体" w:cs="宋体"/>
          <w:b w:val="0"/>
          <w:bCs w:val="0"/>
          <w:color w:val="000000"/>
          <w:sz w:val="24"/>
          <w:highlight w:val="none"/>
        </w:rPr>
      </w:r>
      <w:r/>
    </w:p>
    <w:p>
      <w:pPr>
        <w:pStyle w:val="1067"/>
        <w:jc w:val="both"/>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highlight w:val="none"/>
        </w:rPr>
        <w:t xml:space="preserve">（七）</w:t>
      </w:r>
      <w:bookmarkStart w:id="18" w:name="_Hlk32950122"/>
      <w:r>
        <w:rPr>
          <w:rFonts w:hint="eastAsia" w:ascii="宋体" w:hAnsi="宋体" w:eastAsia="宋体" w:cs="宋体"/>
          <w:b w:val="0"/>
          <w:bCs w:val="0"/>
          <w:color w:val="000000"/>
          <w:sz w:val="24"/>
          <w:highlight w:val="none"/>
        </w:rPr>
        <w:t xml:space="preserve">项目管理机构配备情况表、项目负责人简历表（格式见附件）：</w:t>
      </w:r>
      <w:r>
        <w:rPr>
          <w:rFonts w:hint="eastAsia" w:ascii="宋体" w:hAnsi="宋体" w:eastAsia="宋体" w:cs="宋体"/>
          <w:b w:val="0"/>
          <w:bCs w:val="0"/>
          <w:color w:val="000000"/>
          <w:sz w:val="24"/>
          <w:highlight w:val="none"/>
        </w:rPr>
      </w:r>
      <w:r/>
    </w:p>
    <w:p>
      <w:pPr>
        <w:pStyle w:val="1064"/>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064"/>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（1）项目管理机构配备情况表</w:t>
      </w:r>
      <w:r>
        <w:rPr>
          <w:rFonts w:hint="eastAsia" w:ascii="宋体" w:hAnsi="宋体" w:eastAsia="宋体" w:cs="宋体"/>
          <w:b/>
          <w:color w:val="000000"/>
          <w:sz w:val="28"/>
          <w:szCs w:val="28"/>
          <w:highlight w:val="none"/>
        </w:rPr>
      </w:r>
      <w:r/>
    </w:p>
    <w:p>
      <w:pPr>
        <w:pStyle w:val="106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4"/>
        <w:ind w:firstLine="240"/>
        <w:jc w:val="lef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投标供应商名称（盖章）                        </w:t>
      </w:r>
      <w:r>
        <w:rPr>
          <w:rFonts w:hint="eastAsia" w:ascii="宋体" w:hAnsi="宋体" w:eastAsia="宋体" w:cs="宋体"/>
          <w:bCs/>
          <w:color w:val="000000"/>
          <w:sz w:val="24"/>
          <w:highlight w:val="none"/>
        </w:rPr>
      </w:r>
      <w:r/>
    </w:p>
    <w:p>
      <w:pPr>
        <w:pStyle w:val="1064"/>
        <w:ind w:firstLine="240"/>
        <w:jc w:val="lef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政府采购编号：</w:t>
      </w:r>
      <w:r>
        <w:rPr>
          <w:rFonts w:hint="eastAsia" w:ascii="宋体" w:hAnsi="宋体" w:eastAsia="宋体" w:cs="宋体"/>
          <w:bCs/>
          <w:color w:val="000000"/>
          <w:sz w:val="24"/>
          <w:highlight w:val="none"/>
          <w:lang w:eastAsia="zh-CN"/>
        </w:rPr>
        <w:t xml:space="preserve">JSZC-320206-JSJW-G2024-0076</w:t>
      </w:r>
      <w:r>
        <w:rPr>
          <w:rFonts w:hint="eastAsia" w:ascii="宋体" w:hAnsi="宋体" w:eastAsia="宋体" w:cs="宋体"/>
          <w:bCs/>
          <w:color w:val="000000"/>
          <w:sz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979"/>
        <w:gridCol w:w="1289"/>
        <w:gridCol w:w="3566"/>
      </w:tblGrid>
      <w:tr>
        <w:trPr>
          <w:trHeight w:val="922"/>
        </w:trPr>
        <w:tc>
          <w:tcPr>
            <w:tcW w:w="2397" w:type="dxa"/>
            <w:vAlign w:val="center"/>
            <w:textDirection w:val="lrTb"/>
            <w:noWrap w:val="false"/>
          </w:tcPr>
          <w:p>
            <w:pPr>
              <w:pStyle w:val="1064"/>
              <w:jc w:val="center"/>
              <w:rPr>
                <w:rFonts w:hint="eastAsia" w:ascii="宋体" w:hAnsi="宋体" w:eastAsia="宋体" w:cs="宋体"/>
                <w:b/>
                <w:color w:val="000000"/>
                <w:sz w:val="24"/>
                <w:highlight w:val="none"/>
              </w:rPr>
            </w:pPr>
            <w:r/>
            <w:bookmarkEnd w:id="18"/>
            <w:r>
              <w:rPr>
                <w:rFonts w:hint="eastAsia" w:ascii="宋体" w:hAnsi="宋体" w:eastAsia="宋体" w:cs="宋体"/>
                <w:b/>
                <w:color w:val="000000"/>
                <w:sz w:val="24"/>
                <w:highlight w:val="none"/>
              </w:rPr>
              <w:t xml:space="preserve">拟在本项目担任职务</w:t>
            </w:r>
            <w:r>
              <w:rPr>
                <w:rFonts w:hint="eastAsia" w:ascii="宋体" w:hAnsi="宋体" w:eastAsia="宋体" w:cs="宋体"/>
                <w:b/>
                <w:color w:val="000000"/>
                <w:sz w:val="24"/>
                <w:highlight w:val="none"/>
              </w:rPr>
            </w:r>
            <w:r/>
          </w:p>
        </w:tc>
        <w:tc>
          <w:tcPr>
            <w:tcW w:w="1979" w:type="dxa"/>
            <w:vAlign w:val="center"/>
            <w:textDirection w:val="lrTb"/>
            <w:noWrap w:val="false"/>
          </w:tcPr>
          <w:p>
            <w:pPr>
              <w:pStyle w:val="1064"/>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姓名</w:t>
            </w:r>
            <w:r>
              <w:rPr>
                <w:rFonts w:hint="eastAsia" w:ascii="宋体" w:hAnsi="宋体" w:eastAsia="宋体" w:cs="宋体"/>
                <w:b/>
                <w:color w:val="000000"/>
                <w:sz w:val="24"/>
                <w:highlight w:val="none"/>
              </w:rPr>
            </w:r>
            <w:r/>
          </w:p>
        </w:tc>
        <w:tc>
          <w:tcPr>
            <w:tcW w:w="1289" w:type="dxa"/>
            <w:vAlign w:val="center"/>
            <w:textDirection w:val="lrTb"/>
            <w:noWrap w:val="false"/>
          </w:tcPr>
          <w:p>
            <w:pPr>
              <w:pStyle w:val="1064"/>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职称</w:t>
            </w:r>
            <w:r>
              <w:rPr>
                <w:rFonts w:hint="eastAsia" w:ascii="宋体" w:hAnsi="宋体" w:eastAsia="宋体" w:cs="宋体"/>
                <w:b/>
                <w:color w:val="000000"/>
                <w:sz w:val="24"/>
                <w:highlight w:val="none"/>
              </w:rPr>
            </w:r>
            <w:r/>
          </w:p>
        </w:tc>
        <w:tc>
          <w:tcPr>
            <w:tcW w:w="3566" w:type="dxa"/>
            <w:vAlign w:val="center"/>
            <w:textDirection w:val="lrTb"/>
            <w:noWrap w:val="false"/>
          </w:tcPr>
          <w:p>
            <w:pPr>
              <w:pStyle w:val="1064"/>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证书及证书号</w:t>
            </w:r>
            <w:r>
              <w:rPr>
                <w:rFonts w:hint="eastAsia" w:ascii="宋体" w:hAnsi="宋体" w:eastAsia="宋体" w:cs="宋体"/>
                <w:b/>
                <w:color w:val="000000"/>
                <w:sz w:val="24"/>
                <w:highlight w:val="none"/>
              </w:rPr>
            </w:r>
            <w:r/>
          </w:p>
        </w:tc>
      </w:tr>
      <w:tr>
        <w:trPr>
          <w:trHeight w:val="732"/>
        </w:trPr>
        <w:tc>
          <w:tcPr>
            <w:tcW w:w="2397" w:type="dxa"/>
            <w:vAlign w:val="center"/>
            <w:textDirection w:val="lrTb"/>
            <w:noWrap w:val="false"/>
          </w:tcPr>
          <w:p>
            <w:pPr>
              <w:pStyle w:val="1064"/>
              <w:jc w:val="center"/>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项目负责人</w:t>
            </w:r>
            <w:r>
              <w:rPr>
                <w:rFonts w:hint="eastAsia" w:ascii="宋体" w:hAnsi="宋体" w:eastAsia="宋体" w:cs="宋体"/>
                <w:color w:val="000000"/>
                <w:sz w:val="24"/>
                <w:highlight w:val="none"/>
              </w:rPr>
            </w:r>
            <w:r/>
          </w:p>
        </w:tc>
        <w:tc>
          <w:tcPr>
            <w:tcW w:w="1979" w:type="dxa"/>
            <w:vAlign w:val="top"/>
            <w:textDirection w:val="lrTb"/>
            <w:noWrap w:val="false"/>
          </w:tcPr>
          <w:p>
            <w:pPr>
              <w:pStyle w:val="106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106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pStyle w:val="106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trHeight w:val="732"/>
        </w:trPr>
        <w:tc>
          <w:tcPr>
            <w:tcW w:w="2397" w:type="dxa"/>
            <w:vAlign w:val="center"/>
            <w:textDirection w:val="lrTb"/>
            <w:noWrap w:val="false"/>
          </w:tcPr>
          <w:p>
            <w:pPr>
              <w:pStyle w:val="1064"/>
              <w:jc w:val="center"/>
              <w:rPr>
                <w:rFonts w:hint="eastAsia" w:ascii="宋体" w:hAnsi="宋体" w:eastAsia="宋体" w:cs="宋体"/>
                <w:bCs/>
                <w:color w:val="000000"/>
                <w:sz w:val="24"/>
                <w:highlight w:val="none"/>
              </w:rPr>
              <w:outlineLvl w:val="0"/>
            </w:pPr>
            <w:r/>
            <w:bookmarkStart w:id="19" w:name="_Toc76417679"/>
            <w:r>
              <w:rPr>
                <w:rFonts w:hint="eastAsia" w:ascii="宋体" w:hAnsi="宋体" w:eastAsia="宋体" w:cs="宋体"/>
                <w:bCs/>
                <w:color w:val="000000"/>
                <w:sz w:val="24"/>
                <w:highlight w:val="none"/>
              </w:rPr>
              <w:t xml:space="preserve">……</w:t>
            </w:r>
            <w:bookmarkEnd w:id="19"/>
            <w:r>
              <w:rPr>
                <w:rFonts w:hint="eastAsia" w:ascii="宋体" w:hAnsi="宋体" w:eastAsia="宋体" w:cs="宋体"/>
                <w:bCs/>
                <w:color w:val="000000"/>
                <w:sz w:val="24"/>
                <w:highlight w:val="none"/>
              </w:rPr>
            </w:r>
            <w:r/>
          </w:p>
        </w:tc>
        <w:tc>
          <w:tcPr>
            <w:tcW w:w="1979" w:type="dxa"/>
            <w:vAlign w:val="top"/>
            <w:textDirection w:val="lrTb"/>
            <w:noWrap w:val="false"/>
          </w:tcPr>
          <w:p>
            <w:pPr>
              <w:pStyle w:val="106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106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pStyle w:val="106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trHeight w:val="732"/>
        </w:trPr>
        <w:tc>
          <w:tcPr>
            <w:tcW w:w="2397" w:type="dxa"/>
            <w:vAlign w:val="center"/>
            <w:textDirection w:val="lrTb"/>
            <w:noWrap w:val="false"/>
          </w:tcPr>
          <w:p>
            <w:pPr>
              <w:pStyle w:val="1064"/>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pStyle w:val="106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106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pStyle w:val="106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trHeight w:val="732"/>
        </w:trPr>
        <w:tc>
          <w:tcPr>
            <w:tcW w:w="2397" w:type="dxa"/>
            <w:vAlign w:val="center"/>
            <w:textDirection w:val="lrTb"/>
            <w:noWrap w:val="false"/>
          </w:tcPr>
          <w:p>
            <w:pPr>
              <w:pStyle w:val="1064"/>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pStyle w:val="106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106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pStyle w:val="106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trHeight w:val="732"/>
        </w:trPr>
        <w:tc>
          <w:tcPr>
            <w:tcW w:w="2397" w:type="dxa"/>
            <w:vAlign w:val="center"/>
            <w:textDirection w:val="lrTb"/>
            <w:noWrap w:val="false"/>
          </w:tcPr>
          <w:p>
            <w:pPr>
              <w:pStyle w:val="1064"/>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pStyle w:val="106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106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pStyle w:val="106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trHeight w:val="732"/>
        </w:trPr>
        <w:tc>
          <w:tcPr>
            <w:tcW w:w="2397" w:type="dxa"/>
            <w:vAlign w:val="center"/>
            <w:textDirection w:val="lrTb"/>
            <w:noWrap w:val="false"/>
          </w:tcPr>
          <w:p>
            <w:pPr>
              <w:pStyle w:val="1064"/>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pStyle w:val="106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106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pStyle w:val="106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trHeight w:val="762"/>
        </w:trPr>
        <w:tc>
          <w:tcPr>
            <w:tcW w:w="2397" w:type="dxa"/>
            <w:vAlign w:val="center"/>
            <w:textDirection w:val="lrTb"/>
            <w:noWrap w:val="false"/>
          </w:tcPr>
          <w:p>
            <w:pPr>
              <w:pStyle w:val="1064"/>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pStyle w:val="106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106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pStyle w:val="106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bl>
    <w:p>
      <w:pPr>
        <w:pStyle w:val="106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4"/>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rPr>
          <w:rFonts w:hint="eastAsia" w:ascii="宋体" w:hAnsi="宋体" w:eastAsia="宋体" w:cs="宋体"/>
          <w:b/>
          <w:bCs/>
          <w:color w:val="000000"/>
          <w:sz w:val="24"/>
          <w:highlight w:val="none"/>
        </w:rPr>
      </w:r>
      <w:r/>
    </w:p>
    <w:p>
      <w:pPr>
        <w:pStyle w:val="106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4"/>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注：1.上表如需要自行延长。</w:t>
      </w:r>
      <w:r>
        <w:rPr>
          <w:rFonts w:hint="eastAsia" w:ascii="宋体" w:hAnsi="宋体" w:eastAsia="宋体" w:cs="宋体"/>
          <w:color w:val="000000"/>
          <w:sz w:val="24"/>
          <w:highlight w:val="none"/>
        </w:rPr>
      </w:r>
      <w:r/>
    </w:p>
    <w:p>
      <w:pPr>
        <w:pStyle w:val="1064"/>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2.上表内容须提供人员证书原件扫描件作为填列证明材料，证明材料请附在本表之后。</w:t>
      </w:r>
      <w:r>
        <w:rPr>
          <w:rFonts w:hint="eastAsia" w:ascii="宋体" w:hAnsi="宋体" w:eastAsia="宋体" w:cs="宋体"/>
          <w:color w:val="000000"/>
          <w:sz w:val="24"/>
          <w:highlight w:val="none"/>
        </w:rPr>
      </w:r>
      <w:r/>
    </w:p>
    <w:p>
      <w:pPr>
        <w:pStyle w:val="106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b/>
          <w:color w:val="000000"/>
          <w:sz w:val="28"/>
          <w:szCs w:val="28"/>
          <w:highlight w:val="none"/>
        </w:rPr>
        <w:t xml:space="preserve">（2）项目负责人简历表</w:t>
      </w:r>
      <w:r>
        <w:rPr>
          <w:rFonts w:hint="eastAsia" w:ascii="宋体" w:hAnsi="宋体" w:eastAsia="宋体" w:cs="宋体"/>
          <w:color w:val="000000"/>
          <w:highlight w:val="none"/>
        </w:rPr>
      </w:r>
      <w:r/>
    </w:p>
    <w:p>
      <w:pPr>
        <w:pStyle w:val="1064"/>
        <w:ind w:right="-292"/>
        <w:spacing w:after="120" w:line="360" w:lineRule="auto"/>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项目名称：</w:t>
      </w:r>
      <w:r>
        <w:rPr>
          <w:rFonts w:hint="eastAsia" w:ascii="宋体" w:hAnsi="宋体" w:eastAsia="宋体" w:cs="宋体"/>
          <w:color w:val="000000"/>
          <w:highlight w:val="none"/>
          <w:lang w:eastAsia="zh-CN"/>
        </w:rPr>
        <w:t xml:space="preserve">无锡金属表面处理科技工业园区土壤和地下水污染管控方案编制采购服务</w:t>
      </w:r>
      <w:r>
        <w:rPr>
          <w:rFonts w:hint="eastAsia" w:ascii="宋体" w:hAnsi="宋体" w:eastAsia="宋体" w:cs="宋体"/>
          <w:color w:val="000000"/>
          <w:highlight w:val="none"/>
          <w:u w:val="single"/>
          <w:lang w:eastAsia="zh-CN"/>
        </w:rPr>
      </w:r>
      <w:r/>
    </w:p>
    <w:tbl>
      <w:tblPr>
        <w:tblW w:w="0" w:type="auto"/>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745"/>
        <w:gridCol w:w="1355"/>
        <w:gridCol w:w="510"/>
        <w:gridCol w:w="840"/>
        <w:gridCol w:w="540"/>
        <w:gridCol w:w="15"/>
        <w:gridCol w:w="1125"/>
        <w:gridCol w:w="435"/>
        <w:gridCol w:w="645"/>
        <w:gridCol w:w="405"/>
        <w:gridCol w:w="630"/>
        <w:gridCol w:w="1559"/>
      </w:tblGrid>
      <w:tr>
        <w:trPr>
          <w:trHeight w:val="600"/>
        </w:trPr>
        <w:tc>
          <w:tcPr>
            <w:tcW w:w="1090" w:type="dxa"/>
            <w:vAlign w:val="center"/>
            <w:textDirection w:val="lrTb"/>
            <w:noWrap w:val="false"/>
          </w:tcPr>
          <w:p>
            <w:pPr>
              <w:pStyle w:val="106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姓名</w:t>
            </w:r>
            <w:r>
              <w:rPr>
                <w:rFonts w:hint="eastAsia" w:ascii="宋体" w:hAnsi="宋体" w:eastAsia="宋体" w:cs="宋体"/>
                <w:color w:val="000000"/>
                <w:highlight w:val="none"/>
              </w:rPr>
            </w:r>
            <w:r/>
          </w:p>
        </w:tc>
        <w:tc>
          <w:tcPr>
            <w:gridSpan w:val="3"/>
            <w:tcW w:w="2610" w:type="dxa"/>
            <w:vAlign w:val="center"/>
            <w:textDirection w:val="lrTb"/>
            <w:noWrap w:val="false"/>
          </w:tcPr>
          <w:p>
            <w:pPr>
              <w:pStyle w:val="106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40" w:type="dxa"/>
            <w:vAlign w:val="center"/>
            <w:textDirection w:val="lrTb"/>
            <w:noWrap w:val="false"/>
          </w:tcPr>
          <w:p>
            <w:pPr>
              <w:pStyle w:val="106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性别</w:t>
            </w:r>
            <w:r>
              <w:rPr>
                <w:rFonts w:hint="eastAsia" w:ascii="宋体" w:hAnsi="宋体" w:eastAsia="宋体" w:cs="宋体"/>
                <w:color w:val="000000"/>
                <w:highlight w:val="none"/>
              </w:rPr>
            </w:r>
            <w:r/>
          </w:p>
        </w:tc>
        <w:tc>
          <w:tcPr>
            <w:gridSpan w:val="3"/>
            <w:tcW w:w="1680" w:type="dxa"/>
            <w:vAlign w:val="center"/>
            <w:textDirection w:val="lrTb"/>
            <w:noWrap w:val="false"/>
          </w:tcPr>
          <w:p>
            <w:pPr>
              <w:pStyle w:val="106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1080" w:type="dxa"/>
            <w:vAlign w:val="center"/>
            <w:textDirection w:val="lrTb"/>
            <w:noWrap w:val="false"/>
          </w:tcPr>
          <w:p>
            <w:pPr>
              <w:pStyle w:val="106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年龄</w:t>
            </w:r>
            <w:r>
              <w:rPr>
                <w:rFonts w:hint="eastAsia" w:ascii="宋体" w:hAnsi="宋体" w:eastAsia="宋体" w:cs="宋体"/>
                <w:color w:val="000000"/>
                <w:highlight w:val="none"/>
              </w:rPr>
            </w:r>
            <w:r/>
          </w:p>
        </w:tc>
        <w:tc>
          <w:tcPr>
            <w:gridSpan w:val="3"/>
            <w:tcW w:w="2594" w:type="dxa"/>
            <w:vAlign w:val="center"/>
            <w:textDirection w:val="lrTb"/>
            <w:noWrap w:val="false"/>
          </w:tcPr>
          <w:p>
            <w:pPr>
              <w:pStyle w:val="106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23"/>
        </w:trPr>
        <w:tc>
          <w:tcPr>
            <w:tcW w:w="1090" w:type="dxa"/>
            <w:vAlign w:val="center"/>
            <w:textDirection w:val="lrTb"/>
            <w:noWrap w:val="false"/>
          </w:tcPr>
          <w:p>
            <w:pPr>
              <w:pStyle w:val="106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职务</w:t>
            </w:r>
            <w:r>
              <w:rPr>
                <w:rFonts w:hint="eastAsia" w:ascii="宋体" w:hAnsi="宋体" w:eastAsia="宋体" w:cs="宋体"/>
                <w:color w:val="000000"/>
                <w:highlight w:val="none"/>
              </w:rPr>
            </w:r>
            <w:r/>
          </w:p>
        </w:tc>
        <w:tc>
          <w:tcPr>
            <w:gridSpan w:val="3"/>
            <w:tcW w:w="2610" w:type="dxa"/>
            <w:vAlign w:val="center"/>
            <w:textDirection w:val="lrTb"/>
            <w:noWrap w:val="false"/>
          </w:tcPr>
          <w:p>
            <w:pPr>
              <w:pStyle w:val="106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40" w:type="dxa"/>
            <w:vAlign w:val="center"/>
            <w:textDirection w:val="lrTb"/>
            <w:noWrap w:val="false"/>
          </w:tcPr>
          <w:p>
            <w:pPr>
              <w:pStyle w:val="106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职称</w:t>
            </w:r>
            <w:r>
              <w:rPr>
                <w:rFonts w:hint="eastAsia" w:ascii="宋体" w:hAnsi="宋体" w:eastAsia="宋体" w:cs="宋体"/>
                <w:color w:val="000000"/>
                <w:highlight w:val="none"/>
              </w:rPr>
            </w:r>
            <w:r/>
          </w:p>
        </w:tc>
        <w:tc>
          <w:tcPr>
            <w:gridSpan w:val="3"/>
            <w:tcW w:w="1680" w:type="dxa"/>
            <w:vAlign w:val="center"/>
            <w:textDirection w:val="lrTb"/>
            <w:noWrap w:val="false"/>
          </w:tcPr>
          <w:p>
            <w:pPr>
              <w:pStyle w:val="106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1080" w:type="dxa"/>
            <w:vAlign w:val="center"/>
            <w:textDirection w:val="lrTb"/>
            <w:noWrap w:val="false"/>
          </w:tcPr>
          <w:p>
            <w:pPr>
              <w:pStyle w:val="106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学历</w:t>
            </w:r>
            <w:r>
              <w:rPr>
                <w:rFonts w:hint="eastAsia" w:ascii="宋体" w:hAnsi="宋体" w:eastAsia="宋体" w:cs="宋体"/>
                <w:color w:val="000000"/>
                <w:highlight w:val="none"/>
              </w:rPr>
            </w:r>
            <w:r/>
          </w:p>
        </w:tc>
        <w:tc>
          <w:tcPr>
            <w:gridSpan w:val="3"/>
            <w:tcW w:w="2594" w:type="dxa"/>
            <w:vAlign w:val="center"/>
            <w:textDirection w:val="lrTb"/>
            <w:noWrap w:val="false"/>
          </w:tcPr>
          <w:p>
            <w:pPr>
              <w:pStyle w:val="106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00"/>
        </w:trPr>
        <w:tc>
          <w:tcPr>
            <w:gridSpan w:val="3"/>
            <w:tcW w:w="3190" w:type="dxa"/>
            <w:vAlign w:val="center"/>
            <w:textDirection w:val="lrTb"/>
            <w:noWrap w:val="false"/>
          </w:tcPr>
          <w:p>
            <w:pPr>
              <w:pStyle w:val="106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证书号</w:t>
            </w:r>
            <w:r>
              <w:rPr>
                <w:rFonts w:hint="eastAsia" w:ascii="宋体" w:hAnsi="宋体" w:eastAsia="宋体" w:cs="宋体"/>
                <w:color w:val="000000"/>
                <w:highlight w:val="none"/>
              </w:rPr>
            </w:r>
            <w:r/>
          </w:p>
        </w:tc>
        <w:tc>
          <w:tcPr>
            <w:gridSpan w:val="3"/>
            <w:tcW w:w="1890" w:type="dxa"/>
            <w:vAlign w:val="center"/>
            <w:textDirection w:val="lrTb"/>
            <w:noWrap w:val="false"/>
          </w:tcPr>
          <w:p>
            <w:pPr>
              <w:pStyle w:val="106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5"/>
            <w:tcW w:w="2625" w:type="dxa"/>
            <w:vAlign w:val="center"/>
            <w:textDirection w:val="lrTb"/>
            <w:noWrap w:val="false"/>
          </w:tcPr>
          <w:p>
            <w:pPr>
              <w:pStyle w:val="106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身份证号</w:t>
            </w:r>
            <w:r>
              <w:rPr>
                <w:rFonts w:hint="eastAsia" w:ascii="宋体" w:hAnsi="宋体" w:eastAsia="宋体" w:cs="宋体"/>
                <w:color w:val="000000"/>
                <w:highlight w:val="none"/>
              </w:rPr>
            </w:r>
            <w:r/>
          </w:p>
        </w:tc>
        <w:tc>
          <w:tcPr>
            <w:gridSpan w:val="2"/>
            <w:tcW w:w="2189" w:type="dxa"/>
            <w:vAlign w:val="center"/>
            <w:textDirection w:val="lrTb"/>
            <w:noWrap w:val="false"/>
          </w:tcPr>
          <w:p>
            <w:pPr>
              <w:pStyle w:val="106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00"/>
        </w:trPr>
        <w:tc>
          <w:tcPr>
            <w:gridSpan w:val="3"/>
            <w:tcW w:w="3190" w:type="dxa"/>
            <w:vAlign w:val="center"/>
            <w:textDirection w:val="lrTb"/>
            <w:noWrap w:val="false"/>
          </w:tcPr>
          <w:p>
            <w:pPr>
              <w:pStyle w:val="106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参加工作时间</w:t>
            </w:r>
            <w:r>
              <w:rPr>
                <w:rFonts w:hint="eastAsia" w:ascii="宋体" w:hAnsi="宋体" w:eastAsia="宋体" w:cs="宋体"/>
                <w:color w:val="000000"/>
                <w:highlight w:val="none"/>
              </w:rPr>
            </w:r>
            <w:r/>
          </w:p>
        </w:tc>
        <w:tc>
          <w:tcPr>
            <w:gridSpan w:val="3"/>
            <w:tcW w:w="1890" w:type="dxa"/>
            <w:vAlign w:val="center"/>
            <w:textDirection w:val="lrTb"/>
            <w:noWrap w:val="false"/>
          </w:tcPr>
          <w:p>
            <w:pPr>
              <w:pStyle w:val="106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5"/>
            <w:tcW w:w="2625" w:type="dxa"/>
            <w:vAlign w:val="center"/>
            <w:textDirection w:val="lrTb"/>
            <w:noWrap w:val="false"/>
          </w:tcPr>
          <w:p>
            <w:pPr>
              <w:pStyle w:val="106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担任项目经理年限</w:t>
            </w:r>
            <w:r>
              <w:rPr>
                <w:rFonts w:hint="eastAsia" w:ascii="宋体" w:hAnsi="宋体" w:eastAsia="宋体" w:cs="宋体"/>
                <w:color w:val="000000"/>
                <w:highlight w:val="none"/>
              </w:rPr>
            </w:r>
            <w:r/>
          </w:p>
        </w:tc>
        <w:tc>
          <w:tcPr>
            <w:gridSpan w:val="2"/>
            <w:tcW w:w="2189" w:type="dxa"/>
            <w:vAlign w:val="center"/>
            <w:textDirection w:val="lrTb"/>
            <w:noWrap w:val="false"/>
          </w:tcPr>
          <w:p>
            <w:pPr>
              <w:pStyle w:val="106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20"/>
        </w:trPr>
        <w:tc>
          <w:tcPr>
            <w:gridSpan w:val="13"/>
            <w:tcW w:w="9894" w:type="dxa"/>
            <w:vAlign w:val="center"/>
            <w:textDirection w:val="lrTb"/>
            <w:noWrap w:val="false"/>
          </w:tcPr>
          <w:p>
            <w:pPr>
              <w:pStyle w:val="106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在建和已完项目情况</w:t>
            </w:r>
            <w:r>
              <w:rPr>
                <w:rFonts w:hint="eastAsia" w:ascii="宋体" w:hAnsi="宋体" w:eastAsia="宋体" w:cs="宋体"/>
                <w:color w:val="000000"/>
                <w:highlight w:val="none"/>
              </w:rPr>
            </w:r>
            <w:r/>
          </w:p>
        </w:tc>
      </w:tr>
      <w:tr>
        <w:trPr>
          <w:trHeight w:val="600"/>
        </w:trPr>
        <w:tc>
          <w:tcPr>
            <w:gridSpan w:val="2"/>
            <w:tcW w:w="1835" w:type="dxa"/>
            <w:vAlign w:val="center"/>
            <w:textDirection w:val="lrTb"/>
            <w:noWrap w:val="false"/>
          </w:tcPr>
          <w:p>
            <w:pPr>
              <w:pStyle w:val="106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业主</w:t>
            </w:r>
            <w:r>
              <w:rPr>
                <w:rFonts w:hint="eastAsia" w:ascii="宋体" w:hAnsi="宋体" w:eastAsia="宋体" w:cs="宋体"/>
                <w:color w:val="000000"/>
                <w:highlight w:val="none"/>
              </w:rPr>
            </w:r>
            <w:r/>
          </w:p>
        </w:tc>
        <w:tc>
          <w:tcPr>
            <w:gridSpan w:val="5"/>
            <w:tcW w:w="3260" w:type="dxa"/>
            <w:vAlign w:val="center"/>
            <w:textDirection w:val="lrTb"/>
            <w:noWrap w:val="false"/>
          </w:tcPr>
          <w:p>
            <w:pPr>
              <w:pStyle w:val="106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项目名称</w:t>
            </w:r>
            <w:r>
              <w:rPr>
                <w:rFonts w:hint="eastAsia" w:ascii="宋体" w:hAnsi="宋体" w:eastAsia="宋体" w:cs="宋体"/>
                <w:color w:val="000000"/>
                <w:highlight w:val="none"/>
              </w:rPr>
            </w:r>
            <w:r/>
          </w:p>
        </w:tc>
        <w:tc>
          <w:tcPr>
            <w:gridSpan w:val="2"/>
            <w:tcW w:w="1560" w:type="dxa"/>
            <w:vAlign w:val="center"/>
            <w:textDirection w:val="lrTb"/>
            <w:noWrap w:val="false"/>
          </w:tcPr>
          <w:p>
            <w:pPr>
              <w:pStyle w:val="106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合同金额</w:t>
            </w:r>
            <w:r>
              <w:rPr>
                <w:rFonts w:hint="eastAsia" w:ascii="宋体" w:hAnsi="宋体" w:eastAsia="宋体" w:cs="宋体"/>
                <w:color w:val="000000"/>
                <w:highlight w:val="none"/>
              </w:rPr>
            </w:r>
            <w:r/>
          </w:p>
        </w:tc>
        <w:tc>
          <w:tcPr>
            <w:gridSpan w:val="3"/>
            <w:tcW w:w="1680" w:type="dxa"/>
            <w:vAlign w:val="center"/>
            <w:textDirection w:val="lrTb"/>
            <w:noWrap w:val="false"/>
          </w:tcPr>
          <w:p>
            <w:pPr>
              <w:pStyle w:val="106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完成时间</w:t>
            </w:r>
            <w:r>
              <w:rPr>
                <w:rFonts w:hint="eastAsia" w:ascii="宋体" w:hAnsi="宋体" w:eastAsia="宋体" w:cs="宋体"/>
                <w:color w:val="000000"/>
                <w:highlight w:val="none"/>
              </w:rPr>
            </w:r>
            <w:r/>
          </w:p>
        </w:tc>
        <w:tc>
          <w:tcPr>
            <w:tcW w:w="1559" w:type="dxa"/>
            <w:vAlign w:val="center"/>
            <w:textDirection w:val="lrTb"/>
            <w:noWrap w:val="false"/>
          </w:tcPr>
          <w:p>
            <w:pPr>
              <w:pStyle w:val="1064"/>
              <w:ind w:firstLine="21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rPr>
                <w:rFonts w:hint="eastAsia" w:ascii="宋体" w:hAnsi="宋体" w:eastAsia="宋体" w:cs="宋体"/>
                <w:color w:val="000000"/>
                <w:highlight w:val="none"/>
              </w:rPr>
            </w:r>
            <w:r/>
          </w:p>
        </w:tc>
      </w:tr>
      <w:tr>
        <w:trPr>
          <w:trHeight w:val="616"/>
        </w:trPr>
        <w:tc>
          <w:tcPr>
            <w:gridSpan w:val="2"/>
            <w:tcW w:w="1835" w:type="dxa"/>
            <w:vAlign w:val="center"/>
            <w:textDirection w:val="lrTb"/>
            <w:noWrap w:val="false"/>
          </w:tcPr>
          <w:p>
            <w:pPr>
              <w:pStyle w:val="106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5"/>
            <w:tcW w:w="3260" w:type="dxa"/>
            <w:vAlign w:val="center"/>
            <w:textDirection w:val="lrTb"/>
            <w:noWrap w:val="false"/>
          </w:tcPr>
          <w:p>
            <w:pPr>
              <w:pStyle w:val="106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1560" w:type="dxa"/>
            <w:vAlign w:val="center"/>
            <w:textDirection w:val="lrTb"/>
            <w:noWrap w:val="false"/>
          </w:tcPr>
          <w:p>
            <w:pPr>
              <w:pStyle w:val="106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3"/>
            <w:tcW w:w="1680" w:type="dxa"/>
            <w:vAlign w:val="center"/>
            <w:textDirection w:val="lrTb"/>
            <w:noWrap w:val="false"/>
          </w:tcPr>
          <w:p>
            <w:pPr>
              <w:pStyle w:val="106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59" w:type="dxa"/>
            <w:vAlign w:val="center"/>
            <w:textDirection w:val="lrTb"/>
            <w:noWrap w:val="false"/>
          </w:tcPr>
          <w:p>
            <w:pPr>
              <w:pStyle w:val="106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16"/>
        </w:trPr>
        <w:tc>
          <w:tcPr>
            <w:gridSpan w:val="2"/>
            <w:tcW w:w="1835" w:type="dxa"/>
            <w:vAlign w:val="center"/>
            <w:textDirection w:val="lrTb"/>
            <w:noWrap w:val="false"/>
          </w:tcPr>
          <w:p>
            <w:pPr>
              <w:pStyle w:val="106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5"/>
            <w:tcW w:w="3260" w:type="dxa"/>
            <w:vAlign w:val="center"/>
            <w:textDirection w:val="lrTb"/>
            <w:noWrap w:val="false"/>
          </w:tcPr>
          <w:p>
            <w:pPr>
              <w:pStyle w:val="106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1560" w:type="dxa"/>
            <w:vAlign w:val="center"/>
            <w:textDirection w:val="lrTb"/>
            <w:noWrap w:val="false"/>
          </w:tcPr>
          <w:p>
            <w:pPr>
              <w:pStyle w:val="106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3"/>
            <w:tcW w:w="1680" w:type="dxa"/>
            <w:vAlign w:val="center"/>
            <w:textDirection w:val="lrTb"/>
            <w:noWrap w:val="false"/>
          </w:tcPr>
          <w:p>
            <w:pPr>
              <w:pStyle w:val="106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59" w:type="dxa"/>
            <w:vAlign w:val="center"/>
            <w:textDirection w:val="lrTb"/>
            <w:noWrap w:val="false"/>
          </w:tcPr>
          <w:p>
            <w:pPr>
              <w:pStyle w:val="106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1064"/>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064"/>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rPr>
          <w:rFonts w:hint="eastAsia" w:ascii="宋体" w:hAnsi="宋体" w:eastAsia="宋体" w:cs="宋体"/>
          <w:b/>
          <w:bCs/>
          <w:color w:val="000000"/>
          <w:sz w:val="24"/>
          <w:highlight w:val="none"/>
        </w:rPr>
      </w:r>
      <w:r/>
    </w:p>
    <w:p>
      <w:pPr>
        <w:pStyle w:val="106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4"/>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注：1.上表如需要自行延长。</w:t>
      </w:r>
      <w:r>
        <w:rPr>
          <w:rFonts w:hint="eastAsia" w:ascii="宋体" w:hAnsi="宋体" w:eastAsia="宋体" w:cs="宋体"/>
          <w:color w:val="000000"/>
          <w:sz w:val="24"/>
          <w:highlight w:val="none"/>
        </w:rPr>
      </w:r>
      <w:r/>
    </w:p>
    <w:p>
      <w:pPr>
        <w:pStyle w:val="1064"/>
        <w:numPr>
          <w:ilvl w:val="0"/>
          <w:numId w:val="17"/>
        </w:numPr>
        <w:ind w:firstLine="480"/>
        <w:tabs>
          <w:tab w:val="left" w:pos="312"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上表内容须提供人员身份证及证书原件扫描件作为填列证明材料，证明材料请附在本表之后。</w:t>
      </w:r>
      <w:r>
        <w:rPr>
          <w:rFonts w:hint="eastAsia" w:ascii="宋体" w:hAnsi="宋体" w:eastAsia="宋体" w:cs="宋体"/>
          <w:color w:val="000000"/>
          <w:sz w:val="24"/>
          <w:highlight w:val="none"/>
        </w:rPr>
      </w:r>
      <w:r/>
    </w:p>
    <w:p>
      <w:pPr>
        <w:pStyle w:val="14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1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7"/>
        <w:jc w:val="both"/>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eastAsia="zh-CN"/>
        </w:rPr>
        <w:t xml:space="preserve">八</w:t>
      </w:r>
      <w:r>
        <w:rPr>
          <w:rFonts w:hint="eastAsia" w:ascii="宋体" w:hAnsi="宋体" w:eastAsia="宋体" w:cs="宋体"/>
          <w:b w:val="0"/>
          <w:bCs w:val="0"/>
          <w:color w:val="000000"/>
          <w:sz w:val="24"/>
          <w:highlight w:val="none"/>
        </w:rPr>
        <w:t xml:space="preserve">）商务条款偏离表、技术要求条款偏离表 （格式）：</w:t>
      </w:r>
      <w:r>
        <w:rPr>
          <w:rFonts w:hint="eastAsia" w:ascii="宋体" w:hAnsi="宋体" w:eastAsia="宋体" w:cs="宋体"/>
          <w:b w:val="0"/>
          <w:bCs w:val="0"/>
          <w:color w:val="000000"/>
          <w:sz w:val="24"/>
          <w:highlight w:val="none"/>
        </w:rPr>
      </w:r>
      <w:r/>
    </w:p>
    <w:p>
      <w:pPr>
        <w:pStyle w:val="1064"/>
        <w:spacing w:line="360" w:lineRule="auto"/>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r>
      <w:r/>
    </w:p>
    <w:p>
      <w:pPr>
        <w:pStyle w:val="1064"/>
        <w:jc w:val="center"/>
        <w:spacing w:line="360" w:lineRule="auto"/>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t xml:space="preserve">（1）商务条款偏离表（格式）</w:t>
      </w:r>
      <w:r>
        <w:rPr>
          <w:rFonts w:hint="eastAsia" w:ascii="宋体" w:hAnsi="宋体" w:eastAsia="宋体" w:cs="宋体"/>
          <w:b/>
          <w:color w:val="000000"/>
          <w:sz w:val="30"/>
          <w:szCs w:val="30"/>
          <w:highlight w:val="none"/>
        </w:rPr>
      </w:r>
      <w:r/>
    </w:p>
    <w:p>
      <w:pPr>
        <w:pStyle w:val="1064"/>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64"/>
        <w:jc w:val="left"/>
        <w:rPr>
          <w:rFonts w:hint="eastAsia" w:ascii="宋体" w:hAnsi="宋体" w:eastAsia="宋体" w:cs="宋体"/>
          <w:bCs/>
          <w:color w:val="000000"/>
          <w:sz w:val="24"/>
          <w:highlight w:val="none"/>
        </w:rPr>
      </w:pPr>
      <w:r>
        <w:rPr>
          <w:rFonts w:hint="eastAsia" w:ascii="宋体" w:hAnsi="宋体" w:eastAsia="宋体" w:cs="宋体"/>
          <w:bCs/>
          <w:color w:val="000000"/>
          <w:spacing w:val="-6"/>
          <w:sz w:val="24"/>
          <w:highlight w:val="none"/>
        </w:rPr>
        <w:t xml:space="preserve">项目名称：</w:t>
      </w:r>
      <w:r>
        <w:rPr>
          <w:rFonts w:hint="eastAsia" w:ascii="宋体" w:hAnsi="宋体" w:eastAsia="宋体" w:cs="宋体"/>
          <w:bCs/>
          <w:color w:val="000000"/>
          <w:spacing w:val="-6"/>
          <w:sz w:val="24"/>
          <w:highlight w:val="none"/>
          <w:lang w:eastAsia="zh-CN"/>
        </w:rPr>
        <w:t xml:space="preserve">无锡金属表面处理科技工业园区土壤和地下水污染管控方案编制采购服务</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1064"/>
        <w:jc w:val="lef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项目编号： </w:t>
      </w:r>
      <w:r>
        <w:rPr>
          <w:rFonts w:hint="eastAsia" w:ascii="宋体" w:hAnsi="宋体" w:eastAsia="宋体" w:cs="宋体"/>
          <w:bCs/>
          <w:color w:val="000000"/>
          <w:sz w:val="24"/>
          <w:highlight w:val="none"/>
          <w:lang w:eastAsia="zh-CN"/>
        </w:rPr>
        <w:t xml:space="preserve">JSZC-320206-JSJW-G2024-0076</w:t>
      </w:r>
      <w:r>
        <w:rPr>
          <w:rFonts w:hint="eastAsia" w:ascii="宋体" w:hAnsi="宋体" w:eastAsia="宋体" w:cs="宋体"/>
          <w:bCs/>
          <w:color w:val="000000"/>
          <w:sz w:val="24"/>
          <w:highlight w:val="none"/>
          <w:lang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1806"/>
        <w:gridCol w:w="1971"/>
        <w:gridCol w:w="1478"/>
        <w:gridCol w:w="1478"/>
        <w:gridCol w:w="1935"/>
      </w:tblGrid>
      <w:tr>
        <w:trPr>
          <w:trHeight w:val="1020"/>
        </w:trPr>
        <w:tc>
          <w:tcPr>
            <w:tcW w:w="985" w:type="dxa"/>
            <w:vAlign w:val="center"/>
            <w:textDirection w:val="lrTb"/>
            <w:noWrap w:val="false"/>
          </w:tcPr>
          <w:p>
            <w:pPr>
              <w:pStyle w:val="106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806" w:type="dxa"/>
            <w:vAlign w:val="center"/>
            <w:textDirection w:val="lrTb"/>
            <w:noWrap w:val="false"/>
          </w:tcPr>
          <w:p>
            <w:pPr>
              <w:pStyle w:val="106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w:t>
            </w:r>
            <w:r>
              <w:rPr>
                <w:rFonts w:hint="eastAsia" w:ascii="宋体" w:hAnsi="宋体" w:eastAsia="宋体" w:cs="宋体"/>
                <w:color w:val="000000"/>
                <w:sz w:val="24"/>
                <w:highlight w:val="none"/>
              </w:rPr>
            </w:r>
            <w:r/>
          </w:p>
          <w:p>
            <w:pPr>
              <w:pStyle w:val="106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条款号</w:t>
            </w:r>
            <w:r>
              <w:rPr>
                <w:rFonts w:hint="eastAsia" w:ascii="宋体" w:hAnsi="宋体" w:eastAsia="宋体" w:cs="宋体"/>
                <w:color w:val="000000"/>
                <w:sz w:val="24"/>
                <w:highlight w:val="none"/>
              </w:rPr>
            </w:r>
            <w:r/>
          </w:p>
        </w:tc>
        <w:tc>
          <w:tcPr>
            <w:tcW w:w="1971" w:type="dxa"/>
            <w:vAlign w:val="center"/>
            <w:textDirection w:val="lrTb"/>
            <w:noWrap w:val="false"/>
          </w:tcPr>
          <w:p>
            <w:pPr>
              <w:pStyle w:val="106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招标文件的</w:t>
            </w:r>
            <w:r>
              <w:rPr>
                <w:rFonts w:hint="eastAsia" w:ascii="宋体" w:hAnsi="宋体" w:eastAsia="宋体" w:cs="宋体"/>
                <w:color w:val="000000"/>
                <w:sz w:val="24"/>
                <w:highlight w:val="none"/>
              </w:rPr>
            </w:r>
            <w:r/>
          </w:p>
          <w:p>
            <w:pPr>
              <w:pStyle w:val="106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商务条款</w:t>
            </w:r>
            <w:r>
              <w:rPr>
                <w:rFonts w:hint="eastAsia" w:ascii="宋体" w:hAnsi="宋体" w:eastAsia="宋体" w:cs="宋体"/>
                <w:color w:val="000000"/>
                <w:sz w:val="24"/>
                <w:highlight w:val="none"/>
              </w:rPr>
            </w:r>
            <w:r/>
          </w:p>
        </w:tc>
        <w:tc>
          <w:tcPr>
            <w:tcW w:w="1478" w:type="dxa"/>
            <w:vAlign w:val="center"/>
            <w:textDirection w:val="lrTb"/>
            <w:noWrap w:val="false"/>
          </w:tcPr>
          <w:p>
            <w:pPr>
              <w:pStyle w:val="106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投标文件的商务条款</w:t>
            </w:r>
            <w:r>
              <w:rPr>
                <w:rFonts w:hint="eastAsia" w:ascii="宋体" w:hAnsi="宋体" w:eastAsia="宋体" w:cs="宋体"/>
                <w:color w:val="000000"/>
                <w:sz w:val="24"/>
                <w:highlight w:val="none"/>
              </w:rPr>
            </w:r>
            <w:r/>
          </w:p>
        </w:tc>
        <w:tc>
          <w:tcPr>
            <w:tcW w:w="1478" w:type="dxa"/>
            <w:vAlign w:val="center"/>
            <w:textDirection w:val="lrTb"/>
            <w:noWrap w:val="false"/>
          </w:tcPr>
          <w:p>
            <w:pPr>
              <w:pStyle w:val="106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偏离情况</w:t>
            </w:r>
            <w:r>
              <w:rPr>
                <w:rFonts w:hint="eastAsia" w:ascii="宋体" w:hAnsi="宋体" w:eastAsia="宋体" w:cs="宋体"/>
                <w:color w:val="000000"/>
                <w:sz w:val="24"/>
                <w:highlight w:val="none"/>
              </w:rPr>
            </w:r>
            <w:r/>
          </w:p>
        </w:tc>
        <w:tc>
          <w:tcPr>
            <w:tcW w:w="1935" w:type="dxa"/>
            <w:vAlign w:val="center"/>
            <w:textDirection w:val="lrTb"/>
            <w:noWrap w:val="false"/>
          </w:tcPr>
          <w:p>
            <w:pPr>
              <w:pStyle w:val="106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tc>
      </w:tr>
      <w:tr>
        <w:trPr>
          <w:trHeight w:val="1020"/>
        </w:trPr>
        <w:tc>
          <w:tcPr>
            <w:tcW w:w="985" w:type="dxa"/>
            <w:vAlign w:val="center"/>
            <w:textDirection w:val="lrTb"/>
            <w:noWrap w:val="false"/>
          </w:tcPr>
          <w:p>
            <w:pPr>
              <w:pStyle w:val="106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06" w:type="dxa"/>
            <w:vAlign w:val="center"/>
            <w:textDirection w:val="lrTb"/>
            <w:noWrap w:val="false"/>
          </w:tcPr>
          <w:p>
            <w:pPr>
              <w:pStyle w:val="106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71" w:type="dxa"/>
            <w:vAlign w:val="center"/>
            <w:textDirection w:val="lrTb"/>
            <w:noWrap w:val="false"/>
          </w:tcPr>
          <w:p>
            <w:pPr>
              <w:pStyle w:val="106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pStyle w:val="106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pStyle w:val="106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35" w:type="dxa"/>
            <w:vAlign w:val="center"/>
            <w:textDirection w:val="lrTb"/>
            <w:noWrap w:val="false"/>
          </w:tcPr>
          <w:p>
            <w:pPr>
              <w:pStyle w:val="106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1020"/>
        </w:trPr>
        <w:tc>
          <w:tcPr>
            <w:tcW w:w="985" w:type="dxa"/>
            <w:vAlign w:val="center"/>
            <w:textDirection w:val="lrTb"/>
            <w:noWrap w:val="false"/>
          </w:tcPr>
          <w:p>
            <w:pPr>
              <w:pStyle w:val="106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06" w:type="dxa"/>
            <w:vAlign w:val="center"/>
            <w:textDirection w:val="lrTb"/>
            <w:noWrap w:val="false"/>
          </w:tcPr>
          <w:p>
            <w:pPr>
              <w:pStyle w:val="106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71" w:type="dxa"/>
            <w:vAlign w:val="center"/>
            <w:textDirection w:val="lrTb"/>
            <w:noWrap w:val="false"/>
          </w:tcPr>
          <w:p>
            <w:pPr>
              <w:pStyle w:val="106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pStyle w:val="106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pStyle w:val="106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35" w:type="dxa"/>
            <w:vAlign w:val="center"/>
            <w:textDirection w:val="lrTb"/>
            <w:noWrap w:val="false"/>
          </w:tcPr>
          <w:p>
            <w:pPr>
              <w:pStyle w:val="106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1020"/>
        </w:trPr>
        <w:tc>
          <w:tcPr>
            <w:tcW w:w="985" w:type="dxa"/>
            <w:vAlign w:val="center"/>
            <w:textDirection w:val="lrTb"/>
            <w:noWrap w:val="false"/>
          </w:tcPr>
          <w:p>
            <w:pPr>
              <w:pStyle w:val="106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06" w:type="dxa"/>
            <w:vAlign w:val="center"/>
            <w:textDirection w:val="lrTb"/>
            <w:noWrap w:val="false"/>
          </w:tcPr>
          <w:p>
            <w:pPr>
              <w:pStyle w:val="106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71" w:type="dxa"/>
            <w:vAlign w:val="center"/>
            <w:textDirection w:val="lrTb"/>
            <w:noWrap w:val="false"/>
          </w:tcPr>
          <w:p>
            <w:pPr>
              <w:pStyle w:val="106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pStyle w:val="106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pStyle w:val="106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35" w:type="dxa"/>
            <w:vAlign w:val="center"/>
            <w:textDirection w:val="lrTb"/>
            <w:noWrap w:val="false"/>
          </w:tcPr>
          <w:p>
            <w:pPr>
              <w:pStyle w:val="106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1064"/>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64"/>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注：（1）本表不得删除；</w:t>
      </w:r>
      <w:r>
        <w:rPr>
          <w:rFonts w:hint="eastAsia" w:ascii="宋体" w:hAnsi="宋体" w:eastAsia="宋体" w:cs="宋体"/>
          <w:bCs/>
          <w:color w:val="000000"/>
          <w:sz w:val="24"/>
          <w:highlight w:val="none"/>
        </w:rPr>
      </w:r>
      <w:r/>
    </w:p>
    <w:p>
      <w:pPr>
        <w:pStyle w:val="1064"/>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（2）如无任何偏离，请于本表 “偏离说明”中注明“无偏离”；</w:t>
      </w:r>
      <w:r>
        <w:rPr>
          <w:rFonts w:hint="eastAsia" w:ascii="宋体" w:hAnsi="宋体" w:eastAsia="宋体" w:cs="宋体"/>
          <w:bCs/>
          <w:color w:val="000000"/>
          <w:sz w:val="24"/>
          <w:highlight w:val="none"/>
        </w:rPr>
      </w:r>
      <w:r/>
    </w:p>
    <w:p>
      <w:pPr>
        <w:pStyle w:val="1064"/>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（3）如有偏离项，请于本表中列明偏离内容，如需要可自行延长，其余无偏离内容不须赘述。</w:t>
      </w:r>
      <w:r>
        <w:rPr>
          <w:rFonts w:hint="eastAsia" w:ascii="宋体" w:hAnsi="宋体" w:eastAsia="宋体" w:cs="宋体"/>
          <w:bCs/>
          <w:color w:val="000000"/>
          <w:sz w:val="24"/>
          <w:highlight w:val="none"/>
        </w:rPr>
      </w:r>
      <w:r/>
    </w:p>
    <w:p>
      <w:pPr>
        <w:pStyle w:val="1064"/>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1064"/>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64"/>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307"/>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7"/>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7"/>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64"/>
        <w:ind w:firstLine="372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投标人（盖章）：</w:t>
      </w:r>
      <w:r>
        <w:rPr>
          <w:rFonts w:hint="eastAsia" w:ascii="宋体" w:hAnsi="宋体" w:eastAsia="宋体" w:cs="宋体"/>
          <w:bCs/>
          <w:color w:val="000000"/>
          <w:sz w:val="24"/>
          <w:highlight w:val="none"/>
        </w:rPr>
      </w:r>
      <w:r/>
    </w:p>
    <w:p>
      <w:pPr>
        <w:pStyle w:val="1064"/>
        <w:ind w:firstLine="102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法定代表人或法定代表人授权代表签字或盖章：</w:t>
      </w:r>
      <w:r>
        <w:rPr>
          <w:rFonts w:hint="eastAsia" w:ascii="宋体" w:hAnsi="宋体" w:eastAsia="宋体" w:cs="宋体"/>
          <w:color w:val="000000"/>
          <w:sz w:val="24"/>
          <w:highlight w:val="none"/>
        </w:rPr>
      </w:r>
      <w:r/>
    </w:p>
    <w:p>
      <w:pPr>
        <w:pStyle w:val="1064"/>
        <w:ind w:firstLine="534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    年  月   日</w:t>
      </w:r>
      <w:r>
        <w:rPr>
          <w:rFonts w:hint="eastAsia" w:ascii="宋体" w:hAnsi="宋体" w:eastAsia="宋体" w:cs="宋体"/>
          <w:bCs/>
          <w:color w:val="000000"/>
          <w:sz w:val="24"/>
          <w:highlight w:val="none"/>
        </w:rPr>
      </w:r>
      <w:r/>
    </w:p>
    <w:p>
      <w:pPr>
        <w:pStyle w:val="1307"/>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7"/>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7"/>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7"/>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7"/>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7"/>
        <w:ind w:firstLine="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7"/>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64"/>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（2）技术要求条款偏离表</w:t>
      </w:r>
      <w:r>
        <w:rPr>
          <w:rFonts w:hint="eastAsia" w:ascii="宋体" w:hAnsi="宋体" w:eastAsia="宋体" w:cs="宋体"/>
          <w:b/>
          <w:color w:val="000000"/>
          <w:sz w:val="28"/>
          <w:szCs w:val="28"/>
          <w:highlight w:val="none"/>
        </w:rPr>
      </w:r>
      <w:r/>
    </w:p>
    <w:p>
      <w:pPr>
        <w:pStyle w:val="1064"/>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64"/>
        <w:jc w:val="left"/>
        <w:rPr>
          <w:rFonts w:hint="eastAsia" w:ascii="宋体" w:hAnsi="宋体" w:eastAsia="宋体" w:cs="宋体"/>
          <w:bCs/>
          <w:color w:val="000000"/>
          <w:sz w:val="24"/>
          <w:highlight w:val="none"/>
        </w:rPr>
      </w:pPr>
      <w:r>
        <w:rPr>
          <w:rFonts w:hint="eastAsia" w:ascii="宋体" w:hAnsi="宋体" w:eastAsia="宋体" w:cs="宋体"/>
          <w:bCs/>
          <w:color w:val="000000"/>
          <w:spacing w:val="-6"/>
          <w:sz w:val="24"/>
          <w:highlight w:val="none"/>
        </w:rPr>
        <w:t xml:space="preserve">项目名称：</w:t>
      </w:r>
      <w:r>
        <w:rPr>
          <w:rFonts w:hint="eastAsia" w:ascii="宋体" w:hAnsi="宋体" w:eastAsia="宋体" w:cs="宋体"/>
          <w:bCs/>
          <w:color w:val="000000"/>
          <w:spacing w:val="-6"/>
          <w:sz w:val="24"/>
          <w:highlight w:val="none"/>
          <w:lang w:eastAsia="zh-CN"/>
        </w:rPr>
        <w:t xml:space="preserve">无锡金属表面处理科技工业园区土壤和地下水污染管控方案编制采购服务</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1064"/>
        <w:jc w:val="lef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项目编号： </w:t>
      </w:r>
      <w:r>
        <w:rPr>
          <w:rFonts w:hint="eastAsia" w:ascii="宋体" w:hAnsi="宋体" w:eastAsia="宋体" w:cs="宋体"/>
          <w:bCs/>
          <w:color w:val="000000"/>
          <w:sz w:val="24"/>
          <w:highlight w:val="none"/>
          <w:lang w:eastAsia="zh-CN"/>
        </w:rPr>
        <w:t xml:space="preserve">JSZC-320206-JSJW-G2024-0076</w:t>
      </w:r>
      <w:r>
        <w:rPr>
          <w:rFonts w:hint="eastAsia" w:ascii="宋体" w:hAnsi="宋体" w:eastAsia="宋体" w:cs="宋体"/>
          <w:bCs/>
          <w:color w:val="000000"/>
          <w:sz w:val="24"/>
          <w:highlight w:val="none"/>
          <w:lang w:eastAsia="zh-CN"/>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4078"/>
        <w:gridCol w:w="3544"/>
        <w:gridCol w:w="1559"/>
      </w:tblGrid>
      <w:tr>
        <w:trPr/>
        <w:tc>
          <w:tcPr>
            <w:tcW w:w="708" w:type="dxa"/>
            <w:vAlign w:val="top"/>
            <w:textDirection w:val="lrTb"/>
            <w:noWrap w:val="false"/>
          </w:tcPr>
          <w:p>
            <w:pPr>
              <w:pStyle w:val="1064"/>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4078" w:type="dxa"/>
            <w:vAlign w:val="center"/>
            <w:textDirection w:val="lrTb"/>
            <w:noWrap w:val="false"/>
          </w:tcPr>
          <w:p>
            <w:pPr>
              <w:pStyle w:val="106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采购要求</w:t>
            </w:r>
            <w:r>
              <w:rPr>
                <w:rFonts w:hint="eastAsia" w:ascii="宋体" w:hAnsi="宋体" w:eastAsia="宋体" w:cs="宋体"/>
                <w:color w:val="000000"/>
                <w:sz w:val="24"/>
                <w:highlight w:val="none"/>
              </w:rPr>
            </w:r>
            <w:r/>
          </w:p>
        </w:tc>
        <w:tc>
          <w:tcPr>
            <w:tcW w:w="3544" w:type="dxa"/>
            <w:vAlign w:val="center"/>
            <w:textDirection w:val="lrTb"/>
            <w:noWrap w:val="false"/>
          </w:tcPr>
          <w:p>
            <w:pPr>
              <w:pStyle w:val="106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实报内容</w:t>
            </w:r>
            <w:r>
              <w:rPr>
                <w:rFonts w:hint="eastAsia" w:ascii="宋体" w:hAnsi="宋体" w:eastAsia="宋体" w:cs="宋体"/>
                <w:color w:val="000000"/>
                <w:sz w:val="24"/>
                <w:highlight w:val="none"/>
              </w:rPr>
            </w:r>
            <w:r/>
          </w:p>
        </w:tc>
        <w:tc>
          <w:tcPr>
            <w:tcW w:w="1559" w:type="dxa"/>
            <w:vAlign w:val="top"/>
            <w:textDirection w:val="lrTb"/>
            <w:noWrap w:val="false"/>
          </w:tcPr>
          <w:p>
            <w:pPr>
              <w:pStyle w:val="1064"/>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偏离说明</w:t>
            </w: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1064"/>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106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1064"/>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1064"/>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1064"/>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106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1064"/>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1064"/>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1064"/>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106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1064"/>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1064"/>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1064"/>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106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1064"/>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1064"/>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1064"/>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106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1064"/>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1064"/>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1064"/>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106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1064"/>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1064"/>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1064"/>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106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1064"/>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1064"/>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1064"/>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106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1064"/>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1064"/>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1064"/>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1064"/>
              <w:tabs>
                <w:tab w:val="left" w:pos="624"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1064"/>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1064"/>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1064"/>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注：（1）本表不得删除；</w:t>
      </w:r>
      <w:r>
        <w:rPr>
          <w:rFonts w:hint="eastAsia" w:ascii="宋体" w:hAnsi="宋体" w:eastAsia="宋体" w:cs="宋体"/>
          <w:bCs/>
          <w:color w:val="000000"/>
          <w:sz w:val="24"/>
          <w:highlight w:val="none"/>
        </w:rPr>
      </w:r>
      <w:r/>
    </w:p>
    <w:p>
      <w:pPr>
        <w:pStyle w:val="1064"/>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（2）如无任何偏离，请于本表 “偏离说明”中注明“无偏离”；</w:t>
      </w:r>
      <w:r>
        <w:rPr>
          <w:rFonts w:hint="eastAsia" w:ascii="宋体" w:hAnsi="宋体" w:eastAsia="宋体" w:cs="宋体"/>
          <w:bCs/>
          <w:color w:val="000000"/>
          <w:sz w:val="24"/>
          <w:highlight w:val="none"/>
        </w:rPr>
      </w:r>
      <w:r/>
    </w:p>
    <w:p>
      <w:pPr>
        <w:pStyle w:val="1064"/>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（3）如有偏离项，请于本表中列明偏离内容，如需要可自行延长，其余无偏离内容不须赘述。</w:t>
      </w:r>
      <w:r>
        <w:rPr>
          <w:rFonts w:hint="eastAsia" w:ascii="宋体" w:hAnsi="宋体" w:eastAsia="宋体" w:cs="宋体"/>
          <w:bCs/>
          <w:color w:val="000000"/>
          <w:sz w:val="24"/>
          <w:highlight w:val="none"/>
        </w:rPr>
      </w:r>
      <w:r/>
    </w:p>
    <w:p>
      <w:pPr>
        <w:pStyle w:val="106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4"/>
        <w:ind w:firstLine="372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投标人（盖章）：</w:t>
      </w:r>
      <w:r>
        <w:rPr>
          <w:rFonts w:hint="eastAsia" w:ascii="宋体" w:hAnsi="宋体" w:eastAsia="宋体" w:cs="宋体"/>
          <w:bCs/>
          <w:color w:val="000000"/>
          <w:sz w:val="24"/>
          <w:highlight w:val="none"/>
        </w:rPr>
      </w:r>
      <w:r/>
    </w:p>
    <w:p>
      <w:pPr>
        <w:pStyle w:val="1064"/>
        <w:ind w:firstLine="102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法定代表人或法定代表人授权代表签字或盖章：</w:t>
      </w:r>
      <w:r>
        <w:rPr>
          <w:rFonts w:hint="eastAsia" w:ascii="宋体" w:hAnsi="宋体" w:eastAsia="宋体" w:cs="宋体"/>
          <w:color w:val="000000"/>
          <w:sz w:val="24"/>
          <w:highlight w:val="none"/>
        </w:rPr>
      </w:r>
      <w:r/>
    </w:p>
    <w:p>
      <w:pPr>
        <w:pStyle w:val="1064"/>
        <w:ind w:firstLine="534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    年  月   日</w:t>
      </w:r>
      <w:r>
        <w:rPr>
          <w:rFonts w:hint="eastAsia" w:ascii="宋体" w:hAnsi="宋体" w:eastAsia="宋体" w:cs="宋体"/>
          <w:bCs/>
          <w:color w:val="000000"/>
          <w:sz w:val="24"/>
          <w:highlight w:val="none"/>
        </w:rPr>
      </w:r>
      <w:r/>
    </w:p>
    <w:p>
      <w:pPr>
        <w:pStyle w:val="1307"/>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7"/>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7"/>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7"/>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67"/>
        <w:jc w:val="both"/>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eastAsia="zh-CN"/>
        </w:rPr>
        <w:t xml:space="preserve">九</w:t>
      </w:r>
      <w:r>
        <w:rPr>
          <w:rFonts w:hint="eastAsia" w:ascii="宋体" w:hAnsi="宋体" w:eastAsia="宋体" w:cs="宋体"/>
          <w:b w:val="0"/>
          <w:bCs w:val="0"/>
          <w:color w:val="000000"/>
          <w:sz w:val="24"/>
          <w:highlight w:val="none"/>
        </w:rPr>
        <w:t xml:space="preserve">）供应商类似业绩一览表（格式）：</w:t>
      </w:r>
      <w:r>
        <w:rPr>
          <w:rFonts w:hint="eastAsia" w:ascii="宋体" w:hAnsi="宋体" w:eastAsia="宋体" w:cs="宋体"/>
          <w:b w:val="0"/>
          <w:bCs w:val="0"/>
          <w:color w:val="000000"/>
          <w:sz w:val="24"/>
          <w:highlight w:val="none"/>
        </w:rPr>
      </w:r>
      <w:r/>
    </w:p>
    <w:p>
      <w:pPr>
        <w:pStyle w:val="1104"/>
        <w:ind w:firstLine="3654"/>
        <w:jc w:val="left"/>
        <w:spacing w:before="11"/>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r>
      <w:r/>
    </w:p>
    <w:p>
      <w:pPr>
        <w:pStyle w:val="1104"/>
        <w:ind w:firstLine="3654"/>
        <w:jc w:val="left"/>
        <w:spacing w:before="11"/>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t xml:space="preserve">供应商类似业绩一览表</w:t>
      </w:r>
      <w:r>
        <w:rPr>
          <w:rFonts w:hint="eastAsia" w:ascii="宋体" w:hAnsi="宋体" w:eastAsia="宋体" w:cs="宋体"/>
          <w:b/>
          <w:bCs/>
          <w:color w:val="000000"/>
          <w:szCs w:val="28"/>
          <w:highlight w:val="none"/>
        </w:rPr>
      </w:r>
      <w:r/>
    </w:p>
    <w:p>
      <w:pPr>
        <w:pStyle w:val="1104"/>
        <w:ind w:left="1020"/>
        <w:spacing w:before="96"/>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7"/>
        <w:gridCol w:w="1560"/>
        <w:gridCol w:w="1461"/>
        <w:gridCol w:w="1673"/>
        <w:gridCol w:w="1836"/>
        <w:gridCol w:w="1883"/>
      </w:tblGrid>
      <w:tr>
        <w:trPr>
          <w:trHeight w:val="935"/>
        </w:trPr>
        <w:tc>
          <w:tcPr>
            <w:tcW w:w="977" w:type="dxa"/>
            <w:vAlign w:val="center"/>
            <w:textDirection w:val="lrTb"/>
            <w:noWrap w:val="false"/>
          </w:tcPr>
          <w:p>
            <w:pPr>
              <w:pStyle w:val="1305"/>
              <w:ind w:left="287" w:right="1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560" w:type="dxa"/>
            <w:vAlign w:val="center"/>
            <w:textDirection w:val="lrTb"/>
            <w:noWrap w:val="false"/>
          </w:tcPr>
          <w:p>
            <w:pPr>
              <w:pStyle w:val="1305"/>
              <w:ind w:left="340" w:right="2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rPr>
            </w:r>
            <w:r/>
          </w:p>
        </w:tc>
        <w:tc>
          <w:tcPr>
            <w:tcW w:w="1461" w:type="dxa"/>
            <w:vAlign w:val="center"/>
            <w:textDirection w:val="lrTb"/>
            <w:noWrap w:val="false"/>
          </w:tcPr>
          <w:p>
            <w:pPr>
              <w:pStyle w:val="1305"/>
              <w:ind w:left="290" w:right="16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合同签订</w:t>
            </w:r>
            <w:r>
              <w:rPr>
                <w:rFonts w:hint="eastAsia" w:ascii="宋体" w:hAnsi="宋体" w:eastAsia="宋体" w:cs="宋体"/>
                <w:color w:val="000000"/>
                <w:sz w:val="24"/>
                <w:highlight w:val="none"/>
              </w:rPr>
              <w:t xml:space="preserve">时间</w:t>
            </w:r>
            <w:r>
              <w:rPr>
                <w:rFonts w:hint="eastAsia" w:ascii="宋体" w:hAnsi="宋体" w:eastAsia="宋体" w:cs="宋体"/>
                <w:color w:val="000000"/>
                <w:sz w:val="24"/>
                <w:highlight w:val="none"/>
              </w:rPr>
            </w:r>
            <w:r/>
          </w:p>
        </w:tc>
        <w:tc>
          <w:tcPr>
            <w:tcW w:w="1673" w:type="dxa"/>
            <w:vAlign w:val="center"/>
            <w:textDirection w:val="lrTb"/>
            <w:noWrap w:val="false"/>
          </w:tcPr>
          <w:p>
            <w:pPr>
              <w:pStyle w:val="1305"/>
              <w:ind w:left="276" w:right="146"/>
              <w:jc w:val="center"/>
              <w:spacing w:before="4"/>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合同金额</w:t>
            </w:r>
            <w:r>
              <w:rPr>
                <w:rFonts w:hint="eastAsia" w:ascii="宋体" w:hAnsi="宋体" w:eastAsia="宋体" w:cs="宋体"/>
                <w:color w:val="000000"/>
                <w:sz w:val="24"/>
                <w:highlight w:val="none"/>
              </w:rPr>
            </w:r>
            <w:r/>
          </w:p>
          <w:p>
            <w:pPr>
              <w:pStyle w:val="1305"/>
              <w:ind w:left="276" w:right="146"/>
              <w:jc w:val="center"/>
              <w:spacing w:before="15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（人民币）</w:t>
            </w:r>
            <w:r>
              <w:rPr>
                <w:rFonts w:hint="eastAsia" w:ascii="宋体" w:hAnsi="宋体" w:eastAsia="宋体" w:cs="宋体"/>
                <w:color w:val="000000"/>
                <w:sz w:val="24"/>
                <w:highlight w:val="none"/>
              </w:rPr>
            </w:r>
            <w:r/>
          </w:p>
        </w:tc>
        <w:tc>
          <w:tcPr>
            <w:tcW w:w="1836" w:type="dxa"/>
            <w:vAlign w:val="center"/>
            <w:textDirection w:val="lrTb"/>
            <w:noWrap w:val="false"/>
          </w:tcPr>
          <w:p>
            <w:pPr>
              <w:pStyle w:val="1305"/>
              <w:ind w:left="276" w:right="146"/>
              <w:jc w:val="center"/>
              <w:spacing w:before="4"/>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rPr>
              <w:t xml:space="preserve">单位</w:t>
            </w:r>
            <w:r>
              <w:rPr>
                <w:rFonts w:hint="eastAsia" w:ascii="宋体" w:hAnsi="宋体" w:eastAsia="宋体" w:cs="宋体"/>
                <w:color w:val="000000"/>
                <w:sz w:val="24"/>
                <w:highlight w:val="none"/>
              </w:rPr>
            </w:r>
            <w:r/>
          </w:p>
        </w:tc>
        <w:tc>
          <w:tcPr>
            <w:tcW w:w="1883" w:type="dxa"/>
            <w:vAlign w:val="center"/>
            <w:textDirection w:val="lrTb"/>
            <w:noWrap w:val="false"/>
          </w:tcPr>
          <w:p>
            <w:pPr>
              <w:pStyle w:val="1305"/>
              <w:ind w:left="276" w:right="146"/>
              <w:jc w:val="center"/>
              <w:spacing w:before="4"/>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highlight w:val="none"/>
              </w:rPr>
            </w:r>
            <w:r/>
          </w:p>
        </w:tc>
      </w:tr>
      <w:tr>
        <w:trPr>
          <w:trHeight w:val="335"/>
        </w:trPr>
        <w:tc>
          <w:tcPr>
            <w:tcW w:w="977" w:type="dxa"/>
            <w:vAlign w:val="top"/>
            <w:textDirection w:val="lrTb"/>
            <w:noWrap w:val="false"/>
          </w:tcPr>
          <w:p>
            <w:pPr>
              <w:pStyle w:val="1305"/>
              <w:ind w:left="287" w:right="150"/>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1 </w:t>
            </w:r>
            <w:r>
              <w:rPr>
                <w:rFonts w:hint="eastAsia" w:ascii="宋体" w:hAnsi="宋体" w:eastAsia="宋体" w:cs="宋体"/>
                <w:color w:val="000000"/>
                <w:sz w:val="26"/>
                <w:highlight w:val="none"/>
              </w:rPr>
            </w:r>
            <w:r/>
          </w:p>
        </w:tc>
        <w:tc>
          <w:tcPr>
            <w:tcW w:w="1560" w:type="dxa"/>
            <w:vAlign w:val="top"/>
            <w:textDirection w:val="lrTb"/>
            <w:noWrap w:val="false"/>
          </w:tcPr>
          <w:p>
            <w:pPr>
              <w:pStyle w:val="1305"/>
              <w:ind w:left="139"/>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1305"/>
              <w:ind w:left="139"/>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1305"/>
              <w:ind w:right="694"/>
              <w:jc w:val="right"/>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1305"/>
              <w:ind w:left="142"/>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1305"/>
              <w:ind w:left="143"/>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r>
        <w:trPr>
          <w:trHeight w:val="337"/>
        </w:trPr>
        <w:tc>
          <w:tcPr>
            <w:tcW w:w="977" w:type="dxa"/>
            <w:vAlign w:val="top"/>
            <w:textDirection w:val="lrTb"/>
            <w:noWrap w:val="false"/>
          </w:tcPr>
          <w:p>
            <w:pPr>
              <w:pStyle w:val="1305"/>
              <w:ind w:left="287" w:right="150"/>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2 </w:t>
            </w:r>
            <w:r>
              <w:rPr>
                <w:rFonts w:hint="eastAsia" w:ascii="宋体" w:hAnsi="宋体" w:eastAsia="宋体" w:cs="宋体"/>
                <w:color w:val="000000"/>
                <w:sz w:val="26"/>
                <w:highlight w:val="none"/>
              </w:rPr>
            </w:r>
            <w:r/>
          </w:p>
        </w:tc>
        <w:tc>
          <w:tcPr>
            <w:tcW w:w="1560" w:type="dxa"/>
            <w:vAlign w:val="top"/>
            <w:textDirection w:val="lrTb"/>
            <w:noWrap w:val="false"/>
          </w:tcPr>
          <w:p>
            <w:pPr>
              <w:pStyle w:val="1305"/>
              <w:ind w:left="139"/>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1305"/>
              <w:ind w:left="139"/>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1305"/>
              <w:ind w:right="694"/>
              <w:jc w:val="right"/>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1305"/>
              <w:ind w:left="142"/>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1305"/>
              <w:ind w:left="143"/>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r>
        <w:trPr>
          <w:trHeight w:val="338"/>
        </w:trPr>
        <w:tc>
          <w:tcPr>
            <w:tcW w:w="977" w:type="dxa"/>
            <w:vAlign w:val="top"/>
            <w:textDirection w:val="lrTb"/>
            <w:noWrap w:val="false"/>
          </w:tcPr>
          <w:p>
            <w:pPr>
              <w:pStyle w:val="1305"/>
              <w:ind w:left="287" w:right="150"/>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3 </w:t>
            </w:r>
            <w:r>
              <w:rPr>
                <w:rFonts w:hint="eastAsia" w:ascii="宋体" w:hAnsi="宋体" w:eastAsia="宋体" w:cs="宋体"/>
                <w:color w:val="000000"/>
                <w:sz w:val="26"/>
                <w:highlight w:val="none"/>
              </w:rPr>
            </w:r>
            <w:r/>
          </w:p>
        </w:tc>
        <w:tc>
          <w:tcPr>
            <w:tcW w:w="1560" w:type="dxa"/>
            <w:vAlign w:val="top"/>
            <w:textDirection w:val="lrTb"/>
            <w:noWrap w:val="false"/>
          </w:tcPr>
          <w:p>
            <w:pPr>
              <w:pStyle w:val="1305"/>
              <w:ind w:left="139"/>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1305"/>
              <w:ind w:left="139"/>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1305"/>
              <w:ind w:right="694"/>
              <w:jc w:val="right"/>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1305"/>
              <w:ind w:left="142"/>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1305"/>
              <w:ind w:left="143"/>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r>
        <w:trPr>
          <w:trHeight w:val="335"/>
        </w:trPr>
        <w:tc>
          <w:tcPr>
            <w:tcW w:w="977" w:type="dxa"/>
            <w:vAlign w:val="top"/>
            <w:textDirection w:val="lrTb"/>
            <w:noWrap w:val="false"/>
          </w:tcPr>
          <w:p>
            <w:pPr>
              <w:pStyle w:val="1305"/>
              <w:ind w:left="287" w:right="150"/>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4 </w:t>
            </w:r>
            <w:r>
              <w:rPr>
                <w:rFonts w:hint="eastAsia" w:ascii="宋体" w:hAnsi="宋体" w:eastAsia="宋体" w:cs="宋体"/>
                <w:color w:val="000000"/>
                <w:sz w:val="26"/>
                <w:highlight w:val="none"/>
              </w:rPr>
            </w:r>
            <w:r/>
          </w:p>
        </w:tc>
        <w:tc>
          <w:tcPr>
            <w:tcW w:w="1560" w:type="dxa"/>
            <w:vAlign w:val="top"/>
            <w:textDirection w:val="lrTb"/>
            <w:noWrap w:val="false"/>
          </w:tcPr>
          <w:p>
            <w:pPr>
              <w:pStyle w:val="1305"/>
              <w:ind w:left="139"/>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1305"/>
              <w:ind w:left="139"/>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1305"/>
              <w:ind w:right="694"/>
              <w:jc w:val="right"/>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1305"/>
              <w:ind w:left="142"/>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1305"/>
              <w:ind w:left="143"/>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r>
        <w:trPr>
          <w:trHeight w:val="338"/>
        </w:trPr>
        <w:tc>
          <w:tcPr>
            <w:tcW w:w="977" w:type="dxa"/>
            <w:vAlign w:val="top"/>
            <w:textDirection w:val="lrTb"/>
            <w:noWrap w:val="false"/>
          </w:tcPr>
          <w:p>
            <w:pPr>
              <w:pStyle w:val="1305"/>
              <w:ind w:left="287" w:right="150"/>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5 </w:t>
            </w:r>
            <w:r>
              <w:rPr>
                <w:rFonts w:hint="eastAsia" w:ascii="宋体" w:hAnsi="宋体" w:eastAsia="宋体" w:cs="宋体"/>
                <w:color w:val="000000"/>
                <w:sz w:val="26"/>
                <w:highlight w:val="none"/>
              </w:rPr>
            </w:r>
            <w:r/>
          </w:p>
        </w:tc>
        <w:tc>
          <w:tcPr>
            <w:tcW w:w="1560" w:type="dxa"/>
            <w:vAlign w:val="top"/>
            <w:textDirection w:val="lrTb"/>
            <w:noWrap w:val="false"/>
          </w:tcPr>
          <w:p>
            <w:pPr>
              <w:pStyle w:val="1305"/>
              <w:ind w:left="139"/>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1305"/>
              <w:ind w:left="139"/>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1305"/>
              <w:ind w:right="694"/>
              <w:jc w:val="right"/>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1305"/>
              <w:ind w:left="142"/>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1305"/>
              <w:ind w:left="143"/>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r>
        <w:trPr>
          <w:trHeight w:val="337"/>
        </w:trPr>
        <w:tc>
          <w:tcPr>
            <w:tcW w:w="977" w:type="dxa"/>
            <w:vAlign w:val="top"/>
            <w:textDirection w:val="lrTb"/>
            <w:noWrap w:val="false"/>
          </w:tcPr>
          <w:p>
            <w:pPr>
              <w:pStyle w:val="1305"/>
              <w:ind w:left="287" w:right="150"/>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560" w:type="dxa"/>
            <w:vAlign w:val="top"/>
            <w:textDirection w:val="lrTb"/>
            <w:noWrap w:val="false"/>
          </w:tcPr>
          <w:p>
            <w:pPr>
              <w:pStyle w:val="1305"/>
              <w:ind w:left="139"/>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1305"/>
              <w:ind w:left="139"/>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1305"/>
              <w:ind w:right="694"/>
              <w:jc w:val="right"/>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1305"/>
              <w:ind w:left="142"/>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1305"/>
              <w:ind w:left="143"/>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bl>
    <w:p>
      <w:pPr>
        <w:pStyle w:val="1064"/>
        <w:ind w:firstLine="422"/>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r>
      <w:r/>
    </w:p>
    <w:p>
      <w:pPr>
        <w:pStyle w:val="1064"/>
        <w:ind w:firstLine="422"/>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t xml:space="preserve">注：附评分标准中需要提交的证明材料。如出现证明材料扫描件内容不完整或字迹、内容、盖章模糊不清等情况均不得分。</w:t>
      </w:r>
      <w:r>
        <w:rPr>
          <w:rFonts w:hint="eastAsia" w:ascii="宋体" w:hAnsi="宋体" w:eastAsia="宋体" w:cs="宋体"/>
          <w:b/>
          <w:color w:val="000000"/>
          <w:sz w:val="24"/>
          <w:highlight w:val="none"/>
        </w:rPr>
      </w:r>
      <w:r/>
    </w:p>
    <w:p>
      <w:pPr>
        <w:pStyle w:val="110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0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04"/>
        <w:jc w:val="left"/>
        <w:spacing w:before="2"/>
        <w:rPr>
          <w:rFonts w:hint="eastAsia" w:ascii="宋体" w:hAnsi="宋体" w:eastAsia="宋体" w:cs="宋体"/>
          <w:color w:val="000000"/>
          <w:sz w:val="31"/>
          <w:highlight w:val="none"/>
        </w:rPr>
      </w:pPr>
      <w:r>
        <w:rPr>
          <w:rFonts w:hint="eastAsia" w:ascii="宋体" w:hAnsi="宋体" w:eastAsia="宋体" w:cs="宋体"/>
          <w:color w:val="000000"/>
          <w:sz w:val="31"/>
          <w:highlight w:val="none"/>
        </w:rPr>
      </w:r>
      <w:r/>
    </w:p>
    <w:p>
      <w:pPr>
        <w:pStyle w:val="1104"/>
        <w:jc w:val="left"/>
        <w:spacing w:before="2"/>
        <w:rPr>
          <w:rFonts w:hint="eastAsia" w:ascii="宋体" w:hAnsi="宋体" w:eastAsia="宋体" w:cs="宋体"/>
          <w:color w:val="000000"/>
          <w:sz w:val="31"/>
          <w:highlight w:val="none"/>
        </w:rPr>
      </w:pPr>
      <w:r>
        <w:rPr>
          <w:rFonts w:hint="eastAsia" w:ascii="宋体" w:hAnsi="宋体" w:eastAsia="宋体" w:cs="宋体"/>
          <w:color w:val="000000"/>
          <w:sz w:val="31"/>
          <w:highlight w:val="none"/>
        </w:rPr>
      </w:r>
      <w:r/>
    </w:p>
    <w:p>
      <w:pPr>
        <w:pStyle w:val="1104"/>
        <w:jc w:val="left"/>
        <w:spacing w:before="2"/>
        <w:rPr>
          <w:rFonts w:hint="eastAsia" w:ascii="宋体" w:hAnsi="宋体" w:eastAsia="宋体" w:cs="宋体"/>
          <w:color w:val="000000"/>
          <w:sz w:val="31"/>
          <w:highlight w:val="none"/>
        </w:rPr>
      </w:pPr>
      <w:r>
        <w:rPr>
          <w:rFonts w:hint="eastAsia" w:ascii="宋体" w:hAnsi="宋体" w:eastAsia="宋体" w:cs="宋体"/>
          <w:color w:val="000000"/>
          <w:sz w:val="31"/>
          <w:highlight w:val="none"/>
        </w:rPr>
      </w:r>
      <w:r/>
    </w:p>
    <w:p>
      <w:pPr>
        <w:pStyle w:val="1104"/>
        <w:ind w:left="0" w:right="1079"/>
        <w:jc w:val="right"/>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t xml:space="preserve">投标人（盖章）： </w:t>
      </w:r>
      <w:r>
        <w:rPr>
          <w:rFonts w:hint="eastAsia" w:ascii="宋体" w:hAnsi="宋体" w:eastAsia="宋体" w:cs="宋体"/>
          <w:color w:val="000000"/>
          <w:spacing w:val="-10"/>
          <w:sz w:val="24"/>
          <w:highlight w:val="none"/>
        </w:rPr>
      </w:r>
      <w:r/>
    </w:p>
    <w:p>
      <w:pPr>
        <w:pStyle w:val="1104"/>
        <w:ind w:left="0" w:right="1079"/>
        <w:jc w:val="right"/>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t xml:space="preserve">法定代表人或法定代表人授权代表签字或盖章： </w:t>
      </w:r>
      <w:r>
        <w:rPr>
          <w:rFonts w:hint="eastAsia" w:ascii="宋体" w:hAnsi="宋体" w:eastAsia="宋体" w:cs="宋体"/>
          <w:color w:val="000000"/>
          <w:spacing w:val="-10"/>
          <w:sz w:val="24"/>
          <w:highlight w:val="none"/>
        </w:rPr>
      </w:r>
      <w:r/>
    </w:p>
    <w:p>
      <w:pPr>
        <w:pStyle w:val="1104"/>
        <w:ind w:left="0" w:right="1079"/>
        <w:jc w:val="right"/>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t xml:space="preserve">日 期 ：  年  月  日 </w:t>
      </w:r>
      <w:r>
        <w:rPr>
          <w:rFonts w:hint="eastAsia" w:ascii="宋体" w:hAnsi="宋体" w:eastAsia="宋体" w:cs="宋体"/>
          <w:color w:val="000000"/>
          <w:spacing w:val="-10"/>
          <w:sz w:val="24"/>
          <w:highlight w:val="none"/>
        </w:rPr>
      </w:r>
      <w:r/>
    </w:p>
    <w:p>
      <w:pPr>
        <w:pStyle w:val="1104"/>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104"/>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104"/>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104"/>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104"/>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104"/>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104"/>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104"/>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06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6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（十）服务保障承诺（格式）：</w:t>
      </w:r>
      <w:r>
        <w:rPr>
          <w:rFonts w:hint="eastAsia" w:ascii="宋体" w:hAnsi="宋体" w:eastAsia="宋体" w:cs="宋体"/>
          <w:bCs/>
          <w:color w:val="000000"/>
          <w:sz w:val="24"/>
          <w:highlight w:val="none"/>
        </w:rPr>
      </w:r>
      <w:r/>
    </w:p>
    <w:p>
      <w:pPr>
        <w:pStyle w:val="1064"/>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1064"/>
        <w:jc w:val="center"/>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1064"/>
        <w:jc w:val="center"/>
        <w:rPr>
          <w:rFonts w:hint="eastAsia" w:ascii="宋体" w:hAnsi="宋体" w:eastAsia="宋体" w:cs="宋体"/>
          <w:color w:val="000000"/>
          <w:sz w:val="36"/>
          <w:highlight w:val="none"/>
        </w:rPr>
      </w:pPr>
      <w:r>
        <w:rPr>
          <w:rFonts w:hint="eastAsia" w:ascii="宋体" w:hAnsi="宋体" w:eastAsia="宋体" w:cs="宋体"/>
          <w:color w:val="000000"/>
          <w:sz w:val="36"/>
          <w:highlight w:val="none"/>
        </w:rPr>
        <w:t xml:space="preserve">服务承诺</w:t>
      </w:r>
      <w:r>
        <w:rPr>
          <w:rFonts w:hint="eastAsia" w:ascii="宋体" w:hAnsi="宋体" w:eastAsia="宋体" w:cs="宋体"/>
          <w:color w:val="000000"/>
          <w:sz w:val="36"/>
          <w:highlight w:val="none"/>
        </w:rPr>
      </w:r>
      <w:r/>
    </w:p>
    <w:p>
      <w:pPr>
        <w:pStyle w:val="1064"/>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64"/>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64"/>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投标人（盖章）                                政府采购编号：  </w:t>
      </w:r>
      <w:r>
        <w:rPr>
          <w:rFonts w:hint="eastAsia" w:ascii="宋体" w:hAnsi="宋体" w:eastAsia="宋体" w:cs="宋体"/>
          <w:bCs/>
          <w:color w:val="000000"/>
          <w:sz w:val="24"/>
          <w:highlight w:val="none"/>
        </w:rPr>
      </w:r>
      <w:r/>
    </w:p>
    <w:p>
      <w:pPr>
        <w:pStyle w:val="1064"/>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64"/>
        <w:tabs>
          <w:tab w:val="left" w:pos="1418"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内容要求：</w:t>
      </w:r>
      <w:r>
        <w:rPr>
          <w:rFonts w:hint="eastAsia" w:ascii="宋体" w:hAnsi="宋体" w:eastAsia="宋体" w:cs="宋体"/>
          <w:color w:val="000000"/>
          <w:sz w:val="24"/>
          <w:highlight w:val="none"/>
        </w:rPr>
      </w:r>
      <w:r/>
    </w:p>
    <w:p>
      <w:pPr>
        <w:pStyle w:val="1064"/>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4"/>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投标人须针对本招标文件作出实质性响应（内容由投标人自行拟定）</w:t>
      </w:r>
      <w:r>
        <w:rPr>
          <w:rFonts w:hint="eastAsia" w:ascii="宋体" w:hAnsi="宋体" w:eastAsia="宋体" w:cs="宋体"/>
          <w:bCs/>
          <w:color w:val="000000"/>
          <w:sz w:val="24"/>
          <w:highlight w:val="none"/>
        </w:rPr>
      </w:r>
      <w:r/>
    </w:p>
    <w:p>
      <w:pPr>
        <w:pStyle w:val="1064"/>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rPr>
      </w:r>
      <w:r/>
    </w:p>
    <w:p>
      <w:pPr>
        <w:pStyle w:val="1064"/>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rPr>
      </w:r>
      <w:r/>
    </w:p>
    <w:p>
      <w:pPr>
        <w:pStyle w:val="1064"/>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rPr>
      </w:r>
      <w:r/>
    </w:p>
    <w:p>
      <w:pPr>
        <w:pStyle w:val="1064"/>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64"/>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64"/>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64"/>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64"/>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64"/>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64"/>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64"/>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64"/>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rPr>
          <w:rFonts w:hint="eastAsia" w:ascii="宋体" w:hAnsi="宋体" w:eastAsia="宋体" w:cs="宋体"/>
          <w:b/>
          <w:bCs/>
          <w:color w:val="000000"/>
          <w:sz w:val="24"/>
          <w:highlight w:val="none"/>
        </w:rPr>
      </w:r>
      <w:r/>
    </w:p>
    <w:p>
      <w:pPr>
        <w:pStyle w:val="1064"/>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64"/>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日期：</w:t>
      </w:r>
      <w:r>
        <w:rPr>
          <w:rFonts w:hint="eastAsia" w:ascii="宋体" w:hAnsi="宋体" w:eastAsia="宋体" w:cs="宋体"/>
          <w:b/>
          <w:bCs/>
          <w:color w:val="000000"/>
          <w:sz w:val="24"/>
          <w:highlight w:val="none"/>
        </w:rPr>
      </w:r>
      <w:r/>
    </w:p>
    <w:p>
      <w:pPr>
        <w:pStyle w:val="1307"/>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7"/>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7"/>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7"/>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7"/>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7"/>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7"/>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7"/>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7"/>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7"/>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7"/>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7"/>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7"/>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7"/>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07"/>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64"/>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4"/>
          <w:highlight w:val="none"/>
        </w:rPr>
        <w:t xml:space="preserve">（十</w:t>
      </w:r>
      <w:r>
        <w:rPr>
          <w:rFonts w:hint="eastAsia" w:ascii="宋体" w:hAnsi="宋体" w:eastAsia="宋体" w:cs="宋体"/>
          <w:bCs/>
          <w:color w:val="000000"/>
          <w:sz w:val="24"/>
          <w:highlight w:val="none"/>
          <w:lang w:eastAsia="zh-CN"/>
        </w:rPr>
        <w:t xml:space="preserve">一</w:t>
      </w:r>
      <w:r>
        <w:rPr>
          <w:rFonts w:hint="eastAsia" w:ascii="宋体" w:hAnsi="宋体" w:eastAsia="宋体" w:cs="宋体"/>
          <w:bCs/>
          <w:color w:val="000000"/>
          <w:sz w:val="24"/>
          <w:highlight w:val="none"/>
        </w:rPr>
        <w:t xml:space="preserve">）报价明细表（格式）：</w:t>
      </w:r>
      <w:r>
        <w:rPr>
          <w:rFonts w:hint="eastAsia" w:ascii="宋体" w:hAnsi="宋体" w:eastAsia="宋体" w:cs="宋体"/>
          <w:bCs/>
          <w:color w:val="000000"/>
          <w:sz w:val="28"/>
          <w:szCs w:val="28"/>
          <w:highlight w:val="none"/>
        </w:rPr>
      </w:r>
      <w:r/>
    </w:p>
    <w:p>
      <w:pPr>
        <w:pStyle w:val="1064"/>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报价</w:t>
      </w:r>
      <w:r>
        <w:rPr>
          <w:rFonts w:hint="eastAsia" w:ascii="宋体" w:hAnsi="宋体" w:eastAsia="宋体" w:cs="宋体"/>
          <w:b/>
          <w:color w:val="000000"/>
          <w:sz w:val="28"/>
          <w:szCs w:val="28"/>
          <w:highlight w:val="none"/>
        </w:rPr>
        <w:t xml:space="preserve">明细表</w:t>
      </w:r>
      <w:r>
        <w:rPr>
          <w:rFonts w:hint="eastAsia" w:ascii="宋体" w:hAnsi="宋体" w:eastAsia="宋体" w:cs="宋体"/>
          <w:b/>
          <w:color w:val="000000"/>
          <w:sz w:val="28"/>
          <w:szCs w:val="28"/>
          <w:highlight w:val="none"/>
        </w:rPr>
      </w:r>
      <w:r/>
    </w:p>
    <w:p>
      <w:pPr>
        <w:pStyle w:val="1064"/>
        <w:spacing w:line="40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投标人（盖章）                           采购项目编号：</w:t>
      </w:r>
      <w:r>
        <w:rPr>
          <w:rFonts w:hint="eastAsia" w:ascii="宋体" w:hAnsi="宋体" w:eastAsia="宋体" w:cs="宋体"/>
          <w:bCs/>
          <w:color w:val="000000"/>
          <w:sz w:val="24"/>
          <w:highlight w:val="none"/>
          <w:lang w:eastAsia="zh-CN"/>
        </w:rPr>
        <w:t xml:space="preserve">JSZC-320206-JSJW-G2024-0076</w:t>
      </w:r>
      <w:r>
        <w:rPr>
          <w:rFonts w:hint="eastAsia" w:ascii="宋体" w:hAnsi="宋体" w:eastAsia="宋体" w:cs="宋体"/>
          <w:bCs/>
          <w:color w:val="000000"/>
          <w:sz w:val="24"/>
          <w:highlight w:val="none"/>
          <w:lang w:eastAsia="zh-CN"/>
        </w:rPr>
      </w:r>
      <w:r/>
    </w:p>
    <w:tbl>
      <w:tblPr>
        <w:tblW w:w="0" w:type="auto"/>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66"/>
        <w:gridCol w:w="2265"/>
        <w:gridCol w:w="1830"/>
        <w:gridCol w:w="1725"/>
        <w:gridCol w:w="1710"/>
        <w:gridCol w:w="1634"/>
      </w:tblGrid>
      <w:tr>
        <w:trPr>
          <w:cantSplit/>
          <w:trHeight w:val="490"/>
        </w:trPr>
        <w:tc>
          <w:tcPr>
            <w:tcMar>
              <w:left w:w="15" w:type="dxa"/>
              <w:top w:w="15" w:type="dxa"/>
              <w:right w:w="15" w:type="dxa"/>
              <w:bottom w:w="0" w:type="dxa"/>
            </w:tcMar>
            <w:tcW w:w="766" w:type="dxa"/>
            <w:vAlign w:val="center"/>
            <w:textDirection w:val="lrTb"/>
            <w:noWrap w:val="false"/>
          </w:tcPr>
          <w:p>
            <w:pPr>
              <w:pStyle w:val="1064"/>
              <w:jc w:val="center"/>
              <w:spacing w:before="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序号</w:t>
            </w:r>
            <w:r>
              <w:rPr>
                <w:rFonts w:hint="eastAsia" w:ascii="宋体" w:hAnsi="宋体" w:eastAsia="宋体" w:cs="宋体"/>
                <w:bCs/>
                <w:color w:val="000000"/>
                <w:szCs w:val="21"/>
                <w:highlight w:val="none"/>
              </w:rPr>
            </w:r>
            <w:r/>
          </w:p>
        </w:tc>
        <w:tc>
          <w:tcPr>
            <w:tcMar>
              <w:left w:w="15" w:type="dxa"/>
              <w:top w:w="15" w:type="dxa"/>
              <w:right w:w="15" w:type="dxa"/>
              <w:bottom w:w="0" w:type="dxa"/>
            </w:tcMar>
            <w:tcW w:w="2265" w:type="dxa"/>
            <w:vAlign w:val="center"/>
            <w:textDirection w:val="lrTb"/>
            <w:noWrap w:val="false"/>
          </w:tcPr>
          <w:p>
            <w:pPr>
              <w:pStyle w:val="1064"/>
              <w:jc w:val="center"/>
              <w:spacing w:before="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费用名称</w:t>
            </w:r>
            <w:r>
              <w:rPr>
                <w:rFonts w:hint="eastAsia" w:ascii="宋体" w:hAnsi="宋体" w:eastAsia="宋体" w:cs="宋体"/>
                <w:bCs/>
                <w:color w:val="000000"/>
                <w:szCs w:val="21"/>
                <w:highlight w:val="none"/>
              </w:rPr>
            </w:r>
            <w:r/>
          </w:p>
        </w:tc>
        <w:tc>
          <w:tcPr>
            <w:tcMar>
              <w:left w:w="15" w:type="dxa"/>
              <w:top w:w="15" w:type="dxa"/>
              <w:right w:w="15" w:type="dxa"/>
              <w:bottom w:w="0" w:type="dxa"/>
            </w:tcMar>
            <w:tcW w:w="1830" w:type="dxa"/>
            <w:vAlign w:val="center"/>
            <w:textDirection w:val="lrTb"/>
            <w:noWrap w:val="false"/>
          </w:tcPr>
          <w:p>
            <w:pPr>
              <w:pStyle w:val="1064"/>
              <w:jc w:val="center"/>
              <w:spacing w:before="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数量</w:t>
            </w:r>
            <w:r>
              <w:rPr>
                <w:rFonts w:hint="eastAsia" w:ascii="宋体" w:hAnsi="宋体" w:eastAsia="宋体" w:cs="宋体"/>
                <w:bCs/>
                <w:color w:val="000000"/>
                <w:szCs w:val="21"/>
                <w:highlight w:val="none"/>
              </w:rPr>
            </w:r>
            <w:r/>
          </w:p>
        </w:tc>
        <w:tc>
          <w:tcPr>
            <w:tcMar>
              <w:left w:w="15" w:type="dxa"/>
              <w:top w:w="15" w:type="dxa"/>
              <w:right w:w="15" w:type="dxa"/>
              <w:bottom w:w="0" w:type="dxa"/>
            </w:tcMar>
            <w:tcW w:w="1725" w:type="dxa"/>
            <w:vAlign w:val="center"/>
            <w:textDirection w:val="lrTb"/>
            <w:noWrap w:val="false"/>
          </w:tcPr>
          <w:p>
            <w:pPr>
              <w:pStyle w:val="1064"/>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单位</w:t>
            </w:r>
            <w:r>
              <w:rPr>
                <w:rFonts w:hint="eastAsia" w:ascii="宋体" w:hAnsi="宋体" w:eastAsia="宋体" w:cs="宋体"/>
                <w:bCs/>
                <w:color w:val="000000"/>
                <w:szCs w:val="21"/>
                <w:highlight w:val="none"/>
              </w:rPr>
            </w:r>
            <w:r/>
          </w:p>
        </w:tc>
        <w:tc>
          <w:tcPr>
            <w:tcMar>
              <w:left w:w="15" w:type="dxa"/>
              <w:top w:w="15" w:type="dxa"/>
              <w:right w:w="15" w:type="dxa"/>
              <w:bottom w:w="0" w:type="dxa"/>
            </w:tcMar>
            <w:tcW w:w="1710" w:type="dxa"/>
            <w:vAlign w:val="center"/>
            <w:textDirection w:val="lrTb"/>
            <w:noWrap w:val="false"/>
          </w:tcPr>
          <w:p>
            <w:pPr>
              <w:pStyle w:val="1064"/>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单价（元）</w:t>
            </w:r>
            <w:r>
              <w:rPr>
                <w:rFonts w:hint="eastAsia" w:ascii="宋体" w:hAnsi="宋体" w:eastAsia="宋体" w:cs="宋体"/>
                <w:bCs/>
                <w:color w:val="000000"/>
                <w:szCs w:val="21"/>
                <w:highlight w:val="none"/>
              </w:rPr>
            </w:r>
            <w:r/>
          </w:p>
        </w:tc>
        <w:tc>
          <w:tcPr>
            <w:tcW w:w="1634" w:type="dxa"/>
            <w:vAlign w:val="center"/>
            <w:textDirection w:val="lrTb"/>
            <w:noWrap w:val="false"/>
          </w:tcPr>
          <w:p>
            <w:pPr>
              <w:pStyle w:val="1064"/>
              <w:jc w:val="center"/>
              <w:spacing w:before="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总价（元）</w:t>
            </w:r>
            <w:r>
              <w:rPr>
                <w:rFonts w:hint="eastAsia" w:ascii="宋体" w:hAnsi="宋体" w:eastAsia="宋体" w:cs="宋体"/>
                <w:bCs/>
                <w:color w:val="000000"/>
                <w:szCs w:val="21"/>
                <w:highlight w:val="none"/>
              </w:rPr>
            </w:r>
            <w:r/>
          </w:p>
        </w:tc>
      </w:tr>
      <w:tr>
        <w:trPr>
          <w:cantSplit/>
          <w:trHeight w:val="446"/>
        </w:trPr>
        <w:tc>
          <w:tcPr>
            <w:tcMar>
              <w:left w:w="15" w:type="dxa"/>
              <w:top w:w="15" w:type="dxa"/>
              <w:right w:w="15" w:type="dxa"/>
              <w:bottom w:w="0" w:type="dxa"/>
            </w:tcMar>
            <w:tcW w:w="766" w:type="dxa"/>
            <w:vAlign w:val="center"/>
            <w:textDirection w:val="lrTb"/>
            <w:noWrap w:val="false"/>
          </w:tcPr>
          <w:p>
            <w:pPr>
              <w:pStyle w:val="106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Mar>
              <w:left w:w="15" w:type="dxa"/>
              <w:top w:w="15" w:type="dxa"/>
              <w:right w:w="15" w:type="dxa"/>
              <w:bottom w:w="0" w:type="dxa"/>
            </w:tcMar>
            <w:tcW w:w="2265" w:type="dxa"/>
            <w:vAlign w:val="center"/>
            <w:textDirection w:val="lrTb"/>
            <w:noWrap w:val="false"/>
          </w:tcPr>
          <w:p>
            <w:pPr>
              <w:pStyle w:val="1064"/>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830" w:type="dxa"/>
            <w:vAlign w:val="center"/>
            <w:textDirection w:val="lrTb"/>
            <w:noWrap w:val="false"/>
          </w:tcPr>
          <w:p>
            <w:pPr>
              <w:pStyle w:val="1064"/>
              <w:jc w:val="center"/>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r>
            <w:r/>
          </w:p>
        </w:tc>
        <w:tc>
          <w:tcPr>
            <w:tcMar>
              <w:left w:w="15" w:type="dxa"/>
              <w:top w:w="15" w:type="dxa"/>
              <w:right w:w="15" w:type="dxa"/>
              <w:bottom w:w="0" w:type="dxa"/>
            </w:tcMar>
            <w:tcW w:w="1725" w:type="dxa"/>
            <w:vAlign w:val="center"/>
            <w:textDirection w:val="lrTb"/>
            <w:noWrap w:val="false"/>
          </w:tcPr>
          <w:p>
            <w:pPr>
              <w:pStyle w:val="1064"/>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bottom w:w="0" w:type="dxa"/>
            </w:tcMar>
            <w:tcW w:w="1710" w:type="dxa"/>
            <w:vAlign w:val="center"/>
            <w:textDirection w:val="lrTb"/>
            <w:noWrap w:val="false"/>
          </w:tcPr>
          <w:p>
            <w:pPr>
              <w:pStyle w:val="1064"/>
              <w:jc w:val="center"/>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r>
            <w:r/>
          </w:p>
          <w:p>
            <w:pPr>
              <w:pStyle w:val="1064"/>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W w:w="1634" w:type="dxa"/>
            <w:vAlign w:val="center"/>
            <w:textDirection w:val="lrTb"/>
            <w:noWrap w:val="false"/>
          </w:tcPr>
          <w:p>
            <w:pPr>
              <w:pStyle w:val="1064"/>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cantSplit/>
          <w:trHeight w:val="446"/>
        </w:trPr>
        <w:tc>
          <w:tcPr>
            <w:tcMar>
              <w:left w:w="15" w:type="dxa"/>
              <w:top w:w="15" w:type="dxa"/>
              <w:right w:w="15" w:type="dxa"/>
              <w:bottom w:w="0" w:type="dxa"/>
            </w:tcMar>
            <w:tcW w:w="766" w:type="dxa"/>
            <w:vAlign w:val="center"/>
            <w:textDirection w:val="lrTb"/>
            <w:noWrap w:val="false"/>
          </w:tcPr>
          <w:p>
            <w:pPr>
              <w:pStyle w:val="106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Mar>
              <w:left w:w="15" w:type="dxa"/>
              <w:top w:w="15" w:type="dxa"/>
              <w:right w:w="15" w:type="dxa"/>
              <w:bottom w:w="0" w:type="dxa"/>
            </w:tcMar>
            <w:tcW w:w="2265" w:type="dxa"/>
            <w:vAlign w:val="center"/>
            <w:textDirection w:val="lrTb"/>
            <w:noWrap w:val="false"/>
          </w:tcPr>
          <w:p>
            <w:pPr>
              <w:pStyle w:val="1064"/>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830" w:type="dxa"/>
            <w:vAlign w:val="center"/>
            <w:textDirection w:val="lrTb"/>
            <w:noWrap w:val="false"/>
          </w:tcPr>
          <w:p>
            <w:pPr>
              <w:pStyle w:val="1064"/>
              <w:jc w:val="center"/>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r>
            <w:r/>
          </w:p>
        </w:tc>
        <w:tc>
          <w:tcPr>
            <w:tcMar>
              <w:left w:w="15" w:type="dxa"/>
              <w:top w:w="15" w:type="dxa"/>
              <w:right w:w="15" w:type="dxa"/>
              <w:bottom w:w="0" w:type="dxa"/>
            </w:tcMar>
            <w:tcW w:w="1725" w:type="dxa"/>
            <w:vAlign w:val="center"/>
            <w:textDirection w:val="lrTb"/>
            <w:noWrap w:val="false"/>
          </w:tcPr>
          <w:p>
            <w:pPr>
              <w:pStyle w:val="1064"/>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Mar>
              <w:left w:w="15" w:type="dxa"/>
              <w:top w:w="15" w:type="dxa"/>
              <w:right w:w="15" w:type="dxa"/>
              <w:bottom w:w="0" w:type="dxa"/>
            </w:tcMar>
            <w:tcW w:w="1710" w:type="dxa"/>
            <w:vAlign w:val="center"/>
            <w:textDirection w:val="lrTb"/>
            <w:noWrap w:val="false"/>
          </w:tcPr>
          <w:p>
            <w:pPr>
              <w:pStyle w:val="1064"/>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W w:w="1634" w:type="dxa"/>
            <w:vAlign w:val="center"/>
            <w:textDirection w:val="lrTb"/>
            <w:noWrap w:val="false"/>
          </w:tcPr>
          <w:p>
            <w:pPr>
              <w:pStyle w:val="1064"/>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cantSplit/>
          <w:trHeight w:val="482"/>
        </w:trPr>
        <w:tc>
          <w:tcPr>
            <w:tcMar>
              <w:left w:w="15" w:type="dxa"/>
              <w:top w:w="15" w:type="dxa"/>
              <w:right w:w="15" w:type="dxa"/>
              <w:bottom w:w="0" w:type="dxa"/>
            </w:tcMar>
            <w:tcW w:w="766" w:type="dxa"/>
            <w:vAlign w:val="center"/>
            <w:textDirection w:val="lrTb"/>
            <w:noWrap w:val="false"/>
          </w:tcPr>
          <w:p>
            <w:pPr>
              <w:pStyle w:val="106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Mar>
              <w:left w:w="15" w:type="dxa"/>
              <w:top w:w="15" w:type="dxa"/>
              <w:right w:w="15" w:type="dxa"/>
              <w:bottom w:w="0" w:type="dxa"/>
            </w:tcMar>
            <w:tcW w:w="2265" w:type="dxa"/>
            <w:vAlign w:val="center"/>
            <w:textDirection w:val="lrTb"/>
            <w:noWrap w:val="false"/>
          </w:tcPr>
          <w:p>
            <w:pPr>
              <w:pStyle w:val="1064"/>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830" w:type="dxa"/>
            <w:vAlign w:val="center"/>
            <w:textDirection w:val="lrTb"/>
            <w:noWrap w:val="false"/>
          </w:tcPr>
          <w:p>
            <w:pPr>
              <w:pStyle w:val="106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Mar>
              <w:left w:w="15" w:type="dxa"/>
              <w:top w:w="15" w:type="dxa"/>
              <w:right w:w="15" w:type="dxa"/>
              <w:bottom w:w="0" w:type="dxa"/>
            </w:tcMar>
            <w:tcW w:w="1725" w:type="dxa"/>
            <w:vAlign w:val="center"/>
            <w:textDirection w:val="lrTb"/>
            <w:noWrap w:val="false"/>
          </w:tcPr>
          <w:p>
            <w:pPr>
              <w:pStyle w:val="106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710" w:type="dxa"/>
            <w:vAlign w:val="center"/>
            <w:textDirection w:val="lrTb"/>
            <w:noWrap w:val="false"/>
          </w:tcPr>
          <w:p>
            <w:pPr>
              <w:pStyle w:val="1064"/>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W w:w="1634" w:type="dxa"/>
            <w:vAlign w:val="center"/>
            <w:textDirection w:val="lrTb"/>
            <w:noWrap w:val="false"/>
          </w:tcPr>
          <w:p>
            <w:pPr>
              <w:pStyle w:val="1064"/>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cantSplit/>
          <w:trHeight w:val="482"/>
        </w:trPr>
        <w:tc>
          <w:tcPr>
            <w:tcMar>
              <w:left w:w="15" w:type="dxa"/>
              <w:top w:w="15" w:type="dxa"/>
              <w:right w:w="15" w:type="dxa"/>
              <w:bottom w:w="0" w:type="dxa"/>
            </w:tcMar>
            <w:tcW w:w="766" w:type="dxa"/>
            <w:vAlign w:val="center"/>
            <w:textDirection w:val="lrTb"/>
            <w:noWrap w:val="false"/>
          </w:tcPr>
          <w:p>
            <w:pPr>
              <w:pStyle w:val="106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Mar>
              <w:left w:w="15" w:type="dxa"/>
              <w:top w:w="15" w:type="dxa"/>
              <w:right w:w="15" w:type="dxa"/>
              <w:bottom w:w="0" w:type="dxa"/>
            </w:tcMar>
            <w:tcW w:w="2265" w:type="dxa"/>
            <w:vAlign w:val="center"/>
            <w:textDirection w:val="lrTb"/>
            <w:noWrap w:val="false"/>
          </w:tcPr>
          <w:p>
            <w:pPr>
              <w:pStyle w:val="1064"/>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830" w:type="dxa"/>
            <w:vAlign w:val="center"/>
            <w:textDirection w:val="lrTb"/>
            <w:noWrap w:val="false"/>
          </w:tcPr>
          <w:p>
            <w:pPr>
              <w:pStyle w:val="1064"/>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Mar>
              <w:left w:w="15" w:type="dxa"/>
              <w:top w:w="15" w:type="dxa"/>
              <w:right w:w="15" w:type="dxa"/>
              <w:bottom w:w="0" w:type="dxa"/>
            </w:tcMar>
            <w:tcW w:w="1725" w:type="dxa"/>
            <w:vAlign w:val="center"/>
            <w:textDirection w:val="lrTb"/>
            <w:noWrap w:val="false"/>
          </w:tcPr>
          <w:p>
            <w:pPr>
              <w:pStyle w:val="106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710" w:type="dxa"/>
            <w:vAlign w:val="center"/>
            <w:textDirection w:val="lrTb"/>
            <w:noWrap w:val="false"/>
          </w:tcPr>
          <w:p>
            <w:pPr>
              <w:pStyle w:val="1064"/>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W w:w="1634" w:type="dxa"/>
            <w:vAlign w:val="center"/>
            <w:textDirection w:val="lrTb"/>
            <w:noWrap w:val="false"/>
          </w:tcPr>
          <w:p>
            <w:pPr>
              <w:pStyle w:val="1064"/>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cantSplit/>
          <w:trHeight w:val="482"/>
        </w:trPr>
        <w:tc>
          <w:tcPr>
            <w:tcMar>
              <w:left w:w="15" w:type="dxa"/>
              <w:top w:w="15" w:type="dxa"/>
              <w:right w:w="15" w:type="dxa"/>
              <w:bottom w:w="0" w:type="dxa"/>
            </w:tcMar>
            <w:tcW w:w="766" w:type="dxa"/>
            <w:vAlign w:val="center"/>
            <w:textDirection w:val="lrTb"/>
            <w:noWrap w:val="false"/>
          </w:tcPr>
          <w:p>
            <w:pPr>
              <w:pStyle w:val="106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Mar>
              <w:left w:w="15" w:type="dxa"/>
              <w:top w:w="15" w:type="dxa"/>
              <w:right w:w="15" w:type="dxa"/>
              <w:bottom w:w="0" w:type="dxa"/>
            </w:tcMar>
            <w:tcW w:w="2265" w:type="dxa"/>
            <w:vAlign w:val="center"/>
            <w:textDirection w:val="lrTb"/>
            <w:noWrap w:val="false"/>
          </w:tcPr>
          <w:p>
            <w:pPr>
              <w:pStyle w:val="1064"/>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Mar>
              <w:left w:w="15" w:type="dxa"/>
              <w:top w:w="15" w:type="dxa"/>
              <w:right w:w="15" w:type="dxa"/>
              <w:bottom w:w="0" w:type="dxa"/>
            </w:tcMar>
            <w:tcW w:w="1830" w:type="dxa"/>
            <w:vAlign w:val="center"/>
            <w:textDirection w:val="lrTb"/>
            <w:noWrap w:val="false"/>
          </w:tcPr>
          <w:p>
            <w:pPr>
              <w:pStyle w:val="1064"/>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Mar>
              <w:left w:w="15" w:type="dxa"/>
              <w:top w:w="15" w:type="dxa"/>
              <w:right w:w="15" w:type="dxa"/>
              <w:bottom w:w="0" w:type="dxa"/>
            </w:tcMar>
            <w:tcW w:w="1725" w:type="dxa"/>
            <w:vAlign w:val="center"/>
            <w:textDirection w:val="lrTb"/>
            <w:noWrap w:val="false"/>
          </w:tcPr>
          <w:p>
            <w:pPr>
              <w:pStyle w:val="106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710" w:type="dxa"/>
            <w:vAlign w:val="center"/>
            <w:textDirection w:val="lrTb"/>
            <w:noWrap w:val="false"/>
          </w:tcPr>
          <w:p>
            <w:pPr>
              <w:pStyle w:val="1064"/>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W w:w="1634" w:type="dxa"/>
            <w:vAlign w:val="center"/>
            <w:textDirection w:val="lrTb"/>
            <w:noWrap w:val="false"/>
          </w:tcPr>
          <w:p>
            <w:pPr>
              <w:pStyle w:val="1064"/>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cantSplit/>
          <w:trHeight w:val="1039"/>
        </w:trPr>
        <w:tc>
          <w:tcPr>
            <w:gridSpan w:val="6"/>
            <w:tcMar>
              <w:left w:w="15" w:type="dxa"/>
              <w:top w:w="15" w:type="dxa"/>
              <w:right w:w="15" w:type="dxa"/>
              <w:bottom w:w="0" w:type="dxa"/>
            </w:tcMar>
            <w:tcW w:w="9930" w:type="dxa"/>
            <w:vAlign w:val="center"/>
            <w:textDirection w:val="lrTb"/>
            <w:noWrap w:val="false"/>
          </w:tcPr>
          <w:p>
            <w:pPr>
              <w:pStyle w:val="1064"/>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总报价（大写）：                                           小写：    </w:t>
            </w:r>
            <w:r>
              <w:rPr>
                <w:rFonts w:hint="eastAsia" w:ascii="宋体" w:hAnsi="宋体" w:eastAsia="宋体" w:cs="宋体"/>
                <w:color w:val="000000"/>
                <w:szCs w:val="21"/>
                <w:highlight w:val="none"/>
              </w:rPr>
            </w:r>
            <w:r/>
          </w:p>
        </w:tc>
      </w:tr>
    </w:tbl>
    <w:p>
      <w:pPr>
        <w:pStyle w:val="1064"/>
        <w:spacing w:before="5" w:line="560" w:lineRule="atLeas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rPr>
          <w:rFonts w:hint="eastAsia" w:ascii="宋体" w:hAnsi="宋体" w:eastAsia="宋体" w:cs="宋体"/>
          <w:b/>
          <w:bCs/>
          <w:color w:val="000000"/>
          <w:sz w:val="24"/>
          <w:highlight w:val="none"/>
        </w:rPr>
      </w:r>
      <w:r/>
    </w:p>
    <w:p>
      <w:pPr>
        <w:pStyle w:val="1070"/>
        <w:spacing w:before="67"/>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064"/>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w:t>
      </w:r>
      <w:r>
        <w:rPr>
          <w:rFonts w:hint="eastAsia" w:ascii="宋体" w:hAnsi="宋体" w:eastAsia="宋体" w:cs="宋体"/>
          <w:b/>
          <w:bCs/>
          <w:color w:val="000000"/>
          <w:sz w:val="24"/>
          <w:highlight w:val="none"/>
        </w:rPr>
      </w:r>
      <w:r/>
    </w:p>
    <w:p>
      <w:pPr>
        <w:pStyle w:val="1064"/>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（1）表格不够可自行延长。</w:t>
      </w:r>
      <w:r>
        <w:rPr>
          <w:rFonts w:hint="eastAsia" w:ascii="宋体" w:hAnsi="宋体" w:eastAsia="宋体" w:cs="宋体"/>
          <w:b/>
          <w:bCs/>
          <w:color w:val="000000"/>
          <w:sz w:val="24"/>
          <w:highlight w:val="none"/>
        </w:rPr>
      </w:r>
      <w:r/>
    </w:p>
    <w:p>
      <w:pPr>
        <w:pStyle w:val="1418"/>
        <w:ind w:firstLine="0"/>
        <w:rPr>
          <w:rFonts w:hint="eastAsia" w:ascii="宋体" w:hAnsi="宋体" w:eastAsia="宋体" w:cs="宋体"/>
          <w:b/>
          <w:bCs/>
          <w:color w:val="000000"/>
          <w:sz w:val="24"/>
          <w:highlight w:val="none"/>
        </w:rPr>
        <w:sectPr>
          <w:headerReference w:type="default" r:id="rId13"/>
          <w:footerReference w:type="default" r:id="rId17"/>
          <w:footnotePr/>
          <w:endnotePr/>
          <w:type w:val="nextPage"/>
          <w:pgSz w:w="11910" w:h="16840" w:orient="portrait"/>
          <w:pgMar w:top="1417" w:right="1049" w:bottom="1417" w:left="1049" w:header="746" w:footer="988" w:gutter="0"/>
          <w:cols w:num="1" w:sep="0" w:space="1701" w:equalWidth="1"/>
          <w:docGrid w:linePitch="360"/>
        </w:sectPr>
      </w:pPr>
      <w:r>
        <w:rPr>
          <w:rFonts w:hint="eastAsia" w:ascii="宋体" w:hAnsi="宋体" w:eastAsia="宋体" w:cs="宋体"/>
          <w:b/>
          <w:bCs/>
          <w:color w:val="000000"/>
          <w:sz w:val="24"/>
          <w:highlight w:val="none"/>
        </w:rPr>
      </w:r>
      <w:r/>
    </w:p>
    <w:p>
      <w:pPr>
        <w:pStyle w:val="106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w:t>
      </w:r>
      <w:r>
        <w:rPr>
          <w:rFonts w:hint="eastAsia" w:ascii="宋体" w:hAnsi="宋体" w:eastAsia="宋体" w:cs="宋体"/>
          <w:bCs/>
          <w:color w:val="000000"/>
          <w:sz w:val="24"/>
          <w:highlight w:val="none"/>
          <w:lang w:eastAsia="zh-CN"/>
        </w:rPr>
        <w:t xml:space="preserve">二</w:t>
      </w:r>
      <w:r>
        <w:rPr>
          <w:rFonts w:hint="eastAsia" w:ascii="宋体" w:hAnsi="宋体" w:eastAsia="宋体" w:cs="宋体"/>
          <w:bCs/>
          <w:color w:val="000000"/>
          <w:sz w:val="24"/>
          <w:highlight w:val="none"/>
        </w:rPr>
        <w:t xml:space="preserve">）技术文件：</w:t>
      </w:r>
      <w:r>
        <w:rPr>
          <w:rFonts w:hint="eastAsia" w:ascii="宋体" w:hAnsi="宋体" w:eastAsia="宋体" w:cs="宋体"/>
          <w:bCs/>
          <w:color w:val="000000"/>
          <w:sz w:val="24"/>
          <w:highlight w:val="none"/>
        </w:rPr>
      </w:r>
      <w:r/>
    </w:p>
    <w:p>
      <w:pPr>
        <w:pStyle w:val="1064"/>
        <w:ind w:firstLine="1446"/>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r>
      <w:r/>
    </w:p>
    <w:p>
      <w:pPr>
        <w:pStyle w:val="1064"/>
        <w:ind w:firstLine="1446"/>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r>
      <w:r/>
    </w:p>
    <w:p>
      <w:pPr>
        <w:pStyle w:val="1064"/>
        <w:ind w:firstLine="1446"/>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r>
      <w:r/>
    </w:p>
    <w:p>
      <w:pPr>
        <w:pStyle w:val="1064"/>
        <w:ind w:firstLine="482"/>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64"/>
        <w:ind w:firstLine="482"/>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技术文件包括但不限于以下内容：</w:t>
      </w:r>
      <w:r>
        <w:rPr>
          <w:rFonts w:hint="eastAsia" w:ascii="宋体" w:hAnsi="宋体" w:eastAsia="宋体" w:cs="宋体"/>
          <w:b/>
          <w:color w:val="000000"/>
          <w:sz w:val="24"/>
          <w:highlight w:val="none"/>
        </w:rPr>
      </w:r>
      <w:r/>
    </w:p>
    <w:p>
      <w:pPr>
        <w:pStyle w:val="117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（1）项目总体分析；</w:t>
      </w:r>
      <w:r>
        <w:rPr>
          <w:rFonts w:hint="eastAsia" w:ascii="宋体" w:hAnsi="宋体" w:eastAsia="宋体" w:cs="宋体"/>
          <w:color w:val="000000"/>
          <w:sz w:val="24"/>
          <w:highlight w:val="none"/>
        </w:rPr>
      </w:r>
      <w:r/>
    </w:p>
    <w:p>
      <w:pPr>
        <w:pStyle w:val="106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（2）实施方案；</w:t>
      </w:r>
      <w:r>
        <w:rPr>
          <w:rFonts w:hint="eastAsia" w:ascii="宋体" w:hAnsi="宋体" w:eastAsia="宋体" w:cs="宋体"/>
          <w:color w:val="000000"/>
          <w:sz w:val="24"/>
          <w:highlight w:val="none"/>
        </w:rPr>
      </w:r>
      <w:r/>
    </w:p>
    <w:p>
      <w:pPr>
        <w:pStyle w:val="1064"/>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（3）重难点方案；</w:t>
      </w:r>
      <w:r>
        <w:rPr>
          <w:rFonts w:hint="eastAsia" w:ascii="宋体" w:hAnsi="宋体" w:eastAsia="宋体" w:cs="宋体"/>
          <w:color w:val="000000"/>
          <w:sz w:val="24"/>
          <w:highlight w:val="none"/>
          <w:lang w:eastAsia="zh-CN"/>
        </w:rPr>
      </w:r>
      <w:r/>
    </w:p>
    <w:p>
      <w:pPr>
        <w:pStyle w:val="1064"/>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）进度保障方案；</w:t>
      </w:r>
      <w:r>
        <w:rPr>
          <w:rFonts w:hint="eastAsia" w:ascii="宋体" w:hAnsi="宋体" w:eastAsia="宋体" w:cs="宋体"/>
          <w:color w:val="000000"/>
          <w:sz w:val="24"/>
          <w:highlight w:val="none"/>
          <w:lang w:eastAsia="zh-CN"/>
        </w:rPr>
      </w:r>
      <w:r/>
    </w:p>
    <w:p>
      <w:pPr>
        <w:pStyle w:val="1064"/>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）质量管理方案；</w:t>
      </w:r>
      <w:r>
        <w:rPr>
          <w:rFonts w:hint="eastAsia" w:ascii="宋体" w:hAnsi="宋体" w:eastAsia="宋体" w:cs="宋体"/>
          <w:color w:val="000000"/>
          <w:sz w:val="24"/>
          <w:highlight w:val="none"/>
          <w:lang w:eastAsia="zh-CN"/>
        </w:rPr>
      </w:r>
      <w:r/>
    </w:p>
    <w:p>
      <w:pPr>
        <w:pStyle w:val="1064"/>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）项目服务。</w:t>
      </w:r>
      <w:r>
        <w:rPr>
          <w:rFonts w:hint="eastAsia" w:ascii="宋体" w:hAnsi="宋体" w:eastAsia="宋体" w:cs="宋体"/>
          <w:color w:val="000000"/>
          <w:sz w:val="24"/>
          <w:highlight w:val="none"/>
          <w:lang w:eastAsia="zh-CN"/>
        </w:rPr>
      </w:r>
      <w:r/>
    </w:p>
    <w:p>
      <w:pPr>
        <w:pStyle w:val="106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6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6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6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6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6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6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6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6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6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6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6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6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6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6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6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6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6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6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6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6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6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6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6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6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41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418"/>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418"/>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418"/>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418"/>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06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6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w:t>
      </w:r>
      <w:r>
        <w:rPr>
          <w:rFonts w:hint="eastAsia" w:ascii="宋体" w:hAnsi="宋体" w:eastAsia="宋体" w:cs="宋体"/>
          <w:bCs/>
          <w:color w:val="000000"/>
          <w:sz w:val="24"/>
          <w:highlight w:val="none"/>
          <w:lang w:eastAsia="zh-CN"/>
        </w:rPr>
        <w:t xml:space="preserve">三</w:t>
      </w:r>
      <w:r>
        <w:rPr>
          <w:rFonts w:hint="eastAsia" w:ascii="宋体" w:hAnsi="宋体" w:eastAsia="宋体" w:cs="宋体"/>
          <w:bCs/>
          <w:color w:val="000000"/>
          <w:sz w:val="24"/>
          <w:highlight w:val="none"/>
        </w:rPr>
        <w:t xml:space="preserve">）（投标人）中小企业声明函（格式）：</w:t>
      </w:r>
      <w:r>
        <w:rPr>
          <w:rFonts w:hint="eastAsia" w:ascii="宋体" w:hAnsi="宋体" w:eastAsia="宋体" w:cs="宋体"/>
          <w:bCs/>
          <w:color w:val="000000"/>
          <w:sz w:val="24"/>
          <w:highlight w:val="none"/>
        </w:rPr>
      </w:r>
      <w:r/>
    </w:p>
    <w:p>
      <w:pPr>
        <w:pStyle w:val="1064"/>
        <w:spacing w:line="48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1064"/>
        <w:ind w:firstLine="3614"/>
        <w:spacing w:line="48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中小企业声明函</w:t>
      </w:r>
      <w:r>
        <w:rPr>
          <w:rFonts w:hint="eastAsia" w:ascii="宋体" w:hAnsi="宋体" w:eastAsia="宋体" w:cs="宋体"/>
          <w:b/>
          <w:bCs/>
          <w:color w:val="000000"/>
          <w:sz w:val="30"/>
          <w:szCs w:val="30"/>
          <w:highlight w:val="none"/>
        </w:rPr>
      </w:r>
      <w:r/>
    </w:p>
    <w:p>
      <w:pPr>
        <w:pStyle w:val="1128"/>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4"/>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本公司（联合体）郑重声明，根据《政府采购促进中小企业发展管理办法》（财库﹝2020﹞46 号）的规定，本公司（联合体）</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lang w:bidi="ar"/>
        </w:rPr>
        <w:t xml:space="preserve">参加</w:t>
      </w:r>
      <w:r>
        <w:rPr>
          <w:rFonts w:hint="eastAsia" w:ascii="宋体" w:hAnsi="宋体" w:eastAsia="宋体" w:cs="宋体"/>
          <w:color w:val="000000"/>
          <w:sz w:val="24"/>
          <w:highlight w:val="none"/>
          <w:u w:val="single"/>
          <w:lang w:bidi="ar"/>
        </w:rPr>
        <w:t xml:space="preserve">（单位名称）</w:t>
      </w:r>
      <w:r>
        <w:rPr>
          <w:rFonts w:hint="eastAsia" w:ascii="宋体" w:hAnsi="宋体" w:eastAsia="宋体" w:cs="宋体"/>
          <w:color w:val="000000"/>
          <w:sz w:val="24"/>
          <w:highlight w:val="none"/>
          <w:lang w:bidi="ar"/>
        </w:rPr>
        <w:t xml:space="preserve">的</w:t>
      </w:r>
      <w:r>
        <w:rPr>
          <w:rFonts w:hint="eastAsia" w:ascii="宋体" w:hAnsi="宋体" w:eastAsia="宋体" w:cs="宋体"/>
          <w:color w:val="000000"/>
          <w:sz w:val="24"/>
          <w:highlight w:val="none"/>
          <w:u w:val="single"/>
          <w:lang w:bidi="ar"/>
        </w:rPr>
        <w:t xml:space="preserve">（项目名称）采</w:t>
      </w:r>
      <w:r>
        <w:rPr>
          <w:rFonts w:hint="eastAsia" w:ascii="宋体" w:hAnsi="宋体" w:eastAsia="宋体" w:cs="宋体"/>
          <w:color w:val="000000"/>
          <w:sz w:val="24"/>
          <w:highlight w:val="none"/>
          <w:lang w:bidi="ar"/>
        </w:rPr>
        <w:t xml:space="preserve">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sz w:val="24"/>
          <w:highlight w:val="none"/>
        </w:rPr>
      </w:r>
      <w:r/>
    </w:p>
    <w:p>
      <w:pPr>
        <w:pStyle w:val="1064"/>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 </w:t>
      </w:r>
      <w:r>
        <w:rPr>
          <w:rFonts w:hint="eastAsia" w:ascii="宋体" w:hAnsi="宋体" w:eastAsia="宋体" w:cs="宋体"/>
          <w:color w:val="000000"/>
          <w:sz w:val="24"/>
          <w:highlight w:val="none"/>
          <w:u w:val="single"/>
          <w:lang w:bidi="ar"/>
        </w:rPr>
        <w:t xml:space="preserve">（标的名称） </w:t>
      </w:r>
      <w:r>
        <w:rPr>
          <w:rFonts w:hint="eastAsia" w:ascii="宋体" w:hAnsi="宋体" w:eastAsia="宋体" w:cs="宋体"/>
          <w:color w:val="000000"/>
          <w:sz w:val="24"/>
          <w:highlight w:val="none"/>
          <w:lang w:bidi="ar"/>
        </w:rPr>
        <w:t xml:space="preserve">，属于</w:t>
      </w:r>
      <w:r>
        <w:rPr>
          <w:rFonts w:hint="eastAsia" w:ascii="宋体" w:hAnsi="宋体" w:eastAsia="宋体" w:cs="宋体"/>
          <w:color w:val="000000"/>
          <w:sz w:val="24"/>
          <w:highlight w:val="none"/>
          <w:u w:val="single"/>
          <w:lang w:bidi="ar"/>
        </w:rPr>
        <w:t xml:space="preserve">（采购文件中明确的所属行业）</w:t>
      </w:r>
      <w:r>
        <w:rPr>
          <w:rFonts w:hint="eastAsia" w:ascii="宋体" w:hAnsi="宋体" w:eastAsia="宋体" w:cs="宋体"/>
          <w:color w:val="000000"/>
          <w:sz w:val="24"/>
          <w:highlight w:val="none"/>
          <w:lang w:bidi="ar"/>
        </w:rPr>
        <w:t xml:space="preserve">；承建（承接）企业为</w:t>
      </w:r>
      <w:r>
        <w:rPr>
          <w:rFonts w:hint="eastAsia" w:ascii="宋体" w:hAnsi="宋体" w:eastAsia="宋体" w:cs="宋体"/>
          <w:color w:val="000000"/>
          <w:sz w:val="24"/>
          <w:highlight w:val="none"/>
          <w:u w:val="single"/>
          <w:lang w:bidi="ar"/>
        </w:rPr>
        <w:t xml:space="preserve">（企业名称）</w:t>
      </w:r>
      <w:r>
        <w:rPr>
          <w:rFonts w:hint="eastAsia" w:ascii="宋体" w:hAnsi="宋体" w:eastAsia="宋体" w:cs="宋体"/>
          <w:color w:val="000000"/>
          <w:sz w:val="24"/>
          <w:highlight w:val="none"/>
          <w:lang w:bidi="ar"/>
        </w:rPr>
        <w:t xml:space="preserve">，从业人员</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人，营业收入为 </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万元，资产总额为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万元，属于</w:t>
      </w:r>
      <w:r>
        <w:rPr>
          <w:rFonts w:hint="eastAsia" w:ascii="宋体" w:hAnsi="宋体" w:eastAsia="宋体" w:cs="宋体"/>
          <w:color w:val="000000"/>
          <w:sz w:val="24"/>
          <w:highlight w:val="none"/>
          <w:u w:val="single"/>
          <w:lang w:bidi="ar"/>
        </w:rPr>
        <w:t xml:space="preserve">（中型企业、小型企业、微型企业）</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rPr>
      </w:r>
      <w:r/>
    </w:p>
    <w:p>
      <w:pPr>
        <w:pStyle w:val="1064"/>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 </w:t>
      </w:r>
      <w:r>
        <w:rPr>
          <w:rFonts w:hint="eastAsia" w:ascii="宋体" w:hAnsi="宋体" w:eastAsia="宋体" w:cs="宋体"/>
          <w:color w:val="000000"/>
          <w:sz w:val="24"/>
          <w:highlight w:val="none"/>
          <w:u w:val="single"/>
          <w:lang w:bidi="ar"/>
        </w:rPr>
        <w:t xml:space="preserve">（标的名称） </w:t>
      </w:r>
      <w:r>
        <w:rPr>
          <w:rFonts w:hint="eastAsia" w:ascii="宋体" w:hAnsi="宋体" w:eastAsia="宋体" w:cs="宋体"/>
          <w:color w:val="000000"/>
          <w:sz w:val="24"/>
          <w:highlight w:val="none"/>
          <w:lang w:bidi="ar"/>
        </w:rPr>
        <w:t xml:space="preserve">，属于</w:t>
      </w:r>
      <w:r>
        <w:rPr>
          <w:rFonts w:hint="eastAsia" w:ascii="宋体" w:hAnsi="宋体" w:eastAsia="宋体" w:cs="宋体"/>
          <w:color w:val="000000"/>
          <w:sz w:val="24"/>
          <w:highlight w:val="none"/>
          <w:u w:val="single"/>
          <w:lang w:bidi="ar"/>
        </w:rPr>
        <w:t xml:space="preserve">（采购文件中明确的所属行业）</w:t>
      </w:r>
      <w:r>
        <w:rPr>
          <w:rFonts w:hint="eastAsia" w:ascii="宋体" w:hAnsi="宋体" w:eastAsia="宋体" w:cs="宋体"/>
          <w:color w:val="000000"/>
          <w:sz w:val="24"/>
          <w:highlight w:val="none"/>
          <w:lang w:bidi="ar"/>
        </w:rPr>
        <w:t xml:space="preserve">；承建（承接）企业为</w:t>
      </w:r>
      <w:r>
        <w:rPr>
          <w:rFonts w:hint="eastAsia" w:ascii="宋体" w:hAnsi="宋体" w:eastAsia="宋体" w:cs="宋体"/>
          <w:color w:val="000000"/>
          <w:sz w:val="24"/>
          <w:highlight w:val="none"/>
          <w:u w:val="single"/>
          <w:lang w:bidi="ar"/>
        </w:rPr>
        <w:t xml:space="preserve">（企业名称）</w:t>
      </w:r>
      <w:r>
        <w:rPr>
          <w:rFonts w:hint="eastAsia" w:ascii="宋体" w:hAnsi="宋体" w:eastAsia="宋体" w:cs="宋体"/>
          <w:color w:val="000000"/>
          <w:sz w:val="24"/>
          <w:highlight w:val="none"/>
          <w:lang w:bidi="ar"/>
        </w:rPr>
        <w:t xml:space="preserve">，从业人员</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人，营业收入为 </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万元，资产总额为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万元，属于</w:t>
      </w:r>
      <w:r>
        <w:rPr>
          <w:rFonts w:hint="eastAsia" w:ascii="宋体" w:hAnsi="宋体" w:eastAsia="宋体" w:cs="宋体"/>
          <w:color w:val="000000"/>
          <w:sz w:val="24"/>
          <w:highlight w:val="none"/>
          <w:u w:val="single"/>
          <w:lang w:bidi="ar"/>
        </w:rPr>
        <w:t xml:space="preserve">（中型企业、小型企业、微型企业）</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rPr>
      </w:r>
      <w:r/>
    </w:p>
    <w:p>
      <w:pPr>
        <w:pStyle w:val="1064"/>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rPr>
      </w:r>
      <w:r/>
    </w:p>
    <w:p>
      <w:pPr>
        <w:pStyle w:val="1064"/>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highlight w:val="none"/>
        </w:rPr>
      </w:r>
      <w:r/>
    </w:p>
    <w:p>
      <w:pPr>
        <w:pStyle w:val="1064"/>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本企业对上述声明内容的真实性负责。如有虚假，将依法承担相应责任。 </w:t>
      </w:r>
      <w:r>
        <w:rPr>
          <w:rFonts w:hint="eastAsia" w:ascii="宋体" w:hAnsi="宋体" w:eastAsia="宋体" w:cs="宋体"/>
          <w:color w:val="000000"/>
          <w:sz w:val="24"/>
          <w:highlight w:val="none"/>
        </w:rPr>
      </w:r>
      <w:r/>
    </w:p>
    <w:p>
      <w:pPr>
        <w:pStyle w:val="1064"/>
        <w:jc w:val="righ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1064"/>
        <w:jc w:val="righ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1064"/>
        <w:jc w:val="right"/>
        <w:spacing w:line="360" w:lineRule="auto"/>
        <w:widowControl/>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供应商</w:t>
      </w:r>
      <w:r>
        <w:rPr>
          <w:rFonts w:hint="eastAsia" w:ascii="宋体" w:hAnsi="宋体" w:eastAsia="宋体" w:cs="宋体"/>
          <w:color w:val="000000"/>
          <w:sz w:val="24"/>
          <w:highlight w:val="none"/>
          <w:lang w:bidi="ar"/>
        </w:rPr>
        <w:t xml:space="preserve">名称（盖章）： </w:t>
      </w:r>
      <w:r>
        <w:rPr>
          <w:rFonts w:hint="eastAsia" w:ascii="宋体" w:hAnsi="宋体" w:eastAsia="宋体" w:cs="宋体"/>
          <w:color w:val="000000"/>
          <w:sz w:val="24"/>
          <w:highlight w:val="none"/>
        </w:rPr>
      </w:r>
      <w:r/>
    </w:p>
    <w:p>
      <w:pPr>
        <w:pStyle w:val="1064"/>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                                                  日 期： </w:t>
      </w:r>
      <w:r>
        <w:rPr>
          <w:rFonts w:hint="eastAsia" w:ascii="宋体" w:hAnsi="宋体" w:eastAsia="宋体" w:cs="宋体"/>
          <w:color w:val="000000"/>
          <w:sz w:val="24"/>
          <w:highlight w:val="none"/>
        </w:rPr>
      </w:r>
      <w:r/>
    </w:p>
    <w:p>
      <w:pPr>
        <w:pStyle w:val="1064"/>
        <w:ind w:firstLine="482"/>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1064"/>
        <w:ind w:firstLine="482"/>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1064"/>
        <w:ind w:firstLine="482"/>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注：中标供应商的《中小企业声明函》将随成交公告进行公示。供应商按照本办法规定提供声明函内容不实的，属于提供虚假材料谋取中标，依照《中华人民共和国政府采购法》等国家有关规定追究相应责任。</w:t>
      </w:r>
      <w:r>
        <w:rPr>
          <w:rFonts w:hint="eastAsia" w:ascii="宋体" w:hAnsi="宋体" w:eastAsia="宋体" w:cs="宋体"/>
          <w:b/>
          <w:bCs/>
          <w:color w:val="000000"/>
          <w:sz w:val="24"/>
          <w:highlight w:val="none"/>
          <w:lang w:bidi="ar"/>
        </w:rPr>
      </w:r>
      <w:r/>
    </w:p>
    <w:p>
      <w:pPr>
        <w:pStyle w:val="1064"/>
        <w:ind w:firstLine="480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6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6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w:t>
      </w:r>
      <w:r>
        <w:rPr>
          <w:rFonts w:hint="eastAsia" w:ascii="宋体" w:hAnsi="宋体" w:eastAsia="宋体" w:cs="宋体"/>
          <w:bCs/>
          <w:color w:val="000000"/>
          <w:sz w:val="24"/>
          <w:highlight w:val="none"/>
          <w:lang w:eastAsia="zh-CN"/>
        </w:rPr>
        <w:t xml:space="preserve">四</w:t>
      </w:r>
      <w:r>
        <w:rPr>
          <w:rFonts w:hint="eastAsia" w:ascii="宋体" w:hAnsi="宋体" w:eastAsia="宋体" w:cs="宋体"/>
          <w:bCs/>
          <w:color w:val="000000"/>
          <w:sz w:val="24"/>
          <w:highlight w:val="none"/>
        </w:rPr>
        <w:t xml:space="preserve">）（投标人）残疾人福利性单位声明函（格式）：</w:t>
      </w:r>
      <w:bookmarkStart w:id="20" w:name="OLE_LINK13"/>
      <w:r/>
      <w:bookmarkStart w:id="21" w:name="OLE_LINK14"/>
      <w:r>
        <w:rPr>
          <w:rFonts w:hint="eastAsia" w:ascii="宋体" w:hAnsi="宋体" w:eastAsia="宋体" w:cs="宋体"/>
          <w:bCs/>
          <w:color w:val="000000"/>
          <w:sz w:val="24"/>
          <w:highlight w:val="none"/>
        </w:rPr>
      </w:r>
      <w:r/>
    </w:p>
    <w:p>
      <w:pPr>
        <w:pStyle w:val="1064"/>
        <w:spacing w:line="588" w:lineRule="exact"/>
        <w:rPr>
          <w:rFonts w:hint="eastAsia" w:ascii="宋体" w:hAnsi="宋体" w:eastAsia="宋体" w:cs="宋体"/>
          <w:b/>
          <w:color w:val="000000"/>
          <w:spacing w:val="6"/>
          <w:sz w:val="30"/>
          <w:szCs w:val="30"/>
          <w:highlight w:val="none"/>
        </w:rPr>
      </w:pPr>
      <w:r/>
      <w:bookmarkEnd w:id="20"/>
      <w:r/>
      <w:bookmarkEnd w:id="21"/>
      <w:r>
        <w:rPr>
          <w:rFonts w:hint="eastAsia" w:ascii="宋体" w:hAnsi="宋体" w:eastAsia="宋体" w:cs="宋体"/>
          <w:b/>
          <w:color w:val="000000"/>
          <w:spacing w:val="6"/>
          <w:sz w:val="30"/>
          <w:szCs w:val="30"/>
          <w:highlight w:val="none"/>
        </w:rPr>
      </w:r>
      <w:r/>
    </w:p>
    <w:p>
      <w:pPr>
        <w:pStyle w:val="1064"/>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残疾人福利性单位声明函</w:t>
      </w:r>
      <w:r>
        <w:rPr>
          <w:rFonts w:hint="eastAsia" w:ascii="宋体" w:hAnsi="宋体" w:eastAsia="宋体" w:cs="宋体"/>
          <w:bCs/>
          <w:color w:val="000000"/>
          <w:sz w:val="28"/>
          <w:szCs w:val="28"/>
          <w:highlight w:val="none"/>
        </w:rPr>
      </w:r>
      <w:r/>
    </w:p>
    <w:p>
      <w:pPr>
        <w:pStyle w:val="1064"/>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064"/>
        <w:ind w:firstLine="504"/>
        <w:spacing w:line="48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1064"/>
        <w:ind w:firstLine="504"/>
        <w:spacing w:line="48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rPr>
          <w:rFonts w:hint="eastAsia" w:ascii="宋体" w:hAnsi="宋体" w:eastAsia="宋体" w:cs="宋体"/>
          <w:color w:val="000000"/>
          <w:spacing w:val="6"/>
          <w:sz w:val="24"/>
          <w:highlight w:val="none"/>
        </w:rPr>
      </w:r>
      <w:r/>
    </w:p>
    <w:p>
      <w:pPr>
        <w:pStyle w:val="1064"/>
        <w:spacing w:line="48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本单位对上述声明的真实性负责。如有虚假，将依法承担相应责任。</w:t>
      </w:r>
      <w:r>
        <w:rPr>
          <w:rFonts w:hint="eastAsia" w:ascii="宋体" w:hAnsi="宋体" w:eastAsia="宋体" w:cs="宋体"/>
          <w:color w:val="000000"/>
          <w:spacing w:val="6"/>
          <w:sz w:val="24"/>
          <w:highlight w:val="none"/>
        </w:rPr>
      </w:r>
      <w:r/>
    </w:p>
    <w:p>
      <w:pPr>
        <w:pStyle w:val="1064"/>
        <w:ind w:firstLine="480"/>
        <w:spacing w:line="5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64"/>
        <w:ind w:firstLine="480"/>
        <w:spacing w:line="5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64"/>
        <w:ind w:firstLine="5640"/>
        <w:spacing w:line="5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供应商名称（盖章）：</w:t>
      </w:r>
      <w:r>
        <w:rPr>
          <w:rFonts w:hint="eastAsia" w:ascii="宋体" w:hAnsi="宋体" w:eastAsia="宋体" w:cs="宋体"/>
          <w:bCs/>
          <w:color w:val="000000"/>
          <w:sz w:val="24"/>
          <w:highlight w:val="none"/>
        </w:rPr>
      </w:r>
      <w:r/>
    </w:p>
    <w:p>
      <w:pPr>
        <w:pStyle w:val="1064"/>
        <w:ind w:firstLine="5640"/>
        <w:spacing w:line="400" w:lineRule="exact"/>
        <w:rPr>
          <w:rFonts w:hint="eastAsia" w:ascii="宋体" w:hAnsi="宋体" w:eastAsia="宋体" w:cs="宋体"/>
          <w:color w:val="000000"/>
          <w:szCs w:val="21"/>
          <w:highlight w:val="none"/>
          <w:lang w:val="zh-CN"/>
        </w:rPr>
        <w:outlineLvl w:val="0"/>
      </w:pPr>
      <w:r>
        <w:rPr>
          <w:rFonts w:hint="eastAsia" w:ascii="宋体" w:hAnsi="宋体" w:eastAsia="宋体" w:cs="宋体"/>
          <w:bCs/>
          <w:color w:val="000000"/>
          <w:sz w:val="24"/>
          <w:highlight w:val="none"/>
        </w:rPr>
        <w:t xml:space="preserve">日  期：</w:t>
      </w:r>
      <w:r>
        <w:rPr>
          <w:rFonts w:hint="eastAsia" w:ascii="宋体" w:hAnsi="宋体" w:eastAsia="宋体" w:cs="宋体"/>
          <w:color w:val="000000"/>
          <w:szCs w:val="21"/>
          <w:highlight w:val="none"/>
          <w:lang w:val="zh-CN"/>
        </w:rPr>
      </w:r>
      <w:r/>
    </w:p>
    <w:p>
      <w:pPr>
        <w:pStyle w:val="1064"/>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64"/>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64"/>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64"/>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64"/>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64"/>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64"/>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64"/>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64"/>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64"/>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64"/>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64"/>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sectPr>
      <w:footerReference w:type="default" r:id="rId18"/>
      <w:footnotePr/>
      <w:endnotePr/>
      <w:type w:val="nextPage"/>
      <w:pgSz w:w="11906" w:h="16838" w:orient="portrait"/>
      <w:pgMar w:top="1417" w:right="1083" w:bottom="1417" w:left="1083" w:header="851"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MS Sans Serif">
    <w:panose1 w:val="020B0503020202020204"/>
  </w:font>
  <w:font w:name="隶书">
    <w:panose1 w:val="02010509060101010101"/>
  </w:font>
  <w:font w:name="Wingdings">
    <w:panose1 w:val="05000000000000000000"/>
  </w:font>
  <w:font w:name="楷体">
    <w:panose1 w:val="02010609060101010101"/>
  </w:font>
  <w:font w:name="Courier New">
    <w:panose1 w:val="02070309020205020404"/>
  </w:font>
  <w:font w:name="Calibri">
    <w:panose1 w:val="020F0502020204030204"/>
  </w:font>
  <w:font w:name="微软雅黑">
    <w:panose1 w:val="020B0503020204020204"/>
  </w:font>
  <w:font w:name="华文细黑">
    <w:panose1 w:val="02010600040101010101"/>
  </w:font>
  <w:font w:name="文鼎CS中宋">
    <w:panose1 w:val="020B0503020202020204"/>
  </w:font>
  <w:font w:name="Tahoma">
    <w:panose1 w:val="020B0604030504040204"/>
  </w:font>
  <w:font w:name="楷体_GB2312">
    <w:panose1 w:val="02010609060101010101"/>
  </w:font>
  <w:font w:name="Consolas">
    <w:panose1 w:val="020B0609020204030204"/>
  </w:font>
  <w:font w:name="ˎ̥">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Microsoft YaHei ΢ȭхڢ  ڌ墠 ˎ̥">
    <w:panose1 w:val="020B0503020204020204"/>
  </w:font>
  <w:font w:name="Arial">
    <w:panose1 w:val="020B0604020202020204"/>
  </w:font>
  <w:font w:name="宋体">
    <w:panose1 w:val="02010600030101010101"/>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22528" cy="284773"/>
              <wp:effectExtent l="7937" t="7937" r="7937" b="7937"/>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22528" cy="284772"/>
                      </a:xfrm>
                      <a:prstGeom prst="rect">
                        <a:avLst/>
                      </a:prstGeom>
                      <a:noFill/>
                      <a:ln w="15875">
                        <a:noFill/>
                      </a:ln>
                    </wps:spPr>
                    <wps:txbx>
                      <w:txbxContent>
                        <w:p>
                          <w:pPr>
                            <w:pStyle w:val="1128"/>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064"/>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6pt;height:22.4pt;mso-wrap-distance-left:9.0pt;mso-wrap-distance-top:0.0pt;mso-wrap-distance-right:9.0pt;mso-wrap-distance-bottom:0.0pt;visibility:visible;" filled="f" stroked="f" strokeweight="1.25pt">
              <v:textbox inset="0,0,0,0">
                <w:txbxContent>
                  <w:p>
                    <w:pPr>
                      <w:pStyle w:val="1128"/>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06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28"/>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06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28"/>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06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21258" cy="284773"/>
              <wp:effectExtent l="7937" t="7937" r="7937" b="7937"/>
              <wp:wrapNone/>
              <wp:docPr id="3" name=""/>
              <wp:cNvGraphicFramePr/>
              <a:graphic xmlns:a="http://schemas.openxmlformats.org/drawingml/2006/main">
                <a:graphicData uri="http://schemas.microsoft.com/office/word/2010/wordprocessingShape">
                  <wps:wsp>
                    <wps:cNvPr id="0" name=""/>
                    <wps:cNvSpPr txBox="1"/>
                    <wps:spPr bwMode="auto">
                      <a:xfrm flipH="0" flipV="0">
                        <a:off x="0" y="0"/>
                        <a:ext cx="121258" cy="284772"/>
                      </a:xfrm>
                      <a:prstGeom prst="rect">
                        <a:avLst/>
                      </a:prstGeom>
                      <a:noFill/>
                      <a:ln w="15875">
                        <a:noFill/>
                      </a:ln>
                    </wps:spPr>
                    <wps:txbx>
                      <w:txbxContent>
                        <w:p>
                          <w:pPr>
                            <w:pStyle w:val="1128"/>
                            <w:tabs>
                              <w:tab w:val="clear" w:pos="4153" w:leader="none"/>
                              <w:tab w:val="clear" w:pos="8306" w:leader="none"/>
                            </w:tabs>
                          </w:pPr>
                          <w:r>
                            <w:fldChar w:fldCharType="begin"/>
                          </w:r>
                          <w:r>
                            <w:instrText xml:space="preserve"> PAGE  \* MERGEFORMAT </w:instrText>
                          </w:r>
                          <w:r>
                            <w:fldChar w:fldCharType="separate"/>
                          </w:r>
                          <w:r>
                            <w:t xml:space="preserve">- 14 -</w:t>
                          </w:r>
                          <w:r>
                            <w:fldChar w:fldCharType="end"/>
                          </w:r>
                          <w:r/>
                        </w:p>
                      </w:txbxContent>
                    </wps:txbx>
                    <wps:bodyPr wrap="square" lIns="0" tIns="0" rIns="0" bIns="0" upright="1">
                      <a:no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9.5pt;height:22.4pt;mso-wrap-distance-left:9.0pt;mso-wrap-distance-top:0.0pt;mso-wrap-distance-right:9.0pt;mso-wrap-distance-bottom:0.0pt;visibility:visible;" filled="f" stroked="f" strokeweight="1.25pt">
              <v:textbox inset="0,0,0,0">
                <w:txbxContent>
                  <w:p>
                    <w:pPr>
                      <w:pStyle w:val="1128"/>
                      <w:tabs>
                        <w:tab w:val="clear" w:pos="4153" w:leader="none"/>
                        <w:tab w:val="clear" w:pos="8306" w:leader="none"/>
                      </w:tabs>
                    </w:pPr>
                    <w:r>
                      <w:fldChar w:fldCharType="begin"/>
                    </w:r>
                    <w:r>
                      <w:instrText xml:space="preserve"> PAGE  \* MERGEFORMAT </w:instrText>
                    </w:r>
                    <w:r>
                      <w:fldChar w:fldCharType="separate"/>
                    </w:r>
                    <w:r>
                      <w:t xml:space="preserve">- 14 -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6755" cy="284773"/>
              <wp:effectExtent l="7937" t="7937" r="7937" b="7937"/>
              <wp:wrapNone/>
              <wp:docPr id="4" name=""/>
              <wp:cNvGraphicFramePr/>
              <a:graphic xmlns:a="http://schemas.openxmlformats.org/drawingml/2006/main">
                <a:graphicData uri="http://schemas.microsoft.com/office/word/2010/wordprocessingShape">
                  <wps:wsp>
                    <wps:cNvPr id="0" name=""/>
                    <wps:cNvSpPr txBox="1"/>
                    <wps:spPr bwMode="auto">
                      <a:xfrm flipH="0" flipV="0">
                        <a:off x="0" y="0"/>
                        <a:ext cx="116755" cy="284772"/>
                      </a:xfrm>
                      <a:prstGeom prst="rect">
                        <a:avLst/>
                      </a:prstGeom>
                      <a:noFill/>
                      <a:ln w="15875">
                        <a:noFill/>
                      </a:ln>
                    </wps:spPr>
                    <wps:txbx>
                      <w:txbxContent>
                        <w:p>
                          <w:pPr>
                            <w:pStyle w:val="1128"/>
                            <w:tabs>
                              <w:tab w:val="clear" w:pos="4153" w:leader="none"/>
                              <w:tab w:val="clear" w:pos="8306" w:leader="none"/>
                            </w:tabs>
                          </w:pPr>
                          <w:r>
                            <w:fldChar w:fldCharType="begin"/>
                          </w:r>
                          <w:r>
                            <w:instrText xml:space="preserve"> PAGE  \* MERGEFORMAT </w:instrText>
                          </w:r>
                          <w:r>
                            <w:fldChar w:fldCharType="separate"/>
                          </w:r>
                          <w:r>
                            <w:t xml:space="preserve">- 47 -</w:t>
                          </w:r>
                          <w:r>
                            <w:fldChar w:fldCharType="end"/>
                          </w:r>
                          <w:r/>
                        </w:p>
                        <w:p>
                          <w:pPr>
                            <w:pStyle w:val="1064"/>
                          </w:pPr>
                          <w:r/>
                          <w:r/>
                        </w:p>
                      </w:txbxContent>
                    </wps:txbx>
                    <wps:bodyPr wrap="square" lIns="0" tIns="0" rIns="0" bIns="0" upright="1">
                      <a:no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9.2pt;height:22.4pt;mso-wrap-distance-left:9.0pt;mso-wrap-distance-top:0.0pt;mso-wrap-distance-right:9.0pt;mso-wrap-distance-bottom:0.0pt;visibility:visible;" filled="f" stroked="f" strokeweight="1.25pt">
              <v:textbox inset="0,0,0,0">
                <w:txbxContent>
                  <w:p>
                    <w:pPr>
                      <w:pStyle w:val="1128"/>
                      <w:tabs>
                        <w:tab w:val="clear" w:pos="4153" w:leader="none"/>
                        <w:tab w:val="clear" w:pos="8306" w:leader="none"/>
                      </w:tabs>
                    </w:pPr>
                    <w:r>
                      <w:fldChar w:fldCharType="begin"/>
                    </w:r>
                    <w:r>
                      <w:instrText xml:space="preserve"> PAGE  \* MERGEFORMAT </w:instrText>
                    </w:r>
                    <w:r>
                      <w:fldChar w:fldCharType="separate"/>
                    </w:r>
                    <w:r>
                      <w:t xml:space="preserve">- 47 -</w:t>
                    </w:r>
                    <w:r>
                      <w:fldChar w:fldCharType="end"/>
                    </w:r>
                    <w:r/>
                  </w:p>
                  <w:p>
                    <w:pPr>
                      <w:pStyle w:val="1064"/>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left"/>
      <w:tabs>
        <w:tab w:val="center" w:pos="4153" w:leader="none"/>
        <w:tab w:val="right" w:pos="8306" w:leader="none"/>
      </w:tabs>
      <w:rPr>
        <w:rFonts w:hint="eastAsia" w:eastAsia="楷体"/>
        <w:lang w:eastAsia="zh-CN"/>
      </w:rPr>
      <w:pBdr>
        <w:bottom w:val="single" w:color="000000" w:sz="18" w:space="1"/>
      </w:pBdr>
    </w:pPr>
    <w:r>
      <w:rPr>
        <w:rFonts w:hint="eastAsia" w:ascii="楷体" w:hAnsi="楷体" w:eastAsia="楷体" w:cs="楷体"/>
        <w:bCs/>
        <w:sz w:val="21"/>
        <w:szCs w:val="21"/>
        <w:lang w:eastAsia="zh-CN"/>
      </w:rPr>
      <w:t xml:space="preserve">无锡金属表面处理科技工业园区土壤和地下水污染管控方案编制采购服务</w:t>
    </w:r>
    <w:r>
      <w:rPr>
        <w:rFonts w:hint="eastAsia" w:ascii="楷体" w:hAnsi="楷体" w:eastAsia="楷体" w:cs="楷体"/>
        <w:bCs/>
        <w:sz w:val="21"/>
        <w:szCs w:val="21"/>
      </w:rPr>
      <w:t xml:space="preserve">招标文件               </w:t>
    </w:r>
    <w:r>
      <w:rPr>
        <w:rFonts w:hint="eastAsia" w:ascii="楷体" w:hAnsi="楷体" w:eastAsia="楷体" w:cs="楷体"/>
        <w:bCs/>
        <w:sz w:val="21"/>
        <w:szCs w:val="21"/>
        <w:lang w:eastAsia="zh-CN"/>
      </w:rPr>
      <w:t xml:space="preserve">JSZC-320206-JSJW-G2024-0076</w:t>
    </w:r>
    <w:r>
      <w:rPr>
        <w:rFonts w:hint="eastAsia" w:eastAsia="楷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left"/>
      <w:tabs>
        <w:tab w:val="center" w:pos="4153" w:leader="none"/>
        <w:tab w:val="right" w:pos="8306" w:leader="none"/>
      </w:tabs>
      <w:rPr>
        <w:rFonts w:hint="eastAsia" w:ascii="楷体" w:hAnsi="楷体" w:eastAsia="楷体" w:cs="楷体"/>
        <w:sz w:val="21"/>
        <w:szCs w:val="21"/>
        <w:lang w:eastAsia="zh-CN"/>
      </w:rPr>
      <w:pBdr>
        <w:bottom w:val="single" w:color="000000" w:sz="18" w:space="1"/>
      </w:pBdr>
    </w:pPr>
    <w:r>
      <w:rPr>
        <w:rFonts w:hint="eastAsia" w:ascii="楷体" w:hAnsi="楷体" w:eastAsia="楷体" w:cs="楷体"/>
        <w:bCs/>
        <w:sz w:val="21"/>
        <w:szCs w:val="21"/>
        <w:lang w:eastAsia="zh-CN"/>
      </w:rPr>
      <w:t xml:space="preserve">无锡金属表面处理科技工业园区土壤和地下水污染管控方案编制采购服务</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lang w:eastAsia="zh-CN"/>
      </w:rPr>
      <w:t xml:space="preserve">JSZC-320206-JSJW-G2024-0076</w:t>
    </w:r>
    <w:r>
      <w:rPr>
        <w:rFonts w:hint="eastAsia" w:ascii="楷体" w:hAnsi="楷体" w:eastAsia="楷体" w:cs="楷体"/>
        <w:sz w:val="21"/>
        <w:szCs w:val="21"/>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both"/>
      <w:tabs>
        <w:tab w:val="center" w:pos="4153" w:leader="none"/>
        <w:tab w:val="right" w:pos="8306" w:leader="none"/>
      </w:tabs>
      <w:rPr>
        <w:rFonts w:ascii="楷体" w:hAnsi="楷体" w:eastAsia="楷体" w:cs="楷体"/>
        <w:sz w:val="21"/>
        <w:szCs w:val="21"/>
        <w:lang w:val="en-US" w:eastAsia="zh-CN"/>
      </w:rPr>
      <w:pBdr>
        <w:bottom w:val="single" w:color="000000" w:sz="12" w:space="1"/>
      </w:pBdr>
    </w:pPr>
    <w:r>
      <w:rPr>
        <w:rFonts w:hint="eastAsia" w:ascii="楷体" w:hAnsi="楷体" w:eastAsia="楷体" w:cs="楷体"/>
        <w:sz w:val="21"/>
        <w:szCs w:val="21"/>
        <w:lang w:val="en-US" w:eastAsia="zh-CN"/>
      </w:rPr>
      <w:t xml:space="preserve">无锡金属表面处理科技工业园区土壤和地下水污染管控方案编制采购服务  JSZC-320206-JSJW-G2024-0076</w:t>
    </w:r>
    <w:r>
      <w:rPr>
        <w:rFonts w:ascii="楷体" w:hAnsi="楷体" w:eastAsia="楷体" w:cs="楷体"/>
        <w:sz w:val="21"/>
        <w:szCs w:val="21"/>
        <w:lang w:val="en-US" w:eastAsia="zh-CN"/>
      </w:rPr>
      <w:t xml:space="preserve">       </w:t>
    </w:r>
    <w:r>
      <w:rPr>
        <w:rFonts w:ascii="楷体" w:hAnsi="楷体" w:eastAsia="楷体" w:cs="楷体"/>
        <w:sz w:val="21"/>
        <w:szCs w:val="21"/>
        <w:lang w:val="en-US"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left"/>
      <w:tabs>
        <w:tab w:val="center" w:pos="4153" w:leader="none"/>
        <w:tab w:val="right" w:pos="8306" w:leader="none"/>
      </w:tabs>
      <w:rPr>
        <w:rFonts w:ascii="楷体" w:hAnsi="楷体" w:eastAsia="楷体" w:cs="楷体"/>
        <w:szCs w:val="21"/>
      </w:rPr>
      <w:pBdr>
        <w:bottom w:val="single" w:color="000000" w:sz="18" w:space="1"/>
      </w:pBdr>
    </w:pPr>
    <w:r>
      <w:rPr>
        <w:rFonts w:hint="eastAsia" w:ascii="楷体" w:hAnsi="楷体" w:eastAsia="楷体" w:cs="楷体"/>
        <w:bCs/>
        <w:sz w:val="21"/>
        <w:szCs w:val="21"/>
        <w:lang w:eastAsia="zh-CN"/>
      </w:rPr>
      <w:t xml:space="preserve">无锡金属表面处理科技工业园区土壤和地下水污染管控方案编制采购服务</w:t>
    </w:r>
    <w:r>
      <w:rPr>
        <w:rFonts w:hint="eastAsia" w:ascii="楷体" w:hAnsi="楷体" w:eastAsia="楷体" w:cs="楷体"/>
        <w:bCs/>
        <w:sz w:val="21"/>
        <w:szCs w:val="21"/>
      </w:rPr>
      <w:t xml:space="preserve"> </w:t>
    </w:r>
    <w:r>
      <w:rPr>
        <w:rFonts w:hint="eastAsia" w:ascii="楷体" w:hAnsi="楷体" w:eastAsia="楷体" w:cs="楷体"/>
        <w:bCs/>
        <w:sz w:val="21"/>
        <w:szCs w:val="21"/>
        <w:lang w:eastAsia="zh-CN"/>
      </w:rPr>
      <w:t xml:space="preserve">JSZC-320206-JSJW-G2024-0076</w:t>
    </w:r>
    <w:r>
      <w:rPr>
        <w:rFonts w:hint="eastAsia" w:ascii="楷体" w:hAnsi="楷体" w:eastAsia="楷体" w:cs="楷体"/>
        <w:bCs/>
        <w:szCs w:val="21"/>
      </w:rPr>
      <w:t xml:space="preserve">           </w:t>
    </w:r>
    <w:r>
      <w:rPr>
        <w:rFonts w:ascii="楷体" w:hAnsi="楷体" w:eastAsia="楷体" w:cs="楷体"/>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10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lowerLetter"/>
      <w:isLgl w:val="false"/>
      <w:suff w:val="tab"/>
      <w:lvlText w:val="%1)"/>
      <w:lvlJc w:val="left"/>
      <w:pPr>
        <w:pStyle w:val="1064"/>
        <w:ind w:left="1620" w:hanging="420"/>
        <w:tabs>
          <w:tab w:val="num" w:pos="1620" w:leader="none"/>
        </w:tabs>
      </w:pPr>
    </w:lvl>
    <w:lvl w:ilvl="1">
      <w:start w:val="1"/>
      <w:numFmt w:val="decimal"/>
      <w:isLgl w:val="false"/>
      <w:suff w:val="tab"/>
      <w:lvlText w:val="%2."/>
      <w:lvlJc w:val="left"/>
      <w:pPr>
        <w:pStyle w:val="1064"/>
        <w:ind w:left="704" w:hanging="420"/>
        <w:tabs>
          <w:tab w:val="num" w:pos="704" w:leader="none"/>
        </w:tabs>
      </w:pPr>
    </w:lvl>
    <w:lvl w:ilvl="2">
      <w:start w:val="1"/>
      <w:numFmt w:val="lowerRoman"/>
      <w:isLgl w:val="false"/>
      <w:suff w:val="tab"/>
      <w:lvlText w:val="%3."/>
      <w:lvlJc w:val="right"/>
      <w:pPr>
        <w:pStyle w:val="1064"/>
        <w:ind w:left="2460" w:hanging="420"/>
        <w:tabs>
          <w:tab w:val="num" w:pos="2460" w:leader="none"/>
        </w:tabs>
      </w:pPr>
    </w:lvl>
    <w:lvl w:ilvl="3">
      <w:start w:val="1"/>
      <w:numFmt w:val="decimal"/>
      <w:isLgl w:val="false"/>
      <w:suff w:val="tab"/>
      <w:lvlText w:val="%4."/>
      <w:lvlJc w:val="left"/>
      <w:pPr>
        <w:pStyle w:val="1064"/>
        <w:ind w:left="2880" w:hanging="420"/>
        <w:tabs>
          <w:tab w:val="num" w:pos="2880" w:leader="none"/>
        </w:tabs>
      </w:pPr>
    </w:lvl>
    <w:lvl w:ilvl="4">
      <w:start w:val="1"/>
      <w:numFmt w:val="lowerLetter"/>
      <w:isLgl w:val="false"/>
      <w:suff w:val="tab"/>
      <w:lvlText w:val="%5)"/>
      <w:lvlJc w:val="left"/>
      <w:pPr>
        <w:pStyle w:val="1064"/>
        <w:ind w:left="3300" w:hanging="420"/>
        <w:tabs>
          <w:tab w:val="num" w:pos="3300" w:leader="none"/>
        </w:tabs>
      </w:pPr>
    </w:lvl>
    <w:lvl w:ilvl="5">
      <w:start w:val="1"/>
      <w:numFmt w:val="lowerRoman"/>
      <w:isLgl w:val="false"/>
      <w:suff w:val="tab"/>
      <w:lvlText w:val="%6."/>
      <w:lvlJc w:val="right"/>
      <w:pPr>
        <w:pStyle w:val="1064"/>
        <w:ind w:left="3720" w:hanging="420"/>
        <w:tabs>
          <w:tab w:val="num" w:pos="3720" w:leader="none"/>
        </w:tabs>
      </w:pPr>
    </w:lvl>
    <w:lvl w:ilvl="6">
      <w:start w:val="1"/>
      <w:numFmt w:val="decimal"/>
      <w:isLgl w:val="false"/>
      <w:suff w:val="tab"/>
      <w:lvlText w:val="%7."/>
      <w:lvlJc w:val="left"/>
      <w:pPr>
        <w:pStyle w:val="1064"/>
        <w:ind w:left="4140" w:hanging="420"/>
        <w:tabs>
          <w:tab w:val="num" w:pos="4140" w:leader="none"/>
        </w:tabs>
      </w:pPr>
    </w:lvl>
    <w:lvl w:ilvl="7">
      <w:start w:val="1"/>
      <w:numFmt w:val="lowerLetter"/>
      <w:isLgl w:val="false"/>
      <w:suff w:val="tab"/>
      <w:lvlText w:val="%8)"/>
      <w:lvlJc w:val="left"/>
      <w:pPr>
        <w:pStyle w:val="1064"/>
        <w:ind w:left="4560" w:hanging="420"/>
        <w:tabs>
          <w:tab w:val="num" w:pos="4560" w:leader="none"/>
        </w:tabs>
      </w:pPr>
    </w:lvl>
    <w:lvl w:ilvl="8">
      <w:start w:val="1"/>
      <w:numFmt w:val="lowerRoman"/>
      <w:isLgl w:val="false"/>
      <w:suff w:val="tab"/>
      <w:lvlText w:val="%9."/>
      <w:lvlJc w:val="right"/>
      <w:pPr>
        <w:pStyle w:val="1064"/>
        <w:ind w:left="4980" w:hanging="420"/>
        <w:tabs>
          <w:tab w:val="num" w:pos="4980" w:leader="none"/>
        </w:tabs>
      </w:pPr>
    </w:lvl>
  </w:abstractNum>
  <w:abstractNum w:abstractNumId="2">
    <w:multiLevelType w:val="hybridMultilevel"/>
    <w:lvl w:ilvl="0">
      <w:start w:val="4"/>
      <w:numFmt w:val="chineseCounting"/>
      <w:isLgl w:val="false"/>
      <w:suff w:val="nothing"/>
      <w:lvlText w:val="（%1）"/>
      <w:lvlJc w:val="left"/>
      <w:pPr>
        <w:pStyle w:val="10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111"/>
      <w:isLgl w:val="false"/>
      <w:suff w:val="tab"/>
      <w:lvlText w:val=""/>
      <w:lvlJc w:val="left"/>
      <w:pPr>
        <w:pStyle w:val="1064"/>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395"/>
      <w:isLgl w:val="false"/>
      <w:suff w:val="tab"/>
      <w:lvlText w:val=""/>
      <w:lvlJc w:val="left"/>
      <w:pPr>
        <w:pStyle w:val="1064"/>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lowerLetter"/>
      <w:isLgl w:val="false"/>
      <w:suff w:val="tab"/>
      <w:lvlText w:val="%1)"/>
      <w:lvlJc w:val="left"/>
      <w:pPr>
        <w:pStyle w:val="1064"/>
        <w:ind w:left="1620" w:hanging="420"/>
        <w:tabs>
          <w:tab w:val="num" w:pos="1620" w:leader="none"/>
        </w:tabs>
      </w:pPr>
    </w:lvl>
    <w:lvl w:ilvl="1">
      <w:start w:val="1"/>
      <w:numFmt w:val="decimal"/>
      <w:isLgl w:val="false"/>
      <w:suff w:val="tab"/>
      <w:lvlText w:val="%2."/>
      <w:lvlJc w:val="left"/>
      <w:pPr>
        <w:pStyle w:val="1064"/>
        <w:ind w:left="704" w:hanging="420"/>
        <w:tabs>
          <w:tab w:val="num" w:pos="704" w:leader="none"/>
        </w:tabs>
      </w:pPr>
    </w:lvl>
    <w:lvl w:ilvl="2">
      <w:start w:val="1"/>
      <w:numFmt w:val="lowerRoman"/>
      <w:isLgl w:val="false"/>
      <w:suff w:val="tab"/>
      <w:lvlText w:val="%3."/>
      <w:lvlJc w:val="right"/>
      <w:pPr>
        <w:pStyle w:val="1064"/>
        <w:ind w:left="2460" w:hanging="420"/>
        <w:tabs>
          <w:tab w:val="num" w:pos="2460" w:leader="none"/>
        </w:tabs>
      </w:pPr>
    </w:lvl>
    <w:lvl w:ilvl="3">
      <w:start w:val="1"/>
      <w:numFmt w:val="decimal"/>
      <w:isLgl w:val="false"/>
      <w:suff w:val="tab"/>
      <w:lvlText w:val="%4."/>
      <w:lvlJc w:val="left"/>
      <w:pPr>
        <w:pStyle w:val="1064"/>
        <w:ind w:left="2880" w:hanging="420"/>
        <w:tabs>
          <w:tab w:val="num" w:pos="2880" w:leader="none"/>
        </w:tabs>
      </w:pPr>
    </w:lvl>
    <w:lvl w:ilvl="4">
      <w:start w:val="1"/>
      <w:numFmt w:val="lowerLetter"/>
      <w:isLgl w:val="false"/>
      <w:suff w:val="tab"/>
      <w:lvlText w:val="%5)"/>
      <w:lvlJc w:val="left"/>
      <w:pPr>
        <w:pStyle w:val="1064"/>
        <w:ind w:left="3300" w:hanging="420"/>
        <w:tabs>
          <w:tab w:val="num" w:pos="3300" w:leader="none"/>
        </w:tabs>
      </w:pPr>
    </w:lvl>
    <w:lvl w:ilvl="5">
      <w:start w:val="1"/>
      <w:numFmt w:val="lowerRoman"/>
      <w:isLgl w:val="false"/>
      <w:suff w:val="tab"/>
      <w:lvlText w:val="%6."/>
      <w:lvlJc w:val="right"/>
      <w:pPr>
        <w:pStyle w:val="1064"/>
        <w:ind w:left="3720" w:hanging="420"/>
        <w:tabs>
          <w:tab w:val="num" w:pos="3720" w:leader="none"/>
        </w:tabs>
      </w:pPr>
    </w:lvl>
    <w:lvl w:ilvl="6">
      <w:start w:val="1"/>
      <w:numFmt w:val="decimal"/>
      <w:isLgl w:val="false"/>
      <w:suff w:val="tab"/>
      <w:lvlText w:val="%7."/>
      <w:lvlJc w:val="left"/>
      <w:pPr>
        <w:pStyle w:val="1064"/>
        <w:ind w:left="4140" w:hanging="420"/>
        <w:tabs>
          <w:tab w:val="num" w:pos="4140" w:leader="none"/>
        </w:tabs>
      </w:pPr>
    </w:lvl>
    <w:lvl w:ilvl="7">
      <w:start w:val="1"/>
      <w:numFmt w:val="lowerLetter"/>
      <w:isLgl w:val="false"/>
      <w:suff w:val="tab"/>
      <w:lvlText w:val="%8)"/>
      <w:lvlJc w:val="left"/>
      <w:pPr>
        <w:pStyle w:val="1064"/>
        <w:ind w:left="4560" w:hanging="420"/>
        <w:tabs>
          <w:tab w:val="num" w:pos="4560" w:leader="none"/>
        </w:tabs>
      </w:pPr>
    </w:lvl>
    <w:lvl w:ilvl="8">
      <w:start w:val="1"/>
      <w:numFmt w:val="lowerRoman"/>
      <w:isLgl w:val="false"/>
      <w:suff w:val="tab"/>
      <w:lvlText w:val="%9."/>
      <w:lvlJc w:val="right"/>
      <w:pPr>
        <w:pStyle w:val="1064"/>
        <w:ind w:left="4980" w:hanging="420"/>
        <w:tabs>
          <w:tab w:val="num" w:pos="4980" w:leader="none"/>
        </w:tabs>
      </w:pPr>
    </w:lvl>
  </w:abstractNum>
  <w:abstractNum w:abstractNumId="6">
    <w:multiLevelType w:val="hybridMultilevel"/>
    <w:lvl w:ilvl="0">
      <w:start w:val="1"/>
      <w:numFmt w:val="upperRoman"/>
      <w:pStyle w:val="1430"/>
      <w:isLgl w:val="false"/>
      <w:suff w:val="tab"/>
      <w:lvlText w:val="第 %1 条"/>
      <w:lvlJc w:val="left"/>
      <w:pPr>
        <w:pStyle w:val="1064"/>
        <w:ind w:left="0" w:firstLine="0"/>
        <w:tabs>
          <w:tab w:val="num" w:pos="1440" w:leader="none"/>
        </w:tabs>
      </w:pPr>
    </w:lvl>
    <w:lvl w:ilvl="1">
      <w:start w:val="1"/>
      <w:numFmt w:val="decimalZero"/>
      <w:isLgl w:val="false"/>
      <w:suff w:val="tab"/>
      <w:lvlText w:val="节 %1.%2"/>
      <w:lvlJc w:val="left"/>
      <w:pPr>
        <w:pStyle w:val="1064"/>
        <w:ind w:left="0" w:firstLine="0"/>
        <w:tabs>
          <w:tab w:val="num" w:pos="1080" w:leader="none"/>
        </w:tabs>
      </w:pPr>
    </w:lvl>
    <w:lvl w:ilvl="2">
      <w:start w:val="1"/>
      <w:numFmt w:val="lowerLetter"/>
      <w:isLgl w:val="false"/>
      <w:suff w:val="tab"/>
      <w:lvlText w:val="(%3)"/>
      <w:lvlJc w:val="left"/>
      <w:pPr>
        <w:pStyle w:val="1064"/>
        <w:ind w:left="720" w:hanging="432"/>
        <w:tabs>
          <w:tab w:val="num" w:pos="1008" w:leader="none"/>
        </w:tabs>
      </w:pPr>
    </w:lvl>
    <w:lvl w:ilvl="3">
      <w:start w:val="1"/>
      <w:numFmt w:val="lowerRoman"/>
      <w:isLgl w:val="false"/>
      <w:suff w:val="tab"/>
      <w:lvlText w:val="(%4)"/>
      <w:lvlJc w:val="right"/>
      <w:pPr>
        <w:pStyle w:val="1064"/>
        <w:ind w:left="864" w:hanging="144"/>
        <w:tabs>
          <w:tab w:val="num" w:pos="864" w:leader="none"/>
        </w:tabs>
      </w:pPr>
    </w:lvl>
    <w:lvl w:ilvl="4">
      <w:start w:val="1"/>
      <w:numFmt w:val="decimal"/>
      <w:isLgl w:val="false"/>
      <w:suff w:val="tab"/>
      <w:lvlText w:val="%5)"/>
      <w:lvlJc w:val="left"/>
      <w:pPr>
        <w:pStyle w:val="1064"/>
        <w:ind w:left="1008" w:hanging="432"/>
        <w:tabs>
          <w:tab w:val="num" w:pos="1008" w:leader="none"/>
        </w:tabs>
      </w:pPr>
    </w:lvl>
    <w:lvl w:ilvl="5">
      <w:start w:val="1"/>
      <w:numFmt w:val="lowerLetter"/>
      <w:isLgl w:val="false"/>
      <w:suff w:val="tab"/>
      <w:lvlText w:val="%6)"/>
      <w:lvlJc w:val="left"/>
      <w:pPr>
        <w:pStyle w:val="1064"/>
        <w:ind w:left="1152" w:hanging="432"/>
        <w:tabs>
          <w:tab w:val="num" w:pos="1152" w:leader="none"/>
        </w:tabs>
      </w:pPr>
    </w:lvl>
    <w:lvl w:ilvl="6">
      <w:start w:val="1"/>
      <w:numFmt w:val="lowerRoman"/>
      <w:isLgl w:val="false"/>
      <w:suff w:val="tab"/>
      <w:lvlText w:val="%7)"/>
      <w:lvlJc w:val="right"/>
      <w:pPr>
        <w:pStyle w:val="1064"/>
        <w:ind w:left="1296" w:hanging="288"/>
        <w:tabs>
          <w:tab w:val="num" w:pos="1296" w:leader="none"/>
        </w:tabs>
      </w:pPr>
    </w:lvl>
    <w:lvl w:ilvl="7">
      <w:start w:val="1"/>
      <w:numFmt w:val="lowerLetter"/>
      <w:isLgl w:val="false"/>
      <w:suff w:val="tab"/>
      <w:lvlText w:val="%8."/>
      <w:lvlJc w:val="left"/>
      <w:pPr>
        <w:pStyle w:val="1064"/>
        <w:ind w:left="1440" w:hanging="432"/>
        <w:tabs>
          <w:tab w:val="num" w:pos="1440" w:leader="none"/>
        </w:tabs>
      </w:pPr>
    </w:lvl>
    <w:lvl w:ilvl="8">
      <w:start w:val="1"/>
      <w:numFmt w:val="lowerRoman"/>
      <w:isLgl w:val="false"/>
      <w:suff w:val="tab"/>
      <w:lvlText w:val="%9."/>
      <w:lvlJc w:val="right"/>
      <w:pPr>
        <w:pStyle w:val="1064"/>
        <w:ind w:left="1584" w:hanging="144"/>
        <w:tabs>
          <w:tab w:val="num" w:pos="1584" w:leader="none"/>
        </w:tabs>
      </w:pPr>
    </w:lvl>
  </w:abstractNum>
  <w:abstractNum w:abstractNumId="7">
    <w:multiLevelType w:val="hybridMultilevel"/>
    <w:lvl w:ilvl="0">
      <w:start w:val="1"/>
      <w:numFmt w:val="decimal"/>
      <w:isLgl w:val="false"/>
      <w:suff w:val="tab"/>
      <w:lvlText w:val="%1."/>
      <w:lvlJc w:val="left"/>
      <w:pPr>
        <w:pStyle w:val="1064"/>
        <w:ind w:left="900" w:hanging="420"/>
        <w:tabs>
          <w:tab w:val="num" w:pos="900" w:leader="none"/>
        </w:tabs>
      </w:pPr>
      <w:rPr>
        <w:rFonts w:ascii="Times New Roman"/>
        <w:u w:val="none"/>
      </w:rPr>
    </w:lvl>
    <w:lvl w:ilvl="1">
      <w:start w:val="1"/>
      <w:numFmt w:val="lowerLetter"/>
      <w:isLgl w:val="false"/>
      <w:suff w:val="tab"/>
      <w:lvlText w:val="%2)"/>
      <w:lvlJc w:val="left"/>
      <w:pPr>
        <w:pStyle w:val="1064"/>
        <w:ind w:left="1320" w:hanging="420"/>
        <w:tabs>
          <w:tab w:val="num" w:pos="1320" w:leader="none"/>
        </w:tabs>
      </w:pPr>
      <w:rPr>
        <w:rFonts w:ascii="Times New Roman"/>
        <w:u w:val="none"/>
      </w:rPr>
    </w:lvl>
    <w:lvl w:ilvl="2">
      <w:start w:val="1"/>
      <w:numFmt w:val="lowerRoman"/>
      <w:isLgl w:val="false"/>
      <w:suff w:val="tab"/>
      <w:lvlText w:val="%3."/>
      <w:lvlJc w:val="right"/>
      <w:pPr>
        <w:pStyle w:val="1064"/>
        <w:ind w:left="1740" w:hanging="420"/>
        <w:tabs>
          <w:tab w:val="num" w:pos="1740" w:leader="none"/>
        </w:tabs>
      </w:pPr>
      <w:rPr>
        <w:rFonts w:ascii="Times New Roman"/>
        <w:u w:val="none"/>
      </w:rPr>
    </w:lvl>
    <w:lvl w:ilvl="3">
      <w:start w:val="1"/>
      <w:numFmt w:val="decimal"/>
      <w:isLgl w:val="false"/>
      <w:suff w:val="tab"/>
      <w:lvlText w:val="%4."/>
      <w:lvlJc w:val="left"/>
      <w:pPr>
        <w:pStyle w:val="1064"/>
        <w:ind w:left="2160" w:hanging="420"/>
        <w:tabs>
          <w:tab w:val="num" w:pos="2160" w:leader="none"/>
        </w:tabs>
      </w:pPr>
      <w:rPr>
        <w:rFonts w:ascii="Times New Roman"/>
        <w:u w:val="none"/>
      </w:rPr>
    </w:lvl>
    <w:lvl w:ilvl="4">
      <w:start w:val="1"/>
      <w:numFmt w:val="lowerLetter"/>
      <w:isLgl w:val="false"/>
      <w:suff w:val="tab"/>
      <w:lvlText w:val="%5)"/>
      <w:lvlJc w:val="left"/>
      <w:pPr>
        <w:pStyle w:val="1064"/>
        <w:ind w:left="2580" w:hanging="420"/>
        <w:tabs>
          <w:tab w:val="num" w:pos="2580" w:leader="none"/>
        </w:tabs>
      </w:pPr>
      <w:rPr>
        <w:rFonts w:ascii="Times New Roman"/>
        <w:u w:val="none"/>
      </w:rPr>
    </w:lvl>
    <w:lvl w:ilvl="5">
      <w:start w:val="1"/>
      <w:numFmt w:val="lowerRoman"/>
      <w:isLgl w:val="false"/>
      <w:suff w:val="tab"/>
      <w:lvlText w:val="%6."/>
      <w:lvlJc w:val="right"/>
      <w:pPr>
        <w:pStyle w:val="1064"/>
        <w:ind w:left="3000" w:hanging="420"/>
        <w:tabs>
          <w:tab w:val="num" w:pos="3000" w:leader="none"/>
        </w:tabs>
      </w:pPr>
      <w:rPr>
        <w:rFonts w:ascii="Times New Roman"/>
        <w:u w:val="none"/>
      </w:rPr>
    </w:lvl>
    <w:lvl w:ilvl="6">
      <w:start w:val="1"/>
      <w:numFmt w:val="decimal"/>
      <w:isLgl w:val="false"/>
      <w:suff w:val="tab"/>
      <w:lvlText w:val="%7."/>
      <w:lvlJc w:val="left"/>
      <w:pPr>
        <w:pStyle w:val="1064"/>
        <w:ind w:left="3420" w:hanging="420"/>
        <w:tabs>
          <w:tab w:val="num" w:pos="3420" w:leader="none"/>
        </w:tabs>
      </w:pPr>
      <w:rPr>
        <w:rFonts w:ascii="Times New Roman"/>
        <w:u w:val="none"/>
      </w:rPr>
    </w:lvl>
    <w:lvl w:ilvl="7">
      <w:start w:val="1"/>
      <w:numFmt w:val="lowerLetter"/>
      <w:isLgl w:val="false"/>
      <w:suff w:val="tab"/>
      <w:lvlText w:val="%8)"/>
      <w:lvlJc w:val="left"/>
      <w:pPr>
        <w:pStyle w:val="1064"/>
        <w:ind w:left="3840" w:hanging="420"/>
        <w:tabs>
          <w:tab w:val="num" w:pos="3840" w:leader="none"/>
        </w:tabs>
      </w:pPr>
      <w:rPr>
        <w:rFonts w:ascii="Times New Roman"/>
        <w:u w:val="none"/>
      </w:rPr>
    </w:lvl>
    <w:lvl w:ilvl="8">
      <w:start w:val="1"/>
      <w:numFmt w:val="lowerRoman"/>
      <w:isLgl w:val="false"/>
      <w:suff w:val="tab"/>
      <w:lvlText w:val="%9."/>
      <w:lvlJc w:val="right"/>
      <w:pPr>
        <w:pStyle w:val="1064"/>
        <w:ind w:left="4260" w:hanging="420"/>
        <w:tabs>
          <w:tab w:val="num" w:pos="4260" w:leader="none"/>
        </w:tabs>
      </w:pPr>
      <w:rPr>
        <w:rFonts w:ascii="Times New Roman"/>
        <w:u w:val="none"/>
      </w:rPr>
    </w:lvl>
  </w:abstractNum>
  <w:abstractNum w:abstractNumId="8">
    <w:multiLevelType w:val="hybridMultilevel"/>
    <w:lvl w:ilvl="0">
      <w:start w:val="1"/>
      <w:numFmt w:val="decimal"/>
      <w:pStyle w:val="1363"/>
      <w:isLgl w:val="false"/>
      <w:suff w:val="tab"/>
      <w:lvlText w:val="%1."/>
      <w:lvlJc w:val="left"/>
      <w:pPr>
        <w:pStyle w:val="1064"/>
        <w:ind w:left="1110" w:hanging="480"/>
        <w:tabs>
          <w:tab w:val="num" w:pos="1110" w:leader="none"/>
        </w:tabs>
      </w:pPr>
    </w:lvl>
    <w:lvl w:ilvl="1">
      <w:start w:val="1"/>
      <w:numFmt w:val="lowerLetter"/>
      <w:isLgl w:val="false"/>
      <w:suff w:val="tab"/>
      <w:lvlText w:val="%2)"/>
      <w:lvlJc w:val="left"/>
      <w:pPr>
        <w:pStyle w:val="1064"/>
        <w:ind w:left="1470" w:hanging="420"/>
        <w:tabs>
          <w:tab w:val="num" w:pos="1470" w:leader="none"/>
        </w:tabs>
      </w:pPr>
    </w:lvl>
    <w:lvl w:ilvl="2">
      <w:start w:val="1"/>
      <w:numFmt w:val="lowerRoman"/>
      <w:isLgl w:val="false"/>
      <w:suff w:val="tab"/>
      <w:lvlText w:val="%3."/>
      <w:lvlJc w:val="right"/>
      <w:pPr>
        <w:pStyle w:val="1064"/>
        <w:ind w:left="1890" w:hanging="420"/>
        <w:tabs>
          <w:tab w:val="num" w:pos="1890" w:leader="none"/>
        </w:tabs>
      </w:pPr>
    </w:lvl>
    <w:lvl w:ilvl="3">
      <w:start w:val="1"/>
      <w:numFmt w:val="decimal"/>
      <w:isLgl w:val="false"/>
      <w:suff w:val="tab"/>
      <w:lvlText w:val="%4."/>
      <w:lvlJc w:val="left"/>
      <w:pPr>
        <w:pStyle w:val="1064"/>
        <w:ind w:left="2310" w:hanging="420"/>
        <w:tabs>
          <w:tab w:val="num" w:pos="2310" w:leader="none"/>
        </w:tabs>
      </w:pPr>
    </w:lvl>
    <w:lvl w:ilvl="4">
      <w:start w:val="1"/>
      <w:numFmt w:val="lowerLetter"/>
      <w:isLgl w:val="false"/>
      <w:suff w:val="tab"/>
      <w:lvlText w:val="%5)"/>
      <w:lvlJc w:val="left"/>
      <w:pPr>
        <w:pStyle w:val="1064"/>
        <w:ind w:left="2730" w:hanging="420"/>
        <w:tabs>
          <w:tab w:val="num" w:pos="2730" w:leader="none"/>
        </w:tabs>
      </w:pPr>
    </w:lvl>
    <w:lvl w:ilvl="5">
      <w:start w:val="1"/>
      <w:numFmt w:val="lowerRoman"/>
      <w:isLgl w:val="false"/>
      <w:suff w:val="tab"/>
      <w:lvlText w:val="%6."/>
      <w:lvlJc w:val="right"/>
      <w:pPr>
        <w:pStyle w:val="1064"/>
        <w:ind w:left="3150" w:hanging="420"/>
        <w:tabs>
          <w:tab w:val="num" w:pos="3150" w:leader="none"/>
        </w:tabs>
      </w:pPr>
    </w:lvl>
    <w:lvl w:ilvl="6">
      <w:start w:val="1"/>
      <w:numFmt w:val="decimal"/>
      <w:isLgl w:val="false"/>
      <w:suff w:val="tab"/>
      <w:lvlText w:val="%7."/>
      <w:lvlJc w:val="left"/>
      <w:pPr>
        <w:pStyle w:val="1064"/>
        <w:ind w:left="3570" w:hanging="420"/>
        <w:tabs>
          <w:tab w:val="num" w:pos="3570" w:leader="none"/>
        </w:tabs>
      </w:pPr>
    </w:lvl>
    <w:lvl w:ilvl="7">
      <w:start w:val="1"/>
      <w:numFmt w:val="lowerLetter"/>
      <w:isLgl w:val="false"/>
      <w:suff w:val="tab"/>
      <w:lvlText w:val="%8)"/>
      <w:lvlJc w:val="left"/>
      <w:pPr>
        <w:pStyle w:val="1064"/>
        <w:ind w:left="3990" w:hanging="420"/>
        <w:tabs>
          <w:tab w:val="num" w:pos="3990" w:leader="none"/>
        </w:tabs>
      </w:pPr>
    </w:lvl>
    <w:lvl w:ilvl="8">
      <w:start w:val="1"/>
      <w:numFmt w:val="lowerRoman"/>
      <w:isLgl w:val="false"/>
      <w:suff w:val="tab"/>
      <w:lvlText w:val="%9."/>
      <w:lvlJc w:val="right"/>
      <w:pPr>
        <w:pStyle w:val="1064"/>
        <w:ind w:left="4410" w:hanging="420"/>
        <w:tabs>
          <w:tab w:val="num" w:pos="4410" w:leader="none"/>
        </w:tabs>
      </w:pPr>
    </w:lvl>
  </w:abstractNum>
  <w:abstractNum w:abstractNumId="9">
    <w:multiLevelType w:val="hybridMultilevel"/>
    <w:lvl w:ilvl="0">
      <w:start w:val="1"/>
      <w:numFmt w:val="decimal"/>
      <w:pStyle w:val="1324"/>
      <w:isLgl w:val="false"/>
      <w:suff w:val="tab"/>
      <w:lvlText w:val="%1．"/>
      <w:lvlJc w:val="left"/>
      <w:pPr>
        <w:pStyle w:val="1064"/>
        <w:ind w:left="570" w:hanging="420"/>
        <w:tabs>
          <w:tab w:val="num"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408"/>
      <w:isLgl w:val="false"/>
      <w:suff w:val="tab"/>
      <w:lvlText w:val="%1．"/>
      <w:lvlJc w:val="left"/>
      <w:pPr>
        <w:pStyle w:val="1064"/>
        <w:ind w:left="552" w:hanging="420"/>
        <w:tabs>
          <w:tab w:val="num"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291"/>
      <w:isLgl w:val="false"/>
      <w:suff w:val="tab"/>
      <w:lvlText w:val="%1、"/>
      <w:lvlJc w:val="left"/>
      <w:pPr>
        <w:pStyle w:val="1064"/>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pStyle w:val="1064"/>
        <w:ind w:left="1691" w:hanging="420"/>
      </w:pPr>
    </w:lvl>
    <w:lvl w:ilvl="2">
      <w:start w:val="1"/>
      <w:numFmt w:val="lowerRoman"/>
      <w:isLgl w:val="false"/>
      <w:suff w:val="tab"/>
      <w:lvlText w:val="%3."/>
      <w:lvlJc w:val="right"/>
      <w:pPr>
        <w:pStyle w:val="1064"/>
        <w:ind w:left="2111" w:hanging="420"/>
      </w:pPr>
    </w:lvl>
    <w:lvl w:ilvl="3">
      <w:start w:val="1"/>
      <w:numFmt w:val="decimal"/>
      <w:isLgl w:val="false"/>
      <w:suff w:val="tab"/>
      <w:lvlText w:val="%4."/>
      <w:lvlJc w:val="left"/>
      <w:pPr>
        <w:pStyle w:val="1064"/>
        <w:ind w:left="2531" w:hanging="420"/>
      </w:pPr>
    </w:lvl>
    <w:lvl w:ilvl="4">
      <w:start w:val="1"/>
      <w:numFmt w:val="lowerLetter"/>
      <w:isLgl w:val="false"/>
      <w:suff w:val="tab"/>
      <w:lvlText w:val="%5)"/>
      <w:lvlJc w:val="left"/>
      <w:pPr>
        <w:pStyle w:val="1064"/>
        <w:ind w:left="2951" w:hanging="420"/>
      </w:pPr>
    </w:lvl>
    <w:lvl w:ilvl="5">
      <w:start w:val="1"/>
      <w:numFmt w:val="lowerRoman"/>
      <w:isLgl w:val="false"/>
      <w:suff w:val="tab"/>
      <w:lvlText w:val="%6."/>
      <w:lvlJc w:val="right"/>
      <w:pPr>
        <w:pStyle w:val="1064"/>
        <w:ind w:left="3371" w:hanging="420"/>
      </w:pPr>
    </w:lvl>
    <w:lvl w:ilvl="6">
      <w:start w:val="1"/>
      <w:numFmt w:val="decimal"/>
      <w:isLgl w:val="false"/>
      <w:suff w:val="tab"/>
      <w:lvlText w:val="%7."/>
      <w:lvlJc w:val="left"/>
      <w:pPr>
        <w:pStyle w:val="1064"/>
        <w:ind w:left="3791" w:hanging="420"/>
      </w:pPr>
    </w:lvl>
    <w:lvl w:ilvl="7">
      <w:start w:val="1"/>
      <w:numFmt w:val="lowerLetter"/>
      <w:isLgl w:val="false"/>
      <w:suff w:val="tab"/>
      <w:lvlText w:val="%8)"/>
      <w:lvlJc w:val="left"/>
      <w:pPr>
        <w:pStyle w:val="1064"/>
        <w:ind w:left="4211" w:hanging="420"/>
      </w:pPr>
    </w:lvl>
    <w:lvl w:ilvl="8">
      <w:start w:val="1"/>
      <w:numFmt w:val="lowerRoman"/>
      <w:isLgl w:val="false"/>
      <w:suff w:val="tab"/>
      <w:lvlText w:val="%9."/>
      <w:lvlJc w:val="right"/>
      <w:pPr>
        <w:pStyle w:val="1064"/>
        <w:ind w:left="4631" w:hanging="420"/>
      </w:pPr>
    </w:lvl>
  </w:abstractNum>
  <w:abstractNum w:abstractNumId="12">
    <w:multiLevelType w:val="hybridMultilevel"/>
    <w:lvl w:ilvl="0">
      <w:start w:val="2"/>
      <w:numFmt w:val="decimal"/>
      <w:isLgl w:val="false"/>
      <w:suff w:val="tab"/>
      <w:lvlText w:val="%1."/>
      <w:lvlJc w:val="left"/>
      <w:pPr>
        <w:pStyle w:val="106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331"/>
      <w:isLgl w:val="false"/>
      <w:suff w:val="tab"/>
      <w:lvlText w:val="%1．"/>
      <w:lvlJc w:val="left"/>
      <w:pPr>
        <w:pStyle w:val="1064"/>
        <w:ind w:left="552" w:hanging="420"/>
        <w:tabs>
          <w:tab w:val="num"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103"/>
      <w:isLgl w:val="false"/>
      <w:suff w:val="tab"/>
      <w:lvlText w:val="（%1）"/>
      <w:lvlJc w:val="left"/>
      <w:pPr>
        <w:pStyle w:val="1064"/>
        <w:ind w:left="840" w:hanging="420"/>
      </w:pPr>
      <w:rPr>
        <w:rFonts w:hint="eastAsia"/>
        <w:lang w:val="en-US"/>
      </w:rPr>
    </w:lvl>
    <w:lvl w:ilvl="1">
      <w:start w:val="1"/>
      <w:numFmt w:val="lowerLetter"/>
      <w:isLgl w:val="false"/>
      <w:suff w:val="tab"/>
      <w:lvlText w:val="%2)"/>
      <w:lvlJc w:val="left"/>
      <w:pPr>
        <w:pStyle w:val="1064"/>
        <w:ind w:left="1260" w:hanging="420"/>
      </w:pPr>
    </w:lvl>
    <w:lvl w:ilvl="2">
      <w:start w:val="1"/>
      <w:numFmt w:val="lowerRoman"/>
      <w:isLgl w:val="false"/>
      <w:suff w:val="tab"/>
      <w:lvlText w:val="%3."/>
      <w:lvlJc w:val="right"/>
      <w:pPr>
        <w:pStyle w:val="1064"/>
        <w:ind w:left="1680" w:hanging="420"/>
      </w:pPr>
    </w:lvl>
    <w:lvl w:ilvl="3">
      <w:start w:val="1"/>
      <w:numFmt w:val="decimal"/>
      <w:isLgl w:val="false"/>
      <w:suff w:val="tab"/>
      <w:lvlText w:val="%4."/>
      <w:lvlJc w:val="left"/>
      <w:pPr>
        <w:pStyle w:val="1064"/>
        <w:ind w:left="2100" w:hanging="420"/>
      </w:pPr>
    </w:lvl>
    <w:lvl w:ilvl="4">
      <w:start w:val="1"/>
      <w:numFmt w:val="lowerLetter"/>
      <w:isLgl w:val="false"/>
      <w:suff w:val="tab"/>
      <w:lvlText w:val="%5)"/>
      <w:lvlJc w:val="left"/>
      <w:pPr>
        <w:pStyle w:val="1064"/>
        <w:ind w:left="2520" w:hanging="420"/>
      </w:pPr>
    </w:lvl>
    <w:lvl w:ilvl="5">
      <w:start w:val="1"/>
      <w:numFmt w:val="lowerRoman"/>
      <w:isLgl w:val="false"/>
      <w:suff w:val="tab"/>
      <w:lvlText w:val="%6."/>
      <w:lvlJc w:val="right"/>
      <w:pPr>
        <w:pStyle w:val="1064"/>
        <w:ind w:left="2940" w:hanging="420"/>
      </w:pPr>
    </w:lvl>
    <w:lvl w:ilvl="6">
      <w:start w:val="1"/>
      <w:numFmt w:val="decimal"/>
      <w:isLgl w:val="false"/>
      <w:suff w:val="tab"/>
      <w:lvlText w:val="%7."/>
      <w:lvlJc w:val="left"/>
      <w:pPr>
        <w:pStyle w:val="1064"/>
        <w:ind w:left="3360" w:hanging="420"/>
      </w:pPr>
    </w:lvl>
    <w:lvl w:ilvl="7">
      <w:start w:val="1"/>
      <w:numFmt w:val="lowerLetter"/>
      <w:isLgl w:val="false"/>
      <w:suff w:val="tab"/>
      <w:lvlText w:val="%8)"/>
      <w:lvlJc w:val="left"/>
      <w:pPr>
        <w:pStyle w:val="1064"/>
        <w:ind w:left="3780" w:hanging="420"/>
      </w:pPr>
    </w:lvl>
    <w:lvl w:ilvl="8">
      <w:start w:val="1"/>
      <w:numFmt w:val="lowerRoman"/>
      <w:isLgl w:val="false"/>
      <w:suff w:val="tab"/>
      <w:lvlText w:val="%9."/>
      <w:lvlJc w:val="right"/>
      <w:pPr>
        <w:pStyle w:val="1064"/>
        <w:ind w:left="4200" w:hanging="420"/>
      </w:pPr>
    </w:lvl>
  </w:abstractNum>
  <w:abstractNum w:abstractNumId="15">
    <w:multiLevelType w:val="hybridMultilevel"/>
    <w:lvl w:ilvl="0">
      <w:start w:val="1"/>
      <w:numFmt w:val="japaneseCounting"/>
      <w:isLgl w:val="false"/>
      <w:suff w:val="tab"/>
      <w:lvlText w:val="%1、"/>
      <w:lvlJc w:val="left"/>
      <w:pPr>
        <w:pStyle w:val="1064"/>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1064"/>
        <w:ind w:left="840" w:hanging="420"/>
        <w:tabs>
          <w:tab w:val="num" w:pos="840" w:leader="none"/>
        </w:tabs>
      </w:pPr>
    </w:lvl>
    <w:lvl w:ilvl="2">
      <w:start w:val="10"/>
      <w:numFmt w:val="decimal"/>
      <w:isLgl w:val="false"/>
      <w:suff w:val="tab"/>
      <w:lvlText w:val="%3."/>
      <w:lvlJc w:val="left"/>
      <w:pPr>
        <w:pStyle w:val="1064"/>
        <w:ind w:left="1200" w:hanging="360"/>
        <w:tabs>
          <w:tab w:val="num" w:pos="1200" w:leader="none"/>
        </w:tabs>
      </w:pPr>
    </w:lvl>
    <w:lvl w:ilvl="3">
      <w:start w:val="1"/>
      <w:numFmt w:val="decimal"/>
      <w:isLgl w:val="false"/>
      <w:suff w:val="tab"/>
      <w:lvlText w:val="%4."/>
      <w:lvlJc w:val="left"/>
      <w:pPr>
        <w:pStyle w:val="1064"/>
        <w:ind w:left="1680" w:hanging="420"/>
        <w:tabs>
          <w:tab w:val="num" w:pos="1680" w:leader="none"/>
        </w:tabs>
      </w:pPr>
    </w:lvl>
    <w:lvl w:ilvl="4">
      <w:start w:val="1"/>
      <w:numFmt w:val="lowerLetter"/>
      <w:isLgl w:val="false"/>
      <w:suff w:val="tab"/>
      <w:lvlText w:val="%5)"/>
      <w:lvlJc w:val="left"/>
      <w:pPr>
        <w:pStyle w:val="1064"/>
        <w:ind w:left="2100" w:hanging="420"/>
        <w:tabs>
          <w:tab w:val="num" w:pos="2100" w:leader="none"/>
        </w:tabs>
      </w:pPr>
    </w:lvl>
    <w:lvl w:ilvl="5">
      <w:start w:val="1"/>
      <w:numFmt w:val="lowerRoman"/>
      <w:isLgl w:val="false"/>
      <w:suff w:val="tab"/>
      <w:lvlText w:val="%6."/>
      <w:lvlJc w:val="right"/>
      <w:pPr>
        <w:pStyle w:val="1064"/>
        <w:ind w:left="2520" w:hanging="420"/>
        <w:tabs>
          <w:tab w:val="num" w:pos="2520" w:leader="none"/>
        </w:tabs>
      </w:pPr>
    </w:lvl>
    <w:lvl w:ilvl="6">
      <w:start w:val="1"/>
      <w:numFmt w:val="decimal"/>
      <w:isLgl w:val="false"/>
      <w:suff w:val="tab"/>
      <w:lvlText w:val="%7."/>
      <w:lvlJc w:val="left"/>
      <w:pPr>
        <w:pStyle w:val="1064"/>
        <w:ind w:left="2940" w:hanging="420"/>
        <w:tabs>
          <w:tab w:val="num" w:pos="2940" w:leader="none"/>
        </w:tabs>
      </w:pPr>
    </w:lvl>
    <w:lvl w:ilvl="7">
      <w:start w:val="1"/>
      <w:numFmt w:val="lowerLetter"/>
      <w:isLgl w:val="false"/>
      <w:suff w:val="tab"/>
      <w:lvlText w:val="%8)"/>
      <w:lvlJc w:val="left"/>
      <w:pPr>
        <w:pStyle w:val="1064"/>
        <w:ind w:left="3360" w:hanging="420"/>
        <w:tabs>
          <w:tab w:val="num" w:pos="3360" w:leader="none"/>
        </w:tabs>
      </w:pPr>
    </w:lvl>
    <w:lvl w:ilvl="8">
      <w:start w:val="1"/>
      <w:numFmt w:val="lowerRoman"/>
      <w:isLgl w:val="false"/>
      <w:suff w:val="tab"/>
      <w:lvlText w:val="%9."/>
      <w:lvlJc w:val="right"/>
      <w:pPr>
        <w:pStyle w:val="1064"/>
        <w:ind w:left="3780" w:hanging="420"/>
        <w:tabs>
          <w:tab w:val="num" w:pos="3780" w:leader="none"/>
        </w:tabs>
      </w:pPr>
    </w:lvl>
  </w:abstractNum>
  <w:abstractNum w:abstractNumId="16">
    <w:multiLevelType w:val="hybridMultilevel"/>
    <w:lvl w:ilvl="0">
      <w:start w:val="1"/>
      <w:numFmt w:val="decimal"/>
      <w:pStyle w:val="1298"/>
      <w:isLgl w:val="false"/>
      <w:suff w:val="tab"/>
      <w:lvlText w:val="%1"/>
      <w:lvlJc w:val="left"/>
      <w:pPr>
        <w:pStyle w:val="1064"/>
        <w:ind w:left="425" w:hanging="425"/>
        <w:tabs>
          <w:tab w:val="num" w:pos="425" w:leader="none"/>
        </w:tabs>
      </w:pPr>
      <w:rPr>
        <w:rFonts w:hint="eastAsia"/>
      </w:rPr>
    </w:lvl>
    <w:lvl w:ilvl="1">
      <w:start w:val="1"/>
      <w:numFmt w:val="decimal"/>
      <w:isLgl w:val="false"/>
      <w:suff w:val="tab"/>
      <w:lvlText w:val="%1.%2"/>
      <w:lvlJc w:val="left"/>
      <w:pPr>
        <w:pStyle w:val="1064"/>
        <w:ind w:left="992" w:hanging="567"/>
        <w:tabs>
          <w:tab w:val="num" w:pos="992" w:leader="none"/>
        </w:tabs>
      </w:pPr>
      <w:rPr>
        <w:rFonts w:hint="eastAsia"/>
      </w:rPr>
    </w:lvl>
    <w:lvl w:ilvl="2">
      <w:start w:val="1"/>
      <w:numFmt w:val="decimal"/>
      <w:isLgl w:val="false"/>
      <w:suff w:val="tab"/>
      <w:lvlText w:val="%1.%2.%3"/>
      <w:lvlJc w:val="left"/>
      <w:pPr>
        <w:pStyle w:val="1064"/>
        <w:ind w:left="1418" w:hanging="567"/>
        <w:tabs>
          <w:tab w:val="num" w:pos="1571" w:leader="none"/>
        </w:tabs>
      </w:pPr>
      <w:rPr>
        <w:rFonts w:hint="eastAsia"/>
      </w:rPr>
    </w:lvl>
    <w:lvl w:ilvl="3">
      <w:start w:val="1"/>
      <w:numFmt w:val="decimal"/>
      <w:isLgl w:val="false"/>
      <w:suff w:val="tab"/>
      <w:lvlText w:val="%1.%2.%3.%4"/>
      <w:lvlJc w:val="left"/>
      <w:pPr>
        <w:pStyle w:val="1064"/>
        <w:ind w:left="1984" w:hanging="708"/>
        <w:tabs>
          <w:tab w:val="num" w:pos="2356" w:leader="none"/>
        </w:tabs>
      </w:pPr>
      <w:rPr>
        <w:rFonts w:hint="eastAsia"/>
      </w:rPr>
    </w:lvl>
    <w:lvl w:ilvl="4">
      <w:start w:val="1"/>
      <w:numFmt w:val="decimal"/>
      <w:isLgl w:val="false"/>
      <w:suff w:val="tab"/>
      <w:lvlText w:val="%1.%2.%3.%4.%5"/>
      <w:lvlJc w:val="left"/>
      <w:pPr>
        <w:pStyle w:val="1064"/>
        <w:ind w:left="2551" w:hanging="850"/>
        <w:tabs>
          <w:tab w:val="num" w:pos="3141" w:leader="none"/>
        </w:tabs>
      </w:pPr>
      <w:rPr>
        <w:rFonts w:hint="eastAsia"/>
      </w:rPr>
    </w:lvl>
    <w:lvl w:ilvl="5">
      <w:start w:val="1"/>
      <w:numFmt w:val="decimal"/>
      <w:isLgl w:val="false"/>
      <w:suff w:val="tab"/>
      <w:lvlText w:val="%1.%2.%3.%4.%5.%6"/>
      <w:lvlJc w:val="left"/>
      <w:pPr>
        <w:pStyle w:val="1064"/>
        <w:ind w:left="3260" w:hanging="1134"/>
        <w:tabs>
          <w:tab w:val="num" w:pos="3926" w:leader="none"/>
        </w:tabs>
      </w:pPr>
      <w:rPr>
        <w:rFonts w:hint="eastAsia"/>
      </w:rPr>
    </w:lvl>
    <w:lvl w:ilvl="6">
      <w:start w:val="1"/>
      <w:numFmt w:val="decimal"/>
      <w:isLgl w:val="false"/>
      <w:suff w:val="tab"/>
      <w:lvlText w:val="%1.%2.%3.%4.%5.%6.%7"/>
      <w:lvlJc w:val="left"/>
      <w:pPr>
        <w:pStyle w:val="1064"/>
        <w:ind w:left="3827" w:hanging="1276"/>
        <w:tabs>
          <w:tab w:val="num" w:pos="4711" w:leader="none"/>
        </w:tabs>
      </w:pPr>
      <w:rPr>
        <w:rFonts w:hint="eastAsia"/>
      </w:rPr>
    </w:lvl>
    <w:lvl w:ilvl="7">
      <w:start w:val="1"/>
      <w:numFmt w:val="decimal"/>
      <w:isLgl w:val="false"/>
      <w:suff w:val="tab"/>
      <w:lvlText w:val="%1.%2.%3.%4.%5.%6.%7.%8"/>
      <w:lvlJc w:val="left"/>
      <w:pPr>
        <w:pStyle w:val="1064"/>
        <w:ind w:left="4394" w:hanging="1418"/>
        <w:tabs>
          <w:tab w:val="num" w:pos="5136" w:leader="none"/>
        </w:tabs>
      </w:pPr>
      <w:rPr>
        <w:rFonts w:hint="eastAsia"/>
      </w:rPr>
    </w:lvl>
    <w:lvl w:ilvl="8">
      <w:start w:val="1"/>
      <w:numFmt w:val="decimal"/>
      <w:isLgl w:val="false"/>
      <w:suff w:val="tab"/>
      <w:lvlText w:val="%1.%2.%3.%4.%5.%6.%7.%8.%9"/>
      <w:lvlJc w:val="left"/>
      <w:pPr>
        <w:pStyle w:val="1064"/>
        <w:ind w:left="5102" w:hanging="1700"/>
        <w:tabs>
          <w:tab w:val="num" w:pos="5922" w:leader="none"/>
        </w:tabs>
      </w:pPr>
      <w:rPr>
        <w:rFonts w:hint="eastAsia"/>
      </w:rPr>
    </w:lvl>
  </w:abstractNum>
  <w:num w:numId="1">
    <w:abstractNumId w:val="14"/>
  </w:num>
  <w:num w:numId="2">
    <w:abstractNumId w:val="3"/>
  </w:num>
  <w:num w:numId="3">
    <w:abstractNumId w:val="11"/>
  </w:num>
  <w:num w:numId="4">
    <w:abstractNumId w:val="16"/>
  </w:num>
  <w:num w:numId="5">
    <w:abstractNumId w:val="9"/>
  </w:num>
  <w:num w:numId="6">
    <w:abstractNumId w:val="13"/>
  </w:num>
  <w:num w:numId="7">
    <w:abstractNumId w:val="8"/>
  </w:num>
  <w:num w:numId="8">
    <w:abstractNumId w:val="4"/>
  </w:num>
  <w:num w:numId="9">
    <w:abstractNumId w:val="10"/>
  </w:num>
  <w:num w:numId="10">
    <w:abstractNumId w:val="6"/>
  </w:num>
  <w:num w:numId="11">
    <w:abstractNumId w:val="0"/>
  </w:num>
  <w:num w:numId="12">
    <w:abstractNumId w:val="5"/>
  </w:num>
  <w:num w:numId="13">
    <w:abstractNumId w:val="1"/>
  </w:num>
  <w:num w:numId="14">
    <w:abstractNumId w:val="7"/>
  </w:num>
  <w:num w:numId="15">
    <w:abstractNumId w:val="2"/>
  </w:num>
  <w:num w:numId="16">
    <w:abstractNumId w:val="15"/>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9">
    <w:name w:val="Heading 1"/>
    <w:basedOn w:val="1064"/>
    <w:next w:val="1064"/>
    <w:link w:val="1241"/>
    <w:uiPriority w:val="9"/>
    <w:qFormat/>
    <w:pPr>
      <w:keepLines/>
      <w:keepNext/>
      <w:spacing w:before="480" w:after="200"/>
      <w:outlineLvl w:val="0"/>
    </w:pPr>
    <w:rPr>
      <w:rFonts w:ascii="Arial" w:hAnsi="Arial" w:eastAsia="Arial" w:cs="Arial"/>
      <w:sz w:val="40"/>
      <w:szCs w:val="40"/>
    </w:rPr>
  </w:style>
  <w:style w:type="paragraph" w:styleId="890">
    <w:name w:val="Heading 2"/>
    <w:basedOn w:val="1064"/>
    <w:next w:val="1064"/>
    <w:link w:val="891"/>
    <w:uiPriority w:val="9"/>
    <w:unhideWhenUsed/>
    <w:qFormat/>
    <w:pPr>
      <w:keepLines/>
      <w:keepNext/>
      <w:spacing w:before="360" w:after="200"/>
      <w:outlineLvl w:val="1"/>
    </w:pPr>
    <w:rPr>
      <w:rFonts w:ascii="Arial" w:hAnsi="Arial" w:eastAsia="Arial" w:cs="Arial"/>
      <w:sz w:val="34"/>
    </w:rPr>
  </w:style>
  <w:style w:type="character" w:styleId="891">
    <w:name w:val="Heading 2 Char"/>
    <w:link w:val="890"/>
    <w:uiPriority w:val="9"/>
    <w:rPr>
      <w:rFonts w:ascii="Arial" w:hAnsi="Arial" w:eastAsia="Arial" w:cs="Arial"/>
      <w:sz w:val="34"/>
    </w:rPr>
  </w:style>
  <w:style w:type="paragraph" w:styleId="892">
    <w:name w:val="Heading 3"/>
    <w:basedOn w:val="1064"/>
    <w:next w:val="1064"/>
    <w:link w:val="893"/>
    <w:uiPriority w:val="9"/>
    <w:unhideWhenUsed/>
    <w:qFormat/>
    <w:pPr>
      <w:keepLines/>
      <w:keepNext/>
      <w:spacing w:before="320" w:after="200"/>
      <w:outlineLvl w:val="2"/>
    </w:pPr>
    <w:rPr>
      <w:rFonts w:ascii="Arial" w:hAnsi="Arial" w:eastAsia="Arial" w:cs="Arial"/>
      <w:sz w:val="30"/>
      <w:szCs w:val="30"/>
    </w:rPr>
  </w:style>
  <w:style w:type="character" w:styleId="893">
    <w:name w:val="Heading 3 Char"/>
    <w:link w:val="892"/>
    <w:uiPriority w:val="9"/>
    <w:rPr>
      <w:rFonts w:ascii="Arial" w:hAnsi="Arial" w:eastAsia="Arial" w:cs="Arial"/>
      <w:sz w:val="30"/>
      <w:szCs w:val="30"/>
    </w:rPr>
  </w:style>
  <w:style w:type="paragraph" w:styleId="894">
    <w:name w:val="Heading 4"/>
    <w:basedOn w:val="1064"/>
    <w:next w:val="1064"/>
    <w:link w:val="895"/>
    <w:uiPriority w:val="9"/>
    <w:unhideWhenUsed/>
    <w:qFormat/>
    <w:pPr>
      <w:keepLines/>
      <w:keepNext/>
      <w:spacing w:before="320" w:after="200"/>
      <w:outlineLvl w:val="3"/>
    </w:pPr>
    <w:rPr>
      <w:rFonts w:ascii="Arial" w:hAnsi="Arial" w:eastAsia="Arial" w:cs="Arial"/>
      <w:b/>
      <w:bCs/>
      <w:sz w:val="26"/>
      <w:szCs w:val="26"/>
    </w:rPr>
  </w:style>
  <w:style w:type="character" w:styleId="895">
    <w:name w:val="Heading 4 Char"/>
    <w:link w:val="894"/>
    <w:uiPriority w:val="9"/>
    <w:rPr>
      <w:rFonts w:ascii="Arial" w:hAnsi="Arial" w:eastAsia="Arial" w:cs="Arial"/>
      <w:b/>
      <w:bCs/>
      <w:sz w:val="26"/>
      <w:szCs w:val="26"/>
    </w:rPr>
  </w:style>
  <w:style w:type="paragraph" w:styleId="896">
    <w:name w:val="Heading 5"/>
    <w:basedOn w:val="1064"/>
    <w:next w:val="1064"/>
    <w:link w:val="897"/>
    <w:uiPriority w:val="9"/>
    <w:unhideWhenUsed/>
    <w:qFormat/>
    <w:pPr>
      <w:keepLines/>
      <w:keepNext/>
      <w:spacing w:before="320" w:after="200"/>
      <w:outlineLvl w:val="4"/>
    </w:pPr>
    <w:rPr>
      <w:rFonts w:ascii="Arial" w:hAnsi="Arial" w:eastAsia="Arial" w:cs="Arial"/>
      <w:b/>
      <w:bCs/>
      <w:sz w:val="24"/>
      <w:szCs w:val="24"/>
    </w:rPr>
  </w:style>
  <w:style w:type="character" w:styleId="897">
    <w:name w:val="Heading 5 Char"/>
    <w:link w:val="896"/>
    <w:uiPriority w:val="9"/>
    <w:rPr>
      <w:rFonts w:ascii="Arial" w:hAnsi="Arial" w:eastAsia="Arial" w:cs="Arial"/>
      <w:b/>
      <w:bCs/>
      <w:sz w:val="24"/>
      <w:szCs w:val="24"/>
    </w:rPr>
  </w:style>
  <w:style w:type="paragraph" w:styleId="898">
    <w:name w:val="Heading 6"/>
    <w:basedOn w:val="1064"/>
    <w:next w:val="1064"/>
    <w:link w:val="899"/>
    <w:uiPriority w:val="9"/>
    <w:unhideWhenUsed/>
    <w:qFormat/>
    <w:pPr>
      <w:keepLines/>
      <w:keepNext/>
      <w:spacing w:before="320" w:after="200"/>
      <w:outlineLvl w:val="5"/>
    </w:pPr>
    <w:rPr>
      <w:rFonts w:ascii="Arial" w:hAnsi="Arial" w:eastAsia="Arial" w:cs="Arial"/>
      <w:b/>
      <w:bCs/>
      <w:sz w:val="22"/>
      <w:szCs w:val="22"/>
    </w:rPr>
  </w:style>
  <w:style w:type="character" w:styleId="899">
    <w:name w:val="Heading 6 Char"/>
    <w:link w:val="898"/>
    <w:uiPriority w:val="9"/>
    <w:rPr>
      <w:rFonts w:ascii="Arial" w:hAnsi="Arial" w:eastAsia="Arial" w:cs="Arial"/>
      <w:b/>
      <w:bCs/>
      <w:sz w:val="22"/>
      <w:szCs w:val="22"/>
    </w:rPr>
  </w:style>
  <w:style w:type="paragraph" w:styleId="900">
    <w:name w:val="Heading 7"/>
    <w:basedOn w:val="1064"/>
    <w:next w:val="1064"/>
    <w:link w:val="901"/>
    <w:uiPriority w:val="9"/>
    <w:unhideWhenUsed/>
    <w:qFormat/>
    <w:pPr>
      <w:keepLines/>
      <w:keepNext/>
      <w:spacing w:before="320" w:after="200"/>
      <w:outlineLvl w:val="6"/>
    </w:pPr>
    <w:rPr>
      <w:rFonts w:ascii="Arial" w:hAnsi="Arial" w:eastAsia="Arial" w:cs="Arial"/>
      <w:b/>
      <w:bCs/>
      <w:i/>
      <w:iCs/>
      <w:sz w:val="22"/>
      <w:szCs w:val="22"/>
    </w:rPr>
  </w:style>
  <w:style w:type="character" w:styleId="901">
    <w:name w:val="Heading 7 Char"/>
    <w:link w:val="900"/>
    <w:uiPriority w:val="9"/>
    <w:rPr>
      <w:rFonts w:ascii="Arial" w:hAnsi="Arial" w:eastAsia="Arial" w:cs="Arial"/>
      <w:b/>
      <w:bCs/>
      <w:i/>
      <w:iCs/>
      <w:sz w:val="22"/>
      <w:szCs w:val="22"/>
    </w:rPr>
  </w:style>
  <w:style w:type="paragraph" w:styleId="902">
    <w:name w:val="Heading 8"/>
    <w:basedOn w:val="1064"/>
    <w:next w:val="1064"/>
    <w:link w:val="903"/>
    <w:uiPriority w:val="9"/>
    <w:unhideWhenUsed/>
    <w:qFormat/>
    <w:pPr>
      <w:keepLines/>
      <w:keepNext/>
      <w:spacing w:before="320" w:after="200"/>
      <w:outlineLvl w:val="7"/>
    </w:pPr>
    <w:rPr>
      <w:rFonts w:ascii="Arial" w:hAnsi="Arial" w:eastAsia="Arial" w:cs="Arial"/>
      <w:i/>
      <w:iCs/>
      <w:sz w:val="22"/>
      <w:szCs w:val="22"/>
    </w:rPr>
  </w:style>
  <w:style w:type="character" w:styleId="903">
    <w:name w:val="Heading 8 Char"/>
    <w:link w:val="902"/>
    <w:uiPriority w:val="9"/>
    <w:rPr>
      <w:rFonts w:ascii="Arial" w:hAnsi="Arial" w:eastAsia="Arial" w:cs="Arial"/>
      <w:i/>
      <w:iCs/>
      <w:sz w:val="22"/>
      <w:szCs w:val="22"/>
    </w:rPr>
  </w:style>
  <w:style w:type="paragraph" w:styleId="904">
    <w:name w:val="Heading 9"/>
    <w:basedOn w:val="1064"/>
    <w:next w:val="1064"/>
    <w:link w:val="905"/>
    <w:uiPriority w:val="9"/>
    <w:unhideWhenUsed/>
    <w:qFormat/>
    <w:pPr>
      <w:keepLines/>
      <w:keepNext/>
      <w:spacing w:before="320" w:after="200"/>
      <w:outlineLvl w:val="8"/>
    </w:pPr>
    <w:rPr>
      <w:rFonts w:ascii="Arial" w:hAnsi="Arial" w:eastAsia="Arial" w:cs="Arial"/>
      <w:i/>
      <w:iCs/>
      <w:sz w:val="21"/>
      <w:szCs w:val="21"/>
    </w:rPr>
  </w:style>
  <w:style w:type="character" w:styleId="905">
    <w:name w:val="Heading 9 Char"/>
    <w:link w:val="904"/>
    <w:uiPriority w:val="9"/>
    <w:rPr>
      <w:rFonts w:ascii="Arial" w:hAnsi="Arial" w:eastAsia="Arial" w:cs="Arial"/>
      <w:i/>
      <w:iCs/>
      <w:sz w:val="21"/>
      <w:szCs w:val="21"/>
    </w:rPr>
  </w:style>
  <w:style w:type="paragraph" w:styleId="906">
    <w:name w:val="No Spacing"/>
    <w:uiPriority w:val="1"/>
    <w:qFormat/>
    <w:pPr>
      <w:spacing w:before="0" w:after="0" w:line="240" w:lineRule="auto"/>
    </w:pPr>
  </w:style>
  <w:style w:type="paragraph" w:styleId="907">
    <w:name w:val="Title"/>
    <w:basedOn w:val="1064"/>
    <w:next w:val="1064"/>
    <w:link w:val="908"/>
    <w:uiPriority w:val="10"/>
    <w:qFormat/>
    <w:pPr>
      <w:contextualSpacing/>
      <w:spacing w:before="300" w:after="200"/>
    </w:pPr>
    <w:rPr>
      <w:sz w:val="48"/>
      <w:szCs w:val="48"/>
    </w:rPr>
  </w:style>
  <w:style w:type="character" w:styleId="908">
    <w:name w:val="Title Char"/>
    <w:link w:val="907"/>
    <w:uiPriority w:val="10"/>
    <w:rPr>
      <w:sz w:val="48"/>
      <w:szCs w:val="48"/>
    </w:rPr>
  </w:style>
  <w:style w:type="paragraph" w:styleId="909">
    <w:name w:val="Subtitle"/>
    <w:basedOn w:val="1064"/>
    <w:next w:val="1064"/>
    <w:link w:val="910"/>
    <w:uiPriority w:val="11"/>
    <w:qFormat/>
    <w:pPr>
      <w:spacing w:before="200" w:after="200"/>
    </w:pPr>
    <w:rPr>
      <w:sz w:val="24"/>
      <w:szCs w:val="24"/>
    </w:rPr>
  </w:style>
  <w:style w:type="character" w:styleId="910">
    <w:name w:val="Subtitle Char"/>
    <w:link w:val="909"/>
    <w:uiPriority w:val="11"/>
    <w:rPr>
      <w:sz w:val="24"/>
      <w:szCs w:val="24"/>
    </w:rPr>
  </w:style>
  <w:style w:type="paragraph" w:styleId="911">
    <w:name w:val="Quote"/>
    <w:basedOn w:val="1064"/>
    <w:next w:val="1064"/>
    <w:link w:val="912"/>
    <w:uiPriority w:val="29"/>
    <w:qFormat/>
    <w:pPr>
      <w:ind w:left="720" w:right="720"/>
    </w:pPr>
    <w:rPr>
      <w:i/>
    </w:rPr>
  </w:style>
  <w:style w:type="character" w:styleId="912">
    <w:name w:val="Quote Char"/>
    <w:link w:val="911"/>
    <w:uiPriority w:val="29"/>
    <w:rPr>
      <w:i/>
    </w:rPr>
  </w:style>
  <w:style w:type="paragraph" w:styleId="913">
    <w:name w:val="Intense Quote"/>
    <w:basedOn w:val="1064"/>
    <w:next w:val="1064"/>
    <w:link w:val="9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4">
    <w:name w:val="Intense Quote Char"/>
    <w:link w:val="913"/>
    <w:uiPriority w:val="30"/>
    <w:rPr>
      <w:i/>
    </w:rPr>
  </w:style>
  <w:style w:type="paragraph" w:styleId="915">
    <w:name w:val="Header"/>
    <w:basedOn w:val="1064"/>
    <w:link w:val="916"/>
    <w:uiPriority w:val="99"/>
    <w:unhideWhenUsed/>
    <w:pPr>
      <w:spacing w:after="0" w:line="240" w:lineRule="auto"/>
      <w:tabs>
        <w:tab w:val="center" w:pos="7143" w:leader="none"/>
        <w:tab w:val="right" w:pos="14287" w:leader="none"/>
      </w:tabs>
    </w:pPr>
  </w:style>
  <w:style w:type="character" w:styleId="916">
    <w:name w:val="Header Char"/>
    <w:link w:val="915"/>
    <w:uiPriority w:val="99"/>
  </w:style>
  <w:style w:type="paragraph" w:styleId="917">
    <w:name w:val="Footer"/>
    <w:basedOn w:val="1064"/>
    <w:link w:val="920"/>
    <w:uiPriority w:val="99"/>
    <w:unhideWhenUsed/>
    <w:pPr>
      <w:spacing w:after="0" w:line="240" w:lineRule="auto"/>
      <w:tabs>
        <w:tab w:val="center" w:pos="7143" w:leader="none"/>
        <w:tab w:val="right" w:pos="14287" w:leader="none"/>
      </w:tabs>
    </w:pPr>
  </w:style>
  <w:style w:type="character" w:styleId="918">
    <w:name w:val="Footer Char"/>
    <w:link w:val="917"/>
    <w:uiPriority w:val="99"/>
  </w:style>
  <w:style w:type="paragraph" w:styleId="919">
    <w:name w:val="Caption"/>
    <w:basedOn w:val="1064"/>
    <w:next w:val="1064"/>
    <w:uiPriority w:val="35"/>
    <w:semiHidden/>
    <w:unhideWhenUsed/>
    <w:qFormat/>
    <w:pPr>
      <w:spacing w:line="276" w:lineRule="auto"/>
    </w:pPr>
    <w:rPr>
      <w:b/>
      <w:bCs/>
      <w:color w:val="4f81bd" w:themeColor="accent1"/>
      <w:sz w:val="18"/>
      <w:szCs w:val="18"/>
    </w:rPr>
  </w:style>
  <w:style w:type="character" w:styleId="920">
    <w:name w:val="Caption Char"/>
    <w:basedOn w:val="919"/>
    <w:link w:val="917"/>
    <w:uiPriority w:val="99"/>
  </w:style>
  <w:style w:type="table" w:styleId="9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7">
    <w:name w:val="Hyperlink"/>
    <w:uiPriority w:val="99"/>
    <w:unhideWhenUsed/>
    <w:rPr>
      <w:color w:val="0000ff" w:themeColor="hyperlink"/>
      <w:u w:val="single"/>
    </w:rPr>
  </w:style>
  <w:style w:type="paragraph" w:styleId="1048">
    <w:name w:val="footnote text"/>
    <w:basedOn w:val="1064"/>
    <w:link w:val="1049"/>
    <w:uiPriority w:val="99"/>
    <w:semiHidden/>
    <w:unhideWhenUsed/>
    <w:pPr>
      <w:spacing w:after="40" w:line="240" w:lineRule="auto"/>
    </w:pPr>
    <w:rPr>
      <w:sz w:val="18"/>
    </w:rPr>
  </w:style>
  <w:style w:type="character" w:styleId="1049">
    <w:name w:val="Footnote Text Char"/>
    <w:link w:val="1048"/>
    <w:uiPriority w:val="99"/>
    <w:rPr>
      <w:sz w:val="18"/>
    </w:rPr>
  </w:style>
  <w:style w:type="character" w:styleId="1050">
    <w:name w:val="footnote reference"/>
    <w:uiPriority w:val="99"/>
    <w:unhideWhenUsed/>
    <w:rPr>
      <w:vertAlign w:val="superscript"/>
    </w:rPr>
  </w:style>
  <w:style w:type="paragraph" w:styleId="1051">
    <w:name w:val="endnote text"/>
    <w:basedOn w:val="1064"/>
    <w:link w:val="1052"/>
    <w:uiPriority w:val="99"/>
    <w:semiHidden/>
    <w:unhideWhenUsed/>
    <w:pPr>
      <w:spacing w:after="0" w:line="240" w:lineRule="auto"/>
    </w:pPr>
    <w:rPr>
      <w:sz w:val="20"/>
    </w:rPr>
  </w:style>
  <w:style w:type="character" w:styleId="1052">
    <w:name w:val="Endnote Text Char"/>
    <w:link w:val="1051"/>
    <w:uiPriority w:val="99"/>
    <w:rPr>
      <w:sz w:val="20"/>
    </w:rPr>
  </w:style>
  <w:style w:type="character" w:styleId="1053">
    <w:name w:val="endnote reference"/>
    <w:uiPriority w:val="99"/>
    <w:semiHidden/>
    <w:unhideWhenUsed/>
    <w:rPr>
      <w:vertAlign w:val="superscript"/>
    </w:rPr>
  </w:style>
  <w:style w:type="paragraph" w:styleId="1054">
    <w:name w:val="toc 1"/>
    <w:basedOn w:val="1064"/>
    <w:next w:val="1064"/>
    <w:uiPriority w:val="39"/>
    <w:unhideWhenUsed/>
    <w:pPr>
      <w:ind w:left="0" w:right="0" w:firstLine="0"/>
      <w:spacing w:after="57"/>
    </w:pPr>
  </w:style>
  <w:style w:type="paragraph" w:styleId="1055">
    <w:name w:val="toc 2"/>
    <w:basedOn w:val="1064"/>
    <w:next w:val="1064"/>
    <w:uiPriority w:val="39"/>
    <w:unhideWhenUsed/>
    <w:pPr>
      <w:ind w:left="283" w:right="0" w:firstLine="0"/>
      <w:spacing w:after="57"/>
    </w:pPr>
  </w:style>
  <w:style w:type="paragraph" w:styleId="1056">
    <w:name w:val="toc 3"/>
    <w:basedOn w:val="1064"/>
    <w:next w:val="1064"/>
    <w:uiPriority w:val="39"/>
    <w:unhideWhenUsed/>
    <w:pPr>
      <w:ind w:left="567" w:right="0" w:firstLine="0"/>
      <w:spacing w:after="57"/>
    </w:pPr>
  </w:style>
  <w:style w:type="paragraph" w:styleId="1057">
    <w:name w:val="toc 4"/>
    <w:basedOn w:val="1064"/>
    <w:next w:val="1064"/>
    <w:uiPriority w:val="39"/>
    <w:unhideWhenUsed/>
    <w:pPr>
      <w:ind w:left="850" w:right="0" w:firstLine="0"/>
      <w:spacing w:after="57"/>
    </w:pPr>
  </w:style>
  <w:style w:type="paragraph" w:styleId="1058">
    <w:name w:val="toc 5"/>
    <w:basedOn w:val="1064"/>
    <w:next w:val="1064"/>
    <w:uiPriority w:val="39"/>
    <w:unhideWhenUsed/>
    <w:pPr>
      <w:ind w:left="1134" w:right="0" w:firstLine="0"/>
      <w:spacing w:after="57"/>
    </w:pPr>
  </w:style>
  <w:style w:type="paragraph" w:styleId="1059">
    <w:name w:val="toc 6"/>
    <w:basedOn w:val="1064"/>
    <w:next w:val="1064"/>
    <w:uiPriority w:val="39"/>
    <w:unhideWhenUsed/>
    <w:pPr>
      <w:ind w:left="1417" w:right="0" w:firstLine="0"/>
      <w:spacing w:after="57"/>
    </w:pPr>
  </w:style>
  <w:style w:type="paragraph" w:styleId="1060">
    <w:name w:val="toc 7"/>
    <w:basedOn w:val="1064"/>
    <w:next w:val="1064"/>
    <w:uiPriority w:val="39"/>
    <w:unhideWhenUsed/>
    <w:pPr>
      <w:ind w:left="1701" w:right="0" w:firstLine="0"/>
      <w:spacing w:after="57"/>
    </w:pPr>
  </w:style>
  <w:style w:type="paragraph" w:styleId="1061">
    <w:name w:val="toc 8"/>
    <w:basedOn w:val="1064"/>
    <w:next w:val="1064"/>
    <w:uiPriority w:val="39"/>
    <w:unhideWhenUsed/>
    <w:pPr>
      <w:ind w:left="1984" w:right="0" w:firstLine="0"/>
      <w:spacing w:after="57"/>
    </w:pPr>
  </w:style>
  <w:style w:type="paragraph" w:styleId="1062">
    <w:name w:val="toc 9"/>
    <w:basedOn w:val="1064"/>
    <w:next w:val="1064"/>
    <w:uiPriority w:val="39"/>
    <w:unhideWhenUsed/>
    <w:pPr>
      <w:ind w:left="2268" w:right="0" w:firstLine="0"/>
      <w:spacing w:after="57"/>
    </w:pPr>
  </w:style>
  <w:style w:type="paragraph" w:styleId="1063">
    <w:name w:val="table of figures"/>
    <w:basedOn w:val="1064"/>
    <w:next w:val="1064"/>
    <w:uiPriority w:val="99"/>
    <w:unhideWhenUsed/>
    <w:pPr>
      <w:spacing w:after="0" w:afterAutospacing="0"/>
    </w:pPr>
  </w:style>
  <w:style w:type="paragraph" w:styleId="1064" w:default="1">
    <w:name w:val="Normal"/>
    <w:next w:val="1064"/>
    <w:link w:val="1064"/>
    <w:qFormat/>
    <w:pPr>
      <w:jc w:val="both"/>
      <w:widowControl w:val="off"/>
    </w:pPr>
    <w:rPr>
      <w:sz w:val="21"/>
      <w:szCs w:val="24"/>
      <w:lang w:val="en-US" w:eastAsia="zh-CN" w:bidi="ar-SA"/>
    </w:rPr>
  </w:style>
  <w:style w:type="paragraph" w:styleId="1065">
    <w:name w:val="标题 1"/>
    <w:basedOn w:val="1064"/>
    <w:next w:val="1065"/>
    <w:link w:val="1076"/>
    <w:qFormat/>
    <w:pPr>
      <w:ind w:left="233"/>
      <w:jc w:val="left"/>
      <w:outlineLvl w:val="0"/>
    </w:pPr>
    <w:rPr>
      <w:rFonts w:ascii="黑体" w:hAnsi="黑体" w:eastAsia="黑体"/>
      <w:b/>
      <w:bCs/>
      <w:sz w:val="72"/>
      <w:szCs w:val="72"/>
      <w:lang w:eastAsia="en-US"/>
    </w:rPr>
  </w:style>
  <w:style w:type="paragraph" w:styleId="1066">
    <w:name w:val="标题 2"/>
    <w:basedOn w:val="1064"/>
    <w:next w:val="1078"/>
    <w:link w:val="1077"/>
    <w:qFormat/>
    <w:pPr>
      <w:keepLines/>
      <w:keepNext/>
      <w:spacing w:before="260" w:after="260" w:line="416" w:lineRule="auto"/>
      <w:outlineLvl w:val="1"/>
    </w:pPr>
    <w:rPr>
      <w:rFonts w:ascii="Cambria" w:hAnsi="Cambria"/>
      <w:b/>
      <w:bCs/>
      <w:sz w:val="32"/>
      <w:szCs w:val="32"/>
    </w:rPr>
  </w:style>
  <w:style w:type="paragraph" w:styleId="1067">
    <w:name w:val="标题 3"/>
    <w:basedOn w:val="1064"/>
    <w:next w:val="1064"/>
    <w:link w:val="1080"/>
    <w:qFormat/>
    <w:pPr>
      <w:jc w:val="center"/>
      <w:keepNext/>
      <w:outlineLvl w:val="2"/>
    </w:pPr>
    <w:rPr>
      <w:rFonts w:eastAsia="楷体_GB2312"/>
      <w:b/>
      <w:bCs/>
      <w:sz w:val="15"/>
    </w:rPr>
  </w:style>
  <w:style w:type="paragraph" w:styleId="1068">
    <w:name w:val="标题 4"/>
    <w:basedOn w:val="1064"/>
    <w:next w:val="1064"/>
    <w:link w:val="1081"/>
    <w:qFormat/>
    <w:pPr>
      <w:jc w:val="center"/>
      <w:keepNext/>
      <w:outlineLvl w:val="3"/>
    </w:pPr>
    <w:rPr>
      <w:rFonts w:eastAsia="楷体_GB2312"/>
      <w:b/>
      <w:bCs/>
      <w:sz w:val="13"/>
    </w:rPr>
  </w:style>
  <w:style w:type="paragraph" w:styleId="1069">
    <w:name w:val="标题 5"/>
    <w:basedOn w:val="1064"/>
    <w:next w:val="1064"/>
    <w:link w:val="1082"/>
    <w:qFormat/>
    <w:pPr>
      <w:ind w:firstLine="499"/>
      <w:jc w:val="left"/>
      <w:keepLines/>
      <w:keepNext/>
      <w:spacing w:before="120" w:after="120" w:line="360" w:lineRule="auto"/>
      <w:widowControl/>
      <w:outlineLvl w:val="4"/>
    </w:pPr>
    <w:rPr>
      <w:rFonts w:ascii="宋体" w:hAnsi="宋体"/>
      <w:b/>
      <w:sz w:val="24"/>
      <w:szCs w:val="20"/>
    </w:rPr>
  </w:style>
  <w:style w:type="paragraph" w:styleId="1070">
    <w:name w:val="标题 6"/>
    <w:basedOn w:val="1064"/>
    <w:next w:val="1064"/>
    <w:link w:val="1083"/>
    <w:qFormat/>
    <w:pPr>
      <w:ind w:left="102"/>
      <w:jc w:val="left"/>
      <w:outlineLvl w:val="5"/>
    </w:pPr>
    <w:rPr>
      <w:rFonts w:ascii="黑体" w:hAnsi="黑体" w:eastAsia="黑体"/>
      <w:sz w:val="28"/>
      <w:szCs w:val="28"/>
      <w:lang w:eastAsia="en-US"/>
    </w:rPr>
  </w:style>
  <w:style w:type="paragraph" w:styleId="1071">
    <w:name w:val="标题 7"/>
    <w:basedOn w:val="1064"/>
    <w:next w:val="1064"/>
    <w:link w:val="1084"/>
    <w:qFormat/>
    <w:pPr>
      <w:ind w:left="102"/>
      <w:jc w:val="left"/>
      <w:outlineLvl w:val="6"/>
    </w:pPr>
    <w:rPr>
      <w:rFonts w:ascii="黑体" w:hAnsi="黑体" w:eastAsia="黑体"/>
      <w:sz w:val="24"/>
      <w:lang w:eastAsia="en-US"/>
    </w:rPr>
  </w:style>
  <w:style w:type="paragraph" w:styleId="1072">
    <w:name w:val="标题 8"/>
    <w:basedOn w:val="1064"/>
    <w:next w:val="1072"/>
    <w:link w:val="1085"/>
    <w:qFormat/>
    <w:pPr>
      <w:ind w:left="102"/>
      <w:jc w:val="left"/>
      <w:outlineLvl w:val="7"/>
    </w:pPr>
    <w:rPr>
      <w:rFonts w:ascii="宋体" w:hAnsi="宋体"/>
      <w:b/>
      <w:bCs/>
      <w:szCs w:val="21"/>
      <w:lang w:eastAsia="en-US"/>
    </w:rPr>
  </w:style>
  <w:style w:type="paragraph" w:styleId="1073">
    <w:name w:val="标题 9"/>
    <w:basedOn w:val="1064"/>
    <w:next w:val="1064"/>
    <w:link w:val="1086"/>
    <w:qFormat/>
    <w:pPr>
      <w:ind w:left="1584" w:hanging="1584"/>
      <w:jc w:val="left"/>
      <w:keepLines/>
      <w:keepNext/>
      <w:spacing w:before="240" w:after="64" w:line="320" w:lineRule="auto"/>
      <w:widowControl/>
      <w:tabs>
        <w:tab w:val="left" w:pos="1584" w:leader="none"/>
      </w:tabs>
      <w:outlineLvl w:val="8"/>
    </w:pPr>
    <w:rPr>
      <w:rFonts w:ascii="Tahoma" w:hAnsi="Tahoma" w:eastAsia="幼圆"/>
      <w:szCs w:val="21"/>
      <w:lang w:eastAsia="en-US"/>
    </w:rPr>
  </w:style>
  <w:style w:type="character" w:styleId="1074">
    <w:name w:val="默认段落字体"/>
    <w:next w:val="1074"/>
    <w:link w:val="1064"/>
    <w:rPr>
      <w:sz w:val="21"/>
      <w:szCs w:val="24"/>
    </w:rPr>
  </w:style>
  <w:style w:type="table" w:styleId="1075">
    <w:name w:val="普通表格"/>
    <w:next w:val="1075"/>
    <w:link w:val="1064"/>
    <w:semiHidden/>
    <w:tblPr/>
  </w:style>
  <w:style w:type="character" w:styleId="1076">
    <w:name w:val="标题 1 Char"/>
    <w:next w:val="1076"/>
    <w:link w:val="1065"/>
    <w:rPr>
      <w:rFonts w:ascii="黑体" w:hAnsi="黑体" w:eastAsia="黑体"/>
      <w:b/>
      <w:bCs/>
      <w:sz w:val="72"/>
      <w:szCs w:val="72"/>
      <w:lang w:eastAsia="en-US"/>
    </w:rPr>
  </w:style>
  <w:style w:type="character" w:styleId="1077">
    <w:name w:val="标题 2 Char"/>
    <w:next w:val="1077"/>
    <w:link w:val="1066"/>
    <w:rPr>
      <w:rFonts w:ascii="Cambria" w:hAnsi="Cambria"/>
      <w:b/>
      <w:bCs/>
      <w:sz w:val="32"/>
      <w:szCs w:val="32"/>
    </w:rPr>
  </w:style>
  <w:style w:type="paragraph" w:styleId="1078">
    <w:name w:val="正文缩进"/>
    <w:basedOn w:val="1064"/>
    <w:next w:val="1078"/>
    <w:link w:val="1079"/>
    <w:unhideWhenUsed/>
    <w:pPr>
      <w:ind w:firstLine="420"/>
    </w:pPr>
  </w:style>
  <w:style w:type="character" w:styleId="1079">
    <w:name w:val="正文缩进 Char"/>
    <w:next w:val="1079"/>
    <w:link w:val="1078"/>
    <w:rPr>
      <w:sz w:val="21"/>
      <w:szCs w:val="24"/>
    </w:rPr>
  </w:style>
  <w:style w:type="character" w:styleId="1080">
    <w:name w:val="标题 3 Char"/>
    <w:next w:val="1080"/>
    <w:link w:val="1067"/>
    <w:rPr>
      <w:rFonts w:eastAsia="楷体_GB2312"/>
      <w:b/>
      <w:bCs/>
      <w:sz w:val="15"/>
      <w:szCs w:val="24"/>
    </w:rPr>
  </w:style>
  <w:style w:type="character" w:styleId="1081">
    <w:name w:val="标题 4 Char"/>
    <w:next w:val="1081"/>
    <w:link w:val="1068"/>
    <w:rPr>
      <w:rFonts w:eastAsia="楷体_GB2312"/>
      <w:b/>
      <w:bCs/>
      <w:sz w:val="13"/>
      <w:szCs w:val="24"/>
    </w:rPr>
  </w:style>
  <w:style w:type="character" w:styleId="1082">
    <w:name w:val="标题 5 Char"/>
    <w:next w:val="1082"/>
    <w:link w:val="1069"/>
    <w:rPr>
      <w:rFonts w:ascii="宋体" w:hAnsi="宋体"/>
      <w:b/>
      <w:sz w:val="24"/>
    </w:rPr>
  </w:style>
  <w:style w:type="character" w:styleId="1083">
    <w:name w:val="标题 6 Char"/>
    <w:next w:val="1083"/>
    <w:link w:val="1070"/>
    <w:rPr>
      <w:rFonts w:ascii="黑体" w:hAnsi="黑体" w:eastAsia="黑体"/>
      <w:sz w:val="28"/>
      <w:szCs w:val="28"/>
      <w:lang w:eastAsia="en-US"/>
    </w:rPr>
  </w:style>
  <w:style w:type="character" w:styleId="1084">
    <w:name w:val="标题 7 Char"/>
    <w:next w:val="1084"/>
    <w:link w:val="1071"/>
    <w:rPr>
      <w:rFonts w:ascii="黑体" w:hAnsi="黑体" w:eastAsia="黑体"/>
      <w:sz w:val="24"/>
      <w:szCs w:val="24"/>
      <w:lang w:eastAsia="en-US"/>
    </w:rPr>
  </w:style>
  <w:style w:type="character" w:styleId="1085">
    <w:name w:val="标题 8 Char"/>
    <w:next w:val="1085"/>
    <w:link w:val="1072"/>
    <w:rPr>
      <w:rFonts w:ascii="宋体" w:hAnsi="宋体"/>
      <w:b/>
      <w:bCs/>
      <w:sz w:val="21"/>
      <w:szCs w:val="21"/>
      <w:lang w:eastAsia="en-US"/>
    </w:rPr>
  </w:style>
  <w:style w:type="character" w:styleId="1086">
    <w:name w:val="标题 9 Char"/>
    <w:next w:val="1086"/>
    <w:link w:val="1073"/>
    <w:rPr>
      <w:rFonts w:ascii="Tahoma" w:hAnsi="Tahoma" w:eastAsia="幼圆"/>
      <w:sz w:val="21"/>
      <w:szCs w:val="21"/>
      <w:lang w:eastAsia="en-US"/>
    </w:rPr>
  </w:style>
  <w:style w:type="paragraph" w:styleId="1087">
    <w:name w:val="列表 3"/>
    <w:basedOn w:val="1064"/>
    <w:next w:val="1087"/>
    <w:link w:val="1064"/>
    <w:pPr>
      <w:ind w:left="100" w:hanging="200"/>
      <w:jc w:val="left"/>
      <w:widowControl/>
    </w:pPr>
    <w:rPr>
      <w:sz w:val="20"/>
      <w:szCs w:val="20"/>
    </w:rPr>
  </w:style>
  <w:style w:type="paragraph" w:styleId="1088">
    <w:name w:val="目录 7"/>
    <w:basedOn w:val="1064"/>
    <w:next w:val="1064"/>
    <w:link w:val="1064"/>
    <w:unhideWhenUsed/>
    <w:pPr>
      <w:ind w:left="2520"/>
    </w:pPr>
    <w:rPr>
      <w:rFonts w:ascii="仿宋_GB2312" w:hAnsi="仿宋_GB2312" w:eastAsia="华文细黑" w:cs="Cambria"/>
      <w:szCs w:val="22"/>
    </w:rPr>
  </w:style>
  <w:style w:type="paragraph" w:styleId="1089">
    <w:name w:val="索引 8"/>
    <w:basedOn w:val="1064"/>
    <w:next w:val="1064"/>
    <w:link w:val="1064"/>
    <w:pPr>
      <w:ind w:left="1400"/>
    </w:pPr>
    <w:rPr>
      <w:szCs w:val="20"/>
    </w:rPr>
  </w:style>
  <w:style w:type="paragraph" w:styleId="1090">
    <w:name w:val="题注"/>
    <w:basedOn w:val="1064"/>
    <w:next w:val="1064"/>
    <w:link w:val="1064"/>
    <w:qFormat/>
    <w:rPr>
      <w:rFonts w:ascii="幼圆" w:hAnsi="幼圆" w:eastAsia="幼圆" w:cs="Cambria"/>
      <w:sz w:val="20"/>
      <w:szCs w:val="20"/>
    </w:rPr>
  </w:style>
  <w:style w:type="paragraph" w:styleId="1091">
    <w:name w:val="索引 5"/>
    <w:basedOn w:val="1064"/>
    <w:next w:val="1064"/>
    <w:link w:val="1064"/>
    <w:pPr>
      <w:ind w:left="800"/>
    </w:pPr>
    <w:rPr>
      <w:szCs w:val="20"/>
    </w:rPr>
  </w:style>
  <w:style w:type="paragraph" w:styleId="1092">
    <w:name w:val="文档结构图"/>
    <w:basedOn w:val="1064"/>
    <w:next w:val="1092"/>
    <w:link w:val="1093"/>
    <w:pPr>
      <w:shd w:val="clear" w:color="auto" w:fill="000080"/>
    </w:pPr>
  </w:style>
  <w:style w:type="character" w:styleId="1093">
    <w:name w:val="文档结构图 Char"/>
    <w:next w:val="1093"/>
    <w:link w:val="1092"/>
    <w:rPr>
      <w:sz w:val="21"/>
      <w:szCs w:val="24"/>
      <w:shd w:val="clear" w:color="auto" w:fill="000080"/>
    </w:rPr>
  </w:style>
  <w:style w:type="paragraph" w:styleId="1094">
    <w:name w:val="批注文字"/>
    <w:basedOn w:val="1064"/>
    <w:next w:val="1094"/>
    <w:link w:val="1095"/>
    <w:uiPriority w:val="99"/>
    <w:pPr>
      <w:jc w:val="left"/>
    </w:pPr>
  </w:style>
  <w:style w:type="character" w:styleId="1095">
    <w:name w:val="批注文字 Char"/>
    <w:next w:val="1095"/>
    <w:link w:val="1094"/>
    <w:uiPriority w:val="99"/>
    <w:rPr>
      <w:sz w:val="21"/>
      <w:szCs w:val="24"/>
    </w:rPr>
  </w:style>
  <w:style w:type="paragraph" w:styleId="1096">
    <w:name w:val="索引 6"/>
    <w:basedOn w:val="1064"/>
    <w:next w:val="1064"/>
    <w:link w:val="1064"/>
    <w:pPr>
      <w:ind w:left="1000"/>
    </w:pPr>
    <w:rPr>
      <w:szCs w:val="20"/>
    </w:rPr>
  </w:style>
  <w:style w:type="paragraph" w:styleId="1097">
    <w:name w:val="称呼"/>
    <w:basedOn w:val="1064"/>
    <w:next w:val="1064"/>
    <w:link w:val="1098"/>
    <w:pPr>
      <w:ind w:firstLine="420"/>
      <w:spacing w:after="20" w:line="288" w:lineRule="auto"/>
    </w:pPr>
    <w:rPr>
      <w:sz w:val="28"/>
    </w:rPr>
  </w:style>
  <w:style w:type="character" w:styleId="1098">
    <w:name w:val="称呼 Char"/>
    <w:next w:val="1098"/>
    <w:link w:val="1097"/>
    <w:rPr>
      <w:sz w:val="28"/>
      <w:szCs w:val="24"/>
    </w:rPr>
  </w:style>
  <w:style w:type="paragraph" w:styleId="1099">
    <w:name w:val="正文文本 3"/>
    <w:basedOn w:val="1064"/>
    <w:next w:val="1099"/>
    <w:link w:val="1100"/>
    <w:pPr>
      <w:spacing w:after="120"/>
    </w:pPr>
    <w:rPr>
      <w:sz w:val="16"/>
      <w:szCs w:val="16"/>
    </w:rPr>
  </w:style>
  <w:style w:type="character" w:styleId="1100">
    <w:name w:val="正文文本 3 Char"/>
    <w:next w:val="1100"/>
    <w:link w:val="1099"/>
    <w:rPr>
      <w:sz w:val="16"/>
      <w:szCs w:val="16"/>
    </w:rPr>
  </w:style>
  <w:style w:type="paragraph" w:styleId="1101">
    <w:name w:val="结束语"/>
    <w:basedOn w:val="1064"/>
    <w:next w:val="1101"/>
    <w:link w:val="1102"/>
    <w:pPr>
      <w:ind w:left="100" w:firstLine="420"/>
      <w:spacing w:after="20" w:line="288" w:lineRule="auto"/>
    </w:pPr>
    <w:rPr>
      <w:sz w:val="28"/>
    </w:rPr>
  </w:style>
  <w:style w:type="character" w:styleId="1102">
    <w:name w:val="结束语 Char"/>
    <w:next w:val="1102"/>
    <w:link w:val="1101"/>
    <w:rPr>
      <w:sz w:val="28"/>
      <w:szCs w:val="24"/>
    </w:rPr>
  </w:style>
  <w:style w:type="paragraph" w:styleId="1103">
    <w:name w:val="列表项目符号 3"/>
    <w:basedOn w:val="1064"/>
    <w:next w:val="1103"/>
    <w:link w:val="1064"/>
    <w:qFormat/>
    <w:pPr>
      <w:numPr>
        <w:ilvl w:val="0"/>
        <w:numId w:val="1"/>
      </w:numPr>
    </w:pPr>
  </w:style>
  <w:style w:type="paragraph" w:styleId="1104">
    <w:name w:val="正文文本"/>
    <w:basedOn w:val="1064"/>
    <w:next w:val="1106"/>
    <w:link w:val="1105"/>
    <w:rPr>
      <w:rFonts w:ascii="仿宋_GB2312" w:eastAsia="仿宋_GB2312"/>
      <w:sz w:val="28"/>
    </w:rPr>
  </w:style>
  <w:style w:type="character" w:styleId="1105">
    <w:name w:val="正文文本 Char"/>
    <w:next w:val="1105"/>
    <w:link w:val="1104"/>
    <w:rPr>
      <w:rFonts w:ascii="仿宋_GB2312" w:eastAsia="仿宋_GB2312"/>
      <w:sz w:val="28"/>
      <w:szCs w:val="24"/>
    </w:rPr>
  </w:style>
  <w:style w:type="paragraph" w:styleId="1106">
    <w:name w:val="列表"/>
    <w:basedOn w:val="1064"/>
    <w:next w:val="1106"/>
    <w:link w:val="1064"/>
    <w:pPr>
      <w:ind w:left="420" w:hanging="420"/>
      <w:spacing w:after="20" w:line="288" w:lineRule="auto"/>
      <w:tabs>
        <w:tab w:val="left" w:pos="420" w:leader="none"/>
      </w:tabs>
    </w:pPr>
    <w:rPr>
      <w:szCs w:val="20"/>
      <w:lang w:val="en-GB"/>
    </w:rPr>
  </w:style>
  <w:style w:type="paragraph" w:styleId="1107">
    <w:name w:val="正文文本缩进"/>
    <w:basedOn w:val="1064"/>
    <w:next w:val="1107"/>
    <w:link w:val="1108"/>
    <w:unhideWhenUsed/>
    <w:pPr>
      <w:ind w:firstLine="576"/>
    </w:pPr>
    <w:rPr>
      <w:b/>
      <w:sz w:val="30"/>
    </w:rPr>
  </w:style>
  <w:style w:type="character" w:styleId="1108">
    <w:name w:val="正文文本缩进 Char"/>
    <w:next w:val="1108"/>
    <w:link w:val="1107"/>
    <w:rPr>
      <w:b/>
      <w:sz w:val="30"/>
      <w:szCs w:val="24"/>
    </w:rPr>
  </w:style>
  <w:style w:type="paragraph" w:styleId="1109">
    <w:name w:val="列表 2"/>
    <w:basedOn w:val="1064"/>
    <w:next w:val="1109"/>
    <w:link w:val="1064"/>
    <w:pPr>
      <w:ind w:left="100" w:hanging="200"/>
      <w:jc w:val="left"/>
      <w:widowControl/>
    </w:pPr>
    <w:rPr>
      <w:sz w:val="20"/>
      <w:szCs w:val="20"/>
    </w:rPr>
  </w:style>
  <w:style w:type="paragraph" w:styleId="1110">
    <w:name w:val="文本块"/>
    <w:basedOn w:val="1064"/>
    <w:next w:val="1110"/>
    <w:link w:val="1064"/>
    <w:unhideWhenUsed/>
    <w:pPr>
      <w:ind w:left="420" w:right="33"/>
      <w:jc w:val="left"/>
    </w:pPr>
    <w:rPr>
      <w:sz w:val="24"/>
    </w:rPr>
  </w:style>
  <w:style w:type="paragraph" w:styleId="1111">
    <w:name w:val="列表项目符号 2"/>
    <w:basedOn w:val="1064"/>
    <w:next w:val="1111"/>
    <w:link w:val="1064"/>
    <w:pPr>
      <w:numPr>
        <w:ilvl w:val="0"/>
        <w:numId w:val="2"/>
      </w:numPr>
      <w:ind w:left="780"/>
      <w:tabs>
        <w:tab w:val="left" w:pos="780" w:leader="none"/>
      </w:tabs>
    </w:pPr>
  </w:style>
  <w:style w:type="paragraph" w:styleId="1112">
    <w:name w:val="索引 4"/>
    <w:basedOn w:val="1064"/>
    <w:next w:val="1064"/>
    <w:link w:val="1064"/>
    <w:pPr>
      <w:ind w:left="600"/>
    </w:pPr>
    <w:rPr>
      <w:rFonts w:ascii="Cambria" w:hAnsi="Cambria" w:eastAsia="华文细黑" w:cs="Cambria"/>
    </w:rPr>
  </w:style>
  <w:style w:type="paragraph" w:styleId="1113">
    <w:name w:val="目录 5"/>
    <w:basedOn w:val="1064"/>
    <w:next w:val="1064"/>
    <w:link w:val="1064"/>
    <w:unhideWhenUsed/>
    <w:pPr>
      <w:ind w:left="1680"/>
    </w:pPr>
    <w:rPr>
      <w:rFonts w:ascii="仿宋_GB2312" w:hAnsi="仿宋_GB2312" w:eastAsia="华文细黑" w:cs="Cambria"/>
      <w:szCs w:val="22"/>
    </w:rPr>
  </w:style>
  <w:style w:type="paragraph" w:styleId="1114">
    <w:name w:val="目录 3"/>
    <w:basedOn w:val="1064"/>
    <w:next w:val="1114"/>
    <w:link w:val="1064"/>
    <w:pPr>
      <w:ind w:left="941"/>
      <w:jc w:val="left"/>
      <w:spacing w:before="13"/>
    </w:pPr>
    <w:rPr>
      <w:rFonts w:ascii="Calibri" w:hAnsi="Calibri"/>
      <w:szCs w:val="21"/>
      <w:lang w:eastAsia="en-US"/>
    </w:rPr>
  </w:style>
  <w:style w:type="paragraph" w:styleId="1115">
    <w:name w:val="纯文本"/>
    <w:basedOn w:val="1064"/>
    <w:next w:val="1115"/>
    <w:link w:val="1116"/>
    <w:rPr>
      <w:rFonts w:ascii="宋体" w:hAnsi="Courier New"/>
      <w:szCs w:val="20"/>
    </w:rPr>
  </w:style>
  <w:style w:type="character" w:styleId="1116">
    <w:name w:val="纯文本 Char"/>
    <w:next w:val="1116"/>
    <w:link w:val="1115"/>
    <w:rPr>
      <w:rFonts w:ascii="宋体" w:hAnsi="Courier New"/>
      <w:sz w:val="21"/>
    </w:rPr>
  </w:style>
  <w:style w:type="paragraph" w:styleId="1117">
    <w:name w:val="列表项目符号 5"/>
    <w:basedOn w:val="1064"/>
    <w:next w:val="1117"/>
    <w:link w:val="1064"/>
    <w:pPr>
      <w:ind w:left="2040" w:hanging="360"/>
      <w:spacing w:line="360" w:lineRule="exact"/>
      <w:widowControl/>
      <w:tabs>
        <w:tab w:val="left" w:pos="2040" w:leader="none"/>
      </w:tabs>
    </w:pPr>
    <w:rPr>
      <w:rFonts w:eastAsia="楷体_GB2312"/>
      <w:sz w:val="24"/>
      <w:szCs w:val="20"/>
    </w:rPr>
  </w:style>
  <w:style w:type="paragraph" w:styleId="1118">
    <w:name w:val="目录 8"/>
    <w:basedOn w:val="1064"/>
    <w:next w:val="1064"/>
    <w:link w:val="1064"/>
    <w:unhideWhenUsed/>
    <w:pPr>
      <w:ind w:left="2940"/>
    </w:pPr>
    <w:rPr>
      <w:rFonts w:ascii="仿宋_GB2312" w:hAnsi="仿宋_GB2312" w:eastAsia="华文细黑" w:cs="Cambria"/>
      <w:szCs w:val="22"/>
    </w:rPr>
  </w:style>
  <w:style w:type="paragraph" w:styleId="1119">
    <w:name w:val="索引 3"/>
    <w:basedOn w:val="1064"/>
    <w:next w:val="1064"/>
    <w:link w:val="1064"/>
    <w:pPr>
      <w:ind w:left="400"/>
    </w:pPr>
    <w:rPr>
      <w:szCs w:val="20"/>
    </w:rPr>
  </w:style>
  <w:style w:type="paragraph" w:styleId="1120">
    <w:name w:val="日期"/>
    <w:basedOn w:val="1064"/>
    <w:next w:val="1064"/>
    <w:link w:val="1121"/>
    <w:rPr>
      <w:sz w:val="24"/>
      <w:szCs w:val="20"/>
    </w:rPr>
  </w:style>
  <w:style w:type="character" w:styleId="1121">
    <w:name w:val="日期 Char"/>
    <w:next w:val="1121"/>
    <w:link w:val="1120"/>
    <w:rPr>
      <w:sz w:val="24"/>
    </w:rPr>
  </w:style>
  <w:style w:type="paragraph" w:styleId="1122">
    <w:name w:val="正文文本缩进 2"/>
    <w:basedOn w:val="1064"/>
    <w:next w:val="1122"/>
    <w:link w:val="1123"/>
    <w:pPr>
      <w:ind w:left="420"/>
      <w:spacing w:after="120" w:line="480" w:lineRule="auto"/>
    </w:pPr>
  </w:style>
  <w:style w:type="character" w:styleId="1123">
    <w:name w:val="正文文本缩进 2 Char"/>
    <w:next w:val="1123"/>
    <w:link w:val="1122"/>
    <w:rPr>
      <w:sz w:val="21"/>
      <w:szCs w:val="24"/>
    </w:rPr>
  </w:style>
  <w:style w:type="paragraph" w:styleId="1124">
    <w:name w:val="尾注文本"/>
    <w:basedOn w:val="1064"/>
    <w:next w:val="1124"/>
    <w:link w:val="1125"/>
    <w:pPr>
      <w:jc w:val="left"/>
      <w:widowControl/>
    </w:pPr>
    <w:rPr>
      <w:sz w:val="20"/>
      <w:szCs w:val="20"/>
    </w:rPr>
  </w:style>
  <w:style w:type="character" w:styleId="1125">
    <w:name w:val="尾注文本 Char"/>
    <w:next w:val="1125"/>
    <w:link w:val="1124"/>
  </w:style>
  <w:style w:type="paragraph" w:styleId="1126">
    <w:name w:val="批注框文本"/>
    <w:basedOn w:val="1064"/>
    <w:next w:val="1126"/>
    <w:link w:val="1127"/>
    <w:rPr>
      <w:sz w:val="18"/>
      <w:szCs w:val="18"/>
    </w:rPr>
  </w:style>
  <w:style w:type="character" w:styleId="1127">
    <w:name w:val="批注框文本 Char"/>
    <w:next w:val="1127"/>
    <w:link w:val="1126"/>
    <w:rPr>
      <w:sz w:val="18"/>
      <w:szCs w:val="18"/>
    </w:rPr>
  </w:style>
  <w:style w:type="paragraph" w:styleId="1128">
    <w:name w:val="页脚"/>
    <w:basedOn w:val="1064"/>
    <w:next w:val="1128"/>
    <w:link w:val="1129"/>
    <w:pPr>
      <w:jc w:val="left"/>
      <w:tabs>
        <w:tab w:val="center" w:pos="4153" w:leader="none"/>
        <w:tab w:val="right" w:pos="8306" w:leader="none"/>
      </w:tabs>
    </w:pPr>
    <w:rPr>
      <w:sz w:val="18"/>
      <w:szCs w:val="18"/>
    </w:rPr>
  </w:style>
  <w:style w:type="character" w:styleId="1129">
    <w:name w:val="页脚 Char"/>
    <w:next w:val="1129"/>
    <w:link w:val="1128"/>
    <w:rPr>
      <w:sz w:val="18"/>
      <w:szCs w:val="18"/>
    </w:rPr>
  </w:style>
  <w:style w:type="paragraph" w:styleId="1130">
    <w:name w:val="页眉"/>
    <w:basedOn w:val="1064"/>
    <w:next w:val="1130"/>
    <w:link w:val="1131"/>
    <w:pPr>
      <w:jc w:val="center"/>
      <w:tabs>
        <w:tab w:val="center" w:pos="4153" w:leader="none"/>
        <w:tab w:val="right" w:pos="8306" w:leader="none"/>
      </w:tabs>
      <w:pBdr>
        <w:bottom w:val="single" w:color="000000" w:sz="6" w:space="1"/>
      </w:pBdr>
    </w:pPr>
    <w:rPr>
      <w:sz w:val="18"/>
      <w:szCs w:val="18"/>
    </w:rPr>
  </w:style>
  <w:style w:type="character" w:styleId="1131">
    <w:name w:val="页眉 Char"/>
    <w:next w:val="1131"/>
    <w:link w:val="1130"/>
    <w:rPr>
      <w:sz w:val="18"/>
      <w:szCs w:val="18"/>
    </w:rPr>
  </w:style>
  <w:style w:type="paragraph" w:styleId="1132">
    <w:name w:val="目录 1"/>
    <w:basedOn w:val="1064"/>
    <w:next w:val="1132"/>
    <w:link w:val="1064"/>
    <w:pPr>
      <w:ind w:left="102"/>
      <w:jc w:val="left"/>
      <w:spacing w:before="133"/>
    </w:pPr>
    <w:rPr>
      <w:rFonts w:ascii="宋体" w:hAnsi="宋体"/>
      <w:szCs w:val="21"/>
      <w:lang w:eastAsia="en-US"/>
    </w:rPr>
  </w:style>
  <w:style w:type="paragraph" w:styleId="1133">
    <w:name w:val="目录 4"/>
    <w:basedOn w:val="1064"/>
    <w:next w:val="1064"/>
    <w:link w:val="1064"/>
    <w:unhideWhenUsed/>
    <w:pPr>
      <w:ind w:left="1260"/>
    </w:pPr>
    <w:rPr>
      <w:rFonts w:ascii="仿宋_GB2312" w:hAnsi="仿宋_GB2312" w:eastAsia="华文细黑" w:cs="Cambria"/>
      <w:szCs w:val="22"/>
    </w:rPr>
  </w:style>
  <w:style w:type="paragraph" w:styleId="1134">
    <w:name w:val="副标题"/>
    <w:basedOn w:val="1064"/>
    <w:next w:val="1064"/>
    <w:link w:val="1135"/>
    <w:qFormat/>
    <w:pPr>
      <w:jc w:val="center"/>
      <w:spacing w:before="240" w:after="60" w:line="312" w:lineRule="auto"/>
      <w:outlineLvl w:val="1"/>
    </w:pPr>
    <w:rPr>
      <w:rFonts w:ascii="幼圆" w:hAnsi="幼圆"/>
      <w:b/>
      <w:bCs/>
      <w:sz w:val="32"/>
      <w:szCs w:val="32"/>
    </w:rPr>
  </w:style>
  <w:style w:type="character" w:styleId="1135">
    <w:name w:val="副标题 Char"/>
    <w:next w:val="1135"/>
    <w:link w:val="1134"/>
    <w:rPr>
      <w:rFonts w:ascii="幼圆" w:hAnsi="幼圆"/>
      <w:b/>
      <w:bCs/>
      <w:sz w:val="32"/>
      <w:szCs w:val="32"/>
    </w:rPr>
  </w:style>
  <w:style w:type="paragraph" w:styleId="1136">
    <w:name w:val="脚注文本"/>
    <w:basedOn w:val="1064"/>
    <w:next w:val="1136"/>
    <w:link w:val="1137"/>
    <w:pPr>
      <w:ind w:firstLine="425"/>
      <w:jc w:val="left"/>
      <w:spacing w:after="60" w:line="360" w:lineRule="exact"/>
    </w:pPr>
    <w:rPr>
      <w:sz w:val="18"/>
      <w:szCs w:val="18"/>
    </w:rPr>
  </w:style>
  <w:style w:type="character" w:styleId="1137">
    <w:name w:val="脚注文本 Char"/>
    <w:next w:val="1137"/>
    <w:link w:val="1136"/>
    <w:rPr>
      <w:sz w:val="18"/>
      <w:szCs w:val="18"/>
    </w:rPr>
  </w:style>
  <w:style w:type="paragraph" w:styleId="1138">
    <w:name w:val="目录 6"/>
    <w:basedOn w:val="1064"/>
    <w:next w:val="1064"/>
    <w:link w:val="1064"/>
    <w:unhideWhenUsed/>
    <w:pPr>
      <w:ind w:left="2100"/>
    </w:pPr>
    <w:rPr>
      <w:rFonts w:ascii="仿宋_GB2312" w:hAnsi="仿宋_GB2312" w:eastAsia="华文细黑" w:cs="Cambria"/>
      <w:szCs w:val="22"/>
    </w:rPr>
  </w:style>
  <w:style w:type="paragraph" w:styleId="1139">
    <w:name w:val="正文文本缩进 3"/>
    <w:basedOn w:val="1064"/>
    <w:next w:val="1139"/>
    <w:link w:val="1140"/>
    <w:pPr>
      <w:ind w:left="420"/>
      <w:spacing w:after="120"/>
    </w:pPr>
    <w:rPr>
      <w:rFonts w:ascii="Cambria" w:hAnsi="Cambria" w:eastAsia="华文细黑"/>
      <w:sz w:val="16"/>
      <w:szCs w:val="16"/>
    </w:rPr>
  </w:style>
  <w:style w:type="character" w:styleId="1140">
    <w:name w:val="正文文本缩进 3 Char"/>
    <w:next w:val="1140"/>
    <w:link w:val="1139"/>
    <w:rPr>
      <w:rFonts w:ascii="Cambria" w:hAnsi="Cambria" w:eastAsia="华文细黑" w:cs="Cambria"/>
      <w:sz w:val="16"/>
      <w:szCs w:val="16"/>
    </w:rPr>
  </w:style>
  <w:style w:type="paragraph" w:styleId="1141">
    <w:name w:val="索引 7"/>
    <w:basedOn w:val="1064"/>
    <w:next w:val="1064"/>
    <w:link w:val="1064"/>
    <w:pPr>
      <w:ind w:left="1200"/>
    </w:pPr>
    <w:rPr>
      <w:szCs w:val="20"/>
    </w:rPr>
  </w:style>
  <w:style w:type="paragraph" w:styleId="1142">
    <w:name w:val="索引 9"/>
    <w:basedOn w:val="1064"/>
    <w:next w:val="1064"/>
    <w:link w:val="1064"/>
    <w:pPr>
      <w:ind w:left="1600"/>
    </w:pPr>
    <w:rPr>
      <w:szCs w:val="20"/>
    </w:rPr>
  </w:style>
  <w:style w:type="paragraph" w:styleId="1143">
    <w:name w:val="目录 2"/>
    <w:basedOn w:val="1064"/>
    <w:next w:val="1064"/>
    <w:link w:val="1064"/>
    <w:pPr>
      <w:ind w:left="521"/>
      <w:jc w:val="left"/>
      <w:spacing w:before="13"/>
    </w:pPr>
    <w:rPr>
      <w:rFonts w:ascii="宋体" w:hAnsi="宋体"/>
      <w:szCs w:val="21"/>
      <w:lang w:eastAsia="en-US"/>
    </w:rPr>
  </w:style>
  <w:style w:type="paragraph" w:styleId="1144">
    <w:name w:val="目录 9"/>
    <w:basedOn w:val="1064"/>
    <w:next w:val="1064"/>
    <w:link w:val="1064"/>
    <w:unhideWhenUsed/>
    <w:pPr>
      <w:ind w:left="3360"/>
    </w:pPr>
    <w:rPr>
      <w:rFonts w:ascii="仿宋_GB2312" w:hAnsi="仿宋_GB2312" w:eastAsia="华文细黑" w:cs="Cambria"/>
      <w:szCs w:val="22"/>
    </w:rPr>
  </w:style>
  <w:style w:type="paragraph" w:styleId="1145">
    <w:name w:val="正文文本 2"/>
    <w:basedOn w:val="1064"/>
    <w:next w:val="1145"/>
    <w:link w:val="1146"/>
    <w:pPr>
      <w:spacing w:line="360" w:lineRule="auto"/>
      <w:tabs>
        <w:tab w:val="left" w:pos="540" w:leader="none"/>
      </w:tabs>
    </w:pPr>
    <w:rPr>
      <w:rFonts w:ascii="华文细黑" w:hAnsi="Calibri" w:eastAsia="华文细黑"/>
      <w:color w:val="000000"/>
      <w:sz w:val="28"/>
    </w:rPr>
  </w:style>
  <w:style w:type="character" w:styleId="1146">
    <w:name w:val="正文文本 2 Char"/>
    <w:next w:val="1146"/>
    <w:link w:val="1145"/>
    <w:rPr>
      <w:rFonts w:ascii="华文细黑" w:hAnsi="Calibri" w:eastAsia="华文细黑" w:cs="Cambria"/>
      <w:color w:val="000000"/>
      <w:sz w:val="28"/>
      <w:szCs w:val="24"/>
    </w:rPr>
  </w:style>
  <w:style w:type="paragraph" w:styleId="1147">
    <w:name w:val="列表 4"/>
    <w:basedOn w:val="1064"/>
    <w:next w:val="1147"/>
    <w:link w:val="1064"/>
    <w:pPr>
      <w:ind w:left="100" w:hanging="200"/>
      <w:jc w:val="left"/>
      <w:widowControl/>
    </w:pPr>
    <w:rPr>
      <w:sz w:val="20"/>
      <w:szCs w:val="20"/>
    </w:rPr>
  </w:style>
  <w:style w:type="paragraph" w:styleId="1148">
    <w:name w:val="HTML 预设格式"/>
    <w:basedOn w:val="1064"/>
    <w:next w:val="1148"/>
    <w:link w:val="1149"/>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149">
    <w:name w:val="HTML 预设格式 Char"/>
    <w:next w:val="1149"/>
    <w:link w:val="1148"/>
    <w:rPr>
      <w:rFonts w:ascii="黑体" w:hAnsi="Courier New" w:eastAsia="黑体"/>
    </w:rPr>
  </w:style>
  <w:style w:type="paragraph" w:styleId="1150">
    <w:name w:val="普通(网站)"/>
    <w:basedOn w:val="1064"/>
    <w:next w:val="1150"/>
    <w:link w:val="1151"/>
    <w:pPr>
      <w:jc w:val="left"/>
      <w:spacing w:before="100" w:beforeAutospacing="1" w:after="100" w:afterAutospacing="1" w:line="283" w:lineRule="atLeast"/>
      <w:widowControl/>
    </w:pPr>
    <w:rPr>
      <w:rFonts w:ascii="华文细黑" w:hAnsi="华文细黑" w:eastAsia="华文细黑"/>
      <w:color w:val="000000"/>
      <w:sz w:val="19"/>
      <w:szCs w:val="19"/>
    </w:rPr>
  </w:style>
  <w:style w:type="character" w:styleId="1151">
    <w:name w:val="普通(网站) Char"/>
    <w:next w:val="1151"/>
    <w:link w:val="1150"/>
    <w:rPr>
      <w:rFonts w:ascii="华文细黑" w:hAnsi="华文细黑" w:eastAsia="华文细黑" w:cs="Cambria"/>
      <w:color w:val="000000"/>
      <w:sz w:val="19"/>
      <w:szCs w:val="19"/>
    </w:rPr>
  </w:style>
  <w:style w:type="paragraph" w:styleId="1152">
    <w:name w:val="索引 1"/>
    <w:basedOn w:val="1064"/>
    <w:next w:val="1064"/>
    <w:link w:val="1064"/>
    <w:rPr>
      <w:szCs w:val="20"/>
    </w:rPr>
  </w:style>
  <w:style w:type="paragraph" w:styleId="1153">
    <w:name w:val="索引 2"/>
    <w:basedOn w:val="1064"/>
    <w:next w:val="1064"/>
    <w:link w:val="1064"/>
    <w:pPr>
      <w:ind w:left="200"/>
    </w:pPr>
    <w:rPr>
      <w:szCs w:val="20"/>
    </w:rPr>
  </w:style>
  <w:style w:type="paragraph" w:styleId="1154">
    <w:name w:val="标题"/>
    <w:basedOn w:val="1064"/>
    <w:next w:val="1064"/>
    <w:link w:val="1155"/>
    <w:qFormat/>
    <w:pPr>
      <w:jc w:val="center"/>
      <w:spacing w:before="120" w:after="120" w:line="360" w:lineRule="auto"/>
      <w:outlineLvl w:val="0"/>
    </w:pPr>
    <w:rPr>
      <w:rFonts w:ascii="幼圆" w:hAnsi="Tahoma" w:eastAsia="幼圆"/>
      <w:b/>
      <w:bCs/>
      <w:sz w:val="32"/>
      <w:szCs w:val="32"/>
    </w:rPr>
  </w:style>
  <w:style w:type="character" w:styleId="1155">
    <w:name w:val="标题 Char"/>
    <w:next w:val="1155"/>
    <w:link w:val="1154"/>
    <w:rPr>
      <w:rFonts w:ascii="幼圆" w:hAnsi="Tahoma" w:eastAsia="幼圆" w:cs="Tahoma"/>
      <w:b/>
      <w:bCs/>
      <w:sz w:val="32"/>
      <w:szCs w:val="32"/>
    </w:rPr>
  </w:style>
  <w:style w:type="paragraph" w:styleId="1156">
    <w:name w:val="批注主题"/>
    <w:basedOn w:val="1094"/>
    <w:next w:val="1094"/>
    <w:link w:val="1157"/>
    <w:rPr>
      <w:b/>
      <w:bCs/>
    </w:rPr>
  </w:style>
  <w:style w:type="character" w:styleId="1157">
    <w:name w:val="批注主题 Char"/>
    <w:next w:val="1157"/>
    <w:link w:val="1156"/>
    <w:rPr>
      <w:b/>
      <w:bCs/>
      <w:sz w:val="21"/>
      <w:szCs w:val="24"/>
    </w:rPr>
  </w:style>
  <w:style w:type="paragraph" w:styleId="1158">
    <w:name w:val="正文首行缩进"/>
    <w:basedOn w:val="1104"/>
    <w:next w:val="1158"/>
    <w:link w:val="1159"/>
    <w:pPr>
      <w:ind w:firstLine="420"/>
      <w:jc w:val="left"/>
      <w:spacing w:after="120"/>
      <w:widowControl/>
    </w:pPr>
    <w:rPr>
      <w:sz w:val="30"/>
    </w:rPr>
  </w:style>
  <w:style w:type="character" w:styleId="1159">
    <w:name w:val="正文首行缩进 Char"/>
    <w:next w:val="1159"/>
    <w:link w:val="1158"/>
    <w:rPr>
      <w:rFonts w:ascii="仿宋_GB2312" w:eastAsia="仿宋_GB2312"/>
      <w:sz w:val="30"/>
      <w:szCs w:val="24"/>
    </w:rPr>
  </w:style>
  <w:style w:type="paragraph" w:styleId="1160">
    <w:name w:val="正文首行缩进 2"/>
    <w:basedOn w:val="1107"/>
    <w:next w:val="1160"/>
    <w:link w:val="1161"/>
    <w:pPr>
      <w:ind w:left="420" w:firstLine="420"/>
      <w:spacing w:after="120"/>
    </w:pPr>
    <w:rPr>
      <w:rFonts w:ascii="Cambria" w:hAnsi="Cambria" w:eastAsia="华文细黑"/>
      <w:b w:val="0"/>
      <w:sz w:val="21"/>
    </w:rPr>
  </w:style>
  <w:style w:type="character" w:styleId="1161">
    <w:name w:val="正文首行缩进 2 Char"/>
    <w:next w:val="1161"/>
    <w:link w:val="1160"/>
    <w:rPr>
      <w:rFonts w:ascii="Cambria" w:hAnsi="Cambria" w:eastAsia="华文细黑" w:cs="Cambria"/>
      <w:sz w:val="21"/>
      <w:szCs w:val="24"/>
    </w:rPr>
  </w:style>
  <w:style w:type="table" w:styleId="1162">
    <w:name w:val="网格型"/>
    <w:basedOn w:val="1075"/>
    <w:next w:val="1162"/>
    <w:link w:val="1064"/>
    <w:pPr>
      <w:jc w:val="both"/>
      <w:widowControl w:val="off"/>
    </w:pPr>
    <w:rPr>
      <w:rFonts w:ascii="Cambria" w:hAnsi="Cambria" w:eastAsia="华文细黑" w:cs="Cambria"/>
    </w:rPr>
    <w:tblPr/>
  </w:style>
  <w:style w:type="table" w:styleId="1163">
    <w:name w:val="网格型 2"/>
    <w:basedOn w:val="1075"/>
    <w:next w:val="1163"/>
    <w:link w:val="1064"/>
    <w:pPr>
      <w:jc w:val="both"/>
      <w:widowControl w:val="off"/>
    </w:pPr>
    <w:tblPr/>
  </w:style>
  <w:style w:type="character" w:styleId="1164">
    <w:name w:val="要点"/>
    <w:next w:val="1164"/>
    <w:link w:val="1064"/>
    <w:qFormat/>
    <w:rPr>
      <w:b/>
      <w:sz w:val="21"/>
      <w:szCs w:val="24"/>
    </w:rPr>
  </w:style>
  <w:style w:type="character" w:styleId="1165">
    <w:name w:val="尾注引用"/>
    <w:next w:val="1165"/>
    <w:link w:val="1064"/>
    <w:rPr>
      <w:vertAlign w:val="superscript"/>
    </w:rPr>
  </w:style>
  <w:style w:type="character" w:styleId="1166">
    <w:name w:val="页码"/>
    <w:next w:val="1166"/>
    <w:link w:val="1064"/>
  </w:style>
  <w:style w:type="character" w:styleId="1167">
    <w:name w:val="已访问的超链接"/>
    <w:next w:val="1167"/>
    <w:link w:val="1064"/>
    <w:uiPriority w:val="99"/>
    <w:rPr>
      <w:color w:val="000000"/>
      <w:sz w:val="21"/>
      <w:szCs w:val="24"/>
      <w:u w:val="none"/>
    </w:rPr>
  </w:style>
  <w:style w:type="character" w:styleId="1168">
    <w:name w:val="强调"/>
    <w:next w:val="1168"/>
    <w:link w:val="1064"/>
    <w:qFormat/>
    <w:rPr>
      <w:i/>
    </w:rPr>
  </w:style>
  <w:style w:type="character" w:styleId="1169">
    <w:name w:val="HTML 定义"/>
    <w:next w:val="1169"/>
    <w:link w:val="1064"/>
    <w:uiPriority w:val="99"/>
    <w:unhideWhenUsed/>
    <w:rPr>
      <w:i/>
    </w:rPr>
  </w:style>
  <w:style w:type="character" w:styleId="1170">
    <w:name w:val="HTML 打字机"/>
    <w:next w:val="1170"/>
    <w:link w:val="1064"/>
    <w:unhideWhenUsed/>
    <w:rPr>
      <w:rFonts w:ascii="宋体" w:hAnsi="宋体" w:eastAsia="宋体" w:cs="宋体"/>
      <w:sz w:val="24"/>
      <w:szCs w:val="24"/>
    </w:rPr>
  </w:style>
  <w:style w:type="character" w:styleId="1171">
    <w:name w:val="超链接"/>
    <w:next w:val="1171"/>
    <w:link w:val="1064"/>
    <w:uiPriority w:val="99"/>
    <w:rPr>
      <w:color w:val="0000ff"/>
      <w:sz w:val="21"/>
      <w:szCs w:val="24"/>
      <w:u w:val="single"/>
    </w:rPr>
  </w:style>
  <w:style w:type="character" w:styleId="1172">
    <w:name w:val="HTML 代码"/>
    <w:next w:val="1172"/>
    <w:link w:val="1064"/>
    <w:uiPriority w:val="99"/>
    <w:unhideWhenUsed/>
    <w:rPr>
      <w:rFonts w:ascii="Courier New" w:hAnsi="Courier New"/>
      <w:sz w:val="20"/>
    </w:rPr>
  </w:style>
  <w:style w:type="character" w:styleId="1173">
    <w:name w:val="批注引用"/>
    <w:next w:val="1173"/>
    <w:link w:val="1064"/>
    <w:rPr>
      <w:sz w:val="21"/>
      <w:szCs w:val="21"/>
    </w:rPr>
  </w:style>
  <w:style w:type="character" w:styleId="1174">
    <w:name w:val="脚注引用"/>
    <w:next w:val="1174"/>
    <w:link w:val="1064"/>
    <w:rPr>
      <w:rFonts w:ascii="宋体" w:hAnsi="宋体" w:eastAsia="宋体"/>
      <w:vertAlign w:val="superscript"/>
    </w:rPr>
  </w:style>
  <w:style w:type="character" w:styleId="1175">
    <w:name w:val="HTML 键盘"/>
    <w:next w:val="1175"/>
    <w:link w:val="1064"/>
    <w:uiPriority w:val="99"/>
    <w:unhideWhenUsed/>
    <w:rPr>
      <w:rFonts w:ascii="Consolas" w:hAnsi="Consolas" w:eastAsia="Consolas" w:cs="Consolas"/>
      <w:color w:val="ffffff"/>
      <w:sz w:val="21"/>
      <w:szCs w:val="21"/>
      <w:shd w:val="clear" w:color="auto" w:fill="333333"/>
    </w:rPr>
  </w:style>
  <w:style w:type="character" w:styleId="1176">
    <w:name w:val="HTML 样本"/>
    <w:next w:val="1176"/>
    <w:link w:val="1064"/>
    <w:uiPriority w:val="99"/>
    <w:unhideWhenUsed/>
    <w:rPr>
      <w:rFonts w:ascii="Consolas" w:hAnsi="Consolas" w:eastAsia="Consolas" w:cs="Consolas"/>
      <w:sz w:val="21"/>
      <w:szCs w:val="21"/>
    </w:rPr>
  </w:style>
  <w:style w:type="paragraph" w:styleId="1177">
    <w:name w:val="列出段落"/>
    <w:basedOn w:val="1064"/>
    <w:next w:val="1177"/>
    <w:link w:val="1064"/>
    <w:qFormat/>
    <w:pPr>
      <w:ind w:firstLine="420"/>
    </w:pPr>
    <w:rPr>
      <w:rFonts w:ascii="Cambria" w:hAnsi="Cambria" w:eastAsia="华文细黑" w:cs="Cambria"/>
    </w:rPr>
  </w:style>
  <w:style w:type="character" w:styleId="1178">
    <w:name w:val="10"/>
    <w:next w:val="1178"/>
    <w:link w:val="1064"/>
    <w:rPr>
      <w:rFonts w:ascii="Calibri" w:hAnsi="Calibri"/>
      <w:sz w:val="21"/>
      <w:szCs w:val="24"/>
    </w:rPr>
  </w:style>
  <w:style w:type="character" w:styleId="1179">
    <w:name w:val="Definition"/>
    <w:next w:val="1179"/>
    <w:link w:val="1064"/>
    <w:rPr>
      <w:i/>
    </w:rPr>
  </w:style>
  <w:style w:type="character" w:styleId="1180">
    <w:name w:val="Char Char16"/>
    <w:next w:val="1180"/>
    <w:link w:val="1064"/>
    <w:rPr>
      <w:rFonts w:ascii="Tahoma" w:hAnsi="Tahoma" w:eastAsia="幼圆"/>
      <w:sz w:val="24"/>
      <w:szCs w:val="24"/>
    </w:rPr>
  </w:style>
  <w:style w:type="character" w:styleId="1181">
    <w:name w:val="Char Char4"/>
    <w:next w:val="1181"/>
    <w:link w:val="1064"/>
    <w:rPr>
      <w:rFonts w:ascii="华文细黑" w:hAnsi="华文细黑" w:eastAsia="幼圆" w:cs="Tahoma"/>
      <w:b/>
      <w:sz w:val="28"/>
      <w:szCs w:val="32"/>
      <w:lang w:val="en-US" w:eastAsia="zh-CN" w:bidi="ar-SA"/>
    </w:rPr>
  </w:style>
  <w:style w:type="character" w:styleId="1182">
    <w:name w:val="Char Char23"/>
    <w:next w:val="1182"/>
    <w:link w:val="1064"/>
    <w:rPr>
      <w:rFonts w:ascii="幼圆" w:hAnsi="华文细黑" w:eastAsia="幼圆" w:cs="Tahoma"/>
      <w:b/>
      <w:bCs/>
      <w:sz w:val="30"/>
      <w:szCs w:val="24"/>
    </w:rPr>
  </w:style>
  <w:style w:type="character" w:styleId="1183">
    <w:name w:val="正文首行缩进 Char1"/>
    <w:next w:val="1183"/>
    <w:link w:val="1064"/>
    <w:uiPriority w:val="99"/>
    <w:semiHidden/>
    <w:rPr>
      <w:rFonts w:ascii="仿宋_GB2312" w:eastAsia="仿宋_GB2312"/>
      <w:sz w:val="21"/>
      <w:szCs w:val="24"/>
    </w:rPr>
  </w:style>
  <w:style w:type="character" w:styleId="1184">
    <w:name w:val="CODE"/>
    <w:next w:val="1184"/>
    <w:link w:val="1064"/>
    <w:rPr>
      <w:rFonts w:ascii="华文细黑" w:hAnsi="华文细黑"/>
      <w:sz w:val="20"/>
    </w:rPr>
  </w:style>
  <w:style w:type="character" w:styleId="1185">
    <w:name w:val="Char Char19"/>
    <w:next w:val="1185"/>
    <w:link w:val="1064"/>
    <w:rPr>
      <w:rFonts w:ascii="仿宋_GB2312" w:hAnsi="仿宋_GB2312"/>
      <w:b/>
      <w:bCs/>
      <w:sz w:val="28"/>
      <w:szCs w:val="28"/>
    </w:rPr>
  </w:style>
  <w:style w:type="character" w:styleId="1186">
    <w:name w:val="不明显参考"/>
    <w:next w:val="1186"/>
    <w:link w:val="1064"/>
    <w:qFormat/>
    <w:rPr>
      <w:smallCaps/>
      <w:color w:val="c0504d"/>
      <w:u w:val="single"/>
    </w:rPr>
  </w:style>
  <w:style w:type="character" w:styleId="1187">
    <w:name w:val="chword"/>
    <w:next w:val="1187"/>
    <w:link w:val="1064"/>
  </w:style>
  <w:style w:type="character" w:styleId="1188">
    <w:name w:val="l15 Char"/>
    <w:next w:val="1188"/>
    <w:link w:val="1189"/>
    <w:rPr>
      <w:color w:val="000000"/>
      <w:sz w:val="23"/>
      <w:szCs w:val="23"/>
    </w:rPr>
  </w:style>
  <w:style w:type="paragraph" w:styleId="1189">
    <w:name w:val="l15"/>
    <w:basedOn w:val="1064"/>
    <w:next w:val="1189"/>
    <w:link w:val="1188"/>
    <w:pPr>
      <w:jc w:val="left"/>
      <w:spacing w:before="100" w:beforeAutospacing="1" w:after="100" w:afterAutospacing="1" w:line="300" w:lineRule="atLeast"/>
      <w:widowControl/>
    </w:pPr>
    <w:rPr>
      <w:color w:val="000000"/>
      <w:sz w:val="23"/>
      <w:szCs w:val="23"/>
    </w:rPr>
  </w:style>
  <w:style w:type="character" w:styleId="1190">
    <w:name w:val="infodetail1"/>
    <w:next w:val="1190"/>
    <w:link w:val="1064"/>
    <w:rPr>
      <w:rFonts w:ascii="ˎ̥" w:hAnsi="ˎ̥"/>
      <w:sz w:val="24"/>
      <w:szCs w:val="24"/>
    </w:rPr>
  </w:style>
  <w:style w:type="character" w:styleId="1191">
    <w:name w:val="标题 31,H32,H33,H34,H35,H36,H37,H38,H39,H310,H311,H321,H331,H341,H351,H361,H371,H381,H391,H3101,H312,H322,H332,H342,H352,H362,H372,H382,H392,H3102,H3111,H3211,H3311,H3411,H3511,H3611,H3711,H3811,H3911,H31011,H313,H323"/>
    <w:next w:val="1191"/>
    <w:link w:val="1064"/>
    <w:rPr>
      <w:rFonts w:hint="eastAsia" w:ascii="黑体" w:hAnsi="ˎ̥" w:eastAsia="黑体"/>
      <w:sz w:val="28"/>
    </w:rPr>
  </w:style>
  <w:style w:type="character" w:styleId="1192">
    <w:name w:val="表格正文 Char Char"/>
    <w:next w:val="1192"/>
    <w:link w:val="1064"/>
    <w:rPr>
      <w:sz w:val="21"/>
      <w:szCs w:val="24"/>
    </w:rPr>
  </w:style>
  <w:style w:type="character" w:styleId="1193">
    <w:name w:val="textcontents"/>
    <w:next w:val="1193"/>
    <w:link w:val="1064"/>
    <w:rPr>
      <w:rFonts w:cs="Cambria"/>
    </w:rPr>
  </w:style>
  <w:style w:type="character" w:styleId="1194">
    <w:name w:val="脚注文本 Char1"/>
    <w:next w:val="1194"/>
    <w:link w:val="1064"/>
    <w:rPr>
      <w:sz w:val="18"/>
      <w:szCs w:val="18"/>
    </w:rPr>
  </w:style>
  <w:style w:type="character" w:styleId="1195">
    <w:name w:val="font31"/>
    <w:next w:val="1195"/>
    <w:link w:val="1064"/>
    <w:rPr>
      <w:rFonts w:hint="eastAsia" w:ascii="宋体" w:hAnsi="宋体" w:eastAsia="宋体" w:cs="宋体"/>
      <w:i w:val="0"/>
      <w:color w:val="000000"/>
      <w:sz w:val="24"/>
      <w:szCs w:val="24"/>
      <w:u w:val="none"/>
    </w:rPr>
  </w:style>
  <w:style w:type="character" w:styleId="1196">
    <w:name w:val="副标题 Char1"/>
    <w:next w:val="1196"/>
    <w:link w:val="1064"/>
    <w:rPr>
      <w:rFonts w:ascii="Cambria" w:hAnsi="Cambria" w:cs="Times New Roman"/>
      <w:b/>
      <w:bCs/>
      <w:sz w:val="32"/>
      <w:szCs w:val="32"/>
    </w:rPr>
  </w:style>
  <w:style w:type="character" w:styleId="1197">
    <w:name w:val="HTML Markup"/>
    <w:next w:val="1197"/>
    <w:link w:val="1064"/>
    <w:rPr>
      <w:vanish/>
      <w:color w:val="ff0000"/>
    </w:rPr>
  </w:style>
  <w:style w:type="character" w:styleId="1198">
    <w:name w:val="明显强调"/>
    <w:next w:val="1198"/>
    <w:link w:val="1064"/>
    <w:qFormat/>
    <w:rPr>
      <w:b/>
      <w:bCs/>
      <w:i/>
      <w:iCs/>
      <w:color w:val="4f81bd"/>
    </w:rPr>
  </w:style>
  <w:style w:type="character" w:styleId="1199">
    <w:name w:val="Variable"/>
    <w:next w:val="1199"/>
    <w:link w:val="1064"/>
    <w:rPr>
      <w:i/>
    </w:rPr>
  </w:style>
  <w:style w:type="character" w:styleId="1200">
    <w:name w:val="sugg-loading"/>
    <w:next w:val="1200"/>
    <w:link w:val="1064"/>
  </w:style>
  <w:style w:type="character" w:styleId="1201">
    <w:name w:val="Char Char17"/>
    <w:next w:val="1201"/>
    <w:link w:val="1064"/>
    <w:rPr>
      <w:b/>
      <w:bCs/>
      <w:sz w:val="24"/>
      <w:szCs w:val="24"/>
    </w:rPr>
  </w:style>
  <w:style w:type="character" w:styleId="1202">
    <w:name w:val="Char Char"/>
    <w:next w:val="1202"/>
    <w:link w:val="1064"/>
    <w:rPr>
      <w:rFonts w:eastAsia="华文细黑"/>
      <w:b/>
      <w:bCs/>
      <w:sz w:val="21"/>
      <w:szCs w:val="24"/>
      <w:lang w:val="en-US" w:eastAsia="zh-CN" w:bidi="ar-SA"/>
    </w:rPr>
  </w:style>
  <w:style w:type="character" w:styleId="1203">
    <w:name w:val="文档结构图 Char1"/>
    <w:next w:val="1203"/>
    <w:link w:val="1064"/>
    <w:rPr>
      <w:rFonts w:ascii="华文细黑"/>
      <w:sz w:val="18"/>
      <w:szCs w:val="18"/>
    </w:rPr>
  </w:style>
  <w:style w:type="character" w:styleId="1204">
    <w:name w:val="手改 Char Char"/>
    <w:next w:val="1204"/>
    <w:link w:val="1064"/>
    <w:rPr>
      <w:sz w:val="21"/>
      <w:szCs w:val="24"/>
    </w:rPr>
  </w:style>
  <w:style w:type="character" w:styleId="1205">
    <w:name w:val="标题5 Char Char"/>
    <w:next w:val="1205"/>
    <w:link w:val="1206"/>
    <w:rPr>
      <w:rFonts w:ascii="Tahoma" w:hAnsi="Tahoma"/>
      <w:b/>
      <w:bCs/>
      <w:sz w:val="24"/>
      <w:szCs w:val="32"/>
    </w:rPr>
  </w:style>
  <w:style w:type="paragraph" w:styleId="1206">
    <w:name w:val="标题5"/>
    <w:basedOn w:val="1067"/>
    <w:next w:val="1206"/>
    <w:link w:val="1205"/>
    <w:pPr>
      <w:jc w:val="both"/>
      <w:keepLines/>
      <w:spacing w:before="260" w:after="260" w:line="413" w:lineRule="auto"/>
    </w:pPr>
    <w:rPr>
      <w:rFonts w:ascii="Tahoma" w:hAnsi="Tahoma" w:eastAsia="宋体"/>
      <w:sz w:val="24"/>
      <w:szCs w:val="32"/>
    </w:rPr>
  </w:style>
  <w:style w:type="character" w:styleId="1207">
    <w:name w:val="普通文字 Char Char1,普通文字 Char Char Char,正 文 1 Char,普通文字1 Char,普通文字2 Char,普通文字3 Char,普通文字4 Char,普通文字5 Char,普通文字6 Char,普通文字11 Char,普通文字21 Char,普通文字31 Char,普通文字41 Char,普通文字7 Char,纯文本 Char Char Char1,纯文本 Char1 Char Char Char,纯文本 Char Char Char Char Char,纯文本 Char1"/>
    <w:next w:val="1207"/>
    <w:link w:val="1064"/>
    <w:rPr>
      <w:rFonts w:ascii="华文细黑" w:hAnsi="华文细黑" w:eastAsia="华文细黑" w:cs="华文细黑"/>
      <w:sz w:val="21"/>
      <w:szCs w:val="21"/>
      <w:lang w:val="en-US" w:eastAsia="zh-CN" w:bidi="ar-SA"/>
    </w:rPr>
  </w:style>
  <w:style w:type="character" w:styleId="1208">
    <w:name w:val=" Char Char,标题 5 Char1, Char Char5,标题 5 Char Char,第四层条 Char,Second Subheading Char,Table label Char,hm Char,mh2 Char,Module heading 2 Char,Head 5 Char,list 5 Char,MB5 Char,Block Label Char,L5 Char"/>
    <w:next w:val="1208"/>
    <w:link w:val="1064"/>
    <w:rPr>
      <w:rFonts w:eastAsia="华文细黑"/>
      <w:b/>
      <w:bCs/>
      <w:sz w:val="21"/>
      <w:szCs w:val="24"/>
      <w:lang w:val="en-US" w:eastAsia="zh-CN" w:bidi="ar-SA"/>
    </w:rPr>
  </w:style>
  <w:style w:type="character" w:styleId="1209">
    <w:name w:val="15"/>
    <w:next w:val="1209"/>
    <w:link w:val="1064"/>
    <w:rPr>
      <w:rFonts w:ascii="Calibri" w:hAnsi="Calibri"/>
      <w:sz w:val="21"/>
      <w:szCs w:val="24"/>
    </w:rPr>
  </w:style>
  <w:style w:type="character" w:styleId="1210">
    <w:name w:val=" Char Char3"/>
    <w:next w:val="1210"/>
    <w:link w:val="1064"/>
    <w:rPr>
      <w:rFonts w:ascii="幼圆" w:hAnsi="华文细黑" w:eastAsia="幼圆" w:cs="Tahoma"/>
      <w:b/>
      <w:bCs/>
      <w:sz w:val="24"/>
      <w:szCs w:val="24"/>
      <w:lang w:val="en-US" w:eastAsia="zh-CN" w:bidi="ar-SA"/>
    </w:rPr>
  </w:style>
  <w:style w:type="character" w:styleId="1211">
    <w:name w:val="Char Char21"/>
    <w:next w:val="1211"/>
    <w:link w:val="1064"/>
    <w:rPr>
      <w:rFonts w:ascii="华文细黑" w:hAnsi="华文细黑" w:eastAsia="幼圆" w:cs="Tahoma"/>
      <w:b/>
      <w:sz w:val="30"/>
      <w:szCs w:val="30"/>
    </w:rPr>
  </w:style>
  <w:style w:type="character" w:styleId="1212">
    <w:name w:val="HTML 预设格式 Char1"/>
    <w:next w:val="1212"/>
    <w:link w:val="1064"/>
    <w:rPr>
      <w:rFonts w:ascii="Courier New" w:hAnsi="Courier New" w:cs="Courier New"/>
      <w:sz w:val="21"/>
      <w:szCs w:val="24"/>
    </w:rPr>
  </w:style>
  <w:style w:type="character" w:styleId="1213">
    <w:name w:val="批注文字 Char Char"/>
    <w:next w:val="1213"/>
    <w:link w:val="1064"/>
    <w:rPr>
      <w:rFonts w:ascii="华文细黑" w:hAnsi="Cambria" w:eastAsia="华文细黑" w:cs="Cambria"/>
      <w:sz w:val="28"/>
      <w:szCs w:val="20"/>
    </w:rPr>
  </w:style>
  <w:style w:type="character" w:styleId="1214">
    <w:name w:val="Para head"/>
    <w:next w:val="1214"/>
    <w:link w:val="1064"/>
    <w:rPr>
      <w:rFonts w:ascii="Arial" w:hAnsi="Arial" w:eastAsia="Times New Roman"/>
      <w:sz w:val="20"/>
    </w:rPr>
  </w:style>
  <w:style w:type="character" w:styleId="1215">
    <w:name w:val="tit"/>
    <w:next w:val="1215"/>
    <w:link w:val="1064"/>
    <w:rPr>
      <w:color w:val="db2200"/>
    </w:rPr>
  </w:style>
  <w:style w:type="character" w:styleId="1216">
    <w:name w:val="表格正文 Char"/>
    <w:next w:val="1216"/>
    <w:link w:val="1217"/>
    <w:rPr>
      <w:szCs w:val="24"/>
    </w:rPr>
  </w:style>
  <w:style w:type="paragraph" w:styleId="1217">
    <w:name w:val="表格正文"/>
    <w:basedOn w:val="1064"/>
    <w:next w:val="1217"/>
    <w:link w:val="1216"/>
    <w:qFormat/>
    <w:rPr>
      <w:sz w:val="20"/>
    </w:rPr>
  </w:style>
  <w:style w:type="character" w:styleId="1218">
    <w:name w:val="样式 标题 3 + (中文) 黑体 小四 非加粗 段前: 7.8 磅 段后: 0 磅 行距: 固定值 20 磅 Char"/>
    <w:next w:val="1218"/>
    <w:link w:val="1064"/>
    <w:rPr>
      <w:rFonts w:ascii="幼圆" w:hAnsi="华文细黑" w:eastAsia="幼圆" w:cs="华文细黑"/>
      <w:b/>
      <w:bCs/>
      <w:sz w:val="24"/>
      <w:lang w:val="en-US" w:eastAsia="zh-CN" w:bidi="ar-SA"/>
    </w:rPr>
  </w:style>
  <w:style w:type="character" w:styleId="1219">
    <w:name w:val="Typewriter"/>
    <w:next w:val="1219"/>
    <w:link w:val="1064"/>
    <w:rPr>
      <w:rFonts w:ascii="华文细黑" w:hAnsi="华文细黑"/>
      <w:sz w:val="20"/>
    </w:rPr>
  </w:style>
  <w:style w:type="character" w:styleId="1220">
    <w:name w:val="Char Char1"/>
    <w:next w:val="1220"/>
    <w:link w:val="1064"/>
    <w:rPr>
      <w:rFonts w:ascii="幼圆" w:hAnsi="Tahoma" w:eastAsia="幼圆" w:cs="Tahoma"/>
      <w:b/>
      <w:bCs/>
      <w:sz w:val="32"/>
      <w:szCs w:val="32"/>
      <w:lang w:val="en-US" w:eastAsia="zh-CN" w:bidi="ar-SA"/>
    </w:rPr>
  </w:style>
  <w:style w:type="character" w:styleId="1221">
    <w:name w:val=" Char Char1"/>
    <w:next w:val="1221"/>
    <w:link w:val="1064"/>
    <w:rPr>
      <w:rFonts w:ascii="幼圆" w:hAnsi="Tahoma" w:eastAsia="幼圆" w:cs="Tahoma"/>
      <w:b/>
      <w:bCs/>
      <w:sz w:val="32"/>
      <w:szCs w:val="32"/>
      <w:lang w:val="en-US" w:eastAsia="zh-CN" w:bidi="ar-SA"/>
    </w:rPr>
  </w:style>
  <w:style w:type="character" w:styleId="1222">
    <w:name w:val="Char Char22"/>
    <w:next w:val="1222"/>
    <w:link w:val="1064"/>
    <w:rPr>
      <w:rFonts w:ascii="幼圆" w:hAnsi="华文细黑" w:eastAsia="幼圆" w:cs="Tahoma"/>
      <w:b/>
      <w:bCs/>
      <w:color w:val="ff0000"/>
      <w:sz w:val="30"/>
      <w:szCs w:val="30"/>
    </w:rPr>
  </w:style>
  <w:style w:type="character" w:styleId="1223">
    <w:name w:val="不明显强调"/>
    <w:next w:val="1223"/>
    <w:link w:val="1064"/>
    <w:qFormat/>
    <w:rPr>
      <w:i/>
      <w:iCs/>
      <w:color w:val="808080"/>
    </w:rPr>
  </w:style>
  <w:style w:type="character" w:styleId="1224">
    <w:name w:val="Comment"/>
    <w:next w:val="1224"/>
    <w:link w:val="1064"/>
    <w:rPr>
      <w:vanish/>
    </w:rPr>
  </w:style>
  <w:style w:type="character" w:styleId="1225">
    <w:name w:val=" Char Char Char"/>
    <w:next w:val="1225"/>
    <w:link w:val="1064"/>
    <w:rPr>
      <w:rFonts w:ascii="宋体" w:hAnsi="宋体" w:eastAsia="宋体"/>
      <w:b/>
      <w:sz w:val="24"/>
      <w:lang w:val="en-US" w:eastAsia="zh-CN" w:bidi="ar-SA"/>
    </w:rPr>
  </w:style>
  <w:style w:type="character" w:styleId="1226">
    <w:name w:val="more6"/>
    <w:next w:val="1226"/>
    <w:link w:val="1064"/>
  </w:style>
  <w:style w:type="character" w:styleId="1227">
    <w:name w:val="正文文本缩进 Char1,正文文字4 Char1,正文小标题 Char1"/>
    <w:next w:val="1227"/>
    <w:link w:val="1064"/>
    <w:rPr>
      <w:rFonts w:ascii="仿宋_GB2312" w:eastAsia="仿宋_GB2312"/>
      <w:sz w:val="28"/>
    </w:rPr>
  </w:style>
  <w:style w:type="character" w:styleId="1228">
    <w:name w:val="引用 Char"/>
    <w:next w:val="1228"/>
    <w:link w:val="1229"/>
    <w:rPr>
      <w:i/>
      <w:iCs/>
      <w:color w:val="000000"/>
      <w:sz w:val="21"/>
      <w:szCs w:val="22"/>
    </w:rPr>
  </w:style>
  <w:style w:type="paragraph" w:styleId="1229">
    <w:name w:val="引用"/>
    <w:basedOn w:val="1064"/>
    <w:next w:val="1064"/>
    <w:link w:val="1228"/>
    <w:qFormat/>
    <w:rPr>
      <w:i/>
      <w:iCs/>
      <w:color w:val="000000"/>
      <w:szCs w:val="22"/>
    </w:rPr>
  </w:style>
  <w:style w:type="character" w:styleId="1230">
    <w:name w:val="称呼 Char1"/>
    <w:next w:val="1230"/>
    <w:link w:val="1064"/>
  </w:style>
  <w:style w:type="character" w:styleId="1231">
    <w:name w:val="页脚 Char1"/>
    <w:next w:val="1231"/>
    <w:link w:val="1064"/>
    <w:semiHidden/>
    <w:rPr>
      <w:rFonts w:ascii="Times New Roman" w:hAnsi="Times New Roman" w:eastAsia="宋体" w:cs="Times New Roman"/>
      <w:sz w:val="18"/>
      <w:szCs w:val="18"/>
    </w:rPr>
  </w:style>
  <w:style w:type="character" w:styleId="1232">
    <w:name w:val="正文文本 3 Char1"/>
    <w:next w:val="1232"/>
    <w:link w:val="1064"/>
    <w:semiHidden/>
    <w:rPr>
      <w:rFonts w:ascii="Times New Roman" w:hAnsi="Times New Roman" w:eastAsia="宋体" w:cs="Times New Roman"/>
      <w:sz w:val="16"/>
      <w:szCs w:val="16"/>
    </w:rPr>
  </w:style>
  <w:style w:type="character" w:styleId="1233">
    <w:name w:val="正文文本 2 Char1"/>
    <w:next w:val="1233"/>
    <w:link w:val="1064"/>
    <w:semiHidden/>
    <w:rPr>
      <w:rFonts w:ascii="Times New Roman" w:hAnsi="Times New Roman" w:eastAsia="宋体" w:cs="Times New Roman"/>
      <w:szCs w:val="24"/>
    </w:rPr>
  </w:style>
  <w:style w:type="character" w:styleId="1234">
    <w:name w:val="Sample"/>
    <w:next w:val="1234"/>
    <w:link w:val="1064"/>
    <w:rPr>
      <w:rFonts w:ascii="华文细黑" w:hAnsi="华文细黑"/>
    </w:rPr>
  </w:style>
  <w:style w:type="character" w:styleId="1235">
    <w:name w:val="Keyboard"/>
    <w:next w:val="1235"/>
    <w:link w:val="1064"/>
    <w:rPr>
      <w:rFonts w:ascii="华文细黑" w:hAnsi="华文细黑"/>
      <w:b/>
      <w:sz w:val="20"/>
    </w:rPr>
  </w:style>
  <w:style w:type="character" w:styleId="1236">
    <w:name w:val=" Char Char4"/>
    <w:next w:val="1236"/>
    <w:link w:val="1064"/>
    <w:rPr>
      <w:rFonts w:ascii="华文细黑" w:hAnsi="华文细黑" w:eastAsia="幼圆" w:cs="Tahoma"/>
      <w:b/>
      <w:sz w:val="28"/>
      <w:szCs w:val="32"/>
      <w:lang w:val="en-US" w:eastAsia="zh-CN" w:bidi="ar-SA"/>
    </w:rPr>
  </w:style>
  <w:style w:type="character" w:styleId="1237">
    <w:name w:val=" Char Char2"/>
    <w:next w:val="1237"/>
    <w:link w:val="1064"/>
    <w:rPr>
      <w:rFonts w:eastAsia="华文细黑"/>
      <w:sz w:val="21"/>
      <w:szCs w:val="24"/>
      <w:lang w:val="en-US" w:eastAsia="zh-CN" w:bidi="ar-SA"/>
    </w:rPr>
  </w:style>
  <w:style w:type="character" w:styleId="1238">
    <w:name w:val="批注框文本 Char1"/>
    <w:next w:val="1238"/>
    <w:link w:val="1064"/>
    <w:rPr>
      <w:sz w:val="18"/>
      <w:szCs w:val="18"/>
    </w:rPr>
  </w:style>
  <w:style w:type="character" w:styleId="1239">
    <w:name w:val="引用 Char1"/>
    <w:next w:val="1239"/>
    <w:link w:val="1064"/>
    <w:rPr>
      <w:i/>
      <w:iCs/>
      <w:color w:val="000000"/>
      <w:sz w:val="21"/>
      <w:szCs w:val="24"/>
    </w:rPr>
  </w:style>
  <w:style w:type="character" w:styleId="1240">
    <w:name w:val="标题 Char1"/>
    <w:next w:val="1240"/>
    <w:link w:val="1064"/>
    <w:uiPriority w:val="10"/>
    <w:rPr>
      <w:rFonts w:ascii="Cambria" w:hAnsi="Cambria" w:cs="Times New Roman"/>
      <w:b/>
      <w:bCs/>
      <w:sz w:val="32"/>
      <w:szCs w:val="32"/>
    </w:rPr>
  </w:style>
  <w:style w:type="character" w:styleId="1241">
    <w:name w:val="Heading 1 Char"/>
    <w:next w:val="1241"/>
    <w:link w:val="1064"/>
    <w:rPr>
      <w:rFonts w:ascii="黑体" w:hAnsi="黑体" w:eastAsia="黑体"/>
      <w:b/>
      <w:bCs/>
      <w:sz w:val="72"/>
      <w:szCs w:val="72"/>
      <w:lang w:val="en-US" w:eastAsia="en-US" w:bidi="ar-SA"/>
    </w:rPr>
  </w:style>
  <w:style w:type="character" w:styleId="1242">
    <w:name w:val="tit12"/>
    <w:next w:val="1242"/>
    <w:link w:val="1064"/>
    <w:rPr>
      <w:color w:val="db2200"/>
    </w:rPr>
  </w:style>
  <w:style w:type="character" w:styleId="1243">
    <w:name w:val="CITE"/>
    <w:next w:val="1243"/>
    <w:link w:val="1064"/>
    <w:rPr>
      <w:i/>
    </w:rPr>
  </w:style>
  <w:style w:type="character" w:styleId="1244">
    <w:name w:val="结束语 Char1"/>
    <w:next w:val="1244"/>
    <w:link w:val="1064"/>
  </w:style>
  <w:style w:type="character" w:styleId="1245">
    <w:name w:val="more"/>
    <w:next w:val="1245"/>
    <w:link w:val="1064"/>
  </w:style>
  <w:style w:type="character" w:styleId="1246">
    <w:name w:val="明显引用 Char1"/>
    <w:next w:val="1246"/>
    <w:link w:val="1064"/>
    <w:rPr>
      <w:b/>
      <w:bCs/>
      <w:i/>
      <w:iCs/>
      <w:color w:val="4f81bd"/>
      <w:sz w:val="21"/>
      <w:szCs w:val="24"/>
    </w:rPr>
  </w:style>
  <w:style w:type="character" w:styleId="1247">
    <w:name w:val="hover4"/>
    <w:next w:val="1247"/>
    <w:link w:val="1064"/>
    <w:rPr>
      <w:color w:val="999999"/>
    </w:rPr>
  </w:style>
  <w:style w:type="character" w:styleId="1248">
    <w:name w:val="日期 Char1"/>
    <w:next w:val="1248"/>
    <w:link w:val="1064"/>
    <w:rPr>
      <w:sz w:val="21"/>
      <w:szCs w:val="22"/>
    </w:rPr>
  </w:style>
  <w:style w:type="character" w:styleId="1249">
    <w:name w:val="明显引用 Char"/>
    <w:next w:val="1249"/>
    <w:link w:val="1250"/>
    <w:rPr>
      <w:b/>
      <w:bCs/>
      <w:i/>
      <w:iCs/>
      <w:color w:val="4f81bd"/>
      <w:sz w:val="21"/>
      <w:szCs w:val="22"/>
    </w:rPr>
  </w:style>
  <w:style w:type="paragraph" w:styleId="1250">
    <w:name w:val="明显引用"/>
    <w:basedOn w:val="1064"/>
    <w:next w:val="1064"/>
    <w:link w:val="1249"/>
    <w:qFormat/>
    <w:pPr>
      <w:ind w:left="936" w:right="936"/>
      <w:spacing w:before="200" w:after="280"/>
      <w:pBdr>
        <w:bottom w:val="single" w:color="4F81BD" w:sz="4" w:space="4"/>
      </w:pBdr>
    </w:pPr>
    <w:rPr>
      <w:b/>
      <w:bCs/>
      <w:i/>
      <w:iCs/>
      <w:color w:val="4f81bd"/>
      <w:szCs w:val="22"/>
    </w:rPr>
  </w:style>
  <w:style w:type="character" w:styleId="1251">
    <w:name w:val="Char Char9"/>
    <w:next w:val="1251"/>
    <w:link w:val="1064"/>
    <w:rPr>
      <w:sz w:val="18"/>
      <w:szCs w:val="18"/>
    </w:rPr>
  </w:style>
  <w:style w:type="character" w:styleId="1252">
    <w:name w:val="Char Char20"/>
    <w:next w:val="1252"/>
    <w:link w:val="1064"/>
    <w:rPr>
      <w:rFonts w:ascii="Tahoma" w:hAnsi="Tahoma" w:eastAsia="幼圆"/>
      <w:b/>
      <w:bCs/>
      <w:sz w:val="28"/>
      <w:szCs w:val="28"/>
    </w:rPr>
  </w:style>
  <w:style w:type="character" w:styleId="1253">
    <w:name w:val="Char Char18"/>
    <w:next w:val="1253"/>
    <w:link w:val="1064"/>
    <w:rPr>
      <w:rFonts w:ascii="Tahoma" w:hAnsi="Tahoma" w:eastAsia="幼圆"/>
      <w:b/>
      <w:bCs/>
      <w:sz w:val="24"/>
      <w:szCs w:val="24"/>
    </w:rPr>
  </w:style>
  <w:style w:type="character" w:styleId="1254">
    <w:name w:val="普通(网站) Char Char"/>
    <w:next w:val="1254"/>
    <w:link w:val="1064"/>
    <w:rPr>
      <w:rFonts w:ascii="宋体" w:hAnsi="宋体"/>
      <w:sz w:val="24"/>
      <w:szCs w:val="24"/>
    </w:rPr>
  </w:style>
  <w:style w:type="character" w:styleId="1255">
    <w:name w:val="apple-converted-space"/>
    <w:next w:val="1255"/>
    <w:link w:val="1064"/>
  </w:style>
  <w:style w:type="character" w:styleId="1256">
    <w:name w:val="more4"/>
    <w:next w:val="1256"/>
    <w:link w:val="1064"/>
  </w:style>
  <w:style w:type="character" w:styleId="1257">
    <w:name w:val="书籍标题"/>
    <w:next w:val="1257"/>
    <w:link w:val="1064"/>
    <w:qFormat/>
    <w:rPr>
      <w:b/>
      <w:bCs/>
      <w:smallCaps/>
      <w:spacing w:val="5"/>
    </w:rPr>
  </w:style>
  <w:style w:type="character" w:styleId="1258">
    <w:name w:val="Char Char2"/>
    <w:next w:val="1258"/>
    <w:link w:val="1064"/>
    <w:semiHidden/>
    <w:rPr>
      <w:rFonts w:eastAsia="华文细黑"/>
      <w:sz w:val="21"/>
      <w:szCs w:val="24"/>
      <w:lang w:val="en-US" w:eastAsia="zh-CN" w:bidi="ar-SA"/>
    </w:rPr>
  </w:style>
  <w:style w:type="character" w:styleId="1259">
    <w:name w:val="text_list1"/>
    <w:next w:val="1259"/>
    <w:link w:val="1064"/>
    <w:rPr>
      <w:rFonts w:ascii="Arial" w:hAnsi="Arial" w:cs="Arial"/>
      <w:color w:val="000000"/>
      <w:spacing w:val="272"/>
      <w:sz w:val="16"/>
      <w:szCs w:val="16"/>
    </w:rPr>
  </w:style>
  <w:style w:type="character" w:styleId="1260">
    <w:name w:val="明显参考"/>
    <w:next w:val="1260"/>
    <w:link w:val="1064"/>
    <w:qFormat/>
    <w:rPr>
      <w:b/>
      <w:bCs/>
      <w:smallCaps/>
      <w:color w:val="c0504d"/>
      <w:spacing w:val="5"/>
      <w:u w:val="single"/>
    </w:rPr>
  </w:style>
  <w:style w:type="character" w:styleId="1261">
    <w:name w:val="批注主题 Char1"/>
    <w:next w:val="1261"/>
    <w:link w:val="1064"/>
    <w:rPr>
      <w:b/>
      <w:bCs/>
      <w:sz w:val="21"/>
      <w:szCs w:val="22"/>
    </w:rPr>
  </w:style>
  <w:style w:type="character" w:styleId="1262">
    <w:name w:val="批注文字 Char1"/>
    <w:next w:val="1262"/>
    <w:link w:val="1064"/>
    <w:semiHidden/>
    <w:rPr>
      <w:rFonts w:ascii="Times New Roman" w:hAnsi="Times New Roman" w:eastAsia="宋体" w:cs="Times New Roman"/>
      <w:szCs w:val="24"/>
    </w:rPr>
  </w:style>
  <w:style w:type="character" w:styleId="1263">
    <w:name w:val="itm1"/>
    <w:next w:val="1263"/>
    <w:link w:val="1064"/>
    <w:rPr>
      <w:rFonts w:hint="eastAsia" w:ascii="宋体" w:hAnsi="宋体" w:eastAsia="宋体"/>
      <w:sz w:val="21"/>
      <w:szCs w:val="21"/>
    </w:rPr>
  </w:style>
  <w:style w:type="character" w:styleId="1264">
    <w:name w:val="Char Char3"/>
    <w:next w:val="1264"/>
    <w:link w:val="1064"/>
    <w:rPr>
      <w:rFonts w:ascii="幼圆" w:hAnsi="华文细黑" w:eastAsia="幼圆" w:cs="Tahoma"/>
      <w:b/>
      <w:bCs/>
      <w:sz w:val="24"/>
      <w:szCs w:val="24"/>
      <w:lang w:val="en-US" w:eastAsia="zh-CN" w:bidi="ar-SA"/>
    </w:rPr>
  </w:style>
  <w:style w:type="character" w:styleId="1265">
    <w:name w:val="署名 Char,正文不缩进 Char,表正文 Char,正文非缩进 Char,特点 Char1,二 Char,段1 Char,标题4 Char,四号 Char,首行缩进 Char,缩进 Char,ALT+Z Char,正文（首行无缩进） Char,正文对齐 Char,特点 Char Char,特点正文 Char,PI Char,正文文字首行缩进 Char,特点标题 Char,标题四 Char,正文双线 Char,表正文1 Char,正文非缩进1 Char,标题41 Char,四号1 Char"/>
    <w:next w:val="1265"/>
    <w:link w:val="1064"/>
    <w:rPr>
      <w:rFonts w:ascii="Cambria" w:hAnsi="Cambria" w:eastAsia="华文细黑"/>
      <w:sz w:val="21"/>
      <w:szCs w:val="24"/>
      <w:lang w:bidi="ar-SA"/>
    </w:rPr>
  </w:style>
  <w:style w:type="character" w:styleId="1266">
    <w:name w:val="font01"/>
    <w:next w:val="1266"/>
    <w:link w:val="1064"/>
    <w:rPr>
      <w:rFonts w:hint="eastAsia" w:ascii="宋体" w:hAnsi="宋体" w:eastAsia="宋体" w:cs="宋体"/>
      <w:i w:val="0"/>
      <w:color w:val="000000"/>
      <w:sz w:val="22"/>
      <w:szCs w:val="22"/>
      <w:u w:val="none"/>
    </w:rPr>
  </w:style>
  <w:style w:type="character" w:styleId="1267">
    <w:name w:val="正文文本 Char1"/>
    <w:next w:val="1267"/>
    <w:link w:val="1064"/>
    <w:rPr>
      <w:sz w:val="21"/>
      <w:szCs w:val="22"/>
    </w:rPr>
  </w:style>
  <w:style w:type="paragraph" w:styleId="1268">
    <w:name w:val="重点"/>
    <w:basedOn w:val="1064"/>
    <w:next w:val="1268"/>
    <w:link w:val="1064"/>
    <w:pPr>
      <w:ind w:firstLine="420"/>
      <w:spacing w:after="20" w:line="288" w:lineRule="auto"/>
      <w:shd w:val="pct10" w:color="auto" w:fill="auto"/>
    </w:pPr>
    <w:rPr>
      <w:rFonts w:eastAsia="黑体"/>
      <w:b/>
    </w:rPr>
  </w:style>
  <w:style w:type="paragraph" w:styleId="1269">
    <w:name w:val="H5"/>
    <w:basedOn w:val="1064"/>
    <w:next w:val="1064"/>
    <w:link w:val="1064"/>
    <w:pPr>
      <w:jc w:val="left"/>
      <w:keepNext/>
      <w:spacing w:before="100" w:after="100"/>
      <w:outlineLvl w:val="5"/>
    </w:pPr>
    <w:rPr>
      <w:rFonts w:ascii="Cambria" w:hAnsi="Cambria" w:eastAsia="华文细黑" w:cs="Cambria"/>
      <w:b/>
      <w:sz w:val="20"/>
      <w:szCs w:val="20"/>
    </w:rPr>
  </w:style>
  <w:style w:type="paragraph" w:styleId="1270">
    <w:name w:val="函数注释2"/>
    <w:basedOn w:val="1064"/>
    <w:next w:val="1270"/>
    <w:link w:val="1064"/>
    <w:pPr>
      <w:ind w:left="1680" w:firstLine="420"/>
      <w:spacing w:after="20" w:line="288" w:lineRule="auto"/>
    </w:pPr>
  </w:style>
  <w:style w:type="paragraph" w:styleId="1271">
    <w:name w:val="xl74"/>
    <w:basedOn w:val="1064"/>
    <w:next w:val="1271"/>
    <w:link w:val="1064"/>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272">
    <w:name w:val=" Char Char Char Char Char Char Char"/>
    <w:basedOn w:val="1064"/>
    <w:next w:val="1272"/>
    <w:link w:val="1064"/>
    <w:pPr>
      <w:jc w:val="left"/>
      <w:spacing w:after="160" w:line="240" w:lineRule="exact"/>
      <w:widowControl/>
    </w:pPr>
    <w:rPr>
      <w:rFonts w:ascii="Arial" w:hAnsi="Arial" w:eastAsia="Times New Roman" w:cs="Verdana"/>
      <w:b/>
      <w:sz w:val="24"/>
      <w:lang w:eastAsia="en-US"/>
    </w:rPr>
  </w:style>
  <w:style w:type="paragraph" w:styleId="1273">
    <w:name w:val="标准文字"/>
    <w:basedOn w:val="1064"/>
    <w:next w:val="1273"/>
    <w:link w:val="1064"/>
    <w:pPr>
      <w:ind w:firstLine="420"/>
      <w:spacing w:after="20" w:line="360" w:lineRule="auto"/>
    </w:pPr>
  </w:style>
  <w:style w:type="paragraph" w:styleId="1274">
    <w:name w:val="xl63"/>
    <w:basedOn w:val="1064"/>
    <w:next w:val="1274"/>
    <w:link w:val="1064"/>
    <w:pPr>
      <w:jc w:val="left"/>
      <w:spacing w:before="100" w:beforeAutospacing="1" w:after="100" w:afterAutospacing="1"/>
      <w:widowControl/>
    </w:pPr>
    <w:rPr>
      <w:rFonts w:ascii="微软雅黑" w:hAnsi="微软雅黑" w:eastAsia="微软雅黑" w:cs="宋体"/>
      <w:sz w:val="13"/>
      <w:szCs w:val="13"/>
    </w:rPr>
  </w:style>
  <w:style w:type="paragraph" w:styleId="1275">
    <w:name w:val="Char"/>
    <w:basedOn w:val="1064"/>
    <w:next w:val="1275"/>
    <w:link w:val="1064"/>
    <w:pPr>
      <w:jc w:val="left"/>
      <w:spacing w:after="160" w:line="240" w:lineRule="exact"/>
      <w:widowControl/>
    </w:pPr>
  </w:style>
  <w:style w:type="paragraph" w:styleId="1276">
    <w:name w:val="font6"/>
    <w:basedOn w:val="1064"/>
    <w:next w:val="1276"/>
    <w:link w:val="1064"/>
    <w:pPr>
      <w:ind w:firstLine="420"/>
      <w:jc w:val="left"/>
      <w:spacing w:before="100" w:beforeAutospacing="1" w:after="100" w:afterAutospacing="1" w:line="288" w:lineRule="auto"/>
      <w:widowControl/>
    </w:pPr>
    <w:rPr>
      <w:sz w:val="24"/>
    </w:rPr>
  </w:style>
  <w:style w:type="paragraph" w:styleId="1277">
    <w:name w:val="xl25"/>
    <w:basedOn w:val="1064"/>
    <w:next w:val="1277"/>
    <w:link w:val="106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78">
    <w:name w:val="ZDY正文"/>
    <w:basedOn w:val="1064"/>
    <w:next w:val="1278"/>
    <w:link w:val="1064"/>
    <w:qFormat/>
    <w:pPr>
      <w:ind w:firstLine="200"/>
      <w:jc w:val="left"/>
      <w:spacing w:line="360" w:lineRule="auto"/>
    </w:pPr>
    <w:rPr>
      <w:rFonts w:ascii="宋体" w:hAnsi="宋体"/>
      <w:sz w:val="24"/>
    </w:rPr>
  </w:style>
  <w:style w:type="paragraph" w:styleId="1279">
    <w:name w:val="简介正文"/>
    <w:basedOn w:val="1064"/>
    <w:next w:val="1279"/>
    <w:link w:val="1064"/>
    <w:pPr>
      <w:ind w:left="1701" w:hanging="1701"/>
      <w:spacing w:after="20" w:line="520" w:lineRule="exact"/>
    </w:pPr>
    <w:rPr>
      <w:sz w:val="24"/>
      <w:szCs w:val="20"/>
    </w:rPr>
  </w:style>
  <w:style w:type="paragraph" w:styleId="1280">
    <w:name w:val="_Style 4"/>
    <w:basedOn w:val="1064"/>
    <w:next w:val="1280"/>
    <w:link w:val="1064"/>
    <w:pPr>
      <w:ind w:firstLine="200"/>
      <w:spacing w:line="360" w:lineRule="auto"/>
    </w:pPr>
  </w:style>
  <w:style w:type="paragraph" w:styleId="1281">
    <w:name w:val="xl47"/>
    <w:basedOn w:val="1064"/>
    <w:next w:val="1281"/>
    <w:link w:val="106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282">
    <w:name w:val="样式 标题 2 + Times New Roman 四号 非加粗 段前: 5 磅 段后: 0 磅 行距: 固定值 20..."/>
    <w:basedOn w:val="1066"/>
    <w:next w:val="1282"/>
    <w:link w:val="1064"/>
    <w:pPr>
      <w:spacing w:before="100" w:after="0" w:line="400" w:lineRule="exact"/>
    </w:pPr>
    <w:rPr>
      <w:rFonts w:eastAsia="幼圆" w:cs="华文细黑"/>
      <w:b w:val="0"/>
      <w:bCs w:val="0"/>
      <w:color w:val="ff0000"/>
      <w:sz w:val="30"/>
      <w:szCs w:val="20"/>
      <w:lang w:eastAsia="en-US"/>
    </w:rPr>
  </w:style>
  <w:style w:type="paragraph" w:styleId="1283">
    <w:name w:val="产品型号"/>
    <w:basedOn w:val="1064"/>
    <w:next w:val="1283"/>
    <w:link w:val="1064"/>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284">
    <w:name w:val="目录文字"/>
    <w:basedOn w:val="1064"/>
    <w:next w:val="1284"/>
    <w:link w:val="1064"/>
    <w:pPr>
      <w:jc w:val="left"/>
      <w:spacing w:line="480" w:lineRule="auto"/>
      <w:widowControl/>
    </w:pPr>
    <w:rPr>
      <w:rFonts w:ascii="宋体" w:hAnsi="宋体"/>
      <w:sz w:val="24"/>
      <w:szCs w:val="20"/>
    </w:rPr>
  </w:style>
  <w:style w:type="paragraph" w:styleId="1285">
    <w:name w:val=" Char Char Char Char Char Char"/>
    <w:basedOn w:val="1064"/>
    <w:next w:val="1285"/>
    <w:link w:val="1064"/>
    <w:pPr>
      <w:jc w:val="left"/>
      <w:spacing w:after="160" w:line="240" w:lineRule="exact"/>
      <w:widowControl/>
    </w:pPr>
    <w:rPr>
      <w:rFonts w:ascii="黑体" w:hAnsi="Verdana" w:eastAsia="黑体"/>
      <w:sz w:val="32"/>
      <w:szCs w:val="32"/>
    </w:rPr>
  </w:style>
  <w:style w:type="paragraph" w:styleId="1286">
    <w:name w:val="È±Ê¡ÎÄ±¾"/>
    <w:basedOn w:val="1064"/>
    <w:next w:val="1286"/>
    <w:link w:val="1064"/>
    <w:pPr>
      <w:jc w:val="left"/>
      <w:widowControl/>
    </w:pPr>
    <w:rPr>
      <w:sz w:val="24"/>
      <w:szCs w:val="20"/>
    </w:rPr>
  </w:style>
  <w:style w:type="paragraph" w:styleId="1287">
    <w:name w:val="_Style 13"/>
    <w:basedOn w:val="1064"/>
    <w:next w:val="1104"/>
    <w:link w:val="1064"/>
    <w:pPr>
      <w:spacing w:line="0" w:lineRule="atLeast"/>
    </w:pPr>
    <w:rPr>
      <w:sz w:val="30"/>
      <w:szCs w:val="20"/>
    </w:rPr>
  </w:style>
  <w:style w:type="paragraph" w:styleId="1288">
    <w:name w:val="列表_名词"/>
    <w:basedOn w:val="1289"/>
    <w:next w:val="1288"/>
    <w:link w:val="1064"/>
    <w:pPr>
      <w:ind w:left="2745" w:hanging="420"/>
      <w:tabs>
        <w:tab w:val="left" w:pos="2745" w:leader="none"/>
      </w:tabs>
    </w:pPr>
  </w:style>
  <w:style w:type="paragraph" w:styleId="1289">
    <w:name w:val="名词解释11"/>
    <w:basedOn w:val="1290"/>
    <w:next w:val="1289"/>
    <w:link w:val="1064"/>
    <w:pPr>
      <w:ind w:firstLine="0"/>
      <w:spacing w:after="0"/>
    </w:pPr>
  </w:style>
  <w:style w:type="paragraph" w:styleId="1290">
    <w:name w:val="名词解释"/>
    <w:basedOn w:val="1064"/>
    <w:next w:val="1290"/>
    <w:link w:val="1064"/>
    <w:pPr>
      <w:ind w:left="2325" w:hanging="2325"/>
      <w:spacing w:after="20" w:line="288" w:lineRule="auto"/>
    </w:pPr>
    <w:rPr>
      <w:szCs w:val="20"/>
    </w:rPr>
  </w:style>
  <w:style w:type="paragraph" w:styleId="1291">
    <w:name w:val="题注4"/>
    <w:basedOn w:val="1064"/>
    <w:next w:val="1090"/>
    <w:link w:val="1064"/>
    <w:pPr>
      <w:numPr>
        <w:ilvl w:val="0"/>
        <w:numId w:val="3"/>
      </w:numPr>
      <w:ind w:left="0" w:firstLine="0"/>
      <w:jc w:val="center"/>
      <w:framePr w:hSpace="180" w:wrap="around" w:vAnchor="text" w:hAnchor="margin" w:y="514"/>
    </w:pPr>
    <w:rPr>
      <w:b/>
      <w:color w:val="000000"/>
      <w:szCs w:val="21"/>
      <w:lang w:val="en-GB"/>
    </w:rPr>
  </w:style>
  <w:style w:type="paragraph" w:styleId="1292">
    <w:name w:val="默认段落字体 Para Char Char Char"/>
    <w:basedOn w:val="1064"/>
    <w:next w:val="1292"/>
    <w:link w:val="1064"/>
    <w:pPr>
      <w:jc w:val="both"/>
      <w:widowControl w:val="off"/>
    </w:pPr>
    <w:rPr>
      <w:sz w:val="21"/>
      <w:szCs w:val="24"/>
    </w:rPr>
  </w:style>
  <w:style w:type="paragraph" w:styleId="1293">
    <w:name w:val="Char Char Char Char Char Char Char Char Char Char Char Char Char Char Char Char"/>
    <w:basedOn w:val="1064"/>
    <w:next w:val="1293"/>
    <w:link w:val="1064"/>
    <w:pPr>
      <w:tabs>
        <w:tab w:val="left" w:pos="360" w:leader="none"/>
      </w:tabs>
    </w:pPr>
    <w:rPr>
      <w:sz w:val="24"/>
    </w:rPr>
  </w:style>
  <w:style w:type="paragraph" w:styleId="1294">
    <w:name w:val="图形"/>
    <w:basedOn w:val="1064"/>
    <w:next w:val="1294"/>
    <w:link w:val="1064"/>
    <w:pPr>
      <w:ind w:firstLine="420"/>
      <w:jc w:val="center"/>
      <w:spacing w:after="20" w:line="288" w:lineRule="auto"/>
    </w:pPr>
  </w:style>
  <w:style w:type="paragraph" w:styleId="1295">
    <w:name w:val=" Char Char Char1 Char Char Char"/>
    <w:basedOn w:val="1064"/>
    <w:next w:val="1295"/>
    <w:link w:val="1064"/>
    <w:pPr>
      <w:ind w:firstLine="200"/>
    </w:pPr>
    <w:rPr>
      <w:rFonts w:ascii="Tahoma" w:hAnsi="Tahoma"/>
      <w:sz w:val="24"/>
      <w:szCs w:val="20"/>
    </w:rPr>
  </w:style>
  <w:style w:type="paragraph" w:styleId="1296">
    <w:name w:val="样式1"/>
    <w:basedOn w:val="1064"/>
    <w:next w:val="1296"/>
    <w:link w:val="1064"/>
    <w:pPr>
      <w:jc w:val="center"/>
    </w:pPr>
    <w:rPr>
      <w:rFonts w:ascii="楷体" w:hAnsi="Cambria" w:eastAsia="楷体" w:cs="Cambria"/>
      <w:b/>
      <w:sz w:val="32"/>
      <w:szCs w:val="28"/>
    </w:rPr>
  </w:style>
  <w:style w:type="paragraph" w:styleId="1297">
    <w:name w:val="xl43"/>
    <w:basedOn w:val="1064"/>
    <w:next w:val="1297"/>
    <w:link w:val="1064"/>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298">
    <w:name w:val="样式2"/>
    <w:basedOn w:val="1065"/>
    <w:next w:val="1298"/>
    <w:link w:val="1064"/>
    <w:pPr>
      <w:numPr>
        <w:ilvl w:val="0"/>
        <w:numId w:val="4"/>
      </w:numPr>
      <w:jc w:val="both"/>
      <w:keepLines/>
      <w:keepNext/>
      <w:spacing w:before="340" w:after="330" w:line="578" w:lineRule="auto"/>
      <w:tabs>
        <w:tab w:val="left" w:pos="425" w:leader="none"/>
      </w:tabs>
    </w:pPr>
    <w:rPr>
      <w:rFonts w:ascii="Times New Roman" w:hAnsi="Times New Roman"/>
      <w:sz w:val="32"/>
      <w:szCs w:val="44"/>
    </w:rPr>
  </w:style>
  <w:style w:type="paragraph" w:styleId="1299">
    <w:name w:val="Javis"/>
    <w:basedOn w:val="1064"/>
    <w:next w:val="1299"/>
    <w:link w:val="1064"/>
    <w:pPr>
      <w:ind w:right="210"/>
    </w:pPr>
    <w:rPr>
      <w:rFonts w:cs="宋体"/>
      <w:sz w:val="24"/>
      <w:szCs w:val="20"/>
    </w:rPr>
  </w:style>
  <w:style w:type="paragraph" w:styleId="1300">
    <w:name w:val="正文1)"/>
    <w:basedOn w:val="1064"/>
    <w:next w:val="1300"/>
    <w:link w:val="1064"/>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301">
    <w:name w:val="xl40"/>
    <w:basedOn w:val="1064"/>
    <w:next w:val="1301"/>
    <w:link w:val="106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302">
    <w:name w:val="z-Top of Form"/>
    <w:next w:val="1064"/>
    <w:link w:val="1064"/>
    <w:pPr>
      <w:jc w:val="center"/>
      <w:widowControl w:val="off"/>
      <w:pBdr>
        <w:bottom w:val="single" w:color="000000" w:sz="2" w:space="0"/>
      </w:pBdr>
    </w:pPr>
    <w:rPr>
      <w:rFonts w:ascii="Tahoma" w:hAnsi="Tahoma" w:eastAsia="华文细黑" w:cs="Cambria"/>
      <w:vanish/>
      <w:sz w:val="16"/>
      <w:lang w:val="en-US" w:eastAsia="zh-CN" w:bidi="ar-SA"/>
    </w:rPr>
  </w:style>
  <w:style w:type="paragraph" w:styleId="1303">
    <w:name w:val="H3"/>
    <w:basedOn w:val="1064"/>
    <w:next w:val="1064"/>
    <w:link w:val="1064"/>
    <w:pPr>
      <w:jc w:val="left"/>
      <w:keepNext/>
      <w:spacing w:before="100" w:after="100"/>
      <w:outlineLvl w:val="3"/>
    </w:pPr>
    <w:rPr>
      <w:rFonts w:ascii="Cambria" w:hAnsi="Cambria" w:eastAsia="华文细黑" w:cs="Cambria"/>
      <w:b/>
      <w:sz w:val="28"/>
      <w:szCs w:val="20"/>
    </w:rPr>
  </w:style>
  <w:style w:type="paragraph" w:styleId="1304">
    <w:name w:val="Address"/>
    <w:basedOn w:val="1064"/>
    <w:next w:val="1064"/>
    <w:link w:val="1064"/>
    <w:pPr>
      <w:jc w:val="left"/>
    </w:pPr>
    <w:rPr>
      <w:rFonts w:ascii="Cambria" w:hAnsi="Cambria" w:eastAsia="华文细黑" w:cs="Cambria"/>
      <w:i/>
      <w:sz w:val="24"/>
      <w:szCs w:val="20"/>
    </w:rPr>
  </w:style>
  <w:style w:type="paragraph" w:styleId="1305">
    <w:name w:val="Table Paragraph"/>
    <w:basedOn w:val="1064"/>
    <w:next w:val="1305"/>
    <w:link w:val="1064"/>
    <w:pPr>
      <w:jc w:val="left"/>
    </w:pPr>
    <w:rPr>
      <w:rFonts w:ascii="Calibri" w:hAnsi="Calibri"/>
      <w:sz w:val="22"/>
      <w:szCs w:val="22"/>
      <w:lang w:eastAsia="en-US"/>
    </w:rPr>
  </w:style>
  <w:style w:type="paragraph" w:styleId="1306">
    <w:name w:val="格式３"/>
    <w:basedOn w:val="1064"/>
    <w:next w:val="1306"/>
    <w:link w:val="1064"/>
    <w:pPr>
      <w:ind w:left="600" w:hanging="600"/>
      <w:spacing w:line="420" w:lineRule="atLeast"/>
    </w:pPr>
    <w:rPr>
      <w:rFonts w:hint="eastAsia" w:ascii="宋体" w:hAnsi="宋体"/>
      <w:color w:val="000000"/>
      <w:sz w:val="24"/>
      <w:szCs w:val="20"/>
    </w:rPr>
  </w:style>
  <w:style w:type="paragraph" w:styleId="1307">
    <w:name w:val="首行缩进"/>
    <w:next w:val="1307"/>
    <w:link w:val="1064"/>
    <w:qFormat/>
    <w:pPr>
      <w:ind w:firstLine="480"/>
      <w:jc w:val="both"/>
      <w:widowControl w:val="off"/>
    </w:pPr>
    <w:rPr>
      <w:sz w:val="21"/>
      <w:szCs w:val="22"/>
      <w:lang w:val="zh-CN" w:eastAsia="zh-CN" w:bidi="ar-SA"/>
    </w:rPr>
  </w:style>
  <w:style w:type="paragraph" w:styleId="1308">
    <w:name w:val="TOC 标题"/>
    <w:basedOn w:val="1065"/>
    <w:next w:val="1064"/>
    <w:link w:val="1064"/>
    <w:qFormat/>
    <w:pPr>
      <w:ind w:left="0"/>
      <w:jc w:val="both"/>
      <w:keepLines/>
      <w:keepNext/>
      <w:spacing w:before="340" w:after="330" w:line="578" w:lineRule="auto"/>
      <w:outlineLvl w:val="9"/>
    </w:pPr>
    <w:rPr>
      <w:rFonts w:ascii="Cambria" w:hAnsi="Cambria" w:eastAsia="华文细黑" w:cs="Cambria"/>
      <w:sz w:val="44"/>
      <w:szCs w:val="44"/>
    </w:rPr>
  </w:style>
  <w:style w:type="paragraph" w:styleId="1309">
    <w:name w:val=" Char Char Char Char1"/>
    <w:basedOn w:val="1064"/>
    <w:next w:val="1309"/>
    <w:link w:val="1064"/>
  </w:style>
  <w:style w:type="paragraph" w:styleId="1310">
    <w:name w:val="BodyText1I1"/>
    <w:basedOn w:val="1311"/>
    <w:next w:val="1310"/>
    <w:link w:val="1064"/>
    <w:uiPriority w:val="99"/>
    <w:qFormat/>
    <w:pPr>
      <w:ind w:firstLine="420"/>
      <w:spacing w:after="120"/>
    </w:pPr>
    <w:rPr>
      <w:rFonts w:ascii="Times New Roman" w:eastAsia="宋体" w:cs="Times New Roman"/>
      <w:sz w:val="20"/>
      <w:szCs w:val="20"/>
    </w:rPr>
  </w:style>
  <w:style w:type="paragraph" w:styleId="1311">
    <w:name w:val="BodyText1"/>
    <w:basedOn w:val="1064"/>
    <w:next w:val="1311"/>
    <w:link w:val="1064"/>
    <w:uiPriority w:val="99"/>
    <w:qFormat/>
    <w:rPr>
      <w:rFonts w:ascii="华文中宋" w:eastAsia="Times New Roman" w:cs="华文中宋"/>
      <w:sz w:val="28"/>
      <w:szCs w:val="28"/>
    </w:rPr>
  </w:style>
  <w:style w:type="paragraph" w:styleId="1312">
    <w:name w:val="表中"/>
    <w:basedOn w:val="1064"/>
    <w:next w:val="1312"/>
    <w:link w:val="1064"/>
    <w:pPr>
      <w:jc w:val="center"/>
      <w:spacing w:line="360" w:lineRule="atLeast"/>
    </w:pPr>
    <w:rPr>
      <w:szCs w:val="20"/>
    </w:rPr>
  </w:style>
  <w:style w:type="paragraph" w:styleId="1313">
    <w:name w:val="xl50"/>
    <w:basedOn w:val="1064"/>
    <w:next w:val="1313"/>
    <w:link w:val="1064"/>
    <w:pPr>
      <w:jc w:val="center"/>
      <w:spacing w:before="100" w:beforeAutospacing="1" w:after="100" w:afterAutospacing="1"/>
      <w:widowControl/>
    </w:pPr>
    <w:rPr>
      <w:rFonts w:ascii="宋体" w:hAnsi="宋体"/>
      <w:b/>
      <w:bCs/>
      <w:sz w:val="40"/>
      <w:szCs w:val="40"/>
    </w:rPr>
  </w:style>
  <w:style w:type="paragraph" w:styleId="1314">
    <w:name w:val="_Style 88"/>
    <w:basedOn w:val="1064"/>
    <w:next w:val="1314"/>
    <w:link w:val="1064"/>
    <w:qFormat/>
    <w:rPr>
      <w:rFonts w:ascii="Times New Roman" w:hAnsi="Times New Roman" w:eastAsia="Times New Roman"/>
    </w:rPr>
  </w:style>
  <w:style w:type="paragraph" w:styleId="1315">
    <w:name w:val="xl22"/>
    <w:basedOn w:val="1064"/>
    <w:next w:val="1315"/>
    <w:link w:val="1064"/>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316">
    <w:name w:val="Char Char Char Char"/>
    <w:basedOn w:val="1092"/>
    <w:next w:val="1316"/>
    <w:link w:val="1064"/>
    <w:pPr>
      <w:spacing w:line="360" w:lineRule="auto"/>
    </w:pPr>
    <w:rPr>
      <w:rFonts w:ascii="Tahoma" w:hAnsi="Tahoma"/>
      <w:sz w:val="24"/>
    </w:rPr>
  </w:style>
  <w:style w:type="paragraph" w:styleId="1317">
    <w:name w:val="表蕊"/>
    <w:basedOn w:val="1064"/>
    <w:next w:val="1317"/>
    <w:link w:val="1064"/>
    <w:pPr>
      <w:jc w:val="left"/>
      <w:spacing w:line="320" w:lineRule="atLeast"/>
    </w:pPr>
    <w:rPr>
      <w:rFonts w:eastAsia="楷体_GB2312"/>
      <w:spacing w:val="-10"/>
      <w:szCs w:val="20"/>
    </w:rPr>
  </w:style>
  <w:style w:type="paragraph" w:styleId="1318">
    <w:name w:val="xl35"/>
    <w:basedOn w:val="1064"/>
    <w:next w:val="1318"/>
    <w:link w:val="106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19">
    <w:name w:val="列表2"/>
    <w:basedOn w:val="1064"/>
    <w:next w:val="1319"/>
    <w:link w:val="1064"/>
    <w:pPr>
      <w:ind w:left="1469" w:hanging="420"/>
      <w:spacing w:after="20" w:line="288" w:lineRule="auto"/>
      <w:tabs>
        <w:tab w:val="left" w:pos="1470" w:leader="none"/>
      </w:tabs>
    </w:pPr>
  </w:style>
  <w:style w:type="paragraph" w:styleId="1320">
    <w:name w:val="H1"/>
    <w:basedOn w:val="1064"/>
    <w:next w:val="1064"/>
    <w:link w:val="1064"/>
    <w:pPr>
      <w:jc w:val="left"/>
      <w:keepNext/>
      <w:spacing w:before="100" w:after="100"/>
      <w:outlineLvl w:val="1"/>
    </w:pPr>
    <w:rPr>
      <w:rFonts w:ascii="Cambria" w:hAnsi="Cambria" w:eastAsia="华文细黑" w:cs="Cambria"/>
      <w:b/>
      <w:sz w:val="48"/>
      <w:szCs w:val="20"/>
    </w:rPr>
  </w:style>
  <w:style w:type="paragraph" w:styleId="1321">
    <w:name w:val="页眉1"/>
    <w:basedOn w:val="1064"/>
    <w:next w:val="1321"/>
    <w:link w:val="1064"/>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322">
    <w:name w:val="正文 New New New New"/>
    <w:next w:val="1322"/>
    <w:link w:val="1064"/>
    <w:qFormat/>
    <w:pPr>
      <w:jc w:val="both"/>
      <w:widowControl w:val="off"/>
    </w:pPr>
    <w:rPr>
      <w:szCs w:val="24"/>
      <w:lang w:val="en-US" w:eastAsia="zh-CN" w:bidi="ar-SA"/>
    </w:rPr>
  </w:style>
  <w:style w:type="paragraph" w:styleId="1323">
    <w:name w:val="font5"/>
    <w:basedOn w:val="1064"/>
    <w:next w:val="1323"/>
    <w:link w:val="1064"/>
    <w:pPr>
      <w:jc w:val="left"/>
      <w:spacing w:before="100" w:beforeAutospacing="1" w:after="100" w:afterAutospacing="1"/>
      <w:widowControl/>
    </w:pPr>
    <w:rPr>
      <w:rFonts w:hint="eastAsia" w:ascii="宋体" w:hAnsi="宋体"/>
      <w:sz w:val="18"/>
      <w:szCs w:val="18"/>
    </w:rPr>
  </w:style>
  <w:style w:type="paragraph" w:styleId="1324">
    <w:name w:val="项目编号3"/>
    <w:basedOn w:val="1064"/>
    <w:next w:val="1064"/>
    <w:link w:val="1064"/>
    <w:qFormat/>
    <w:pPr>
      <w:numPr>
        <w:ilvl w:val="0"/>
        <w:numId w:val="5"/>
      </w:numPr>
      <w:ind w:left="0" w:firstLine="200"/>
      <w:jc w:val="left"/>
      <w:spacing w:line="360" w:lineRule="auto"/>
      <w:tabs>
        <w:tab w:val="left" w:pos="570" w:leader="none"/>
      </w:tabs>
    </w:pPr>
    <w:rPr>
      <w:rFonts w:ascii="宋体"/>
      <w:sz w:val="24"/>
    </w:rPr>
  </w:style>
  <w:style w:type="paragraph" w:styleId="1325">
    <w:name w:val="H2"/>
    <w:basedOn w:val="1064"/>
    <w:next w:val="1064"/>
    <w:link w:val="1064"/>
    <w:pPr>
      <w:jc w:val="left"/>
      <w:keepNext/>
      <w:spacing w:before="100" w:after="100"/>
      <w:outlineLvl w:val="2"/>
    </w:pPr>
    <w:rPr>
      <w:rFonts w:ascii="Cambria" w:hAnsi="Cambria" w:eastAsia="华文细黑" w:cs="Cambria"/>
      <w:b/>
      <w:sz w:val="36"/>
      <w:szCs w:val="20"/>
    </w:rPr>
  </w:style>
  <w:style w:type="paragraph" w:styleId="1326">
    <w:name w:val="Definition Term"/>
    <w:basedOn w:val="1064"/>
    <w:next w:val="1327"/>
    <w:link w:val="1064"/>
    <w:pPr>
      <w:jc w:val="left"/>
    </w:pPr>
    <w:rPr>
      <w:rFonts w:ascii="Cambria" w:hAnsi="Cambria" w:eastAsia="华文细黑" w:cs="Cambria"/>
      <w:sz w:val="24"/>
      <w:szCs w:val="20"/>
    </w:rPr>
  </w:style>
  <w:style w:type="paragraph" w:styleId="1327">
    <w:name w:val="Definition List"/>
    <w:basedOn w:val="1064"/>
    <w:next w:val="1326"/>
    <w:link w:val="1064"/>
    <w:pPr>
      <w:ind w:left="360"/>
      <w:jc w:val="left"/>
    </w:pPr>
    <w:rPr>
      <w:rFonts w:ascii="Cambria" w:hAnsi="Cambria" w:eastAsia="华文细黑" w:cs="Cambria"/>
      <w:sz w:val="24"/>
      <w:szCs w:val="20"/>
    </w:rPr>
  </w:style>
  <w:style w:type="paragraph" w:styleId="1328">
    <w:name w:val="Plain Text"/>
    <w:basedOn w:val="1064"/>
    <w:next w:val="1328"/>
    <w:link w:val="1064"/>
    <w:rPr>
      <w:rFonts w:ascii="宋体" w:hAnsi="Courier New" w:eastAsia="宋体" w:cs="Times New Roman"/>
      <w:sz w:val="21"/>
      <w:lang w:val="en-US"/>
    </w:rPr>
  </w:style>
  <w:style w:type="paragraph" w:styleId="1329">
    <w:name w:val="xl70"/>
    <w:basedOn w:val="1064"/>
    <w:next w:val="1329"/>
    <w:link w:val="10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30">
    <w:name w:val="默认段落字体 Para Char"/>
    <w:basedOn w:val="1064"/>
    <w:next w:val="1330"/>
    <w:link w:val="1064"/>
    <w:pPr>
      <w:ind w:firstLine="200"/>
      <w:spacing w:line="360" w:lineRule="auto"/>
    </w:pPr>
    <w:rPr>
      <w:rFonts w:ascii="华文细黑" w:hAnsi="华文细黑" w:eastAsia="华文细黑" w:cs="华文细黑"/>
      <w:sz w:val="24"/>
    </w:rPr>
  </w:style>
  <w:style w:type="paragraph" w:styleId="1331">
    <w:name w:val="项目符号1"/>
    <w:basedOn w:val="1064"/>
    <w:next w:val="1331"/>
    <w:link w:val="1064"/>
    <w:qFormat/>
    <w:pPr>
      <w:numPr>
        <w:ilvl w:val="0"/>
        <w:numId w:val="6"/>
      </w:numPr>
      <w:tabs>
        <w:tab w:val="left" w:pos="552" w:leader="none"/>
      </w:tabs>
    </w:pPr>
    <w:rPr>
      <w:szCs w:val="20"/>
    </w:rPr>
  </w:style>
  <w:style w:type="paragraph" w:styleId="1332">
    <w:name w:val="列出段落1"/>
    <w:basedOn w:val="1064"/>
    <w:next w:val="1332"/>
    <w:link w:val="1064"/>
    <w:qFormat/>
    <w:pPr>
      <w:jc w:val="left"/>
    </w:pPr>
    <w:rPr>
      <w:rFonts w:ascii="Calibri" w:hAnsi="Calibri"/>
      <w:sz w:val="22"/>
      <w:szCs w:val="22"/>
      <w:lang w:eastAsia="en-US"/>
    </w:rPr>
  </w:style>
  <w:style w:type="paragraph" w:styleId="1333">
    <w:name w:val="空半行"/>
    <w:basedOn w:val="1064"/>
    <w:next w:val="1333"/>
    <w:link w:val="1064"/>
    <w:pPr>
      <w:spacing w:line="120" w:lineRule="exact"/>
    </w:pPr>
    <w:rPr>
      <w:rFonts w:ascii="Cambria" w:hAnsi="Cambria" w:eastAsia="Tahoma" w:cs="Cambria"/>
      <w:color w:val="ffffff"/>
      <w:sz w:val="30"/>
      <w:szCs w:val="20"/>
    </w:rPr>
  </w:style>
  <w:style w:type="paragraph" w:styleId="1334">
    <w:name w:val="xl28"/>
    <w:basedOn w:val="1064"/>
    <w:next w:val="1334"/>
    <w:link w:val="1064"/>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35">
    <w:name w:val="xl42"/>
    <w:basedOn w:val="1064"/>
    <w:next w:val="1335"/>
    <w:link w:val="1064"/>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336">
    <w:name w:val="xl30"/>
    <w:basedOn w:val="1064"/>
    <w:next w:val="1336"/>
    <w:link w:val="1064"/>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37">
    <w:name w:val="Char Char Char1 Char"/>
    <w:basedOn w:val="1066"/>
    <w:next w:val="1064"/>
    <w:link w:val="1064"/>
    <w:pPr>
      <w:jc w:val="left"/>
      <w:spacing w:before="120" w:after="120" w:line="240" w:lineRule="auto"/>
    </w:pPr>
    <w:rPr>
      <w:rFonts w:ascii="Arial" w:hAnsi="Arial" w:eastAsia="黑体"/>
      <w:bCs w:val="0"/>
      <w:szCs w:val="20"/>
    </w:rPr>
  </w:style>
  <w:style w:type="paragraph" w:styleId="1338">
    <w:name w:val="正文 + 宋体"/>
    <w:basedOn w:val="1069"/>
    <w:next w:val="1338"/>
    <w:link w:val="1064"/>
    <w:pPr>
      <w:spacing w:before="0" w:after="0"/>
    </w:pPr>
    <w:rPr>
      <w:b w:val="0"/>
      <w:color w:val="000000"/>
      <w:szCs w:val="24"/>
    </w:rPr>
  </w:style>
  <w:style w:type="paragraph" w:styleId="1339">
    <w:name w:val="z-Bottom of Form"/>
    <w:next w:val="1064"/>
    <w:link w:val="1064"/>
    <w:pPr>
      <w:jc w:val="center"/>
      <w:widowControl w:val="off"/>
      <w:pBdr>
        <w:top w:val="single" w:color="000000" w:sz="2" w:space="0"/>
      </w:pBdr>
    </w:pPr>
    <w:rPr>
      <w:rFonts w:ascii="Tahoma" w:hAnsi="Tahoma" w:eastAsia="华文细黑" w:cs="Cambria"/>
      <w:vanish/>
      <w:sz w:val="16"/>
      <w:lang w:val="en-US" w:eastAsia="zh-CN" w:bidi="ar-SA"/>
    </w:rPr>
  </w:style>
  <w:style w:type="paragraph" w:styleId="1340">
    <w:name w:val="无间隔"/>
    <w:next w:val="1340"/>
    <w:link w:val="1064"/>
    <w:qFormat/>
    <w:pPr>
      <w:jc w:val="both"/>
      <w:widowControl w:val="off"/>
    </w:pPr>
    <w:rPr>
      <w:rFonts w:ascii="仿宋_GB2312" w:hAnsi="仿宋_GB2312" w:eastAsia="华文细黑" w:cs="Cambria"/>
      <w:sz w:val="21"/>
      <w:szCs w:val="22"/>
      <w:lang w:val="en-US" w:eastAsia="zh-CN" w:bidi="ar-SA"/>
    </w:rPr>
  </w:style>
  <w:style w:type="paragraph" w:styleId="1341">
    <w:name w:val="xl26"/>
    <w:basedOn w:val="1064"/>
    <w:next w:val="1341"/>
    <w:link w:val="1064"/>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42">
    <w:name w:val="样式 标题 1 + 黑体 三号 非加粗 居中 段前: 6 磅 段后: 6 磅 行距: 固定值 20 磅"/>
    <w:basedOn w:val="1065"/>
    <w:next w:val="1342"/>
    <w:link w:val="1064"/>
    <w:pPr>
      <w:ind w:left="0"/>
      <w:jc w:val="center"/>
      <w:keepLines/>
      <w:keepNext/>
      <w:spacing w:before="120" w:after="120" w:line="400" w:lineRule="exact"/>
    </w:pPr>
    <w:rPr>
      <w:rFonts w:ascii="幼圆" w:hAnsi="幼圆" w:eastAsia="幼圆" w:cs="华文细黑"/>
      <w:b w:val="0"/>
      <w:bCs w:val="0"/>
      <w:sz w:val="32"/>
      <w:szCs w:val="20"/>
    </w:rPr>
  </w:style>
  <w:style w:type="paragraph" w:styleId="1343">
    <w:name w:val="样式 (西文) 仿宋_GB2312 居中 行距: 1.5 倍行距"/>
    <w:basedOn w:val="1064"/>
    <w:next w:val="1343"/>
    <w:link w:val="1064"/>
    <w:pPr>
      <w:jc w:val="center"/>
      <w:spacing w:line="360" w:lineRule="auto"/>
    </w:pPr>
    <w:rPr>
      <w:rFonts w:ascii="华文细黑" w:hAnsi="华文细黑" w:eastAsia="华文细黑" w:cs="华文细黑"/>
      <w:szCs w:val="20"/>
    </w:rPr>
  </w:style>
  <w:style w:type="paragraph" w:styleId="1344">
    <w:name w:val="font7"/>
    <w:basedOn w:val="1064"/>
    <w:next w:val="1344"/>
    <w:link w:val="1064"/>
    <w:pPr>
      <w:ind w:firstLine="420"/>
      <w:jc w:val="left"/>
      <w:spacing w:before="100" w:beforeAutospacing="1" w:after="100" w:afterAutospacing="1" w:line="288" w:lineRule="auto"/>
      <w:widowControl/>
    </w:pPr>
    <w:rPr>
      <w:b/>
      <w:bCs/>
      <w:sz w:val="24"/>
    </w:rPr>
  </w:style>
  <w:style w:type="paragraph" w:styleId="1345">
    <w:name w:val="正文2"/>
    <w:basedOn w:val="1064"/>
    <w:next w:val="1345"/>
    <w:link w:val="1064"/>
    <w:pPr>
      <w:ind w:firstLine="200"/>
      <w:jc w:val="left"/>
      <w:spacing w:after="160" w:line="360" w:lineRule="auto"/>
      <w:widowControl/>
    </w:pPr>
    <w:rPr>
      <w:rFonts w:ascii="Verdana" w:hAnsi="Verdana" w:eastAsia="黑体"/>
      <w:szCs w:val="20"/>
      <w:lang w:eastAsia="en-US"/>
    </w:rPr>
  </w:style>
  <w:style w:type="paragraph" w:styleId="1346">
    <w:name w:val="xl46"/>
    <w:basedOn w:val="1064"/>
    <w:next w:val="1346"/>
    <w:link w:val="10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347">
    <w:name w:val="p0"/>
    <w:basedOn w:val="1064"/>
    <w:next w:val="1347"/>
    <w:link w:val="1064"/>
    <w:pPr>
      <w:widowControl/>
    </w:pPr>
    <w:rPr>
      <w:szCs w:val="21"/>
    </w:rPr>
  </w:style>
  <w:style w:type="paragraph" w:styleId="1348">
    <w:name w:val="表格"/>
    <w:basedOn w:val="1064"/>
    <w:next w:val="1348"/>
    <w:link w:val="1064"/>
    <w:pPr>
      <w:jc w:val="center"/>
    </w:pPr>
    <w:rPr>
      <w:rFonts w:ascii="Wingdings" w:hAnsi="Wingdings" w:eastAsia="华文细黑" w:cs="Cambria"/>
      <w:szCs w:val="20"/>
    </w:rPr>
  </w:style>
  <w:style w:type="paragraph" w:styleId="1349">
    <w:name w:val="样式 小四 段前: 5 磅 段后: 5 磅 首行缩进:  2 字符"/>
    <w:basedOn w:val="1064"/>
    <w:next w:val="1349"/>
    <w:link w:val="1064"/>
    <w:pPr>
      <w:spacing w:line="360" w:lineRule="auto"/>
    </w:pPr>
    <w:rPr>
      <w:rFonts w:ascii="宋体" w:hAnsi="宋体"/>
      <w:szCs w:val="21"/>
    </w:rPr>
  </w:style>
  <w:style w:type="paragraph" w:styleId="1350">
    <w:name w:val="xl32"/>
    <w:basedOn w:val="1064"/>
    <w:next w:val="1350"/>
    <w:link w:val="10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51">
    <w:name w:val="xl44"/>
    <w:basedOn w:val="1064"/>
    <w:next w:val="1351"/>
    <w:link w:val="1064"/>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52">
    <w:name w:val="xl27"/>
    <w:basedOn w:val="1064"/>
    <w:next w:val="1352"/>
    <w:link w:val="1064"/>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53">
    <w:name w:val="xl49"/>
    <w:basedOn w:val="1064"/>
    <w:next w:val="1353"/>
    <w:link w:val="1064"/>
    <w:pPr>
      <w:jc w:val="center"/>
      <w:spacing w:before="100" w:beforeAutospacing="1" w:after="100" w:afterAutospacing="1"/>
      <w:widowControl/>
    </w:pPr>
    <w:rPr>
      <w:rFonts w:ascii="宋体" w:hAnsi="宋体"/>
      <w:b/>
      <w:bCs/>
      <w:color w:val="000000"/>
      <w:sz w:val="40"/>
      <w:szCs w:val="40"/>
    </w:rPr>
  </w:style>
  <w:style w:type="paragraph" w:styleId="1354">
    <w:name w:val=" Char1"/>
    <w:basedOn w:val="1064"/>
    <w:next w:val="1354"/>
    <w:link w:val="1064"/>
    <w:pPr>
      <w:jc w:val="left"/>
      <w:spacing w:after="160" w:line="240" w:lineRule="exact"/>
      <w:widowControl/>
    </w:pPr>
    <w:rPr>
      <w:rFonts w:ascii="Verdana" w:hAnsi="Verdana" w:eastAsia="仿宋_GB2312"/>
      <w:sz w:val="24"/>
      <w:szCs w:val="20"/>
      <w:lang w:eastAsia="en-US"/>
    </w:rPr>
  </w:style>
  <w:style w:type="paragraph" w:styleId="1355">
    <w:name w:val="Default"/>
    <w:next w:val="1355"/>
    <w:link w:val="1064"/>
    <w:pPr>
      <w:widowControl w:val="off"/>
    </w:pPr>
    <w:rPr>
      <w:rFonts w:ascii="宋体" w:hAnsi="宋体" w:cs="宋体"/>
      <w:color w:val="000000"/>
      <w:sz w:val="24"/>
      <w:szCs w:val="24"/>
      <w:lang w:val="en-US" w:eastAsia="zh-CN" w:bidi="ar-SA"/>
    </w:rPr>
  </w:style>
  <w:style w:type="paragraph" w:styleId="1356">
    <w:name w:val="xl48"/>
    <w:basedOn w:val="1064"/>
    <w:next w:val="1356"/>
    <w:link w:val="106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357">
    <w:name w:val="Char Char Char Char Char Char Char Char Char Char"/>
    <w:basedOn w:val="1064"/>
    <w:next w:val="1357"/>
    <w:link w:val="1064"/>
    <w:pPr>
      <w:tabs>
        <w:tab w:val="left" w:pos="360" w:leader="none"/>
      </w:tabs>
    </w:pPr>
  </w:style>
  <w:style w:type="paragraph" w:styleId="1358">
    <w:name w:val="xl24"/>
    <w:basedOn w:val="1064"/>
    <w:next w:val="1358"/>
    <w:link w:val="1064"/>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59">
    <w:name w:val="xl51"/>
    <w:basedOn w:val="1064"/>
    <w:next w:val="1359"/>
    <w:link w:val="1064"/>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360">
    <w:name w:val="菲页1"/>
    <w:basedOn w:val="1066"/>
    <w:next w:val="1360"/>
    <w:link w:val="1064"/>
    <w:pPr>
      <w:jc w:val="center"/>
      <w:widowControl/>
    </w:pPr>
    <w:rPr>
      <w:rFonts w:ascii="黑体" w:hAnsi="宋体" w:eastAsia="黑体"/>
      <w:b w:val="0"/>
      <w:bCs w:val="0"/>
      <w:sz w:val="52"/>
      <w:szCs w:val="20"/>
    </w:rPr>
  </w:style>
  <w:style w:type="paragraph" w:styleId="1361">
    <w:name w:val="表头"/>
    <w:basedOn w:val="1064"/>
    <w:next w:val="1361"/>
    <w:link w:val="1064"/>
    <w:pPr>
      <w:jc w:val="center"/>
      <w:spacing w:line="320" w:lineRule="atLeast"/>
    </w:pPr>
    <w:rPr>
      <w:rFonts w:eastAsia="黑体"/>
      <w:spacing w:val="-10"/>
      <w:szCs w:val="20"/>
    </w:rPr>
  </w:style>
  <w:style w:type="paragraph" w:styleId="1362">
    <w:name w:val="章标题"/>
    <w:next w:val="1064"/>
    <w:link w:val="1064"/>
    <w:pPr>
      <w:jc w:val="both"/>
      <w:outlineLvl w:val="1"/>
    </w:pPr>
    <w:rPr>
      <w:rFonts w:ascii="黑体" w:eastAsia="黑体"/>
      <w:sz w:val="21"/>
      <w:lang w:val="en-US" w:eastAsia="zh-CN" w:bidi="ar-SA"/>
    </w:rPr>
  </w:style>
  <w:style w:type="paragraph" w:styleId="1363">
    <w:name w:val="项目编号1"/>
    <w:basedOn w:val="1064"/>
    <w:next w:val="1064"/>
    <w:link w:val="1064"/>
    <w:qFormat/>
    <w:pPr>
      <w:numPr>
        <w:ilvl w:val="0"/>
        <w:numId w:val="7"/>
      </w:numPr>
      <w:jc w:val="left"/>
      <w:spacing w:line="360" w:lineRule="auto"/>
      <w:tabs>
        <w:tab w:val="left" w:pos="1110" w:leader="none"/>
      </w:tabs>
    </w:pPr>
    <w:rPr>
      <w:rFonts w:ascii="宋体"/>
      <w:sz w:val="24"/>
    </w:rPr>
  </w:style>
  <w:style w:type="paragraph" w:styleId="1364">
    <w:name w:val="目录"/>
    <w:basedOn w:val="1064"/>
    <w:next w:val="1064"/>
    <w:link w:val="1064"/>
    <w:pPr>
      <w:ind w:firstLine="420"/>
      <w:jc w:val="center"/>
      <w:spacing w:before="360" w:after="360" w:line="360" w:lineRule="auto"/>
    </w:pPr>
    <w:rPr>
      <w:b/>
      <w:spacing w:val="200"/>
      <w:sz w:val="36"/>
      <w:szCs w:val="20"/>
    </w:rPr>
  </w:style>
  <w:style w:type="paragraph" w:styleId="1365">
    <w:name w:val="xl52"/>
    <w:basedOn w:val="1064"/>
    <w:next w:val="1365"/>
    <w:link w:val="1064"/>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366">
    <w:name w:val="Char Char Char Char Char Char Char Char Char Char1"/>
    <w:basedOn w:val="1064"/>
    <w:next w:val="1366"/>
    <w:link w:val="1064"/>
    <w:pPr>
      <w:ind w:left="425" w:hanging="425"/>
      <w:tabs>
        <w:tab w:val="left" w:pos="425" w:leader="none"/>
      </w:tabs>
    </w:pPr>
    <w:rPr>
      <w:sz w:val="28"/>
      <w:szCs w:val="20"/>
    </w:rPr>
  </w:style>
  <w:style w:type="paragraph" w:styleId="1367">
    <w:name w:val="xl33"/>
    <w:basedOn w:val="1064"/>
    <w:next w:val="1367"/>
    <w:link w:val="10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68">
    <w:name w:val="段"/>
    <w:next w:val="1064"/>
    <w:link w:val="1064"/>
    <w:uiPriority w:val="99"/>
    <w:qFormat/>
    <w:pPr>
      <w:ind w:firstLine="200"/>
      <w:jc w:val="both"/>
    </w:pPr>
    <w:rPr>
      <w:rFonts w:ascii="宋体" w:hAnsi="Times New Roman" w:eastAsia="Times New Roman" w:cs="Times New Roman"/>
      <w:sz w:val="21"/>
      <w:lang w:val="en-US" w:eastAsia="zh-CN" w:bidi="ar-SA"/>
    </w:rPr>
  </w:style>
  <w:style w:type="paragraph" w:styleId="1369">
    <w:name w:val="xl73"/>
    <w:basedOn w:val="1064"/>
    <w:next w:val="1369"/>
    <w:link w:val="1064"/>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70">
    <w:name w:val="TOC Heading1"/>
    <w:next w:val="1064"/>
    <w:link w:val="1064"/>
    <w:qFormat/>
    <w:rPr>
      <w:rFonts w:ascii="Calibri" w:hAnsi="Calibri"/>
      <w:sz w:val="32"/>
      <w:lang w:val="en-US" w:eastAsia="zh-CN" w:bidi="ar-SA"/>
    </w:rPr>
  </w:style>
  <w:style w:type="paragraph" w:styleId="1371">
    <w:name w:val="xl38"/>
    <w:basedOn w:val="1064"/>
    <w:next w:val="1371"/>
    <w:link w:val="1064"/>
    <w:pPr>
      <w:jc w:val="center"/>
      <w:spacing w:before="100" w:beforeAutospacing="1" w:after="100" w:afterAutospacing="1"/>
      <w:widowControl/>
    </w:pPr>
    <w:rPr>
      <w:rFonts w:hint="eastAsia" w:ascii="隶书" w:hAnsi="宋体" w:eastAsia="隶书"/>
      <w:b/>
      <w:bCs/>
      <w:sz w:val="48"/>
      <w:szCs w:val="48"/>
    </w:rPr>
  </w:style>
  <w:style w:type="paragraph" w:styleId="1372">
    <w:name w:val="样式 标题 2 + 首行缩进:  2 字符"/>
    <w:basedOn w:val="1066"/>
    <w:next w:val="1372"/>
    <w:link w:val="1064"/>
    <w:unhideWhenUsed/>
    <w:qFormat/>
    <w:pPr>
      <w:spacing w:after="240"/>
      <w:tabs>
        <w:tab w:val="left" w:pos="900" w:leader="none"/>
      </w:tabs>
    </w:pPr>
    <w:rPr>
      <w:rFonts w:hint="eastAsia" w:ascii="宋体" w:hAnsi="宋体"/>
      <w:sz w:val="28"/>
    </w:rPr>
  </w:style>
  <w:style w:type="paragraph" w:styleId="1373">
    <w:name w:val="xl45"/>
    <w:basedOn w:val="1064"/>
    <w:next w:val="1373"/>
    <w:link w:val="1064"/>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74">
    <w:name w:val="xl69"/>
    <w:basedOn w:val="1064"/>
    <w:next w:val="1374"/>
    <w:link w:val="1064"/>
    <w:pPr>
      <w:jc w:val="center"/>
      <w:spacing w:before="100" w:beforeAutospacing="1" w:after="100" w:afterAutospacing="1"/>
      <w:widowControl/>
    </w:pPr>
    <w:rPr>
      <w:rFonts w:ascii="微软雅黑" w:hAnsi="微软雅黑" w:eastAsia="微软雅黑" w:cs="宋体"/>
      <w:sz w:val="13"/>
      <w:szCs w:val="13"/>
    </w:rPr>
  </w:style>
  <w:style w:type="paragraph" w:styleId="1375">
    <w:name w:val="_Style 20"/>
    <w:basedOn w:val="1064"/>
    <w:next w:val="1375"/>
    <w:link w:val="1064"/>
    <w:pPr>
      <w:ind w:firstLine="200"/>
      <w:spacing w:line="360" w:lineRule="auto"/>
    </w:pPr>
  </w:style>
  <w:style w:type="paragraph" w:styleId="1376">
    <w:name w:val="正文(缩进)"/>
    <w:basedOn w:val="1064"/>
    <w:next w:val="1376"/>
    <w:link w:val="1064"/>
    <w:pPr>
      <w:ind w:firstLine="200"/>
      <w:spacing w:line="360" w:lineRule="auto"/>
      <w:widowControl/>
    </w:pPr>
    <w:rPr>
      <w:rFonts w:eastAsia="仿宋_GB2312"/>
      <w:sz w:val="24"/>
      <w:szCs w:val="20"/>
    </w:rPr>
  </w:style>
  <w:style w:type="paragraph" w:styleId="1377">
    <w:name w:val="列出段落2"/>
    <w:basedOn w:val="1064"/>
    <w:next w:val="1377"/>
    <w:link w:val="1064"/>
    <w:unhideWhenUsed/>
    <w:qFormat/>
    <w:pPr>
      <w:ind w:firstLine="420"/>
    </w:pPr>
  </w:style>
  <w:style w:type="paragraph" w:styleId="1378">
    <w:name w:val="xl39"/>
    <w:basedOn w:val="1064"/>
    <w:next w:val="1378"/>
    <w:link w:val="106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379">
    <w:name w:val="标准式样"/>
    <w:basedOn w:val="1143"/>
    <w:next w:val="1379"/>
    <w:link w:val="1064"/>
    <w:pPr>
      <w:ind w:left="210" w:firstLine="420"/>
      <w:spacing w:before="0" w:line="288" w:lineRule="auto"/>
    </w:pPr>
    <w:rPr>
      <w:rFonts w:ascii="Times New Roman" w:hAnsi="Times New Roman"/>
      <w:smallCaps/>
      <w:sz w:val="20"/>
      <w:szCs w:val="20"/>
      <w:lang w:eastAsia="zh-CN"/>
    </w:rPr>
  </w:style>
  <w:style w:type="paragraph" w:styleId="1380">
    <w:name w:val="TOC 标题1"/>
    <w:basedOn w:val="1065"/>
    <w:next w:val="1064"/>
    <w:link w:val="1064"/>
    <w:unhideWhenUsed/>
    <w:qFormat/>
    <w:pPr>
      <w:ind w:left="0"/>
      <w:keepLines/>
      <w:keepNext/>
      <w:spacing w:before="240" w:line="259" w:lineRule="auto"/>
      <w:widowControl/>
      <w:tabs>
        <w:tab w:val="left" w:pos="846" w:leader="none"/>
      </w:tabs>
      <w:outlineLvl w:val="9"/>
    </w:pPr>
    <w:rPr>
      <w:rFonts w:ascii="Cambria" w:hAnsi="Cambria" w:eastAsia="宋体"/>
      <w:b w:val="0"/>
      <w:bCs w:val="0"/>
      <w:color w:val="365f90"/>
      <w:sz w:val="32"/>
      <w:szCs w:val="32"/>
      <w:lang w:val="zh-CN" w:eastAsia="zh-CN"/>
    </w:rPr>
  </w:style>
  <w:style w:type="paragraph" w:styleId="1381">
    <w:name w:val="cjk"/>
    <w:basedOn w:val="1064"/>
    <w:next w:val="1381"/>
    <w:link w:val="1064"/>
    <w:pPr>
      <w:spacing w:before="100" w:beforeAutospacing="1"/>
      <w:widowControl/>
    </w:pPr>
    <w:rPr>
      <w:rFonts w:ascii="宋体" w:hAnsi="宋体" w:cs="宋体"/>
      <w:color w:val="000000"/>
      <w:sz w:val="30"/>
      <w:szCs w:val="30"/>
    </w:rPr>
  </w:style>
  <w:style w:type="paragraph" w:styleId="1382">
    <w:name w:val="a2"/>
    <w:basedOn w:val="1064"/>
    <w:next w:val="1382"/>
    <w:link w:val="1064"/>
    <w:pPr>
      <w:jc w:val="left"/>
      <w:spacing w:before="100" w:beforeAutospacing="1" w:after="100" w:afterAutospacing="1"/>
      <w:widowControl/>
    </w:pPr>
    <w:rPr>
      <w:rFonts w:ascii="宋体" w:hAnsi="宋体" w:cs="宋体"/>
      <w:sz w:val="24"/>
    </w:rPr>
  </w:style>
  <w:style w:type="paragraph" w:styleId="1383">
    <w:name w:val="样式 纯文本 + 楷体_GB2312 小四 行距: 固定值 20 磅1"/>
    <w:basedOn w:val="1115"/>
    <w:next w:val="1383"/>
    <w:link w:val="1064"/>
    <w:pPr>
      <w:ind w:firstLine="200"/>
      <w:spacing w:line="400" w:lineRule="exact"/>
    </w:pPr>
    <w:rPr>
      <w:rFonts w:ascii="楷体_GB2312" w:eastAsia="楷体_GB2312"/>
      <w:sz w:val="24"/>
    </w:rPr>
  </w:style>
  <w:style w:type="paragraph" w:styleId="1384">
    <w:name w:val="Default Paragraph Font Para Char"/>
    <w:basedOn w:val="1064"/>
    <w:next w:val="1384"/>
    <w:link w:val="1064"/>
    <w:pPr>
      <w:jc w:val="left"/>
      <w:spacing w:after="160" w:line="240" w:lineRule="exact"/>
      <w:widowControl/>
    </w:pPr>
  </w:style>
  <w:style w:type="paragraph" w:styleId="1385">
    <w:name w:val="xl23"/>
    <w:basedOn w:val="1064"/>
    <w:next w:val="1385"/>
    <w:link w:val="1064"/>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386">
    <w:name w:val="xl29"/>
    <w:basedOn w:val="1064"/>
    <w:next w:val="1386"/>
    <w:link w:val="1064"/>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87">
    <w:name w:val="font0"/>
    <w:basedOn w:val="1064"/>
    <w:next w:val="1387"/>
    <w:link w:val="1064"/>
    <w:pPr>
      <w:jc w:val="left"/>
      <w:spacing w:before="100" w:beforeAutospacing="1" w:after="100" w:afterAutospacing="1"/>
      <w:widowControl/>
    </w:pPr>
    <w:rPr>
      <w:rFonts w:hint="eastAsia" w:ascii="宋体" w:hAnsi="宋体"/>
      <w:sz w:val="18"/>
      <w:szCs w:val="18"/>
    </w:rPr>
  </w:style>
  <w:style w:type="paragraph" w:styleId="1388">
    <w:name w:val="xl67"/>
    <w:basedOn w:val="1064"/>
    <w:next w:val="1388"/>
    <w:link w:val="10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89">
    <w:name w:val="xl71"/>
    <w:basedOn w:val="1064"/>
    <w:next w:val="1389"/>
    <w:link w:val="1064"/>
    <w:pPr>
      <w:jc w:val="center"/>
      <w:spacing w:before="100" w:beforeAutospacing="1" w:after="100" w:afterAutospacing="1"/>
      <w:widowControl/>
    </w:pPr>
    <w:rPr>
      <w:rFonts w:ascii="微软雅黑" w:hAnsi="微软雅黑" w:eastAsia="微软雅黑" w:cs="宋体"/>
      <w:sz w:val="13"/>
      <w:szCs w:val="13"/>
    </w:rPr>
  </w:style>
  <w:style w:type="paragraph" w:styleId="1390">
    <w:name w:val="xl72"/>
    <w:basedOn w:val="1064"/>
    <w:next w:val="1390"/>
    <w:link w:val="1064"/>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391">
    <w:name w:val="TOC Heading"/>
    <w:basedOn w:val="1065"/>
    <w:next w:val="1064"/>
    <w:link w:val="1064"/>
    <w:pPr>
      <w:ind w:left="0"/>
      <w:keepLines/>
      <w:keepNext/>
      <w:spacing w:before="340" w:after="330" w:line="576" w:lineRule="auto"/>
      <w:outlineLvl w:val="9"/>
    </w:pPr>
    <w:rPr>
      <w:rFonts w:ascii="Times New Roman" w:hAnsi="Times New Roman" w:eastAsia="宋体"/>
      <w:sz w:val="44"/>
      <w:szCs w:val="44"/>
      <w:lang w:eastAsia="zh-CN"/>
    </w:rPr>
  </w:style>
  <w:style w:type="paragraph" w:styleId="1392">
    <w:name w:val="样式 标题 3 + (中文) 黑体 小四 非加粗 段前: 7.8 磅 段后: 0 磅 行距: 固定值 20 磅"/>
    <w:basedOn w:val="1067"/>
    <w:next w:val="1392"/>
    <w:link w:val="1064"/>
    <w:pPr>
      <w:jc w:val="left"/>
      <w:keepLines/>
      <w:spacing w:line="400" w:lineRule="exact"/>
      <w:tabs>
        <w:tab w:val="left" w:pos="7200" w:leader="none"/>
      </w:tabs>
    </w:pPr>
    <w:rPr>
      <w:rFonts w:ascii="华文细黑" w:hAnsi="华文细黑" w:eastAsia="幼圆" w:cs="华文细黑"/>
      <w:bCs w:val="0"/>
      <w:sz w:val="30"/>
      <w:szCs w:val="20"/>
      <w:lang w:eastAsia="en-US"/>
    </w:rPr>
  </w:style>
  <w:style w:type="paragraph" w:styleId="1393">
    <w:name w:val="xl68"/>
    <w:basedOn w:val="1064"/>
    <w:next w:val="1393"/>
    <w:link w:val="10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94">
    <w:name w:val="H4"/>
    <w:basedOn w:val="1064"/>
    <w:next w:val="1064"/>
    <w:link w:val="1064"/>
    <w:pPr>
      <w:jc w:val="left"/>
      <w:keepNext/>
      <w:spacing w:before="100" w:after="100"/>
      <w:outlineLvl w:val="4"/>
    </w:pPr>
    <w:rPr>
      <w:rFonts w:ascii="Cambria" w:hAnsi="Cambria" w:eastAsia="华文细黑" w:cs="Cambria"/>
      <w:b/>
      <w:sz w:val="24"/>
      <w:szCs w:val="20"/>
    </w:rPr>
  </w:style>
  <w:style w:type="paragraph" w:styleId="1395">
    <w:name w:val=" Char Char Char Char"/>
    <w:basedOn w:val="1064"/>
    <w:next w:val="1395"/>
    <w:link w:val="1064"/>
    <w:pPr>
      <w:numPr>
        <w:ilvl w:val="0"/>
        <w:numId w:val="8"/>
      </w:numPr>
      <w:ind w:left="560" w:firstLine="480"/>
      <w:jc w:val="left"/>
      <w:spacing w:after="120" w:line="360" w:lineRule="auto"/>
      <w:widowControl/>
      <w:tabs>
        <w:tab w:val="clear" w:pos="780" w:leader="none"/>
      </w:tabs>
    </w:pPr>
    <w:rPr>
      <w:rFonts w:ascii="Verdana" w:hAnsi="Verdana"/>
      <w:sz w:val="24"/>
    </w:rPr>
  </w:style>
  <w:style w:type="paragraph" w:styleId="1396">
    <w:name w:val="Preformatted"/>
    <w:basedOn w:val="1064"/>
    <w:next w:val="1396"/>
    <w:link w:val="1064"/>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华文细黑" w:hAnsi="华文细黑" w:eastAsia="华文细黑" w:cs="Cambria"/>
      <w:sz w:val="20"/>
      <w:szCs w:val="20"/>
    </w:rPr>
  </w:style>
  <w:style w:type="paragraph" w:styleId="1397">
    <w:name w:val="菲页(卷)"/>
    <w:basedOn w:val="1065"/>
    <w:next w:val="1398"/>
    <w:link w:val="1064"/>
    <w:pPr>
      <w:ind w:left="780" w:hanging="360"/>
      <w:jc w:val="center"/>
      <w:keepNext/>
      <w:widowControl/>
      <w:outlineLvl w:val="1"/>
    </w:pPr>
    <w:rPr>
      <w:rFonts w:hAnsi="Times New Roman"/>
      <w:b w:val="0"/>
      <w:bCs w:val="0"/>
      <w:sz w:val="52"/>
      <w:szCs w:val="20"/>
      <w:lang w:eastAsia="zh-CN"/>
    </w:rPr>
  </w:style>
  <w:style w:type="paragraph" w:styleId="1398">
    <w:name w:val="Normal1"/>
    <w:next w:val="1398"/>
    <w:link w:val="1064"/>
    <w:pPr>
      <w:jc w:val="both"/>
      <w:spacing w:line="312" w:lineRule="atLeast"/>
      <w:widowControl w:val="off"/>
    </w:pPr>
    <w:rPr>
      <w:rFonts w:ascii="宋体"/>
      <w:sz w:val="34"/>
      <w:lang w:val="en-US" w:eastAsia="zh-CN" w:bidi="ar-SA"/>
    </w:rPr>
  </w:style>
  <w:style w:type="paragraph" w:styleId="1399">
    <w:name w:val="xl36"/>
    <w:basedOn w:val="1064"/>
    <w:next w:val="1399"/>
    <w:link w:val="106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400">
    <w:name w:val="1"/>
    <w:basedOn w:val="1064"/>
    <w:next w:val="1400"/>
    <w:link w:val="1064"/>
    <w:pPr>
      <w:ind w:firstLine="200"/>
      <w:spacing w:line="360" w:lineRule="auto"/>
    </w:pPr>
    <w:rPr>
      <w:rFonts w:ascii="华文细黑" w:hAnsi="华文细黑" w:eastAsia="华文细黑" w:cs="华文细黑"/>
      <w:sz w:val="24"/>
    </w:rPr>
  </w:style>
  <w:style w:type="paragraph" w:styleId="1401">
    <w:name w:val="xl64"/>
    <w:basedOn w:val="1064"/>
    <w:next w:val="1401"/>
    <w:link w:val="10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02">
    <w:name w:val="CM4"/>
    <w:basedOn w:val="1355"/>
    <w:next w:val="1355"/>
    <w:link w:val="1064"/>
    <w:pPr>
      <w:spacing w:line="468" w:lineRule="atLeast"/>
    </w:pPr>
    <w:rPr>
      <w:rFonts w:ascii="Times New Roman PSMT" w:hAnsi="Times New Roman" w:eastAsia="Times New Roman PSMT" w:cs="Times New Roman PSMT"/>
      <w:color w:val="000000"/>
    </w:rPr>
  </w:style>
  <w:style w:type="paragraph" w:styleId="1403">
    <w:name w:val="xl34"/>
    <w:basedOn w:val="1064"/>
    <w:next w:val="1403"/>
    <w:link w:val="10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04">
    <w:name w:val="函数注释1"/>
    <w:basedOn w:val="1064"/>
    <w:next w:val="1404"/>
    <w:link w:val="1064"/>
    <w:pPr>
      <w:ind w:left="1678" w:right="210" w:hanging="1049"/>
      <w:jc w:val="left"/>
      <w:spacing w:after="20" w:line="320" w:lineRule="exact"/>
    </w:pPr>
    <w:rPr>
      <w:szCs w:val="20"/>
    </w:rPr>
  </w:style>
  <w:style w:type="paragraph" w:styleId="1405">
    <w:name w:val="普通文字"/>
    <w:basedOn w:val="1064"/>
    <w:next w:val="1064"/>
    <w:link w:val="1064"/>
    <w:qFormat/>
    <w:rPr>
      <w:rFonts w:ascii="宋体"/>
      <w:sz w:val="24"/>
      <w:u w:val="none"/>
    </w:rPr>
  </w:style>
  <w:style w:type="paragraph" w:styleId="1406">
    <w:name w:val="Char Char Char Char Char Char Char"/>
    <w:basedOn w:val="1064"/>
    <w:next w:val="1406"/>
    <w:link w:val="1064"/>
    <w:pPr>
      <w:jc w:val="left"/>
      <w:spacing w:after="160" w:line="240" w:lineRule="exact"/>
      <w:widowControl/>
    </w:pPr>
    <w:rPr>
      <w:rFonts w:ascii="Arial" w:hAnsi="Arial" w:eastAsia="Times New Roman" w:cs="Verdana"/>
      <w:b/>
      <w:sz w:val="24"/>
      <w:lang w:eastAsia="en-US"/>
    </w:rPr>
  </w:style>
  <w:style w:type="paragraph" w:styleId="1407">
    <w:name w:val="表格标题"/>
    <w:basedOn w:val="1064"/>
    <w:next w:val="1407"/>
    <w:link w:val="1064"/>
    <w:pPr>
      <w:jc w:val="center"/>
      <w:spacing w:before="120" w:line="400" w:lineRule="exact"/>
    </w:pPr>
    <w:rPr>
      <w:rFonts w:eastAsia="文鼎CS中宋"/>
      <w:spacing w:val="8"/>
      <w:sz w:val="24"/>
      <w:szCs w:val="20"/>
    </w:rPr>
  </w:style>
  <w:style w:type="paragraph" w:styleId="1408">
    <w:name w:val=" Char"/>
    <w:basedOn w:val="1064"/>
    <w:next w:val="1408"/>
    <w:link w:val="1064"/>
    <w:pPr>
      <w:numPr>
        <w:ilvl w:val="0"/>
        <w:numId w:val="9"/>
      </w:numPr>
      <w:tabs>
        <w:tab w:val="left" w:pos="1080" w:leader="none"/>
      </w:tabs>
    </w:pPr>
    <w:rPr>
      <w:sz w:val="24"/>
      <w:szCs w:val="24"/>
    </w:rPr>
  </w:style>
  <w:style w:type="paragraph" w:styleId="1409">
    <w:name w:val="Char1"/>
    <w:basedOn w:val="1064"/>
    <w:next w:val="1409"/>
    <w:link w:val="1064"/>
    <w:rPr>
      <w:rFonts w:ascii="仿宋_GB2312" w:eastAsia="仿宋_GB2312"/>
      <w:b/>
      <w:sz w:val="32"/>
      <w:szCs w:val="32"/>
    </w:rPr>
  </w:style>
  <w:style w:type="paragraph" w:styleId="1410">
    <w:name w:val="样式一"/>
    <w:basedOn w:val="1064"/>
    <w:next w:val="1410"/>
    <w:link w:val="1064"/>
    <w:pPr>
      <w:ind w:left="340" w:hanging="340"/>
      <w:spacing w:before="100" w:after="100" w:line="360" w:lineRule="exact"/>
      <w:tabs>
        <w:tab w:val="left" w:pos="1080" w:leader="none"/>
      </w:tabs>
    </w:pPr>
    <w:rPr>
      <w:rFonts w:ascii="宋体" w:hAnsi="宋体" w:eastAsia="黑体"/>
      <w:sz w:val="24"/>
      <w:szCs w:val="20"/>
      <w:lang w:val="en-GB"/>
    </w:rPr>
  </w:style>
  <w:style w:type="paragraph" w:styleId="1411">
    <w:name w:val="无间隔1"/>
    <w:next w:val="1411"/>
    <w:link w:val="1064"/>
    <w:qFormat/>
    <w:pPr>
      <w:jc w:val="both"/>
      <w:widowControl w:val="off"/>
    </w:pPr>
    <w:rPr>
      <w:sz w:val="21"/>
      <w:szCs w:val="22"/>
      <w:lang w:val="en-US" w:eastAsia="zh-CN" w:bidi="ar-SA"/>
    </w:rPr>
  </w:style>
  <w:style w:type="paragraph" w:styleId="1412">
    <w:name w:val="表格文字"/>
    <w:basedOn w:val="1064"/>
    <w:next w:val="1412"/>
    <w:link w:val="1064"/>
    <w:pPr>
      <w:jc w:val="left"/>
      <w:spacing w:line="288" w:lineRule="auto"/>
    </w:pPr>
    <w:rPr>
      <w:szCs w:val="20"/>
    </w:rPr>
  </w:style>
  <w:style w:type="paragraph" w:styleId="1413">
    <w:name w:val="；要求；"/>
    <w:basedOn w:val="1064"/>
    <w:next w:val="1413"/>
    <w:link w:val="1064"/>
    <w:pPr>
      <w:ind w:left="420"/>
      <w:spacing w:line="600" w:lineRule="exact"/>
    </w:pPr>
    <w:rPr>
      <w:sz w:val="28"/>
    </w:rPr>
  </w:style>
  <w:style w:type="paragraph" w:styleId="1414">
    <w:name w:val="标题0"/>
    <w:basedOn w:val="1154"/>
    <w:next w:val="1154"/>
    <w:link w:val="1064"/>
    <w:pPr>
      <w:ind w:firstLine="420"/>
      <w:spacing w:before="240" w:after="60" w:line="288" w:lineRule="auto"/>
    </w:pPr>
    <w:rPr>
      <w:rFonts w:ascii="Arial" w:hAnsi="Arial" w:eastAsia="宋体" w:cs="Times New Roman"/>
      <w:sz w:val="52"/>
    </w:rPr>
  </w:style>
  <w:style w:type="paragraph" w:styleId="1415">
    <w:name w:val="程序代码"/>
    <w:basedOn w:val="1064"/>
    <w:next w:val="1415"/>
    <w:link w:val="1064"/>
    <w:pPr>
      <w:ind w:left="839" w:firstLine="420"/>
      <w:spacing w:after="20" w:line="288" w:lineRule="auto"/>
    </w:pPr>
    <w:rPr>
      <w:rFonts w:eastAsia="仿宋_GB2312"/>
    </w:rPr>
  </w:style>
  <w:style w:type="paragraph" w:styleId="1416">
    <w:name w:val="Char Char Char Char Char Char"/>
    <w:basedOn w:val="1064"/>
    <w:next w:val="1416"/>
    <w:link w:val="1064"/>
    <w:pPr>
      <w:jc w:val="left"/>
      <w:spacing w:after="160" w:line="240" w:lineRule="exact"/>
      <w:widowControl/>
    </w:pPr>
    <w:rPr>
      <w:rFonts w:ascii="黑体" w:hAnsi="Verdana" w:eastAsia="黑体"/>
      <w:sz w:val="32"/>
      <w:szCs w:val="32"/>
    </w:rPr>
  </w:style>
  <w:style w:type="paragraph" w:styleId="1417">
    <w:name w:val="样式"/>
    <w:basedOn w:val="1064"/>
    <w:next w:val="1107"/>
    <w:link w:val="1064"/>
    <w:pPr>
      <w:ind w:firstLine="540"/>
      <w:spacing w:line="360" w:lineRule="auto"/>
      <w:widowControl/>
    </w:pPr>
    <w:rPr>
      <w:rFonts w:ascii="宋体" w:hAnsi="MS Sans Serif"/>
      <w:spacing w:val="12"/>
      <w:sz w:val="24"/>
    </w:rPr>
  </w:style>
  <w:style w:type="paragraph" w:styleId="1418">
    <w:name w:val="List Paragraph"/>
    <w:basedOn w:val="1064"/>
    <w:next w:val="1418"/>
    <w:link w:val="1064"/>
    <w:uiPriority w:val="34"/>
    <w:qFormat/>
    <w:pPr>
      <w:ind w:firstLine="420"/>
    </w:pPr>
    <w:rPr>
      <w:rFonts w:ascii="Calibri" w:hAnsi="Calibri"/>
      <w:szCs w:val="22"/>
    </w:rPr>
  </w:style>
  <w:style w:type="paragraph" w:styleId="1419">
    <w:name w:val="xl65"/>
    <w:basedOn w:val="1064"/>
    <w:next w:val="1419"/>
    <w:link w:val="10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20">
    <w:name w:val="默认段落字体 Para Char Char Char Char Char Char Char"/>
    <w:basedOn w:val="1064"/>
    <w:next w:val="1420"/>
    <w:link w:val="1064"/>
    <w:rPr>
      <w:rFonts w:eastAsia="华文细黑" w:cs="Cambria"/>
      <w:sz w:val="24"/>
      <w:szCs w:val="20"/>
    </w:rPr>
  </w:style>
  <w:style w:type="paragraph" w:styleId="1421">
    <w:name w:val="part2"/>
    <w:basedOn w:val="1064"/>
    <w:next w:val="1421"/>
    <w:link w:val="1064"/>
    <w:pPr>
      <w:jc w:val="left"/>
      <w:spacing w:before="100" w:beforeAutospacing="1" w:after="100" w:afterAutospacing="1"/>
      <w:widowControl/>
    </w:pPr>
    <w:rPr>
      <w:rFonts w:ascii="宋体" w:hAnsi="宋体" w:cs="宋体"/>
      <w:sz w:val="24"/>
    </w:rPr>
  </w:style>
  <w:style w:type="paragraph" w:styleId="1422">
    <w:name w:val="修订"/>
    <w:next w:val="1422"/>
    <w:link w:val="1064"/>
    <w:unhideWhenUsed/>
    <w:rPr>
      <w:sz w:val="21"/>
      <w:szCs w:val="24"/>
      <w:lang w:val="en-US" w:eastAsia="zh-CN" w:bidi="ar-SA"/>
    </w:rPr>
  </w:style>
  <w:style w:type="paragraph" w:styleId="1423">
    <w:name w:val="回信地址"/>
    <w:basedOn w:val="1064"/>
    <w:next w:val="1423"/>
    <w:link w:val="1064"/>
    <w:pPr>
      <w:ind w:right="-120" w:firstLine="420"/>
      <w:jc w:val="left"/>
      <w:keepLines/>
      <w:spacing w:after="20" w:line="200" w:lineRule="atLeast"/>
      <w:widowControl/>
    </w:pPr>
    <w:rPr>
      <w:sz w:val="16"/>
      <w:szCs w:val="20"/>
    </w:rPr>
  </w:style>
  <w:style w:type="paragraph" w:styleId="1424">
    <w:name w:val="yyn"/>
    <w:basedOn w:val="1064"/>
    <w:next w:val="1424"/>
    <w:link w:val="1064"/>
    <w:pPr>
      <w:ind w:right="562" w:firstLine="576"/>
      <w:keepNext/>
      <w:spacing w:line="360" w:lineRule="auto"/>
      <w:widowControl/>
    </w:pPr>
    <w:rPr>
      <w:rFonts w:ascii="宋体"/>
      <w:sz w:val="28"/>
      <w:szCs w:val="20"/>
    </w:rPr>
  </w:style>
  <w:style w:type="paragraph" w:styleId="1425">
    <w:name w:val="xl66"/>
    <w:basedOn w:val="1064"/>
    <w:next w:val="1425"/>
    <w:link w:val="10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26">
    <w:name w:val="正文缩进2格"/>
    <w:basedOn w:val="1064"/>
    <w:next w:val="1426"/>
    <w:link w:val="1064"/>
    <w:uiPriority w:val="99"/>
    <w:qFormat/>
    <w:pPr>
      <w:ind w:firstLine="639"/>
      <w:spacing w:line="600" w:lineRule="exact"/>
    </w:pPr>
    <w:rPr>
      <w:rFonts w:ascii="仿宋_GB2312" w:hAnsi="宋体" w:eastAsia="仿宋_GB2312" w:cs="Times New Roman"/>
      <w:sz w:val="28"/>
      <w:szCs w:val="22"/>
    </w:rPr>
  </w:style>
  <w:style w:type="paragraph" w:styleId="1427">
    <w:name w:val="xl37"/>
    <w:basedOn w:val="1064"/>
    <w:next w:val="1427"/>
    <w:link w:val="1064"/>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428">
    <w:name w:val="菲页2"/>
    <w:basedOn w:val="1067"/>
    <w:next w:val="1428"/>
    <w:link w:val="1064"/>
    <w:pPr>
      <w:ind w:left="6233" w:hanging="420"/>
      <w:keepLines/>
      <w:spacing w:before="120" w:after="120" w:line="360" w:lineRule="auto"/>
      <w:widowControl/>
    </w:pPr>
    <w:rPr>
      <w:rFonts w:ascii="黑体" w:hAnsi="宋体" w:eastAsia="黑体"/>
      <w:b w:val="0"/>
      <w:bCs w:val="0"/>
      <w:sz w:val="44"/>
      <w:szCs w:val="20"/>
    </w:rPr>
  </w:style>
  <w:style w:type="paragraph" w:styleId="1429">
    <w:name w:val="_Style 1"/>
    <w:basedOn w:val="1064"/>
    <w:next w:val="1429"/>
    <w:link w:val="1064"/>
    <w:qFormat/>
    <w:pPr>
      <w:ind w:firstLine="420"/>
      <w:spacing w:line="360" w:lineRule="auto"/>
    </w:pPr>
    <w:rPr>
      <w:rFonts w:ascii="Calibri" w:hAnsi="Calibri"/>
      <w:sz w:val="24"/>
      <w:szCs w:val="22"/>
    </w:rPr>
  </w:style>
  <w:style w:type="paragraph" w:styleId="1430">
    <w:name w:val=" Char Char Char Char Char Char Char Char Char Char"/>
    <w:basedOn w:val="1064"/>
    <w:next w:val="1430"/>
    <w:link w:val="1064"/>
    <w:pPr>
      <w:numPr>
        <w:ilvl w:val="0"/>
        <w:numId w:val="10"/>
      </w:numPr>
      <w:tabs>
        <w:tab w:val="left" w:pos="1440" w:leader="none"/>
      </w:tabs>
    </w:pPr>
  </w:style>
  <w:style w:type="paragraph" w:styleId="1431">
    <w:name w:val="并列项-点"/>
    <w:basedOn w:val="1064"/>
    <w:next w:val="1431"/>
    <w:link w:val="1064"/>
    <w:pPr>
      <w:ind w:left="851" w:hanging="284"/>
      <w:spacing w:before="120" w:line="360" w:lineRule="auto"/>
      <w:widowControl/>
      <w:tabs>
        <w:tab w:val="left" w:pos="851" w:leader="none"/>
        <w:tab w:val="left" w:pos="927" w:leader="none"/>
      </w:tabs>
    </w:pPr>
    <w:rPr>
      <w:sz w:val="24"/>
      <w:szCs w:val="20"/>
    </w:rPr>
  </w:style>
  <w:style w:type="paragraph" w:styleId="1432">
    <w:name w:val="aa"/>
    <w:basedOn w:val="1064"/>
    <w:next w:val="1432"/>
    <w:link w:val="1064"/>
    <w:pPr>
      <w:jc w:val="left"/>
      <w:spacing w:before="100" w:beforeAutospacing="1" w:after="100" w:afterAutospacing="1"/>
      <w:widowControl/>
    </w:pPr>
    <w:rPr>
      <w:rFonts w:ascii="宋体" w:hAnsi="宋体" w:cs="宋体"/>
      <w:sz w:val="24"/>
    </w:rPr>
  </w:style>
  <w:style w:type="paragraph" w:styleId="1433">
    <w:name w:val=" Char Char Char Char Char Char Char Char Char Char Char Char Char Char Char Char"/>
    <w:basedOn w:val="1064"/>
    <w:next w:val="1433"/>
    <w:link w:val="1064"/>
    <w:pPr>
      <w:tabs>
        <w:tab w:val="left" w:pos="360" w:leader="none"/>
      </w:tabs>
    </w:pPr>
    <w:rPr>
      <w:sz w:val="24"/>
    </w:rPr>
  </w:style>
  <w:style w:type="paragraph" w:styleId="1434">
    <w:name w:val="xl31"/>
    <w:basedOn w:val="1064"/>
    <w:next w:val="1434"/>
    <w:link w:val="10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35">
    <w:name w:val="CM41"/>
    <w:basedOn w:val="1355"/>
    <w:next w:val="1355"/>
    <w:link w:val="1064"/>
    <w:pPr>
      <w:spacing w:after="478"/>
    </w:pPr>
    <w:rPr>
      <w:rFonts w:ascii="Times New Roman PSMT" w:hAnsi="Times New Roman" w:eastAsia="Times New Roman PSMT" w:cs="Times New Roman PSMT"/>
      <w:color w:val="000000"/>
    </w:rPr>
  </w:style>
  <w:style w:type="paragraph" w:styleId="1436">
    <w:name w:val=" Char Char Char Char Char Char Char Char Char Char1"/>
    <w:basedOn w:val="1064"/>
    <w:next w:val="1436"/>
    <w:link w:val="1064"/>
    <w:pPr>
      <w:ind w:left="425" w:hanging="425"/>
      <w:tabs>
        <w:tab w:val="left" w:pos="425" w:leader="none"/>
      </w:tabs>
    </w:pPr>
    <w:rPr>
      <w:sz w:val="28"/>
      <w:szCs w:val="20"/>
    </w:rPr>
  </w:style>
  <w:style w:type="paragraph" w:styleId="1437">
    <w:name w:val="xl41"/>
    <w:basedOn w:val="1064"/>
    <w:next w:val="1437"/>
    <w:link w:val="1064"/>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438">
    <w:name w:val="flNote"/>
    <w:basedOn w:val="1064"/>
    <w:next w:val="1438"/>
    <w:link w:val="1064"/>
    <w:pPr>
      <w:jc w:val="center"/>
      <w:spacing w:before="320" w:after="160" w:line="360" w:lineRule="atLeast"/>
    </w:pPr>
    <w:rPr>
      <w:rFonts w:ascii="Tahoma" w:hAnsi="Cambria" w:eastAsia="幼圆" w:cs="Cambria"/>
      <w:sz w:val="30"/>
      <w:szCs w:val="20"/>
    </w:rPr>
  </w:style>
  <w:style w:type="paragraph" w:styleId="1439">
    <w:name w:val="H6"/>
    <w:basedOn w:val="1064"/>
    <w:next w:val="1064"/>
    <w:link w:val="1064"/>
    <w:pPr>
      <w:jc w:val="left"/>
      <w:keepNext/>
      <w:spacing w:before="100" w:after="100"/>
      <w:outlineLvl w:val="6"/>
    </w:pPr>
    <w:rPr>
      <w:rFonts w:ascii="Cambria" w:hAnsi="Cambria" w:eastAsia="华文细黑" w:cs="Cambria"/>
      <w:b/>
      <w:sz w:val="16"/>
      <w:szCs w:val="20"/>
    </w:rPr>
  </w:style>
  <w:style w:type="paragraph" w:styleId="1440">
    <w:name w:val="Blockquote"/>
    <w:basedOn w:val="1064"/>
    <w:next w:val="1440"/>
    <w:link w:val="1064"/>
    <w:pPr>
      <w:ind w:left="360" w:right="360"/>
      <w:jc w:val="left"/>
      <w:spacing w:before="100" w:after="100"/>
    </w:pPr>
    <w:rPr>
      <w:rFonts w:ascii="Cambria" w:hAnsi="Cambria" w:eastAsia="华文细黑" w:cs="Cambria"/>
      <w:sz w:val="24"/>
      <w:szCs w:val="20"/>
    </w:rPr>
  </w:style>
  <w:style w:type="paragraph" w:styleId="1441">
    <w:name w:val="默认段落字体 Para Char Char Char1 Char"/>
    <w:basedOn w:val="1064"/>
    <w:next w:val="1441"/>
    <w:link w:val="1064"/>
    <w:pPr>
      <w:ind w:left="420" w:firstLine="420"/>
      <w:spacing w:line="360" w:lineRule="auto"/>
    </w:pPr>
    <w:rPr>
      <w:sz w:val="24"/>
      <w:szCs w:val="21"/>
    </w:rPr>
  </w:style>
  <w:style w:type="paragraph" w:styleId="1442">
    <w:name w:val="_Style 5"/>
    <w:basedOn w:val="1065"/>
    <w:next w:val="1064"/>
    <w:link w:val="1064"/>
    <w:qFormat/>
    <w:pPr>
      <w:ind w:left="0"/>
      <w:jc w:val="both"/>
      <w:keepLines/>
      <w:keepNext/>
      <w:spacing w:before="340" w:after="330" w:line="578" w:lineRule="auto"/>
      <w:tabs>
        <w:tab w:val="left" w:pos="1800" w:leader="none"/>
      </w:tabs>
      <w:outlineLvl w:val="9"/>
    </w:pPr>
    <w:rPr>
      <w:rFonts w:ascii="Cambria" w:hAnsi="Cambria" w:eastAsia="华文细黑" w:cs="Cambria"/>
      <w:sz w:val="44"/>
      <w:szCs w:val="44"/>
      <w:lang w:eastAsia="zh-CN"/>
    </w:rPr>
  </w:style>
  <w:style w:type="paragraph" w:styleId="1443">
    <w:name w:val="Char Char Char1 Char Char Char"/>
    <w:basedOn w:val="1064"/>
    <w:next w:val="1443"/>
    <w:link w:val="1064"/>
    <w:pPr>
      <w:ind w:firstLine="200"/>
    </w:pPr>
    <w:rPr>
      <w:rFonts w:ascii="Tahoma" w:hAnsi="Tahoma"/>
      <w:sz w:val="24"/>
      <w:szCs w:val="20"/>
    </w:rPr>
  </w:style>
  <w:style w:type="table" w:styleId="1444">
    <w:name w:val="网格型1"/>
    <w:basedOn w:val="1075"/>
    <w:next w:val="1444"/>
    <w:link w:val="1064"/>
    <w:pPr>
      <w:jc w:val="both"/>
      <w:widowControl w:val="off"/>
    </w:pPr>
    <w:rPr>
      <w:rFonts w:ascii="Cambria" w:hAnsi="Cambria" w:eastAsia="华文细黑" w:cs="Cambria"/>
    </w:rPr>
    <w:tblPr/>
  </w:style>
  <w:style w:type="table" w:styleId="1445">
    <w:name w:val="网格型 21"/>
    <w:basedOn w:val="1075"/>
    <w:next w:val="1445"/>
    <w:link w:val="1064"/>
    <w:pPr>
      <w:jc w:val="both"/>
      <w:widowControl w:val="off"/>
    </w:pPr>
    <w:tblPr/>
  </w:style>
  <w:style w:type="table" w:styleId="1446">
    <w:name w:val="网格型63"/>
    <w:basedOn w:val="1075"/>
    <w:next w:val="1446"/>
    <w:link w:val="1064"/>
    <w:uiPriority w:val="59"/>
    <w:qFormat/>
    <w:rPr>
      <w:rFonts w:ascii="Calibri" w:hAnsi="Calibri"/>
    </w:rPr>
    <w:tblPr/>
  </w:style>
  <w:style w:type="paragraph" w:styleId="1447">
    <w:name w:val="正文文本1"/>
    <w:basedOn w:val="1064"/>
    <w:next w:val="1448"/>
    <w:link w:val="1064"/>
    <w:qFormat/>
    <w:rPr>
      <w:rFonts w:ascii="仿宋_GB2312" w:eastAsia="仿宋_GB2312"/>
      <w:sz w:val="28"/>
    </w:rPr>
  </w:style>
  <w:style w:type="paragraph" w:styleId="1448">
    <w:name w:val="列表1"/>
    <w:basedOn w:val="1064"/>
    <w:next w:val="1448"/>
    <w:link w:val="1064"/>
    <w:qFormat/>
    <w:pPr>
      <w:ind w:left="420" w:hanging="420"/>
      <w:spacing w:after="20" w:line="288" w:lineRule="auto"/>
      <w:tabs>
        <w:tab w:val="left" w:pos="420" w:leader="none"/>
      </w:tabs>
    </w:pPr>
    <w:rPr>
      <w:szCs w:val="20"/>
      <w:lang w:val="en-GB"/>
    </w:rPr>
  </w:style>
  <w:style w:type="character" w:styleId="1449" w:default="1">
    <w:name w:val="Default Paragraph Font"/>
    <w:uiPriority w:val="1"/>
    <w:semiHidden/>
    <w:unhideWhenUsed/>
  </w:style>
  <w:style w:type="numbering" w:styleId="1450" w:default="1">
    <w:name w:val="No List"/>
    <w:uiPriority w:val="99"/>
    <w:semiHidden/>
    <w:unhideWhenUsed/>
  </w:style>
  <w:style w:type="table" w:styleId="14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dc:title>
  <dc:creator>王</dc:creator>
  <cp:lastModifiedBy>吴莹</cp:lastModifiedBy>
  <cp:revision>6</cp:revision>
  <dcterms:created xsi:type="dcterms:W3CDTF">2022-12-06T01:32:00Z</dcterms:created>
  <dcterms:modified xsi:type="dcterms:W3CDTF">2024-11-01T08:36:41Z</dcterms:modified>
</cp:coreProperties>
</file>