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b/>
          <w:bCs/>
          <w:spacing w:val="80"/>
          <w:sz w:val="72"/>
          <w:szCs w:val="72"/>
          <w:lang w:eastAsia="zh-CN"/>
        </w:rPr>
      </w:pPr>
      <w:r>
        <mc:AlternateContent>
          <mc:Choice Requires="wpg">
            <w:drawing>
              <wp:inline xmlns:wp="http://schemas.openxmlformats.org/drawingml/2006/wordprocessingDrawing" distT="0" distB="0" distL="0" distR="0">
                <wp:extent cx="6383655" cy="9142095"/>
                <wp:effectExtent l="0" t="0" r="1714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6383655" cy="914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02.6pt;height:719.8pt;mso-wrap-distance-left:0.0pt;mso-wrap-distance-top:0.0pt;mso-wrap-distance-right:0.0pt;mso-wrap-distance-bottom:0.0pt;" stroked="f">
                <v:path textboxrect="0,0,0,0"/>
                <v:imagedata r:id="rId18" o:title=""/>
              </v:shape>
            </w:pict>
          </mc:Fallback>
        </mc:AlternateContent>
      </w:r>
      <w:r>
        <w:rPr>
          <w:rFonts w:hint="eastAsia" w:ascii="宋体" w:hAnsi="宋体" w:eastAsia="宋体"/>
          <w:b/>
          <w:bCs/>
          <w:spacing w:val="80"/>
          <w:sz w:val="72"/>
          <w:szCs w:val="72"/>
          <w:lang w:eastAsia="zh-CN"/>
        </w:rPr>
        <w:br w:type="page" w:clear="all"/>
      </w:r>
      <w:r/>
    </w:p>
    <w:p>
      <w:pPr>
        <w:jc w:val="center"/>
        <w:spacing w:line="360" w:lineRule="auto"/>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w:r>
      <w:r/>
    </w:p>
    <w:p>
      <w:pPr>
        <w:jc w:val="center"/>
        <w:spacing w:line="360" w:lineRule="auto"/>
        <w:rPr>
          <w:rFonts w:hint="eastAsia" w:ascii="宋体" w:hAnsi="宋体" w:eastAsia="宋体"/>
          <w:b/>
          <w:bCs/>
          <w:spacing w:val="80"/>
          <w:sz w:val="28"/>
          <w:szCs w:val="28"/>
          <w:lang w:eastAsia="zh-CN"/>
        </w:rPr>
      </w:pPr>
      <w:r>
        <w:rPr>
          <w:rFonts w:hint="eastAsia" w:ascii="宋体" w:hAnsi="宋体" w:eastAsia="宋体"/>
          <w:b/>
          <w:bCs/>
          <w:spacing w:val="80"/>
          <w:sz w:val="28"/>
          <w:szCs w:val="28"/>
          <w:lang w:eastAsia="zh-CN"/>
        </w:rPr>
      </w:r>
      <w:r/>
    </w:p>
    <w:p>
      <w:pPr>
        <w:jc w:val="center"/>
        <w:spacing w:line="360" w:lineRule="auto"/>
        <w:rPr>
          <w:rFonts w:ascii="宋体" w:hAnsi="宋体" w:eastAsia="宋体"/>
          <w:b/>
          <w:bCs/>
          <w:spacing w:val="80"/>
          <w:sz w:val="72"/>
          <w:szCs w:val="72"/>
        </w:rPr>
      </w:pPr>
      <w:r>
        <w:rPr>
          <w:rFonts w:hint="eastAsia" w:ascii="宋体" w:hAnsi="宋体" w:eastAsia="宋体"/>
          <w:b/>
          <w:bCs/>
          <w:spacing w:val="80"/>
          <w:sz w:val="72"/>
          <w:szCs w:val="72"/>
        </w:rPr>
        <w:t xml:space="preserve">灌云县政府采购</w:t>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t xml:space="preserve">公开招标</w:t>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spacing w:line="360" w:lineRule="auto"/>
        <w:rPr>
          <w:rFonts w:hint="eastAsia" w:ascii="宋体" w:hAnsi="宋体" w:eastAsia="宋体"/>
          <w:b/>
          <w:bCs/>
          <w:spacing w:val="16"/>
          <w:sz w:val="44"/>
        </w:rPr>
      </w:pPr>
      <w:r>
        <w:rPr>
          <w:rFonts w:hint="eastAsia" w:ascii="宋体" w:hAnsi="宋体" w:eastAsia="宋体"/>
          <w:b/>
          <w:bCs/>
          <w:spacing w:val="16"/>
          <w:sz w:val="44"/>
        </w:rPr>
      </w:r>
      <w:r/>
    </w:p>
    <w:p>
      <w:pPr>
        <w:ind w:left="2522" w:right="-241" w:hanging="1405"/>
        <w:spacing w:line="360" w:lineRule="auto"/>
        <w:rPr>
          <w:rFonts w:hint="eastAsia" w:ascii="宋体" w:hAnsi="宋体" w:eastAsia="宋体"/>
          <w:b/>
          <w:bCs/>
          <w:spacing w:val="16"/>
          <w:sz w:val="40"/>
          <w:szCs w:val="22"/>
          <w:lang w:eastAsia="zh-CN"/>
        </w:rPr>
      </w:pPr>
      <w:r>
        <w:rPr>
          <w:rFonts w:hint="eastAsia" w:ascii="宋体" w:hAnsi="宋体" w:eastAsia="宋体"/>
          <w:b/>
          <w:bCs/>
          <w:sz w:val="28"/>
          <w:szCs w:val="22"/>
        </w:rPr>
        <w:t xml:space="preserve">项目名称：</w:t>
      </w:r>
      <w:r>
        <w:rPr>
          <w:rFonts w:hint="eastAsia" w:ascii="宋体" w:hAnsi="宋体" w:eastAsia="宋体"/>
          <w:b/>
          <w:bCs/>
          <w:sz w:val="28"/>
          <w:szCs w:val="22"/>
          <w:lang w:eastAsia="zh-CN"/>
        </w:rPr>
        <w:t xml:space="preserve">灌云县临港产业区化工产业园7地块土壤和地下水检测项</w:t>
      </w:r>
      <w:r>
        <w:rPr>
          <w:rFonts w:hint="eastAsia" w:ascii="宋体" w:hAnsi="宋体" w:eastAsia="宋体"/>
          <w:b/>
          <w:bCs/>
          <w:sz w:val="28"/>
          <w:szCs w:val="22"/>
          <w:lang w:val="en-US" w:eastAsia="zh-CN"/>
        </w:rPr>
        <w:t xml:space="preserve">     </w:t>
      </w:r>
      <w:r>
        <w:rPr>
          <w:rFonts w:hint="eastAsia" w:ascii="宋体" w:hAnsi="宋体" w:eastAsia="宋体"/>
          <w:b/>
          <w:bCs/>
          <w:sz w:val="28"/>
          <w:szCs w:val="22"/>
          <w:lang w:eastAsia="zh-CN"/>
        </w:rPr>
        <w:t xml:space="preserve">目（专门面向中小微企业）</w:t>
      </w:r>
      <w:r/>
    </w:p>
    <w:p>
      <w:pPr>
        <w:ind w:firstLine="1068"/>
        <w:jc w:val="left"/>
        <w:spacing w:line="360" w:lineRule="auto"/>
        <w:rPr>
          <w:rFonts w:hint="eastAsia" w:ascii="宋体" w:hAnsi="宋体" w:eastAsia="宋体"/>
          <w:color w:val="ff0000"/>
          <w:sz w:val="20"/>
          <w:szCs w:val="22"/>
          <w:lang w:eastAsia="zh-CN"/>
        </w:rPr>
      </w:pPr>
      <w:r>
        <w:rPr>
          <w:rFonts w:hint="eastAsia" w:ascii="宋体" w:hAnsi="宋体" w:eastAsia="宋体"/>
          <w:b/>
          <w:bCs/>
          <w:sz w:val="28"/>
          <w:szCs w:val="22"/>
        </w:rPr>
        <w:t xml:space="preserve">项目编号：</w:t>
      </w:r>
      <w:r>
        <w:rPr>
          <w:rFonts w:hint="eastAsia" w:ascii="宋体" w:hAnsi="宋体" w:eastAsia="宋体"/>
          <w:b/>
          <w:bCs/>
          <w:color w:val="auto"/>
          <w:sz w:val="28"/>
          <w:szCs w:val="22"/>
          <w:lang w:eastAsia="zh-CN"/>
        </w:rPr>
        <w:t xml:space="preserve">JSZC-320723-BZGS-G2024-0002</w:t>
      </w:r>
      <w:r/>
    </w:p>
    <w:p>
      <w:pPr>
        <w:spacing w:line="360" w:lineRule="auto"/>
        <w:rPr>
          <w:rFonts w:hint="eastAsia" w:ascii="宋体" w:hAnsi="宋体" w:eastAsia="宋体"/>
        </w:rPr>
      </w:pPr>
      <w:r>
        <w:rPr>
          <w:rFonts w:hint="eastAsia" w:ascii="宋体" w:hAnsi="宋体" w:eastAsia="宋体"/>
        </w:rPr>
      </w:r>
      <w:r/>
    </w:p>
    <w:p>
      <w:pPr>
        <w:spacing w:line="360" w:lineRule="auto"/>
        <w:rPr>
          <w:rFonts w:ascii="宋体" w:hAnsi="宋体" w:eastAsia="宋体"/>
        </w:rPr>
      </w:pPr>
      <w:r>
        <w:rPr>
          <w:rFonts w:ascii="宋体" w:hAnsi="宋体" w:eastAsia="宋体"/>
        </w:rPr>
      </w:r>
      <w:r/>
    </w:p>
    <w:tbl>
      <w:tblPr>
        <w:tblStyle w:val="915"/>
        <w:tblW w:w="9854"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107"/>
        </w:trPr>
        <w:tc>
          <w:tcPr>
            <w:tcW w:w="648" w:type="dxa"/>
            <w:vAlign w:val="top"/>
            <w:textDirection w:val="lrTb"/>
            <w:noWrap w:val="false"/>
          </w:tcPr>
          <w:p>
            <w:pPr>
              <w:spacing w:line="360" w:lineRule="auto"/>
              <w:rPr>
                <w:rFonts w:hint="eastAsia" w:ascii="宋体" w:hAnsi="宋体" w:eastAsia="宋体"/>
                <w:b/>
                <w:bCs/>
                <w:sz w:val="32"/>
              </w:rPr>
            </w:pPr>
            <w:r>
              <w:rPr>
                <w:rFonts w:hint="eastAsia" w:ascii="宋体" w:hAnsi="宋体" w:eastAsia="宋体"/>
                <w:b/>
                <w:bCs/>
                <w:sz w:val="32"/>
              </w:rPr>
            </w:r>
            <w:r/>
          </w:p>
          <w:p>
            <w:pPr>
              <w:spacing w:line="360" w:lineRule="auto"/>
              <w:rPr>
                <w:rFonts w:ascii="宋体" w:hAnsi="宋体" w:eastAsia="宋体"/>
                <w:b/>
                <w:bCs/>
                <w:sz w:val="32"/>
              </w:rPr>
            </w:pPr>
            <w:r>
              <w:rPr>
                <w:rFonts w:ascii="宋体" w:hAnsi="宋体" w:eastAsia="宋体"/>
                <w:b/>
                <w:bCs/>
                <w:sz w:val="32"/>
              </w:rPr>
            </w:r>
            <w:r/>
          </w:p>
        </w:tc>
        <w:tc>
          <w:tcPr>
            <w:tcW w:w="2520" w:type="dxa"/>
            <w:vAlign w:val="bottom"/>
            <w:textDirection w:val="lrTb"/>
            <w:noWrap w:val="false"/>
          </w:tcPr>
          <w:p>
            <w:pPr>
              <w:jc w:val="right"/>
              <w:spacing w:line="360" w:lineRule="auto"/>
              <w:rPr>
                <w:rFonts w:ascii="宋体" w:hAnsi="宋体" w:eastAsia="宋体"/>
                <w:b/>
                <w:bCs/>
                <w:sz w:val="32"/>
              </w:rPr>
            </w:pPr>
            <w:r>
              <w:rPr>
                <w:rFonts w:hint="eastAsia" w:ascii="宋体" w:hAnsi="宋体" w:eastAsia="宋体"/>
                <w:b/>
                <w:bCs/>
                <w:sz w:val="32"/>
              </w:rPr>
              <w:t xml:space="preserve">采   购   人：</w:t>
            </w:r>
            <w:r/>
          </w:p>
        </w:tc>
        <w:tc>
          <w:tcPr>
            <w:tcW w:w="6686" w:type="dxa"/>
            <w:vAlign w:val="bottom"/>
            <w:textDirection w:val="lrTb"/>
            <w:noWrap w:val="false"/>
          </w:tcPr>
          <w:p>
            <w:pPr>
              <w:pStyle w:val="1109"/>
              <w:spacing w:line="360" w:lineRule="auto"/>
              <w:rPr>
                <w:rFonts w:hint="eastAsia" w:ascii="宋体" w:hAnsi="宋体" w:eastAsia="宋体"/>
                <w:b/>
                <w:bCs/>
                <w:sz w:val="32"/>
                <w:szCs w:val="24"/>
              </w:rPr>
            </w:pPr>
            <w:r>
              <w:rPr>
                <w:rFonts w:hint="eastAsia" w:ascii="宋体" w:hAnsi="宋体" w:eastAsia="宋体"/>
                <w:b/>
                <w:bCs/>
                <w:sz w:val="32"/>
                <w:szCs w:val="24"/>
              </w:rPr>
              <w:t xml:space="preserve">灌云县临港产业区管理办公室</w:t>
            </w:r>
            <w:r/>
          </w:p>
        </w:tc>
      </w:tr>
      <w:tr>
        <w:trPr/>
        <w:tc>
          <w:tcPr>
            <w:tcW w:w="648" w:type="dxa"/>
            <w:vAlign w:val="top"/>
            <w:textDirection w:val="lrTb"/>
            <w:noWrap w:val="false"/>
          </w:tcPr>
          <w:p>
            <w:pPr>
              <w:spacing w:line="360" w:lineRule="auto"/>
              <w:rPr>
                <w:rFonts w:ascii="宋体" w:hAnsi="宋体" w:eastAsia="宋体"/>
                <w:b/>
                <w:bCs/>
                <w:sz w:val="32"/>
              </w:rPr>
            </w:pPr>
            <w:r>
              <w:rPr>
                <w:rFonts w:ascii="宋体" w:hAnsi="宋体" w:eastAsia="宋体"/>
                <w:b/>
                <w:bCs/>
                <w:sz w:val="32"/>
              </w:rPr>
            </w:r>
            <w:r/>
          </w:p>
        </w:tc>
        <w:tc>
          <w:tcPr>
            <w:tcW w:w="2520" w:type="dxa"/>
            <w:vAlign w:val="center"/>
            <w:textDirection w:val="lrTb"/>
            <w:noWrap w:val="false"/>
          </w:tcPr>
          <w:p>
            <w:pPr>
              <w:jc w:val="right"/>
              <w:spacing w:line="360" w:lineRule="auto"/>
              <w:rPr>
                <w:rFonts w:ascii="宋体" w:hAnsi="宋体" w:eastAsia="宋体"/>
              </w:rPr>
            </w:pPr>
            <w:r>
              <w:rPr>
                <w:rFonts w:hint="eastAsia" w:ascii="宋体" w:hAnsi="宋体" w:eastAsia="宋体"/>
                <w:b/>
                <w:bCs/>
                <w:sz w:val="32"/>
              </w:rPr>
              <w:t xml:space="preserve">采购代理机构：</w:t>
            </w:r>
            <w:r/>
          </w:p>
        </w:tc>
        <w:tc>
          <w:tcPr>
            <w:tcW w:w="6686" w:type="dxa"/>
            <w:vAlign w:val="center"/>
            <w:textDirection w:val="lrTb"/>
            <w:noWrap w:val="false"/>
          </w:tcPr>
          <w:p>
            <w:pPr>
              <w:pStyle w:val="1109"/>
              <w:spacing w:line="360" w:lineRule="auto"/>
              <w:rPr>
                <w:rFonts w:hint="eastAsia" w:ascii="宋体" w:hAnsi="宋体" w:eastAsia="宋体"/>
                <w:b/>
                <w:bCs/>
                <w:spacing w:val="20"/>
                <w:sz w:val="32"/>
                <w:lang w:eastAsia="zh-CN"/>
              </w:rPr>
            </w:pPr>
            <w:r>
              <w:rPr>
                <w:rFonts w:hint="eastAsia" w:ascii="宋体" w:hAnsi="宋体" w:eastAsia="宋体"/>
                <w:b/>
                <w:bCs/>
                <w:spacing w:val="20"/>
                <w:sz w:val="32"/>
                <w:lang w:eastAsia="zh-CN"/>
              </w:rPr>
              <w:t xml:space="preserve">江苏博哲项目管理有限公司</w:t>
            </w:r>
            <w:r/>
          </w:p>
        </w:tc>
      </w:tr>
    </w:tbl>
    <w:p>
      <w:pPr>
        <w:pStyle w:val="1109"/>
        <w:jc w:val="center"/>
        <w:rPr>
          <w:rFonts w:ascii="宋体" w:hAnsi="宋体" w:eastAsia="宋体"/>
          <w:b/>
          <w:bCs/>
          <w:sz w:val="32"/>
        </w:rPr>
      </w:pPr>
      <w:r>
        <w:rPr>
          <w:rFonts w:ascii="宋体" w:hAnsi="宋体" w:eastAsia="宋体"/>
          <w:b/>
          <w:bCs/>
          <w:sz w:val="32"/>
        </w:rPr>
      </w:r>
      <w:r/>
    </w:p>
    <w:p>
      <w:pPr>
        <w:pStyle w:val="1109"/>
        <w:ind w:right="-993" w:firstLine="3663"/>
        <w:spacing w:line="360" w:lineRule="auto"/>
        <w:rPr>
          <w:rFonts w:hint="eastAsia" w:ascii="宋体" w:hAnsi="宋体" w:eastAsia="宋体"/>
          <w:b/>
          <w:bCs/>
          <w:sz w:val="32"/>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eastAsia="宋体"/>
          <w:b/>
          <w:bCs/>
          <w:sz w:val="32"/>
          <w:szCs w:val="24"/>
        </w:rPr>
        <w:t xml:space="preserve">202</w:t>
      </w:r>
      <w:r>
        <w:rPr>
          <w:rFonts w:hint="eastAsia" w:ascii="宋体" w:hAnsi="宋体" w:eastAsia="宋体"/>
          <w:b/>
          <w:bCs/>
          <w:sz w:val="32"/>
          <w:szCs w:val="24"/>
          <w:lang w:val="en-US" w:eastAsia="zh-CN"/>
        </w:rPr>
        <w:t xml:space="preserve">4</w:t>
      </w:r>
      <w:r>
        <w:rPr>
          <w:rFonts w:hint="eastAsia" w:ascii="宋体" w:hAnsi="宋体" w:eastAsia="宋体"/>
          <w:b/>
          <w:bCs/>
          <w:sz w:val="32"/>
          <w:szCs w:val="24"/>
        </w:rPr>
        <w:t xml:space="preserve">年</w:t>
      </w:r>
      <w:r>
        <w:rPr>
          <w:rFonts w:hint="eastAsia" w:ascii="宋体" w:hAnsi="宋体" w:eastAsia="宋体"/>
          <w:b/>
          <w:bCs/>
          <w:sz w:val="32"/>
          <w:szCs w:val="24"/>
          <w:lang w:val="en-US" w:eastAsia="zh-CN"/>
        </w:rPr>
        <w:t xml:space="preserve">5</w:t>
      </w:r>
      <w:r>
        <w:rPr>
          <w:rFonts w:hint="eastAsia" w:ascii="宋体" w:hAnsi="宋体" w:eastAsia="宋体"/>
          <w:b/>
          <w:bCs/>
          <w:sz w:val="32"/>
          <w:szCs w:val="24"/>
        </w:rPr>
        <w:t xml:space="preserve">月</w:t>
      </w:r>
      <w:r/>
    </w:p>
    <w:p>
      <w:pPr>
        <w:pStyle w:val="1109"/>
        <w:ind w:right="-993" w:firstLine="3663"/>
        <w:spacing w:line="360" w:lineRule="auto"/>
        <w:rPr>
          <w:rFonts w:hint="eastAsia" w:ascii="宋体" w:hAnsi="宋体" w:eastAsia="宋体"/>
          <w:b/>
          <w:bCs/>
          <w:sz w:val="32"/>
          <w:szCs w:val="24"/>
        </w:rPr>
      </w:pPr>
      <w:r>
        <w:rPr>
          <w:rFonts w:hint="eastAsia" w:ascii="宋体" w:hAnsi="宋体" w:eastAsia="宋体"/>
          <w:b/>
          <w:bCs/>
          <w:sz w:val="32"/>
          <w:szCs w:val="24"/>
        </w:rPr>
      </w:r>
      <w:r/>
    </w:p>
    <w:p>
      <w:pPr>
        <w:pStyle w:val="1109"/>
        <w:jc w:val="center"/>
        <w:rPr>
          <w:rFonts w:hint="eastAsia" w:ascii="宋体" w:hAnsi="宋体" w:eastAsia="宋体"/>
          <w:sz w:val="44"/>
        </w:rPr>
      </w:pPr>
      <w:r>
        <w:rPr>
          <w:rFonts w:hint="eastAsia" w:ascii="宋体" w:hAnsi="宋体" w:eastAsia="宋体"/>
          <w:sz w:val="44"/>
        </w:rPr>
        <w:t xml:space="preserve">目     录</w:t>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TOC \o "1-1" \h \u </w:instrText>
      </w:r>
      <w:r>
        <w:rPr>
          <w:rFonts w:hint="eastAsia" w:ascii="宋体" w:hAnsi="宋体" w:eastAsia="宋体" w:cs="Cambria"/>
        </w:rPr>
        <w:fldChar w:fldCharType="separate"/>
      </w:r>
      <w:r>
        <w:rPr>
          <w:rFonts w:hint="eastAsia" w:ascii="宋体" w:hAnsi="宋体" w:eastAsia="宋体" w:cs="Cambria"/>
        </w:rPr>
        <w:fldChar w:fldCharType="begin"/>
      </w:r>
      <w:r>
        <w:rPr>
          <w:rFonts w:hint="eastAsia" w:ascii="宋体" w:hAnsi="宋体" w:eastAsia="宋体" w:cs="Cambria"/>
        </w:rPr>
        <w:instrText xml:space="preserve"> HYPERLINK \l _Toc11171 </w:instrText>
      </w:r>
      <w:r>
        <w:rPr>
          <w:rFonts w:hint="eastAsia" w:ascii="宋体" w:hAnsi="宋体" w:eastAsia="宋体" w:cs="Cambria"/>
        </w:rPr>
        <w:fldChar w:fldCharType="separate"/>
      </w:r>
      <w:r>
        <w:rPr>
          <w:rFonts w:hint="eastAsia" w:ascii="宋体" w:hAnsi="宋体" w:eastAsia="宋体" w:cs="Cambria"/>
        </w:rPr>
        <w:t xml:space="preserve">第一章 招标公告</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_Toc11171 \h </w:instrText>
      </w:r>
      <w:r>
        <w:rPr>
          <w:rFonts w:hint="eastAsia" w:ascii="宋体" w:hAnsi="宋体" w:eastAsia="宋体" w:cs="Cambria"/>
        </w:rPr>
        <w:fldChar w:fldCharType="separate"/>
      </w:r>
      <w:r>
        <w:rPr>
          <w:rFonts w:hint="eastAsia" w:ascii="宋体" w:hAnsi="宋体" w:eastAsia="宋体" w:cs="Cambria"/>
        </w:rPr>
        <w:t xml:space="preserve">- 2 -</w:t>
      </w:r>
      <w:r>
        <w:rPr>
          <w:rFonts w:hint="eastAsia" w:ascii="宋体" w:hAnsi="宋体" w:eastAsia="宋体" w:cs="Cambria"/>
        </w:rPr>
        <w:fldChar w:fldCharType="end"/>
      </w:r>
      <w:r>
        <w:rPr>
          <w:rFonts w:hint="eastAsia" w:ascii="宋体" w:hAnsi="宋体" w:eastAsia="宋体" w:cs="Cambria"/>
        </w:rPr>
        <w:fldChar w:fldCharType="end"/>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_Toc9047 </w:instrText>
      </w:r>
      <w:r>
        <w:rPr>
          <w:rFonts w:hint="eastAsia" w:ascii="宋体" w:hAnsi="宋体" w:eastAsia="宋体" w:cs="Cambria"/>
        </w:rPr>
        <w:fldChar w:fldCharType="separate"/>
      </w:r>
      <w:r>
        <w:rPr>
          <w:rFonts w:hint="eastAsia" w:ascii="宋体" w:hAnsi="宋体" w:eastAsia="宋体" w:cs="Cambria"/>
        </w:rPr>
        <w:t xml:space="preserve">第二章 投标人须知</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_Toc9047 \h </w:instrText>
      </w:r>
      <w:r>
        <w:rPr>
          <w:rFonts w:hint="eastAsia" w:ascii="宋体" w:hAnsi="宋体" w:eastAsia="宋体" w:cs="Cambria"/>
        </w:rPr>
        <w:fldChar w:fldCharType="separate"/>
      </w:r>
      <w:r>
        <w:rPr>
          <w:rFonts w:hint="eastAsia" w:ascii="宋体" w:hAnsi="宋体" w:eastAsia="宋体" w:cs="Cambria"/>
        </w:rPr>
        <w:t xml:space="preserve">- 4 -</w:t>
      </w:r>
      <w:r>
        <w:rPr>
          <w:rFonts w:hint="eastAsia" w:ascii="宋体" w:hAnsi="宋体" w:eastAsia="宋体" w:cs="Cambria"/>
        </w:rPr>
        <w:fldChar w:fldCharType="end"/>
      </w:r>
      <w:r>
        <w:rPr>
          <w:rFonts w:hint="eastAsia" w:ascii="宋体" w:hAnsi="宋体" w:eastAsia="宋体" w:cs="Cambria"/>
        </w:rPr>
        <w:fldChar w:fldCharType="end"/>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_Toc27799 </w:instrText>
      </w:r>
      <w:r>
        <w:rPr>
          <w:rFonts w:hint="eastAsia" w:ascii="宋体" w:hAnsi="宋体" w:eastAsia="宋体" w:cs="Cambria"/>
        </w:rPr>
        <w:fldChar w:fldCharType="separate"/>
      </w:r>
      <w:r>
        <w:rPr>
          <w:rFonts w:hint="eastAsia" w:ascii="宋体" w:hAnsi="宋体" w:eastAsia="宋体" w:cs="Cambria"/>
        </w:rPr>
        <w:t xml:space="preserve">第三章 政府采购合同格式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_Toc27799 \h </w:instrText>
      </w:r>
      <w:r>
        <w:rPr>
          <w:rFonts w:hint="eastAsia" w:ascii="宋体" w:hAnsi="宋体" w:eastAsia="宋体" w:cs="Cambria"/>
        </w:rPr>
        <w:fldChar w:fldCharType="separate"/>
      </w:r>
      <w:r>
        <w:rPr>
          <w:rFonts w:hint="eastAsia" w:ascii="宋体" w:hAnsi="宋体" w:eastAsia="宋体" w:cs="Cambria"/>
        </w:rPr>
        <w:t xml:space="preserve">- 21 -</w:t>
      </w:r>
      <w:r>
        <w:rPr>
          <w:rFonts w:hint="eastAsia" w:ascii="宋体" w:hAnsi="宋体" w:eastAsia="宋体" w:cs="Cambria"/>
        </w:rPr>
        <w:fldChar w:fldCharType="end"/>
      </w:r>
      <w:r>
        <w:rPr>
          <w:rFonts w:hint="eastAsia" w:ascii="宋体" w:hAnsi="宋体" w:eastAsia="宋体" w:cs="Cambria"/>
        </w:rPr>
        <w:fldChar w:fldCharType="end"/>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_Toc31054 </w:instrText>
      </w:r>
      <w:r>
        <w:rPr>
          <w:rFonts w:hint="eastAsia" w:ascii="宋体" w:hAnsi="宋体" w:eastAsia="宋体" w:cs="Cambria"/>
        </w:rPr>
        <w:fldChar w:fldCharType="separate"/>
      </w:r>
      <w:r>
        <w:rPr>
          <w:rFonts w:hint="eastAsia" w:ascii="宋体" w:hAnsi="宋体" w:eastAsia="宋体" w:cs="Cambria"/>
        </w:rPr>
        <w:t xml:space="preserve">第四章 项目需求</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_Toc31054 \h </w:instrText>
      </w:r>
      <w:r>
        <w:rPr>
          <w:rFonts w:hint="eastAsia" w:ascii="宋体" w:hAnsi="宋体" w:eastAsia="宋体" w:cs="Cambria"/>
        </w:rPr>
        <w:fldChar w:fldCharType="separate"/>
      </w:r>
      <w:r>
        <w:rPr>
          <w:rFonts w:hint="eastAsia" w:ascii="宋体" w:hAnsi="宋体" w:eastAsia="宋体" w:cs="Cambria"/>
        </w:rPr>
        <w:t xml:space="preserve">- 27 -</w:t>
      </w:r>
      <w:r>
        <w:rPr>
          <w:rFonts w:hint="eastAsia" w:ascii="宋体" w:hAnsi="宋体" w:eastAsia="宋体" w:cs="Cambria"/>
        </w:rPr>
        <w:fldChar w:fldCharType="end"/>
      </w:r>
      <w:r>
        <w:rPr>
          <w:rFonts w:hint="eastAsia" w:ascii="宋体" w:hAnsi="宋体" w:eastAsia="宋体" w:cs="Cambria"/>
        </w:rPr>
        <w:fldChar w:fldCharType="end"/>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_Toc29812 </w:instrText>
      </w:r>
      <w:r>
        <w:rPr>
          <w:rFonts w:hint="eastAsia" w:ascii="宋体" w:hAnsi="宋体" w:eastAsia="宋体" w:cs="Cambria"/>
        </w:rPr>
        <w:fldChar w:fldCharType="separate"/>
      </w:r>
      <w:r>
        <w:rPr>
          <w:rFonts w:hint="eastAsia" w:ascii="宋体" w:hAnsi="宋体" w:eastAsia="宋体" w:cs="Cambria"/>
        </w:rPr>
        <w:t xml:space="preserve">第五章 投标文件格式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_Toc29812 \h </w:instrText>
      </w:r>
      <w:r>
        <w:rPr>
          <w:rFonts w:hint="eastAsia" w:ascii="宋体" w:hAnsi="宋体" w:eastAsia="宋体" w:cs="Cambria"/>
        </w:rPr>
        <w:fldChar w:fldCharType="separate"/>
      </w:r>
      <w:r>
        <w:rPr>
          <w:rFonts w:hint="eastAsia" w:ascii="宋体" w:hAnsi="宋体" w:eastAsia="宋体" w:cs="Cambria"/>
        </w:rPr>
        <w:t xml:space="preserve">- 29 -</w:t>
      </w:r>
      <w:r>
        <w:rPr>
          <w:rFonts w:hint="eastAsia" w:ascii="宋体" w:hAnsi="宋体" w:eastAsia="宋体" w:cs="Cambria"/>
        </w:rPr>
        <w:fldChar w:fldCharType="end"/>
      </w:r>
      <w:r>
        <w:rPr>
          <w:rFonts w:hint="eastAsia" w:ascii="宋体" w:hAnsi="宋体" w:eastAsia="宋体" w:cs="Cambria"/>
        </w:rPr>
        <w:fldChar w:fldCharType="end"/>
      </w:r>
      <w:r/>
    </w:p>
    <w:p>
      <w:pPr>
        <w:pStyle w:val="1119"/>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_Toc20240 </w:instrText>
      </w:r>
      <w:r>
        <w:rPr>
          <w:rFonts w:hint="eastAsia" w:ascii="宋体" w:hAnsi="宋体" w:eastAsia="宋体" w:cs="Cambria"/>
        </w:rPr>
        <w:fldChar w:fldCharType="separate"/>
      </w:r>
      <w:r>
        <w:rPr>
          <w:rFonts w:hint="eastAsia" w:ascii="宋体" w:hAnsi="宋体" w:eastAsia="宋体" w:cs="Cambria"/>
        </w:rPr>
        <w:t xml:space="preserve">第六章 评标办法</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_Toc20240 \h </w:instrText>
      </w:r>
      <w:r>
        <w:rPr>
          <w:rFonts w:hint="eastAsia" w:ascii="宋体" w:hAnsi="宋体" w:eastAsia="宋体" w:cs="Cambria"/>
        </w:rPr>
        <w:fldChar w:fldCharType="separate"/>
      </w:r>
      <w:r>
        <w:rPr>
          <w:rFonts w:hint="eastAsia" w:ascii="宋体" w:hAnsi="宋体" w:eastAsia="宋体" w:cs="Cambria"/>
        </w:rPr>
        <w:t xml:space="preserve">- 46 -</w:t>
      </w:r>
      <w:r>
        <w:rPr>
          <w:rFonts w:hint="eastAsia" w:ascii="宋体" w:hAnsi="宋体" w:eastAsia="宋体" w:cs="Cambria"/>
        </w:rPr>
        <w:fldChar w:fldCharType="end"/>
      </w:r>
      <w:r>
        <w:rPr>
          <w:rFonts w:hint="eastAsia" w:ascii="宋体" w:hAnsi="宋体" w:eastAsia="宋体" w:cs="Cambria"/>
        </w:rPr>
        <w:fldChar w:fldCharType="end"/>
      </w:r>
      <w:r/>
    </w:p>
    <w:p>
      <w:pPr>
        <w:pStyle w:val="1109"/>
        <w:rPr>
          <w:rFonts w:hint="eastAsia" w:ascii="宋体" w:hAnsi="宋体" w:eastAsia="宋体"/>
          <w:sz w:val="44"/>
        </w:rPr>
      </w:pPr>
      <w:r>
        <w:rPr>
          <w:rFonts w:hint="eastAsia" w:ascii="宋体" w:hAnsi="宋体" w:eastAsia="宋体" w:cs="Cambria"/>
          <w:sz w:val="24"/>
          <w:szCs w:val="24"/>
        </w:rPr>
        <w:fldChar w:fldCharType="end"/>
      </w:r>
      <w:r/>
    </w:p>
    <w:p>
      <w:pPr>
        <w:pStyle w:val="1109"/>
        <w:rPr>
          <w:rFonts w:hint="eastAsia" w:ascii="宋体" w:hAnsi="宋体" w:eastAsia="宋体"/>
          <w:b/>
          <w:sz w:val="36"/>
        </w:rPr>
        <w:outlineLvl w:val="0"/>
      </w:pPr>
      <w:r/>
      <w:bookmarkStart w:id="0" w:name="_Toc139967210"/>
      <w:r/>
      <w:bookmarkStart w:id="1" w:name="_Toc139966426"/>
      <w:r>
        <w:rPr>
          <w:rFonts w:ascii="宋体" w:hAnsi="宋体" w:eastAsia="宋体"/>
          <w:b/>
          <w:sz w:val="36"/>
        </w:rPr>
        <w:br w:type="page" w:clear="all"/>
      </w:r>
      <w:bookmarkStart w:id="2" w:name="_Toc494123931"/>
      <w:r/>
      <w:r/>
    </w:p>
    <w:p>
      <w:pPr>
        <w:pStyle w:val="1109"/>
        <w:numPr>
          <w:ilvl w:val="0"/>
          <w:numId w:val="3"/>
        </w:numPr>
        <w:jc w:val="center"/>
        <w:rPr>
          <w:rFonts w:ascii="宋体" w:hAnsi="宋体" w:eastAsia="宋体"/>
          <w:b/>
          <w:sz w:val="36"/>
        </w:rPr>
        <w:outlineLvl w:val="0"/>
      </w:pPr>
      <w:r>
        <w:rPr>
          <w:rFonts w:hint="eastAsia" w:ascii="宋体" w:hAnsi="宋体" w:eastAsia="宋体"/>
          <w:b/>
          <w:sz w:val="36"/>
        </w:rPr>
        <w:t xml:space="preserve"> </w:t>
      </w:r>
      <w:bookmarkEnd w:id="2"/>
      <w:r/>
      <w:bookmarkStart w:id="3" w:name="_Toc11171"/>
      <w:r>
        <w:rPr>
          <w:rFonts w:hint="eastAsia" w:ascii="宋体" w:hAnsi="宋体" w:eastAsia="宋体"/>
          <w:b/>
          <w:sz w:val="36"/>
        </w:rPr>
        <w:t xml:space="preserve">招标公告</w:t>
      </w:r>
      <w:bookmarkEnd w:id="3"/>
      <w:r/>
      <w:r/>
    </w:p>
    <w:p>
      <w:pPr>
        <w:ind w:firstLine="420"/>
        <w:spacing w:line="360" w:lineRule="auto"/>
        <w:rPr>
          <w:rFonts w:hint="eastAsia" w:ascii="宋体" w:hAnsi="宋体" w:eastAsia="宋体" w:cs="宋体"/>
          <w:bCs/>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Cs w:val="21"/>
        </w:rPr>
        <w:t xml:space="preserve">项目概况：</w:t>
      </w:r>
      <w:r/>
    </w:p>
    <w:p>
      <w:pPr>
        <w:ind w:firstLine="420"/>
        <w:spacing w:line="360" w:lineRule="auto"/>
        <w:rPr>
          <w:rFonts w:hint="eastAsia" w:ascii="宋体" w:hAnsi="宋体" w:eastAsia="宋体" w:cs="宋体"/>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u w:val="single"/>
          <w:lang w:eastAsia="zh-CN"/>
        </w:rPr>
        <w:t xml:space="preserve">灌云县临港产业区化工产业园7地块土壤和地下水检测项目（专门面向中小微企业）JSZC-320723-BZGS-G2024-0002</w:t>
      </w:r>
      <w:r>
        <w:rPr>
          <w:rFonts w:hint="eastAsia" w:ascii="宋体" w:hAnsi="宋体" w:eastAsia="宋体" w:cs="宋体"/>
          <w:color w:val="auto"/>
          <w:szCs w:val="21"/>
        </w:rPr>
        <w:t xml:space="preserve">招标项目的潜在投标人应在</w:t>
      </w:r>
      <w:r>
        <w:rPr>
          <w:rFonts w:hint="eastAsia" w:ascii="宋体" w:hAnsi="宋体" w:eastAsia="宋体" w:cs="宋体"/>
          <w:color w:val="auto"/>
          <w:szCs w:val="21"/>
          <w:u w:val="single"/>
          <w:lang w:eastAsia="zh-CN"/>
        </w:rPr>
        <w:t xml:space="preserve">苏采云政府采购一体化平台</w:t>
      </w:r>
      <w:r>
        <w:rPr>
          <w:rFonts w:hint="eastAsia" w:ascii="宋体" w:hAnsi="宋体" w:eastAsia="宋体" w:cs="宋体"/>
          <w:color w:val="auto"/>
          <w:szCs w:val="21"/>
        </w:rPr>
        <w:t xml:space="preserve">获取招标文件，并于</w:t>
      </w:r>
      <w:r>
        <w:rPr>
          <w:rFonts w:hint="eastAsia" w:ascii="宋体" w:hAnsi="宋体" w:eastAsia="宋体" w:cs="宋体"/>
          <w:color w:val="auto"/>
          <w:szCs w:val="21"/>
          <w:u w:val="single"/>
        </w:rPr>
        <w:t xml:space="preserve"> 202</w:t>
      </w:r>
      <w:r>
        <w:rPr>
          <w:rFonts w:hint="eastAsia" w:ascii="宋体" w:hAnsi="宋体" w:eastAsia="宋体" w:cs="宋体"/>
          <w:color w:val="auto"/>
          <w:szCs w:val="21"/>
          <w:u w:val="single"/>
          <w:lang w:val="en-US" w:eastAsia="zh-CN"/>
        </w:rPr>
        <w:t xml:space="preserve">4</w:t>
      </w:r>
      <w:r>
        <w:rPr>
          <w:rFonts w:hint="eastAsia" w:ascii="宋体" w:hAnsi="宋体" w:eastAsia="宋体" w:cs="宋体"/>
          <w:bCs/>
          <w:color w:val="auto"/>
          <w:szCs w:val="21"/>
          <w:u w:val="single"/>
        </w:rPr>
        <w:t xml:space="preserve">年</w:t>
      </w:r>
      <w:r>
        <w:rPr>
          <w:rFonts w:hint="eastAsia" w:ascii="宋体" w:hAnsi="宋体" w:eastAsia="宋体" w:cs="宋体"/>
          <w:bCs/>
          <w:color w:val="auto"/>
          <w:szCs w:val="21"/>
          <w:u w:val="single"/>
          <w:lang w:val="en-US" w:eastAsia="zh-CN"/>
        </w:rPr>
        <w:t xml:space="preserve">6</w:t>
      </w:r>
      <w:r>
        <w:rPr>
          <w:rFonts w:hint="eastAsia" w:ascii="宋体" w:hAnsi="宋体" w:eastAsia="宋体" w:cs="宋体"/>
          <w:bCs/>
          <w:color w:val="auto"/>
          <w:szCs w:val="21"/>
          <w:u w:val="single"/>
        </w:rPr>
        <w:t xml:space="preserve">月</w:t>
      </w:r>
      <w:r>
        <w:rPr>
          <w:rFonts w:hint="eastAsia" w:ascii="宋体" w:hAnsi="宋体" w:eastAsia="宋体" w:cs="宋体"/>
          <w:bCs/>
          <w:color w:val="auto"/>
          <w:szCs w:val="21"/>
          <w:u w:val="single"/>
          <w:lang w:val="en-US" w:eastAsia="zh-CN"/>
        </w:rPr>
        <w:t xml:space="preserve">14</w:t>
      </w:r>
      <w:r>
        <w:rPr>
          <w:rFonts w:hint="eastAsia" w:ascii="宋体" w:hAnsi="宋体" w:eastAsia="宋体" w:cs="宋体"/>
          <w:bCs/>
          <w:color w:val="auto"/>
          <w:szCs w:val="21"/>
          <w:u w:val="single"/>
        </w:rPr>
        <w:t xml:space="preserve">日 10点 00 分</w:t>
      </w:r>
      <w:r>
        <w:rPr>
          <w:rFonts w:hint="eastAsia" w:ascii="宋体" w:hAnsi="宋体" w:eastAsia="宋体" w:cs="宋体"/>
          <w:bCs/>
          <w:color w:val="auto"/>
          <w:szCs w:val="21"/>
        </w:rPr>
        <w:t xml:space="preserve">（北京时间）前递交投标文件</w:t>
      </w:r>
      <w:r>
        <w:rPr>
          <w:rFonts w:hint="eastAsia" w:ascii="宋体" w:hAnsi="宋体" w:eastAsia="宋体" w:cs="宋体"/>
          <w:color w:val="auto"/>
          <w:szCs w:val="21"/>
        </w:rPr>
        <w:t xml:space="preserve">。</w:t>
      </w:r>
      <w:r/>
    </w:p>
    <w:p>
      <w:pPr>
        <w:spacing w:line="500" w:lineRule="exact"/>
        <w:rPr>
          <w:rFonts w:hint="eastAsia" w:ascii="宋体" w:hAnsi="宋体" w:eastAsia="宋体" w:cs="宋体"/>
          <w:b/>
          <w:bCs/>
          <w:color w:val="000000"/>
          <w:szCs w:val="21"/>
        </w:rPr>
      </w:pPr>
      <w:r/>
      <w:bookmarkStart w:id="4" w:name="_Toc35393790"/>
      <w:r/>
      <w:bookmarkStart w:id="5" w:name="_Toc28359079"/>
      <w:r/>
      <w:bookmarkStart w:id="6" w:name="_Toc28359002"/>
      <w:r/>
      <w:bookmarkStart w:id="7" w:name="_Toc35393621"/>
      <w:r/>
      <w:bookmarkStart w:id="8" w:name="_Hlk24379207"/>
      <w:r>
        <w:rPr>
          <w:rFonts w:hint="eastAsia" w:ascii="宋体" w:hAnsi="宋体" w:eastAsia="宋体" w:cs="宋体"/>
          <w:b/>
          <w:bCs/>
          <w:color w:val="000000"/>
          <w:szCs w:val="21"/>
        </w:rPr>
        <w:t xml:space="preserve">一、项目基本情况</w:t>
      </w:r>
      <w:bookmarkEnd w:id="4"/>
      <w:r/>
      <w:bookmarkEnd w:id="5"/>
      <w:r/>
      <w:bookmarkEnd w:id="6"/>
      <w:r/>
      <w:bookmarkEnd w:id="7"/>
      <w:r/>
      <w:r/>
    </w:p>
    <w:p>
      <w:pPr>
        <w:ind w:firstLine="420"/>
        <w:spacing w:line="500" w:lineRule="exact"/>
        <w:rPr>
          <w:rFonts w:hint="eastAsia" w:ascii="宋体" w:hAnsi="宋体" w:eastAsia="宋体" w:cs="宋体"/>
          <w:color w:val="auto"/>
          <w:szCs w:val="21"/>
          <w:lang w:eastAsia="zh-CN"/>
        </w:rPr>
      </w:pPr>
      <w:r>
        <w:rPr>
          <w:rFonts w:hint="eastAsia" w:ascii="宋体" w:hAnsi="宋体" w:eastAsia="宋体" w:cs="宋体"/>
          <w:color w:val="000000"/>
          <w:szCs w:val="21"/>
        </w:rPr>
        <w:t xml:space="preserve">项目编号：</w:t>
      </w:r>
      <w:r>
        <w:rPr>
          <w:rFonts w:hint="eastAsia" w:ascii="宋体" w:hAnsi="宋体" w:eastAsia="宋体" w:cs="宋体"/>
          <w:color w:val="auto"/>
          <w:szCs w:val="21"/>
          <w:lang w:eastAsia="zh-CN"/>
        </w:rPr>
        <w:t xml:space="preserve">JSZC-320723-BZGS-G2024-0002</w:t>
      </w:r>
      <w:r/>
    </w:p>
    <w:p>
      <w:pPr>
        <w:ind w:firstLine="420"/>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项目名称：</w:t>
      </w:r>
      <w:bookmarkEnd w:id="8"/>
      <w:r>
        <w:rPr>
          <w:rFonts w:hint="eastAsia" w:ascii="宋体" w:hAnsi="宋体" w:eastAsia="宋体" w:cs="宋体"/>
          <w:color w:val="000000"/>
          <w:szCs w:val="21"/>
          <w:lang w:eastAsia="zh-CN"/>
        </w:rPr>
        <w:t xml:space="preserve">灌云县临港产业区化工产业园7地块土壤和地下水检测项目（专门面向中小微企业）</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rPr>
          <w:rFonts w:hint="eastAsia" w:ascii="宋体" w:hAnsi="宋体" w:eastAsia="宋体" w:cs="宋体"/>
          <w:color w:val="000000"/>
          <w:szCs w:val="21"/>
          <w:lang w:val="en-US" w:eastAsia="zh-CN"/>
        </w:rPr>
        <w:t xml:space="preserve">780</w:t>
      </w:r>
      <w:r>
        <w:rPr>
          <w:rFonts w:hint="eastAsia" w:ascii="宋体" w:hAnsi="宋体" w:eastAsia="宋体" w:cs="宋体"/>
          <w:color w:val="000000"/>
          <w:szCs w:val="21"/>
        </w:rPr>
        <w:t xml:space="preserve">万元，投标报价超过预算金额的投标无效。</w:t>
      </w:r>
      <w:r/>
    </w:p>
    <w:p>
      <w:pPr>
        <w:ind w:firstLine="420"/>
        <w:jc w:val="left"/>
        <w:spacing w:line="560" w:lineRule="exact"/>
        <w:rPr>
          <w:rFonts w:hint="eastAsia" w:ascii="宋体" w:hAnsi="宋体" w:eastAsia="宋体" w:cs="宋体"/>
          <w:szCs w:val="21"/>
        </w:rPr>
      </w:pPr>
      <w:r>
        <w:rPr>
          <w:rFonts w:hint="eastAsia" w:ascii="宋体" w:hAnsi="宋体" w:eastAsia="宋体" w:cs="宋体"/>
          <w:color w:val="000000"/>
          <w:szCs w:val="21"/>
        </w:rPr>
        <w:t xml:space="preserve">采购需求：对化工产业园7地块土壤进行采样检测，地下水监测井布设，合理确定监测指标，调查分析企业信息，项目地质情况，快速安排施工队伍，保证项目的质量和进度，具体详见第四章“项目需求”。</w:t>
      </w:r>
      <w:r/>
    </w:p>
    <w:p>
      <w:pPr>
        <w:ind w:firstLine="420"/>
        <w:spacing w:line="500" w:lineRule="exact"/>
        <w:rPr>
          <w:rFonts w:hint="eastAsia" w:ascii="宋体" w:hAnsi="宋体" w:eastAsia="宋体" w:cs="宋体"/>
          <w:szCs w:val="21"/>
        </w:rPr>
      </w:pPr>
      <w:r/>
      <w:bookmarkStart w:id="9" w:name="_Toc35393622"/>
      <w:r/>
      <w:bookmarkStart w:id="10" w:name="_Toc28359080"/>
      <w:r/>
      <w:bookmarkStart w:id="11" w:name="_Toc28359003"/>
      <w:r/>
      <w:bookmarkStart w:id="12" w:name="_Toc35393791"/>
      <w:r>
        <w:rPr>
          <w:rFonts w:hint="eastAsia" w:ascii="宋体" w:hAnsi="宋体" w:eastAsia="宋体" w:cs="宋体"/>
          <w:szCs w:val="21"/>
        </w:rPr>
        <w:t xml:space="preserve">服务期限：</w:t>
      </w:r>
      <w:r>
        <w:rPr>
          <w:rFonts w:hint="eastAsia" w:ascii="宋体" w:hAnsi="宋体" w:eastAsia="宋体" w:cs="宋体"/>
          <w:color w:val="auto"/>
          <w:szCs w:val="21"/>
        </w:rPr>
        <w:t xml:space="preserve">90日历天完成采样及报告编制（自合同签订之日起）</w:t>
      </w:r>
      <w:r>
        <w:rPr>
          <w:rFonts w:hint="eastAsia" w:ascii="宋体" w:hAnsi="宋体" w:eastAsia="宋体" w:cs="宋体"/>
          <w:szCs w:val="21"/>
        </w:rPr>
        <w:t xml:space="preserve">。</w:t>
      </w:r>
      <w:r/>
    </w:p>
    <w:p>
      <w:pPr>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bookmarkEnd w:id="9"/>
      <w:r/>
      <w:bookmarkEnd w:id="10"/>
      <w:r/>
      <w:bookmarkEnd w:id="11"/>
      <w:r/>
      <w:bookmarkEnd w:id="12"/>
      <w:r/>
      <w:r/>
    </w:p>
    <w:p>
      <w:pPr>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一</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满足《中华人民共和国政府采购法》第二十二条规定；提供以下材料：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（1）法人或者其他组织的营业执照等证明文件，自然人的身份证明；</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（2）具有良好的商业信誉和健全的财务会计制度（提供财务报告或财务报表）；</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（3）依法缴纳税收和社会保障资金的相关材料；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（4）具备履行合同所必需的设备和专业技术能力的声明及证明材料；</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（5）参加政府采购活动前三年内在经营活动中没有重大违法记录的书面声明。</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根据连财购〔2023〕4号文件精神，第（2）、（3）项可以提供《财务状况报告及税收、社会保障资金缴纳情况承诺函》，详见招标文件第五部分格式。</w:t>
      </w:r>
      <w:r/>
    </w:p>
    <w:p>
      <w:pPr>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w:t>
      </w:r>
      <w:bookmarkStart w:id="13" w:name="_Hlk70085329"/>
      <w:r>
        <w:rPr>
          <w:rFonts w:hint="eastAsia" w:ascii="宋体" w:hAnsi="宋体" w:eastAsia="宋体" w:cs="宋体"/>
          <w:b/>
          <w:bCs/>
          <w:color w:val="000000"/>
          <w:szCs w:val="21"/>
        </w:rPr>
        <w:t xml:space="preserve">其他资格要求</w:t>
      </w:r>
      <w:bookmarkEnd w:id="13"/>
      <w:r>
        <w:rPr>
          <w:rFonts w:hint="eastAsia" w:ascii="宋体" w:hAnsi="宋体" w:eastAsia="宋体" w:cs="宋体"/>
          <w:b/>
          <w:bCs/>
          <w:color w:val="000000"/>
          <w:szCs w:val="21"/>
        </w:rPr>
        <w:t xml:space="preserve">：</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文件递交截止前被“信用中国”网站（www.creditchina.gov.cn）列入失信被执行人、重大税收违法案件当事人名单、政府采购严重违法失信行为记录名单的供应商，拒绝其参与政府采购活动。（招标人对供应商信用记录情况进行查询，查询结果页面打印留存）；</w:t>
      </w:r>
      <w:r/>
    </w:p>
    <w:p>
      <w:pPr>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2、若投标人法定代表人参与投标，则仅需提供法定代表人身份证；若授权代理人参与投标，则需提供企业法人委托书、授权人身份证、被授权人身份证；</w:t>
      </w:r>
      <w:r/>
    </w:p>
    <w:p>
      <w:pPr>
        <w:ind w:firstLine="420"/>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投标人具有企业基本户开户许可证或企业基本存款账户信息证明</w:t>
      </w:r>
      <w:r>
        <w:rPr>
          <w:rFonts w:hint="eastAsia" w:ascii="宋体" w:hAnsi="宋体" w:eastAsia="宋体" w:cs="宋体"/>
          <w:color w:val="000000"/>
          <w:szCs w:val="21"/>
          <w:lang w:eastAsia="zh-CN"/>
        </w:rPr>
        <w:t xml:space="preserve">；</w:t>
      </w:r>
      <w:r/>
    </w:p>
    <w:p>
      <w:pPr>
        <w:ind w:firstLine="420"/>
        <w:spacing w:line="500" w:lineRule="exac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w:t>
      </w:r>
      <w:r>
        <w:rPr>
          <w:rFonts w:hint="eastAsia" w:ascii="宋体" w:hAnsi="宋体" w:eastAsia="宋体" w:cs="宋体"/>
          <w:b/>
          <w:bCs/>
          <w:color w:val="000000"/>
          <w:szCs w:val="21"/>
        </w:rPr>
        <w:t xml:space="preserve">本项目</w:t>
      </w:r>
      <w:r>
        <w:rPr>
          <w:rFonts w:hint="eastAsia" w:ascii="宋体" w:hAnsi="宋体" w:eastAsia="宋体" w:cs="宋体"/>
          <w:b/>
          <w:bCs/>
          <w:color w:val="000000"/>
          <w:szCs w:val="21"/>
          <w:lang w:eastAsia="zh-CN"/>
        </w:rPr>
        <w:t xml:space="preserve">不</w:t>
      </w:r>
      <w:r>
        <w:rPr>
          <w:rFonts w:hint="eastAsia" w:ascii="宋体" w:hAnsi="宋体" w:eastAsia="宋体" w:cs="宋体"/>
          <w:b/>
          <w:bCs/>
          <w:color w:val="000000"/>
          <w:szCs w:val="21"/>
        </w:rPr>
        <w:t xml:space="preserve">接受联合体投标</w:t>
      </w:r>
      <w:r>
        <w:rPr>
          <w:rFonts w:hint="eastAsia" w:ascii="宋体" w:hAnsi="宋体" w:eastAsia="宋体" w:cs="宋体"/>
          <w:b w:val="0"/>
          <w:bCs w:val="0"/>
          <w:color w:val="000000"/>
          <w:sz w:val="20"/>
          <w:szCs w:val="20"/>
          <w:highlight w:val="none"/>
          <w:lang w:eastAsia="zh-CN"/>
        </w:rPr>
        <w:t xml:space="preserve">；</w:t>
      </w:r>
      <w:r/>
    </w:p>
    <w:p>
      <w:pPr>
        <w:ind w:firstLine="42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、法律、法规规定的其他条件</w:t>
      </w:r>
      <w:r>
        <w:rPr>
          <w:rFonts w:hint="eastAsia" w:ascii="宋体" w:hAnsi="宋体" w:eastAsia="宋体" w:cs="宋体"/>
          <w:color w:val="000000"/>
          <w:szCs w:val="21"/>
          <w:highlight w:val="none"/>
          <w:lang w:eastAsia="zh-CN"/>
        </w:rPr>
        <w:t xml:space="preserve">；</w:t>
      </w:r>
      <w:r/>
    </w:p>
    <w:p>
      <w:pPr>
        <w:ind w:firstLine="42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bookmarkStart w:id="14" w:name="_Toc35393623"/>
      <w:r/>
      <w:bookmarkStart w:id="15" w:name="_Toc35393792"/>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b/>
          <w:bCs/>
          <w:color w:val="000000"/>
          <w:szCs w:val="21"/>
          <w:highlight w:val="none"/>
          <w:lang w:eastAsia="zh-CN"/>
        </w:rPr>
        <w:t xml:space="preserve">执行财政部、工业和信息化部关于印发《政府采购促进中小企业发展管理办法》的通知（财库</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t xml:space="preserve">2020</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t xml:space="preserve">46号），本项目面向中小企业采购，符合文件要求的供应商应提交《中小企业声明函》，并上传至电子投标文件中。</w:t>
      </w:r>
      <w:r/>
    </w:p>
    <w:p>
      <w:pPr>
        <w:spacing w:line="500" w:lineRule="exact"/>
        <w:rPr>
          <w:rFonts w:hint="eastAsia" w:ascii="宋体" w:hAnsi="宋体" w:eastAsia="宋体" w:cs="宋体"/>
          <w:b/>
          <w:bCs/>
          <w:color w:val="auto"/>
          <w:szCs w:val="21"/>
        </w:rPr>
      </w:pPr>
      <w:r>
        <w:rPr>
          <w:rFonts w:hint="eastAsia" w:ascii="宋体" w:hAnsi="宋体" w:eastAsia="宋体" w:cs="宋体"/>
          <w:b/>
          <w:bCs/>
          <w:color w:val="000000"/>
          <w:szCs w:val="21"/>
        </w:rPr>
        <w:t xml:space="preserve">三、获取招标</w:t>
      </w:r>
      <w:r>
        <w:rPr>
          <w:rFonts w:hint="eastAsia" w:ascii="宋体" w:hAnsi="宋体" w:eastAsia="宋体" w:cs="宋体"/>
          <w:b/>
          <w:bCs/>
          <w:color w:val="auto"/>
          <w:szCs w:val="21"/>
        </w:rPr>
        <w:t xml:space="preserve">文件</w:t>
      </w:r>
      <w:bookmarkEnd w:id="14"/>
      <w:r/>
      <w:bookmarkEnd w:id="15"/>
      <w:r/>
      <w:r/>
    </w:p>
    <w:p>
      <w:pPr>
        <w:ind w:firstLine="420"/>
        <w:spacing w:line="500" w:lineRule="exact"/>
        <w:rPr>
          <w:rFonts w:hint="eastAsia" w:ascii="宋体" w:hAnsi="宋体" w:eastAsia="宋体" w:cs="宋体"/>
          <w:color w:val="auto"/>
          <w:szCs w:val="21"/>
        </w:rPr>
      </w:pPr>
      <w:r/>
      <w:bookmarkStart w:id="16" w:name="_Toc28359005"/>
      <w:r/>
      <w:bookmarkStart w:id="17" w:name="_Toc28359082"/>
      <w:r/>
      <w:bookmarkStart w:id="18" w:name="_Toc35393624"/>
      <w:r/>
      <w:bookmarkStart w:id="19" w:name="_Toc35393793"/>
      <w:r>
        <w:rPr>
          <w:rFonts w:hint="eastAsia" w:ascii="宋体" w:hAnsi="宋体" w:eastAsia="宋体" w:cs="宋体"/>
          <w:color w:val="auto"/>
          <w:szCs w:val="21"/>
          <w:lang w:eastAsia="zh-CN"/>
        </w:rPr>
        <w:t xml:space="preserve">获取</w:t>
      </w:r>
      <w:r>
        <w:rPr>
          <w:rFonts w:hint="eastAsia" w:ascii="宋体" w:hAnsi="宋体" w:eastAsia="宋体" w:cs="宋体"/>
          <w:color w:val="auto"/>
          <w:szCs w:val="21"/>
        </w:rPr>
        <w:t xml:space="preserve">时间：</w:t>
      </w:r>
      <w:r>
        <w:rPr>
          <w:rFonts w:hint="eastAsia" w:ascii="宋体" w:hAnsi="宋体" w:eastAsia="宋体" w:cs="宋体"/>
          <w:color w:val="auto"/>
          <w:szCs w:val="21"/>
        </w:rPr>
        <w:t xml:space="preserve">2024年05月25日至2024年05月31日，每天上午00:00-12:00，下午12:00- 23:59(北京时间)</w:t>
      </w:r>
      <w:r>
        <w:rPr>
          <w:rFonts w:hint="eastAsia" w:ascii="宋体" w:hAnsi="宋体" w:eastAsia="宋体" w:cs="宋体"/>
          <w:color w:val="auto"/>
          <w:szCs w:val="21"/>
        </w:rPr>
      </w:r>
      <w:r>
        <w:rPr>
          <w:rFonts w:hint="eastAsia" w:ascii="宋体" w:hAnsi="宋体" w:eastAsia="宋体" w:cs="宋体"/>
          <w:color w:val="auto"/>
          <w:szCs w:val="21"/>
        </w:rPr>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lang w:eastAsia="zh-CN"/>
        </w:rPr>
        <w:t xml:space="preserve">获取</w:t>
      </w:r>
      <w:r>
        <w:rPr>
          <w:rFonts w:hint="eastAsia" w:ascii="宋体" w:hAnsi="宋体" w:eastAsia="宋体" w:cs="宋体"/>
          <w:color w:val="auto"/>
          <w:szCs w:val="21"/>
        </w:rPr>
        <w:t xml:space="preserve">地点：“苏采云”系统</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网址： http://jszfcg.jsczt.cn/</w:t>
      </w:r>
      <w:r/>
    </w:p>
    <w:p>
      <w:pPr>
        <w:ind w:firstLine="420"/>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方式：在线获取</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售价：0元</w:t>
      </w:r>
      <w:r/>
    </w:p>
    <w:p>
      <w:pPr>
        <w:spacing w:line="500" w:lineRule="exact"/>
        <w:rPr>
          <w:rFonts w:hint="eastAsia" w:ascii="宋体" w:hAnsi="宋体" w:eastAsia="宋体" w:cs="宋体"/>
          <w:b/>
          <w:bCs/>
          <w:color w:val="auto"/>
          <w:szCs w:val="21"/>
        </w:rPr>
      </w:pPr>
      <w:r>
        <w:rPr>
          <w:rFonts w:hint="eastAsia" w:ascii="宋体" w:hAnsi="宋体" w:eastAsia="宋体" w:cs="宋体"/>
          <w:b/>
          <w:bCs/>
          <w:color w:val="auto"/>
          <w:szCs w:val="21"/>
        </w:rPr>
        <w:t xml:space="preserve">四、提交投标文件</w:t>
      </w:r>
      <w:bookmarkEnd w:id="16"/>
      <w:r/>
      <w:bookmarkEnd w:id="17"/>
      <w:r>
        <w:rPr>
          <w:rFonts w:hint="eastAsia" w:ascii="宋体" w:hAnsi="宋体" w:eastAsia="宋体" w:cs="宋体"/>
          <w:b/>
          <w:bCs/>
          <w:color w:val="auto"/>
          <w:szCs w:val="21"/>
        </w:rPr>
        <w:t xml:space="preserve">截止时间、开标时间和地点</w:t>
      </w:r>
      <w:bookmarkEnd w:id="18"/>
      <w:r/>
      <w:bookmarkEnd w:id="19"/>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投标文件上传的截止时间：202</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年</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月</w:t>
      </w: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日10点00分（北京时间）</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开标时间：202</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年</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月</w:t>
      </w: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日10点00分（北京时间）</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地点：“苏采云”进入系统“开标大厅”</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注：本项目采用不见面开标交易模式（202</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年</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月</w:t>
      </w: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日10点00分完成不见面开标程序。各投标单位在报名前应慎重考虑并确保在招标文件规定的时间完成投标文件。）</w:t>
      </w:r>
      <w:r/>
    </w:p>
    <w:p>
      <w:pPr>
        <w:spacing w:line="500" w:lineRule="exact"/>
        <w:rPr>
          <w:rFonts w:hint="eastAsia" w:ascii="宋体" w:hAnsi="宋体" w:eastAsia="宋体" w:cs="宋体"/>
          <w:b/>
          <w:bCs/>
          <w:color w:val="000000"/>
          <w:szCs w:val="21"/>
        </w:rPr>
      </w:pPr>
      <w:r/>
      <w:bookmarkStart w:id="20" w:name="_Toc28359084"/>
      <w:r/>
      <w:bookmarkStart w:id="21" w:name="_Toc35393794"/>
      <w:r/>
      <w:bookmarkStart w:id="22" w:name="_Toc35393625"/>
      <w:r/>
      <w:bookmarkStart w:id="23" w:name="_Toc28359007"/>
      <w:r>
        <w:rPr>
          <w:rFonts w:hint="eastAsia" w:ascii="宋体" w:hAnsi="宋体" w:eastAsia="宋体" w:cs="宋体"/>
          <w:b/>
          <w:bCs/>
          <w:color w:val="000000"/>
          <w:szCs w:val="21"/>
        </w:rPr>
        <w:t xml:space="preserve">五、公告期限</w:t>
      </w:r>
      <w:bookmarkEnd w:id="20"/>
      <w:r/>
      <w:bookmarkEnd w:id="21"/>
      <w:r/>
      <w:bookmarkEnd w:id="22"/>
      <w:r/>
      <w:bookmarkEnd w:id="23"/>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自本公告发布之日起5个工作日。</w:t>
      </w:r>
      <w:r/>
    </w:p>
    <w:p>
      <w:pPr>
        <w:spacing w:line="500" w:lineRule="exact"/>
        <w:rPr>
          <w:rFonts w:hint="eastAsia" w:ascii="宋体" w:hAnsi="宋体" w:eastAsia="宋体" w:cs="宋体"/>
          <w:b/>
          <w:bCs/>
          <w:color w:val="000000"/>
          <w:szCs w:val="21"/>
        </w:rPr>
      </w:pPr>
      <w:r/>
      <w:bookmarkStart w:id="24" w:name="_Toc35393626"/>
      <w:r/>
      <w:bookmarkStart w:id="25" w:name="_Toc35393795"/>
      <w:r>
        <w:rPr>
          <w:rFonts w:hint="eastAsia" w:ascii="宋体" w:hAnsi="宋体" w:eastAsia="宋体" w:cs="宋体"/>
          <w:b/>
          <w:bCs/>
          <w:color w:val="000000"/>
          <w:szCs w:val="21"/>
        </w:rPr>
        <w:t xml:space="preserve">六、其他补充事宜</w:t>
      </w:r>
      <w:bookmarkEnd w:id="24"/>
      <w:r/>
      <w:bookmarkEnd w:id="25"/>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1、本项目不收取投标保证金。</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论出于何种原因，采购人在采购活动开始前可对采购文件进行修改、补充或变更，其内容作为采购文件的重要组成部分，请各供应商关注苏采云政府采购系统网站。若因供应商自身原因未及时关注本项目有关修改、补充或变更信息，导致投标文件编制或提交失误，由此造成的一切损失由供应商自行承担。</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3、本招标文件中标注★号的部分为实质性要求和条件，如不满足将按无效投标处理。</w:t>
      </w:r>
      <w:r/>
    </w:p>
    <w:p>
      <w:pPr>
        <w:spacing w:line="500" w:lineRule="exact"/>
        <w:rPr>
          <w:rFonts w:hint="eastAsia" w:ascii="宋体" w:hAnsi="宋体" w:eastAsia="宋体" w:cs="宋体"/>
          <w:b/>
          <w:bCs/>
          <w:color w:val="000000"/>
          <w:szCs w:val="21"/>
        </w:rPr>
      </w:pPr>
      <w:r/>
      <w:bookmarkStart w:id="26" w:name="_Toc28359085"/>
      <w:r/>
      <w:bookmarkStart w:id="27" w:name="_Toc28359008"/>
      <w:r/>
      <w:bookmarkStart w:id="28" w:name="_Toc35393627"/>
      <w:r/>
      <w:bookmarkStart w:id="29" w:name="_Toc35393796"/>
      <w:r>
        <w:rPr>
          <w:rFonts w:hint="eastAsia" w:ascii="宋体" w:hAnsi="宋体" w:eastAsia="宋体" w:cs="宋体"/>
          <w:b/>
          <w:bCs/>
          <w:color w:val="000000"/>
          <w:szCs w:val="21"/>
        </w:rPr>
        <w:t xml:space="preserve">七、对本次招标提出询问，请按以下方式联系。</w:t>
      </w:r>
      <w:bookmarkEnd w:id="26"/>
      <w:r/>
      <w:bookmarkEnd w:id="27"/>
      <w:r/>
      <w:bookmarkEnd w:id="28"/>
      <w:r/>
      <w:bookmarkEnd w:id="29"/>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称：灌云县临港产业区管理办公室</w:t>
      </w:r>
      <w:r/>
    </w:p>
    <w:p>
      <w:pPr>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地址：灌云县临港产业区</w:t>
      </w:r>
      <w:r/>
    </w:p>
    <w:p>
      <w:pPr>
        <w:ind w:firstLine="315"/>
        <w:spacing w:line="500" w:lineRule="exact"/>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联系方式</w:t>
      </w:r>
      <w:bookmarkStart w:id="30" w:name="_Toc28359086"/>
      <w:r/>
      <w:bookmarkStart w:id="31" w:name="_Toc28359009"/>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张主任  13961350800 </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2.采购代理机构信息</w:t>
      </w:r>
      <w:bookmarkEnd w:id="30"/>
      <w:r/>
      <w:bookmarkEnd w:id="31"/>
      <w:r/>
      <w:r/>
    </w:p>
    <w:p>
      <w:pPr>
        <w:ind w:firstLine="315"/>
        <w:spacing w:line="5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名 称：</w:t>
      </w:r>
      <w:r>
        <w:rPr>
          <w:rFonts w:hint="eastAsia" w:ascii="宋体" w:hAnsi="宋体" w:eastAsia="宋体" w:cs="宋体"/>
          <w:color w:val="auto"/>
          <w:szCs w:val="21"/>
          <w:lang w:eastAsia="zh-CN"/>
        </w:rPr>
        <w:t xml:space="preserve">江苏博哲项目管理有限公司</w:t>
      </w:r>
      <w:r/>
    </w:p>
    <w:p>
      <w:pPr>
        <w:ind w:firstLine="315"/>
        <w:spacing w:line="5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地　址：</w:t>
      </w:r>
      <w:r>
        <w:rPr>
          <w:rFonts w:hint="eastAsia" w:ascii="宋体" w:hAnsi="宋体" w:eastAsia="宋体" w:cs="宋体"/>
          <w:color w:val="auto"/>
          <w:szCs w:val="21"/>
          <w:lang w:eastAsia="zh-CN"/>
        </w:rPr>
        <w:t xml:space="preserve">连云港市灌云县建设西路329号</w:t>
      </w:r>
      <w:r/>
    </w:p>
    <w:p>
      <w:pPr>
        <w:ind w:firstLine="315"/>
        <w:spacing w:line="500" w:lineRule="exact"/>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联系方式：</w:t>
      </w:r>
      <w:bookmarkStart w:id="32" w:name="_Toc28359087"/>
      <w:r/>
      <w:bookmarkStart w:id="33" w:name="_Toc28359010"/>
      <w:r>
        <w:rPr>
          <w:rFonts w:hint="eastAsia" w:ascii="宋体" w:hAnsi="宋体" w:eastAsia="宋体" w:cs="宋体"/>
          <w:color w:val="auto"/>
          <w:szCs w:val="21"/>
          <w:lang w:val="en-US" w:eastAsia="zh-CN"/>
        </w:rPr>
        <w:t xml:space="preserve">曾工</w:t>
      </w:r>
      <w:r>
        <w:rPr>
          <w:rFonts w:hint="eastAsia" w:ascii="宋体" w:hAnsi="宋体" w:eastAsia="宋体" w:cs="宋体"/>
          <w:color w:val="auto"/>
          <w:szCs w:val="21"/>
        </w:rPr>
        <w:t xml:space="preserve"> </w:t>
      </w:r>
      <w:r>
        <w:rPr>
          <w:rFonts w:hint="eastAsia" w:ascii="宋体" w:hAnsi="宋体" w:eastAsia="宋体" w:cs="宋体"/>
          <w:color w:val="auto"/>
          <w:szCs w:val="21"/>
          <w:lang w:val="en-US" w:eastAsia="zh-CN"/>
        </w:rPr>
        <w:t xml:space="preserve">13815676958</w:t>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3.项目联系方式</w:t>
      </w:r>
      <w:bookmarkEnd w:id="32"/>
      <w:r/>
      <w:bookmarkEnd w:id="33"/>
      <w:r/>
      <w:r/>
    </w:p>
    <w:p>
      <w:pPr>
        <w:ind w:firstLine="315"/>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项目联系人：</w:t>
      </w:r>
      <w:r>
        <w:rPr>
          <w:rFonts w:hint="eastAsia" w:ascii="宋体" w:hAnsi="宋体" w:eastAsia="宋体" w:cs="宋体"/>
          <w:color w:val="auto"/>
          <w:szCs w:val="21"/>
          <w:lang w:val="en-US" w:eastAsia="zh-CN"/>
        </w:rPr>
        <w:t xml:space="preserve">曾工</w:t>
      </w:r>
      <w:r>
        <w:rPr>
          <w:rFonts w:hint="eastAsia" w:ascii="宋体" w:hAnsi="宋体" w:eastAsia="宋体" w:cs="宋体"/>
          <w:color w:val="auto"/>
          <w:szCs w:val="21"/>
          <w:lang w:val="en-US" w:eastAsia="zh-CN"/>
        </w:rPr>
        <w:t xml:space="preserve">   </w:t>
      </w:r>
      <w:r/>
    </w:p>
    <w:p>
      <w:pPr>
        <w:ind w:firstLine="315"/>
        <w:spacing w:line="500" w:lineRule="exact"/>
        <w:rPr>
          <w:rFonts w:hint="eastAsia" w:ascii="宋体" w:hAnsi="宋体" w:eastAsia="宋体" w:cs="宋体"/>
          <w:b/>
          <w:bCs/>
          <w:color w:val="auto"/>
          <w:szCs w:val="21"/>
          <w:lang w:val="en-US" w:eastAsia="zh-CN"/>
        </w:rPr>
      </w:pPr>
      <w:r>
        <w:rPr>
          <w:rFonts w:hint="eastAsia" w:ascii="宋体" w:hAnsi="宋体" w:eastAsia="宋体" w:cs="宋体"/>
          <w:color w:val="auto"/>
          <w:szCs w:val="21"/>
        </w:rPr>
        <w:t xml:space="preserve">电　话：</w:t>
      </w:r>
      <w:r>
        <w:rPr>
          <w:rFonts w:hint="eastAsia" w:ascii="宋体" w:hAnsi="宋体" w:eastAsia="宋体" w:cs="宋体"/>
          <w:color w:val="auto"/>
          <w:szCs w:val="21"/>
          <w:lang w:val="en-US" w:eastAsia="zh-CN"/>
        </w:rPr>
        <w:t xml:space="preserve">13815676958</w:t>
      </w:r>
      <w:r>
        <w:rPr>
          <w:rFonts w:hint="eastAsia" w:ascii="宋体" w:hAnsi="宋体" w:eastAsia="宋体" w:cs="宋体"/>
          <w:color w:val="auto"/>
          <w:szCs w:val="21"/>
          <w:lang w:val="en-US" w:eastAsia="zh-CN"/>
        </w:rPr>
        <w:t xml:space="preserve"> </w:t>
      </w:r>
      <w:r/>
    </w:p>
    <w:p>
      <w:pPr>
        <w:spacing w:line="500" w:lineRule="exact"/>
        <w:rPr>
          <w:rFonts w:hint="eastAsia" w:ascii="宋体" w:hAnsi="宋体" w:cs="Arial"/>
          <w:b/>
          <w:bCs/>
          <w:color w:val="auto"/>
          <w:szCs w:val="21"/>
        </w:rPr>
      </w:pPr>
      <w:r/>
      <w:bookmarkStart w:id="34" w:name="_Toc9047"/>
      <w:r/>
      <w:bookmarkStart w:id="35" w:name="_Toc494123932"/>
      <w:r>
        <w:rPr>
          <w:rFonts w:hint="eastAsia" w:ascii="宋体" w:hAnsi="宋体" w:cs="Arial"/>
          <w:b/>
          <w:bCs/>
          <w:color w:val="auto"/>
          <w:szCs w:val="21"/>
          <w:lang w:eastAsia="zh-CN"/>
        </w:rPr>
        <w:t xml:space="preserve">八、</w:t>
      </w:r>
      <w:r>
        <w:rPr>
          <w:rFonts w:hint="eastAsia" w:ascii="宋体" w:hAnsi="宋体" w:cs="Arial"/>
          <w:b/>
          <w:bCs/>
          <w:color w:val="auto"/>
          <w:szCs w:val="21"/>
        </w:rPr>
        <w:t xml:space="preserve">特别提醒：</w:t>
      </w:r>
      <w:r/>
    </w:p>
    <w:p>
      <w:pPr>
        <w:pStyle w:val="1098"/>
        <w:ind w:firstLine="420"/>
        <w:spacing w:line="360" w:lineRule="auto"/>
        <w:rPr>
          <w:rFonts w:hint="eastAsia" w:ascii="宋体" w:hAnsi="宋体" w:eastAsia="宋体" w:cs="宋体"/>
          <w:color w:val="000000"/>
          <w:szCs w:val="21"/>
        </w:rPr>
      </w:pPr>
      <w:r>
        <w:rPr>
          <w:rFonts w:hint="eastAsia" w:ascii="宋体" w:hAnsi="宋体" w:eastAsia="宋体" w:cs="宋体"/>
          <w:color w:val="auto"/>
          <w:szCs w:val="21"/>
        </w:rPr>
        <w:t xml:space="preserve">1. 根据省财政厅《关于更换全省政府采购交易系统CA数字证书和电子签章的通知》（苏财购〔2023〕101号），“苏采云”</w:t>
      </w:r>
      <w:r>
        <w:rPr>
          <w:rFonts w:hint="eastAsia" w:ascii="宋体" w:hAnsi="宋体" w:eastAsia="宋体" w:cs="宋体"/>
          <w:color w:val="000000"/>
          <w:szCs w:val="21"/>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98"/>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p>
    <w:p>
      <w:pPr>
        <w:pStyle w:val="1098"/>
        <w:ind w:firstLine="420"/>
        <w:spacing w:line="360" w:lineRule="auto"/>
        <w:rPr>
          <w:rFonts w:hint="eastAsia" w:ascii="宋体" w:hAnsi="宋体" w:eastAsia="宋体" w:cs="宋体"/>
          <w:szCs w:val="21"/>
        </w:rPr>
      </w:pPr>
      <w:r>
        <w:rPr>
          <w:rFonts w:hint="eastAsia" w:ascii="宋体" w:hAnsi="宋体" w:eastAsia="宋体" w:cs="宋体"/>
          <w:color w:val="000000"/>
          <w:szCs w:val="21"/>
        </w:rPr>
        <w:t xml:space="preserve">2. 有关本次谈判的事项若存在变动或修改，敬请及时关注江苏省政府采购中心在“江苏政府采购网”发布的更正公告。</w:t>
      </w:r>
      <w:r/>
    </w:p>
    <w:p>
      <w:pPr>
        <w:pStyle w:val="1109"/>
        <w:jc w:val="center"/>
        <w:rPr>
          <w:rFonts w:ascii="宋体" w:hAnsi="宋体" w:eastAsia="宋体"/>
          <w:b/>
          <w:sz w:val="36"/>
        </w:rPr>
        <w:outlineLvl w:val="0"/>
      </w:pPr>
      <w:r>
        <w:rPr>
          <w:rFonts w:hint="eastAsia" w:ascii="宋体" w:hAnsi="宋体" w:eastAsia="宋体"/>
        </w:rPr>
        <w:br w:type="page" w:clear="all"/>
      </w:r>
      <w:r>
        <w:rPr>
          <w:rFonts w:hint="eastAsia" w:ascii="宋体" w:hAnsi="宋体" w:eastAsia="宋体"/>
          <w:b/>
          <w:sz w:val="36"/>
        </w:rPr>
        <w:t xml:space="preserve">第二章  投标人须知</w:t>
      </w:r>
      <w:bookmarkEnd w:id="0"/>
      <w:r/>
      <w:bookmarkEnd w:id="1"/>
      <w:r/>
      <w:bookmarkEnd w:id="34"/>
      <w:r/>
      <w:bookmarkEnd w:id="35"/>
      <w:r/>
      <w:r/>
    </w:p>
    <w:p>
      <w:pPr>
        <w:pStyle w:val="1109"/>
        <w:spacing w:line="440" w:lineRule="exact"/>
        <w:rPr>
          <w:rFonts w:hint="eastAsia" w:ascii="宋体" w:hAnsi="宋体" w:eastAsia="宋体"/>
        </w:rPr>
      </w:pPr>
      <w:r>
        <w:rPr>
          <w:rFonts w:hint="eastAsia" w:ascii="宋体" w:hAnsi="宋体" w:eastAsia="宋体"/>
        </w:rPr>
      </w:r>
      <w:r/>
    </w:p>
    <w:p>
      <w:pPr>
        <w:jc w:val="left"/>
        <w:keepLines/>
        <w:keepNext/>
        <w:spacing w:line="360" w:lineRule="auto"/>
        <w:rPr>
          <w:rFonts w:hint="eastAsia" w:ascii="宋体" w:hAnsi="宋体" w:eastAsia="宋体" w:cs="黑体"/>
          <w:b/>
          <w:bCs/>
          <w:color w:val="000000"/>
          <w:sz w:val="24"/>
        </w:rPr>
        <w:outlineLvl w:val="1"/>
      </w:pPr>
      <w:r/>
      <w:bookmarkStart w:id="36" w:name="_Toc397699186"/>
      <w:r>
        <w:rPr>
          <w:rFonts w:hint="eastAsia" w:ascii="宋体" w:hAnsi="宋体" w:eastAsia="宋体" w:cs="黑体"/>
          <w:b/>
          <w:bCs/>
          <w:color w:val="000000"/>
          <w:sz w:val="24"/>
        </w:rPr>
        <w:t xml:space="preserve">一、说明</w:t>
      </w:r>
      <w:bookmarkEnd w:id="36"/>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 总则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 “采购人”系指使用财政性资金依法采购的国家机关、事业单位或团体组织。 </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1.2“投标人”系指响应招标、参加投标竞争的法人、其他组织或者自然人。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1.3“产品”系指供方按招标文件规定，须向采购人提供的一切设备、保险、税金、备品备件、工具、手册及其它有关技术资料和材料。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1.4“服务”系指招标文件规定投标人须承担的安装、调试、技术协助、校准、培训、技术指导以及其他类似的义务。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1.5“项目”系指投标人按招标文件规定向采购人提供的产品和服务。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1.6.1投标人认为招标文件、招标过程和中标结果使自己的合法权益受到损害的，应当在知道或者应知其权益受到损害之日起七个工作日内，以书面形式向采购人、采购代理机构提出质疑。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1.6.2投标人应当认可代理机构在质疑答复程序中启用的调查和复评等程序，在该程序操作过程未违反法律禁止性规定时，不得提出异议。</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1.7.投标委托</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1.7.1投标人代表须携带居民身份证。如投标人代表不是法定代表人的，应同时提供法定代表人出具的授权委托书。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1.8.关联企业投标</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1.8.1本招标文件所称关联企业,是指存在“关联关系”的企业；“关联关系”的界定适用《中华人民共和国公司法》217条之规定。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1.8.2 关联企业中，法定代表人为同一人的两个及两个以上法人，母公司、全资子公司及其控股公司，都不得同时投标，一经发现，将导致投标同时被拒绝。</w:t>
      </w:r>
      <w:r/>
    </w:p>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1.8.3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非单一产品采购项目，采购人应当根据采购项目技术构成、产品价格比重等合理确定核心产品，并在招标文件中载明。多家投标人提供的核心产品品牌相同的，按前款规定处理。</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1.9特别说明</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1.9.1投标人投标所使用的资格、信誉、荣誉、业绩及企业认证等必须为本法人所拥有。</w:t>
      </w:r>
      <w:r/>
    </w:p>
    <w:p>
      <w:pPr>
        <w:spacing w:line="360" w:lineRule="auto"/>
        <w:rPr>
          <w:rFonts w:ascii="宋体" w:hAnsi="宋体" w:eastAsia="宋体" w:cs="黑体"/>
          <w:b/>
          <w:bCs/>
          <w:color w:val="000000"/>
          <w:sz w:val="24"/>
        </w:rPr>
      </w:pPr>
      <w:r>
        <w:rPr>
          <w:rFonts w:hint="eastAsia" w:ascii="宋体" w:hAnsi="宋体" w:eastAsia="宋体" w:cs="黑体"/>
          <w:b/>
          <w:bCs/>
          <w:color w:val="000000"/>
          <w:sz w:val="24"/>
        </w:rPr>
        <w:t xml:space="preserve">1.9.2 银行、保险、石油石化、电力、电信等特殊行业法人的分支机构(不具有独立的法人资格)参加本项目政府采购活动的，应当提供总公司出具的愿为其参与政府采购活动以及履约行为承担民事责任的承诺书( 或授权书)。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1.9.3投标人投标不得含有任何虚假材料,否则作无效标处理；中标后发现的,中标人须依照《中华人民共和国消费者权益保护法》第49条之规定赔偿采购人。民事上之赔偿不免除作假投标人之行政与刑事责任。</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 招标方式</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2.1 招标将以公开招标方式进行。</w:t>
      </w:r>
      <w:r/>
    </w:p>
    <w:p>
      <w:pPr>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2.2 招标采购单位是指该项目的委托人</w:t>
      </w:r>
      <w:r>
        <w:rPr>
          <w:rFonts w:hint="eastAsia" w:ascii="宋体" w:hAnsi="宋体" w:eastAsia="宋体" w:cs="黑体"/>
          <w:b/>
          <w:bCs/>
          <w:color w:val="000000"/>
          <w:sz w:val="24"/>
        </w:rPr>
        <w:t xml:space="preserve">灌云县临港产业区管理办公室</w:t>
      </w:r>
      <w:r>
        <w:rPr>
          <w:rFonts w:hint="eastAsia" w:ascii="宋体" w:hAnsi="宋体" w:eastAsia="宋体" w:cs="黑体"/>
          <w:b/>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2.2.1、本项目属性为：服务</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2.2.2、项目采购方式为：公开招标</w:t>
      </w:r>
      <w:r/>
    </w:p>
    <w:p>
      <w:pPr>
        <w:spacing w:line="360" w:lineRule="auto"/>
        <w:rPr>
          <w:rFonts w:hint="eastAsia" w:ascii="宋体" w:hAnsi="宋体" w:eastAsia="宋体" w:cs="黑体"/>
          <w:color w:val="000000"/>
          <w:sz w:val="24"/>
        </w:rPr>
      </w:pPr>
      <w:r>
        <w:rPr>
          <w:rFonts w:hint="eastAsia" w:ascii="宋体" w:hAnsi="宋体" w:eastAsia="宋体" w:cs="黑体"/>
          <w:b/>
          <w:color w:val="000000"/>
          <w:sz w:val="24"/>
        </w:rPr>
        <w:t xml:space="preserve">2.2.3、采购标底对应的中小企业划分标准所属行业为：其他未列明行业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 合格投标人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 在招标公告中有详细的要求。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2.3.2 投标人在中华人民共和国境内的投标活动均应严格遵守中华人民共和国法律和法规。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 投标人应不属于本章32规定的有腐败和欺诈行为的不合格的投标人。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 投标人授权代表系指法定代表人或受法人委托的受托人。</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 投标费用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 投标人应承担所有与准备和参加投标有关的费用。无论投标的结果如何，招标采购单位对上述费用不承担任何责任和义务。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3.2本次招标代理服务费收费标准按苏招协【2022】002号文服务采购收费标准收取，由中标人支付，领取中标通知书时一次性付清；投标单位须将此部分费用综合考虑在投标报价中，不得单列。</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4.现场踏勘：</w:t>
      </w:r>
      <w:r/>
    </w:p>
    <w:p>
      <w:pPr>
        <w:ind w:firstLine="482"/>
        <w:spacing w:line="360" w:lineRule="auto"/>
        <w:rPr>
          <w:rFonts w:hint="eastAsia" w:ascii="宋体" w:hAnsi="宋体" w:eastAsia="宋体" w:cs="黑体"/>
          <w:b/>
          <w:bCs/>
          <w:color w:val="000000"/>
          <w:sz w:val="24"/>
          <w:lang w:eastAsia="zh-CN"/>
        </w:rPr>
      </w:pPr>
      <w:r>
        <w:rPr>
          <w:rFonts w:hint="eastAsia" w:ascii="宋体" w:hAnsi="宋体" w:eastAsia="宋体" w:cs="黑体"/>
          <w:b/>
          <w:bCs/>
          <w:color w:val="000000"/>
          <w:sz w:val="24"/>
        </w:rPr>
        <w:t xml:space="preserve">请各投标人自行勘查现场(本次现场勘查由投标人自行组织前往，所产生一切费用及安全问题由投标人自行承担。</w:t>
      </w:r>
      <w:r>
        <w:rPr>
          <w:rFonts w:hint="eastAsia" w:ascii="宋体" w:hAnsi="宋体" w:eastAsia="宋体" w:cs="黑体"/>
          <w:b/>
          <w:bCs/>
          <w:color w:val="000000"/>
          <w:sz w:val="24"/>
          <w:lang w:eastAsia="zh-CN"/>
        </w:rPr>
        <w:t xml:space="preserve">）</w:t>
      </w:r>
      <w:r/>
    </w:p>
    <w:p>
      <w:pPr>
        <w:spacing w:line="360" w:lineRule="auto"/>
        <w:rPr>
          <w:rFonts w:hint="eastAsia" w:ascii="宋体" w:hAnsi="宋体" w:eastAsia="宋体" w:cs="黑体"/>
          <w:color w:val="000000"/>
          <w:sz w:val="24"/>
        </w:rPr>
      </w:pPr>
      <w:r/>
      <w:bookmarkStart w:id="37" w:name="_Hlt103568988"/>
      <w:r/>
      <w:bookmarkEnd w:id="37"/>
      <w:r/>
      <w:bookmarkStart w:id="38" w:name="_Hlt109402536"/>
      <w:r/>
      <w:bookmarkEnd w:id="38"/>
      <w:r>
        <w:rPr>
          <w:rFonts w:hint="eastAsia" w:ascii="宋体" w:hAnsi="宋体" w:eastAsia="宋体" w:cs="黑体"/>
          <w:color w:val="000000"/>
          <w:sz w:val="24"/>
        </w:rPr>
        <w:t xml:space="preserve">5. 投标保证金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本项目不收取投标保证金。</w:t>
      </w:r>
      <w:r/>
    </w:p>
    <w:p>
      <w:pPr>
        <w:jc w:val="left"/>
        <w:keepLines/>
        <w:keepNext/>
        <w:spacing w:line="360" w:lineRule="auto"/>
        <w:rPr>
          <w:rFonts w:hint="eastAsia" w:ascii="宋体" w:hAnsi="宋体" w:eastAsia="宋体" w:cs="黑体"/>
          <w:b/>
          <w:bCs/>
          <w:color w:val="000000"/>
          <w:sz w:val="24"/>
        </w:rPr>
        <w:outlineLvl w:val="1"/>
      </w:pPr>
      <w:r/>
      <w:bookmarkStart w:id="39" w:name="_Toc397699187"/>
      <w:r>
        <w:rPr>
          <w:rFonts w:hint="eastAsia" w:ascii="宋体" w:hAnsi="宋体" w:eastAsia="宋体" w:cs="黑体"/>
          <w:b/>
          <w:bCs/>
          <w:color w:val="000000"/>
          <w:sz w:val="24"/>
        </w:rPr>
        <w:t xml:space="preserve">二、招标文件</w:t>
      </w:r>
      <w:bookmarkEnd w:id="39"/>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6. 招标文件的内容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6.1 招标文件对投标单位资格、招标过程、合同条件和技术要求等作出详细规定，招标文件包含以下内容：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第一章 招标公告</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第二章 投标人须知</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第三章 政府采购合同格式</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第四章 项目需求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第五章 投标文件格式</w:t>
      </w:r>
      <w:r/>
    </w:p>
    <w:p>
      <w:pPr>
        <w:spacing w:line="360" w:lineRule="auto"/>
        <w:rPr>
          <w:rFonts w:ascii="宋体" w:hAnsi="宋体" w:eastAsia="宋体" w:cs="黑体"/>
          <w:color w:val="000000"/>
          <w:sz w:val="24"/>
        </w:rPr>
      </w:pPr>
      <w:r>
        <w:rPr>
          <w:rFonts w:hint="eastAsia" w:ascii="宋体" w:hAnsi="宋体" w:eastAsia="宋体" w:cs="黑体"/>
          <w:color w:val="000000"/>
          <w:sz w:val="24"/>
        </w:rPr>
        <w:t xml:space="preserve">第六章 评标方法</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7. 招标文件的澄清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 供应商认为采购文件、采购过程和中标、成交结果使自己的权益受到损害的，可以在知道或者应知其权益受到损害之日起七个工作日内，以书面形式向采购人提出质疑。招标采购单位以书面或传真方式予以答复，同时将该答复在政府采购网站上公告(答复中不标明问题的来源)。</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7.2采购人委托采购代理机构采购的，供应商可以向采购代理机构质疑。采购代理机构就采购人委托授权范围内的事项受理质疑并作出答复。</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7.3供应商质疑实行实名制，其质疑应当有具体的质疑事项及事实根据，不得进行虚假、恶意质疑。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7.4供应商质疑时，应当提交质疑书原件，质疑书应当包括下列主要内容：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⑴质疑供应商和被质疑的采购人或采购人委托的采购代理机构名称、地址、电话、邮编等；</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⑵质疑项目的名称、编号；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⑶权益受到损害的事实和理由；</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⑷相关证明材料；</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⑸提起质疑的日期。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质疑书应当署名。质疑供应商为自然人的，应当由本人签字；质疑供应商为法人或者其他组织的，应当由法定代表人或者主要负责人签字并加盖公章。</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7.5质疑投标单位可以委托代理人办理质疑事务。代理人办理质疑事务时，除提交质疑书外，还应当提交质疑供应商的授权委托书，授权委托书应当载明委托代理的具体权限和事项。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7.6质疑供应商提起质疑应当符合下列条件：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⑴质疑供应商是参与所质疑政府采购活动的供应商；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⑵质疑书内容符合规定；</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⑶在质疑有效期限内提起质疑；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⑷属于所质疑的采购人或采购人委托的采购代理机构组织的采购活动；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⑸同一质疑事项未经采购人或采购人委托的采购代理机构质疑处理；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⑹财政部门规定的其他条件。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7.7采购人或采购代理机构收到质疑书后,应在二个工作日内进行审查，对不符合质疑条件的，分别按下列规定予以处理： </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⑴质疑书内容不符合规定的，应一次性告知质疑供应商修改后重新提出质疑；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⑵质疑不属于本采购人或采购人委托的采购代理机构组织的采购活动的，应告知质疑供应商。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⑶质疑不符合其他条件的，书面告知质疑供应商不予受理，并应当说明理由。对符合质疑条件的质疑，自采购人或采购人委托的采购代理机构收到质疑书之日起即为受理。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7.8供应商应在法定质疑期内一次性提出针对同一采购程序环节的质疑，以减少供应商在同一采购环节反复质疑投诉现象的发生。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7.9如果举行标前答疑会，投标人的指定代表可以按规定的时间和地点出席会议。会议的目的旨在澄清和解答问题，投标人务必派代表准时参加。</w:t>
      </w:r>
      <w:r/>
    </w:p>
    <w:p>
      <w:pPr>
        <w:jc w:val="left"/>
        <w:spacing w:line="360" w:lineRule="auto"/>
        <w:rPr>
          <w:rFonts w:ascii="宋体" w:hAnsi="宋体" w:eastAsia="宋体" w:cs="黑体"/>
          <w:color w:val="000000"/>
          <w:sz w:val="24"/>
        </w:rPr>
      </w:pPr>
      <w:r>
        <w:rPr>
          <w:rFonts w:hint="eastAsia" w:ascii="宋体" w:hAnsi="宋体" w:eastAsia="宋体" w:cs="黑体"/>
          <w:color w:val="000000"/>
          <w:sz w:val="24"/>
        </w:rPr>
        <w:t xml:space="preserve">7.10质疑与投诉时必需提供授权委托书（原件、且必须是投标单位法定代表人签字并加盖企业</w:t>
      </w:r>
      <w:r>
        <w:rPr>
          <w:rFonts w:hint="eastAsia" w:ascii="宋体" w:hAnsi="宋体" w:eastAsia="宋体" w:cs="黑体"/>
          <w:sz w:val="24"/>
        </w:rPr>
        <w:t xml:space="preserve">公章）、授权委托人（必须为投标时候委托代理人同一人）身份证（原件）、授权委托人（必须为投标时候委托代理人同一人）至少</w:t>
      </w:r>
      <w:r>
        <w:rPr>
          <w:rFonts w:hint="eastAsia" w:ascii="宋体" w:hAnsi="宋体" w:eastAsia="宋体" w:cs="黑体"/>
          <w:sz w:val="24"/>
        </w:rPr>
        <w:t xml:space="preserve">连续近6个月及以上（质疑或投诉时间前）的社保证明（原件）、企业营业执照（复印件加盖企业公章）、投标人参与此次项目相关证明（对招标文件有质疑，提供投标人购买标书凭证）。必须由授权委托人（必须为投标时候委托代理人同一人）本人持以上相关材料和质疑函或投诉书到相关单位进行质疑或者投诉，质疑或投诉执行《中华人民共和国财政部令第94号》规定，无以上相关材料和质疑函（或投诉书）（正本原件）、或非本次投标的授权委托人（必须为投标时候委托代理人同一人）本人到现场，采购人或者招标代理机构或采购行政监督部门将拒绝其质疑或者投诉。</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7.11 投诉执行相关法律法规。</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8. 招标文件的变更</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jc w:val="left"/>
        <w:keepLines/>
        <w:keepNext/>
        <w:spacing w:line="360" w:lineRule="auto"/>
        <w:rPr>
          <w:rFonts w:hint="eastAsia" w:ascii="宋体" w:hAnsi="宋体" w:eastAsia="宋体" w:cs="黑体"/>
          <w:b/>
          <w:bCs/>
          <w:color w:val="000000"/>
          <w:sz w:val="24"/>
        </w:rPr>
        <w:outlineLvl w:val="1"/>
      </w:pPr>
      <w:r/>
      <w:bookmarkStart w:id="40" w:name="_Toc397699188"/>
      <w:r>
        <w:rPr>
          <w:rFonts w:hint="eastAsia" w:ascii="宋体" w:hAnsi="宋体" w:eastAsia="宋体" w:cs="黑体"/>
          <w:b/>
          <w:bCs/>
          <w:color w:val="000000"/>
          <w:sz w:val="24"/>
        </w:rPr>
        <w:t xml:space="preserve">三、投标文件的编制</w:t>
      </w:r>
      <w:bookmarkEnd w:id="40"/>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9. 投标文件的语言</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9.1 投标文件以及投标人与招标采购单位就有关投标的往来函电均应使用中文书写，如果使用其它语言应译成中文，否则无效。</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 投标文件的编制及构成</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10.1投标人应当按照招标文件的要求编制投标文件。投标文件应当对招标文件提出的要求和条件作出明确响应。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10.2 投标文件由报价文件、技术文件和商务文件三部分组成，请按照投标文件格式要求编制。</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11. 投标函和价格表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11.1 投标人按本章12、13的要求，以招标文件指定的方式完整地填写《投标函》和《开标一览表》。</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 投标价格</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12.1 根据《项目需求》规定的货物及服务内容和责任范围，投标人应按《开标一览表》和《报价明细表》（如果有）指定的格式报出投标价格。</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12.2 投标人应按照招标文件规定的商务、合同和技术责任进行报价。</w:t>
      </w:r>
      <w:r/>
    </w:p>
    <w:p>
      <w:pPr>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12.3</w:t>
      </w:r>
      <w:r>
        <w:rPr>
          <w:rFonts w:hint="eastAsia" w:ascii="宋体" w:hAnsi="宋体" w:eastAsia="宋体" w:cs="黑体"/>
          <w:b/>
          <w:color w:val="000000"/>
          <w:sz w:val="24"/>
        </w:rPr>
        <w:t xml:space="preserve"> </w:t>
      </w:r>
      <w:r>
        <w:rPr>
          <w:rFonts w:hint="eastAsia" w:ascii="宋体" w:hAnsi="宋体" w:eastAsia="宋体" w:cs="黑体"/>
          <w:color w:val="000000"/>
          <w:sz w:val="24"/>
        </w:rPr>
        <w:t xml:space="preserve">在所有价格表中，</w:t>
      </w:r>
      <w:r>
        <w:rPr>
          <w:rFonts w:hint="eastAsia" w:ascii="宋体" w:hAnsi="宋体" w:eastAsia="宋体" w:cs="黑体"/>
          <w:bCs/>
          <w:color w:val="000000"/>
          <w:sz w:val="24"/>
          <w:lang w:bidi="ar"/>
        </w:rPr>
        <w:t xml:space="preserve">投标人应对项目全部内容投标，只投部分内容的为无效投标。</w:t>
      </w:r>
      <w:r>
        <w:rPr>
          <w:rFonts w:hint="eastAsia" w:ascii="宋体" w:hAnsi="宋体" w:eastAsia="宋体" w:cs="黑体"/>
          <w:b/>
          <w:color w:val="000000"/>
          <w:sz w:val="24"/>
          <w:lang w:bidi="ar"/>
        </w:rPr>
        <w:t xml:space="preserve">报价包含但不限于为完成本项目最终成果所附带的全部费用，中标后费用不再另行增加，请投标人综合考虑。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12.4 投标人所报的价格在合同执行过程中是固定的，不得以任何理由予以变更。投标人提交滑动价格的投标文件将作为非响应性投标而予以拒绝。</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12.5投标人只能提交一个投标价格，投标人提交多个价格的投标文件将作为非响应性投标而予以拒绝。</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13. 投标货币</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13.1所有投标均以人民币报价。</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14. 投标保证金</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14.1 本项目不收取投标保证金。</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15. 投标文件的有效期</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15.1投标文件必须保持自开标日之后60日内有效，投标文件有效期不足的将被视为非响应性投标而予以拒绝。</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15.2投标有效期从提交投标文件的截止之日起算。投标文件中承诺的投标有效期应当不少于招标文件中载明的投标有效期。</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16. 投标文件的制作和签署</w:t>
      </w:r>
      <w:r/>
    </w:p>
    <w:p>
      <w:pPr>
        <w:spacing w:line="360" w:lineRule="auto"/>
        <w:rPr>
          <w:rFonts w:hint="eastAsia" w:ascii="宋体" w:hAnsi="宋体" w:eastAsia="宋体" w:cs="黑体"/>
          <w:sz w:val="24"/>
        </w:rPr>
      </w:pPr>
      <w:r>
        <w:rPr>
          <w:rFonts w:hint="eastAsia" w:ascii="宋体" w:hAnsi="宋体" w:eastAsia="宋体" w:cs="黑体"/>
          <w:sz w:val="24"/>
        </w:rPr>
        <w:t xml:space="preserve">16.1投标文件应按第五章“投标文件相关格式”进行编写，如有必要可自行增加，作为投标文件的组成部分。</w:t>
      </w:r>
      <w:r/>
    </w:p>
    <w:p>
      <w:pPr>
        <w:jc w:val="left"/>
        <w:spacing w:line="360" w:lineRule="auto"/>
        <w:rPr>
          <w:rFonts w:hint="eastAsia" w:ascii="宋体" w:hAnsi="宋体" w:eastAsia="宋体" w:cs="黑体"/>
          <w:sz w:val="24"/>
        </w:rPr>
      </w:pPr>
      <w:r>
        <w:rPr>
          <w:rFonts w:hint="eastAsia" w:ascii="宋体" w:hAnsi="宋体" w:eastAsia="宋体" w:cs="黑体"/>
          <w:sz w:val="24"/>
        </w:rPr>
        <w:t xml:space="preserve">16.2电子投标文件应使用“电子招标投标交易平台”可接受的投标文件制作工具进行编制、签章和加密，并在投标截止期前上传至“</w:t>
      </w:r>
      <w:r>
        <w:rPr>
          <w:rFonts w:hint="eastAsia" w:ascii="宋体" w:hAnsi="宋体" w:eastAsia="宋体" w:cs="黑体"/>
          <w:sz w:val="24"/>
          <w:lang w:eastAsia="zh-CN"/>
        </w:rPr>
        <w:t xml:space="preserve">苏采云平台</w:t>
      </w:r>
      <w:r>
        <w:rPr>
          <w:rFonts w:hint="eastAsia" w:ascii="宋体" w:hAnsi="宋体" w:eastAsia="宋体" w:cs="黑体"/>
          <w:sz w:val="24"/>
        </w:rPr>
        <w:t xml:space="preserve">”中。</w:t>
      </w:r>
      <w:r/>
    </w:p>
    <w:p>
      <w:pPr>
        <w:spacing w:line="360" w:lineRule="auto"/>
        <w:rPr>
          <w:rFonts w:hint="eastAsia" w:ascii="宋体" w:hAnsi="宋体" w:eastAsia="宋体" w:cs="黑体"/>
          <w:sz w:val="24"/>
        </w:rPr>
      </w:pPr>
      <w:r/>
      <w:bookmarkStart w:id="41" w:name="_Toc397699189"/>
      <w:r>
        <w:rPr>
          <w:rFonts w:hint="eastAsia" w:ascii="宋体" w:hAnsi="宋体" w:eastAsia="宋体" w:cs="黑体"/>
          <w:b/>
          <w:bCs/>
          <w:sz w:val="24"/>
        </w:rPr>
        <w:t xml:space="preserve">四、投标文件的递交</w:t>
      </w:r>
      <w:bookmarkEnd w:id="41"/>
      <w:r/>
      <w:r/>
    </w:p>
    <w:p>
      <w:pPr>
        <w:spacing w:line="360" w:lineRule="auto"/>
        <w:rPr>
          <w:rFonts w:hint="eastAsia" w:ascii="宋体" w:hAnsi="宋体" w:eastAsia="宋体" w:cs="黑体"/>
          <w:b/>
          <w:sz w:val="24"/>
        </w:rPr>
      </w:pPr>
      <w:r>
        <w:rPr>
          <w:rFonts w:hint="eastAsia" w:ascii="宋体" w:hAnsi="宋体" w:eastAsia="宋体" w:cs="黑体"/>
          <w:b/>
          <w:sz w:val="24"/>
        </w:rPr>
        <w:t xml:space="preserve">17. 投标文件的密封和标识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 无。</w:t>
      </w:r>
      <w:r/>
    </w:p>
    <w:p>
      <w:pPr>
        <w:spacing w:line="360" w:lineRule="auto"/>
        <w:rPr>
          <w:rFonts w:hint="eastAsia" w:ascii="宋体" w:hAnsi="宋体" w:eastAsia="宋体" w:cs="黑体"/>
          <w:b/>
          <w:sz w:val="24"/>
        </w:rPr>
      </w:pPr>
      <w:r>
        <w:rPr>
          <w:rFonts w:hint="eastAsia" w:ascii="宋体" w:hAnsi="宋体" w:eastAsia="宋体" w:cs="黑体"/>
          <w:b/>
          <w:sz w:val="24"/>
        </w:rPr>
        <w:t xml:space="preserve">18. 签到和投标文件的递交</w:t>
      </w:r>
      <w:r/>
    </w:p>
    <w:p>
      <w:pPr>
        <w:spacing w:line="360" w:lineRule="auto"/>
        <w:rPr>
          <w:rFonts w:hint="eastAsia" w:ascii="宋体" w:hAnsi="宋体" w:eastAsia="宋体" w:cs="黑体"/>
          <w:bCs/>
          <w:sz w:val="24"/>
        </w:rPr>
      </w:pPr>
      <w:r>
        <w:rPr>
          <w:rFonts w:hint="eastAsia" w:ascii="宋体" w:hAnsi="宋体" w:eastAsia="宋体" w:cs="黑体"/>
          <w:bCs/>
          <w:sz w:val="24"/>
        </w:rPr>
        <w:t xml:space="preserve">18.1 投标文件提交截止时间前完成网上投标文件上传，不再要求投标人准备纸质文件。中标单位在领取中标通知书时需提供5份完整投标文件，其中正本一份副本四份。</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 迟交的投标文件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w:t>
      </w:r>
      <w:r>
        <w:rPr>
          <w:rFonts w:hint="eastAsia" w:ascii="宋体" w:hAnsi="宋体" w:eastAsia="宋体" w:cs="黑体"/>
          <w:sz w:val="24"/>
        </w:rPr>
        <w:t xml:space="preserve">代理机构将拒绝在规定的投标文件接收截止时间后接收任何投标文件</w:t>
      </w:r>
      <w:r>
        <w:rPr>
          <w:rFonts w:hint="eastAsia" w:ascii="宋体" w:hAnsi="宋体" w:eastAsia="宋体" w:cs="黑体"/>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20. 投标文件的修改和撤回</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20.1投标人在投标截止时间前，可以修改或撤回已递交的投标文件，</w:t>
      </w:r>
      <w:r>
        <w:rPr>
          <w:rFonts w:hint="eastAsia" w:ascii="宋体" w:hAnsi="宋体" w:eastAsia="宋体" w:cs="黑体"/>
          <w:sz w:val="24"/>
        </w:rPr>
        <w:t xml:space="preserve">但这种修改和撤回，必须在投标截止期前重新上传至“</w:t>
      </w:r>
      <w:r>
        <w:rPr>
          <w:rFonts w:hint="eastAsia" w:ascii="宋体" w:hAnsi="宋体" w:eastAsia="宋体" w:cs="黑体"/>
          <w:sz w:val="24"/>
          <w:lang w:eastAsia="zh-CN"/>
        </w:rPr>
        <w:t xml:space="preserve">苏采云一体化平台</w:t>
      </w:r>
      <w:r>
        <w:rPr>
          <w:rFonts w:hint="eastAsia" w:ascii="宋体" w:hAnsi="宋体" w:eastAsia="宋体" w:cs="黑体"/>
          <w:sz w:val="24"/>
        </w:rPr>
        <w:t xml:space="preserve">”中。</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20.2 在投标截止期之后，投标人不得对其投标做任何修改。</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20.3投标有效期内投标人不得撤销投标文件。</w:t>
      </w:r>
      <w:bookmarkStart w:id="42" w:name="_Toc397699190"/>
      <w:r/>
      <w:r/>
    </w:p>
    <w:p>
      <w:pPr>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五、开 标</w:t>
      </w:r>
      <w:bookmarkEnd w:id="42"/>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21. 开标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21.1开标应当在招标文件确定的提交投标文件截止时间的同一时间进行。开标地点应当为招标文件中预先确定的地点。</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21.2本项目采用远程不见面交易模式，通过不见面交易系统及相应的配套硬件设备（摄像头、话筒、麦克风等）完成远程解密、开标现场异议及回复、开标唱标等交互环节。</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通过不见面交易系统及相应的配套硬件设备（摄像头、话筒、麦克风等）完成远程解密、开标现场异议及回复、开标唱标等交互环节。</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相关要求和说明如下：</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1.远程开标项目的时间均以国家授时中心发布的时间为准；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2.开标当日，投标人不必抵达开标现场，仅需在任意地点通过苏采云政府采购系统参加开标会议（苏采云： http://jszfcg.jsczt.cn/）；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3.投标文件递交截止时间前，招标人提前进入苏采云政府采购系统，播放测试音频，各投标人的授权委托人提前进入不见面交易系统，根据操作手册（请在办事指南中的“下载专区”中下载）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4.投标文件递交截止时间后，招标人将在系统内公布投标人名单，然后通过开标会议区发出投标文件解密的指令，投标人</w:t>
      </w:r>
      <w:r>
        <w:rPr>
          <w:rFonts w:hint="eastAsia" w:ascii="宋体" w:hAnsi="宋体" w:eastAsia="宋体" w:cs="黑体"/>
          <w:b/>
          <w:bCs/>
          <w:color w:val="ff0000"/>
          <w:sz w:val="24"/>
        </w:rPr>
        <w:t xml:space="preserve">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友情提示：若投标人已领取副锁（含多把副锁）请注意正副锁的使用差别）。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本项目在限定的解密时间内，只要有一家投标人解密成功，即视为网上招投标平台运行无故障。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5.为顺利实现本项目开评标的远程交互，建议投标人配置的硬件设施有：高配置电脑、高速稳定的网络、电源（不间断）、CA锁、音视频设备（话筒、耳麦、高清摄像头、音响）、扫描仪、打印机、传真机、高清视频监控等；建议投标人具备的软件设施有：IE浏览器（版本必须为11及11以上），江苏省互联互通驱动。 </w:t>
      </w:r>
      <w:r/>
    </w:p>
    <w:p>
      <w:pPr>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ind w:firstLine="482"/>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b/>
          <w:bCs/>
          <w:color w:val="ff0000"/>
          <w:sz w:val="24"/>
        </w:rPr>
        <w:t xml:space="preserve">注：投标人在签到时，需填写单位名称、联系人姓名、手机号码（手机号码务必能打通，否则答疑联系不上，产生的所有后果由投标人自行承担）。</w:t>
      </w:r>
      <w:r>
        <w:rPr>
          <w:rFonts w:hint="eastAsia" w:ascii="宋体" w:hAnsi="宋体" w:eastAsia="宋体" w:cs="黑体"/>
          <w:color w:val="000000"/>
          <w:sz w:val="24"/>
        </w:rPr>
        <w:t xml:space="preserve">采购人或者采购代理机构应当对开标、评标现场活动进行全程录音录像。录音录像应当清晰可辨，音像资料作为采购文件一并存档。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21.3开标由采购人或者采购代理机构主持，邀请投标人参加。评标委员会成员不得参加开标活动。</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投标人不足3家的，不得开标。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21.4开标过程应当由采购人或者采购代理机构负责记录。</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投标人未参加开标的，视同认可开标结果。</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21.5公开招标数额标准以上的采购项目，投标截止后投标人不足3家或者通过资格审查或符合性审查的投标人不足3家的，除采购任务取消情形外，按照以下方式处理：</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(一)招标文件存在不合理条款或者招标程序不符合规定的，采购人、采购代理机构改正后依法重新招标;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(二)招标文件没有不合理条款、招标程序符合规定，需要采用其他采购方式采购的，采购人应当依法报财政部门批准。</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21.6公开招标采购项目开标结束后，采购人或者采购代理机构应当依法对投标人的资格进行审查。合格投标人不足3家的，不得评标。</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21.7投标人未参加开标的，视同认可开标结果。</w:t>
      </w:r>
      <w:r/>
    </w:p>
    <w:p>
      <w:pPr>
        <w:jc w:val="left"/>
        <w:keepLines/>
        <w:keepNext/>
        <w:spacing w:line="360" w:lineRule="auto"/>
        <w:rPr>
          <w:rFonts w:hint="eastAsia" w:ascii="宋体" w:hAnsi="宋体" w:eastAsia="宋体" w:cs="黑体"/>
          <w:b/>
          <w:bCs/>
          <w:color w:val="000000"/>
          <w:sz w:val="24"/>
        </w:rPr>
        <w:outlineLvl w:val="1"/>
      </w:pPr>
      <w:r/>
      <w:bookmarkStart w:id="43" w:name="_Toc397699191"/>
      <w:r>
        <w:rPr>
          <w:rFonts w:hint="eastAsia" w:ascii="宋体" w:hAnsi="宋体" w:eastAsia="宋体" w:cs="黑体"/>
          <w:b/>
          <w:bCs/>
          <w:color w:val="000000"/>
          <w:sz w:val="24"/>
        </w:rPr>
        <w:t xml:space="preserve">六、评  标</w:t>
      </w:r>
      <w:bookmarkEnd w:id="43"/>
      <w:r/>
      <w:r/>
    </w:p>
    <w:p>
      <w:pPr>
        <w:jc w:val="left"/>
        <w:spacing w:line="360" w:lineRule="auto"/>
        <w:widowControl/>
        <w:rPr>
          <w:rFonts w:hint="eastAsia" w:ascii="宋体" w:hAnsi="宋体" w:eastAsia="宋体" w:cs="黑体"/>
          <w:b/>
          <w:color w:val="000000"/>
          <w:sz w:val="24"/>
        </w:rPr>
      </w:pPr>
      <w:r>
        <w:rPr>
          <w:rFonts w:hint="eastAsia" w:ascii="宋体" w:hAnsi="宋体" w:eastAsia="宋体" w:cs="黑体"/>
          <w:b/>
          <w:color w:val="000000"/>
          <w:sz w:val="24"/>
        </w:rPr>
        <w:t xml:space="preserve">22．评标工作职责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22.1采购人或者采购代理机构负责组织评标工作，并履行下列职责：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(一)核对评审专家身份和采购人代表授权函，对评审专家在政府采购活动中的职责履行情况予以记录，并及时将有关违法违规行为向财政部门报告;</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(二)宣布评标纪律;</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(三)公布投标人名单，告知评审专家应当回避的情形;</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(四)组织评标委员会推选评标组长，采购人代表不得担任组长;</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(五)在评标期间采取必要的通讯管理措施，保证评标活动不受外界干扰;</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(六)根据评标委员会的要求介绍政府采购相关政策法规、招标文件;</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(七)维护评标秩序，监督评标委员会依照招标文件规定的评标程序、方法和标准进行独立评审，及时制止和纠正采购人代表、评审专家的倾向性言论或者违法违规行为;</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(八)核对评标结果，有</w:t>
      </w:r>
      <w:r>
        <w:rPr>
          <w:rFonts w:hint="eastAsia" w:ascii="宋体" w:hAnsi="宋体" w:eastAsia="宋体" w:cs="宋体"/>
          <w:color w:val="000000"/>
          <w:spacing w:val="-3"/>
          <w:sz w:val="24"/>
          <w:szCs w:val="24"/>
          <w:lang w:val="en-US" w:eastAsia="en-US" w:bidi="ar-SA"/>
        </w:rPr>
        <w:t xml:space="preserve">《政府采购货物和服务招标投标管理办法》（财政部令第87号）</w:t>
      </w:r>
      <w:r>
        <w:rPr>
          <w:rFonts w:hint="eastAsia" w:ascii="宋体" w:hAnsi="宋体" w:eastAsia="宋体" w:cs="黑体"/>
          <w:color w:val="000000"/>
          <w:sz w:val="24"/>
        </w:rPr>
        <w:t xml:space="preserve">第六十四条规定情形的，要求评标委员会复核或者书面说明理由，评标委员会拒绝的，应予记录并向本级财政部门报告;</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(九)评审工作完成后，按照规定向评审专家支付劳务报酬和异地评审差旅费，不得向评审专家以外的其他人员支付评审劳务报酬;</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(十)处理与评标有关的其他事项。</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采购人可以在评标前说明项目背景和采购需求，说明内容不得含有歧视性、倾向性意见，不得超出招标文件所述范围。说明应当提交书面材料，并随采购文件一并存档。</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22.2评标委员会负责具体评标事务，并独立履行下列职责：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(一)审查、评价投标文件是否符合招标文件的商务、技术等实质性要求；</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(二)要求投标人对投标文件有关事项作出澄清或者说明；</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(三)对投标文件进行比较和评价；</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(四)确定中标候选人名单，以及根据采购人委托直接确定中标人；</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(五)向采购人、采购代理机构或者有关部门报告评标中发现的违法行为。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22.3评标委员会由采购人代表和评审专家组成，成员人数应当为5人及以上单数，其中评审专家不得少于成员总数的三分之二。</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评标委员会成员名单在评标结果公告前应当保密。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22.4评标中因评标委员会成员缺席、回避或者健康等特殊原因导致评标委员会组成不符合本办法规定的，采购人或者采购代理机构应当依法补足后继续评标。被更换的评标委员会成员所作出的评标意见无效。</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无法及时补足评标委员会成员的，采购人或者采购代理机构应当停止评标活动，封存所有投标文件和开标、评标资料，依法重新组建评标委员会进行评标。原评标委员会所作出的评标意见无效。</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采购人或者采购代理机构应当将变更、重新组建评标委员会的情况予以记录，并随采购文件一并存档。</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23. 投标文件的初审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23.1评标委员会应当对符合资格的投标人的投标文件进行符合性审查，以确定其是否满足招标文件的实质性要求。</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23.2对于投标文件中含义不明确、同类问题表述不一致或者有明显文字和计算错误的内容，评标委员会要求投标人作出必要的澄清、说明或者补正。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投标人的澄清、说明或者补正不得超出投标文件的范围或者改变投标文件的实质性内容。</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评标委员会应当按照招标文件中规定的评标方法和标准，对符合性审查合格的投标文件进行商务和技术评估，综合比较与评价。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23.3投标文件初审分为资格性检查和符合性检查。</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①资格性检查。依据法律法规和招标文件的规定，对投标人的资格证明材料进行审查，以确定投标供应商是否具备投标资格。</w:t>
      </w:r>
      <w:r/>
    </w:p>
    <w:p>
      <w:pPr>
        <w:ind w:firstLine="480"/>
        <w:jc w:val="left"/>
        <w:spacing w:line="360" w:lineRule="auto"/>
        <w:widowControl/>
        <w:rPr>
          <w:rFonts w:hint="eastAsia" w:ascii="宋体" w:hAnsi="宋体" w:eastAsia="宋体" w:cs="黑体"/>
          <w:color w:val="000000"/>
          <w:sz w:val="24"/>
        </w:rPr>
      </w:pPr>
      <w:r>
        <w:rPr>
          <w:rFonts w:hint="eastAsia" w:ascii="宋体" w:hAnsi="宋体" w:eastAsia="宋体" w:cs="黑体"/>
          <w:color w:val="000000"/>
          <w:sz w:val="24"/>
        </w:rPr>
        <w:t xml:space="preserve">②符合性检查。依据招标文件的规定，从投标文件的有效性、完整性和对招标文件的响应程度进行检查，以确定是否对招标文件的实质性要求作出响应。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23.4投标文件报价出现前后不一致的，除招标文件另有规定外，按照下列规定修正：</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①投标文件中开标一览表(报价表)内容与投标文件中相应内容不一致的，以开标一览表(报价表)为准;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②大写金额和小写金额不一致的，以大写金额为准;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③单价金额小数点或者百分比有明显错位的，以开标一览表的总价为准，并修改单价;</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④总价金额与按单价汇总金额不一致的，以单价金额计算结果为准。</w:t>
      </w:r>
      <w:r/>
    </w:p>
    <w:p>
      <w:pPr>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同时出现两种以上不一致的，按照前款规定的顺序修正。修正后的报价按照本办法经投标人确认后产生约束力，投标人不确认的，其投标无效。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23.5 评标委员会可以允许投标文件中存在不构成实质性偏差的，微小的不正规、不一致或不规范。</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23.6 在详细评标之前，评标委员会将判定每个投标文件是否完整以及是否实质性响应了招标文件的要求。实质性响应是指无实质性偏离、反对、设定条件或提出保留，与招标文件要求的全部条款、条件和规格相符。实质性偏离是指：</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①实质性影响合同的范围、质量和履行；</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②实质性违背招标文件，限制了买方的权利和中标人合同项下的义务；</w:t>
      </w:r>
      <w:r/>
    </w:p>
    <w:p>
      <w:pPr>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③不公正地影响了其它作出实质性响应的投标人的竞争地位。</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23.7 评标委员会对投标文件响应性的判定基于投标文件本身的内容， 而不寻求外部的证据。但投标有不真实、不正确的内容时除外。</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23.8 如果投标人没有实质性响应招标文件的要求，其投标将被视为无效标，投标人不得通过修正或撤消不合要求的偏离从而使其投标成为实质性响应。</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23.9有下列情形之一的，视为投标人串通投标，其投标无效：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(一)不同投标人的投标文件由同一单位或者个人编制;</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(二)不同投标人委托同一单位或者个人办理投标事宜;</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(三)不同投标人的投标文件载明的项目管理成员或者联系人员为同一人;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(四)不同投标人的投标文件异常一致或者投标报价呈规律性差异;</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(五)不同投标人的投标文件相互混装;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23.10出现下列情况之一的，本项目予以废标：</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①投标截止后投标人不足3家的；</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②通过资格审查或符合性审查的投标人不足3家的；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③出现影响采购公正的违法、违规行为的；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④投标人的报价均超过了采购预算，采购人不能支付的；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⑤因重大变故，采购任务取消的。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23.11评标委员会只对在初审中确定为实质性响应的投标文件进行技术和商务评审。</w:t>
      </w:r>
      <w:r/>
    </w:p>
    <w:p>
      <w:pPr>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23.12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23.13投标人存在下列情况之一的，投标无效:</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（一）投标文件未按招标文件要求签署、盖章的；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（二）不具备招标文件中规定的资格要求的；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（三）报价超过招标文件中规定的预算金额或者最高限价的；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（四）投标文件含有采购人不能接受的附加条件的;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（五）法律、法规和招标文件规定的其他无效情形。</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24. 投标文件的澄清</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24.1 在评标期间，对投标文件中含义不明确、同类问题表述不一致或者有明显文字和计算错误的内容，评标委员会可以要求投标人作出必要的澄清、说明或者纠正。投标人的澄清、说明或者补正，并不得超出投标文件的范围或者改变投标文件的实质性内容。</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25. 投标的评审</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25.1 评标委员会按招标文件中规定的评标方法和标准，对资格性检查和符合性检查合格的投标文件进行商务和技术评估，综合比较与评价。</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25.2 评标以本章12.3规定的价格为基础，采用招标文件中规定的方法进行评审。评标委员会根据全体成员签字的原始记录编写评标报告，向招标采购单位报告评标结果，推荐3名有排序的合格中标候选人。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25.3推荐中标候选人的方法如下：</w:t>
      </w:r>
      <w:r/>
    </w:p>
    <w:p>
      <w:pPr>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本项目评标方法采用“</w:t>
      </w:r>
      <w:r>
        <w:rPr>
          <w:rFonts w:hint="eastAsia" w:ascii="宋体" w:hAnsi="宋体" w:eastAsia="宋体" w:cs="黑体"/>
          <w:b/>
          <w:bCs/>
          <w:color w:val="000000"/>
          <w:sz w:val="24"/>
        </w:rPr>
        <w:t xml:space="preserve">综合评分法</w:t>
      </w:r>
      <w:r>
        <w:rPr>
          <w:rFonts w:hint="eastAsia" w:ascii="宋体" w:hAnsi="宋体" w:eastAsia="宋体" w:cs="黑体"/>
          <w:color w:val="000000"/>
          <w:sz w:val="24"/>
        </w:rPr>
        <w:t xml:space="preserve">”，是指投标文件满足招标文件全部实质性要求，且按照评审因素的量化指标评审得分最高的投标人为中标候选人的评标方法。</w:t>
      </w:r>
      <w:r/>
    </w:p>
    <w:p>
      <w:pPr>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用综合评分法的，评标结果按评审后得分由高到低顺序排列。得分相同的，按投标报价由低到高顺序排列。得分且投标报价相同的通过抽签确定排序。投标文件满足招标文件全部实质性要求，且按照评审因素的量化指标评审得分最高的投标人为排名第一的中标候选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评标结果汇总完成后，除下列情形外，任何人不得修改评标结果：</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（一）分值汇总计算错误的；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（二）分项评分超出评分标准范围的；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（三）评标委员会成员对客观评审因素评分不一致的；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（四）经评标委员会认定评分畸高、畸低的。</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投标人对本条第一款情形提出质疑的，采购人或者采购代理机构可以组织原评标委员会进行重新评审，重新评审改变评标结果的，应当书面报告本级财政部门。</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26. 与招标采购单位的接触</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26.1 除按本章24 规定的澄清，从开标到中标通知书发出期间，投标人不得就与其投标有关的任何事项与招标采购单位联系。</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26.2 投标人试图对评标委员会的评标、确定中标人的决定进行影响，都可能导致废标。</w:t>
      </w:r>
      <w:r/>
    </w:p>
    <w:p>
      <w:pPr>
        <w:jc w:val="left"/>
        <w:keepLines/>
        <w:keepNext/>
        <w:spacing w:line="360" w:lineRule="auto"/>
        <w:rPr>
          <w:rFonts w:hint="eastAsia" w:ascii="宋体" w:hAnsi="宋体" w:eastAsia="宋体" w:cs="宋体"/>
          <w:b/>
          <w:bCs/>
          <w:color w:val="000000"/>
          <w:sz w:val="24"/>
        </w:rPr>
        <w:outlineLvl w:val="1"/>
      </w:pPr>
      <w:r/>
      <w:bookmarkStart w:id="44" w:name="_Toc397699192"/>
      <w:r/>
      <w:bookmarkStart w:id="45" w:name="_Toc397699193"/>
      <w:r>
        <w:rPr>
          <w:rFonts w:hint="eastAsia" w:ascii="宋体" w:hAnsi="宋体" w:eastAsia="宋体" w:cs="宋体"/>
          <w:b/>
          <w:bCs/>
          <w:color w:val="000000"/>
          <w:sz w:val="24"/>
        </w:rPr>
        <w:t xml:space="preserve">七、中标人的确定</w:t>
      </w:r>
      <w:bookmarkEnd w:id="44"/>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27. 确定中标人的标准</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27.1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27.2采购人自行组织招标的，应当在评标结束后5个工作日内确定中标人。采购人在收到评标报告5个工作日内未按评标报告推荐的中标候选人顺序确定中标人，又不能说明合法理由的，视同按评标报告推荐的顺序确定排名第一的中标候选人为中标人。</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28.采购人或者采购代理机构应当自中标人确定之日起2个工作日内，在省级以上财政部门指定的媒体上公告中标结果，招标文件应当随中标结果同时公告。中标公告期限为1个工作日。</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29. 中标通知书</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29.1在公告中标结果的同时，采购人或者采购代理机构应当向中标人发出《中标通知书》。中标通知书发出后，采购人不得违法改变中标结果，中标人无正当理由不得放弃中标。</w:t>
      </w:r>
      <w:r/>
    </w:p>
    <w:p>
      <w:pPr>
        <w:spacing w:line="360" w:lineRule="auto"/>
        <w:rPr>
          <w:rFonts w:hint="eastAsia" w:ascii="宋体" w:hAnsi="宋体" w:eastAsia="宋体" w:cs="黑体"/>
          <w:b/>
          <w:bCs/>
          <w:color w:val="000000"/>
          <w:sz w:val="24"/>
        </w:rPr>
      </w:pPr>
      <w:r>
        <w:rPr>
          <w:rFonts w:hint="eastAsia" w:ascii="宋体" w:hAnsi="宋体" w:eastAsia="宋体" w:cs="宋体"/>
          <w:color w:val="000000"/>
          <w:sz w:val="24"/>
        </w:rPr>
        <w:t xml:space="preserve">29.2评标委员会有权对投标人投标文件的真实性进行核实，如投标人不能提供有效文件，评标委员会将根据客观事实，有权取消中标人资格；同时投标人承担相应的法律责任。</w:t>
      </w:r>
      <w:r/>
    </w:p>
    <w:p>
      <w:pPr>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八、合同的签署</w:t>
      </w:r>
      <w:bookmarkEnd w:id="45"/>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30.合同协议的签署</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30.1采购人应当自中标通知书发出之日起15日内，按照招标文件和中标人投标文件的规定，与中标人签订书面合同。所签订的合同不得对招标文件确定的事项和中标人投标文件作实质性修改。中标人因不可抗力或者自身原因不能履行政府采购合同的，按政府采购相关法律法规执行</w:t>
      </w:r>
      <w:r/>
    </w:p>
    <w:p>
      <w:pPr>
        <w:spacing w:line="360" w:lineRule="auto"/>
        <w:rPr>
          <w:rFonts w:hint="eastAsia" w:ascii="宋体" w:hAnsi="宋体" w:eastAsia="宋体" w:cs="黑体"/>
          <w:b/>
          <w:color w:val="auto"/>
          <w:sz w:val="24"/>
        </w:rPr>
      </w:pPr>
      <w:r>
        <w:rPr>
          <w:rFonts w:hint="eastAsia" w:ascii="宋体" w:hAnsi="宋体" w:eastAsia="宋体" w:cs="黑体"/>
          <w:b/>
          <w:color w:val="000000"/>
          <w:sz w:val="24"/>
        </w:rPr>
        <w:t xml:space="preserve">31. 履约保证金</w:t>
      </w:r>
      <w:r>
        <w:rPr>
          <w:rFonts w:hint="eastAsia" w:ascii="宋体" w:hAnsi="宋体" w:eastAsia="宋体" w:cs="黑体"/>
          <w:b/>
          <w:color w:val="auto"/>
          <w:sz w:val="24"/>
        </w:rPr>
        <w:t xml:space="preserve">：</w:t>
      </w:r>
      <w:r/>
    </w:p>
    <w:p>
      <w:pPr>
        <w:spacing w:line="360" w:lineRule="auto"/>
        <w:rPr>
          <w:rFonts w:hint="eastAsia" w:ascii="宋体" w:hAnsi="宋体" w:eastAsia="宋体" w:cs="黑体"/>
          <w:bCs/>
          <w:color w:val="auto"/>
          <w:sz w:val="24"/>
        </w:rPr>
      </w:pPr>
      <w:r>
        <w:rPr>
          <w:rFonts w:hint="eastAsia" w:ascii="宋体" w:hAnsi="宋体" w:eastAsia="宋体" w:cs="黑体"/>
          <w:bCs/>
          <w:color w:val="auto"/>
          <w:sz w:val="24"/>
        </w:rPr>
        <w:t xml:space="preserve">31.1履约保证金金额：按中标金额的10%收取。如果成交供应商不同意按照规定去做，代理机构有权取消本次采购成交决定。</w:t>
      </w:r>
      <w:r/>
    </w:p>
    <w:p>
      <w:pPr>
        <w:spacing w:line="360" w:lineRule="auto"/>
        <w:rPr>
          <w:rFonts w:hint="eastAsia" w:ascii="宋体" w:hAnsi="宋体" w:eastAsia="宋体" w:cs="黑体"/>
          <w:bCs/>
          <w:color w:val="auto"/>
          <w:sz w:val="24"/>
          <w:szCs w:val="32"/>
        </w:rPr>
      </w:pPr>
      <w:r>
        <w:rPr>
          <w:rFonts w:hint="eastAsia" w:ascii="宋体" w:hAnsi="宋体" w:eastAsia="宋体" w:cs="黑体"/>
          <w:bCs/>
          <w:color w:val="auto"/>
          <w:sz w:val="24"/>
        </w:rPr>
        <w:t xml:space="preserve">31.2 履约保证金形式：保函或者保险等其他非现金形式。</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31.3履约保证金在招标采购单位存放期间，不计利息。</w:t>
      </w:r>
      <w:r/>
    </w:p>
    <w:p>
      <w:pPr>
        <w:spacing w:line="360" w:lineRule="auto"/>
        <w:rPr>
          <w:rFonts w:hint="eastAsia" w:ascii="宋体" w:hAnsi="宋体" w:eastAsia="宋体" w:cs="黑体"/>
          <w:b/>
          <w:sz w:val="24"/>
        </w:rPr>
      </w:pPr>
      <w:r>
        <w:rPr>
          <w:rFonts w:hint="eastAsia" w:ascii="宋体" w:hAnsi="宋体" w:eastAsia="宋体" w:cs="黑体"/>
          <w:color w:val="000000"/>
          <w:sz w:val="24"/>
        </w:rPr>
        <w:t xml:space="preserve">31.4履约保证金的返还：</w:t>
      </w:r>
      <w:r>
        <w:rPr>
          <w:rFonts w:hint="eastAsia" w:ascii="宋体" w:hAnsi="宋体" w:eastAsia="宋体" w:cs="黑体"/>
          <w:sz w:val="24"/>
          <w:lang w:bidi="ar"/>
        </w:rPr>
        <w:t xml:space="preserve">待本项目验收通过后一次性退还（无息）</w:t>
      </w:r>
      <w:r>
        <w:rPr>
          <w:rFonts w:hint="eastAsia" w:ascii="宋体" w:hAnsi="宋体" w:eastAsia="宋体" w:cs="黑体"/>
          <w:color w:val="000000"/>
          <w:sz w:val="24"/>
        </w:rPr>
        <w:t xml:space="preserve">。</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32. 腐败和欺诈行为</w:t>
      </w:r>
      <w:r/>
    </w:p>
    <w:p>
      <w:pPr>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32.1 招标采购单位、采购人、投标人等参与招投标的各方，均应在招标、采购、合同执行等过程中保持廉洁和最高的道德水准。</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1、腐败和欺诈行为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 “腐败行为”系指在招标、采购和合同执行等过程中，为谋求利益，影响相关人员而提供、给予、接受或索取任何有价物，并导致损害买方和/或招标采购单位及他人的行为。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 “欺诈行为”系指为了影响招标、采购和合同执行等过程而隐瞒事实，从而给买方和/或招标采购单位及他人造成损害的行为，其中包括投标人之间的串通行为。</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2、如果被推荐的中标人有腐败和欺诈行为，将取消其中标资格。</w:t>
      </w:r>
      <w:r/>
    </w:p>
    <w:p>
      <w:pPr>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3、如果投标人在任何时候，被法院及政府有关管理部门认定为有腐败和欺诈行为，招标采购单位有权拒绝其投标、取消其中标资格、撤消已签署的合同。</w:t>
      </w:r>
      <w:r/>
    </w:p>
    <w:p>
      <w:pPr>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33.解释权</w:t>
      </w:r>
      <w:r/>
    </w:p>
    <w:p>
      <w:pPr>
        <w:ind w:firstLine="440"/>
        <w:spacing w:line="360"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p>
    <w:p>
      <w:pPr>
        <w:spacing w:line="360" w:lineRule="auto"/>
        <w:rPr>
          <w:rFonts w:hint="eastAsia" w:ascii="宋体" w:hAnsi="宋体" w:eastAsia="宋体" w:cs="黑体"/>
          <w:color w:val="000000"/>
          <w:sz w:val="24"/>
          <w:szCs w:val="24"/>
        </w:rPr>
      </w:pPr>
      <w:r>
        <w:rPr>
          <w:rFonts w:hint="eastAsia" w:ascii="宋体" w:hAnsi="宋体" w:eastAsia="宋体" w:cs="黑体"/>
          <w:b/>
          <w:color w:val="000000"/>
          <w:sz w:val="24"/>
          <w:szCs w:val="24"/>
        </w:rPr>
        <w:t xml:space="preserve">34.</w:t>
      </w:r>
      <w:r>
        <w:rPr>
          <w:rFonts w:hint="eastAsia" w:ascii="宋体" w:hAnsi="宋体" w:eastAsia="宋体" w:cs="黑体"/>
          <w:color w:val="000000"/>
          <w:sz w:val="24"/>
          <w:szCs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spacing w:line="360" w:lineRule="auto"/>
        <w:shd w:val="clear" w:color="auto" w:fill="ffffff"/>
        <w:rPr>
          <w:rFonts w:hint="eastAsia" w:ascii="宋体" w:hAnsi="宋体" w:eastAsia="宋体" w:cs="黑体"/>
          <w:b/>
          <w:sz w:val="24"/>
        </w:rPr>
      </w:pPr>
      <w:r>
        <w:rPr>
          <w:rFonts w:hint="eastAsia" w:ascii="宋体" w:hAnsi="宋体" w:eastAsia="宋体" w:cs="黑体"/>
          <w:b/>
          <w:sz w:val="24"/>
        </w:rPr>
        <w:t xml:space="preserve">35.政策功能</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bookmarkStart w:id="46" w:name="_Toc27799"/>
      <w:r>
        <w:rPr>
          <w:rFonts w:hint="eastAsia" w:ascii="宋体" w:hAnsi="宋体" w:eastAsia="宋体" w:cs="宋体"/>
          <w:color w:val="000000"/>
          <w:sz w:val="24"/>
          <w:szCs w:val="24"/>
          <w:lang w:val="en-US" w:eastAsia="zh-CN" w:bidi="ar-SA"/>
        </w:rPr>
        <w:t xml:space="preserve">1.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中小企业参加政府采购活动，应当出具本办法规定的《中小企业声明的》，否则不得享受相关中小企业扶持政策。</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供应商按照本办法规定提供声明的内容不实的，属于提供虚假材料谋取中标、成交:依照《中华人民共和国政府采购法》等国家有关规定追究相应责任。</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2.在政府采购活动中，供应商提供的货物、工程或者服务符合下列情形的，享受本办法规定的中小企业扶持政策:</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(一)在货物采购项目中，货物由中小企业制造，即货物由中小企业生产且使用该中小企业商号或者注册商标;</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(二)在工程采购项目中，工程由中小企业承建，即工程施工单位为中小企业;</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(三)在服务采购项目中，服务由中小企业承接，即提供服务的人员为中小企业依照《中华人民共和国劳动合同法》订立劳动合同的从业人员。</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在货物采购项目中，供应商提供的货物既有中小企业制造货物，也有大型企业制造货物的，不享受本办法规定的中小企业扶持政策。</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以联合体形式参加政府采购活动，联合体各方均为中小企业的，联合体视同中小企业。其中，联合体各方均为小微企业的，联合体视同小微企业。</w:t>
      </w:r>
      <w:r/>
    </w:p>
    <w:p>
      <w:pPr>
        <w:pStyle w:val="1109"/>
        <w:ind w:firstLine="440"/>
        <w:jc w:val="both"/>
        <w:spacing w:line="360" w:lineRule="auto"/>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t xml:space="preserve">3.《中小企业声明函》应上传至电子投标文件中，否则不予认可。</w:t>
      </w:r>
      <w:r/>
    </w:p>
    <w:p>
      <w:pPr>
        <w:pStyle w:val="1109"/>
        <w:ind w:firstLine="440"/>
        <w:jc w:val="center"/>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r>
      <w:r/>
    </w:p>
    <w:p>
      <w:pPr>
        <w:pStyle w:val="1109"/>
        <w:ind w:firstLine="420"/>
        <w:jc w:val="center"/>
        <w:rPr>
          <w:rFonts w:ascii="宋体" w:hAnsi="宋体" w:eastAsia="宋体"/>
          <w:b/>
          <w:sz w:val="36"/>
        </w:rPr>
        <w:outlineLvl w:val="0"/>
      </w:pPr>
      <w:r>
        <w:rPr>
          <w:rFonts w:ascii="宋体" w:hAnsi="宋体" w:eastAsia="宋体"/>
        </w:rPr>
        <w:br w:type="page" w:clear="all"/>
      </w:r>
      <w:bookmarkStart w:id="47" w:name="_Toc139966427"/>
      <w:r/>
      <w:bookmarkStart w:id="48" w:name="_Toc494123933"/>
      <w:r/>
      <w:bookmarkStart w:id="49" w:name="_Toc139967211"/>
      <w:r>
        <w:rPr>
          <w:rFonts w:hint="eastAsia" w:ascii="宋体" w:hAnsi="宋体" w:eastAsia="宋体"/>
          <w:b/>
          <w:sz w:val="36"/>
        </w:rPr>
        <w:t xml:space="preserve">第三章  政府采购合同格式</w:t>
      </w:r>
      <w:bookmarkEnd w:id="46"/>
      <w:r/>
      <w:bookmarkEnd w:id="47"/>
      <w:r/>
      <w:bookmarkEnd w:id="48"/>
      <w:r/>
      <w:bookmarkEnd w:id="49"/>
      <w:r/>
      <w:r/>
    </w:p>
    <w:p>
      <w:pPr>
        <w:jc w:val="center"/>
        <w:spacing w:line="360" w:lineRule="auto"/>
        <w:rPr>
          <w:rFonts w:hint="eastAsia" w:ascii="宋体" w:hAnsi="宋体" w:eastAsia="宋体" w:cs="黑体"/>
          <w:sz w:val="22"/>
          <w:szCs w:val="28"/>
        </w:rPr>
      </w:pPr>
      <w:r>
        <w:rPr>
          <w:rFonts w:hint="eastAsia" w:ascii="宋体" w:hAnsi="宋体" w:eastAsia="宋体" w:cs="黑体"/>
          <w:sz w:val="22"/>
          <w:szCs w:val="28"/>
        </w:rPr>
        <w:t xml:space="preserve">本合同格式为参考格式，最终以采购人与中标单位签订的合同为准。</w:t>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ind w:firstLine="880"/>
        <w:spacing w:line="360" w:lineRule="auto"/>
        <w:rPr>
          <w:rFonts w:ascii="宋体" w:hAnsi="宋体" w:eastAsia="宋体"/>
          <w:sz w:val="44"/>
        </w:rPr>
      </w:pPr>
      <w:r>
        <w:rPr>
          <w:rFonts w:ascii="宋体" w:hAnsi="宋体" w:eastAsia="宋体"/>
          <w:sz w:val="44"/>
        </w:rPr>
      </w:r>
      <w:r/>
    </w:p>
    <w:p>
      <w:pPr>
        <w:numPr>
          <w:ilvl w:val="0"/>
          <w:numId w:val="4"/>
        </w:numPr>
        <w:ind w:left="3089" w:firstLine="0"/>
        <w:jc w:val="both"/>
        <w:spacing w:line="360" w:lineRule="auto"/>
        <w:rPr>
          <w:rFonts w:hint="eastAsia" w:ascii="宋体" w:hAnsi="宋体" w:eastAsia="宋体" w:cs="宋体"/>
          <w:b/>
          <w:sz w:val="28"/>
          <w:szCs w:val="28"/>
        </w:rPr>
      </w:pPr>
      <w:r>
        <w:rPr>
          <w:rFonts w:hint="eastAsia" w:ascii="宋体" w:hAnsi="宋体" w:eastAsia="宋体"/>
          <w:b/>
          <w:sz w:val="32"/>
          <w:szCs w:val="32"/>
        </w:rPr>
        <w:br w:type="page" w:clear="all"/>
      </w:r>
      <w:r>
        <w:rPr>
          <w:rFonts w:hint="eastAsia" w:ascii="宋体" w:hAnsi="宋体" w:eastAsia="宋体" w:cs="宋体"/>
          <w:b/>
          <w:sz w:val="28"/>
          <w:szCs w:val="28"/>
        </w:rPr>
        <w:t xml:space="preserve">政府采购合同</w:t>
      </w:r>
      <w:r/>
    </w:p>
    <w:p>
      <w:pPr>
        <w:numPr>
          <w:ilvl w:val="0"/>
          <w:numId w:val="0"/>
        </w:numPr>
        <w:ind w:firstLine="2249"/>
        <w:jc w:val="both"/>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（本合同为中小企业预留合同）</w:t>
      </w:r>
      <w:r/>
    </w:p>
    <w:p>
      <w:pPr>
        <w:ind w:left="480" w:hanging="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项目名称： </w:t>
      </w:r>
      <w:r/>
    </w:p>
    <w:p>
      <w:pPr>
        <w:ind w:left="480" w:hanging="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项目编号：</w:t>
      </w:r>
      <w:r/>
    </w:p>
    <w:p>
      <w:pPr>
        <w:ind w:left="480" w:hanging="420"/>
        <w:spacing w:line="480" w:lineRule="exact"/>
        <w:rPr>
          <w:rFonts w:hint="eastAsia" w:ascii="宋体" w:hAnsi="宋体" w:eastAsia="宋体" w:cs="宋体"/>
          <w:sz w:val="21"/>
          <w:szCs w:val="21"/>
          <w:u w:val="single"/>
          <w:lang w:bidi="ar"/>
        </w:rPr>
      </w:pPr>
      <w:r>
        <w:rPr>
          <w:rFonts w:hint="eastAsia" w:ascii="宋体" w:hAnsi="宋体" w:eastAsia="宋体" w:cs="宋体"/>
          <w:sz w:val="21"/>
          <w:szCs w:val="21"/>
          <w:lang w:bidi="ar"/>
        </w:rPr>
        <w:t xml:space="preserve">甲方： </w:t>
      </w:r>
      <w:r>
        <w:rPr>
          <w:rFonts w:hint="eastAsia" w:ascii="宋体" w:hAnsi="宋体" w:eastAsia="宋体" w:cs="宋体"/>
          <w:sz w:val="21"/>
          <w:szCs w:val="21"/>
          <w:u w:val="single"/>
          <w:lang w:bidi="ar"/>
        </w:rPr>
        <w:t xml:space="preserve">                    </w:t>
      </w:r>
      <w:r/>
    </w:p>
    <w:p>
      <w:pPr>
        <w:ind w:left="480" w:hanging="420"/>
        <w:spacing w:line="480" w:lineRule="exact"/>
        <w:rPr>
          <w:rFonts w:ascii="宋体" w:hAnsi="宋体" w:eastAsia="宋体" w:cs="宋体"/>
          <w:sz w:val="21"/>
          <w:szCs w:val="21"/>
          <w:u w:val="single"/>
          <w:lang w:bidi="ar"/>
        </w:rPr>
      </w:pPr>
      <w:r>
        <w:rPr>
          <w:rFonts w:hint="eastAsia" w:ascii="宋体" w:hAnsi="宋体" w:eastAsia="宋体" w:cs="宋体"/>
          <w:sz w:val="21"/>
          <w:szCs w:val="21"/>
          <w:lang w:bidi="ar"/>
        </w:rPr>
        <w:t xml:space="preserve">乙方：</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ab/>
      </w:r>
      <w:r>
        <w:rPr>
          <w:rFonts w:hint="eastAsia" w:ascii="宋体" w:hAnsi="宋体" w:eastAsia="宋体" w:cs="宋体"/>
          <w:sz w:val="21"/>
          <w:szCs w:val="21"/>
          <w:u w:val="single"/>
          <w:lang w:bidi="ar"/>
        </w:rPr>
        <w:t xml:space="preserve">                </w:t>
      </w:r>
      <w:r/>
    </w:p>
    <w:p>
      <w:pPr>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甲、乙双方根据   年   月   日</w:t>
      </w:r>
      <w:r>
        <w:rPr>
          <w:rFonts w:hint="eastAsia" w:ascii="宋体" w:hAnsi="宋体" w:eastAsia="宋体" w:cs="宋体"/>
          <w:sz w:val="21"/>
          <w:szCs w:val="21"/>
          <w:lang w:eastAsia="zh-CN" w:bidi="ar"/>
        </w:rPr>
        <w:t xml:space="preserve">江苏</w:t>
      </w:r>
      <w:r>
        <w:rPr>
          <w:rFonts w:hint="eastAsia" w:ascii="宋体" w:hAnsi="宋体" w:eastAsia="宋体" w:cs="宋体"/>
          <w:sz w:val="21"/>
          <w:szCs w:val="21"/>
          <w:lang w:bidi="ar"/>
        </w:rPr>
        <w:t xml:space="preserve">政府采购网本项目公开招标的采购结果，甲方接收乙方为本项目</w:t>
      </w:r>
      <w:r>
        <w:rPr>
          <w:rFonts w:hint="eastAsia" w:ascii="宋体" w:hAnsi="宋体" w:eastAsia="宋体" w:cs="宋体"/>
          <w:sz w:val="21"/>
          <w:szCs w:val="21"/>
          <w:u w:val="single"/>
          <w:lang w:bidi="ar"/>
        </w:rPr>
        <w:t xml:space="preserve">    （项目名称）     </w:t>
      </w:r>
      <w:r>
        <w:rPr>
          <w:rFonts w:hint="eastAsia" w:ascii="宋体" w:hAnsi="宋体" w:eastAsia="宋体" w:cs="宋体"/>
          <w:sz w:val="21"/>
          <w:szCs w:val="21"/>
          <w:lang w:bidi="ar"/>
        </w:rPr>
        <w:t xml:space="preserve">所做的投标文件，乙方必须完全按招标文件、投标文件及中标通知书中的相关内容及要求履行义务。甲乙双方同意签署本合同（以下简称合同）。</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一、项目内容</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1.1 采购需求:</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1.2 质量要求：</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1.3 服务期限：</w:t>
      </w:r>
      <w:r/>
    </w:p>
    <w:p>
      <w:pPr>
        <w:ind w:firstLine="42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bidi="ar"/>
        </w:rPr>
        <w:t xml:space="preserve">1.4 建设地点：</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二、价格和结算及支付方式</w:t>
      </w:r>
      <w:r/>
    </w:p>
    <w:p>
      <w:pPr>
        <w:ind w:left="420" w:firstLine="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2.1 本合同金额为（大写）：</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元(￥</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元）人民币。2.2 价格明细：</w:t>
      </w:r>
      <w:r/>
    </w:p>
    <w:p>
      <w:pPr>
        <w:ind w:firstLine="42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2.3、报价包含但不限于乙方提供的服务及其他有关的为完成本项目发生的所有费用，中标后费用不再另行增加，请投标人综合考虑；</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三、质量要求</w:t>
      </w:r>
      <w:r/>
    </w:p>
    <w:p>
      <w:pPr>
        <w:ind w:left="479" w:firstLine="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按照国家及地方相关规定要求进行审查，并验收合格。</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四、项目情况</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1、项目地点：连云港市灌云县临港产业区。</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2、服务期限：</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日历天完成采样及报告编制（自合同签订之日起）。</w:t>
      </w:r>
      <w:r/>
    </w:p>
    <w:p>
      <w:pPr>
        <w:ind w:left="482" w:hanging="422"/>
        <w:spacing w:line="480" w:lineRule="exact"/>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五、付款及结算方式</w:t>
      </w:r>
      <w:r/>
    </w:p>
    <w:p>
      <w:pPr>
        <w:ind w:firstLine="420"/>
        <w:spacing w:line="480" w:lineRule="exac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合同签订七个工作日内，甲方向乙方支付合同价款的 30%作为预付款；乙方完成调查报告并通过生态环境局组织的评审后七个工作日内，甲方向乙方支付至合同价款的80%；乙方完成生态环境局的报告备案后七个工作日内，甲方向乙方付清余款（无息）。</w:t>
      </w:r>
      <w:r/>
    </w:p>
    <w:p>
      <w:pPr>
        <w:ind w:firstLine="420"/>
        <w:spacing w:line="480" w:lineRule="exact"/>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注：每次付款时，乙方必须提供符合税法的正规发票。</w:t>
      </w:r>
      <w:r/>
    </w:p>
    <w:p>
      <w:pPr>
        <w:ind w:left="482" w:hanging="422"/>
        <w:spacing w:line="480" w:lineRule="exact"/>
        <w:rPr>
          <w:rFonts w:hint="eastAsia" w:ascii="宋体" w:hAnsi="宋体" w:eastAsia="宋体" w:cs="宋体"/>
          <w:sz w:val="21"/>
          <w:szCs w:val="21"/>
          <w:lang w:bidi="ar"/>
        </w:rPr>
      </w:pPr>
      <w:r>
        <w:rPr>
          <w:rFonts w:hint="eastAsia" w:ascii="宋体" w:hAnsi="宋体" w:eastAsia="宋体" w:cs="宋体"/>
          <w:b/>
          <w:bCs/>
          <w:sz w:val="21"/>
          <w:szCs w:val="21"/>
          <w:lang w:bidi="ar"/>
        </w:rPr>
        <w:t xml:space="preserve">六、知识产权保证</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乙方保证甲方在使用、接受本合同服务或其任何一部分时，不受第三方提出侵犯其专利权、版权、商标权和工业设计权等知识产权的起诉。一旦出现侵权，由乙方负全部责任。</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七、产权保证</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乙方保证所交付的服务和服务所涉及的物品所有权无任何抵押、查封等权利瑕疵。</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八、不可抗力</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1、如果双方中任何一方由于战争、严重火灾、水灾、台风和地震以及其它经双方同意属于不可抗力的事故，致使合同履行受阻时，履行合同的期限应予延长，延长的期限应相当于事故所影响的时间。</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2、受事故影响的一方应在不可抗力的事故发生后尽快以电报或电传通知另一方。如果不可抗力影响时间延续 120 天以上的，双方应通过友好协商在合理的时间内达成进一步履行合同的协议。</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九、履约保证</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1、乙方按照合同约定，在合同签定之前向甲方提供合同价款的</w:t>
      </w:r>
      <w:r>
        <w:rPr>
          <w:rFonts w:hint="eastAsia" w:ascii="宋体" w:hAnsi="宋体" w:eastAsia="宋体" w:cs="宋体"/>
          <w:sz w:val="21"/>
          <w:szCs w:val="21"/>
          <w:u w:val="single"/>
          <w:lang w:bidi="ar"/>
        </w:rPr>
        <w:t xml:space="preserve"> 10%</w:t>
      </w:r>
      <w:r>
        <w:rPr>
          <w:rFonts w:hint="eastAsia" w:ascii="宋体" w:hAnsi="宋体" w:eastAsia="宋体" w:cs="宋体"/>
          <w:sz w:val="21"/>
          <w:szCs w:val="21"/>
          <w:lang w:bidi="ar"/>
        </w:rPr>
        <w:t xml:space="preserve">作为履约保证金， 与此有关的费用由乙方承担。</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2、本合同约定，乙方完成合同范围内的所有内容，并经验收合格后，甲方退还乙方履约保证金。</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3、如乙方未能履行合同规定的任何义务，买方有权从履约保证金中得到补偿。</w:t>
      </w:r>
      <w:r/>
    </w:p>
    <w:p>
      <w:pPr>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十、违约责任</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1、除本合同另有规定外，合同双方必须完全履行本合同，否则应承担相应的违约责任。</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乙方所提供的服务或货物不符合质量要求，经甲方确认后，甲方要求乙方无偿进行更换或整改，直至达到符合要求为止。如更换或整改后还是未达到合格标准的，甲方有权解除合同，甲方扣除乙方的履约保证金，由此对甲方造成的一切损失均由乙方承担</w:t>
      </w:r>
      <w:r>
        <w:rPr>
          <w:rFonts w:hint="eastAsia" w:ascii="宋体" w:hAnsi="宋体" w:eastAsia="宋体" w:cs="宋体"/>
          <w:sz w:val="21"/>
          <w:szCs w:val="21"/>
          <w:lang w:eastAsia="zh-CN" w:bidi="ar"/>
        </w:rPr>
        <w:t xml:space="preserve">，金额不超过合同总金额</w:t>
      </w:r>
      <w:r>
        <w:rPr>
          <w:rFonts w:hint="eastAsia" w:ascii="宋体" w:hAnsi="宋体" w:eastAsia="宋体" w:cs="宋体"/>
          <w:sz w:val="21"/>
          <w:szCs w:val="21"/>
          <w:lang w:bidi="ar"/>
        </w:rPr>
        <w:t xml:space="preserve">。</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3、除因不可抗力因素外，如乙方未按照合同约定时间内完成本合同范围内的所有内容，故每逾期一天，向甲方合同价款支付</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%的违约金；逾期超过</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天，甲方有权解除合同，甲方扣除乙方的履约保证金，乙方赔偿甲方合同价款 </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0%的违约金。</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4、因乙方原因造成完成后不符合验收合格标准的，乙方向甲方支付合同价款10%的违约金；乙方整改后仍然不符合验收合格标准，甲方有权解除合同，甲方扣除乙方的履约保证金，乙方向甲方支付合同价款 20%的违约金。</w:t>
      </w:r>
      <w:r/>
    </w:p>
    <w:p>
      <w:pPr>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十一、争议的解决</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1、本合同在执行中如发生争议或纠纷，双方应友好协商解决，协商不成时，任何一方均应依法向灌云县人民法院起诉。</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2、起诉可以在合同履行之中或之后进行，乙方不得借故停止履行相关义务。</w:t>
      </w:r>
      <w:r/>
    </w:p>
    <w:p>
      <w:pPr>
        <w:spacing w:line="480" w:lineRule="exact"/>
        <w:rPr>
          <w:rFonts w:hint="eastAsia" w:ascii="宋体" w:hAnsi="宋体" w:eastAsia="宋体" w:cs="宋体"/>
          <w:sz w:val="21"/>
          <w:szCs w:val="21"/>
          <w:lang w:bidi="ar"/>
        </w:rPr>
      </w:pPr>
      <w:r>
        <w:rPr>
          <w:rFonts w:hint="eastAsia" w:ascii="宋体" w:hAnsi="宋体" w:eastAsia="宋体" w:cs="宋体"/>
          <w:b/>
          <w:bCs/>
          <w:sz w:val="21"/>
          <w:szCs w:val="21"/>
          <w:lang w:bidi="ar"/>
        </w:rPr>
        <w:t xml:space="preserve">十二、其他</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1、本合同附件是本合同的组成部分，和本合同具有同等法律效力；</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2、本合同未尽事宜，双方可签订补充协议，本合同与补充协议不一致的地方，以补充协议为准；</w:t>
      </w:r>
      <w:r/>
    </w:p>
    <w:p>
      <w:pPr>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3、本合同自双方签字或盖章之日起生效。</w:t>
      </w:r>
      <w:r/>
    </w:p>
    <w:p>
      <w:pPr>
        <w:ind w:firstLine="420"/>
        <w:spacing w:line="480" w:lineRule="exact"/>
        <w:rPr>
          <w:rFonts w:hint="eastAsia" w:ascii="宋体" w:hAnsi="宋体" w:eastAsia="宋体" w:cs="Times New Roman"/>
          <w:sz w:val="21"/>
          <w:szCs w:val="21"/>
        </w:rPr>
      </w:pPr>
      <w:r>
        <w:rPr>
          <w:rFonts w:hint="eastAsia" w:ascii="宋体" w:hAnsi="宋体" w:eastAsia="宋体" w:cs="宋体"/>
          <w:sz w:val="21"/>
          <w:szCs w:val="21"/>
          <w:lang w:bidi="ar"/>
        </w:rPr>
        <w:t xml:space="preserve">4、本合同一式陆份，甲方执叁份，乙方执叁份，具有同等法律效力。</w:t>
      </w:r>
      <w:r/>
    </w:p>
    <w:p>
      <w:pPr>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r>
      <w:r/>
    </w:p>
    <w:p>
      <w:pPr>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甲方：                                  乙方：                     </w:t>
      </w:r>
      <w:r/>
    </w:p>
    <w:p>
      <w:pPr>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地址：                                  地址：                     </w:t>
      </w:r>
      <w:r/>
    </w:p>
    <w:p>
      <w:pPr>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法定代表人：                            法定代表人：               </w:t>
      </w:r>
      <w:r/>
    </w:p>
    <w:p>
      <w:pPr>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委托代理人：                            委托代理人：           </w:t>
      </w:r>
      <w:r/>
    </w:p>
    <w:p>
      <w:pPr>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电话：                                  电话：                     </w:t>
      </w:r>
      <w:r/>
    </w:p>
    <w:p>
      <w:pPr>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传真：                                  传真：                     </w:t>
      </w:r>
      <w:r/>
    </w:p>
    <w:p>
      <w:pPr>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签订日期：      年  月  日</w:t>
      </w:r>
      <w:r/>
    </w:p>
    <w:p>
      <w:pPr>
        <w:ind w:left="420" w:hanging="482"/>
        <w:spacing w:line="480" w:lineRule="exact"/>
        <w:rPr>
          <w:rFonts w:hint="eastAsia" w:ascii="宋体" w:hAnsi="宋体" w:eastAsia="宋体" w:cs="宋体"/>
          <w:b/>
          <w:sz w:val="24"/>
          <w:szCs w:val="21"/>
        </w:rPr>
      </w:pPr>
      <w:r>
        <w:rPr>
          <w:rFonts w:hint="eastAsia" w:ascii="宋体" w:hAnsi="宋体" w:eastAsia="宋体" w:cs="Times New Roman"/>
          <w:b/>
          <w:sz w:val="24"/>
          <w:szCs w:val="21"/>
        </w:rPr>
        <w:br w:type="page" w:clear="all"/>
      </w:r>
      <w:r>
        <w:rPr>
          <w:rFonts w:hint="eastAsia" w:ascii="宋体" w:hAnsi="宋体" w:eastAsia="宋体" w:cs="宋体"/>
          <w:b/>
          <w:sz w:val="24"/>
          <w:szCs w:val="21"/>
        </w:rPr>
        <w:t xml:space="preserve">附件：               </w:t>
      </w:r>
      <w:r/>
    </w:p>
    <w:p>
      <w:pPr>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廉 政 承 诺 书</w:t>
      </w:r>
      <w:r/>
    </w:p>
    <w:p>
      <w:pPr>
        <w:ind w:firstLine="420"/>
        <w:spacing w:line="480" w:lineRule="exact"/>
        <w:rPr>
          <w:rFonts w:hint="eastAsia" w:ascii="宋体" w:hAnsi="宋体" w:eastAsia="宋体" w:cs="宋体"/>
          <w:szCs w:val="21"/>
        </w:rPr>
      </w:pPr>
      <w:r>
        <w:rPr>
          <w:rFonts w:hint="eastAsia" w:ascii="宋体" w:hAnsi="宋体" w:eastAsia="宋体" w:cs="宋体"/>
          <w:szCs w:val="21"/>
        </w:rPr>
        <w:t xml:space="preserve">为加强物品采购中的廉政建设，规范物品采购项目的各项活动，确保采购的质量，防止发生各种谋取不正当利益的违法违纪行为，保护甲、乙双方的合法权益，根据国家有关法律法规和廉政建设责任制规定，乙方特向甲方作出如下廉政承诺：</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一、不以任何理由向甲方单位及其工作人员赠送礼金、有价证券、贵重物品和回扣、好处费、感谢费等。</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二、不以任何理由为甲方单位及其工作人员报销应由甲方单位或个人支付的费用。</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三、不以任何理由为甲方单位及其工作人员装修住房、婚丧嫁娶、配偶子女的工作安排以及出国（境）、旅游等提供方便。</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四、不以任何理由为甲方单位及其工作人员安排宴请、健身、娱乐等活动。</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五、对以上廉政承诺，如有违反，乙方承担如下责任：乙方工作人员有违反以上廉政承诺行为的，按照管理权限和有关规定，给予党纪、政纪处分或组织处理；涉嫌犯罪的，移交司法机关追究刑事责任；甲方有权视情中止《采购合同》，给甲方造成直接经济损失的，乙方应给予全额赔偿，并在采购决算时扣除。</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六、本《廉政承诺书》作为《采购合同》的附件，与采购合同具有同等法律效力。《廉政承诺书》的有效期为双方签署《采购合同》之日起至该采购项目验收合格、决算完毕时止。</w:t>
      </w:r>
      <w:r/>
    </w:p>
    <w:p>
      <w:pPr>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七、本《廉政承诺书》一式三份，由甲乙双方各执一份，送交甲乙双方的监督单位各一份。          </w:t>
      </w:r>
      <w:r/>
    </w:p>
    <w:p>
      <w:pPr>
        <w:ind w:left="420" w:hanging="420"/>
        <w:spacing w:line="480" w:lineRule="exact"/>
        <w:tabs>
          <w:tab w:val="left" w:pos="291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                        乙方单位：（盖章）</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                            法定代表人：（签名）</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                            地址：</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                            电话：</w:t>
      </w:r>
      <w:r/>
    </w:p>
    <w:p>
      <w:pPr>
        <w:ind w:firstLine="420"/>
        <w:spacing w:line="360" w:lineRule="auto"/>
        <w:rPr>
          <w:rFonts w:hint="eastAsia" w:ascii="宋体" w:hAnsi="宋体" w:eastAsia="宋体" w:cs="黑体"/>
          <w:szCs w:val="21"/>
          <w:lang w:bidi="ar"/>
        </w:rPr>
      </w:pPr>
      <w:r>
        <w:rPr>
          <w:rFonts w:hint="eastAsia" w:ascii="宋体" w:hAnsi="宋体" w:eastAsia="宋体" w:cs="宋体"/>
          <w:szCs w:val="21"/>
        </w:rPr>
        <w:t xml:space="preserve">                               年  月  日</w:t>
      </w:r>
      <w:r/>
    </w:p>
    <w:p>
      <w:pPr>
        <w:pStyle w:val="1109"/>
        <w:jc w:val="center"/>
        <w:rPr>
          <w:rFonts w:hint="eastAsia" w:ascii="宋体" w:hAnsi="宋体" w:eastAsia="宋体" w:cs="黑体"/>
          <w:b/>
          <w:bCs/>
          <w:color w:val="000000"/>
          <w:szCs w:val="21"/>
        </w:rPr>
        <w:outlineLvl w:val="0"/>
      </w:pPr>
      <w:r>
        <w:rPr>
          <w:rFonts w:ascii="宋体" w:hAnsi="宋体" w:eastAsia="宋体"/>
        </w:rPr>
        <w:br w:type="page" w:clear="all"/>
      </w:r>
      <w:bookmarkStart w:id="50" w:name="_Toc31054"/>
      <w:r/>
      <w:bookmarkStart w:id="51" w:name="_Toc494123934"/>
      <w:r/>
      <w:bookmarkStart w:id="52" w:name="_Toc139967212"/>
      <w:r/>
      <w:bookmarkStart w:id="53" w:name="_Toc139966428"/>
      <w:r>
        <w:rPr>
          <w:rFonts w:hint="eastAsia" w:ascii="宋体" w:hAnsi="宋体" w:eastAsia="宋体"/>
          <w:b/>
          <w:sz w:val="36"/>
        </w:rPr>
        <w:t xml:space="preserve">第四章  项目需求</w:t>
      </w:r>
      <w:bookmarkEnd w:id="50"/>
      <w:r/>
      <w:r/>
    </w:p>
    <w:p>
      <w:pPr>
        <w:spacing w:line="360" w:lineRule="auto"/>
      </w:pPr>
      <w:r>
        <w:rPr>
          <w:rFonts w:hint="eastAsia" w:ascii="宋体" w:hAnsi="宋体" w:eastAsia="宋体" w:cs="宋体"/>
          <w:sz w:val="24"/>
          <w:szCs w:val="32"/>
        </w:rPr>
        <w:t xml:space="preserve">本招标文件中标注★号的部分为实质性要求和条件，投标人必须作出满足或者优于原要求和条件的承诺，否则投标无效</w:t>
      </w:r>
      <w:r>
        <w:rPr>
          <w:rFonts w:hint="eastAsia"/>
          <w:sz w:val="24"/>
          <w:szCs w:val="32"/>
        </w:rPr>
        <w:t xml:space="preserve">。</w:t>
      </w:r>
      <w:r/>
    </w:p>
    <w:p>
      <w:pPr>
        <w:spacing w:line="360" w:lineRule="auto"/>
        <w:rPr>
          <w:rFonts w:ascii="宋体" w:hAnsi="宋体" w:eastAsia="宋体" w:cs="宋体"/>
          <w:b/>
          <w:bCs/>
          <w:sz w:val="21"/>
          <w:szCs w:val="21"/>
        </w:rPr>
        <w:outlineLvl w:val="0"/>
      </w:pPr>
      <w:r>
        <w:rPr>
          <w:rFonts w:hint="eastAsia" w:ascii="宋体" w:hAnsi="宋体" w:eastAsia="宋体" w:cs="宋体"/>
          <w:b/>
          <w:bCs/>
          <w:sz w:val="21"/>
          <w:szCs w:val="21"/>
        </w:rPr>
        <w:t xml:space="preserve">一、项目规模</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灌云县临港产业区化工集中区7家企业（锐华、盛世、乐泰、金磊源、恒业、蒙升泰、宏顺）地块土壤检测项目，地块面积合计21.</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万平方米 ；</w:t>
      </w:r>
      <w:r/>
    </w:p>
    <w:p>
      <w:pPr>
        <w:ind w:firstLine="422"/>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调查范围</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本次调查的企业位于连云港市灌云县燕尾港镇临港产业园，总占地面积约216</w:t>
      </w:r>
      <w:r>
        <w:rPr>
          <w:rFonts w:hint="eastAsia" w:ascii="宋体" w:hAnsi="宋体" w:eastAsia="宋体" w:cs="宋体"/>
          <w:bCs/>
          <w:sz w:val="21"/>
          <w:szCs w:val="21"/>
          <w:lang w:val="en-US" w:eastAsia="zh-CN"/>
        </w:rPr>
        <w:t xml:space="preserve">万</w:t>
      </w:r>
      <w:r>
        <w:rPr>
          <w:rFonts w:hint="eastAsia" w:ascii="宋体" w:hAnsi="宋体" w:eastAsia="宋体" w:cs="宋体"/>
          <w:bCs/>
          <w:sz w:val="21"/>
          <w:szCs w:val="21"/>
        </w:rPr>
        <w:t xml:space="preserve">平方米，地块范围见图1。</w:t>
      </w:r>
      <w:r/>
    </w:p>
    <w:p>
      <w:pPr>
        <w:pStyle w:val="918"/>
        <w:ind w:firstLine="14"/>
        <w:jc w:val="center"/>
        <w:spacing w:before="98" w:line="240" w:lineRule="auto"/>
        <w:rPr>
          <w:rFonts w:hint="eastAsia" w:ascii="仿宋" w:hAnsi="仿宋" w:eastAsia="仿宋" w:cs="Times New Roman"/>
          <w:sz w:val="32"/>
          <w:szCs w:val="32"/>
          <w:u w:val="none"/>
          <w:lang w:val="en-US" w:eastAsia="zh-CN" w:bidi="ar-SA"/>
        </w:rPr>
      </w:pPr>
      <w:r>
        <w:rPr>
          <w:rFonts w:hint="eastAsia" w:ascii="仿宋" w:hAnsi="仿宋" w:eastAsia="仿宋" w:cs="Times New Roman"/>
          <w:sz w:val="32"/>
          <w:szCs w:val="32"/>
          <w:u w:val="none"/>
          <w:lang w:val="en-US" w:eastAsia="zh-CN" w:bidi="ar-SA"/>
        </w:rPr>
        <mc:AlternateContent>
          <mc:Choice Requires="wpg">
            <w:drawing>
              <wp:inline xmlns:wp="http://schemas.openxmlformats.org/drawingml/2006/wordprocessingDrawing" distT="0" distB="0" distL="0" distR="0">
                <wp:extent cx="5059045" cy="2973070"/>
                <wp:effectExtent l="0" t="0" r="8255" b="17780"/>
                <wp:docPr id="8" name="图片 1" descr="a7dd1ce4a9e9ffd7b15c8c446af9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a7dd1ce4a9e9ffd7b15c8c446af9320"/>
                        <pic:cNvPicPr>
                          <a:picLocks noChangeAspect="1"/>
                        </pic:cNvPicPr>
                        <pic:nvPr/>
                      </pic:nvPicPr>
                      <pic:blipFill>
                        <a:blip r:embed="rId19"/>
                        <a:stretch/>
                      </pic:blipFill>
                      <pic:spPr bwMode="auto">
                        <a:xfrm>
                          <a:off x="0" y="0"/>
                          <a:ext cx="5059045" cy="297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8.3pt;height:234.1pt;mso-wrap-distance-left:0.0pt;mso-wrap-distance-top:0.0pt;mso-wrap-distance-right:0.0pt;mso-wrap-distance-bottom:0.0pt;" stroked="f">
                <v:path textboxrect="0,0,0,0"/>
                <v:imagedata r:id="rId19" o:title=""/>
              </v:shape>
            </w:pict>
          </mc:Fallback>
        </mc:AlternateContent>
      </w:r>
      <w:r/>
    </w:p>
    <w:p>
      <w:pPr>
        <w:pStyle w:val="918"/>
        <w:ind w:firstLine="14"/>
        <w:jc w:val="center"/>
        <w:spacing w:before="98" w:line="24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图1项目地块红线图(2023年卫星图)</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numPr>
          <w:ilvl w:val="0"/>
          <w:numId w:val="5"/>
        </w:numPr>
        <w:spacing w:line="360" w:lineRule="auto"/>
        <w:rPr>
          <w:rFonts w:hint="eastAsia" w:ascii="宋体" w:hAnsi="宋体" w:eastAsia="宋体" w:cs="宋体"/>
          <w:bCs/>
          <w:sz w:val="21"/>
          <w:szCs w:val="21"/>
          <w:lang w:eastAsia="zh-CN"/>
        </w:rPr>
      </w:pPr>
      <w:r>
        <w:rPr>
          <w:rFonts w:hint="eastAsia" w:ascii="宋体" w:hAnsi="宋体" w:eastAsia="宋体" w:cs="宋体"/>
          <w:b/>
          <w:bCs w:val="0"/>
          <w:sz w:val="21"/>
          <w:szCs w:val="21"/>
        </w:rPr>
        <w:t xml:space="preserve">项目基本要求</w:t>
      </w:r>
      <w:r>
        <w:rPr>
          <w:rFonts w:hint="eastAsia" w:ascii="宋体" w:hAnsi="宋体" w:eastAsia="宋体" w:cs="宋体"/>
          <w:bCs/>
          <w:sz w:val="21"/>
          <w:szCs w:val="21"/>
          <w:lang w:eastAsia="zh-CN"/>
        </w:rPr>
        <w:t xml:space="preserve">：</w:t>
      </w:r>
      <w:r/>
    </w:p>
    <w:p>
      <w:pPr>
        <w:pStyle w:val="918"/>
        <w:ind w:firstLine="14"/>
        <w:jc w:val="both"/>
        <w:spacing w:before="98" w:line="360" w:lineRule="auto"/>
        <w:rPr>
          <w:rFonts w:hint="eastAsia" w:ascii="宋体" w:hAnsi="宋体" w:eastAsia="宋体" w:cs="宋体"/>
          <w:b/>
          <w:bCs/>
          <w:sz w:val="21"/>
          <w:szCs w:val="21"/>
          <w:u w:val="none"/>
          <w:lang w:val="en-US" w:eastAsia="zh-CN" w:bidi="ar-SA"/>
        </w:rPr>
      </w:pPr>
      <w:r>
        <w:rPr>
          <w:rFonts w:hint="eastAsia" w:cs="宋体"/>
          <w:b/>
          <w:bCs/>
          <w:sz w:val="21"/>
          <w:szCs w:val="21"/>
          <w:u w:val="none"/>
          <w:lang w:val="en-US" w:eastAsia="zh-CN" w:bidi="ar-SA"/>
        </w:rPr>
        <w:t xml:space="preserve">1.</w:t>
      </w:r>
      <w:r>
        <w:rPr>
          <w:rFonts w:hint="eastAsia" w:ascii="宋体" w:hAnsi="宋体" w:eastAsia="宋体" w:cs="宋体"/>
          <w:b/>
          <w:bCs/>
          <w:sz w:val="21"/>
          <w:szCs w:val="21"/>
          <w:u w:val="none"/>
          <w:lang w:val="en-US" w:eastAsia="zh-CN" w:bidi="ar-SA"/>
        </w:rPr>
        <w:t xml:space="preserve">污染识别</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基于第一阶段土壤污染状况调查(资料搜集、现场踏勘和人员访谈)获取的资料，初步识别出涉及转运土的7家企业的污染因子：</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江苏盛世化工有限公司生产、储存、运输、三废处置及偷埋固废过程等涉及的潜在污染物包括：2,4-二氯苯酚、2,6-二氯-4-硝基苯胺、苯酚、2,4,6-三氯苯酚、氯乙酸、液碱、盐酸、对硝基苯胺、2,5-二氯苯酚、2,6-二氯苯酚、苯酚钠、氯化钠、2-氯-4-硝基苯胺、2,4,5-三氯苯酚、砷、多环芳烃(16项);</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江苏江南农化有限公司生产、储存、运输、三废处置过程等涉及的潜在污染物包括：二甲苯、敌敌畏、毒死蜱、辛硫磷、稻瘟灵、三唑磷、甲氰菊酯、溴氰菊酯等67种农药、二甲苯；</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连云港蒙升泰化工有限公司生产、储存、运输、三废处置等涉及的潜在污染物包括：氯仿、液氯、氯化亚砜、五硫化二磷、氟化钾、氯化钾、五氧化二磷、五氧化磷、三氯化磷、氧氯化磷、盐酸、氯化钠、次氯酸钠、氢氧化钠；</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连云港恒业化工有限公司在生产、运输、储存、三废处置等涉及的潜在污染物包括：氨氮、硫酸盐、碘化物、铝、苯胺类、甲醛、石油烃C</w:t>
      </w:r>
      <w:r>
        <w:rPr>
          <w:rFonts w:hint="eastAsia" w:ascii="宋体" w:hAnsi="宋体" w:eastAsia="宋体" w:cs="宋体"/>
          <w:sz w:val="21"/>
          <w:szCs w:val="21"/>
          <w:u w:val="none"/>
          <w:vertAlign w:val="subscript"/>
          <w:lang w:val="en-US" w:eastAsia="zh-CN" w:bidi="ar-SA"/>
        </w:rPr>
        <w:t xml:space="preserve">10</w:t>
      </w:r>
      <w:r>
        <w:rPr>
          <w:rFonts w:hint="eastAsia" w:ascii="宋体" w:hAnsi="宋体" w:eastAsia="宋体" w:cs="宋体"/>
          <w:sz w:val="21"/>
          <w:szCs w:val="21"/>
          <w:u w:val="none"/>
          <w:lang w:val="en-US" w:eastAsia="zh-CN" w:bidi="ar-SA"/>
        </w:rPr>
        <w:t xml:space="preserve">-C</w:t>
      </w:r>
      <w:r>
        <w:rPr>
          <w:rFonts w:hint="eastAsia" w:ascii="宋体" w:hAnsi="宋体" w:eastAsia="宋体" w:cs="宋体"/>
          <w:sz w:val="21"/>
          <w:szCs w:val="21"/>
          <w:u w:val="none"/>
          <w:vertAlign w:val="subscript"/>
          <w:lang w:val="en-US" w:eastAsia="zh-CN" w:bidi="ar-SA"/>
        </w:rPr>
        <w:t xml:space="preserve">40</w:t>
      </w:r>
      <w:r>
        <w:rPr>
          <w:rFonts w:hint="eastAsia" w:ascii="宋体" w:hAnsi="宋体" w:eastAsia="宋体" w:cs="宋体"/>
          <w:sz w:val="21"/>
          <w:szCs w:val="21"/>
          <w:u w:val="none"/>
          <w:lang w:val="en-US" w:eastAsia="zh-CN" w:bidi="ar-SA"/>
        </w:rPr>
        <w:t xml:space="preserve">、四氢呋喃、色度、硫化物、氯化物、苯乙烯、铜、钼、锑；</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江苏乐泰化工有限公司生产、储存、运输、三废处置等涉及的潜在污染物包括：片碱、硫酸、硝酸、雷尼镍、亚硝酸钠、甲苯、邻苯二酚、三氯氧磷、二氯甲烷、铜酞菁、苯酐、氯化亚铜、钼酸铵、酞菁蓝B、液碱、无水氯化钙、酞菁蓝BGS、酞菁绿、液氯、氯化亚铜、三氯化铝、氯苯、盐酸等；</w:t>
      </w:r>
      <w:r/>
    </w:p>
    <w:p>
      <w:pPr>
        <w:pStyle w:val="918"/>
        <w:ind w:firstLine="430"/>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连云港宏顺精细化工有限公司在生产、运输、储存、三废处置等涉及的潜在污染物包括色拉油、TiCl₄、FeCl₃、VOCl₃、MgCl₂、MnCl₂、氯化氢、氯化亚铁、四氯化硅；</w:t>
      </w:r>
      <w:r/>
    </w:p>
    <w:p>
      <w:pPr>
        <w:pStyle w:val="918"/>
        <w:ind w:firstLine="14"/>
        <w:jc w:val="both"/>
        <w:spacing w:before="98"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连云港锐华化工有限公司生产、储存、运输、三废处置等涉及的潜在污染物包括：颜料红122、颜料黄139、颜料黄180、溶剂绿5、盐酸、对甲苯胺、DMAC(N,N-二甲基乙酰胺)、硫酸、亚硝酸钠、氢氧化钠、氯化钙、氢氧化钾、氯化亚砜、甲苯、邻二氯苯、氯化钠、磷酸、对甲苯胺磷酸盐、硫酸铵、邻硝基苯酚钠；</w:t>
      </w:r>
      <w:r/>
    </w:p>
    <w:p>
      <w:pPr>
        <w:numPr>
          <w:ilvl w:val="0"/>
          <w:numId w:val="0"/>
        </w:numPr>
        <w:ind w:firstLine="420"/>
        <w:spacing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连云港金磊源化工有限公司生产、储存、运输、三废处置等涉及的潜在污染物包括：盐酸、碱液、甲苯、苯乙酮、氯化镁、挥发酚、氨氮等；</w:t>
      </w:r>
      <w:r/>
    </w:p>
    <w:p>
      <w:pPr>
        <w:pStyle w:val="918"/>
        <w:ind w:firstLine="14"/>
        <w:jc w:val="both"/>
        <w:spacing w:before="98" w:line="360" w:lineRule="auto"/>
        <w:rPr>
          <w:rFonts w:hint="eastAsia" w:ascii="宋体" w:hAnsi="宋体" w:eastAsia="宋体" w:cs="宋体"/>
          <w:sz w:val="21"/>
          <w:szCs w:val="21"/>
          <w:u w:val="none"/>
          <w:lang w:val="en-US" w:eastAsia="zh-CN" w:bidi="ar-SA"/>
        </w:rPr>
      </w:pPr>
      <w:r>
        <w:rPr>
          <w:rFonts w:hint="eastAsia" w:cs="宋体"/>
          <w:b/>
          <w:bCs/>
          <w:sz w:val="21"/>
          <w:szCs w:val="21"/>
          <w:u w:val="none"/>
          <w:lang w:val="en-US" w:eastAsia="zh-CN" w:bidi="ar-SA"/>
        </w:rPr>
        <w:t xml:space="preserve">2.</w:t>
      </w:r>
      <w:r>
        <w:rPr>
          <w:rFonts w:hint="eastAsia" w:ascii="宋体" w:hAnsi="宋体" w:eastAsia="宋体" w:cs="宋体"/>
          <w:b/>
          <w:bCs/>
          <w:sz w:val="21"/>
          <w:szCs w:val="21"/>
          <w:u w:val="none"/>
          <w:lang w:val="en-US" w:eastAsia="zh-CN" w:bidi="ar-SA"/>
        </w:rPr>
        <w:t xml:space="preserve">土壤和地下水监测点位布设</w:t>
      </w:r>
      <w:r/>
    </w:p>
    <w:p>
      <w:pPr>
        <w:numPr>
          <w:ilvl w:val="0"/>
          <w:numId w:val="0"/>
        </w:numPr>
        <w:ind w:firstLine="420"/>
        <w:spacing w:line="360" w:lineRule="auto"/>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本次调查的7家企业功能分区明确，故本次调查采用判断布点法+系统布点法进行土壤和地下水监测点位布设，土壤按照重点区域按照20*20密度进行布设，其余区域采用判断布点法进行布设，地下水每6400m²布设一个地下水监测点位。根据厂区车间内生产情况及污水排放处理情况，重点布设在易造成污染的区域。7家企业共计布设332个点位，预计采集样品1461个样品(含质控样133个)。</w:t>
      </w:r>
      <w:r/>
    </w:p>
    <w:p>
      <w:pPr>
        <w:numPr>
          <w:ilvl w:val="0"/>
          <w:numId w:val="0"/>
        </w:numPr>
        <w:spacing w:line="360" w:lineRule="auto"/>
        <w:rPr>
          <w:rFonts w:hint="eastAsia" w:ascii="宋体" w:hAnsi="宋体" w:eastAsia="宋体" w:cs="宋体"/>
          <w:b/>
          <w:bCs/>
          <w:sz w:val="21"/>
          <w:szCs w:val="21"/>
          <w:u w:val="none"/>
          <w:lang w:val="en-US" w:eastAsia="zh-CN" w:bidi="ar-SA"/>
        </w:rPr>
      </w:pPr>
      <w:r>
        <w:rPr>
          <w:rFonts w:hint="eastAsia" w:ascii="宋体" w:hAnsi="宋体" w:eastAsia="宋体" w:cs="宋体"/>
          <w:b/>
          <w:bCs/>
          <w:sz w:val="21"/>
          <w:szCs w:val="21"/>
          <w:u w:val="none"/>
          <w:lang w:val="en-US" w:eastAsia="zh-CN" w:bidi="ar-SA"/>
        </w:rPr>
        <w:t xml:space="preserve">3.土壤和地下水需检测因子包括：</w:t>
      </w:r>
      <w:r/>
    </w:p>
    <w:p>
      <w:pPr>
        <w:numPr>
          <w:ilvl w:val="0"/>
          <w:numId w:val="0"/>
        </w:numPr>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土壤和地下水需检测因子包括pH、2,4-二氯苯酚、苯酚、2,4,6-三氯苯酚、氨氮、2,6-二氯苯酚、4-硝基苯胺、2,4,5-三氯苯酚、异丙威、毒死蜱、溴氰菊酯、氰戊菊酯、敌敌畏、乙草胺、甲氰菊酯、联苯菊酯、氯氟氰菊酯、丙草胺、草甘膦、阿特拉津（莠去津）、增效醚、环氧乙烷、氰化物、石油烃（C</w:t>
      </w:r>
      <w:r>
        <w:rPr>
          <w:rFonts w:hint="eastAsia" w:ascii="宋体" w:hAnsi="宋体" w:eastAsia="宋体" w:cs="宋体"/>
          <w:bCs/>
          <w:sz w:val="21"/>
          <w:szCs w:val="21"/>
          <w:vertAlign w:val="subscript"/>
          <w:lang w:eastAsia="zh-CN"/>
        </w:rPr>
        <w:t xml:space="preserve">10</w:t>
      </w:r>
      <w:r>
        <w:rPr>
          <w:rFonts w:hint="eastAsia" w:ascii="宋体" w:hAnsi="宋体" w:eastAsia="宋体" w:cs="宋体"/>
          <w:bCs/>
          <w:sz w:val="21"/>
          <w:szCs w:val="21"/>
          <w:lang w:eastAsia="zh-CN"/>
        </w:rPr>
        <w:t xml:space="preserve">~C</w:t>
      </w:r>
      <w:r>
        <w:rPr>
          <w:rFonts w:hint="eastAsia" w:ascii="宋体" w:hAnsi="宋体" w:eastAsia="宋体" w:cs="宋体"/>
          <w:bCs/>
          <w:sz w:val="21"/>
          <w:szCs w:val="21"/>
          <w:vertAlign w:val="subscript"/>
          <w:lang w:eastAsia="zh-CN"/>
        </w:rPr>
        <w:t xml:space="preserve">40</w:t>
      </w:r>
      <w:r>
        <w:rPr>
          <w:rFonts w:hint="eastAsia" w:ascii="宋体" w:hAnsi="宋体" w:eastAsia="宋体" w:cs="宋体"/>
          <w:bCs/>
          <w:sz w:val="21"/>
          <w:szCs w:val="21"/>
          <w:lang w:eastAsia="zh-CN"/>
        </w:rPr>
        <w:t xml:space="preserve">）、苯乙酮、钼、锑、邻甲苯胺、砷、铜、</w:t>
      </w:r>
      <w:r>
        <w:rPr>
          <w:rFonts w:hint="eastAsia" w:ascii="宋体" w:hAnsi="宋体" w:eastAsia="宋体" w:cs="宋体"/>
          <w:bCs/>
          <w:sz w:val="21"/>
          <w:szCs w:val="21"/>
          <w:lang w:eastAsia="zh-CN"/>
        </w:rPr>
        <w:t xml:space="preserve">四氯乙烯、甲苯、乙苯、氯苯、二甲苯、邻二氯苯、多环芳烃16项、氯乙酸、苄嘧磺隆、噻吩磺隆、吡嘧磺隆、氯嘧磺隆、胺苯磺隆、烟嘧磺隆、4-氯酚、对甲苯胺、氯化物、硫化物、氰化物、硫酸盐、硝酸盐、亚硝酸盐、碘化物、溴化物、氨氮、挥发酚、苯乙酮、磷酸盐、邻苯二酚、邻硝基甲苯、间硝基甲苯、对硝基甲苯、间硝基氯苯、4-硝基氯苯(对硝基氯苯)、邻硝基氯苯、对二硝基苯、间二硝基苯、邻二硝基苯、2,4-二硝基氯苯、3,4-二硝基甲苯、2.4.6-三硝基甲苯、1,2,4,5-四氯苯、五氯苯、α-666、γ-666、β-666。</w:t>
      </w:r>
      <w:r/>
    </w:p>
    <w:p>
      <w:pPr>
        <w:numPr>
          <w:ilvl w:val="0"/>
          <w:numId w:val="0"/>
        </w:numPr>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注：</w:t>
      </w:r>
      <w:r>
        <w:rPr>
          <w:rFonts w:hint="eastAsia" w:ascii="宋体" w:hAnsi="宋体" w:eastAsia="宋体" w:cs="宋体"/>
          <w:bCs/>
          <w:sz w:val="21"/>
          <w:szCs w:val="21"/>
          <w:lang w:eastAsia="zh-CN"/>
        </w:rPr>
        <w:t xml:space="preserve">现场具体情况需投标单位自行进行现场踏勘，并开展资料收集工作。</w:t>
      </w:r>
      <w:r/>
    </w:p>
    <w:p>
      <w:pPr>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三、编制服务主要内容</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投标人自行踏勘现场，以了解污染场地现状与历史情况，场地有毒有害物质的使用、储存和处理情况；同时观察并记录场地地形水文情况；组织开展场地环境调查工作，包括采样与检测（土壤、地下水）、测绘；根据实验室检测分析测试结果，评估场地土壤、地下水污染情况。</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2.调查单位提交符合法律、法规及相关政策要求的《土壤污染状况调查报告》，调查报告应包括但不限于：调查目的、技术依据、现场采样和检测分析方法、数据分析及结论等与本项目有关的内容，调查单位牵头负责报告送审及评审，采购人协助，最终获得主管部门备案。</w:t>
      </w:r>
      <w:r/>
    </w:p>
    <w:p>
      <w:pPr>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四、技术要求</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包括符合但不限于：</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 建设用地土壤污染状况调查技术导则》（HJ25.1-2019）</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2) 《建设用地土壤污染风险管控和修复监测技术导则》（HJ25.2-2019）</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3) 《建设用地土壤污染风险评估技术导则》（HJ 25.3-2019）</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4) 《地块土壤和地下水中挥发性有机物采样技术导则》（HJ1019-2019）</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5) 《土壤环境监测技术规范》（HJ/T 166-2004）</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6) 《地下水环境监测技术规范》（HJ 164-2020）</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7) 《工业企业场地环境调查评估与修复工作指南》（试行）</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8) 《建设用地土壤环境调查评估技术指南》（环发〔2017〕72 号）</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9) 《地下水污染健康风险评估工作指南》（2019 年 9 月）</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10) 《水质样品的保存和管理技术规定》（HJ493-2009）</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11) 《地表水和污水监测技术规范》（HJ/T91-2002）</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12) 《土壤环境质量建设用地土壤污染风险管控标准（试行）（GB36600-2018）》</w:t>
      </w:r>
      <w:r/>
    </w:p>
    <w:p>
      <w:pPr>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13) 《地下水质量标准》（GB/T 14848-2017）</w:t>
      </w:r>
      <w:r/>
    </w:p>
    <w:p>
      <w:pPr>
        <w:spacing w:line="360" w:lineRule="auto"/>
        <w:rPr>
          <w:rFonts w:ascii="宋体" w:hAnsi="宋体" w:eastAsia="宋体" w:cs="宋体"/>
          <w:b/>
          <w:bCs/>
          <w:sz w:val="21"/>
          <w:szCs w:val="21"/>
        </w:rPr>
        <w:outlineLvl w:val="0"/>
      </w:pPr>
      <w:r>
        <w:rPr>
          <w:rFonts w:hint="eastAsia" w:ascii="宋体" w:hAnsi="宋体" w:eastAsia="宋体" w:cs="宋体"/>
          <w:b/>
          <w:bCs/>
          <w:sz w:val="21"/>
          <w:szCs w:val="21"/>
          <w:lang w:eastAsia="zh-CN"/>
        </w:rPr>
        <w:t xml:space="preserve">五</w:t>
      </w:r>
      <w:r>
        <w:rPr>
          <w:rFonts w:hint="eastAsia" w:ascii="宋体" w:hAnsi="宋体" w:eastAsia="宋体" w:cs="宋体"/>
          <w:b/>
          <w:bCs/>
          <w:sz w:val="21"/>
          <w:szCs w:val="21"/>
        </w:rPr>
        <w:t xml:space="preserve">、项目商务要求</w:t>
      </w:r>
      <w:r/>
    </w:p>
    <w:p>
      <w:pPr>
        <w:pStyle w:val="1223"/>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（1）质量要求：按照国家及地方相关规定要求进行审查，并验收合格。</w:t>
      </w:r>
      <w:r/>
    </w:p>
    <w:p>
      <w:pPr>
        <w:pStyle w:val="1223"/>
        <w:ind w:firstLine="420"/>
        <w:spacing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（2）服务期限：90日历天完成采样及报告编制（自合同签订之日起）。</w:t>
      </w:r>
      <w:r/>
    </w:p>
    <w:p>
      <w:pPr>
        <w:pStyle w:val="1223"/>
        <w:ind w:firstLine="420"/>
        <w:spacing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3）付款方式：合同签订七个工作日内，甲方向乙方支付合同价款的30%作为预付款；乙方完成调查报告并通过生态环境局组织的评审后七个工作日内，甲方向乙方支付至合同价款的80%；乙方完成生态环境局的报告备案后七个工作日内，甲方向乙方付清余款（无息）。</w:t>
      </w:r>
      <w:r/>
    </w:p>
    <w:p>
      <w:pPr>
        <w:pStyle w:val="1109"/>
        <w:jc w:val="center"/>
        <w:spacing w:line="360" w:lineRule="auto"/>
        <w:rPr>
          <w:rFonts w:ascii="宋体" w:hAnsi="宋体" w:eastAsia="宋体"/>
          <w:b/>
          <w:sz w:val="36"/>
        </w:rPr>
        <w:outlineLvl w:val="0"/>
      </w:pPr>
      <w:r>
        <w:rPr>
          <w:rFonts w:ascii="宋体" w:hAnsi="宋体" w:eastAsia="宋体"/>
          <w:color w:val="auto"/>
        </w:rPr>
        <w:br w:type="page" w:clear="all"/>
      </w:r>
      <w:bookmarkStart w:id="54" w:name="_Toc29812"/>
      <w:r>
        <w:rPr>
          <w:rFonts w:hint="eastAsia" w:ascii="宋体" w:hAnsi="宋体" w:eastAsia="宋体"/>
          <w:b/>
          <w:sz w:val="36"/>
        </w:rPr>
        <w:t xml:space="preserve">第五章  投标文件格式</w:t>
      </w:r>
      <w:bookmarkEnd w:id="51"/>
      <w:r/>
      <w:bookmarkEnd w:id="52"/>
      <w:r/>
      <w:bookmarkEnd w:id="53"/>
      <w:r/>
      <w:bookmarkEnd w:id="54"/>
      <w:r/>
      <w:r/>
    </w:p>
    <w:p>
      <w:pPr>
        <w:jc w:val="center"/>
        <w:rPr>
          <w:rFonts w:hint="eastAsia" w:ascii="宋体" w:hAnsi="宋体" w:eastAsia="宋体"/>
          <w:b/>
          <w:color w:val="ff0000"/>
          <w:sz w:val="52"/>
          <w:szCs w:val="52"/>
        </w:rPr>
      </w:pPr>
      <w:r>
        <w:rPr>
          <w:rFonts w:hint="eastAsia" w:ascii="宋体" w:hAnsi="宋体" w:eastAsia="宋体"/>
          <w:b/>
          <w:color w:val="ff0000"/>
          <w:sz w:val="52"/>
          <w:szCs w:val="52"/>
        </w:rPr>
      </w:r>
      <w:r/>
    </w:p>
    <w:p>
      <w:pPr>
        <w:jc w:val="center"/>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（项目名称）</w:t>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jc w:val="center"/>
        <w:spacing w:line="480" w:lineRule="exact"/>
        <w:rPr>
          <w:rFonts w:hint="eastAsia" w:ascii="宋体" w:hAnsi="宋体" w:eastAsia="宋体" w:cs="黑体"/>
          <w:color w:val="000000"/>
          <w:sz w:val="24"/>
        </w:rPr>
      </w:pPr>
      <w:r>
        <w:rPr>
          <w:rFonts w:hint="eastAsia" w:ascii="宋体" w:hAnsi="宋体" w:eastAsia="宋体" w:cs="黑体"/>
          <w:b/>
          <w:bCs/>
          <w:color w:val="000000"/>
          <w:sz w:val="44"/>
          <w:szCs w:val="44"/>
        </w:rPr>
        <w:t xml:space="preserve">投标文件</w:t>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jc w:val="center"/>
        <w:spacing w:line="360" w:lineRule="auto"/>
        <w:rPr>
          <w:rFonts w:hint="eastAsia" w:ascii="宋体" w:hAnsi="宋体" w:eastAsia="宋体" w:cs="黑体"/>
          <w:color w:val="000000"/>
          <w:sz w:val="28"/>
          <w:szCs w:val="28"/>
          <w:u w:val="single"/>
        </w:rPr>
      </w:pPr>
      <w:r>
        <w:rPr>
          <w:rFonts w:hint="eastAsia" w:ascii="宋体" w:hAnsi="宋体" w:eastAsia="宋体" w:cs="黑体"/>
          <w:color w:val="000000"/>
          <w:sz w:val="28"/>
          <w:szCs w:val="28"/>
        </w:rPr>
        <w:t xml:space="preserve">投标人：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（盖单位章）</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t xml:space="preserve">法定代表人或其委托代理人：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（签字）</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年</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月</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日</w:t>
      </w:r>
      <w:r/>
    </w:p>
    <w:p>
      <w:pPr>
        <w:jc w:val="center"/>
        <w:spacing w:line="360" w:lineRule="auto"/>
        <w:rPr>
          <w:rFonts w:hint="eastAsia" w:ascii="宋体" w:hAnsi="宋体" w:eastAsia="宋体" w:cs="黑体"/>
          <w:b/>
          <w:bCs/>
          <w:color w:val="000000"/>
          <w:sz w:val="24"/>
        </w:rPr>
      </w:pPr>
      <w:r>
        <w:rPr>
          <w:rFonts w:hint="eastAsia" w:ascii="宋体" w:hAnsi="宋体" w:eastAsia="宋体" w:cs="黑体"/>
          <w:color w:val="000000"/>
          <w:sz w:val="28"/>
          <w:szCs w:val="28"/>
        </w:rPr>
        <w:br w:type="page" w:clear="all"/>
      </w:r>
      <w:r>
        <w:rPr>
          <w:rFonts w:hint="eastAsia" w:ascii="宋体" w:hAnsi="宋体" w:eastAsia="宋体" w:cs="黑体"/>
          <w:b/>
          <w:bCs/>
          <w:color w:val="000000"/>
          <w:sz w:val="28"/>
          <w:szCs w:val="28"/>
        </w:rPr>
        <w:t xml:space="preserve">目  录</w:t>
      </w:r>
      <w:r/>
    </w:p>
    <w:p>
      <w:pPr>
        <w:spacing w:line="480" w:lineRule="exact"/>
        <w:rPr>
          <w:rFonts w:hint="eastAsia" w:ascii="宋体" w:hAnsi="宋体" w:eastAsia="宋体" w:cs="黑体"/>
          <w:color w:val="000000"/>
          <w:szCs w:val="21"/>
        </w:rPr>
      </w:pPr>
      <w:r>
        <w:rPr>
          <w:rFonts w:hint="eastAsia" w:ascii="宋体" w:hAnsi="宋体" w:eastAsia="宋体" w:cs="黑体"/>
          <w:b/>
          <w:color w:val="000000"/>
          <w:szCs w:val="21"/>
          <w:lang w:bidi="ar"/>
        </w:rPr>
        <w:t xml:space="preserve">第一部分  报价文件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（一）投标函</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（二）报价明细表</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第二部分  技术文件 </w:t>
      </w:r>
      <w:r/>
    </w:p>
    <w:p>
      <w:pPr>
        <w:spacing w:line="480" w:lineRule="exact"/>
        <w:rPr>
          <w:rFonts w:ascii="宋体" w:hAnsi="宋体" w:eastAsia="宋体" w:cs="黑体"/>
          <w:color w:val="000000"/>
          <w:szCs w:val="21"/>
        </w:rPr>
      </w:pPr>
      <w:r>
        <w:rPr>
          <w:rFonts w:hint="eastAsia" w:ascii="宋体" w:hAnsi="宋体" w:eastAsia="宋体" w:cs="黑体"/>
          <w:color w:val="000000"/>
          <w:szCs w:val="21"/>
          <w:lang w:bidi="ar"/>
        </w:rPr>
        <w:t xml:space="preserve">（一）技术规格偏离表</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（二）投标人认为需要提供的其他材料</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第三部分  商务文件</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（一）投标人基本情况表</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（二）资格审查所需资料</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（三）企业业绩</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（四）投标人认为需要提供的其他材料</w:t>
      </w:r>
      <w:r/>
    </w:p>
    <w:p>
      <w:pPr>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r>
      <w:r/>
    </w:p>
    <w:p>
      <w:pPr>
        <w:pStyle w:val="1121"/>
        <w:jc w:val="left"/>
        <w:rPr>
          <w:rFonts w:ascii="宋体" w:hAnsi="宋体" w:eastAsia="宋体"/>
          <w:sz w:val="21"/>
          <w:szCs w:val="21"/>
        </w:rPr>
      </w:pPr>
      <w:r>
        <w:rPr>
          <w:rFonts w:ascii="宋体" w:hAnsi="宋体" w:eastAsia="宋体"/>
          <w:sz w:val="36"/>
        </w:rPr>
        <w:br w:type="page" w:clear="all"/>
      </w:r>
      <w:r/>
    </w:p>
    <w:p>
      <w:pPr>
        <w:ind w:firstLine="3012"/>
        <w:spacing w:line="480" w:lineRule="exact"/>
        <w:rPr>
          <w:rFonts w:hint="eastAsia" w:ascii="宋体" w:hAnsi="宋体" w:eastAsia="宋体" w:cs="黑体"/>
          <w:b/>
          <w:color w:val="000000"/>
          <w:sz w:val="30"/>
          <w:szCs w:val="30"/>
        </w:rPr>
      </w:pPr>
      <w:r>
        <w:rPr>
          <w:rFonts w:hint="eastAsia" w:ascii="宋体" w:hAnsi="宋体" w:eastAsia="宋体" w:cs="黑体"/>
          <w:b/>
          <w:color w:val="000000"/>
          <w:sz w:val="30"/>
          <w:szCs w:val="30"/>
        </w:rPr>
        <w:t xml:space="preserve">第一部分  报价文件</w:t>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（一） 投标函（格式）</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p>
    <w:p>
      <w:pPr>
        <w:ind w:firstLine="420"/>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根据贵方为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项目（招标编号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），签字人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（姓名、职务）经正式授权并代表投标人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（投标供应商名称）提交投标文件1份（包括招标文件要求提供的全部资料），据此函，签字代表宣布同意如下：</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 愿意以人民币</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元（大写）的投标总价，按照本项目招标文件的要求承包招标范围内的全部内容。</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 </w:t>
      </w:r>
      <w:r>
        <w:rPr>
          <w:rFonts w:hint="eastAsia" w:ascii="宋体" w:hAnsi="宋体" w:eastAsia="宋体" w:cs="黑体"/>
          <w:szCs w:val="21"/>
        </w:rPr>
        <w:t xml:space="preserve">我单位保证在收到贵单位发出的书面通知后，按照采购人要求在规定时间内完成本项目工作。</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3.本投标文件有效期为自开标日起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个日历天（不少于60天）。在这期间，本投标文件将始终对我方具有约束力，并可随时被接受。本次招标文件和本投标文件（含承诺书）将作为买卖合同的附件。</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4.如果在规定的开标时间后，我方在投标有效期内不得撤回或撤销投标。</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5.我方愿意向采购单位提供与本次招标的相关资料，并对其真实性、合法性、有效性负责。将严格履行本投标文件中的全部承诺和责任，并遵守招标文件中对投标供应商的所有规定。</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6.我方完全理解采购单位有保留在授标之前任何时候，接受或拒绝任何投标的权力，并完全理解采购单位对此无解释的义务。</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7.我方完全理解招标采购单位不一定接受投标价最低的报价。</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8.我方承诺不向任何第三方泄露在此次招投标过程中涉及的一切应当保密的事项，否则承担一切法律责任。</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9.如果我方中标，我们将在签订合同之后按照采购方规定的合同履约期限完成本项目；并将按招标文件的规定履行合同责任和义务。</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投标人名称（盖章）： </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法定代表人或其委托代理人签字（或盖章）：</w:t>
      </w:r>
      <w:r/>
    </w:p>
    <w:p>
      <w:pPr>
        <w:pStyle w:val="1221"/>
        <w:rPr>
          <w:rFonts w:hint="eastAsia" w:ascii="宋体" w:hAnsi="宋体" w:eastAsia="宋体" w:cs="黑体"/>
          <w:sz w:val="21"/>
          <w:szCs w:val="21"/>
        </w:rPr>
      </w:pPr>
      <w:r>
        <w:rPr>
          <w:rFonts w:hint="eastAsia" w:ascii="宋体" w:hAnsi="宋体" w:eastAsia="宋体" w:cs="黑体"/>
          <w:sz w:val="21"/>
          <w:szCs w:val="21"/>
        </w:rPr>
        <w:t xml:space="preserve">地址：            邮政编码：</w:t>
      </w:r>
      <w:r/>
    </w:p>
    <w:p>
      <w:pPr>
        <w:pStyle w:val="1221"/>
        <w:rPr>
          <w:rFonts w:hint="eastAsia" w:ascii="宋体" w:hAnsi="宋体" w:eastAsia="宋体" w:cs="黑体"/>
          <w:sz w:val="21"/>
          <w:szCs w:val="21"/>
        </w:rPr>
      </w:pPr>
      <w:r>
        <w:rPr>
          <w:rFonts w:hint="eastAsia" w:ascii="宋体" w:hAnsi="宋体" w:eastAsia="宋体" w:cs="黑体"/>
          <w:sz w:val="21"/>
          <w:szCs w:val="21"/>
        </w:rPr>
        <w:t xml:space="preserve">电话：       </w:t>
      </w:r>
      <w:r/>
    </w:p>
    <w:p>
      <w:pPr>
        <w:jc w:val="right"/>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日    期：</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w:t>
      </w:r>
      <w:r/>
    </w:p>
    <w:p>
      <w:pPr>
        <w:spacing w:line="360" w:lineRule="auto"/>
        <w:rPr>
          <w:rFonts w:ascii="宋体" w:hAnsi="宋体" w:eastAsia="宋体"/>
          <w:bCs/>
          <w:sz w:val="24"/>
        </w:rPr>
      </w:pPr>
      <w:r>
        <w:rPr>
          <w:rFonts w:ascii="宋体" w:hAnsi="宋体" w:eastAsia="宋体"/>
          <w:bCs/>
          <w:sz w:val="24"/>
        </w:rPr>
      </w:r>
      <w:r/>
    </w:p>
    <w:p>
      <w:pPr>
        <w:spacing w:line="360" w:lineRule="auto"/>
        <w:rPr>
          <w:rFonts w:ascii="宋体" w:hAnsi="宋体" w:eastAsia="宋体"/>
          <w:bCs/>
          <w:sz w:val="24"/>
        </w:rPr>
      </w:pPr>
      <w:r>
        <w:rPr>
          <w:rFonts w:ascii="宋体" w:hAnsi="宋体" w:eastAsia="宋体"/>
          <w:bCs/>
          <w:sz w:val="24"/>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（二）报价明细表</w:t>
      </w:r>
      <w:r/>
    </w:p>
    <w:p>
      <w:pPr>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（投标人根据采购需求，格式自拟）</w:t>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备注：</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1、本报价表中的合计金额必须与投标函的投标总价一致。</w:t>
      </w:r>
      <w:r/>
    </w:p>
    <w:p>
      <w:pPr>
        <w:ind w:firstLine="210"/>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投标人名称（盖章）： </w:t>
      </w:r>
      <w:r/>
    </w:p>
    <w:p>
      <w:pPr>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法定代表人或其委托代理人签字（或盖章）：</w:t>
      </w:r>
      <w:r/>
    </w:p>
    <w:p>
      <w:pPr>
        <w:jc w:val="righ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jc w:val="center"/>
        <w:spacing w:line="480" w:lineRule="exact"/>
        <w:rPr>
          <w:rFonts w:hint="eastAsia" w:ascii="宋体" w:hAnsi="宋体" w:eastAsia="宋体" w:cs="黑体"/>
          <w:b/>
          <w:color w:val="000000"/>
          <w:sz w:val="30"/>
          <w:szCs w:val="30"/>
        </w:rPr>
      </w:pPr>
      <w:r>
        <w:rPr>
          <w:rFonts w:hint="eastAsia" w:ascii="宋体" w:hAnsi="宋体" w:eastAsia="宋体" w:cs="宋体"/>
          <w:color w:val="000000"/>
          <w:szCs w:val="21"/>
        </w:rPr>
        <w:br w:type="page" w:clear="all"/>
      </w:r>
      <w:r>
        <w:rPr>
          <w:rFonts w:hint="eastAsia" w:ascii="宋体" w:hAnsi="宋体" w:eastAsia="宋体" w:cs="黑体"/>
          <w:b/>
          <w:color w:val="000000"/>
          <w:sz w:val="30"/>
          <w:szCs w:val="30"/>
        </w:rPr>
        <w:t xml:space="preserve">第二部分  技术文件</w:t>
      </w:r>
      <w:r/>
    </w:p>
    <w:p>
      <w:pPr>
        <w:pStyle w:val="1109"/>
        <w:jc w:val="center"/>
        <w:spacing w:line="600" w:lineRule="exact"/>
        <w:rPr>
          <w:rFonts w:hint="eastAsia" w:ascii="宋体" w:hAnsi="宋体" w:eastAsia="宋体"/>
        </w:rPr>
      </w:pPr>
      <w:r>
        <w:rPr>
          <w:rFonts w:hint="eastAsia" w:ascii="宋体" w:hAnsi="宋体" w:eastAsia="宋体" w:cs="黑体"/>
          <w:b/>
          <w:color w:val="000000"/>
          <w:sz w:val="28"/>
          <w:szCs w:val="28"/>
        </w:rPr>
        <w:t xml:space="preserve">（一）技术方案</w:t>
      </w:r>
      <w:r/>
    </w:p>
    <w:p>
      <w:pPr>
        <w:pStyle w:val="1221"/>
        <w:rPr>
          <w:rFonts w:ascii="宋体" w:hAnsi="宋体" w:eastAsia="宋体"/>
        </w:rPr>
      </w:pPr>
      <w:r>
        <w:rPr>
          <w:rFonts w:ascii="宋体" w:hAnsi="宋体" w:eastAsia="宋体"/>
        </w:rPr>
      </w:r>
      <w:r/>
    </w:p>
    <w:p>
      <w:pPr>
        <w:jc w:val="center"/>
        <w:widowControl/>
        <w:rPr>
          <w:rFonts w:hint="eastAsia" w:ascii="宋体" w:hAnsi="宋体" w:eastAsia="宋体" w:cs="黑体"/>
          <w:b/>
          <w:bCs/>
          <w:color w:val="000000"/>
          <w:sz w:val="28"/>
          <w:szCs w:val="28"/>
        </w:rPr>
      </w:pPr>
      <w:r>
        <w:rPr>
          <w:rFonts w:ascii="宋体" w:hAnsi="宋体" w:eastAsia="宋体"/>
          <w:b/>
          <w:bCs/>
        </w:rPr>
        <w:br w:type="page" w:clear="all"/>
      </w:r>
      <w:r>
        <w:rPr>
          <w:rFonts w:hint="eastAsia" w:ascii="宋体" w:hAnsi="宋体" w:eastAsia="宋体" w:cs="黑体"/>
          <w:b/>
          <w:color w:val="000000"/>
          <w:sz w:val="28"/>
          <w:szCs w:val="28"/>
        </w:rPr>
        <w:t xml:space="preserve">（二）投标人认为需要提供的其他材料</w:t>
      </w:r>
      <w:r/>
    </w:p>
    <w:p>
      <w:pPr>
        <w:numPr>
          <w:ilvl w:val="0"/>
          <w:numId w:val="6"/>
        </w:numPr>
        <w:jc w:val="center"/>
        <w:spacing w:line="480" w:lineRule="exact"/>
        <w:rPr>
          <w:rFonts w:hint="eastAsia" w:ascii="宋体" w:hAnsi="宋体" w:eastAsia="宋体" w:cs="黑体"/>
          <w:b/>
          <w:color w:val="000000"/>
          <w:sz w:val="30"/>
          <w:szCs w:val="30"/>
          <w:lang w:bidi="ar"/>
        </w:rPr>
      </w:pPr>
      <w:r>
        <w:rPr>
          <w:rFonts w:ascii="宋体" w:hAnsi="宋体" w:eastAsia="宋体"/>
          <w:b/>
          <w:bCs/>
        </w:rPr>
        <w:br w:type="page" w:clear="all"/>
      </w:r>
      <w:r>
        <w:rPr>
          <w:rFonts w:hint="eastAsia" w:ascii="宋体" w:hAnsi="宋体" w:eastAsia="宋体" w:cs="黑体"/>
          <w:b/>
          <w:color w:val="000000"/>
          <w:sz w:val="30"/>
          <w:szCs w:val="30"/>
          <w:lang w:bidi="ar"/>
        </w:rPr>
        <w:t xml:space="preserve"> 商务文件</w:t>
      </w:r>
      <w:r/>
    </w:p>
    <w:p>
      <w:pPr>
        <w:spacing w:line="480" w:lineRule="exact"/>
        <w:rPr>
          <w:rFonts w:hint="eastAsia" w:ascii="宋体" w:hAnsi="宋体" w:eastAsia="宋体" w:cs="黑体"/>
          <w:b/>
          <w:color w:val="000000"/>
          <w:sz w:val="30"/>
          <w:szCs w:val="30"/>
          <w:lang w:bidi="ar"/>
        </w:rPr>
      </w:pPr>
      <w:r>
        <w:rPr>
          <w:rFonts w:hint="eastAsia" w:ascii="宋体" w:hAnsi="宋体" w:eastAsia="宋体" w:cs="黑体"/>
          <w:b/>
          <w:color w:val="000000"/>
          <w:sz w:val="30"/>
          <w:szCs w:val="30"/>
          <w:lang w:bidi="ar"/>
        </w:rPr>
      </w:r>
      <w:r/>
    </w:p>
    <w:p>
      <w:pPr>
        <w:jc w:val="center"/>
        <w:spacing w:line="480" w:lineRule="exact"/>
        <w:rPr>
          <w:rFonts w:hint="eastAsia" w:ascii="宋体" w:hAnsi="宋体" w:eastAsia="宋体" w:cs="黑体"/>
          <w:b/>
          <w:color w:val="000000"/>
          <w:sz w:val="32"/>
        </w:rPr>
      </w:pPr>
      <w:r>
        <w:rPr>
          <w:rFonts w:hint="eastAsia" w:ascii="宋体" w:hAnsi="宋体" w:eastAsia="宋体" w:cs="黑体"/>
          <w:b/>
          <w:color w:val="000000"/>
          <w:sz w:val="32"/>
          <w:lang w:bidi="ar"/>
        </w:rPr>
        <w:t xml:space="preserve">（一）投标人基本情况表</w:t>
      </w:r>
      <w:r/>
    </w:p>
    <w:p>
      <w:pPr>
        <w:jc w:val="center"/>
        <w:spacing w:line="520" w:lineRule="exact"/>
        <w:rPr>
          <w:rFonts w:hint="eastAsia" w:ascii="宋体" w:hAnsi="宋体" w:eastAsia="宋体" w:cs="黑体"/>
          <w:color w:val="000000"/>
          <w:sz w:val="28"/>
          <w:szCs w:val="28"/>
        </w:rPr>
      </w:pPr>
      <w:r>
        <w:rPr>
          <w:rFonts w:hint="eastAsia" w:ascii="宋体" w:hAnsi="宋体" w:eastAsia="宋体" w:cs="黑体"/>
          <w:color w:val="000000"/>
          <w:sz w:val="28"/>
          <w:szCs w:val="28"/>
        </w:rPr>
      </w:r>
      <w:r/>
    </w:p>
    <w:tbl>
      <w:tblPr>
        <w:tblStyle w:val="915"/>
        <w:tblW w:w="9320" w:type="dxa"/>
        <w:jc w:val="center"/>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申请人名称</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注册地址</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邮编</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联系方式</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联系人</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rPr>
                <w:rFonts w:hint="eastAsia" w:ascii="宋体" w:hAnsi="宋体" w:eastAsia="宋体" w:cs="黑体"/>
                <w:color w:val="000000"/>
                <w:szCs w:val="21"/>
              </w:rPr>
            </w:pP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传真</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网址</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组织结构</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法定代表人</w:t>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技术负责人</w:t>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成立时间</w:t>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员工总人数：</w:t>
            </w:r>
            <w:r/>
          </w:p>
        </w:tc>
      </w:tr>
      <w:tr>
        <w:trPr>
          <w:jc w:val="cente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经营范围</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jc w:val="cente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备注</w:t>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bl>
    <w:p>
      <w:pPr>
        <w:spacing w:line="360" w:lineRule="auto"/>
        <w:rPr>
          <w:rFonts w:hint="eastAsia" w:ascii="宋体" w:hAnsi="宋体" w:eastAsia="宋体" w:cs="黑体"/>
          <w:color w:val="000000"/>
          <w:szCs w:val="21"/>
        </w:rPr>
      </w:pPr>
      <w:r>
        <w:rPr>
          <w:rFonts w:hint="eastAsia" w:ascii="宋体" w:hAnsi="宋体" w:eastAsia="宋体" w:cs="黑体"/>
          <w:color w:val="000000"/>
          <w:szCs w:val="21"/>
          <w:lang w:bidi="ar"/>
        </w:rPr>
        <w:t xml:space="preserve">注：投标人应将</w:t>
      </w:r>
      <w:r>
        <w:rPr>
          <w:rFonts w:hint="eastAsia" w:ascii="宋体" w:hAnsi="宋体" w:eastAsia="宋体" w:cs="黑体"/>
          <w:color w:val="000000"/>
          <w:szCs w:val="21"/>
          <w:u w:val="single"/>
          <w:lang w:bidi="ar"/>
        </w:rPr>
        <w:t xml:space="preserve">企业营业执照、开户许可证（或基本存款账户信息材料）</w:t>
      </w:r>
      <w:r>
        <w:rPr>
          <w:rFonts w:hint="eastAsia" w:ascii="宋体" w:hAnsi="宋体" w:eastAsia="宋体" w:cs="黑体"/>
          <w:color w:val="000000"/>
          <w:szCs w:val="21"/>
          <w:lang w:bidi="ar"/>
        </w:rPr>
        <w:t xml:space="preserve">的原件扫描件作为本表的附件，否则不予认可。</w:t>
      </w:r>
      <w:r/>
    </w:p>
    <w:p>
      <w:pPr>
        <w:jc w:val="cente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（二）资格审查所需资料</w:t>
      </w:r>
      <w:r/>
    </w:p>
    <w:p>
      <w:pPr>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包含但不限于资格审查及打分项资料</w:t>
      </w:r>
      <w:r/>
    </w:p>
    <w:tbl>
      <w:tblPr>
        <w:tblStyle w:val="1247"/>
        <w:tblW w:w="85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1"/>
        <w:gridCol w:w="3484"/>
        <w:gridCol w:w="2451"/>
        <w:gridCol w:w="1940"/>
      </w:tblGrid>
      <w:tr>
        <w:trPr>
          <w:jc w:val="center"/>
          <w:trHeight w:val="637"/>
        </w:trPr>
        <w:tc>
          <w:tcPr>
            <w:tcW w:w="651" w:type="dxa"/>
            <w:vAlign w:val="top"/>
            <w:textDirection w:val="lrTb"/>
            <w:noWrap w:val="false"/>
          </w:tcPr>
          <w:p>
            <w:pPr>
              <w:spacing w:line="248" w:lineRule="auto"/>
              <w:rPr>
                <w:rFonts w:ascii="Arial"/>
                <w:color w:val="auto"/>
                <w:sz w:val="21"/>
              </w:rPr>
            </w:pPr>
            <w:r>
              <w:rPr>
                <w:rFonts w:ascii="Arial"/>
                <w:color w:val="auto"/>
                <w:sz w:val="21"/>
              </w:rPr>
            </w:r>
            <w:r/>
          </w:p>
          <w:p>
            <w:pPr>
              <w:pStyle w:val="1248"/>
              <w:ind w:left="148"/>
              <w:spacing w:before="59" w:line="222" w:lineRule="auto"/>
              <w:rPr>
                <w:color w:val="auto"/>
                <w:sz w:val="18"/>
                <w:szCs w:val="18"/>
              </w:rPr>
            </w:pPr>
            <w:r>
              <w:rPr>
                <w:color w:val="auto"/>
                <w:spacing w:val="-4"/>
                <w:sz w:val="18"/>
                <w:szCs w:val="18"/>
              </w:rPr>
              <w:t xml:space="preserve">序号</w:t>
            </w:r>
            <w:r/>
          </w:p>
        </w:tc>
        <w:tc>
          <w:tcPr>
            <w:tcW w:w="3484" w:type="dxa"/>
            <w:vAlign w:val="top"/>
            <w:textDirection w:val="lrTb"/>
            <w:noWrap w:val="false"/>
          </w:tcPr>
          <w:p>
            <w:pPr>
              <w:spacing w:line="249" w:lineRule="auto"/>
              <w:rPr>
                <w:rFonts w:ascii="Arial"/>
                <w:color w:val="auto"/>
                <w:sz w:val="21"/>
              </w:rPr>
            </w:pPr>
            <w:r>
              <w:rPr>
                <w:rFonts w:ascii="Arial"/>
                <w:color w:val="auto"/>
                <w:sz w:val="21"/>
              </w:rPr>
            </w:r>
            <w:r/>
          </w:p>
          <w:p>
            <w:pPr>
              <w:pStyle w:val="1248"/>
              <w:ind w:left="1392"/>
              <w:spacing w:before="58" w:line="221" w:lineRule="auto"/>
              <w:rPr>
                <w:color w:val="auto"/>
                <w:sz w:val="18"/>
                <w:szCs w:val="18"/>
              </w:rPr>
            </w:pPr>
            <w:r>
              <w:rPr>
                <w:color w:val="auto"/>
                <w:spacing w:val="-4"/>
                <w:sz w:val="18"/>
                <w:szCs w:val="18"/>
              </w:rPr>
              <w:t xml:space="preserve">资料名称</w:t>
            </w:r>
            <w:r/>
          </w:p>
        </w:tc>
        <w:tc>
          <w:tcPr>
            <w:tcW w:w="2451" w:type="dxa"/>
            <w:vAlign w:val="top"/>
            <w:textDirection w:val="lrTb"/>
            <w:noWrap w:val="false"/>
          </w:tcPr>
          <w:p>
            <w:pPr>
              <w:spacing w:line="249" w:lineRule="auto"/>
              <w:rPr>
                <w:rFonts w:ascii="Arial"/>
                <w:color w:val="auto"/>
                <w:sz w:val="21"/>
              </w:rPr>
            </w:pPr>
            <w:r>
              <w:rPr>
                <w:rFonts w:ascii="Arial"/>
                <w:color w:val="auto"/>
                <w:sz w:val="21"/>
              </w:rPr>
            </w:r>
            <w:r/>
          </w:p>
          <w:p>
            <w:pPr>
              <w:pStyle w:val="1248"/>
              <w:ind w:left="872"/>
              <w:spacing w:before="59" w:line="219" w:lineRule="auto"/>
              <w:rPr>
                <w:color w:val="auto"/>
                <w:sz w:val="18"/>
                <w:szCs w:val="18"/>
              </w:rPr>
            </w:pPr>
            <w:r>
              <w:rPr>
                <w:color w:val="auto"/>
                <w:spacing w:val="-2"/>
                <w:sz w:val="18"/>
                <w:szCs w:val="18"/>
              </w:rPr>
              <w:t xml:space="preserve">提供方式</w:t>
            </w:r>
            <w:r/>
          </w:p>
        </w:tc>
        <w:tc>
          <w:tcPr>
            <w:tcW w:w="1940" w:type="dxa"/>
            <w:vAlign w:val="top"/>
            <w:textDirection w:val="lrTb"/>
            <w:noWrap w:val="false"/>
          </w:tcPr>
          <w:p>
            <w:pPr>
              <w:spacing w:line="248" w:lineRule="auto"/>
              <w:rPr>
                <w:rFonts w:ascii="Arial"/>
                <w:color w:val="auto"/>
                <w:sz w:val="21"/>
              </w:rPr>
            </w:pPr>
            <w:r>
              <w:rPr>
                <w:rFonts w:ascii="Arial"/>
                <w:color w:val="auto"/>
                <w:sz w:val="21"/>
              </w:rPr>
            </w:r>
            <w:r/>
          </w:p>
          <w:p>
            <w:pPr>
              <w:pStyle w:val="1248"/>
              <w:ind w:left="707"/>
              <w:spacing w:before="59" w:line="222" w:lineRule="auto"/>
              <w:rPr>
                <w:color w:val="auto"/>
                <w:sz w:val="18"/>
                <w:szCs w:val="18"/>
              </w:rPr>
            </w:pPr>
            <w:r>
              <w:rPr>
                <w:color w:val="auto"/>
                <w:spacing w:val="-5"/>
                <w:sz w:val="18"/>
                <w:szCs w:val="18"/>
              </w:rPr>
              <w:t xml:space="preserve">备</w:t>
            </w:r>
            <w:r>
              <w:rPr>
                <w:color w:val="auto"/>
                <w:spacing w:val="3"/>
                <w:sz w:val="18"/>
                <w:szCs w:val="18"/>
              </w:rPr>
              <w:t xml:space="preserve">  </w:t>
            </w:r>
            <w:r>
              <w:rPr>
                <w:color w:val="auto"/>
                <w:spacing w:val="-5"/>
                <w:sz w:val="18"/>
                <w:szCs w:val="18"/>
              </w:rPr>
              <w:t xml:space="preserve">注</w:t>
            </w:r>
            <w:r/>
          </w:p>
        </w:tc>
      </w:tr>
      <w:tr>
        <w:trPr>
          <w:jc w:val="center"/>
          <w:trHeight w:val="624"/>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1" w:right="135"/>
              <w:spacing w:before="96" w:line="264" w:lineRule="auto"/>
              <w:rPr>
                <w:color w:val="auto"/>
                <w:sz w:val="18"/>
                <w:szCs w:val="18"/>
              </w:rPr>
            </w:pPr>
            <w:r>
              <w:rPr>
                <w:color w:val="auto"/>
                <w:spacing w:val="-1"/>
                <w:sz w:val="18"/>
                <w:szCs w:val="18"/>
              </w:rPr>
              <w:t xml:space="preserve">投标人《营业执照》副本、基本户开户许</w:t>
            </w:r>
            <w:r>
              <w:rPr>
                <w:color w:val="auto"/>
                <w:spacing w:val="7"/>
                <w:sz w:val="18"/>
                <w:szCs w:val="18"/>
              </w:rPr>
              <w:t xml:space="preserve"> </w:t>
            </w:r>
            <w:r>
              <w:rPr>
                <w:color w:val="auto"/>
                <w:spacing w:val="-1"/>
                <w:sz w:val="18"/>
                <w:szCs w:val="18"/>
              </w:rPr>
              <w:t xml:space="preserve">可证（或基本存款账户证明）</w:t>
            </w:r>
            <w:r/>
          </w:p>
        </w:tc>
        <w:tc>
          <w:tcPr>
            <w:tcW w:w="2451" w:type="dxa"/>
            <w:vAlign w:val="top"/>
            <w:textDirection w:val="lrTb"/>
            <w:noWrap w:val="false"/>
          </w:tcPr>
          <w:p>
            <w:pPr>
              <w:pStyle w:val="1248"/>
              <w:ind w:left="961" w:right="141" w:hanging="805"/>
              <w:spacing w:before="96" w:line="264"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r>
        <w:trPr>
          <w:jc w:val="center"/>
          <w:trHeight w:val="604"/>
        </w:trPr>
        <w:tc>
          <w:tcPr>
            <w:tcBorders>
              <w:bottom w:val="none" w:color="000000" w:sz="4" w:space="0"/>
            </w:tcBorders>
            <w:tcW w:w="651" w:type="dxa"/>
            <w:vAlign w:val="top"/>
            <w:vMerge w:val="restart"/>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2"/>
              <w:spacing w:before="238" w:line="220" w:lineRule="auto"/>
              <w:rPr>
                <w:color w:val="auto"/>
                <w:sz w:val="18"/>
                <w:szCs w:val="18"/>
              </w:rPr>
            </w:pPr>
            <w:r>
              <w:rPr>
                <w:color w:val="auto"/>
                <w:spacing w:val="-1"/>
                <w:sz w:val="18"/>
                <w:szCs w:val="18"/>
              </w:rPr>
              <w:t xml:space="preserve">投标人法定代表人身份证</w:t>
            </w:r>
            <w:r/>
          </w:p>
        </w:tc>
        <w:tc>
          <w:tcPr>
            <w:tcW w:w="2451" w:type="dxa"/>
            <w:vAlign w:val="top"/>
            <w:textDirection w:val="lrTb"/>
            <w:noWrap w:val="false"/>
          </w:tcPr>
          <w:p>
            <w:pPr>
              <w:pStyle w:val="1248"/>
              <w:ind w:left="961" w:right="141" w:hanging="805"/>
              <w:spacing w:before="87" w:line="260"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pStyle w:val="1248"/>
              <w:ind w:left="166"/>
              <w:spacing w:before="238" w:line="219" w:lineRule="auto"/>
              <w:rPr>
                <w:color w:val="auto"/>
                <w:sz w:val="18"/>
                <w:szCs w:val="18"/>
              </w:rPr>
            </w:pPr>
            <w:r>
              <w:rPr>
                <w:color w:val="auto"/>
                <w:spacing w:val="-1"/>
                <w:sz w:val="18"/>
                <w:szCs w:val="18"/>
              </w:rPr>
              <w:t xml:space="preserve">法人参加投标时提供</w:t>
            </w:r>
            <w:r/>
          </w:p>
        </w:tc>
      </w:tr>
      <w:tr>
        <w:trPr>
          <w:jc w:val="center"/>
          <w:trHeight w:val="605"/>
        </w:trPr>
        <w:tc>
          <w:tcPr>
            <w:tcBorders>
              <w:top w:val="none" w:color="000000" w:sz="4" w:space="0"/>
              <w:bottom w:val="none" w:color="000000" w:sz="4" w:space="0"/>
            </w:tcBorders>
            <w:tcW w:w="651" w:type="dxa"/>
            <w:vAlign w:val="top"/>
            <w:vMerge w:val="continue"/>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09"/>
              <w:spacing w:before="239" w:line="220" w:lineRule="auto"/>
              <w:rPr>
                <w:color w:val="auto"/>
                <w:sz w:val="18"/>
                <w:szCs w:val="18"/>
              </w:rPr>
            </w:pPr>
            <w:r>
              <w:rPr>
                <w:color w:val="auto"/>
                <w:spacing w:val="-1"/>
                <w:sz w:val="18"/>
                <w:szCs w:val="18"/>
              </w:rPr>
              <w:t xml:space="preserve">授权代表人身份证</w:t>
            </w:r>
            <w:r/>
          </w:p>
        </w:tc>
        <w:tc>
          <w:tcPr>
            <w:tcW w:w="2451" w:type="dxa"/>
            <w:vAlign w:val="top"/>
            <w:textDirection w:val="lrTb"/>
            <w:noWrap w:val="false"/>
          </w:tcPr>
          <w:p>
            <w:pPr>
              <w:pStyle w:val="1248"/>
              <w:ind w:left="961" w:right="141" w:hanging="805"/>
              <w:spacing w:before="89" w:line="259"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Borders>
              <w:bottom w:val="none" w:color="000000" w:sz="4" w:space="0"/>
            </w:tcBorders>
            <w:tcW w:w="1940" w:type="dxa"/>
            <w:vAlign w:val="top"/>
            <w:vMerge w:val="restart"/>
            <w:textDirection w:val="lrTb"/>
            <w:noWrap w:val="false"/>
          </w:tcPr>
          <w:p>
            <w:pPr>
              <w:spacing w:line="333" w:lineRule="auto"/>
              <w:rPr>
                <w:rFonts w:ascii="Arial"/>
                <w:color w:val="auto"/>
                <w:sz w:val="21"/>
              </w:rPr>
            </w:pPr>
            <w:r>
              <w:rPr>
                <w:rFonts w:ascii="Arial"/>
                <w:color w:val="auto"/>
                <w:sz w:val="21"/>
              </w:rPr>
            </w:r>
            <w:r/>
          </w:p>
          <w:p>
            <w:pPr>
              <w:pStyle w:val="1248"/>
              <w:ind w:left="794" w:right="156" w:hanging="630"/>
              <w:spacing w:before="58" w:line="264" w:lineRule="auto"/>
              <w:rPr>
                <w:color w:val="auto"/>
                <w:sz w:val="18"/>
                <w:szCs w:val="18"/>
              </w:rPr>
            </w:pPr>
            <w:r>
              <w:rPr>
                <w:color w:val="auto"/>
                <w:spacing w:val="-1"/>
                <w:sz w:val="18"/>
                <w:szCs w:val="18"/>
              </w:rPr>
              <w:t xml:space="preserve">授权代表参加投标时</w:t>
            </w:r>
            <w:r>
              <w:rPr>
                <w:color w:val="auto"/>
                <w:spacing w:val="1"/>
                <w:sz w:val="18"/>
                <w:szCs w:val="18"/>
              </w:rPr>
              <w:t xml:space="preserve"> </w:t>
            </w:r>
            <w:r>
              <w:rPr>
                <w:color w:val="auto"/>
                <w:spacing w:val="-4"/>
                <w:sz w:val="18"/>
                <w:szCs w:val="18"/>
              </w:rPr>
              <w:t xml:space="preserve">提供</w:t>
            </w:r>
            <w:r/>
          </w:p>
        </w:tc>
      </w:tr>
      <w:tr>
        <w:trPr>
          <w:jc w:val="center"/>
          <w:trHeight w:val="605"/>
        </w:trPr>
        <w:tc>
          <w:tcPr>
            <w:tcBorders>
              <w:top w:val="none" w:color="000000" w:sz="4" w:space="0"/>
            </w:tcBorders>
            <w:tcW w:w="651" w:type="dxa"/>
            <w:vAlign w:val="top"/>
            <w:vMerge w:val="continue"/>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0"/>
              <w:spacing w:before="238" w:line="219" w:lineRule="auto"/>
              <w:rPr>
                <w:color w:val="auto"/>
                <w:sz w:val="18"/>
                <w:szCs w:val="18"/>
              </w:rPr>
            </w:pPr>
            <w:r>
              <w:rPr>
                <w:color w:val="auto"/>
                <w:spacing w:val="-1"/>
                <w:sz w:val="18"/>
                <w:szCs w:val="18"/>
              </w:rPr>
              <w:t xml:space="preserve">法定代表人授权委托书（格式）</w:t>
            </w:r>
            <w:r/>
          </w:p>
        </w:tc>
        <w:tc>
          <w:tcPr>
            <w:tcW w:w="2451" w:type="dxa"/>
            <w:vAlign w:val="top"/>
            <w:textDirection w:val="lrTb"/>
            <w:noWrap w:val="false"/>
          </w:tcPr>
          <w:p>
            <w:pPr>
              <w:pStyle w:val="1248"/>
              <w:ind w:left="961" w:right="141" w:hanging="805"/>
              <w:spacing w:before="89" w:line="259"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Borders>
              <w:top w:val="none" w:color="000000" w:sz="4" w:space="0"/>
            </w:tcBorders>
            <w:tcW w:w="1940" w:type="dxa"/>
            <w:vAlign w:val="top"/>
            <w:vMerge w:val="continue"/>
            <w:textDirection w:val="lrTb"/>
            <w:noWrap w:val="false"/>
          </w:tcPr>
          <w:p>
            <w:pPr>
              <w:rPr>
                <w:rFonts w:ascii="Arial"/>
                <w:color w:val="auto"/>
                <w:sz w:val="21"/>
              </w:rPr>
            </w:pPr>
            <w:r>
              <w:rPr>
                <w:rFonts w:ascii="Arial"/>
                <w:color w:val="auto"/>
                <w:sz w:val="21"/>
              </w:rPr>
            </w:r>
            <w:r/>
          </w:p>
        </w:tc>
      </w:tr>
      <w:tr>
        <w:trPr>
          <w:jc w:val="center"/>
          <w:trHeight w:val="705"/>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0" w:right="135"/>
              <w:spacing w:before="138" w:line="264" w:lineRule="auto"/>
              <w:rPr>
                <w:color w:val="auto"/>
                <w:sz w:val="18"/>
                <w:szCs w:val="18"/>
              </w:rPr>
            </w:pPr>
            <w:r>
              <w:rPr>
                <w:color w:val="auto"/>
                <w:spacing w:val="-2"/>
                <w:sz w:val="18"/>
                <w:szCs w:val="18"/>
              </w:rPr>
              <w:t xml:space="preserve">提交参加政府采购活动前</w:t>
            </w:r>
            <w:r>
              <w:rPr>
                <w:color w:val="auto"/>
                <w:spacing w:val="-25"/>
                <w:sz w:val="18"/>
                <w:szCs w:val="18"/>
              </w:rPr>
              <w:t xml:space="preserve"> </w:t>
            </w:r>
            <w:r>
              <w:rPr>
                <w:color w:val="auto"/>
                <w:spacing w:val="-2"/>
                <w:sz w:val="18"/>
                <w:szCs w:val="18"/>
              </w:rPr>
              <w:t xml:space="preserve">3</w:t>
            </w:r>
            <w:r>
              <w:rPr>
                <w:color w:val="auto"/>
                <w:spacing w:val="-38"/>
                <w:sz w:val="18"/>
                <w:szCs w:val="18"/>
              </w:rPr>
              <w:t xml:space="preserve"> </w:t>
            </w:r>
            <w:r>
              <w:rPr>
                <w:color w:val="auto"/>
                <w:spacing w:val="-2"/>
                <w:sz w:val="18"/>
                <w:szCs w:val="18"/>
              </w:rPr>
              <w:t xml:space="preserve">年内在经营活</w:t>
            </w:r>
            <w:r>
              <w:rPr>
                <w:color w:val="auto"/>
                <w:sz w:val="18"/>
                <w:szCs w:val="18"/>
              </w:rPr>
              <w:t xml:space="preserve"> </w:t>
            </w:r>
            <w:r>
              <w:rPr>
                <w:color w:val="auto"/>
                <w:spacing w:val="-1"/>
                <w:sz w:val="18"/>
                <w:szCs w:val="18"/>
              </w:rPr>
              <w:t xml:space="preserve">动中没有重大违法记录的书面声明</w:t>
            </w:r>
            <w:r/>
          </w:p>
        </w:tc>
        <w:tc>
          <w:tcPr>
            <w:tcW w:w="2451" w:type="dxa"/>
            <w:vAlign w:val="top"/>
            <w:textDirection w:val="lrTb"/>
            <w:noWrap w:val="false"/>
          </w:tcPr>
          <w:p>
            <w:pPr>
              <w:pStyle w:val="1248"/>
              <w:ind w:left="961" w:right="141" w:hanging="805"/>
              <w:spacing w:before="139" w:line="264"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r>
        <w:trPr>
          <w:jc w:val="center"/>
          <w:trHeight w:val="645"/>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09" w:right="135" w:firstLine="4"/>
              <w:spacing w:before="111" w:line="263" w:lineRule="auto"/>
              <w:rPr>
                <w:color w:val="auto"/>
                <w:sz w:val="18"/>
                <w:szCs w:val="18"/>
              </w:rPr>
            </w:pPr>
            <w:r>
              <w:rPr>
                <w:color w:val="auto"/>
                <w:spacing w:val="-1"/>
                <w:sz w:val="18"/>
                <w:szCs w:val="18"/>
              </w:rPr>
              <w:t xml:space="preserve">具有良好的商业信誉和健全的财务会计制</w:t>
            </w:r>
            <w:r>
              <w:rPr>
                <w:color w:val="auto"/>
                <w:spacing w:val="6"/>
                <w:sz w:val="18"/>
                <w:szCs w:val="18"/>
              </w:rPr>
              <w:t xml:space="preserve"> </w:t>
            </w:r>
            <w:r>
              <w:rPr>
                <w:color w:val="auto"/>
                <w:spacing w:val="-1"/>
                <w:sz w:val="18"/>
                <w:szCs w:val="18"/>
              </w:rPr>
              <w:t xml:space="preserve">度（提供</w:t>
            </w:r>
            <w:r>
              <w:rPr>
                <w:rFonts w:hint="eastAsia"/>
                <w:color w:val="auto"/>
                <w:spacing w:val="-1"/>
                <w:sz w:val="18"/>
                <w:szCs w:val="18"/>
                <w:lang w:val="en-US" w:eastAsia="zh-CN"/>
              </w:rPr>
              <w:t xml:space="preserve">承诺函</w:t>
            </w:r>
            <w:r>
              <w:rPr>
                <w:color w:val="auto"/>
                <w:spacing w:val="-1"/>
                <w:sz w:val="18"/>
                <w:szCs w:val="18"/>
              </w:rPr>
              <w:t xml:space="preserve">）</w:t>
            </w:r>
            <w:r/>
          </w:p>
        </w:tc>
        <w:tc>
          <w:tcPr>
            <w:tcW w:w="2451" w:type="dxa"/>
            <w:vAlign w:val="top"/>
            <w:textDirection w:val="lrTb"/>
            <w:noWrap w:val="false"/>
          </w:tcPr>
          <w:p>
            <w:pPr>
              <w:pStyle w:val="1248"/>
              <w:ind w:left="961" w:right="141" w:hanging="805"/>
              <w:spacing w:before="111" w:line="264"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r>
        <w:trPr>
          <w:jc w:val="center"/>
          <w:trHeight w:val="767"/>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1"/>
              <w:spacing w:before="241" w:line="219" w:lineRule="auto"/>
              <w:rPr>
                <w:color w:val="auto"/>
                <w:sz w:val="18"/>
                <w:szCs w:val="18"/>
              </w:rPr>
            </w:pPr>
            <w:r>
              <w:rPr>
                <w:color w:val="auto"/>
                <w:spacing w:val="-1"/>
                <w:sz w:val="18"/>
                <w:szCs w:val="18"/>
              </w:rPr>
              <w:t xml:space="preserve">依法缴纳税收和社会保障资金的相关材料（提供</w:t>
            </w:r>
            <w:r>
              <w:rPr>
                <w:rFonts w:hint="eastAsia"/>
                <w:color w:val="auto"/>
                <w:spacing w:val="-1"/>
                <w:sz w:val="18"/>
                <w:szCs w:val="18"/>
                <w:lang w:val="en-US" w:eastAsia="zh-CN"/>
              </w:rPr>
              <w:t xml:space="preserve">承诺函</w:t>
            </w:r>
            <w:r>
              <w:rPr>
                <w:color w:val="auto"/>
                <w:spacing w:val="-1"/>
                <w:sz w:val="18"/>
                <w:szCs w:val="18"/>
              </w:rPr>
              <w:t xml:space="preserve">）</w:t>
            </w:r>
            <w:r/>
          </w:p>
        </w:tc>
        <w:tc>
          <w:tcPr>
            <w:tcW w:w="2451" w:type="dxa"/>
            <w:vAlign w:val="top"/>
            <w:textDirection w:val="lrTb"/>
            <w:noWrap w:val="false"/>
          </w:tcPr>
          <w:p>
            <w:pPr>
              <w:pStyle w:val="1248"/>
              <w:ind w:left="961" w:right="141" w:hanging="805"/>
              <w:spacing w:before="89" w:line="259"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r>
        <w:trPr>
          <w:jc w:val="center"/>
          <w:trHeight w:val="605"/>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13" w:right="135"/>
              <w:spacing w:before="91" w:line="258" w:lineRule="auto"/>
              <w:rPr>
                <w:color w:val="auto"/>
                <w:sz w:val="18"/>
                <w:szCs w:val="18"/>
              </w:rPr>
            </w:pPr>
            <w:r>
              <w:rPr>
                <w:color w:val="auto"/>
                <w:spacing w:val="-1"/>
                <w:sz w:val="18"/>
                <w:szCs w:val="18"/>
              </w:rPr>
              <w:t xml:space="preserve">具备履行合同所必需的设备和专业技术能</w:t>
            </w:r>
            <w:r>
              <w:rPr>
                <w:color w:val="auto"/>
                <w:spacing w:val="6"/>
                <w:sz w:val="18"/>
                <w:szCs w:val="18"/>
              </w:rPr>
              <w:t xml:space="preserve"> </w:t>
            </w:r>
            <w:r>
              <w:rPr>
                <w:color w:val="auto"/>
                <w:spacing w:val="-2"/>
                <w:sz w:val="18"/>
                <w:szCs w:val="18"/>
              </w:rPr>
              <w:t xml:space="preserve">力的证明材料</w:t>
            </w:r>
            <w:r/>
          </w:p>
        </w:tc>
        <w:tc>
          <w:tcPr>
            <w:tcW w:w="2451" w:type="dxa"/>
            <w:vAlign w:val="top"/>
            <w:textDirection w:val="lrTb"/>
            <w:noWrap w:val="false"/>
          </w:tcPr>
          <w:p>
            <w:pPr>
              <w:pStyle w:val="1248"/>
              <w:ind w:left="961" w:right="141" w:hanging="805"/>
              <w:spacing w:before="91" w:line="258"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r>
        <w:trPr>
          <w:jc w:val="center"/>
          <w:trHeight w:val="609"/>
        </w:trPr>
        <w:tc>
          <w:tcPr>
            <w:tcW w:w="651" w:type="dxa"/>
            <w:vAlign w:val="top"/>
            <w:textDirection w:val="lrTb"/>
            <w:noWrap w:val="false"/>
          </w:tcPr>
          <w:p>
            <w:pPr>
              <w:rPr>
                <w:rFonts w:ascii="Arial"/>
                <w:color w:val="auto"/>
                <w:sz w:val="21"/>
              </w:rPr>
            </w:pPr>
            <w:r>
              <w:rPr>
                <w:rFonts w:ascii="Arial"/>
                <w:color w:val="auto"/>
                <w:sz w:val="21"/>
              </w:rPr>
            </w:r>
            <w:r/>
          </w:p>
        </w:tc>
        <w:tc>
          <w:tcPr>
            <w:tcW w:w="3484" w:type="dxa"/>
            <w:vAlign w:val="top"/>
            <w:textDirection w:val="lrTb"/>
            <w:noWrap w:val="false"/>
          </w:tcPr>
          <w:p>
            <w:pPr>
              <w:pStyle w:val="1248"/>
              <w:ind w:left="127"/>
              <w:spacing w:before="240" w:line="220" w:lineRule="auto"/>
              <w:rPr>
                <w:rFonts w:hint="eastAsia" w:eastAsia="宋体"/>
                <w:color w:val="auto"/>
                <w:sz w:val="18"/>
                <w:szCs w:val="18"/>
                <w:lang w:eastAsia="zh-CN"/>
              </w:rPr>
            </w:pPr>
            <w:r>
              <w:rPr>
                <w:rFonts w:hint="eastAsia"/>
                <w:color w:val="auto"/>
                <w:spacing w:val="-4"/>
                <w:sz w:val="18"/>
                <w:szCs w:val="18"/>
                <w:lang w:val="en-US" w:eastAsia="zh-CN"/>
              </w:rPr>
              <w:t xml:space="preserve">中小企业声明函</w:t>
            </w:r>
            <w:r/>
          </w:p>
        </w:tc>
        <w:tc>
          <w:tcPr>
            <w:tcW w:w="2451" w:type="dxa"/>
            <w:vAlign w:val="top"/>
            <w:textDirection w:val="lrTb"/>
            <w:noWrap w:val="false"/>
          </w:tcPr>
          <w:p>
            <w:pPr>
              <w:pStyle w:val="1248"/>
              <w:ind w:left="961" w:right="141" w:hanging="805"/>
              <w:spacing w:before="92" w:line="260" w:lineRule="auto"/>
              <w:rPr>
                <w:color w:val="auto"/>
                <w:sz w:val="18"/>
                <w:szCs w:val="18"/>
              </w:rPr>
            </w:pPr>
            <w:r>
              <w:rPr>
                <w:color w:val="auto"/>
                <w:spacing w:val="-1"/>
                <w:sz w:val="18"/>
                <w:szCs w:val="18"/>
              </w:rPr>
              <w:t xml:space="preserve">原件扫描件上传至电子投标</w:t>
            </w:r>
            <w:r>
              <w:rPr>
                <w:color w:val="auto"/>
                <w:sz w:val="18"/>
                <w:szCs w:val="18"/>
              </w:rPr>
              <w:t xml:space="preserve"> </w:t>
            </w:r>
            <w:r>
              <w:rPr>
                <w:color w:val="auto"/>
                <w:spacing w:val="-3"/>
                <w:sz w:val="18"/>
                <w:szCs w:val="18"/>
              </w:rPr>
              <w:t xml:space="preserve">文件中</w:t>
            </w:r>
            <w:r/>
          </w:p>
        </w:tc>
        <w:tc>
          <w:tcPr>
            <w:tcW w:w="1940" w:type="dxa"/>
            <w:vAlign w:val="top"/>
            <w:textDirection w:val="lrTb"/>
            <w:noWrap w:val="false"/>
          </w:tcPr>
          <w:p>
            <w:pPr>
              <w:rPr>
                <w:rFonts w:ascii="Arial"/>
                <w:color w:val="auto"/>
                <w:sz w:val="21"/>
              </w:rPr>
            </w:pPr>
            <w:r>
              <w:rPr>
                <w:rFonts w:ascii="Arial"/>
                <w:color w:val="auto"/>
                <w:sz w:val="21"/>
              </w:rPr>
            </w:r>
            <w:r/>
          </w:p>
        </w:tc>
      </w:tr>
    </w:tbl>
    <w:p>
      <w:pPr>
        <w:spacing w:line="360" w:lineRule="auto"/>
        <w:rPr>
          <w:rFonts w:hint="eastAsia" w:ascii="宋体" w:hAnsi="宋体" w:eastAsia="宋体" w:cs="黑体"/>
          <w:b/>
          <w:bCs/>
          <w:color w:val="000000"/>
          <w:szCs w:val="21"/>
        </w:rPr>
      </w:pPr>
      <w:r>
        <w:rPr>
          <w:rFonts w:hint="eastAsia" w:ascii="宋体" w:hAnsi="宋体" w:eastAsia="宋体" w:cs="黑体"/>
          <w:b/>
          <w:bCs/>
          <w:color w:val="000000"/>
          <w:szCs w:val="21"/>
        </w:rPr>
      </w:r>
      <w:r/>
    </w:p>
    <w:p>
      <w:pPr>
        <w:spacing w:line="360" w:lineRule="auto"/>
        <w:rPr>
          <w:rFonts w:hint="eastAsia" w:ascii="宋体" w:hAnsi="宋体" w:eastAsia="宋体" w:cs="黑体"/>
          <w:b/>
          <w:bCs/>
          <w:color w:val="000000"/>
          <w:szCs w:val="21"/>
        </w:rPr>
      </w:pPr>
      <w:r>
        <w:rPr>
          <w:rFonts w:hint="eastAsia" w:ascii="宋体" w:hAnsi="宋体" w:eastAsia="宋体" w:cs="黑体"/>
          <w:b/>
          <w:bCs/>
          <w:color w:val="000000"/>
          <w:szCs w:val="21"/>
        </w:rPr>
        <w:t xml:space="preserve">注：上述资料必须上传至投标文件制作工具中，否则视为资格审查不通过。</w:t>
      </w:r>
      <w:r/>
    </w:p>
    <w:p>
      <w:pP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（三）企业业绩</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企业类似业绩一览表</w:t>
      </w:r>
      <w:r/>
    </w:p>
    <w:tbl>
      <w:tblPr>
        <w:tblStyle w:val="915"/>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2486"/>
        <w:gridCol w:w="1327"/>
        <w:gridCol w:w="1236"/>
        <w:gridCol w:w="1440"/>
        <w:gridCol w:w="1260"/>
      </w:tblGrid>
      <w:tr>
        <w:trPr>
          <w:jc w:val="center"/>
          <w:trHeight w:val="1110"/>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序号</w:t>
            </w:r>
            <w:r/>
          </w:p>
        </w:tc>
        <w:tc>
          <w:tcPr>
            <w:tcW w:w="2486"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项目名称</w:t>
            </w:r>
            <w:r/>
          </w:p>
        </w:tc>
        <w:tc>
          <w:tcPr>
            <w:tcW w:w="1327"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项目金额</w:t>
            </w:r>
            <w:r/>
          </w:p>
        </w:tc>
        <w:tc>
          <w:tcPr>
            <w:tcW w:w="1236"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业主单位</w:t>
            </w:r>
            <w:r/>
          </w:p>
        </w:tc>
        <w:tc>
          <w:tcPr>
            <w:tcW w:w="144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合同/证明材料</w:t>
            </w:r>
            <w:r/>
          </w:p>
        </w:tc>
        <w:tc>
          <w:tcPr>
            <w:tcW w:w="126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项目时间</w:t>
            </w:r>
            <w:r/>
          </w:p>
        </w:tc>
      </w:tr>
      <w:tr>
        <w:trPr>
          <w:jc w:val="center"/>
          <w:trHeight w:val="552"/>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44"/>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2</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681"/>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3</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75"/>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4</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53"/>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5</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45"/>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6</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7</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8</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9</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jc w:val="center"/>
          <w:trHeight w:val="538"/>
        </w:trPr>
        <w:tc>
          <w:tcPr>
            <w:tcW w:w="1480" w:type="dxa"/>
            <w:vAlign w:val="center"/>
            <w:textDirection w:val="lrTb"/>
            <w:noWrap w:val="false"/>
          </w:tcPr>
          <w:p>
            <w:pPr>
              <w:pStyle w:val="1101"/>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10</w:t>
            </w:r>
            <w:r/>
          </w:p>
        </w:tc>
        <w:tc>
          <w:tcPr>
            <w:tcW w:w="248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101"/>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bl>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备注：</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1、投标人根据评标方法与评标标准的要求提供，并附相关证明资料；</w:t>
      </w:r>
      <w:r/>
    </w:p>
    <w:p>
      <w:pPr>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2、行数不够，自行添加。</w:t>
      </w:r>
      <w:r/>
    </w:p>
    <w:p>
      <w:pPr>
        <w:jc w:val="center"/>
        <w:spacing w:line="360" w:lineRule="auto"/>
        <w:rPr>
          <w:rFonts w:ascii="宋体" w:hAnsi="宋体" w:eastAsia="宋体"/>
          <w:b/>
          <w:bCs/>
          <w:sz w:val="36"/>
          <w:szCs w:val="36"/>
        </w:rPr>
      </w:pPr>
      <w:r>
        <w:rPr>
          <w:rFonts w:hint="eastAsia" w:ascii="宋体" w:hAnsi="宋体" w:eastAsia="宋体" w:cs="黑体"/>
          <w:color w:val="000000"/>
          <w:szCs w:val="21"/>
        </w:rPr>
        <w:br w:type="page" w:clear="all"/>
      </w:r>
      <w:r>
        <w:rPr>
          <w:rFonts w:hint="eastAsia" w:ascii="宋体" w:hAnsi="宋体" w:eastAsia="宋体" w:cs="黑体"/>
          <w:b/>
          <w:bCs/>
          <w:color w:val="000000"/>
          <w:sz w:val="28"/>
          <w:szCs w:val="28"/>
        </w:rPr>
        <w:t xml:space="preserve">（四）人员配备一览表</w:t>
      </w:r>
      <w:r/>
    </w:p>
    <w:p>
      <w:pPr>
        <w:spacing w:line="360" w:lineRule="auto"/>
        <w:rPr>
          <w:rFonts w:ascii="宋体" w:hAnsi="宋体" w:eastAsia="宋体"/>
          <w:sz w:val="24"/>
        </w:rPr>
      </w:pPr>
      <w:r>
        <w:rPr>
          <w:rFonts w:ascii="宋体" w:hAnsi="宋体" w:eastAsia="宋体"/>
          <w:sz w:val="24"/>
        </w:rPr>
      </w:r>
      <w:r/>
    </w:p>
    <w:tbl>
      <w:tblPr>
        <w:tblStyle w:val="915"/>
        <w:tblW w:w="94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842"/>
        <w:gridCol w:w="1560"/>
        <w:gridCol w:w="2126"/>
        <w:gridCol w:w="1790"/>
        <w:gridCol w:w="1209"/>
      </w:tblGrid>
      <w:tr>
        <w:trPr>
          <w:jc w:val="center"/>
          <w:trHeight w:val="1271"/>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序号</w:t>
            </w:r>
            <w:r/>
          </w:p>
        </w:tc>
        <w:tc>
          <w:tcPr>
            <w:tcW w:w="1842"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姓名</w:t>
            </w:r>
            <w:r/>
          </w:p>
        </w:tc>
        <w:tc>
          <w:tcPr>
            <w:tcW w:w="1560"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专业</w:t>
            </w:r>
            <w:r/>
          </w:p>
        </w:tc>
        <w:tc>
          <w:tcPr>
            <w:tcW w:w="2126"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岗位名称</w:t>
            </w:r>
            <w:r/>
          </w:p>
        </w:tc>
        <w:tc>
          <w:tcPr>
            <w:tcW w:w="1790"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证书名称及编号</w:t>
            </w:r>
            <w:r/>
          </w:p>
        </w:tc>
        <w:tc>
          <w:tcPr>
            <w:tcW w:w="1209"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备注</w:t>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1</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2</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3</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hint="eastAsia" w:ascii="宋体" w:hAnsi="宋体" w:eastAsia="宋体" w:cs="黑体"/>
                <w:szCs w:val="21"/>
              </w:rPr>
              <w:t xml:space="preserve">...</w:t>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r>
        <w:trPr>
          <w:jc w:val="center"/>
          <w:trHeight w:val="567"/>
        </w:trPr>
        <w:tc>
          <w:tcPr>
            <w:tcW w:w="954"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jc w:val="center"/>
              <w:spacing w:line="360" w:lineRule="auto"/>
              <w:rPr>
                <w:rFonts w:ascii="宋体" w:hAnsi="宋体" w:eastAsia="宋体" w:cs="黑体"/>
                <w:szCs w:val="21"/>
              </w:rPr>
            </w:pPr>
            <w:r>
              <w:rPr>
                <w:rFonts w:ascii="宋体" w:hAnsi="宋体" w:eastAsia="宋体" w:cs="黑体"/>
                <w:szCs w:val="21"/>
              </w:rPr>
            </w:r>
            <w:r/>
          </w:p>
        </w:tc>
      </w:tr>
    </w:tbl>
    <w:p>
      <w:pPr>
        <w:spacing w:line="560" w:lineRule="exact"/>
        <w:rPr>
          <w:rFonts w:ascii="宋体" w:hAnsi="宋体" w:eastAsia="宋体"/>
          <w:szCs w:val="21"/>
        </w:rPr>
      </w:pPr>
      <w:r>
        <w:rPr>
          <w:rFonts w:hint="eastAsia" w:ascii="宋体" w:hAnsi="宋体" w:eastAsia="宋体" w:cs="黑体"/>
          <w:szCs w:val="21"/>
        </w:rPr>
        <w:t xml:space="preserve">注：</w:t>
      </w:r>
      <w:r>
        <w:rPr>
          <w:rFonts w:hint="eastAsia" w:ascii="宋体" w:hAnsi="宋体" w:eastAsia="宋体"/>
          <w:szCs w:val="21"/>
        </w:rPr>
        <w:t xml:space="preserve">1、如投标人中标，本项目团队人员必须按本表承诺人员实际操作，不得随意更换；</w:t>
      </w:r>
      <w:r/>
    </w:p>
    <w:p>
      <w:pPr>
        <w:spacing w:line="360" w:lineRule="auto"/>
        <w:rPr>
          <w:rFonts w:hint="eastAsia" w:ascii="宋体" w:hAnsi="宋体" w:eastAsia="宋体" w:cs="黑体"/>
          <w:color w:val="000000"/>
          <w:szCs w:val="21"/>
        </w:rPr>
      </w:pPr>
      <w:r>
        <w:rPr>
          <w:rFonts w:hint="eastAsia" w:ascii="宋体" w:hAnsi="宋体" w:eastAsia="宋体"/>
          <w:szCs w:val="21"/>
        </w:rPr>
        <w:t xml:space="preserve">2、参与本项目人员的资格证书或职称证书、社保证明等证明材料附后。</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109"/>
        <w:jc w:val="center"/>
        <w:spacing w:line="600" w:lineRule="exact"/>
        <w:rPr>
          <w:rFonts w:ascii="宋体" w:hAnsi="宋体" w:eastAsia="宋体"/>
          <w:b/>
          <w:bCs/>
          <w:sz w:val="32"/>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（五）</w:t>
      </w:r>
      <w:r>
        <w:rPr>
          <w:rFonts w:hint="eastAsia" w:ascii="宋体" w:hAnsi="宋体" w:eastAsia="宋体"/>
          <w:b/>
          <w:bCs/>
          <w:sz w:val="32"/>
        </w:rPr>
        <w:t xml:space="preserve">商务条款偏离表</w:t>
      </w:r>
      <w:r/>
    </w:p>
    <w:p>
      <w:pPr>
        <w:pStyle w:val="1109"/>
        <w:ind w:firstLine="420"/>
        <w:spacing w:line="400" w:lineRule="exact"/>
        <w:rPr>
          <w:rFonts w:ascii="宋体" w:hAnsi="宋体" w:eastAsia="宋体"/>
        </w:rPr>
      </w:pPr>
      <w:r>
        <w:rPr>
          <w:rFonts w:hint="eastAsia" w:ascii="宋体" w:hAnsi="宋体" w:eastAsia="宋体"/>
        </w:rPr>
        <w:t xml:space="preserve">请逐条对应采购文件的“项目需求”中要求的商务条件，认真填写该表。</w:t>
      </w:r>
      <w:r/>
    </w:p>
    <w:p>
      <w:pPr>
        <w:pStyle w:val="1109"/>
        <w:spacing w:line="400" w:lineRule="exact"/>
        <w:rPr>
          <w:rFonts w:ascii="宋体" w:hAnsi="宋体" w:eastAsia="宋体"/>
          <w:b/>
          <w:bCs/>
        </w:rPr>
      </w:pPr>
      <w:r>
        <w:rPr>
          <w:rFonts w:ascii="宋体" w:hAnsi="宋体" w:eastAsia="宋体"/>
          <w:b/>
          <w:bCs/>
        </w:rPr>
      </w:r>
      <w:r/>
    </w:p>
    <w:tbl>
      <w:tblPr>
        <w:tblStyle w:val="915"/>
        <w:tblW w:w="863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671"/>
        <w:gridCol w:w="2172"/>
        <w:gridCol w:w="2472"/>
        <w:gridCol w:w="2412"/>
      </w:tblGrid>
      <w:tr>
        <w:trPr/>
        <w:tc>
          <w:tcPr>
            <w:tcW w:w="911" w:type="dxa"/>
            <w:vAlign w:val="top"/>
            <w:textDirection w:val="lrTb"/>
            <w:noWrap w:val="false"/>
          </w:tcPr>
          <w:p>
            <w:pPr>
              <w:pStyle w:val="1109"/>
              <w:spacing w:line="600" w:lineRule="exact"/>
              <w:rPr>
                <w:rFonts w:ascii="宋体" w:hAnsi="宋体" w:eastAsia="宋体"/>
              </w:rPr>
            </w:pPr>
            <w:r>
              <w:rPr>
                <w:rFonts w:hint="eastAsia" w:ascii="宋体" w:hAnsi="宋体" w:eastAsia="宋体"/>
              </w:rPr>
              <w:t xml:space="preserve">分标号</w:t>
            </w:r>
            <w:r/>
          </w:p>
        </w:tc>
        <w:tc>
          <w:tcPr>
            <w:tcW w:w="671" w:type="dxa"/>
            <w:vAlign w:val="center"/>
            <w:textDirection w:val="lrTb"/>
            <w:noWrap w:val="false"/>
          </w:tcPr>
          <w:p>
            <w:pPr>
              <w:pStyle w:val="1109"/>
              <w:jc w:val="center"/>
              <w:spacing w:line="600" w:lineRule="exact"/>
              <w:rPr>
                <w:rFonts w:ascii="宋体" w:hAnsi="宋体" w:eastAsia="宋体"/>
              </w:rPr>
            </w:pPr>
            <w:r>
              <w:rPr>
                <w:rFonts w:hint="eastAsia" w:ascii="宋体" w:hAnsi="宋体" w:eastAsia="宋体"/>
              </w:rPr>
              <w:t xml:space="preserve">项号</w:t>
            </w:r>
            <w:r/>
          </w:p>
        </w:tc>
        <w:tc>
          <w:tcPr>
            <w:tcW w:w="2172" w:type="dxa"/>
            <w:vAlign w:val="center"/>
            <w:textDirection w:val="lrTb"/>
            <w:noWrap w:val="false"/>
          </w:tcPr>
          <w:p>
            <w:pPr>
              <w:pStyle w:val="1109"/>
              <w:jc w:val="center"/>
              <w:spacing w:line="600" w:lineRule="exact"/>
              <w:rPr>
                <w:rFonts w:ascii="宋体" w:hAnsi="宋体" w:eastAsia="宋体"/>
              </w:rPr>
            </w:pPr>
            <w:r>
              <w:rPr>
                <w:rFonts w:hint="eastAsia" w:ascii="宋体" w:hAnsi="宋体" w:eastAsia="宋体"/>
              </w:rPr>
              <w:t xml:space="preserve">采购文件的商务条款</w:t>
            </w:r>
            <w:r/>
          </w:p>
        </w:tc>
        <w:tc>
          <w:tcPr>
            <w:tcW w:w="2472" w:type="dxa"/>
            <w:vAlign w:val="center"/>
            <w:textDirection w:val="lrTb"/>
            <w:noWrap w:val="false"/>
          </w:tcPr>
          <w:p>
            <w:pPr>
              <w:pStyle w:val="1109"/>
              <w:jc w:val="center"/>
              <w:spacing w:line="600" w:lineRule="exact"/>
              <w:rPr>
                <w:rFonts w:ascii="宋体" w:hAnsi="宋体" w:eastAsia="宋体"/>
              </w:rPr>
            </w:pPr>
            <w:r>
              <w:rPr>
                <w:rFonts w:hint="eastAsia" w:ascii="宋体" w:hAnsi="宋体" w:eastAsia="宋体"/>
              </w:rPr>
              <w:t xml:space="preserve">投标文件的商务条款</w:t>
            </w:r>
            <w:r/>
          </w:p>
        </w:tc>
        <w:tc>
          <w:tcPr>
            <w:tcW w:w="2412" w:type="dxa"/>
            <w:vAlign w:val="center"/>
            <w:textDirection w:val="lrTb"/>
            <w:noWrap w:val="false"/>
          </w:tcPr>
          <w:p>
            <w:pPr>
              <w:pStyle w:val="1109"/>
              <w:jc w:val="center"/>
              <w:spacing w:line="600" w:lineRule="exact"/>
              <w:rPr>
                <w:rFonts w:ascii="宋体" w:hAnsi="宋体" w:eastAsia="宋体"/>
              </w:rPr>
            </w:pPr>
            <w:r>
              <w:rPr>
                <w:rFonts w:hint="eastAsia" w:ascii="宋体" w:hAnsi="宋体" w:eastAsia="宋体"/>
              </w:rPr>
              <w:t xml:space="preserve">偏离说明</w:t>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9"/>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9"/>
              <w:spacing w:line="600" w:lineRule="exact"/>
              <w:rPr>
                <w:rFonts w:ascii="宋体" w:hAnsi="宋体" w:eastAsia="宋体"/>
              </w:rPr>
            </w:pPr>
            <w:r>
              <w:rPr>
                <w:rFonts w:ascii="宋体" w:hAnsi="宋体" w:eastAsia="宋体"/>
              </w:rPr>
            </w:r>
            <w:r/>
          </w:p>
        </w:tc>
      </w:tr>
    </w:tbl>
    <w:p>
      <w:pPr>
        <w:pStyle w:val="1109"/>
        <w:spacing w:line="600" w:lineRule="exact"/>
        <w:rPr>
          <w:rFonts w:ascii="宋体" w:hAnsi="宋体" w:eastAsia="宋体"/>
        </w:rPr>
      </w:pPr>
      <w:r>
        <w:rPr>
          <w:rFonts w:hint="eastAsia" w:ascii="宋体" w:hAnsi="宋体" w:eastAsia="宋体"/>
        </w:rPr>
        <w:t xml:space="preserve">注：“偏离”系指“正偏离”、“负偏离”或“无偏离”。</w:t>
      </w:r>
      <w:r/>
    </w:p>
    <w:p>
      <w:pPr>
        <w:pStyle w:val="1109"/>
        <w:spacing w:line="600" w:lineRule="exact"/>
        <w:rPr>
          <w:rFonts w:ascii="宋体" w:hAnsi="宋体" w:eastAsia="宋体"/>
        </w:rPr>
      </w:pPr>
      <w:r>
        <w:rPr>
          <w:rFonts w:ascii="宋体" w:hAnsi="宋体" w:eastAsia="宋体"/>
        </w:rPr>
      </w:r>
      <w:r/>
    </w:p>
    <w:p>
      <w:pPr>
        <w:pStyle w:val="1109"/>
        <w:spacing w:line="600" w:lineRule="exact"/>
        <w:rPr>
          <w:rFonts w:ascii="宋体" w:hAnsi="宋体" w:eastAsia="宋体"/>
        </w:rPr>
      </w:pPr>
      <w:r>
        <w:rPr>
          <w:rFonts w:hint="eastAsia" w:ascii="宋体" w:hAnsi="宋体" w:eastAsia="宋体"/>
        </w:rPr>
        <w:t xml:space="preserve">法定代表人或其委托代理人签字（或盖章）：</w:t>
      </w:r>
      <w:r>
        <w:rPr>
          <w:rFonts w:hint="eastAsia" w:ascii="宋体" w:hAnsi="宋体" w:eastAsia="宋体"/>
          <w:u w:val="single"/>
        </w:rPr>
        <w:t xml:space="preserve">                </w:t>
      </w:r>
      <w:r/>
    </w:p>
    <w:p>
      <w:pPr>
        <w:pStyle w:val="1109"/>
        <w:spacing w:line="600" w:lineRule="exact"/>
        <w:rPr>
          <w:rFonts w:ascii="宋体" w:hAnsi="宋体" w:eastAsia="宋体"/>
        </w:rPr>
      </w:pPr>
      <w:r>
        <w:rPr>
          <w:rFonts w:ascii="宋体" w:hAnsi="宋体" w:eastAsia="宋体"/>
        </w:rPr>
      </w:r>
      <w:r/>
    </w:p>
    <w:p>
      <w:pPr>
        <w:pStyle w:val="1109"/>
        <w:spacing w:line="600" w:lineRule="exact"/>
        <w:rPr>
          <w:rFonts w:ascii="宋体" w:hAnsi="宋体" w:eastAsia="宋体"/>
        </w:rPr>
      </w:pPr>
      <w:r>
        <w:rPr>
          <w:rFonts w:hint="eastAsia" w:ascii="宋体" w:hAnsi="宋体" w:eastAsia="宋体"/>
        </w:rPr>
        <w:t xml:space="preserve">投标人（公章）：</w:t>
      </w:r>
      <w:r>
        <w:rPr>
          <w:rFonts w:hint="eastAsia" w:ascii="宋体" w:hAnsi="宋体" w:eastAsia="宋体"/>
          <w:u w:val="single"/>
        </w:rPr>
        <w:t xml:space="preserve">                                        </w:t>
      </w:r>
      <w:r/>
    </w:p>
    <w:p>
      <w:pPr>
        <w:jc w:val="center"/>
        <w:widowControl/>
        <w:rPr>
          <w:rFonts w:hint="eastAsia" w:ascii="宋体" w:hAnsi="宋体" w:eastAsia="宋体" w:cs="黑体"/>
          <w:b/>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（六）投标人认为需要提供的其他材料</w:t>
      </w:r>
      <w:r/>
    </w:p>
    <w:p>
      <w:pPr>
        <w:widowControl/>
        <w:rPr>
          <w:rFonts w:hint="eastAsia" w:ascii="宋体" w:hAnsi="宋体" w:eastAsia="宋体" w:cs="黑体"/>
          <w:b/>
          <w:bCs/>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bCs/>
          <w:color w:val="000000"/>
          <w:sz w:val="28"/>
          <w:szCs w:val="28"/>
        </w:rPr>
        <w:t xml:space="preserve">附件：</w:t>
      </w:r>
      <w:r/>
    </w:p>
    <w:p>
      <w:pPr>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无重大违法违纪承诺（格式）</w:t>
      </w:r>
      <w:r/>
    </w:p>
    <w:p>
      <w:pPr>
        <w:widowControl/>
        <w:rPr>
          <w:rFonts w:hint="eastAsia" w:ascii="宋体" w:hAnsi="宋体" w:eastAsia="宋体" w:cs="黑体"/>
          <w:color w:val="000000"/>
          <w:sz w:val="30"/>
          <w:szCs w:val="30"/>
        </w:rPr>
      </w:pPr>
      <w:r>
        <w:rPr>
          <w:rFonts w:hint="eastAsia" w:ascii="宋体" w:hAnsi="宋体" w:eastAsia="宋体" w:cs="黑体"/>
          <w:color w:val="000000"/>
          <w:sz w:val="30"/>
          <w:szCs w:val="30"/>
        </w:rPr>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（招标人）</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我单位承诺贵单位，在参加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项目活动前3年内在经营活动中没有重大违法记录，愿意接受上级监管部门和各级领导审查、监督、如有不符，愿接受任何处罚。</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投标人：（单位全称）</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p>
    <w:p>
      <w:pPr>
        <w:jc w:val="center"/>
        <w:spacing w:line="560" w:lineRule="exact"/>
        <w:rPr>
          <w:rFonts w:hint="eastAsia" w:ascii="方正小标宋简体" w:hAnsi="仿宋_GB2312" w:eastAsia="方正小标宋简体" w:cs="仿宋_GB2312"/>
          <w:color w:val="000000"/>
          <w:sz w:val="44"/>
          <w:szCs w:val="44"/>
        </w:rPr>
      </w:pPr>
      <w:r>
        <w:rPr>
          <w:rFonts w:hint="eastAsia" w:ascii="宋体" w:hAnsi="宋体" w:eastAsia="宋体" w:cs="黑体"/>
          <w:color w:val="000000"/>
          <w:szCs w:val="21"/>
        </w:rPr>
        <w:br w:type="page" w:clear="all"/>
      </w:r>
      <w:r>
        <w:rPr>
          <w:rFonts w:hint="eastAsia" w:ascii="方正小标宋简体" w:hAnsi="仿宋_GB2312" w:eastAsia="方正小标宋简体" w:cs="仿宋_GB2312"/>
          <w:color w:val="000000"/>
          <w:sz w:val="44"/>
          <w:szCs w:val="44"/>
        </w:rPr>
        <w:t xml:space="preserve">财务状况报告及税收、社会保障资金</w:t>
      </w:r>
      <w:r/>
    </w:p>
    <w:p>
      <w:pPr>
        <w:jc w:val="center"/>
        <w:spacing w:line="560" w:lineRule="exact"/>
        <w:rPr>
          <w:rFonts w:hint="eastAsia" w:ascii="方正小标宋简体" w:hAnsi="仿宋" w:eastAsia="方正小标宋简体"/>
          <w:sz w:val="44"/>
          <w:szCs w:val="44"/>
        </w:rPr>
      </w:pPr>
      <w:r>
        <w:rPr>
          <w:rFonts w:hint="eastAsia" w:ascii="方正小标宋简体" w:hAnsi="仿宋_GB2312" w:eastAsia="方正小标宋简体" w:cs="仿宋_GB2312"/>
          <w:color w:val="000000"/>
          <w:sz w:val="44"/>
          <w:szCs w:val="44"/>
        </w:rPr>
        <w:t xml:space="preserve">缴纳情况承诺函</w:t>
      </w:r>
      <w:r/>
    </w:p>
    <w:p>
      <w:pPr>
        <w:spacing w:line="560" w:lineRule="exact"/>
        <w:rPr>
          <w:rFonts w:hint="eastAsia" w:ascii="仿宋" w:hAnsi="仿宋" w:eastAsia="仿宋"/>
          <w:sz w:val="32"/>
          <w:szCs w:val="32"/>
        </w:rPr>
      </w:pPr>
      <w:r>
        <w:rPr>
          <w:rFonts w:hint="eastAsia" w:ascii="仿宋" w:hAnsi="仿宋" w:eastAsia="仿宋"/>
          <w:sz w:val="32"/>
          <w:szCs w:val="32"/>
        </w:rPr>
        <w:t xml:space="preserve">致：</w:t>
      </w:r>
      <w:r>
        <w:rPr>
          <w:rFonts w:hint="eastAsia" w:ascii="仿宋" w:hAnsi="仿宋" w:eastAsia="仿宋"/>
          <w:i/>
          <w:sz w:val="32"/>
          <w:szCs w:val="32"/>
          <w:u w:val="single"/>
        </w:rPr>
        <w:t xml:space="preserve">采购人名称</w:t>
      </w:r>
      <w:r/>
    </w:p>
    <w:p>
      <w:pPr>
        <w:ind w:firstLine="640"/>
        <w:spacing w:line="560" w:lineRule="exact"/>
        <w:rPr>
          <w:rFonts w:hint="eastAsia" w:ascii="仿宋" w:hAnsi="仿宋" w:eastAsia="仿宋"/>
          <w:sz w:val="32"/>
          <w:szCs w:val="32"/>
        </w:rPr>
      </w:pPr>
      <w:r>
        <w:rPr>
          <w:rFonts w:hint="eastAsia" w:ascii="仿宋" w:hAnsi="仿宋" w:eastAsia="仿宋"/>
          <w:sz w:val="32"/>
          <w:szCs w:val="32"/>
        </w:rPr>
        <w:t xml:space="preserve">我方</w:t>
      </w:r>
      <w:r>
        <w:rPr>
          <w:rFonts w:hint="eastAsia" w:ascii="仿宋" w:hAnsi="仿宋" w:eastAsia="仿宋"/>
          <w:i/>
          <w:sz w:val="32"/>
          <w:szCs w:val="32"/>
          <w:u w:val="single"/>
        </w:rPr>
        <w:t xml:space="preserve">供应商名称</w:t>
      </w:r>
      <w:r>
        <w:rPr>
          <w:rFonts w:hint="eastAsia" w:ascii="仿宋" w:hAnsi="仿宋" w:eastAsia="仿宋"/>
          <w:sz w:val="32"/>
          <w:szCs w:val="32"/>
        </w:rPr>
        <w:t xml:space="preserve">参加</w:t>
      </w:r>
      <w:r>
        <w:rPr>
          <w:rFonts w:hint="eastAsia" w:ascii="仿宋" w:hAnsi="仿宋" w:eastAsia="仿宋"/>
          <w:i/>
          <w:sz w:val="32"/>
          <w:szCs w:val="32"/>
          <w:u w:val="single"/>
        </w:rPr>
        <w:t xml:space="preserve">项目名称</w:t>
      </w:r>
      <w:r>
        <w:rPr>
          <w:rFonts w:hint="eastAsia" w:ascii="仿宋" w:hAnsi="仿宋" w:eastAsia="仿宋"/>
          <w:sz w:val="32"/>
          <w:szCs w:val="32"/>
        </w:rPr>
        <w:t xml:space="preserve">（项目编号：</w:t>
      </w:r>
      <w:r>
        <w:rPr>
          <w:rFonts w:hint="eastAsia" w:ascii="仿宋" w:hAnsi="仿宋" w:eastAsia="仿宋"/>
          <w:i/>
          <w:sz w:val="32"/>
          <w:szCs w:val="32"/>
          <w:u w:val="single"/>
        </w:rPr>
        <w:t xml:space="preserve">项目编号</w:t>
      </w:r>
      <w:r>
        <w:rPr>
          <w:rFonts w:hint="eastAsia" w:ascii="仿宋" w:hAnsi="仿宋" w:eastAsia="仿宋"/>
          <w:sz w:val="32"/>
          <w:szCs w:val="32"/>
        </w:rPr>
        <w:t xml:space="preserve">）采购，根据《</w:t>
      </w:r>
      <w:r>
        <w:rPr>
          <w:rStyle w:val="1135"/>
          <w:rFonts w:hint="eastAsia" w:ascii="仿宋" w:hAnsi="仿宋" w:eastAsia="仿宋" w:cs="Segoe UI"/>
          <w:b w:val="0"/>
          <w:color w:val="000000"/>
          <w:sz w:val="32"/>
          <w:szCs w:val="32"/>
        </w:rPr>
        <w:t xml:space="preserve">关于简化政府采购供应商资格审查有关事项的通知</w:t>
      </w:r>
      <w:r>
        <w:rPr>
          <w:rFonts w:hint="eastAsia" w:ascii="仿宋" w:hAnsi="仿宋" w:eastAsia="仿宋"/>
          <w:sz w:val="32"/>
          <w:szCs w:val="32"/>
        </w:rPr>
        <w:t xml:space="preserve">》（连财购〔2023〕4号），我方承诺具备</w:t>
      </w:r>
      <w:r>
        <w:rPr>
          <w:rFonts w:hint="eastAsia" w:ascii="仿宋" w:hAnsi="仿宋" w:eastAsia="仿宋" w:cs="仿宋_GB2312"/>
          <w:color w:val="000000"/>
          <w:sz w:val="32"/>
          <w:szCs w:val="32"/>
        </w:rPr>
        <w:t xml:space="preserve">《中华人民共和国政府采购法》第二十二条第（二）、第（四）项，《中华人民共和国政府采购法实施条例》第十七条第（二）项规定条件的，</w:t>
      </w:r>
      <w:r>
        <w:rPr>
          <w:rFonts w:hint="eastAsia" w:ascii="仿宋" w:hAnsi="仿宋" w:eastAsia="仿宋"/>
          <w:sz w:val="32"/>
          <w:szCs w:val="32"/>
        </w:rPr>
        <w:t xml:space="preserve">具体包括：</w:t>
      </w:r>
      <w:r/>
    </w:p>
    <w:p>
      <w:pPr>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（1）具有良好的商业信誉和健全的财务会计制度（财务状况报告）；</w:t>
      </w:r>
      <w:r/>
    </w:p>
    <w:p>
      <w:pPr>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（2）有依法缴纳税收和社会保障资金的良好记录。</w:t>
      </w:r>
      <w:r/>
    </w:p>
    <w:p>
      <w:pPr>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我方对上述承诺的真实性负责，如有虚假，将依法承担提供虚假材料谋取中标、成交责任，同时</w:t>
      </w:r>
      <w:r>
        <w:rPr>
          <w:rFonts w:hint="eastAsia" w:ascii="仿宋" w:hAnsi="仿宋" w:eastAsia="仿宋" w:cs="宋体"/>
          <w:sz w:val="32"/>
          <w:szCs w:val="32"/>
        </w:rPr>
        <w:t xml:space="preserve">同意有关主管部门将相关失信信息记入公共信用信息系统并在相关政府门户网站公开。</w:t>
      </w:r>
      <w:r/>
    </w:p>
    <w:p>
      <w:pPr>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特此承诺</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供应商（公章）：          </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法定代表人或其委托代理人（签名或签章）：</w:t>
      </w:r>
      <w:r/>
    </w:p>
    <w:p>
      <w:pPr>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widowControl/>
        <w:rPr>
          <w:rFonts w:hint="eastAsia" w:ascii="宋体" w:hAnsi="宋体" w:eastAsia="宋体" w:cs="黑体"/>
          <w:b/>
          <w:bCs/>
          <w:color w:val="000000"/>
          <w:sz w:val="32"/>
          <w:szCs w:val="32"/>
        </w:rPr>
      </w:pPr>
      <w:r>
        <w:rPr>
          <w:rFonts w:hint="eastAsia" w:ascii="仿宋" w:hAnsi="仿宋" w:eastAsia="仿宋"/>
          <w:sz w:val="32"/>
          <w:szCs w:val="32"/>
        </w:rPr>
        <w:t xml:space="preserve">日期：</w:t>
      </w:r>
      <w:r/>
    </w:p>
    <w:p>
      <w:pPr>
        <w:jc w:val="center"/>
        <w:spacing w:line="360" w:lineRule="auto"/>
        <w:widowControl/>
        <w:rPr>
          <w:rFonts w:hint="eastAsia" w:ascii="宋体" w:hAnsi="宋体" w:eastAsia="宋体" w:cs="黑体"/>
          <w:b/>
          <w:sz w:val="24"/>
        </w:rPr>
      </w:pPr>
      <w:r>
        <w:rPr>
          <w:rFonts w:hint="eastAsia" w:ascii="宋体" w:hAnsi="宋体" w:eastAsia="宋体"/>
        </w:rPr>
        <w:br w:type="page" w:clear="all"/>
      </w:r>
      <w:r>
        <w:rPr>
          <w:rFonts w:hint="eastAsia" w:ascii="宋体" w:hAnsi="宋体" w:eastAsia="宋体" w:cs="黑体"/>
          <w:b/>
          <w:sz w:val="24"/>
        </w:rPr>
        <w:t xml:space="preserve">具备履行合同所必需的设备和专业技术能力的书面声明</w:t>
      </w:r>
      <w:r/>
    </w:p>
    <w:p>
      <w:pPr>
        <w:ind w:firstLine="560"/>
        <w:shd w:val="clear" w:color="auto" w:fill="ffffff"/>
        <w:widowControl/>
        <w:rPr>
          <w:rFonts w:hint="eastAsia" w:ascii="宋体" w:hAnsi="宋体" w:eastAsia="宋体" w:cs="黑体"/>
          <w:szCs w:val="28"/>
        </w:rPr>
      </w:pPr>
      <w:r>
        <w:rPr>
          <w:rFonts w:hint="eastAsia" w:ascii="宋体" w:hAnsi="宋体" w:eastAsia="宋体" w:cs="黑体"/>
          <w:szCs w:val="28"/>
        </w:rPr>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我单位郑重声明：我单位具备履行本项采购合同所必需的设备和专业技术能力，为履行本项采购合同我公司具备如下主要设备和主要专业技术能力：</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主要设备有：</w:t>
      </w:r>
      <w:r>
        <w:rPr>
          <w:rFonts w:hint="eastAsia" w:ascii="宋体" w:hAnsi="宋体" w:eastAsia="宋体" w:cs="黑体"/>
          <w:szCs w:val="21"/>
          <w:u w:val="single"/>
        </w:rPr>
        <w:t xml:space="preserve">               </w:t>
      </w:r>
      <w:r>
        <w:rPr>
          <w:rFonts w:hint="eastAsia" w:ascii="宋体" w:hAnsi="宋体" w:eastAsia="宋体" w:cs="黑体"/>
          <w:szCs w:val="21"/>
        </w:rPr>
        <w:t xml:space="preserve">。</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主要专业技术能力有：</w:t>
      </w:r>
      <w:r>
        <w:rPr>
          <w:rFonts w:hint="eastAsia" w:ascii="宋体" w:hAnsi="宋体" w:eastAsia="宋体" w:cs="黑体"/>
          <w:szCs w:val="21"/>
          <w:u w:val="single"/>
        </w:rPr>
        <w:t xml:space="preserve">                    </w:t>
      </w:r>
      <w:r>
        <w:rPr>
          <w:rFonts w:hint="eastAsia" w:ascii="宋体" w:hAnsi="宋体" w:eastAsia="宋体" w:cs="黑体"/>
          <w:szCs w:val="21"/>
        </w:rPr>
        <w:t xml:space="preserve">。</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                                   </w:t>
      </w:r>
      <w:r/>
    </w:p>
    <w:p>
      <w:pPr>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r>
      <w:r/>
    </w:p>
    <w:p>
      <w:pPr>
        <w:ind w:firstLine="561"/>
        <w:spacing w:line="360" w:lineRule="auto"/>
        <w:shd w:val="clear" w:color="auto" w:fill="ffffff"/>
        <w:widowControl/>
        <w:rPr>
          <w:rFonts w:ascii="宋体" w:hAnsi="宋体" w:eastAsia="宋体" w:cs="黑体"/>
          <w:szCs w:val="21"/>
        </w:rPr>
      </w:pPr>
      <w:r>
        <w:rPr>
          <w:rFonts w:hint="eastAsia" w:ascii="宋体" w:hAnsi="宋体" w:eastAsia="宋体" w:cs="黑体"/>
          <w:szCs w:val="21"/>
        </w:rPr>
        <w:t xml:space="preserve">注：后附相关证明材料</w:t>
      </w:r>
      <w:r/>
    </w:p>
    <w:p>
      <w:pPr>
        <w:jc w:val="center"/>
        <w:spacing w:line="360" w:lineRule="auto"/>
        <w:rPr>
          <w:rFonts w:hint="eastAsia" w:ascii="宋体" w:hAnsi="宋体" w:eastAsia="宋体" w:cs="黑体"/>
          <w:szCs w:val="21"/>
        </w:rPr>
      </w:pPr>
      <w:r>
        <w:rPr>
          <w:rFonts w:hint="eastAsia" w:ascii="宋体" w:hAnsi="宋体" w:eastAsia="宋体" w:cs="黑体"/>
          <w:szCs w:val="21"/>
        </w:rPr>
        <w:t xml:space="preserve">                </w:t>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ind w:firstLine="350"/>
        <w:spacing w:line="360" w:lineRule="auto"/>
        <w:widowControl/>
        <w:rPr>
          <w:rFonts w:hint="eastAsia" w:ascii="宋体" w:hAnsi="宋体" w:eastAsia="宋体" w:cs="黑体"/>
          <w:color w:val="000000"/>
          <w:szCs w:val="21"/>
        </w:rPr>
      </w:pPr>
      <w:r>
        <w:rPr>
          <w:rFonts w:hint="eastAsia" w:ascii="宋体" w:hAnsi="宋体" w:eastAsia="宋体" w:cs="黑体"/>
          <w:szCs w:val="21"/>
        </w:rPr>
        <w:t xml:space="preserve">            </w:t>
      </w:r>
      <w:r>
        <w:rPr>
          <w:rFonts w:hint="eastAsia" w:ascii="宋体" w:hAnsi="宋体" w:eastAsia="宋体" w:cs="黑体"/>
          <w:color w:val="000000"/>
          <w:szCs w:val="21"/>
        </w:rPr>
        <w:t xml:space="preserve">                                投标人：（单位全称）</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p>
    <w:p>
      <w:pPr>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p>
    <w:p>
      <w:pPr>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221"/>
        <w:rPr>
          <w:rFonts w:hint="eastAsia" w:ascii="宋体" w:hAnsi="宋体" w:eastAsia="宋体"/>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rPr>
      </w:r>
      <w:r/>
    </w:p>
    <w:p>
      <w:pPr>
        <w:jc w:val="center"/>
        <w:spacing w:line="360" w:lineRule="auto"/>
        <w:rPr>
          <w:rFonts w:hint="eastAsia" w:ascii="宋体" w:hAnsi="宋体" w:eastAsia="宋体"/>
          <w:b/>
          <w:bCs/>
          <w:sz w:val="36"/>
        </w:rPr>
      </w:pPr>
      <w:r>
        <w:rPr>
          <w:rFonts w:hint="eastAsia" w:ascii="宋体" w:hAnsi="宋体" w:eastAsia="宋体"/>
          <w:b/>
          <w:bCs/>
          <w:sz w:val="24"/>
        </w:rPr>
        <w:t xml:space="preserve">中小企业声明函</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本公司（联合体）郑重声明，根据《政府采购促进中小企业发展管理办法》（财库﹝2020﹞46号）的规定，本公司（联合体）参加</w:t>
      </w:r>
      <w:r>
        <w:rPr>
          <w:rFonts w:hint="eastAsia" w:ascii="宋体" w:hAnsi="宋体" w:eastAsia="宋体" w:cs="黑体"/>
          <w:szCs w:val="21"/>
          <w:u w:val="single"/>
        </w:rPr>
        <w:t xml:space="preserve">（单位名称）</w:t>
      </w:r>
      <w:r>
        <w:rPr>
          <w:rFonts w:hint="eastAsia" w:ascii="宋体" w:hAnsi="宋体" w:eastAsia="宋体" w:cs="黑体"/>
          <w:szCs w:val="21"/>
        </w:rPr>
        <w:t xml:space="preserve">的</w:t>
      </w:r>
      <w:r>
        <w:rPr>
          <w:rFonts w:hint="eastAsia" w:ascii="宋体" w:hAnsi="宋体" w:eastAsia="宋体" w:cs="黑体"/>
          <w:szCs w:val="21"/>
          <w:u w:val="single"/>
        </w:rPr>
        <w:t xml:space="preserve">（项目名称）</w:t>
      </w:r>
      <w:r>
        <w:rPr>
          <w:rFonts w:hint="eastAsia" w:ascii="宋体" w:hAnsi="宋体" w:eastAsia="宋体" w:cs="黑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1.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w:t>
      </w:r>
      <w:r>
        <w:rPr>
          <w:rFonts w:hint="eastAsia" w:ascii="宋体" w:hAnsi="宋体" w:eastAsia="宋体" w:cs="黑体"/>
          <w:szCs w:val="21"/>
          <w:vertAlign w:val="superscript"/>
        </w:rPr>
        <w:t xml:space="preserve">1</w:t>
      </w:r>
      <w:r>
        <w:rPr>
          <w:rFonts w:hint="eastAsia" w:ascii="宋体" w:hAnsi="宋体" w:eastAsia="宋体" w:cs="黑体"/>
          <w:szCs w:val="21"/>
        </w:rPr>
        <w:t xml:space="preserve">，属于</w:t>
      </w:r>
      <w:r>
        <w:rPr>
          <w:rFonts w:hint="eastAsia" w:ascii="宋体" w:hAnsi="宋体" w:eastAsia="宋体" w:cs="黑体"/>
          <w:szCs w:val="21"/>
          <w:u w:val="single"/>
        </w:rPr>
        <w:t xml:space="preserve">（中型企业、小型企业、微型企业）</w:t>
      </w:r>
      <w:r>
        <w:rPr>
          <w:rFonts w:hint="eastAsia" w:ascii="宋体" w:hAnsi="宋体" w:eastAsia="宋体" w:cs="黑体"/>
          <w:szCs w:val="21"/>
        </w:rPr>
        <w:t xml:space="preserve">；</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2.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万元，属于</w:t>
      </w:r>
      <w:r>
        <w:rPr>
          <w:rFonts w:hint="eastAsia" w:ascii="宋体" w:hAnsi="宋体" w:eastAsia="宋体" w:cs="黑体"/>
          <w:szCs w:val="21"/>
          <w:u w:val="single"/>
        </w:rPr>
        <w:t xml:space="preserve">（中型企业、小型企业、微型企业）；</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本企业对上述声明内容的真实性负责。如有虚假，将依法承担相应责任。</w:t>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ind w:firstLine="420"/>
        <w:jc w:val="right"/>
        <w:spacing w:line="360" w:lineRule="auto"/>
        <w:rPr>
          <w:rFonts w:hint="eastAsia" w:ascii="宋体" w:hAnsi="宋体" w:eastAsia="宋体" w:cs="黑体"/>
          <w:szCs w:val="21"/>
        </w:rPr>
      </w:pPr>
      <w:r>
        <w:rPr>
          <w:rFonts w:hint="eastAsia" w:ascii="宋体" w:hAnsi="宋体" w:eastAsia="宋体" w:cs="黑体"/>
          <w:szCs w:val="21"/>
        </w:rPr>
        <w:t xml:space="preserve">企业名称（盖章）：</w:t>
      </w:r>
      <w:r/>
    </w:p>
    <w:p>
      <w:pPr>
        <w:ind w:firstLine="420"/>
        <w:jc w:val="center"/>
        <w:spacing w:line="360" w:lineRule="auto"/>
        <w:rPr>
          <w:rFonts w:hint="eastAsia" w:ascii="宋体" w:hAnsi="宋体" w:eastAsia="宋体" w:cs="黑体"/>
          <w:szCs w:val="21"/>
        </w:rPr>
      </w:pPr>
      <w:r>
        <w:rPr>
          <w:rFonts w:hint="eastAsia" w:ascii="宋体" w:hAnsi="宋体" w:eastAsia="宋体" w:cs="黑体"/>
          <w:szCs w:val="21"/>
        </w:rPr>
        <w:t xml:space="preserve">                                                          日期：</w:t>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hint="eastAsia" w:ascii="宋体" w:hAnsi="宋体" w:eastAsia="宋体"/>
          <w:sz w:val="12"/>
        </w:rPr>
      </w:pPr>
      <w:r>
        <w:rPr>
          <w:rFonts w:hint="eastAsia" w:ascii="宋体" w:hAnsi="宋体" w:eastAsia="宋体"/>
          <w:sz w:val="12"/>
        </w:rPr>
      </w:r>
      <w:r/>
    </w:p>
    <w:p>
      <w:pPr>
        <w:rPr>
          <w:rFonts w:ascii="宋体" w:hAnsi="宋体" w:eastAsia="宋体"/>
        </w:rPr>
        <w:pBdr>
          <w:top w:val="single" w:color="000000" w:sz="4" w:space="0"/>
        </w:pBdr>
      </w:pPr>
      <w:r>
        <w:rPr>
          <w:rFonts w:hint="eastAsia" w:ascii="宋体" w:hAnsi="宋体" w:eastAsia="宋体"/>
          <w:sz w:val="18"/>
          <w:vertAlign w:val="superscript"/>
        </w:rPr>
        <w:t xml:space="preserve">1</w:t>
      </w:r>
      <w:r>
        <w:rPr>
          <w:rFonts w:hint="eastAsia" w:ascii="宋体" w:hAnsi="宋体" w:eastAsia="宋体"/>
          <w:sz w:val="18"/>
        </w:rPr>
        <w:t xml:space="preserve">从业人员、营业收入、资产总额填报上一年度数据，无上一年度数据的新成立企业可不填报。</w:t>
      </w:r>
      <w:r/>
    </w:p>
    <w:p>
      <w:pPr>
        <w:rPr>
          <w:rFonts w:ascii="宋体" w:hAnsi="宋体" w:eastAsia="宋体"/>
        </w:rPr>
      </w:pPr>
      <w:r>
        <w:rPr>
          <w:rFonts w:ascii="宋体" w:hAnsi="宋体" w:eastAsia="宋体"/>
        </w:rPr>
      </w:r>
      <w:r/>
    </w:p>
    <w:p>
      <w:pPr>
        <w:jc w:val="left"/>
        <w:spacing w:line="400" w:lineRule="exact"/>
        <w:widowControl/>
        <w:rPr>
          <w:rFonts w:hint="eastAsia" w:ascii="宋体" w:hAnsi="宋体" w:eastAsia="宋体" w:cs="黑体"/>
          <w:color w:val="000000"/>
          <w:szCs w:val="21"/>
        </w:rPr>
      </w:pPr>
      <w:r>
        <w:rPr>
          <w:rFonts w:hint="eastAsia" w:ascii="宋体" w:hAnsi="宋体" w:eastAsia="宋体" w:cs="黑体"/>
          <w:b/>
          <w:color w:val="000000"/>
          <w:sz w:val="28"/>
          <w:szCs w:val="28"/>
        </w:rPr>
        <w:br w:type="page" w:clear="all"/>
      </w:r>
      <w:r/>
    </w:p>
    <w:p>
      <w:pPr>
        <w:jc w:val="center"/>
        <w:spacing w:line="480" w:lineRule="exact"/>
        <w:rPr>
          <w:rFonts w:hint="eastAsia" w:ascii="宋体" w:hAnsi="宋体" w:eastAsia="宋体" w:cs="黑体"/>
          <w:color w:val="000000"/>
          <w:sz w:val="28"/>
          <w:szCs w:val="28"/>
        </w:rPr>
      </w:pPr>
      <w:r>
        <w:rPr>
          <w:rFonts w:hint="eastAsia" w:ascii="宋体" w:hAnsi="宋体" w:eastAsia="宋体" w:cs="黑体"/>
          <w:b/>
          <w:color w:val="000000"/>
          <w:sz w:val="28"/>
          <w:szCs w:val="28"/>
        </w:rPr>
        <w:t xml:space="preserve">法定代表人授权委托书（格式）</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委托人（名称）</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地  址：</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法定代表人：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职务：</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法人营业执照注册号：</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性别：男（女）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年  龄：</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岁              民族：</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族</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职务：</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身份证号：</w:t>
      </w:r>
      <w:r>
        <w:rPr>
          <w:rFonts w:hint="eastAsia" w:ascii="宋体" w:hAnsi="宋体" w:eastAsia="宋体" w:cs="黑体"/>
          <w:color w:val="000000"/>
          <w:szCs w:val="21"/>
          <w:u w:val="single"/>
        </w:rPr>
        <w:t xml:space="preserve">                               </w:t>
      </w:r>
      <w:r/>
    </w:p>
    <w:p>
      <w:pP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spacing w:line="480" w:lineRule="exact"/>
        <w:rPr>
          <w:rFonts w:hint="eastAsia" w:ascii="宋体" w:hAnsi="宋体" w:eastAsia="宋体" w:cs="黑体"/>
          <w:color w:val="000000"/>
          <w:szCs w:val="21"/>
          <w:u w:val="single"/>
        </w:rPr>
      </w:pPr>
      <w:r>
        <w:rPr>
          <w:rFonts w:hint="eastAsia" w:ascii="宋体" w:hAnsi="宋体" w:eastAsia="宋体" w:cs="黑体"/>
          <w:b/>
          <w:color w:val="000000"/>
          <w:szCs w:val="21"/>
        </w:rPr>
        <w:t xml:space="preserve">灌云县临港产业区管理办公室：</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兹委托我公司职工</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全权代表我公司参与</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项目的招、投标活动及签订经济合同。</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以我公司名义所为的法律行为及签署的文件，我公司均予以认可。有关法律责任均由我公司（企业）承担。</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委托期限自</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日起至该项目合同签订之日止，本委托权为无转委托权。 </w:t>
      </w:r>
      <w:r/>
    </w:p>
    <w:p>
      <w:pPr>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特此授权委托。</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委托人（公章）：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法定代表人（签字）：</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p>
    <w:p>
      <w:pPr>
        <w:ind w:firstLine="1155"/>
        <w:spacing w:line="480" w:lineRule="exact"/>
        <w:rPr>
          <w:rFonts w:hint="eastAsia" w:ascii="宋体" w:hAnsi="宋体" w:eastAsia="宋体" w:cs="黑体"/>
          <w:b/>
          <w:bCs/>
          <w:color w:val="000000"/>
          <w:szCs w:val="21"/>
        </w:rPr>
      </w:pPr>
      <w:r>
        <w:rPr>
          <w:rFonts w:hint="eastAsia" w:ascii="宋体" w:hAnsi="宋体" w:eastAsia="宋体" w:cs="黑体"/>
          <w:color w:val="000000"/>
          <w:szCs w:val="21"/>
        </w:rPr>
        <w:t xml:space="preserve">年   月   日</w:t>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附 被委托人（全权代表）身份证：</w:t>
      </w:r>
      <w:r/>
    </w:p>
    <w:p>
      <w:pPr>
        <w:pStyle w:val="1101"/>
        <w:rPr>
          <w:rFonts w:hint="eastAsia" w:ascii="宋体" w:hAnsi="宋体" w:eastAsia="宋体" w:cs="黑体"/>
        </w:rPr>
      </w:pPr>
      <w:r>
        <w:rPr>
          <w:rFonts w:hint="eastAsia" w:ascii="宋体" w:hAnsi="宋体" w:eastAsia="宋体" w:cs="黑体"/>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jc w:val="left"/>
        <w:spacing w:line="400" w:lineRule="exact"/>
        <w:widowControl/>
        <w:rPr>
          <w:rFonts w:hint="eastAsia" w:ascii="宋体" w:hAnsi="宋体" w:eastAsia="宋体" w:cs="黑体"/>
          <w:color w:val="000000"/>
          <w:szCs w:val="21"/>
        </w:rPr>
      </w:pPr>
      <w:r>
        <w:rPr>
          <w:rFonts w:hint="eastAsia" w:ascii="宋体" w:hAnsi="宋体" w:eastAsia="宋体" w:cs="黑体"/>
          <w:color w:val="000000"/>
          <w:szCs w:val="21"/>
        </w:rPr>
        <mc:AlternateContent>
          <mc:Choice Requires="wpg">
            <w:drawing>
              <wp:inline xmlns:wp="http://schemas.openxmlformats.org/drawingml/2006/wordprocessingDrawing" distT="0" distB="0" distL="0" distR="0">
                <wp:extent cx="5048250" cy="1370330"/>
                <wp:effectExtent l="0" t="0" r="0" b="0"/>
                <wp:docPr id="9" name="矩形 8"/>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sz w:val="24"/>
                              </w:rPr>
                            </w:pPr>
                            <w:r>
                              <w:rPr>
                                <w:rFonts w:hint="eastAsia"/>
                                <w:sz w:val="24"/>
                              </w:rPr>
                              <w:t xml:space="preserve">身份证粘贴处</w:t>
                            </w:r>
                            <w:r/>
                          </w:p>
                          <w:p>
                            <w:r/>
                            <w:r/>
                          </w:p>
                        </w:txbxContent>
                      </wps:txbx>
                      <wps:bodyPr wrap="square" upright="1"/>
                    </wps:wsp>
                  </a:graphicData>
                </a:graphic>
              </wp:inline>
            </w:drawing>
          </mc:Choice>
          <mc:Fallback>
            <w:pict>
              <v:shape id="shape 8" o:spid="_x0000_s8" o:spt="1" type="#_x0000_t1" style="width:397.5pt;height:107.9pt;mso-wrap-distance-left:0.0pt;mso-wrap-distance-top:0.0pt;mso-wrap-distance-right:0.0pt;mso-wrap-distance-bottom:0.0pt;visibility:visible;" fillcolor="#FFFFFF" strokecolor="#000000">
                <v:textbox inset="0,0,0,0">
                  <w:txbxContent>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sz w:val="24"/>
                        </w:rPr>
                      </w:pPr>
                      <w:r>
                        <w:rPr>
                          <w:rFonts w:hint="eastAsia"/>
                          <w:sz w:val="24"/>
                        </w:rPr>
                        <w:t xml:space="preserve">身份证粘贴处</w:t>
                      </w:r>
                      <w:r/>
                    </w:p>
                    <w:p>
                      <w:r/>
                      <w:r/>
                    </w:p>
                  </w:txbxContent>
                </v:textbox>
              </v:shape>
            </w:pict>
          </mc:Fallback>
        </mc:AlternateContent>
      </w:r>
      <w:r/>
    </w:p>
    <w:p>
      <w:pPr>
        <w:jc w:val="left"/>
        <w:spacing w:line="400" w:lineRule="exact"/>
        <w:widowControl/>
        <w:rPr>
          <w:rFonts w:hint="eastAsia" w:ascii="宋体" w:hAnsi="宋体" w:eastAsia="宋体" w:cs="黑体"/>
          <w:color w:val="000000"/>
        </w:rPr>
      </w:pPr>
      <w:r>
        <w:rPr>
          <w:rFonts w:hint="eastAsia" w:ascii="宋体" w:hAnsi="宋体" w:eastAsia="宋体" w:cs="黑体"/>
          <w:color w:val="000000"/>
        </w:rPr>
      </w:r>
      <w:r/>
    </w:p>
    <w:p>
      <w:pPr>
        <w:rPr>
          <w:rFonts w:hint="eastAsia" w:ascii="宋体" w:hAnsi="宋体" w:eastAsia="宋体"/>
        </w:rPr>
      </w:pPr>
      <w:r/>
      <w:bookmarkStart w:id="55" w:name="_Toc494123936"/>
      <w:r/>
      <w:bookmarkStart w:id="56" w:name="_Toc494123937"/>
      <w:r/>
      <w:bookmarkStart w:id="57" w:name="_Toc139966433"/>
      <w:r/>
      <w:bookmarkStart w:id="58" w:name="_Toc139967217"/>
      <w:r/>
      <w:bookmarkEnd w:id="55"/>
      <w:r/>
      <w:bookmarkEnd w:id="56"/>
      <w:r/>
      <w:bookmarkEnd w:id="57"/>
      <w:r/>
      <w:bookmarkEnd w:id="58"/>
      <w:r/>
      <w:r/>
    </w:p>
    <w:p>
      <w:pPr>
        <w:rPr>
          <w:rFonts w:hint="eastAsia" w:ascii="宋体" w:hAnsi="宋体" w:eastAsia="宋体"/>
        </w:rPr>
      </w:pPr>
      <w:r>
        <w:rPr>
          <w:rFonts w:hint="eastAsia" w:ascii="宋体" w:hAnsi="宋体" w:eastAsia="宋体"/>
        </w:rPr>
      </w:r>
      <w:r/>
    </w:p>
    <w:p>
      <w:pPr>
        <w:pStyle w:val="1109"/>
        <w:jc w:val="center"/>
        <w:spacing w:line="360" w:lineRule="exact"/>
        <w:rPr>
          <w:rFonts w:hint="eastAsia" w:ascii="宋体" w:hAnsi="宋体" w:eastAsia="宋体"/>
          <w:b/>
          <w:sz w:val="36"/>
        </w:rPr>
        <w:outlineLvl w:val="0"/>
      </w:pPr>
      <w:r/>
      <w:bookmarkStart w:id="59" w:name="_Toc20240"/>
      <w:r/>
      <w:r/>
    </w:p>
    <w:p>
      <w:pPr>
        <w:pStyle w:val="1109"/>
        <w:jc w:val="center"/>
        <w:spacing w:line="360" w:lineRule="exact"/>
        <w:rPr>
          <w:rFonts w:ascii="宋体" w:hAnsi="宋体" w:eastAsia="宋体"/>
          <w:b/>
          <w:sz w:val="36"/>
        </w:rPr>
        <w:outlineLvl w:val="0"/>
      </w:pPr>
      <w:r>
        <w:rPr>
          <w:rFonts w:hint="eastAsia" w:ascii="宋体" w:hAnsi="宋体" w:eastAsia="宋体"/>
          <w:b/>
          <w:sz w:val="36"/>
        </w:rPr>
        <w:t xml:space="preserve">第六章  评标办法</w:t>
      </w:r>
      <w:bookmarkEnd w:id="59"/>
      <w:r/>
      <w:r/>
    </w:p>
    <w:p>
      <w:pPr>
        <w:pStyle w:val="1109"/>
        <w:ind w:left="358" w:hanging="358"/>
        <w:spacing w:line="460" w:lineRule="exact"/>
        <w:rPr>
          <w:rFonts w:ascii="宋体" w:hAnsi="宋体" w:eastAsia="宋体"/>
        </w:rPr>
      </w:pPr>
      <w:r>
        <w:rPr>
          <w:rFonts w:hint="eastAsia" w:ascii="宋体" w:hAnsi="宋体" w:eastAsia="宋体"/>
          <w:b/>
          <w:bCs/>
        </w:rPr>
        <w:t xml:space="preserve">一、评标委员会构成</w:t>
      </w:r>
      <w:r>
        <w:rPr>
          <w:rFonts w:hint="eastAsia" w:ascii="宋体" w:hAnsi="宋体" w:eastAsia="宋体"/>
        </w:rPr>
        <w:t xml:space="preserve">：本采购项目评标委员会的评委由采购人代表、相关专家组成。</w:t>
      </w:r>
      <w:r/>
    </w:p>
    <w:p>
      <w:pPr>
        <w:pStyle w:val="1109"/>
        <w:ind w:left="358" w:hanging="358"/>
        <w:spacing w:line="460" w:lineRule="exact"/>
        <w:tabs>
          <w:tab w:val="left" w:pos="2472" w:leader="none"/>
        </w:tabs>
        <w:rPr>
          <w:rFonts w:ascii="宋体" w:hAnsi="宋体" w:eastAsia="宋体"/>
        </w:rPr>
      </w:pPr>
      <w:r>
        <w:rPr>
          <w:rFonts w:hint="eastAsia" w:ascii="宋体" w:hAnsi="宋体" w:eastAsia="宋体"/>
          <w:b/>
          <w:bCs/>
        </w:rPr>
        <w:t xml:space="preserve">二、评标原则</w:t>
      </w:r>
      <w:r>
        <w:rPr>
          <w:rFonts w:hint="eastAsia" w:ascii="宋体" w:hAnsi="宋体" w:eastAsia="宋体"/>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pStyle w:val="1128"/>
        <w:spacing w:line="360" w:lineRule="auto"/>
        <w:tabs>
          <w:tab w:val="left" w:pos="720" w:leader="none"/>
        </w:tabs>
        <w:rPr>
          <w:rFonts w:hint="eastAsia" w:ascii="宋体" w:hAnsi="宋体" w:eastAsia="宋体"/>
        </w:rPr>
      </w:pPr>
      <w:r>
        <w:rPr>
          <w:rFonts w:hint="eastAsia" w:ascii="宋体" w:hAnsi="宋体" w:eastAsia="宋体"/>
          <w:b/>
          <w:bCs/>
        </w:rPr>
        <w:t xml:space="preserve">三、评标办法</w:t>
      </w:r>
      <w:r>
        <w:rPr>
          <w:rFonts w:hint="eastAsia" w:ascii="宋体" w:hAnsi="宋体" w:eastAsia="宋体"/>
        </w:rPr>
        <w:t xml:space="preserve">：</w:t>
      </w:r>
      <w:r/>
    </w:p>
    <w:p>
      <w:pPr>
        <w:pStyle w:val="1128"/>
        <w:ind w:left="1" w:firstLine="550"/>
        <w:spacing w:line="520" w:lineRule="exact"/>
        <w:tabs>
          <w:tab w:val="left" w:pos="0" w:leader="none"/>
        </w:tabs>
        <w:rPr>
          <w:rFonts w:hint="eastAsia" w:ascii="宋体" w:hAnsi="宋体" w:eastAsia="宋体"/>
          <w:sz w:val="21"/>
          <w:szCs w:val="21"/>
        </w:rPr>
      </w:pPr>
      <w:r>
        <w:rPr>
          <w:rFonts w:hint="eastAsia" w:ascii="宋体" w:hAnsi="宋体" w:eastAsia="宋体"/>
          <w:sz w:val="21"/>
          <w:szCs w:val="21"/>
        </w:rPr>
        <w:t xml:space="preserve">采用综合评分法，评标结果按评审后得分由高到低顺序排列。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tbl>
      <w:tblPr>
        <w:tblStyle w:val="1247"/>
        <w:tblW w:w="100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2"/>
        <w:gridCol w:w="1586"/>
        <w:gridCol w:w="1815"/>
        <w:gridCol w:w="5772"/>
      </w:tblGrid>
      <w:tr>
        <w:trPr>
          <w:jc w:val="center"/>
          <w:trHeight w:val="748"/>
        </w:trPr>
        <w:tc>
          <w:tcPr>
            <w:tcW w:w="872" w:type="dxa"/>
            <w:vAlign w:val="top"/>
            <w:textDirection w:val="lrTb"/>
            <w:noWrap w:val="false"/>
          </w:tcPr>
          <w:p>
            <w:pPr>
              <w:spacing w:line="381" w:lineRule="auto"/>
              <w:rPr>
                <w:rFonts w:ascii="Arial"/>
                <w:color w:val="auto"/>
                <w:sz w:val="21"/>
                <w:highlight w:val="none"/>
              </w:rPr>
            </w:pPr>
            <w:r>
              <w:rPr>
                <w:rFonts w:ascii="Arial"/>
                <w:color w:val="auto"/>
                <w:sz w:val="21"/>
                <w:highlight w:val="none"/>
              </w:rPr>
            </w:r>
            <w:r/>
          </w:p>
          <w:p>
            <w:pPr>
              <w:pStyle w:val="1248"/>
              <w:ind w:left="226"/>
              <w:spacing w:before="65" w:line="230" w:lineRule="auto"/>
              <w:rPr>
                <w:color w:val="auto"/>
                <w:highlight w:val="none"/>
              </w:rPr>
            </w:pPr>
            <w:r>
              <w:rPr>
                <w:color w:val="auto"/>
                <w:spacing w:val="6"/>
                <w:highlight w:val="none"/>
                <w14:textOutline w14:w="3795" w14:cap="sq" w14:cmpd="sng">
                  <w14:solidFill>
                    <w14:srgbClr w14:val="000000"/>
                  </w14:solidFill>
                  <w14:prstDash w14:val="solid"/>
                  <w14:bevel/>
                </w14:textOutline>
              </w:rPr>
              <w:t xml:space="preserve">序号</w:t>
            </w:r>
            <w:r/>
          </w:p>
        </w:tc>
        <w:tc>
          <w:tcPr>
            <w:tcW w:w="1586" w:type="dxa"/>
            <w:vAlign w:val="top"/>
            <w:textDirection w:val="lrTb"/>
            <w:noWrap w:val="false"/>
          </w:tcPr>
          <w:p>
            <w:pPr>
              <w:spacing w:line="381" w:lineRule="auto"/>
              <w:rPr>
                <w:rFonts w:ascii="Arial"/>
                <w:color w:val="auto"/>
                <w:sz w:val="21"/>
                <w:highlight w:val="none"/>
              </w:rPr>
            </w:pPr>
            <w:r>
              <w:rPr>
                <w:rFonts w:ascii="Arial"/>
                <w:color w:val="auto"/>
                <w:sz w:val="21"/>
                <w:highlight w:val="none"/>
              </w:rPr>
            </w:r>
            <w:r/>
          </w:p>
          <w:p>
            <w:pPr>
              <w:pStyle w:val="1248"/>
              <w:ind w:left="361"/>
              <w:spacing w:before="65" w:line="229" w:lineRule="auto"/>
              <w:rPr>
                <w:color w:val="auto"/>
                <w:highlight w:val="none"/>
              </w:rPr>
            </w:pPr>
            <w:r>
              <w:rPr>
                <w:color w:val="auto"/>
                <w:spacing w:val="8"/>
                <w:highlight w:val="none"/>
                <w14:textOutline w14:w="3795" w14:cap="sq" w14:cmpd="sng">
                  <w14:solidFill>
                    <w14:srgbClr w14:val="000000"/>
                  </w14:solidFill>
                  <w14:prstDash w14:val="solid"/>
                  <w14:bevel/>
                </w14:textOutline>
              </w:rPr>
              <w:t xml:space="preserve">评分项目</w:t>
            </w:r>
            <w:r/>
          </w:p>
        </w:tc>
        <w:tc>
          <w:tcPr>
            <w:tcW w:w="1815" w:type="dxa"/>
            <w:vAlign w:val="top"/>
            <w:textDirection w:val="lrTb"/>
            <w:noWrap w:val="false"/>
          </w:tcPr>
          <w:p>
            <w:pPr>
              <w:spacing w:line="381" w:lineRule="auto"/>
              <w:rPr>
                <w:rFonts w:ascii="Arial"/>
                <w:color w:val="auto"/>
                <w:sz w:val="21"/>
                <w:highlight w:val="none"/>
              </w:rPr>
            </w:pPr>
            <w:r>
              <w:rPr>
                <w:rFonts w:ascii="Arial"/>
                <w:color w:val="auto"/>
                <w:sz w:val="21"/>
                <w:highlight w:val="none"/>
              </w:rPr>
            </w:r>
            <w:r/>
          </w:p>
          <w:p>
            <w:pPr>
              <w:pStyle w:val="1248"/>
              <w:ind w:left="580"/>
              <w:spacing w:before="65" w:line="229" w:lineRule="auto"/>
              <w:rPr>
                <w:color w:val="auto"/>
                <w:highlight w:val="none"/>
              </w:rPr>
            </w:pPr>
            <w:r>
              <w:rPr>
                <w:color w:val="auto"/>
                <w:spacing w:val="8"/>
                <w:highlight w:val="none"/>
                <w14:textOutline w14:w="3795" w14:cap="sq" w14:cmpd="sng">
                  <w14:solidFill>
                    <w14:srgbClr w14:val="000000"/>
                  </w14:solidFill>
                  <w14:prstDash w14:val="solid"/>
                  <w14:bevel/>
                </w14:textOutline>
              </w:rPr>
              <w:t xml:space="preserve">评审项</w:t>
            </w:r>
            <w:r/>
          </w:p>
        </w:tc>
        <w:tc>
          <w:tcPr>
            <w:tcW w:w="5772" w:type="dxa"/>
            <w:vAlign w:val="top"/>
            <w:textDirection w:val="lrTb"/>
            <w:noWrap w:val="false"/>
          </w:tcPr>
          <w:p>
            <w:pPr>
              <w:spacing w:line="381" w:lineRule="auto"/>
              <w:rPr>
                <w:rFonts w:ascii="Arial"/>
                <w:color w:val="auto"/>
                <w:sz w:val="21"/>
                <w:highlight w:val="none"/>
              </w:rPr>
            </w:pPr>
            <w:r>
              <w:rPr>
                <w:rFonts w:ascii="Arial"/>
                <w:color w:val="auto"/>
                <w:sz w:val="21"/>
                <w:highlight w:val="none"/>
              </w:rPr>
            </w:r>
            <w:r/>
          </w:p>
          <w:p>
            <w:pPr>
              <w:pStyle w:val="1248"/>
              <w:ind w:left="2406"/>
              <w:spacing w:before="65" w:line="229" w:lineRule="auto"/>
              <w:rPr>
                <w:color w:val="auto"/>
                <w:highlight w:val="none"/>
              </w:rPr>
            </w:pPr>
            <w:r>
              <w:rPr>
                <w:color w:val="auto"/>
                <w:spacing w:val="8"/>
                <w:highlight w:val="none"/>
                <w14:textOutline w14:w="3795" w14:cap="sq" w14:cmpd="sng">
                  <w14:solidFill>
                    <w14:srgbClr w14:val="000000"/>
                  </w14:solidFill>
                  <w14:prstDash w14:val="solid"/>
                  <w14:bevel/>
                </w14:textOutline>
              </w:rPr>
              <w:t xml:space="preserve">评分标准</w:t>
            </w:r>
            <w:r/>
          </w:p>
        </w:tc>
      </w:tr>
      <w:tr>
        <w:trPr>
          <w:jc w:val="center"/>
          <w:trHeight w:val="1394"/>
        </w:trPr>
        <w:tc>
          <w:tcPr>
            <w:tcW w:w="872" w:type="dxa"/>
            <w:vAlign w:val="top"/>
            <w:textDirection w:val="lrTb"/>
            <w:noWrap w:val="false"/>
          </w:tcPr>
          <w:p>
            <w:pPr>
              <w:spacing w:line="283" w:lineRule="auto"/>
              <w:rPr>
                <w:rFonts w:ascii="Arial"/>
                <w:color w:val="auto"/>
                <w:sz w:val="21"/>
                <w:highlight w:val="none"/>
              </w:rPr>
            </w:pPr>
            <w:r>
              <w:rPr>
                <w:rFonts w:ascii="Arial"/>
                <w:color w:val="auto"/>
                <w:sz w:val="21"/>
                <w:highlight w:val="none"/>
              </w:rPr>
            </w:r>
            <w:r/>
          </w:p>
          <w:p>
            <w:pPr>
              <w:spacing w:line="283" w:lineRule="auto"/>
              <w:rPr>
                <w:rFonts w:ascii="Arial"/>
                <w:color w:val="auto"/>
                <w:sz w:val="21"/>
                <w:highlight w:val="none"/>
              </w:rPr>
            </w:pPr>
            <w:r>
              <w:rPr>
                <w:rFonts w:ascii="Arial"/>
                <w:color w:val="auto"/>
                <w:sz w:val="21"/>
                <w:highlight w:val="none"/>
              </w:rPr>
            </w:r>
            <w:r/>
          </w:p>
          <w:p>
            <w:pPr>
              <w:spacing w:line="284" w:lineRule="auto"/>
              <w:rPr>
                <w:rFonts w:ascii="Arial"/>
                <w:color w:val="auto"/>
                <w:sz w:val="21"/>
                <w:highlight w:val="none"/>
              </w:rPr>
            </w:pPr>
            <w:r>
              <w:rPr>
                <w:rFonts w:ascii="Arial"/>
                <w:color w:val="auto"/>
                <w:sz w:val="21"/>
                <w:highlight w:val="none"/>
              </w:rPr>
            </w:r>
            <w:r/>
          </w:p>
          <w:p>
            <w:pPr>
              <w:pStyle w:val="1248"/>
              <w:ind w:left="401"/>
              <w:spacing w:before="65" w:line="189" w:lineRule="auto"/>
              <w:rPr>
                <w:color w:val="auto"/>
                <w:highlight w:val="none"/>
              </w:rPr>
            </w:pPr>
            <w:r>
              <w:rPr>
                <w:color w:val="auto"/>
                <w:highlight w:val="none"/>
              </w:rPr>
              <w:t xml:space="preserve">1</w:t>
            </w:r>
            <w:r/>
          </w:p>
        </w:tc>
        <w:tc>
          <w:tcPr>
            <w:tcW w:w="1586" w:type="dxa"/>
            <w:vAlign w:val="top"/>
            <w:textDirection w:val="lrTb"/>
            <w:noWrap w:val="false"/>
          </w:tcPr>
          <w:p>
            <w:pPr>
              <w:spacing w:line="285" w:lineRule="auto"/>
              <w:rPr>
                <w:rFonts w:ascii="Arial"/>
                <w:color w:val="auto"/>
                <w:sz w:val="21"/>
                <w:highlight w:val="none"/>
              </w:rPr>
            </w:pPr>
            <w:r>
              <w:rPr>
                <w:rFonts w:ascii="Arial"/>
                <w:color w:val="auto"/>
                <w:sz w:val="21"/>
                <w:highlight w:val="none"/>
              </w:rPr>
            </w:r>
            <w:r/>
          </w:p>
          <w:p>
            <w:pPr>
              <w:spacing w:line="285" w:lineRule="auto"/>
              <w:rPr>
                <w:rFonts w:ascii="Arial"/>
                <w:color w:val="auto"/>
                <w:sz w:val="21"/>
                <w:highlight w:val="none"/>
              </w:rPr>
            </w:pPr>
            <w:r>
              <w:rPr>
                <w:rFonts w:ascii="Arial"/>
                <w:color w:val="auto"/>
                <w:sz w:val="21"/>
                <w:highlight w:val="none"/>
              </w:rPr>
            </w:r>
            <w:r/>
          </w:p>
          <w:p>
            <w:pPr>
              <w:pStyle w:val="1248"/>
              <w:ind w:left="366"/>
              <w:spacing w:before="65" w:line="496" w:lineRule="exact"/>
              <w:rPr>
                <w:color w:val="auto"/>
                <w:highlight w:val="none"/>
              </w:rPr>
            </w:pPr>
            <w:r>
              <w:rPr>
                <w:color w:val="auto"/>
                <w:spacing w:val="6"/>
                <w:position w:val="22"/>
                <w:highlight w:val="none"/>
              </w:rPr>
              <w:t xml:space="preserve">投标报价</w:t>
            </w:r>
            <w:r/>
          </w:p>
          <w:p>
            <w:pPr>
              <w:pStyle w:val="1248"/>
              <w:ind w:left="348"/>
              <w:spacing w:line="229" w:lineRule="auto"/>
              <w:rPr>
                <w:color w:val="auto"/>
                <w:highlight w:val="none"/>
              </w:rPr>
            </w:pPr>
            <w:r>
              <w:rPr>
                <w:color w:val="auto"/>
                <w:spacing w:val="-1"/>
                <w:highlight w:val="none"/>
              </w:rPr>
              <w:t xml:space="preserve">（10分）</w:t>
            </w:r>
            <w:r/>
          </w:p>
        </w:tc>
        <w:tc>
          <w:tcPr>
            <w:tcW w:w="1815" w:type="dxa"/>
            <w:vAlign w:val="top"/>
            <w:textDirection w:val="lrTb"/>
            <w:noWrap w:val="false"/>
          </w:tcPr>
          <w:p>
            <w:pPr>
              <w:spacing w:line="285" w:lineRule="auto"/>
              <w:rPr>
                <w:rFonts w:ascii="Arial"/>
                <w:color w:val="auto"/>
                <w:sz w:val="21"/>
                <w:highlight w:val="none"/>
              </w:rPr>
            </w:pPr>
            <w:r>
              <w:rPr>
                <w:rFonts w:ascii="Arial"/>
                <w:color w:val="auto"/>
                <w:sz w:val="21"/>
                <w:highlight w:val="none"/>
              </w:rPr>
            </w:r>
            <w:r/>
          </w:p>
          <w:p>
            <w:pPr>
              <w:spacing w:line="285" w:lineRule="auto"/>
              <w:rPr>
                <w:rFonts w:ascii="Arial"/>
                <w:color w:val="auto"/>
                <w:sz w:val="21"/>
                <w:highlight w:val="none"/>
              </w:rPr>
            </w:pPr>
            <w:r>
              <w:rPr>
                <w:rFonts w:ascii="Arial"/>
                <w:color w:val="auto"/>
                <w:sz w:val="21"/>
                <w:highlight w:val="none"/>
              </w:rPr>
            </w:r>
            <w:r/>
          </w:p>
          <w:p>
            <w:pPr>
              <w:pStyle w:val="1248"/>
              <w:ind w:left="480"/>
              <w:spacing w:before="65" w:line="496" w:lineRule="exact"/>
              <w:rPr>
                <w:color w:val="auto"/>
                <w:highlight w:val="none"/>
              </w:rPr>
            </w:pPr>
            <w:r>
              <w:rPr>
                <w:color w:val="auto"/>
                <w:spacing w:val="6"/>
                <w:position w:val="22"/>
                <w:highlight w:val="none"/>
              </w:rPr>
              <w:t xml:space="preserve">投标报价</w:t>
            </w:r>
            <w:r/>
          </w:p>
          <w:p>
            <w:pPr>
              <w:pStyle w:val="1248"/>
              <w:ind w:left="461"/>
              <w:spacing w:line="229" w:lineRule="auto"/>
              <w:rPr>
                <w:color w:val="auto"/>
                <w:highlight w:val="none"/>
              </w:rPr>
            </w:pPr>
            <w:r>
              <w:rPr>
                <w:color w:val="auto"/>
                <w:highlight w:val="none"/>
              </w:rPr>
              <w:t xml:space="preserve">（10分）</w:t>
            </w:r>
            <w:r/>
          </w:p>
        </w:tc>
        <w:tc>
          <w:tcPr>
            <w:tcW w:w="5772" w:type="dxa"/>
            <w:vAlign w:val="top"/>
            <w:textDirection w:val="lrTb"/>
            <w:noWrap w:val="false"/>
          </w:tcPr>
          <w:p>
            <w:pPr>
              <w:pStyle w:val="1248"/>
              <w:ind w:left="112" w:right="110" w:firstLine="2"/>
              <w:spacing w:before="143" w:line="458" w:lineRule="auto"/>
              <w:rPr>
                <w:color w:val="auto"/>
                <w:highlight w:val="none"/>
              </w:rPr>
            </w:pPr>
            <w:r>
              <w:rPr>
                <w:color w:val="auto"/>
                <w:spacing w:val="8"/>
                <w:highlight w:val="none"/>
              </w:rPr>
              <w:t xml:space="preserve">综合评分法中的价格分统一采用低价优先法计算，即满足招标文件要求且投标价格最低的投标报价为评标基准价，其价</w:t>
            </w:r>
            <w:r>
              <w:rPr>
                <w:color w:val="auto"/>
                <w:spacing w:val="7"/>
                <w:highlight w:val="none"/>
              </w:rPr>
              <w:t xml:space="preserve">格分为满分。其他投标人的价格分统一按照下列公式计算：</w:t>
            </w:r>
            <w:r/>
          </w:p>
          <w:p>
            <w:pPr>
              <w:pStyle w:val="1248"/>
              <w:ind w:left="115"/>
              <w:spacing w:before="1" w:line="226" w:lineRule="auto"/>
              <w:rPr>
                <w:color w:val="auto"/>
                <w:highlight w:val="none"/>
              </w:rPr>
            </w:pPr>
            <w:r>
              <w:rPr>
                <w:color w:val="auto"/>
                <w:spacing w:val="6"/>
                <w:highlight w:val="none"/>
              </w:rPr>
              <w:t xml:space="preserve">投标报价得分=(评标基准价／投标报价)×10</w:t>
            </w:r>
            <w:r/>
          </w:p>
        </w:tc>
      </w:tr>
      <w:tr>
        <w:trPr>
          <w:jc w:val="center"/>
          <w:trHeight w:val="1212"/>
        </w:trPr>
        <w:tc>
          <w:tcPr>
            <w:tcW w:w="872" w:type="dxa"/>
            <w:vAlign w:val="top"/>
            <w:vMerge w:val="restart"/>
            <w:textDirection w:val="lrTb"/>
            <w:noWrap w:val="false"/>
          </w:tcPr>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4"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pStyle w:val="1248"/>
              <w:ind w:left="388"/>
              <w:spacing w:before="65" w:line="189" w:lineRule="auto"/>
              <w:rPr>
                <w:color w:val="auto"/>
                <w:highlight w:val="none"/>
              </w:rPr>
            </w:pPr>
            <w:r>
              <w:rPr>
                <w:color w:val="auto"/>
                <w:highlight w:val="none"/>
              </w:rPr>
              <w:t xml:space="preserve">2</w:t>
            </w:r>
            <w:r/>
          </w:p>
        </w:tc>
        <w:tc>
          <w:tcPr>
            <w:tcW w:w="1586" w:type="dxa"/>
            <w:vAlign w:val="top"/>
            <w:vMerge w:val="restart"/>
            <w:textDirection w:val="lrTb"/>
            <w:noWrap w:val="false"/>
          </w:tcPr>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2" w:lineRule="auto"/>
              <w:rPr>
                <w:rFonts w:ascii="Arial"/>
                <w:color w:val="auto"/>
                <w:sz w:val="21"/>
                <w:highlight w:val="none"/>
              </w:rPr>
            </w:pPr>
            <w:r>
              <w:rPr>
                <w:rFonts w:ascii="Arial"/>
                <w:color w:val="auto"/>
                <w:sz w:val="21"/>
                <w:highlight w:val="none"/>
              </w:rPr>
            </w:r>
            <w:r/>
          </w:p>
          <w:p>
            <w:pPr>
              <w:pStyle w:val="1248"/>
              <w:ind w:left="365"/>
              <w:spacing w:before="65" w:line="497" w:lineRule="exact"/>
              <w:rPr>
                <w:color w:val="auto"/>
                <w:highlight w:val="none"/>
              </w:rPr>
            </w:pPr>
            <w:r>
              <w:rPr>
                <w:color w:val="auto"/>
                <w:spacing w:val="7"/>
                <w:position w:val="22"/>
                <w:highlight w:val="none"/>
              </w:rPr>
              <w:t xml:space="preserve">技术部分</w:t>
            </w:r>
            <w:r/>
          </w:p>
          <w:p>
            <w:pPr>
              <w:pStyle w:val="1248"/>
              <w:ind w:left="348"/>
              <w:spacing w:line="229" w:lineRule="auto"/>
              <w:rPr>
                <w:color w:val="auto"/>
                <w:highlight w:val="none"/>
              </w:rPr>
            </w:pPr>
            <w:r>
              <w:rPr>
                <w:color w:val="auto"/>
                <w:spacing w:val="-1"/>
                <w:highlight w:val="none"/>
              </w:rPr>
              <w:t xml:space="preserve">（40分）</w:t>
            </w:r>
            <w:r/>
          </w:p>
        </w:tc>
        <w:tc>
          <w:tcPr>
            <w:tcW w:w="1815" w:type="dxa"/>
            <w:vAlign w:val="top"/>
            <w:textDirection w:val="lrTb"/>
            <w:noWrap w:val="false"/>
          </w:tcPr>
          <w:p>
            <w:pPr>
              <w:spacing w:line="343" w:lineRule="auto"/>
              <w:rPr>
                <w:rFonts w:ascii="Arial"/>
                <w:color w:val="auto"/>
                <w:sz w:val="21"/>
                <w:highlight w:val="none"/>
              </w:rPr>
            </w:pPr>
            <w:r>
              <w:rPr>
                <w:rFonts w:ascii="Arial"/>
                <w:color w:val="auto"/>
                <w:sz w:val="21"/>
                <w:highlight w:val="none"/>
              </w:rPr>
            </w:r>
            <w:r/>
          </w:p>
          <w:p>
            <w:pPr>
              <w:spacing w:line="343" w:lineRule="auto"/>
              <w:rPr>
                <w:rFonts w:ascii="Arial"/>
                <w:color w:val="auto"/>
                <w:sz w:val="21"/>
                <w:highlight w:val="none"/>
              </w:rPr>
            </w:pPr>
            <w:r>
              <w:rPr>
                <w:rFonts w:ascii="Arial"/>
                <w:color w:val="auto"/>
                <w:sz w:val="21"/>
                <w:highlight w:val="none"/>
              </w:rPr>
            </w:r>
            <w:r/>
          </w:p>
          <w:p>
            <w:pPr>
              <w:pStyle w:val="1248"/>
              <w:ind w:left="114"/>
              <w:spacing w:before="65" w:line="228" w:lineRule="auto"/>
              <w:rPr>
                <w:color w:val="auto"/>
                <w:highlight w:val="none"/>
              </w:rPr>
            </w:pPr>
            <w:r>
              <w:rPr>
                <w:color w:val="auto"/>
                <w:spacing w:val="5"/>
                <w:highlight w:val="none"/>
              </w:rPr>
              <w:t xml:space="preserve">技术方案（5分）</w:t>
            </w:r>
            <w:r/>
          </w:p>
        </w:tc>
        <w:tc>
          <w:tcPr>
            <w:tcW w:w="5772" w:type="dxa"/>
            <w:vAlign w:val="top"/>
            <w:textDirection w:val="lrTb"/>
            <w:noWrap w:val="false"/>
          </w:tcPr>
          <w:p>
            <w:pPr>
              <w:pStyle w:val="1248"/>
              <w:ind w:left="114" w:right="14"/>
              <w:spacing w:before="61" w:line="290" w:lineRule="auto"/>
              <w:rPr>
                <w:color w:val="auto"/>
                <w:highlight w:val="none"/>
              </w:rPr>
            </w:pPr>
            <w:r>
              <w:rPr>
                <w:color w:val="auto"/>
                <w:spacing w:val="8"/>
                <w:highlight w:val="none"/>
              </w:rPr>
              <w:t xml:space="preserve">投标人依据国家现行《建设用地土壤环境调查评估技术指南》、《场地环境调查技术导则》、《场地环境监测技术导</w:t>
            </w:r>
            <w:r>
              <w:rPr>
                <w:color w:val="auto"/>
                <w:spacing w:val="-3"/>
                <w:highlight w:val="none"/>
              </w:rPr>
              <w:t xml:space="preserve">则》、《工业企业场地环境调查评估与修复工作指南（试</w:t>
            </w:r>
            <w:r>
              <w:rPr>
                <w:color w:val="auto"/>
                <w:spacing w:val="-4"/>
                <w:highlight w:val="none"/>
              </w:rPr>
              <w:t xml:space="preserve">行）》</w:t>
            </w:r>
            <w:r>
              <w:rPr>
                <w:color w:val="auto"/>
                <w:spacing w:val="8"/>
                <w:highlight w:val="none"/>
              </w:rPr>
              <w:t xml:space="preserve">等导则标准的要求，设计调查技术方案，评委酌情打分，本</w:t>
            </w:r>
            <w:r>
              <w:rPr>
                <w:color w:val="auto"/>
                <w:spacing w:val="2"/>
                <w:highlight w:val="none"/>
              </w:rPr>
              <w:t xml:space="preserve">项得分0-5分。</w:t>
            </w:r>
            <w:r/>
          </w:p>
        </w:tc>
      </w:tr>
      <w:tr>
        <w:trPr>
          <w:jc w:val="center"/>
          <w:trHeight w:val="533"/>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bottom w:val="none" w:color="000000" w:sz="4" w:space="0"/>
            </w:tcBorders>
            <w:tcW w:w="1815" w:type="dxa"/>
            <w:vAlign w:val="top"/>
            <w:vMerge w:val="restart"/>
            <w:textDirection w:val="lrTb"/>
            <w:noWrap w:val="false"/>
          </w:tcPr>
          <w:p>
            <w:pPr>
              <w:spacing w:line="283" w:lineRule="auto"/>
              <w:rPr>
                <w:rFonts w:ascii="Arial"/>
                <w:color w:val="auto"/>
                <w:sz w:val="21"/>
                <w:highlight w:val="none"/>
              </w:rPr>
            </w:pPr>
            <w:r>
              <w:rPr>
                <w:rFonts w:ascii="Arial"/>
                <w:color w:val="auto"/>
                <w:sz w:val="21"/>
                <w:highlight w:val="none"/>
              </w:rPr>
            </w:r>
            <w:r/>
          </w:p>
          <w:p>
            <w:pPr>
              <w:spacing w:line="283" w:lineRule="auto"/>
              <w:rPr>
                <w:rFonts w:ascii="Arial"/>
                <w:color w:val="auto"/>
                <w:sz w:val="21"/>
                <w:highlight w:val="none"/>
              </w:rPr>
            </w:pPr>
            <w:r>
              <w:rPr>
                <w:rFonts w:ascii="Arial"/>
                <w:color w:val="auto"/>
                <w:sz w:val="21"/>
                <w:highlight w:val="none"/>
              </w:rPr>
            </w:r>
            <w:r/>
          </w:p>
          <w:p>
            <w:pPr>
              <w:spacing w:line="283" w:lineRule="auto"/>
              <w:rPr>
                <w:rFonts w:ascii="Arial"/>
                <w:color w:val="auto"/>
                <w:sz w:val="21"/>
                <w:highlight w:val="none"/>
              </w:rPr>
            </w:pPr>
            <w:r>
              <w:rPr>
                <w:rFonts w:ascii="Arial"/>
                <w:color w:val="auto"/>
                <w:sz w:val="21"/>
                <w:highlight w:val="none"/>
              </w:rPr>
            </w:r>
            <w:r/>
          </w:p>
          <w:p>
            <w:pPr>
              <w:spacing w:line="284" w:lineRule="auto"/>
              <w:rPr>
                <w:rFonts w:ascii="Arial"/>
                <w:color w:val="auto"/>
                <w:sz w:val="21"/>
                <w:highlight w:val="none"/>
              </w:rPr>
            </w:pPr>
            <w:r>
              <w:rPr>
                <w:rFonts w:ascii="Arial"/>
                <w:color w:val="auto"/>
                <w:sz w:val="21"/>
                <w:highlight w:val="none"/>
              </w:rPr>
            </w:r>
            <w:r/>
          </w:p>
          <w:p>
            <w:pPr>
              <w:pStyle w:val="1248"/>
              <w:ind w:left="123" w:right="106" w:hanging="5"/>
              <w:spacing w:before="65" w:line="281" w:lineRule="auto"/>
              <w:rPr>
                <w:color w:val="auto"/>
                <w:highlight w:val="none"/>
              </w:rPr>
            </w:pPr>
            <w:r>
              <w:rPr>
                <w:color w:val="auto"/>
                <w:spacing w:val="-2"/>
                <w:highlight w:val="none"/>
              </w:rPr>
              <w:t xml:space="preserve">实施管理方案</w:t>
            </w:r>
            <w:r>
              <w:rPr>
                <w:color w:val="auto"/>
                <w:spacing w:val="-1"/>
                <w:highlight w:val="none"/>
              </w:rPr>
              <w:t xml:space="preserve">（20分）</w:t>
            </w:r>
            <w:r/>
          </w:p>
        </w:tc>
        <w:tc>
          <w:tcPr>
            <w:tcW w:w="5772" w:type="dxa"/>
            <w:vAlign w:val="top"/>
            <w:textDirection w:val="lrTb"/>
            <w:noWrap w:val="false"/>
          </w:tcPr>
          <w:p>
            <w:pPr>
              <w:pStyle w:val="1248"/>
              <w:ind w:left="112" w:right="107"/>
              <w:spacing w:before="109" w:line="279" w:lineRule="auto"/>
              <w:rPr>
                <w:color w:val="auto"/>
                <w:highlight w:val="none"/>
              </w:rPr>
            </w:pPr>
            <w:r>
              <w:rPr>
                <w:color w:val="auto"/>
                <w:spacing w:val="8"/>
                <w:highlight w:val="none"/>
              </w:rPr>
              <w:t xml:space="preserve">根据投标人提供的历史资料收集组织实施方案进行评审，评</w:t>
            </w:r>
            <w:r>
              <w:rPr>
                <w:color w:val="auto"/>
                <w:spacing w:val="6"/>
                <w:highlight w:val="none"/>
              </w:rPr>
              <w:t xml:space="preserve">委酌情打分，本项得分0-5分。</w:t>
            </w:r>
            <w:r/>
          </w:p>
        </w:tc>
      </w:tr>
      <w:tr>
        <w:trPr>
          <w:jc w:val="center"/>
          <w:trHeight w:val="532"/>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81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5772" w:type="dxa"/>
            <w:vAlign w:val="top"/>
            <w:textDirection w:val="lrTb"/>
            <w:noWrap w:val="false"/>
          </w:tcPr>
          <w:p>
            <w:pPr>
              <w:pStyle w:val="1248"/>
              <w:ind w:left="111" w:right="107" w:firstLine="1"/>
              <w:spacing w:before="111" w:line="278" w:lineRule="auto"/>
              <w:rPr>
                <w:color w:val="auto"/>
                <w:highlight w:val="none"/>
              </w:rPr>
            </w:pPr>
            <w:r>
              <w:rPr>
                <w:color w:val="auto"/>
                <w:spacing w:val="8"/>
                <w:highlight w:val="none"/>
              </w:rPr>
              <w:t xml:space="preserve">根据投标人提供的现场踏勘组织实施方案进行评审，评委酌</w:t>
            </w:r>
            <w:r>
              <w:rPr>
                <w:color w:val="auto"/>
                <w:spacing w:val="5"/>
                <w:highlight w:val="none"/>
              </w:rPr>
              <w:t xml:space="preserve">情打分，本项得分0-5分。</w:t>
            </w:r>
            <w:r/>
          </w:p>
        </w:tc>
      </w:tr>
      <w:tr>
        <w:trPr>
          <w:jc w:val="center"/>
          <w:trHeight w:val="547"/>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bottom w:val="none" w:color="000000" w:sz="4" w:space="0"/>
            </w:tcBorders>
            <w:tcW w:w="181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5772" w:type="dxa"/>
            <w:vAlign w:val="top"/>
            <w:textDirection w:val="lrTb"/>
            <w:noWrap w:val="false"/>
          </w:tcPr>
          <w:p>
            <w:pPr>
              <w:pStyle w:val="1248"/>
              <w:ind w:left="118" w:right="110" w:hanging="6"/>
              <w:spacing w:before="112" w:line="278" w:lineRule="auto"/>
              <w:rPr>
                <w:color w:val="auto"/>
                <w:highlight w:val="none"/>
              </w:rPr>
            </w:pPr>
            <w:r>
              <w:rPr>
                <w:color w:val="auto"/>
                <w:spacing w:val="17"/>
                <w:highlight w:val="none"/>
              </w:rPr>
              <w:t xml:space="preserve">根据投标人提供的土壤及地下水采样组织实</w:t>
            </w:r>
            <w:r>
              <w:rPr>
                <w:color w:val="auto"/>
                <w:spacing w:val="16"/>
                <w:highlight w:val="none"/>
              </w:rPr>
              <w:t xml:space="preserve">施方案进行评</w:t>
            </w:r>
            <w:r>
              <w:rPr>
                <w:color w:val="auto"/>
                <w:spacing w:val="6"/>
                <w:highlight w:val="none"/>
              </w:rPr>
              <w:t xml:space="preserve">审，评委酌情打分，本项得分0-5分。</w:t>
            </w:r>
            <w:r/>
          </w:p>
        </w:tc>
      </w:tr>
      <w:tr>
        <w:trPr>
          <w:jc w:val="center"/>
          <w:trHeight w:val="657"/>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Borders>
              <w:top w:val="none" w:color="000000" w:sz="4" w:space="0"/>
            </w:tcBorders>
            <w:tcW w:w="181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5772" w:type="dxa"/>
            <w:vAlign w:val="top"/>
            <w:textDirection w:val="lrTb"/>
            <w:noWrap w:val="false"/>
          </w:tcPr>
          <w:p>
            <w:pPr>
              <w:pStyle w:val="1248"/>
              <w:ind w:left="117" w:right="110" w:hanging="5"/>
              <w:spacing w:before="112" w:line="278" w:lineRule="auto"/>
              <w:rPr>
                <w:color w:val="auto"/>
                <w:highlight w:val="none"/>
              </w:rPr>
            </w:pPr>
            <w:r>
              <w:rPr>
                <w:color w:val="auto"/>
                <w:spacing w:val="17"/>
                <w:highlight w:val="none"/>
              </w:rPr>
              <w:t xml:space="preserve">根据投标人提供的土壤及地下水样品实验室</w:t>
            </w:r>
            <w:r>
              <w:rPr>
                <w:color w:val="auto"/>
                <w:spacing w:val="16"/>
                <w:highlight w:val="none"/>
              </w:rPr>
              <w:t xml:space="preserve">分析检测组织</w:t>
            </w:r>
            <w:r>
              <w:rPr>
                <w:color w:val="auto"/>
                <w:spacing w:val="7"/>
                <w:highlight w:val="none"/>
              </w:rPr>
              <w:t xml:space="preserve">实施方案进行评审，评委酌情打分，本项得分0-5分。</w:t>
            </w:r>
            <w:r/>
          </w:p>
        </w:tc>
      </w:tr>
      <w:tr>
        <w:trPr>
          <w:jc w:val="center"/>
          <w:trHeight w:val="706"/>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815" w:type="dxa"/>
            <w:vAlign w:val="top"/>
            <w:textDirection w:val="lrTb"/>
            <w:noWrap w:val="false"/>
          </w:tcPr>
          <w:p>
            <w:pPr>
              <w:pStyle w:val="1248"/>
              <w:ind w:left="112" w:right="106" w:firstLine="4"/>
              <w:spacing w:before="152" w:line="281" w:lineRule="auto"/>
              <w:rPr>
                <w:color w:val="auto"/>
                <w:highlight w:val="none"/>
              </w:rPr>
            </w:pPr>
            <w:r>
              <w:rPr>
                <w:color w:val="auto"/>
                <w:spacing w:val="22"/>
                <w:highlight w:val="none"/>
              </w:rPr>
              <w:t xml:space="preserve">项目实施进度计</w:t>
            </w:r>
            <w:r>
              <w:rPr>
                <w:color w:val="auto"/>
                <w:spacing w:val="5"/>
                <w:highlight w:val="none"/>
              </w:rPr>
              <w:t xml:space="preserve">划安排（5分）</w:t>
            </w:r>
            <w:r/>
          </w:p>
        </w:tc>
        <w:tc>
          <w:tcPr>
            <w:tcW w:w="5772" w:type="dxa"/>
            <w:vAlign w:val="top"/>
            <w:textDirection w:val="lrTb"/>
            <w:noWrap w:val="false"/>
          </w:tcPr>
          <w:p>
            <w:pPr>
              <w:pStyle w:val="1248"/>
              <w:ind w:left="112"/>
              <w:spacing w:before="143" w:line="401" w:lineRule="exact"/>
              <w:rPr>
                <w:color w:val="auto"/>
                <w:highlight w:val="none"/>
              </w:rPr>
            </w:pPr>
            <w:r>
              <w:rPr>
                <w:color w:val="auto"/>
                <w:spacing w:val="9"/>
                <w:position w:val="14"/>
                <w:highlight w:val="none"/>
              </w:rPr>
              <w:t xml:space="preserve">根据投标人对该项目的实施进度计划安排详细程度等情况进行比较，评委酌情打分，本项得分0-5分。</w:t>
            </w:r>
            <w:r/>
          </w:p>
        </w:tc>
      </w:tr>
      <w:tr>
        <w:trPr>
          <w:jc w:val="center"/>
          <w:trHeight w:val="886"/>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815" w:type="dxa"/>
            <w:vAlign w:val="top"/>
            <w:textDirection w:val="lrTb"/>
            <w:noWrap w:val="false"/>
          </w:tcPr>
          <w:p>
            <w:pPr>
              <w:spacing w:line="336" w:lineRule="auto"/>
              <w:rPr>
                <w:rFonts w:ascii="Arial"/>
                <w:color w:val="auto"/>
                <w:sz w:val="21"/>
                <w:highlight w:val="none"/>
              </w:rPr>
            </w:pPr>
            <w:r>
              <w:rPr>
                <w:rFonts w:ascii="Arial"/>
                <w:color w:val="auto"/>
                <w:sz w:val="21"/>
                <w:highlight w:val="none"/>
              </w:rPr>
            </w:r>
            <w:r/>
          </w:p>
          <w:p>
            <w:pPr>
              <w:pStyle w:val="1248"/>
              <w:ind w:left="114" w:right="106" w:hanging="1"/>
              <w:spacing w:before="65" w:line="281" w:lineRule="auto"/>
              <w:rPr>
                <w:color w:val="auto"/>
                <w:highlight w:val="none"/>
              </w:rPr>
            </w:pPr>
            <w:r>
              <w:rPr>
                <w:color w:val="auto"/>
                <w:spacing w:val="23"/>
                <w:highlight w:val="none"/>
              </w:rPr>
              <w:t xml:space="preserve">服务质量保障方</w:t>
            </w:r>
            <w:r>
              <w:rPr>
                <w:color w:val="auto"/>
                <w:spacing w:val="2"/>
                <w:highlight w:val="none"/>
              </w:rPr>
              <w:t xml:space="preserve">案（5分）</w:t>
            </w:r>
            <w:r/>
          </w:p>
        </w:tc>
        <w:tc>
          <w:tcPr>
            <w:tcW w:w="5772" w:type="dxa"/>
            <w:vAlign w:val="top"/>
            <w:textDirection w:val="lrTb"/>
            <w:noWrap w:val="false"/>
          </w:tcPr>
          <w:p>
            <w:pPr>
              <w:pStyle w:val="1248"/>
              <w:ind w:left="112" w:right="107"/>
              <w:jc w:val="both"/>
              <w:spacing w:before="226" w:line="297" w:lineRule="auto"/>
              <w:rPr>
                <w:color w:val="auto"/>
                <w:highlight w:val="none"/>
              </w:rPr>
            </w:pPr>
            <w:r>
              <w:rPr>
                <w:color w:val="auto"/>
                <w:spacing w:val="8"/>
                <w:highlight w:val="none"/>
              </w:rPr>
              <w:t xml:space="preserve">根据投标人提供的服务质量保障方案，内容应包括：组织措施、工作任务分解、质量控制措施，对方案进行比较，评委</w:t>
            </w:r>
            <w:r>
              <w:rPr>
                <w:color w:val="auto"/>
                <w:spacing w:val="6"/>
                <w:highlight w:val="none"/>
              </w:rPr>
              <w:t xml:space="preserve">酌情打分，本项得分0-5分。</w:t>
            </w:r>
            <w:r/>
          </w:p>
        </w:tc>
      </w:tr>
      <w:tr>
        <w:trPr>
          <w:jc w:val="center"/>
          <w:trHeight w:val="885"/>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815" w:type="dxa"/>
            <w:vAlign w:val="top"/>
            <w:textDirection w:val="lrTb"/>
            <w:noWrap w:val="false"/>
          </w:tcPr>
          <w:p>
            <w:pPr>
              <w:pStyle w:val="1248"/>
              <w:ind w:left="113" w:right="106"/>
              <w:jc w:val="both"/>
              <w:spacing w:before="221" w:line="298" w:lineRule="auto"/>
              <w:rPr>
                <w:color w:val="auto"/>
                <w:highlight w:val="none"/>
              </w:rPr>
            </w:pPr>
            <w:r>
              <w:rPr>
                <w:color w:val="auto"/>
                <w:spacing w:val="23"/>
                <w:highlight w:val="none"/>
              </w:rPr>
              <w:t xml:space="preserve">针对本项目调查</w:t>
            </w:r>
            <w:r>
              <w:rPr>
                <w:color w:val="auto"/>
                <w:spacing w:val="17"/>
                <w:highlight w:val="none"/>
              </w:rPr>
              <w:t xml:space="preserve">过程的重点、难</w:t>
            </w:r>
            <w:r>
              <w:rPr>
                <w:color w:val="auto"/>
                <w:spacing w:val="4"/>
                <w:highlight w:val="none"/>
              </w:rPr>
              <w:t xml:space="preserve">点分析（5分）</w:t>
            </w:r>
            <w:r/>
          </w:p>
        </w:tc>
        <w:tc>
          <w:tcPr>
            <w:tcW w:w="5772" w:type="dxa"/>
            <w:vAlign w:val="top"/>
            <w:textDirection w:val="lrTb"/>
            <w:noWrap w:val="false"/>
          </w:tcPr>
          <w:p>
            <w:pPr>
              <w:pStyle w:val="1248"/>
              <w:ind w:left="118" w:right="107" w:hanging="6"/>
              <w:spacing w:before="65" w:line="280" w:lineRule="auto"/>
              <w:rPr>
                <w:color w:val="auto"/>
                <w:spacing w:val="17"/>
                <w:highlight w:val="none"/>
              </w:rPr>
            </w:pPr>
            <w:r>
              <w:rPr>
                <w:color w:val="auto"/>
                <w:spacing w:val="17"/>
                <w:highlight w:val="none"/>
              </w:rPr>
            </w:r>
            <w:r/>
          </w:p>
          <w:p>
            <w:pPr>
              <w:pStyle w:val="1248"/>
              <w:ind w:left="118" w:right="107" w:hanging="6"/>
              <w:spacing w:before="65" w:line="280" w:lineRule="auto"/>
              <w:rPr>
                <w:color w:val="auto"/>
                <w:highlight w:val="none"/>
              </w:rPr>
            </w:pPr>
            <w:r>
              <w:rPr>
                <w:color w:val="auto"/>
                <w:spacing w:val="17"/>
                <w:highlight w:val="none"/>
              </w:rPr>
              <w:t xml:space="preserve">根据投标人提供的本项目编制的调查服务实施方案</w:t>
            </w:r>
            <w:r>
              <w:rPr>
                <w:color w:val="auto"/>
                <w:spacing w:val="16"/>
                <w:highlight w:val="none"/>
              </w:rPr>
              <w:t xml:space="preserve">进行评</w:t>
            </w:r>
            <w:r>
              <w:rPr>
                <w:color w:val="auto"/>
                <w:spacing w:val="6"/>
                <w:highlight w:val="none"/>
              </w:rPr>
              <w:t xml:space="preserve">审，评委酌情打分，本项得分0-5分。</w:t>
            </w:r>
            <w:r/>
          </w:p>
        </w:tc>
      </w:tr>
      <w:tr>
        <w:trPr>
          <w:jc w:val="center"/>
          <w:trHeight w:val="302"/>
        </w:trPr>
        <w:tc>
          <w:tcPr>
            <w:tcW w:w="872" w:type="dxa"/>
            <w:vAlign w:val="top"/>
            <w:vMerge w:val="restart"/>
            <w:textDirection w:val="lrTb"/>
            <w:noWrap w:val="false"/>
          </w:tcPr>
          <w:p>
            <w:pPr>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1248"/>
              <w:ind w:left="390"/>
              <w:spacing w:before="65" w:line="189" w:lineRule="auto"/>
              <w:rPr>
                <w:color w:val="auto"/>
                <w:highlight w:val="none"/>
              </w:rPr>
            </w:pPr>
            <w:r>
              <w:rPr>
                <w:color w:val="auto"/>
                <w:highlight w:val="none"/>
              </w:rPr>
              <w:t xml:space="preserve">3</w:t>
            </w:r>
            <w:r/>
          </w:p>
        </w:tc>
        <w:tc>
          <w:tcPr>
            <w:tcW w:w="1586" w:type="dxa"/>
            <w:vAlign w:val="top"/>
            <w:vMerge w:val="restart"/>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248"/>
              <w:ind w:left="157"/>
              <w:spacing w:before="65" w:line="497" w:lineRule="exact"/>
              <w:rPr>
                <w:color w:val="auto"/>
                <w:highlight w:val="none"/>
              </w:rPr>
            </w:pPr>
            <w:r>
              <w:rPr>
                <w:color w:val="auto"/>
                <w:spacing w:val="6"/>
                <w:position w:val="22"/>
                <w:highlight w:val="none"/>
              </w:rPr>
              <w:t xml:space="preserve">商务部分（50</w:t>
            </w:r>
            <w:r/>
          </w:p>
          <w:p>
            <w:pPr>
              <w:pStyle w:val="1248"/>
              <w:ind w:left="575"/>
              <w:spacing w:line="229" w:lineRule="auto"/>
              <w:rPr>
                <w:color w:val="auto"/>
                <w:highlight w:val="none"/>
              </w:rPr>
            </w:pPr>
            <w:r>
              <w:rPr>
                <w:color w:val="auto"/>
                <w:spacing w:val="-1"/>
                <w:highlight w:val="none"/>
              </w:rPr>
              <w:t xml:space="preserve">分）</w:t>
            </w:r>
            <w:r/>
          </w:p>
        </w:tc>
        <w:tc>
          <w:tcPr>
            <w:tcW w:w="1815" w:type="dxa"/>
            <w:vAlign w:val="top"/>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248"/>
              <w:ind w:left="167"/>
              <w:spacing w:before="65" w:line="229" w:lineRule="auto"/>
              <w:rPr>
                <w:color w:val="auto"/>
                <w:highlight w:val="none"/>
              </w:rPr>
            </w:pPr>
            <w:r>
              <w:rPr>
                <w:color w:val="auto"/>
                <w:spacing w:val="8"/>
                <w:highlight w:val="none"/>
              </w:rPr>
              <w:t xml:space="preserve">项目组成员情况</w:t>
            </w:r>
            <w:r/>
          </w:p>
          <w:p>
            <w:pPr>
              <w:pStyle w:val="1248"/>
              <w:ind w:left="461"/>
              <w:spacing w:before="248" w:line="229" w:lineRule="auto"/>
              <w:rPr>
                <w:color w:val="auto"/>
                <w:highlight w:val="none"/>
              </w:rPr>
            </w:pPr>
            <w:r>
              <w:rPr>
                <w:color w:val="auto"/>
                <w:highlight w:val="none"/>
              </w:rPr>
              <w:t xml:space="preserve">（18分）</w:t>
            </w:r>
            <w:r/>
          </w:p>
        </w:tc>
        <w:tc>
          <w:tcPr>
            <w:tcW w:w="5772" w:type="dxa"/>
            <w:vAlign w:val="top"/>
            <w:textDirection w:val="lrTb"/>
            <w:noWrap w:val="false"/>
          </w:tcPr>
          <w:p>
            <w:pPr>
              <w:pStyle w:val="1248"/>
              <w:ind w:left="128"/>
              <w:spacing w:before="145" w:line="228" w:lineRule="auto"/>
              <w:rPr>
                <w:color w:val="auto"/>
                <w:highlight w:val="none"/>
              </w:rPr>
            </w:pPr>
            <w:r>
              <w:rPr>
                <w:color w:val="auto"/>
                <w:spacing w:val="5"/>
                <w:highlight w:val="none"/>
              </w:rPr>
              <w:t xml:space="preserve">1、项目负责人（4分）</w:t>
            </w:r>
            <w:r/>
          </w:p>
          <w:p>
            <w:pPr>
              <w:pStyle w:val="1248"/>
              <w:ind w:left="123"/>
              <w:spacing w:before="249" w:line="497" w:lineRule="exact"/>
              <w:rPr>
                <w:color w:val="auto"/>
                <w:spacing w:val="9"/>
                <w:position w:val="22"/>
                <w:highlight w:val="none"/>
              </w:rPr>
            </w:pPr>
            <w:r>
              <w:rPr>
                <w:color w:val="auto"/>
                <w:spacing w:val="9"/>
                <w:position w:val="22"/>
                <w:highlight w:val="none"/>
              </w:rPr>
              <w:t xml:space="preserve">（1）项目负责人具有环保类专业高级工程师及以上职称的得2分，具有中级职称的得1分，本项最高2分。</w:t>
            </w:r>
            <w:r/>
          </w:p>
          <w:p>
            <w:pPr>
              <w:pStyle w:val="1248"/>
              <w:ind w:left="123"/>
              <w:spacing w:before="250" w:line="496" w:lineRule="exact"/>
              <w:rPr>
                <w:color w:val="auto"/>
                <w:spacing w:val="9"/>
                <w:position w:val="22"/>
                <w:highlight w:val="none"/>
              </w:rPr>
            </w:pPr>
            <w:r>
              <w:rPr>
                <w:color w:val="auto"/>
                <w:spacing w:val="9"/>
                <w:position w:val="22"/>
                <w:highlight w:val="none"/>
              </w:rPr>
              <w:t xml:space="preserve">（2）项目负责人在环保领</w:t>
            </w:r>
            <w:bookmarkStart w:id="60" w:name="_GoBack"/>
            <w:r/>
            <w:bookmarkEnd w:id="60"/>
            <w:r>
              <w:rPr>
                <w:color w:val="auto"/>
                <w:spacing w:val="9"/>
                <w:position w:val="22"/>
                <w:highlight w:val="none"/>
              </w:rPr>
              <w:t xml:space="preserve">域获得过市级或以上主管部门表彰的得2分。最高为2分。</w:t>
            </w:r>
            <w:r/>
          </w:p>
          <w:p>
            <w:pPr>
              <w:pStyle w:val="1248"/>
              <w:ind w:left="115" w:right="110"/>
              <w:spacing w:before="246" w:line="459" w:lineRule="auto"/>
              <w:rPr>
                <w:color w:val="auto"/>
                <w:highlight w:val="none"/>
              </w:rPr>
            </w:pPr>
            <w:r>
              <w:rPr>
                <w:color w:val="auto"/>
                <w:spacing w:val="9"/>
                <w:highlight w:val="none"/>
              </w:rPr>
              <w:t xml:space="preserve">2、技术负责人具有环保类专业高级工程师</w:t>
            </w:r>
            <w:r>
              <w:rPr>
                <w:color w:val="auto"/>
                <w:spacing w:val="8"/>
                <w:highlight w:val="none"/>
              </w:rPr>
              <w:t xml:space="preserve">及以上职称得2</w:t>
            </w:r>
            <w:r>
              <w:rPr>
                <w:color w:val="auto"/>
                <w:spacing w:val="7"/>
                <w:highlight w:val="none"/>
              </w:rPr>
              <w:t xml:space="preserve">分；具有环境影响评价工程师资格证书的</w:t>
            </w:r>
            <w:r>
              <w:rPr>
                <w:rFonts w:hint="eastAsia"/>
                <w:color w:val="auto"/>
                <w:spacing w:val="7"/>
                <w:highlight w:val="none"/>
                <w:lang w:eastAsia="zh-CN"/>
              </w:rPr>
              <w:t xml:space="preserve">得</w:t>
            </w:r>
            <w:r>
              <w:rPr>
                <w:rFonts w:hint="eastAsia"/>
                <w:color w:val="auto"/>
                <w:spacing w:val="7"/>
                <w:highlight w:val="none"/>
                <w:lang w:val="en-US" w:eastAsia="zh-CN"/>
              </w:rPr>
              <w:t xml:space="preserve">2</w:t>
            </w:r>
            <w:r>
              <w:rPr>
                <w:color w:val="auto"/>
                <w:spacing w:val="7"/>
                <w:highlight w:val="none"/>
              </w:rPr>
              <w:t xml:space="preserve">分；本项</w:t>
            </w:r>
            <w:r>
              <w:rPr>
                <w:color w:val="auto"/>
                <w:spacing w:val="2"/>
                <w:highlight w:val="none"/>
              </w:rPr>
              <w:t xml:space="preserve">最高得4分。</w:t>
            </w:r>
            <w:r/>
          </w:p>
          <w:p>
            <w:pPr>
              <w:pStyle w:val="1248"/>
              <w:ind w:left="116" w:right="110"/>
              <w:spacing w:before="248" w:line="459" w:lineRule="auto"/>
              <w:rPr>
                <w:color w:val="auto"/>
                <w:highlight w:val="none"/>
              </w:rPr>
            </w:pPr>
            <w:r>
              <w:rPr>
                <w:color w:val="auto"/>
                <w:spacing w:val="9"/>
                <w:highlight w:val="none"/>
              </w:rPr>
              <w:t xml:space="preserve">3、项目安全负责人具有注册安全工程师资</w:t>
            </w:r>
            <w:r>
              <w:rPr>
                <w:color w:val="auto"/>
                <w:spacing w:val="8"/>
                <w:highlight w:val="none"/>
              </w:rPr>
              <w:t xml:space="preserve">格证书且具有高</w:t>
            </w:r>
            <w:r>
              <w:rPr>
                <w:color w:val="auto"/>
                <w:spacing w:val="7"/>
                <w:highlight w:val="none"/>
              </w:rPr>
              <w:t xml:space="preserve">级工程师及以上技术职称，得</w:t>
            </w:r>
            <w:r>
              <w:rPr>
                <w:rFonts w:hint="eastAsia"/>
                <w:color w:val="auto"/>
                <w:spacing w:val="7"/>
                <w:highlight w:val="none"/>
                <w:lang w:val="en-US" w:eastAsia="zh-CN"/>
              </w:rPr>
              <w:t xml:space="preserve">2</w:t>
            </w:r>
            <w:r>
              <w:rPr>
                <w:color w:val="auto"/>
                <w:spacing w:val="7"/>
                <w:highlight w:val="none"/>
              </w:rPr>
              <w:t xml:space="preserve">分；具有注册安全工程师资</w:t>
            </w:r>
            <w:r>
              <w:rPr>
                <w:color w:val="auto"/>
                <w:spacing w:val="6"/>
                <w:highlight w:val="none"/>
              </w:rPr>
              <w:t xml:space="preserve">格证书且具有中级职称的，得1分，本项最高得</w:t>
            </w:r>
            <w:r>
              <w:rPr>
                <w:rFonts w:hint="eastAsia"/>
                <w:color w:val="auto"/>
                <w:spacing w:val="6"/>
                <w:highlight w:val="none"/>
                <w:lang w:val="en-US" w:eastAsia="zh-CN"/>
              </w:rPr>
              <w:t xml:space="preserve">2</w:t>
            </w:r>
            <w:r>
              <w:rPr>
                <w:color w:val="auto"/>
                <w:spacing w:val="6"/>
                <w:highlight w:val="none"/>
              </w:rPr>
              <w:t xml:space="preserve">分。</w:t>
            </w:r>
            <w:r/>
          </w:p>
          <w:p>
            <w:pPr>
              <w:pStyle w:val="1248"/>
              <w:ind w:left="113" w:right="107" w:hanging="1"/>
              <w:spacing w:before="251" w:line="457" w:lineRule="auto"/>
              <w:rPr>
                <w:color w:val="auto"/>
                <w:highlight w:val="none"/>
              </w:rPr>
            </w:pPr>
            <w:r>
              <w:rPr>
                <w:color w:val="auto"/>
                <w:spacing w:val="9"/>
                <w:highlight w:val="none"/>
              </w:rPr>
              <w:t xml:space="preserve">4、项目组人员中有环保类专业高级工程师及以上职称且具</w:t>
            </w:r>
            <w:r>
              <w:rPr>
                <w:color w:val="auto"/>
                <w:spacing w:val="6"/>
                <w:highlight w:val="none"/>
              </w:rPr>
              <w:t xml:space="preserve">有环境影响评价工程师资格证书的，有1人得2</w:t>
            </w:r>
            <w:r>
              <w:rPr>
                <w:color w:val="auto"/>
                <w:spacing w:val="5"/>
                <w:highlight w:val="none"/>
              </w:rPr>
              <w:t xml:space="preserve">分，本项最</w:t>
            </w:r>
            <w:r>
              <w:rPr>
                <w:color w:val="auto"/>
                <w:highlight w:val="none"/>
              </w:rPr>
              <w:t xml:space="preserve">高得4分；</w:t>
            </w:r>
            <w:r/>
          </w:p>
          <w:p>
            <w:pPr>
              <w:pStyle w:val="1248"/>
              <w:ind w:left="113" w:right="107" w:hanging="1"/>
              <w:spacing w:before="251" w:line="457" w:lineRule="auto"/>
              <w:rPr>
                <w:color w:val="auto"/>
                <w:spacing w:val="9"/>
                <w:highlight w:val="none"/>
              </w:rPr>
            </w:pPr>
            <w:r>
              <w:rPr>
                <w:color w:val="auto"/>
                <w:spacing w:val="9"/>
                <w:highlight w:val="none"/>
              </w:rPr>
              <w:t xml:space="preserve">5、项目组人员中具有人力资源部颁发的环境治理服务人员证书（证书可在技能人才评价工作网（www.osta.org.cn，原国家职业资格工作网查询）的，每具备1人得2分，本项最高得4分。</w:t>
            </w:r>
            <w:r/>
          </w:p>
          <w:p>
            <w:pPr>
              <w:pStyle w:val="1248"/>
              <w:ind w:left="112" w:right="110"/>
              <w:spacing w:before="250" w:line="458" w:lineRule="auto"/>
              <w:rPr>
                <w:color w:val="auto"/>
                <w:highlight w:val="none"/>
              </w:rPr>
            </w:pPr>
            <w:r>
              <w:rPr>
                <w:color w:val="auto"/>
                <w:spacing w:val="8"/>
                <w:highlight w:val="none"/>
                <w14:textOutline w14:w="3795" w14:cap="sq" w14:cmpd="sng">
                  <w14:solidFill>
                    <w14:srgbClr w14:val="000000"/>
                  </w14:solidFill>
                  <w14:prstDash w14:val="solid"/>
                  <w14:bevel/>
                </w14:textOutline>
              </w:rPr>
              <w:t xml:space="preserve">注：上述1-</w:t>
            </w:r>
            <w:r>
              <w:rPr>
                <w:rFonts w:hint="eastAsia"/>
                <w:color w:val="auto"/>
                <w:spacing w:val="8"/>
                <w:highlight w:val="none"/>
                <w:lang w:val="en-US" w:eastAsia="zh-CN"/>
                <w14:textOutline w14:w="3795" w14:cap="sq" w14:cmpd="sng">
                  <w14:solidFill>
                    <w14:srgbClr w14:val="000000"/>
                  </w14:solidFill>
                  <w14:prstDash w14:val="solid"/>
                  <w14:bevel/>
                </w14:textOutline>
              </w:rPr>
              <w:t xml:space="preserve">4</w:t>
            </w:r>
            <w:r>
              <w:rPr>
                <w:color w:val="auto"/>
                <w:spacing w:val="8"/>
                <w:highlight w:val="none"/>
                <w14:textOutline w14:w="3795" w14:cap="sq" w14:cmpd="sng">
                  <w14:solidFill>
                    <w14:srgbClr w14:val="000000"/>
                  </w14:solidFill>
                  <w14:prstDash w14:val="solid"/>
                  <w14:bevel/>
                </w14:textOutline>
              </w:rPr>
              <w:t xml:space="preserve">项人员不得重复得分。上述项目组成员必须提供本人（有效的）的证书</w:t>
            </w:r>
            <w:r>
              <w:rPr>
                <w:color w:val="auto"/>
                <w:spacing w:val="6"/>
                <w:highlight w:val="none"/>
                <w14:textOutline w14:w="3795" w14:cap="sq" w14:cmpd="sng">
                  <w14:solidFill>
                    <w14:srgbClr w14:val="000000"/>
                  </w14:solidFill>
                  <w14:prstDash w14:val="solid"/>
                  <w14:bevel/>
                </w14:textOutline>
              </w:rPr>
              <w:t xml:space="preserve">，并提供在本单位自202</w:t>
            </w:r>
            <w:r>
              <w:rPr>
                <w:rFonts w:hint="eastAsia"/>
                <w:color w:val="auto"/>
                <w:spacing w:val="6"/>
                <w:highlight w:val="none"/>
                <w:lang w:val="en-US" w:eastAsia="zh-CN"/>
                <w14:textOutline w14:w="3795" w14:cap="sq" w14:cmpd="sng">
                  <w14:solidFill>
                    <w14:srgbClr w14:val="000000"/>
                  </w14:solidFill>
                  <w14:prstDash w14:val="solid"/>
                  <w14:bevel/>
                </w14:textOutline>
              </w:rPr>
              <w:t xml:space="preserve">4</w:t>
            </w:r>
            <w:r>
              <w:rPr>
                <w:color w:val="auto"/>
                <w:spacing w:val="6"/>
                <w:highlight w:val="none"/>
                <w14:textOutline w14:w="3795" w14:cap="sq" w14:cmpd="sng">
                  <w14:solidFill>
                    <w14:srgbClr w14:val="000000"/>
                  </w14:solidFill>
                  <w14:prstDash w14:val="solid"/>
                  <w14:bevel/>
                </w14:textOutline>
              </w:rPr>
              <w:t xml:space="preserve">年</w:t>
            </w:r>
            <w:r>
              <w:rPr>
                <w:rFonts w:hint="eastAsia"/>
                <w:color w:val="auto"/>
                <w:spacing w:val="6"/>
                <w:highlight w:val="none"/>
                <w:lang w:val="en-US" w:eastAsia="zh-CN"/>
                <w14:textOutline w14:w="3795" w14:cap="sq" w14:cmpd="sng">
                  <w14:solidFill>
                    <w14:srgbClr w14:val="000000"/>
                  </w14:solidFill>
                  <w14:prstDash w14:val="solid"/>
                  <w14:bevel/>
                </w14:textOutline>
              </w:rPr>
              <w:t xml:space="preserve">2</w:t>
            </w:r>
            <w:r>
              <w:rPr>
                <w:color w:val="auto"/>
                <w:spacing w:val="6"/>
                <w:highlight w:val="none"/>
                <w14:textOutline w14:w="3795" w14:cap="sq" w14:cmpd="sng">
                  <w14:solidFill>
                    <w14:srgbClr w14:val="000000"/>
                  </w14:solidFill>
                  <w14:prstDash w14:val="solid"/>
                  <w14:bevel/>
                </w14:textOutline>
              </w:rPr>
              <w:t xml:space="preserve">月-202</w:t>
            </w:r>
            <w:r>
              <w:rPr>
                <w:rFonts w:hint="eastAsia"/>
                <w:color w:val="auto"/>
                <w:spacing w:val="6"/>
                <w:highlight w:val="none"/>
                <w:lang w:val="en-US" w:eastAsia="zh-CN"/>
                <w14:textOutline w14:w="3795" w14:cap="sq" w14:cmpd="sng">
                  <w14:solidFill>
                    <w14:srgbClr w14:val="000000"/>
                  </w14:solidFill>
                  <w14:prstDash w14:val="solid"/>
                  <w14:bevel/>
                </w14:textOutline>
              </w:rPr>
              <w:t xml:space="preserve">4</w:t>
            </w:r>
            <w:r>
              <w:rPr>
                <w:color w:val="auto"/>
                <w:spacing w:val="6"/>
                <w:highlight w:val="none"/>
                <w14:textOutline w14:w="3795" w14:cap="sq" w14:cmpd="sng">
                  <w14:solidFill>
                    <w14:srgbClr w14:val="000000"/>
                  </w14:solidFill>
                  <w14:prstDash w14:val="solid"/>
                  <w14:bevel/>
                </w14:textOutline>
              </w:rPr>
              <w:t xml:space="preserve">年</w:t>
            </w:r>
            <w:r>
              <w:rPr>
                <w:rFonts w:hint="eastAsia"/>
                <w:color w:val="auto"/>
                <w:spacing w:val="9"/>
                <w:highlight w:val="none"/>
                <w:lang w:val="en-US" w:eastAsia="zh-CN"/>
                <w14:textOutline w14:w="3795" w14:cap="sq" w14:cmpd="sng">
                  <w14:solidFill>
                    <w14:srgbClr w14:val="000000"/>
                  </w14:solidFill>
                  <w14:prstDash w14:val="solid"/>
                  <w14:bevel/>
                </w14:textOutline>
              </w:rPr>
              <w:t xml:space="preserve">4</w:t>
            </w:r>
            <w:r>
              <w:rPr>
                <w:color w:val="auto"/>
                <w:spacing w:val="9"/>
                <w:highlight w:val="none"/>
                <w14:textOutline w14:w="3795" w14:cap="sq" w14:cmpd="sng">
                  <w14:solidFill>
                    <w14:srgbClr w14:val="000000"/>
                  </w14:solidFill>
                  <w14:prstDash w14:val="solid"/>
                  <w14:bevel/>
                </w14:textOutline>
              </w:rPr>
              <w:t xml:space="preserve">月连续三个月的社保缴纳证明（证书原件扫描件上传至电子投标文件中，不提供不得分）</w:t>
            </w:r>
            <w:r/>
          </w:p>
        </w:tc>
      </w:tr>
      <w:tr>
        <w:trPr>
          <w:jc w:val="center"/>
          <w:trHeight w:val="9212"/>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815" w:type="dxa"/>
            <w:vAlign w:val="top"/>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248"/>
              <w:ind w:left="115"/>
              <w:spacing w:before="65" w:line="497" w:lineRule="exact"/>
              <w:rPr>
                <w:color w:val="auto"/>
                <w:highlight w:val="none"/>
              </w:rPr>
            </w:pPr>
            <w:r>
              <w:rPr>
                <w:color w:val="auto"/>
                <w:spacing w:val="7"/>
                <w:position w:val="22"/>
                <w:highlight w:val="none"/>
              </w:rPr>
              <w:t xml:space="preserve">投标人综合实力</w:t>
            </w:r>
            <w:r/>
          </w:p>
          <w:p>
            <w:pPr>
              <w:pStyle w:val="1248"/>
              <w:ind w:left="123"/>
              <w:spacing w:line="229" w:lineRule="auto"/>
              <w:rPr>
                <w:color w:val="auto"/>
                <w:highlight w:val="none"/>
              </w:rPr>
            </w:pPr>
            <w:r>
              <w:rPr>
                <w:color w:val="auto"/>
                <w:spacing w:val="-1"/>
                <w:highlight w:val="none"/>
              </w:rPr>
              <w:t xml:space="preserve">（24分）</w:t>
            </w:r>
            <w:r/>
          </w:p>
        </w:tc>
        <w:tc>
          <w:tcPr>
            <w:tcW w:w="5772" w:type="dxa"/>
            <w:vAlign w:val="top"/>
            <w:textDirection w:val="lrTb"/>
            <w:noWrap w:val="false"/>
          </w:tcPr>
          <w:p>
            <w:pPr>
              <w:pStyle w:val="1248"/>
              <w:ind w:left="128"/>
              <w:spacing w:before="144" w:line="480" w:lineRule="auto"/>
              <w:rPr>
                <w:color w:val="auto"/>
                <w:highlight w:val="none"/>
              </w:rPr>
            </w:pPr>
            <w:r>
              <w:rPr>
                <w:color w:val="auto"/>
                <w:spacing w:val="5"/>
                <w:highlight w:val="none"/>
              </w:rPr>
              <w:t xml:space="preserve">1、</w:t>
            </w:r>
            <w:r>
              <w:rPr>
                <w:color w:val="auto"/>
                <w:spacing w:val="9"/>
                <w:highlight w:val="none"/>
              </w:rPr>
              <w:t xml:space="preserve">投标人具备IS09001质量管理体系认证的，得2分</w:t>
            </w:r>
            <w:r>
              <w:rPr>
                <w:rFonts w:hint="eastAsia"/>
                <w:color w:val="auto"/>
                <w:spacing w:val="9"/>
                <w:highlight w:val="none"/>
                <w:lang w:eastAsia="zh-CN"/>
              </w:rPr>
              <w:t xml:space="preserve">；</w:t>
            </w:r>
            <w:r>
              <w:rPr>
                <w:color w:val="auto"/>
                <w:spacing w:val="9"/>
                <w:highlight w:val="none"/>
              </w:rPr>
              <w:t xml:space="preserve">IS014001环境管理体系认证的，得2分</w:t>
            </w:r>
            <w:r>
              <w:rPr>
                <w:rFonts w:hint="eastAsia"/>
                <w:color w:val="auto"/>
                <w:spacing w:val="9"/>
                <w:highlight w:val="none"/>
                <w:lang w:eastAsia="zh-CN"/>
              </w:rPr>
              <w:t xml:space="preserve">；</w:t>
            </w:r>
            <w:r>
              <w:rPr>
                <w:color w:val="auto"/>
                <w:spacing w:val="9"/>
                <w:highlight w:val="none"/>
              </w:rPr>
              <w:t xml:space="preserve">IS045001职业健康安全管理体系认证的，得2分</w:t>
            </w:r>
            <w:r>
              <w:rPr>
                <w:rFonts w:hint="eastAsia"/>
                <w:color w:val="auto"/>
                <w:spacing w:val="9"/>
                <w:highlight w:val="none"/>
                <w:lang w:eastAsia="zh-CN"/>
              </w:rPr>
              <w:t xml:space="preserve">；</w:t>
            </w:r>
            <w:r>
              <w:rPr>
                <w:color w:val="auto"/>
                <w:spacing w:val="9"/>
                <w:highlight w:val="none"/>
              </w:rPr>
              <w:t xml:space="preserve">满分6分(证书认证覆盖的业务范围含土壤状况调查相关内容，在有效期内的证书彩色扫描件上传至投标文件中，否则不得分）。</w:t>
            </w:r>
            <w:r/>
          </w:p>
          <w:p>
            <w:pPr>
              <w:pStyle w:val="1248"/>
              <w:ind w:left="115" w:right="110"/>
              <w:spacing w:before="246" w:line="459" w:lineRule="auto"/>
              <w:rPr>
                <w:color w:val="auto"/>
                <w:highlight w:val="none"/>
              </w:rPr>
            </w:pPr>
            <w:r>
              <w:rPr>
                <w:color w:val="auto"/>
                <w:spacing w:val="9"/>
                <w:highlight w:val="none"/>
              </w:rPr>
              <w:t xml:space="preserve">2、投标人具有支持污染场地调查与修复工作的</w:t>
            </w:r>
            <w:r>
              <w:rPr>
                <w:color w:val="auto"/>
                <w:spacing w:val="8"/>
                <w:highlight w:val="none"/>
              </w:rPr>
              <w:t xml:space="preserve">省级及以上</w:t>
            </w:r>
            <w:r>
              <w:rPr>
                <w:color w:val="auto"/>
                <w:spacing w:val="7"/>
                <w:highlight w:val="none"/>
              </w:rPr>
              <w:t xml:space="preserve">企业工程技术研究中心且通过验收的得3分；需提供科技厅</w:t>
            </w:r>
            <w:r>
              <w:rPr>
                <w:color w:val="auto"/>
                <w:spacing w:val="8"/>
                <w:highlight w:val="none"/>
              </w:rPr>
              <w:t xml:space="preserve">下发的文件及相关验收的证明。</w:t>
            </w:r>
            <w:r/>
          </w:p>
          <w:p>
            <w:pPr>
              <w:pStyle w:val="1248"/>
              <w:ind w:left="112" w:right="110" w:firstLine="4"/>
              <w:spacing w:before="249" w:line="459" w:lineRule="auto"/>
              <w:rPr>
                <w:color w:val="auto"/>
                <w:highlight w:val="none"/>
              </w:rPr>
            </w:pPr>
            <w:r>
              <w:rPr>
                <w:color w:val="auto"/>
                <w:spacing w:val="2"/>
                <w:highlight w:val="none"/>
              </w:rPr>
              <w:t xml:space="preserve">3、投标人自2018年1月1日以来获得过市级及以上环保类</w:t>
            </w:r>
            <w:r>
              <w:rPr>
                <w:color w:val="auto"/>
                <w:spacing w:val="6"/>
                <w:highlight w:val="none"/>
              </w:rPr>
              <w:t xml:space="preserve">科学技术奖项的，每项得1分，最高得3分</w:t>
            </w:r>
            <w:r>
              <w:rPr>
                <w:color w:val="auto"/>
                <w:spacing w:val="5"/>
                <w:highlight w:val="none"/>
              </w:rPr>
              <w:t xml:space="preserve">。提供获奖证书</w:t>
            </w:r>
            <w:r>
              <w:rPr>
                <w:color w:val="auto"/>
                <w:spacing w:val="8"/>
                <w:highlight w:val="none"/>
              </w:rPr>
              <w:t xml:space="preserve">原件扫描件上传至电子投标文件，否则不得分。</w:t>
            </w:r>
            <w:r/>
          </w:p>
          <w:p>
            <w:pPr>
              <w:pStyle w:val="1248"/>
              <w:ind w:left="113" w:right="107" w:hanging="1"/>
              <w:spacing w:before="247" w:line="459" w:lineRule="auto"/>
              <w:rPr>
                <w:color w:val="auto"/>
                <w:highlight w:val="none"/>
              </w:rPr>
            </w:pPr>
            <w:r>
              <w:rPr>
                <w:color w:val="auto"/>
                <w:spacing w:val="1"/>
                <w:highlight w:val="none"/>
              </w:rPr>
              <w:t xml:space="preserve">4、投标人自2018年1月1日至今具有与本项目相关的土壤</w:t>
            </w:r>
            <w:r>
              <w:rPr>
                <w:color w:val="auto"/>
                <w:spacing w:val="9"/>
                <w:highlight w:val="none"/>
              </w:rPr>
              <w:t xml:space="preserve">调查及修复技术相关的发明专利（以授权公告日期为准</w:t>
            </w:r>
            <w:r>
              <w:rPr>
                <w:color w:val="auto"/>
                <w:spacing w:val="2"/>
                <w:highlight w:val="none"/>
              </w:rPr>
              <w:t xml:space="preserve">），</w:t>
            </w:r>
            <w:r>
              <w:rPr>
                <w:color w:val="auto"/>
                <w:spacing w:val="6"/>
                <w:highlight w:val="none"/>
              </w:rPr>
              <w:t xml:space="preserve">有一项得2分，最高得6分。证明材料原件扫描上传至电子</w:t>
            </w:r>
            <w:r>
              <w:rPr>
                <w:color w:val="auto"/>
                <w:spacing w:val="8"/>
                <w:highlight w:val="none"/>
              </w:rPr>
              <w:t xml:space="preserve">投标文件中。否则不得分。</w:t>
            </w:r>
            <w:r/>
          </w:p>
          <w:p>
            <w:pPr>
              <w:pStyle w:val="1248"/>
              <w:ind w:left="114" w:right="107" w:firstLine="2"/>
              <w:spacing w:before="249" w:line="459" w:lineRule="auto"/>
              <w:rPr>
                <w:color w:val="auto"/>
                <w:highlight w:val="none"/>
              </w:rPr>
            </w:pPr>
            <w:r>
              <w:rPr>
                <w:color w:val="auto"/>
                <w:spacing w:val="9"/>
                <w:highlight w:val="none"/>
              </w:rPr>
              <w:t xml:space="preserve">5、投标人参与制定过土壤处置类相关国家、地</w:t>
            </w:r>
            <w:r>
              <w:rPr>
                <w:color w:val="auto"/>
                <w:spacing w:val="8"/>
                <w:highlight w:val="none"/>
              </w:rPr>
              <w:t xml:space="preserve">方或行业标</w:t>
            </w:r>
            <w:r>
              <w:rPr>
                <w:color w:val="auto"/>
                <w:spacing w:val="7"/>
                <w:highlight w:val="none"/>
              </w:rPr>
              <w:t xml:space="preserve">准规范的，得3分，须提供相关证明文件上传至电子投标文件中。否则不得分。</w:t>
            </w:r>
            <w:r/>
          </w:p>
          <w:p>
            <w:pPr>
              <w:pStyle w:val="1248"/>
              <w:ind w:left="115" w:right="107" w:hanging="1"/>
              <w:spacing w:before="250" w:line="458" w:lineRule="auto"/>
              <w:rPr>
                <w:color w:val="auto"/>
                <w:highlight w:val="none"/>
              </w:rPr>
            </w:pPr>
            <w:r>
              <w:rPr>
                <w:color w:val="auto"/>
                <w:spacing w:val="9"/>
                <w:highlight w:val="none"/>
              </w:rPr>
              <w:t xml:space="preserve">6、投标人（或其控股全资子公司）具有相关检测实验</w:t>
            </w:r>
            <w:r>
              <w:rPr>
                <w:color w:val="auto"/>
                <w:spacing w:val="8"/>
                <w:highlight w:val="none"/>
              </w:rPr>
              <w:t xml:space="preserve">室并</w:t>
            </w:r>
            <w:r>
              <w:rPr>
                <w:color w:val="auto"/>
                <w:spacing w:val="9"/>
                <w:highlight w:val="none"/>
              </w:rPr>
              <w:t xml:space="preserve">获得由国家认可的法定机构颁发的</w:t>
            </w:r>
            <w:r>
              <w:rPr>
                <w:color w:val="auto"/>
                <w:highlight w:val="none"/>
              </w:rPr>
              <w:t xml:space="preserve">CMA</w:t>
            </w:r>
            <w:r>
              <w:rPr>
                <w:color w:val="auto"/>
                <w:spacing w:val="9"/>
                <w:highlight w:val="none"/>
              </w:rPr>
              <w:t xml:space="preserve">认证并且资质能力鉴定表包含《土壤环境质量建设用地土壤污染风险管</w:t>
            </w:r>
            <w:r>
              <w:rPr>
                <w:color w:val="auto"/>
                <w:spacing w:val="8"/>
                <w:highlight w:val="none"/>
              </w:rPr>
              <w:t xml:space="preserve">控标准</w:t>
            </w:r>
            <w:r>
              <w:rPr>
                <w:color w:val="auto"/>
                <w:spacing w:val="5"/>
                <w:highlight w:val="none"/>
              </w:rPr>
              <w:t xml:space="preserve">（试行）》(</w:t>
            </w:r>
            <w:r>
              <w:rPr>
                <w:color w:val="auto"/>
                <w:highlight w:val="none"/>
              </w:rPr>
              <w:t xml:space="preserve">GB</w:t>
            </w:r>
            <w:r>
              <w:rPr>
                <w:color w:val="auto"/>
                <w:spacing w:val="5"/>
                <w:highlight w:val="none"/>
              </w:rPr>
              <w:t xml:space="preserve">36600—2018)表1基本项目45项检测内容的</w:t>
            </w:r>
            <w:r>
              <w:rPr>
                <w:color w:val="auto"/>
                <w:spacing w:val="-4"/>
                <w:highlight w:val="none"/>
              </w:rPr>
              <w:t xml:space="preserve">3分。</w:t>
            </w:r>
            <w:r/>
          </w:p>
        </w:tc>
      </w:tr>
      <w:tr>
        <w:trPr>
          <w:jc w:val="center"/>
          <w:trHeight w:val="2000"/>
        </w:trPr>
        <w:tc>
          <w:tcPr>
            <w:tcW w:w="87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586"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815" w:type="dxa"/>
            <w:vAlign w:val="top"/>
            <w:textDirection w:val="lrTb"/>
            <w:noWrap w:val="false"/>
          </w:tcPr>
          <w:p>
            <w:pPr>
              <w:spacing w:line="287" w:lineRule="auto"/>
              <w:rPr>
                <w:rFonts w:ascii="Arial"/>
                <w:color w:val="auto"/>
                <w:sz w:val="21"/>
                <w:highlight w:val="none"/>
              </w:rPr>
            </w:pPr>
            <w:r>
              <w:rPr>
                <w:rFonts w:ascii="Arial"/>
                <w:color w:val="auto"/>
                <w:sz w:val="21"/>
                <w:highlight w:val="none"/>
              </w:rPr>
            </w:r>
            <w:r/>
          </w:p>
          <w:p>
            <w:pPr>
              <w:spacing w:line="288" w:lineRule="auto"/>
              <w:rPr>
                <w:rFonts w:ascii="Arial"/>
                <w:color w:val="auto"/>
                <w:sz w:val="21"/>
                <w:highlight w:val="none"/>
              </w:rPr>
            </w:pPr>
            <w:r>
              <w:rPr>
                <w:rFonts w:ascii="Arial"/>
                <w:color w:val="auto"/>
                <w:sz w:val="21"/>
                <w:highlight w:val="none"/>
              </w:rPr>
            </w:r>
            <w:r/>
          </w:p>
          <w:p>
            <w:pPr>
              <w:pStyle w:val="1248"/>
              <w:ind w:left="115"/>
              <w:spacing w:before="65" w:line="494" w:lineRule="exact"/>
              <w:rPr>
                <w:color w:val="auto"/>
                <w:highlight w:val="none"/>
              </w:rPr>
            </w:pPr>
            <w:r>
              <w:rPr>
                <w:color w:val="auto"/>
                <w:spacing w:val="8"/>
                <w:position w:val="22"/>
                <w:highlight w:val="none"/>
              </w:rPr>
              <w:t xml:space="preserve">投标人类似业绩</w:t>
            </w:r>
            <w:r/>
          </w:p>
          <w:p>
            <w:pPr>
              <w:pStyle w:val="1248"/>
              <w:ind w:left="123"/>
              <w:spacing w:line="229" w:lineRule="auto"/>
              <w:rPr>
                <w:color w:val="auto"/>
                <w:highlight w:val="none"/>
              </w:rPr>
            </w:pPr>
            <w:r>
              <w:rPr>
                <w:color w:val="auto"/>
                <w:spacing w:val="-2"/>
                <w:highlight w:val="none"/>
              </w:rPr>
              <w:t xml:space="preserve">（8分）</w:t>
            </w:r>
            <w:r/>
          </w:p>
        </w:tc>
        <w:tc>
          <w:tcPr>
            <w:tcW w:w="5772" w:type="dxa"/>
            <w:vAlign w:val="top"/>
            <w:textDirection w:val="lrTb"/>
            <w:noWrap w:val="false"/>
          </w:tcPr>
          <w:p>
            <w:pPr>
              <w:spacing w:line="480" w:lineRule="auto"/>
              <w:rPr>
                <w:color w:val="auto"/>
                <w:highlight w:val="none"/>
              </w:rPr>
            </w:pPr>
            <w:r>
              <w:rPr>
                <w:color w:val="auto"/>
                <w:highlight w:val="none"/>
              </w:rPr>
            </w:r>
            <w:r/>
          </w:p>
          <w:p>
            <w:pPr>
              <w:spacing w:line="480" w:lineRule="auto"/>
              <w:rPr>
                <w:color w:val="auto"/>
                <w:highlight w:val="none"/>
              </w:rPr>
            </w:pPr>
            <w:r>
              <w:rPr>
                <w:color w:val="auto"/>
                <w:highlight w:val="none"/>
              </w:rPr>
              <w:t xml:space="preserve">1、投标单位自2020年1月1日以来承担过土壤污染调查类似业绩的，提供一项得2分，最高的8分。</w:t>
            </w:r>
            <w:r/>
          </w:p>
          <w:p>
            <w:pPr>
              <w:spacing w:line="480" w:lineRule="auto"/>
              <w:rPr>
                <w:color w:val="auto"/>
                <w:highlight w:val="none"/>
              </w:rPr>
            </w:pPr>
            <w:r>
              <w:rPr>
                <w:rFonts w:hint="eastAsia" w:eastAsia="宋体"/>
                <w:color w:val="auto"/>
                <w:highlight w:val="none"/>
                <w:lang w:eastAsia="zh-CN"/>
              </w:rPr>
              <w:t xml:space="preserve">（</w:t>
            </w:r>
            <w:r>
              <w:rPr>
                <w:color w:val="auto"/>
                <w:highlight w:val="none"/>
              </w:rPr>
              <w:t xml:space="preserve">注：上述业绩以合同签订日期为准；投标文件中提供对应合同原件彩色扫描件；未按上述要求提供的，对应项不得分</w:t>
            </w:r>
            <w:r>
              <w:rPr>
                <w:rFonts w:hint="eastAsia" w:eastAsia="宋体"/>
                <w:color w:val="auto"/>
                <w:highlight w:val="none"/>
                <w:lang w:eastAsia="zh-CN"/>
              </w:rPr>
              <w:t xml:space="preserve">）</w:t>
            </w:r>
            <w:r/>
          </w:p>
        </w:tc>
      </w:tr>
    </w:tbl>
    <w:p>
      <w:pPr>
        <w:ind w:firstLine="422"/>
        <w:spacing w:line="360" w:lineRule="auto"/>
        <w:rPr>
          <w:rFonts w:hint="eastAsia" w:ascii="宋体" w:hAnsi="宋体" w:eastAsia="宋体" w:cs="黑体"/>
          <w:b/>
          <w:bCs/>
          <w:szCs w:val="21"/>
        </w:rPr>
      </w:pPr>
      <w:r>
        <w:rPr>
          <w:rFonts w:hint="eastAsia" w:ascii="宋体" w:hAnsi="宋体" w:eastAsia="宋体" w:cs="黑体"/>
          <w:b/>
          <w:bCs/>
          <w:szCs w:val="21"/>
        </w:rPr>
      </w:r>
      <w:r/>
    </w:p>
    <w:p>
      <w:pPr>
        <w:ind w:firstLine="422"/>
        <w:spacing w:line="360" w:lineRule="auto"/>
        <w:rPr>
          <w:rFonts w:ascii="宋体" w:hAnsi="宋体" w:eastAsia="宋体"/>
        </w:rPr>
      </w:pPr>
      <w:r>
        <w:rPr>
          <w:rFonts w:hint="eastAsia" w:ascii="宋体" w:hAnsi="宋体" w:eastAsia="宋体" w:cs="黑体"/>
          <w:b/>
          <w:bCs/>
          <w:szCs w:val="21"/>
        </w:rPr>
        <w:t xml:space="preserve">注：提供上述相关证明材料原件彩色扫描件上传至电子投标文件中，否则不得分。</w:t>
      </w:r>
      <w:r>
        <w:rPr>
          <w:rFonts w:hint="eastAsia" w:ascii="宋体" w:hAnsi="宋体" w:eastAsia="宋体" w:cs="黑体"/>
          <w:b/>
          <w:szCs w:val="21"/>
        </w:rPr>
        <w:t xml:space="preserve">造成打分项不能及时得分的，后果由投标人自行承担；</w:t>
      </w:r>
      <w:r/>
    </w:p>
    <w:p>
      <w:pPr>
        <w:pStyle w:val="1128"/>
        <w:ind w:firstLine="420"/>
        <w:spacing w:line="400" w:lineRule="exact"/>
        <w:tabs>
          <w:tab w:val="left" w:pos="720" w:leader="none"/>
        </w:tabs>
        <w:rPr>
          <w:rFonts w:hint="eastAsia" w:ascii="宋体" w:hAnsi="宋体" w:eastAsia="宋体"/>
          <w:sz w:val="21"/>
        </w:rPr>
      </w:pPr>
      <w:r>
        <w:rPr>
          <w:rFonts w:hint="eastAsia" w:ascii="宋体" w:hAnsi="宋体" w:eastAsia="宋体"/>
          <w:sz w:val="21"/>
        </w:rPr>
        <w:t xml:space="preserve">（四） 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Symbol">
    <w:panose1 w:val="05050102010706020507"/>
  </w:font>
  <w:font w:name="Wingdings">
    <w:panose1 w:val="05000000000000000000"/>
  </w:font>
  <w:font w:name="Cambria">
    <w:panose1 w:val="02040503050406030204"/>
  </w:font>
  <w:font w:name="TimesNewRomanPSMT">
    <w:panose1 w:val="02020603050405020304"/>
  </w:font>
  <w:font w:name="Calibri">
    <w:panose1 w:val="020F0502020204030204"/>
  </w:font>
  <w:font w:name="Cambria Math">
    <w:panose1 w:val="02040503050406030204"/>
  </w:font>
  <w:font w:name="Times New Roman">
    <w:panose1 w:val="02020603050405020304"/>
  </w:font>
  <w:font w:name="仿宋">
    <w:panose1 w:val="02010609060101010101"/>
  </w:font>
  <w:font w:name="等线 Light">
    <w:panose1 w:val="02010600030101010101"/>
  </w:font>
  <w:font w:name="楷体_GB2312">
    <w:panose1 w:val="02010609060101010101"/>
  </w:font>
  <w:font w:name="Courier New">
    <w:panose1 w:val="02070309020205020404"/>
  </w:font>
  <w:font w:name="monospace">
    <w:panose1 w:val="020B0503020202020204"/>
  </w:font>
  <w:font w:name="宋体">
    <w:panose1 w:val="02010600030101010101"/>
  </w:font>
  <w:font w:name="Arial">
    <w:panose1 w:val="020B0604020202020204"/>
  </w:font>
  <w:font w:name="Verdana">
    <w:panose1 w:val="020B0604030504040204"/>
  </w:font>
  <w:font w:name="仿宋_GB2312">
    <w:panose1 w:val="02010609060101010101"/>
  </w:font>
  <w:font w:name="黑体">
    <w:panose1 w:val="02010609060101010101"/>
  </w:font>
  <w:font w:name="Tahoma">
    <w:panose1 w:val="020B0604030504040204"/>
  </w:font>
  <w:font w:name="MS Mincho">
    <w:panose1 w:val="02020603050405090304"/>
  </w:font>
  <w:font w:name="Yu Mincho Light">
    <w:panose1 w:val="020B0503020202020204"/>
  </w:font>
  <w:font w:name="ËÎÌå">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r>
                    <w:r/>
                  </w:p>
                  <w:p>
                    <w:r/>
                    <w:r/>
                  </w:p>
                </w:txbxContent>
              </v:textbox>
            </v:shape>
          </w:pict>
        </mc:Fallback>
      </mc:AlternateContent>
    </w:r>
    <w:r/>
  </w:p>
  <w:p>
    <w:pPr>
      <w:pStyle w:val="11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36"/>
        <w:sz w:val="21"/>
      </w:rPr>
      <w:framePr w:wrap="around" w:vAnchor="text" w:hAnchor="margin" w:xAlign="center" w:y="1"/>
    </w:pPr>
    <w:r>
      <w:rPr>
        <w:sz w:val="21"/>
      </w:rPr>
      <w:fldChar w:fldCharType="begin"/>
    </w:r>
    <w:r>
      <w:rPr>
        <w:rStyle w:val="1136"/>
        <w:sz w:val="21"/>
      </w:rPr>
      <w:instrText xml:space="preserve">PAGE  </w:instrText>
    </w:r>
    <w:r>
      <w:rPr>
        <w:sz w:val="21"/>
      </w:rPr>
      <w:fldChar w:fldCharType="separate"/>
    </w:r>
    <w:r>
      <w:rPr>
        <w:rStyle w:val="1136"/>
        <w:sz w:val="21"/>
      </w:rPr>
      <w:t xml:space="preserve">34</w:t>
    </w:r>
    <w:r>
      <w:rPr>
        <w:sz w:val="21"/>
      </w:rPr>
      <w:fldChar w:fldCharType="end"/>
    </w:r>
    <w:r/>
  </w:p>
  <w:p>
    <w:pPr>
      <w:pStyle w:val="1117"/>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rPr>
                        <w:rFonts w:hint="eastAsia"/>
                      </w:rPr>
                    </w:pPr>
                    <w:r>
                      <w:rPr>
                        <w:rFonts w:hint="eastAsia"/>
                      </w:rPr>
                    </w:r>
                    <w:r/>
                  </w:p>
                  <w:p>
                    <w:r/>
                    <w:r/>
                  </w:p>
                </w:txbxContent>
              </v:textbox>
            </v:shape>
          </w:pict>
        </mc:Fallback>
      </mc:AlternateContent>
    </w:r>
    <w:r/>
  </w:p>
  <w:p>
    <w:pPr>
      <w:pStyle w:val="11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7"/>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left"/>
      <w:rPr>
        <w:rFonts w:hint="eastAsia"/>
        <w:sz w:val="18"/>
        <w:szCs w:val="18"/>
        <w:u w:val="single"/>
      </w:rPr>
    </w:pPr>
    <w:r>
      <w:rPr>
        <w:rFonts w:hint="eastAsia"/>
        <w:sz w:val="18"/>
        <w:szCs w:val="18"/>
        <w:u w:val="single"/>
      </w:rPr>
    </w:r>
    <w:r/>
  </w:p>
  <w:p>
    <w:pPr>
      <w:ind w:firstLine="361"/>
      <w:jc w:val="left"/>
      <w:rPr>
        <w:b/>
        <w:bCs/>
        <w:color w:val="ff0000"/>
      </w:rPr>
    </w:pPr>
    <w:r>
      <w:rPr>
        <w:rFonts w:hint="eastAsia"/>
        <w:sz w:val="18"/>
        <w:szCs w:val="18"/>
        <w:u w:val="single"/>
        <w:lang w:eastAsia="zh-CN"/>
      </w:rPr>
      <w:t xml:space="preserve">灌云县临港产业区化工产业园7地块土壤和地下水检测项目（专门面向中小微企业）</w:t>
    </w:r>
    <w:r>
      <w:rPr>
        <w:rFonts w:hint="eastAsia"/>
        <w:sz w:val="18"/>
        <w:szCs w:val="18"/>
        <w:u w:val="single"/>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firstLine="360"/>
      <w:rPr>
        <w:sz w:val="20"/>
        <w:szCs w:val="20"/>
      </w:rPr>
      <w:pBdr>
        <w:bottom w:val="none" w:color="000000" w:sz="0" w:space="1"/>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308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tab"/>
      <w:lvlText w:val="%1"/>
      <w:lvlJc w:val="left"/>
      <w:pPr>
        <w:ind w:left="284" w:hanging="284"/>
        <w:tabs>
          <w:tab w:val="left" w:pos="360" w:leader="none"/>
        </w:tabs>
      </w:pPr>
      <w:rPr>
        <w:rFonts w:ascii="Tahoma" w:hAnsi="Tahoma"/>
        <w:b/>
        <w:i w:val="0"/>
        <w:sz w:val="28"/>
      </w:rPr>
    </w:lvl>
    <w:lvl w:ilvl="1">
      <w:start w:val="1"/>
      <w:numFmt w:val="decimal"/>
      <w:pStyle w:val="1088"/>
      <w:isLgl w:val="false"/>
      <w:suff w:val="tab"/>
      <w:lvlText w:val="%1.%2"/>
      <w:lvlJc w:val="left"/>
      <w:pPr>
        <w:ind w:left="1021" w:hanging="596"/>
        <w:tabs>
          <w:tab w:val="left" w:pos="1021" w:leader="none"/>
        </w:tabs>
      </w:pPr>
      <w:rPr>
        <w:rFonts w:ascii="Tahoma" w:hAnsi="Tahoma"/>
        <w:b/>
        <w:i w:val="0"/>
        <w:sz w:val="28"/>
      </w:rPr>
    </w:lvl>
    <w:lvl w:ilvl="2">
      <w:start w:val="1"/>
      <w:numFmt w:val="decimal"/>
      <w:pStyle w:val="1089"/>
      <w:isLgl w:val="false"/>
      <w:suff w:val="tab"/>
      <w:lvlText w:val="%1.%2.%3"/>
      <w:lvlJc w:val="left"/>
      <w:pPr>
        <w:ind w:left="0" w:firstLine="0"/>
        <w:tabs>
          <w:tab w:val="left" w:pos="1588" w:leader="none"/>
        </w:tabs>
      </w:pPr>
      <w:rPr>
        <w:rFonts w:ascii="Tahoma" w:hAnsi="Tahoma"/>
        <w:b/>
        <w:i w:val="0"/>
        <w:sz w:val="24"/>
      </w:rPr>
    </w:lvl>
    <w:lvl w:ilvl="3">
      <w:start w:val="1"/>
      <w:numFmt w:val="decimal"/>
      <w:pStyle w:val="1090"/>
      <w:isLgl w:val="false"/>
      <w:suff w:val="tab"/>
      <w:lvlText w:val="%1.%2.%3.%4"/>
      <w:lvlJc w:val="left"/>
      <w:pPr>
        <w:ind w:left="0" w:firstLine="0"/>
        <w:tabs>
          <w:tab w:val="left" w:pos="2155" w:leader="none"/>
        </w:tabs>
      </w:pPr>
      <w:rPr>
        <w:rFonts w:ascii="Courier New" w:hAnsi="Courier New"/>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0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ahoma" w:hAnsi="Tahoma" w:eastAsia="黑体" w:cs="Tahom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link w:val="1157"/>
    <w:uiPriority w:val="0"/>
    <w:qFormat/>
    <w:pPr>
      <w:jc w:val="both"/>
      <w:widowControl w:val="off"/>
    </w:pPr>
    <w:rPr>
      <w:rFonts w:hint="default" w:ascii="Tahoma" w:hAnsi="Tahoma" w:eastAsia="黑体" w:cs="Tahoma"/>
      <w:sz w:val="21"/>
      <w:szCs w:val="24"/>
      <w:lang w:val="en-US" w:eastAsia="zh-CN" w:bidi="ar-SA"/>
    </w:rPr>
  </w:style>
  <w:style w:type="paragraph" w:styleId="905">
    <w:name w:val="Heading 1"/>
    <w:basedOn w:val="904"/>
    <w:next w:val="904"/>
    <w:link w:val="938"/>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link w:val="939"/>
    <w:uiPriority w:val="9"/>
    <w:unhideWhenUsed/>
    <w:qFormat/>
    <w:pPr>
      <w:keepLines/>
      <w:keepNext/>
      <w:spacing w:before="360" w:after="200"/>
      <w:outlineLvl w:val="1"/>
    </w:pPr>
    <w:rPr>
      <w:rFonts w:ascii="Arial" w:hAnsi="Arial" w:eastAsia="Arial" w:cs="Arial"/>
      <w:sz w:val="34"/>
    </w:rPr>
  </w:style>
  <w:style w:type="paragraph" w:styleId="907">
    <w:name w:val="Heading 3"/>
    <w:basedOn w:val="904"/>
    <w:next w:val="904"/>
    <w:link w:val="940"/>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link w:val="941"/>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link w:val="942"/>
    <w:uiPriority w:val="9"/>
    <w:unhideWhenUsed/>
    <w:qFormat/>
    <w:pPr>
      <w:keepLines/>
      <w:keepNext/>
      <w:spacing w:before="320" w:after="200"/>
      <w:outlineLvl w:val="4"/>
    </w:pPr>
    <w:rPr>
      <w:rFonts w:ascii="Arial" w:hAnsi="Arial" w:eastAsia="Arial" w:cs="Arial"/>
      <w:b/>
      <w:bCs/>
      <w:sz w:val="24"/>
      <w:szCs w:val="24"/>
    </w:rPr>
  </w:style>
  <w:style w:type="paragraph" w:styleId="910">
    <w:name w:val="Heading 6"/>
    <w:basedOn w:val="904"/>
    <w:next w:val="904"/>
    <w:link w:val="943"/>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45"/>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46"/>
    <w:uiPriority w:val="9"/>
    <w:unhideWhenUsed/>
    <w:qFormat/>
    <w:pPr>
      <w:keepLines/>
      <w:keepNext/>
      <w:spacing w:before="320" w:after="200"/>
      <w:outlineLvl w:val="8"/>
    </w:pPr>
    <w:rPr>
      <w:rFonts w:ascii="Arial" w:hAnsi="Arial" w:eastAsia="Arial" w:cs="Arial"/>
      <w:i/>
      <w:iCs/>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39"/>
    <w:unhideWhenUsed/>
    <w:qFormat/>
    <w:pPr>
      <w:ind w:left="1701" w:right="0" w:firstLine="0"/>
      <w:spacing w:after="57"/>
    </w:pPr>
  </w:style>
  <w:style w:type="paragraph" w:styleId="917">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8">
    <w:name w:val="Body Text"/>
    <w:basedOn w:val="904"/>
    <w:uiPriority w:val="0"/>
    <w:semiHidden/>
    <w:qFormat/>
    <w:rPr>
      <w:rFonts w:ascii="宋体" w:hAnsi="宋体" w:eastAsia="宋体" w:cs="宋体"/>
      <w:sz w:val="31"/>
      <w:szCs w:val="31"/>
      <w:lang w:val="en-US" w:eastAsia="en-US" w:bidi="ar-SA"/>
    </w:rPr>
  </w:style>
  <w:style w:type="paragraph" w:styleId="919">
    <w:name w:val="toc 5"/>
    <w:basedOn w:val="904"/>
    <w:next w:val="904"/>
    <w:uiPriority w:val="39"/>
    <w:unhideWhenUsed/>
    <w:qFormat/>
    <w:pPr>
      <w:ind w:left="1134" w:right="0" w:firstLine="0"/>
      <w:spacing w:after="57"/>
    </w:pPr>
  </w:style>
  <w:style w:type="paragraph" w:styleId="920">
    <w:name w:val="toc 3"/>
    <w:basedOn w:val="904"/>
    <w:next w:val="904"/>
    <w:uiPriority w:val="39"/>
    <w:unhideWhenUsed/>
    <w:qFormat/>
    <w:pPr>
      <w:ind w:left="567" w:right="0" w:firstLine="0"/>
      <w:spacing w:after="57"/>
    </w:pPr>
  </w:style>
  <w:style w:type="paragraph" w:styleId="921">
    <w:name w:val="toc 8"/>
    <w:basedOn w:val="904"/>
    <w:next w:val="904"/>
    <w:uiPriority w:val="39"/>
    <w:unhideWhenUsed/>
    <w:qFormat/>
    <w:pPr>
      <w:ind w:left="1984" w:right="0" w:firstLine="0"/>
      <w:spacing w:after="57"/>
    </w:pPr>
  </w:style>
  <w:style w:type="paragraph" w:styleId="922">
    <w:name w:val="endnote text"/>
    <w:basedOn w:val="904"/>
    <w:link w:val="1084"/>
    <w:uiPriority w:val="99"/>
    <w:semiHidden/>
    <w:unhideWhenUsed/>
    <w:qFormat/>
    <w:pPr>
      <w:spacing w:after="0" w:line="240" w:lineRule="auto"/>
    </w:pPr>
    <w:rPr>
      <w:sz w:val="20"/>
    </w:rPr>
  </w:style>
  <w:style w:type="paragraph" w:styleId="923">
    <w:name w:val="Footer"/>
    <w:basedOn w:val="904"/>
    <w:link w:val="957"/>
    <w:uiPriority w:val="99"/>
    <w:unhideWhenUsed/>
    <w:qFormat/>
    <w:pPr>
      <w:spacing w:after="0" w:line="240" w:lineRule="auto"/>
      <w:tabs>
        <w:tab w:val="center" w:pos="7143" w:leader="none"/>
        <w:tab w:val="right" w:pos="14287" w:leader="none"/>
      </w:tabs>
    </w:pPr>
  </w:style>
  <w:style w:type="paragraph" w:styleId="924">
    <w:name w:val="Header"/>
    <w:basedOn w:val="904"/>
    <w:link w:val="955"/>
    <w:uiPriority w:val="99"/>
    <w:unhideWhenUsed/>
    <w:qFormat/>
    <w:pPr>
      <w:spacing w:after="0" w:line="240" w:lineRule="auto"/>
      <w:tabs>
        <w:tab w:val="center" w:pos="7143" w:leader="none"/>
        <w:tab w:val="right" w:pos="14287" w:leader="none"/>
      </w:tabs>
    </w:pPr>
  </w:style>
  <w:style w:type="paragraph" w:styleId="925">
    <w:name w:val="toc 1"/>
    <w:basedOn w:val="904"/>
    <w:next w:val="904"/>
    <w:uiPriority w:val="39"/>
    <w:unhideWhenUsed/>
    <w:qFormat/>
    <w:pPr>
      <w:ind w:left="0" w:right="0" w:firstLine="0"/>
      <w:spacing w:after="57"/>
    </w:pPr>
  </w:style>
  <w:style w:type="paragraph" w:styleId="926">
    <w:name w:val="toc 4"/>
    <w:basedOn w:val="904"/>
    <w:next w:val="904"/>
    <w:uiPriority w:val="39"/>
    <w:unhideWhenUsed/>
    <w:qFormat/>
    <w:pPr>
      <w:ind w:left="850" w:right="0" w:firstLine="0"/>
      <w:spacing w:after="57"/>
    </w:pPr>
  </w:style>
  <w:style w:type="paragraph" w:styleId="927">
    <w:name w:val="Subtitle"/>
    <w:basedOn w:val="904"/>
    <w:next w:val="904"/>
    <w:link w:val="950"/>
    <w:uiPriority w:val="11"/>
    <w:qFormat/>
    <w:pPr>
      <w:spacing w:before="200" w:after="200"/>
    </w:pPr>
    <w:rPr>
      <w:sz w:val="24"/>
      <w:szCs w:val="24"/>
    </w:rPr>
  </w:style>
  <w:style w:type="paragraph" w:styleId="928">
    <w:name w:val="footnote text"/>
    <w:basedOn w:val="904"/>
    <w:link w:val="1083"/>
    <w:uiPriority w:val="99"/>
    <w:semiHidden/>
    <w:unhideWhenUsed/>
    <w:qFormat/>
    <w:pPr>
      <w:spacing w:after="40" w:line="240" w:lineRule="auto"/>
    </w:pPr>
    <w:rPr>
      <w:sz w:val="18"/>
    </w:rPr>
  </w:style>
  <w:style w:type="paragraph" w:styleId="929">
    <w:name w:val="toc 6"/>
    <w:basedOn w:val="904"/>
    <w:next w:val="904"/>
    <w:uiPriority w:val="39"/>
    <w:unhideWhenUsed/>
    <w:qFormat/>
    <w:pPr>
      <w:ind w:left="1417" w:right="0" w:firstLine="0"/>
      <w:spacing w:after="57"/>
    </w:pPr>
  </w:style>
  <w:style w:type="paragraph" w:styleId="930">
    <w:name w:val="table of figures"/>
    <w:basedOn w:val="904"/>
    <w:next w:val="904"/>
    <w:uiPriority w:val="99"/>
    <w:unhideWhenUsed/>
    <w:qFormat/>
    <w:pPr>
      <w:spacing w:after="0" w:afterAutospacing="0"/>
    </w:pPr>
  </w:style>
  <w:style w:type="paragraph" w:styleId="931">
    <w:name w:val="toc 2"/>
    <w:basedOn w:val="904"/>
    <w:next w:val="904"/>
    <w:uiPriority w:val="39"/>
    <w:unhideWhenUsed/>
    <w:qFormat/>
    <w:pPr>
      <w:ind w:left="283" w:right="0" w:firstLine="0"/>
      <w:spacing w:after="57"/>
    </w:pPr>
  </w:style>
  <w:style w:type="paragraph" w:styleId="932">
    <w:name w:val="toc 9"/>
    <w:basedOn w:val="904"/>
    <w:next w:val="904"/>
    <w:uiPriority w:val="39"/>
    <w:unhideWhenUsed/>
    <w:qFormat/>
    <w:pPr>
      <w:ind w:left="2268" w:right="0" w:firstLine="0"/>
      <w:spacing w:after="57"/>
    </w:pPr>
  </w:style>
  <w:style w:type="paragraph" w:styleId="933">
    <w:name w:val="Title"/>
    <w:basedOn w:val="904"/>
    <w:next w:val="904"/>
    <w:link w:val="949"/>
    <w:uiPriority w:val="10"/>
    <w:qFormat/>
    <w:pPr>
      <w:contextualSpacing/>
      <w:spacing w:before="300" w:after="200"/>
    </w:pPr>
    <w:rPr>
      <w:sz w:val="48"/>
      <w:szCs w:val="48"/>
    </w:rPr>
  </w:style>
  <w:style w:type="table" w:styleId="9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5">
    <w:name w:val="endnote reference"/>
    <w:uiPriority w:val="99"/>
    <w:semiHidden/>
    <w:unhideWhenUsed/>
    <w:qFormat/>
    <w:rPr>
      <w:vertAlign w:val="superscript"/>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footnote reference"/>
    <w:uiPriority w:val="99"/>
    <w:unhideWhenUsed/>
    <w:qFormat/>
    <w:rPr>
      <w:vertAlign w:val="superscript"/>
    </w:rPr>
  </w:style>
  <w:style w:type="character" w:styleId="938" w:customStyle="1">
    <w:name w:val="Heading 1 Char"/>
    <w:link w:val="905"/>
    <w:uiPriority w:val="9"/>
    <w:qFormat/>
    <w:rPr>
      <w:rFonts w:ascii="Arial" w:hAnsi="Arial" w:eastAsia="Arial" w:cs="Arial"/>
      <w:sz w:val="40"/>
      <w:szCs w:val="40"/>
    </w:rPr>
  </w:style>
  <w:style w:type="character" w:styleId="939" w:customStyle="1">
    <w:name w:val="Heading 2 Char"/>
    <w:link w:val="906"/>
    <w:uiPriority w:val="9"/>
    <w:qFormat/>
    <w:rPr>
      <w:rFonts w:ascii="Arial" w:hAnsi="Arial" w:eastAsia="Arial" w:cs="Arial"/>
      <w:sz w:val="34"/>
    </w:rPr>
  </w:style>
  <w:style w:type="character" w:styleId="940" w:customStyle="1">
    <w:name w:val="Heading 3 Char"/>
    <w:link w:val="907"/>
    <w:uiPriority w:val="9"/>
    <w:qFormat/>
    <w:rPr>
      <w:rFonts w:ascii="Arial" w:hAnsi="Arial" w:eastAsia="Arial" w:cs="Arial"/>
      <w:sz w:val="30"/>
      <w:szCs w:val="30"/>
    </w:rPr>
  </w:style>
  <w:style w:type="character" w:styleId="941" w:customStyle="1">
    <w:name w:val="Heading 4 Char"/>
    <w:link w:val="908"/>
    <w:uiPriority w:val="9"/>
    <w:qFormat/>
    <w:rPr>
      <w:rFonts w:ascii="Arial" w:hAnsi="Arial" w:eastAsia="Arial" w:cs="Arial"/>
      <w:b/>
      <w:bCs/>
      <w:sz w:val="26"/>
      <w:szCs w:val="26"/>
    </w:rPr>
  </w:style>
  <w:style w:type="character" w:styleId="942" w:customStyle="1">
    <w:name w:val="Heading 5 Char"/>
    <w:link w:val="909"/>
    <w:uiPriority w:val="9"/>
    <w:qFormat/>
    <w:rPr>
      <w:rFonts w:ascii="Arial" w:hAnsi="Arial" w:eastAsia="Arial" w:cs="Arial"/>
      <w:b/>
      <w:bCs/>
      <w:sz w:val="24"/>
      <w:szCs w:val="24"/>
    </w:rPr>
  </w:style>
  <w:style w:type="character" w:styleId="943" w:customStyle="1">
    <w:name w:val="Heading 6 Char"/>
    <w:link w:val="910"/>
    <w:uiPriority w:val="9"/>
    <w:qFormat/>
    <w:rPr>
      <w:rFonts w:ascii="Arial" w:hAnsi="Arial" w:eastAsia="Arial" w:cs="Arial"/>
      <w:b/>
      <w:bCs/>
      <w:sz w:val="22"/>
      <w:szCs w:val="22"/>
    </w:rPr>
  </w:style>
  <w:style w:type="character" w:styleId="944" w:customStyle="1">
    <w:name w:val="Heading 7 Char"/>
    <w:link w:val="911"/>
    <w:uiPriority w:val="9"/>
    <w:qFormat/>
    <w:rPr>
      <w:rFonts w:ascii="Arial" w:hAnsi="Arial" w:eastAsia="Arial" w:cs="Arial"/>
      <w:b/>
      <w:bCs/>
      <w:i/>
      <w:iCs/>
      <w:sz w:val="22"/>
      <w:szCs w:val="22"/>
    </w:rPr>
  </w:style>
  <w:style w:type="character" w:styleId="945" w:customStyle="1">
    <w:name w:val="Heading 8 Char"/>
    <w:link w:val="912"/>
    <w:uiPriority w:val="9"/>
    <w:qFormat/>
    <w:rPr>
      <w:rFonts w:ascii="Arial" w:hAnsi="Arial" w:eastAsia="Arial" w:cs="Arial"/>
      <w:i/>
      <w:iCs/>
      <w:sz w:val="22"/>
      <w:szCs w:val="22"/>
    </w:rPr>
  </w:style>
  <w:style w:type="character" w:styleId="946" w:customStyle="1">
    <w:name w:val="Heading 9 Char"/>
    <w:link w:val="913"/>
    <w:uiPriority w:val="9"/>
    <w:qFormat/>
    <w:rPr>
      <w:rFonts w:ascii="Arial" w:hAnsi="Arial" w:eastAsia="Arial" w:cs="Arial"/>
      <w:i/>
      <w:iCs/>
      <w:sz w:val="21"/>
      <w:szCs w:val="21"/>
    </w:rPr>
  </w:style>
  <w:style w:type="paragraph" w:styleId="947">
    <w:name w:val="List Paragraph"/>
    <w:basedOn w:val="904"/>
    <w:uiPriority w:val="34"/>
    <w:qFormat/>
    <w:pPr>
      <w:contextualSpacing/>
      <w:ind w:left="720"/>
    </w:pPr>
  </w:style>
  <w:style w:type="paragraph" w:styleId="948">
    <w:name w:val="No Spacing"/>
    <w:uiPriority w:val="1"/>
    <w:qFormat/>
    <w:pPr>
      <w:spacing w:before="0" w:after="0" w:line="240" w:lineRule="auto"/>
    </w:pPr>
    <w:rPr>
      <w:rFonts w:hint="default" w:ascii="Tahoma" w:hAnsi="Tahoma" w:eastAsia="黑体" w:cs="Tahoma"/>
    </w:rPr>
  </w:style>
  <w:style w:type="character" w:styleId="949" w:customStyle="1">
    <w:name w:val="Title Char"/>
    <w:link w:val="933"/>
    <w:uiPriority w:val="10"/>
    <w:qFormat/>
    <w:rPr>
      <w:sz w:val="48"/>
      <w:szCs w:val="48"/>
    </w:rPr>
  </w:style>
  <w:style w:type="character" w:styleId="950" w:customStyle="1">
    <w:name w:val="Subtitle Char"/>
    <w:link w:val="927"/>
    <w:uiPriority w:val="11"/>
    <w:qFormat/>
    <w:rPr>
      <w:sz w:val="24"/>
      <w:szCs w:val="24"/>
    </w:rPr>
  </w:style>
  <w:style w:type="paragraph" w:styleId="951">
    <w:name w:val="Quote"/>
    <w:basedOn w:val="904"/>
    <w:next w:val="904"/>
    <w:link w:val="952"/>
    <w:uiPriority w:val="29"/>
    <w:qFormat/>
    <w:pPr>
      <w:ind w:left="720" w:right="720"/>
    </w:pPr>
    <w:rPr>
      <w:i/>
    </w:rPr>
  </w:style>
  <w:style w:type="character" w:styleId="952" w:customStyle="1">
    <w:name w:val="Quote Char"/>
    <w:link w:val="951"/>
    <w:uiPriority w:val="29"/>
    <w:qFormat/>
    <w:rPr>
      <w:i/>
    </w:rPr>
  </w:style>
  <w:style w:type="paragraph" w:styleId="953">
    <w:name w:val="Intense Quote"/>
    <w:basedOn w:val="904"/>
    <w:next w:val="904"/>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Intense Quote Char"/>
    <w:link w:val="953"/>
    <w:uiPriority w:val="30"/>
    <w:qFormat/>
    <w:rPr>
      <w:i/>
    </w:rPr>
  </w:style>
  <w:style w:type="character" w:styleId="955" w:customStyle="1">
    <w:name w:val="Header Char"/>
    <w:link w:val="924"/>
    <w:uiPriority w:val="99"/>
    <w:qFormat/>
  </w:style>
  <w:style w:type="character" w:styleId="956" w:customStyle="1">
    <w:name w:val="Footer Char"/>
    <w:link w:val="923"/>
    <w:uiPriority w:val="99"/>
    <w:qFormat/>
  </w:style>
  <w:style w:type="character" w:styleId="957" w:customStyle="1">
    <w:name w:val="Caption Char"/>
    <w:link w:val="923"/>
    <w:uiPriority w:val="99"/>
    <w:qFormat/>
  </w:style>
  <w:style w:type="table" w:styleId="9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Footnote Text Char"/>
    <w:link w:val="928"/>
    <w:uiPriority w:val="99"/>
    <w:qFormat/>
    <w:rPr>
      <w:sz w:val="18"/>
    </w:rPr>
  </w:style>
  <w:style w:type="character" w:styleId="1084" w:customStyle="1">
    <w:name w:val="Endnote Text Char"/>
    <w:link w:val="922"/>
    <w:uiPriority w:val="99"/>
    <w:qFormat/>
    <w:rPr>
      <w:sz w:val="20"/>
    </w:rPr>
  </w:style>
  <w:style w:type="paragraph" w:styleId="1085" w:customStyle="1">
    <w:name w:val="TOC Heading"/>
    <w:uiPriority w:val="39"/>
    <w:unhideWhenUsed/>
    <w:qFormat/>
    <w:rPr>
      <w:rFonts w:hint="default" w:ascii="Tahoma" w:hAnsi="Tahoma" w:eastAsia="黑体" w:cs="Tahoma"/>
    </w:rPr>
  </w:style>
  <w:style w:type="paragraph" w:styleId="1086" w:customStyle="1">
    <w:name w:val="标题 11"/>
    <w:basedOn w:val="1087"/>
    <w:next w:val="1087"/>
    <w:uiPriority w:val="0"/>
    <w:qFormat/>
    <w:pPr>
      <w:numPr>
        <w:ilvl w:val="0"/>
        <w:numId w:val="1"/>
      </w:numPr>
      <w:keepLines/>
      <w:keepNext/>
      <w:spacing w:before="120" w:line="360" w:lineRule="auto"/>
      <w:outlineLvl w:val="0"/>
    </w:pPr>
    <w:rPr>
      <w:rFonts w:eastAsia="Verdana"/>
      <w:b/>
      <w:sz w:val="28"/>
      <w:szCs w:val="20"/>
    </w:rPr>
  </w:style>
  <w:style w:type="paragraph" w:styleId="1087" w:customStyle="1">
    <w:name w:val="文本块1"/>
    <w:basedOn w:val="904"/>
    <w:uiPriority w:val="0"/>
    <w:qFormat/>
    <w:pPr>
      <w:ind w:left="1548" w:right="12" w:hanging="2405"/>
      <w:spacing w:line="360" w:lineRule="exact"/>
    </w:pPr>
    <w:rPr>
      <w:rFonts w:ascii="宋体"/>
      <w:bCs/>
      <w:sz w:val="28"/>
      <w:szCs w:val="22"/>
    </w:rPr>
  </w:style>
  <w:style w:type="paragraph" w:styleId="1088" w:customStyle="1">
    <w:name w:val="标题 211"/>
    <w:basedOn w:val="904"/>
    <w:next w:val="904"/>
    <w:uiPriority w:val="0"/>
    <w:qFormat/>
    <w:pPr>
      <w:numPr>
        <w:ilvl w:val="1"/>
        <w:numId w:val="1"/>
      </w:numPr>
      <w:keepNext/>
      <w:spacing w:before="120" w:line="360" w:lineRule="auto"/>
      <w:outlineLvl w:val="1"/>
    </w:pPr>
    <w:rPr>
      <w:rFonts w:eastAsia="Verdana"/>
      <w:b/>
      <w:sz w:val="28"/>
      <w:szCs w:val="20"/>
    </w:rPr>
  </w:style>
  <w:style w:type="paragraph" w:styleId="1089" w:customStyle="1">
    <w:name w:val="标题 311"/>
    <w:basedOn w:val="904"/>
    <w:next w:val="904"/>
    <w:link w:val="1094"/>
    <w:uiPriority w:val="0"/>
    <w:qFormat/>
    <w:pPr>
      <w:numPr>
        <w:ilvl w:val="2"/>
        <w:numId w:val="1"/>
      </w:numPr>
      <w:ind w:left="0" w:firstLine="0"/>
      <w:spacing w:before="120" w:line="360" w:lineRule="auto"/>
      <w:tabs>
        <w:tab w:val="left" w:pos="900" w:leader="none"/>
      </w:tabs>
      <w:outlineLvl w:val="2"/>
    </w:pPr>
    <w:rPr>
      <w:rFonts w:eastAsia="Verdana"/>
      <w:b/>
      <w:sz w:val="28"/>
      <w:szCs w:val="20"/>
    </w:rPr>
  </w:style>
  <w:style w:type="paragraph" w:styleId="1090" w:customStyle="1">
    <w:name w:val="标题 41"/>
    <w:basedOn w:val="904"/>
    <w:next w:val="904"/>
    <w:uiPriority w:val="0"/>
    <w:qFormat/>
    <w:pPr>
      <w:numPr>
        <w:ilvl w:val="3"/>
        <w:numId w:val="1"/>
      </w:numPr>
      <w:ind w:left="0" w:firstLine="0"/>
      <w:spacing w:before="120" w:line="360" w:lineRule="auto"/>
      <w:outlineLvl w:val="3"/>
    </w:pPr>
    <w:rPr>
      <w:rFonts w:ascii="Courier New" w:eastAsia="Verdana"/>
      <w:sz w:val="28"/>
      <w:szCs w:val="20"/>
    </w:rPr>
  </w:style>
  <w:style w:type="paragraph" w:styleId="1091" w:customStyle="1">
    <w:name w:val="标题 51"/>
    <w:basedOn w:val="904"/>
    <w:next w:val="904"/>
    <w:uiPriority w:val="0"/>
    <w:qFormat/>
    <w:pPr>
      <w:keepLines/>
      <w:keepNext/>
      <w:spacing w:before="280" w:after="290" w:line="372" w:lineRule="auto"/>
      <w:outlineLvl w:val="4"/>
    </w:pPr>
    <w:rPr>
      <w:rFonts w:ascii="楷体_GB2312" w:hAnsi="楷体_GB2312" w:eastAsia="楷体_GB2312"/>
      <w:color w:val="243f61"/>
      <w:sz w:val="20"/>
      <w:szCs w:val="20"/>
    </w:rPr>
  </w:style>
  <w:style w:type="character" w:styleId="1092" w:customStyle="1">
    <w:name w:val="默认段落字体1"/>
    <w:link w:val="904"/>
    <w:uiPriority w:val="1"/>
    <w:unhideWhenUsed/>
    <w:qFormat/>
  </w:style>
  <w:style w:type="table" w:styleId="1093" w:customStyle="1">
    <w:name w:val="普通表格1"/>
    <w:uiPriority w:val="99"/>
    <w:unhideWhenUsed/>
    <w:qFormat/>
    <w:tblPr/>
  </w:style>
  <w:style w:type="character" w:styleId="1094" w:customStyle="1">
    <w:name w:val="标题 3 Char"/>
    <w:link w:val="1089"/>
    <w:uiPriority w:val="0"/>
    <w:qFormat/>
    <w:rPr>
      <w:rFonts w:eastAsia="Verdana"/>
      <w:b/>
      <w:sz w:val="28"/>
    </w:rPr>
  </w:style>
  <w:style w:type="paragraph" w:styleId="1095" w:customStyle="1">
    <w:name w:val="目录 71"/>
    <w:basedOn w:val="904"/>
    <w:next w:val="904"/>
    <w:uiPriority w:val="0"/>
    <w:qFormat/>
    <w:pPr>
      <w:ind w:left="1260"/>
      <w:jc w:val="left"/>
    </w:pPr>
    <w:rPr>
      <w:rFonts w:ascii="monospace" w:hAnsi="monospace"/>
      <w:sz w:val="20"/>
      <w:szCs w:val="20"/>
    </w:rPr>
  </w:style>
  <w:style w:type="paragraph" w:styleId="1096" w:customStyle="1">
    <w:name w:val="正文缩进1"/>
    <w:basedOn w:val="904"/>
    <w:uiPriority w:val="0"/>
    <w:qFormat/>
    <w:pPr>
      <w:ind w:firstLine="420"/>
    </w:pPr>
  </w:style>
  <w:style w:type="paragraph" w:styleId="1097" w:customStyle="1">
    <w:name w:val="文档结构图1"/>
    <w:basedOn w:val="904"/>
    <w:uiPriority w:val="0"/>
    <w:semiHidden/>
    <w:qFormat/>
    <w:pPr>
      <w:shd w:val="clear" w:color="auto" w:fill="000080"/>
    </w:pPr>
  </w:style>
  <w:style w:type="paragraph" w:styleId="1098" w:customStyle="1">
    <w:name w:val="批注文字1"/>
    <w:basedOn w:val="904"/>
    <w:link w:val="1099"/>
    <w:uiPriority w:val="0"/>
    <w:semiHidden/>
    <w:qFormat/>
    <w:pPr>
      <w:jc w:val="left"/>
    </w:pPr>
  </w:style>
  <w:style w:type="character" w:styleId="1099" w:customStyle="1">
    <w:name w:val="批注文字 Char"/>
    <w:link w:val="1098"/>
    <w:uiPriority w:val="0"/>
    <w:semiHidden/>
    <w:qFormat/>
    <w:rPr>
      <w:sz w:val="21"/>
      <w:szCs w:val="24"/>
    </w:rPr>
  </w:style>
  <w:style w:type="paragraph" w:styleId="1100" w:customStyle="1">
    <w:name w:val="正文文本 31"/>
    <w:basedOn w:val="904"/>
    <w:uiPriority w:val="0"/>
    <w:qFormat/>
    <w:rPr>
      <w:sz w:val="24"/>
    </w:rPr>
  </w:style>
  <w:style w:type="paragraph" w:styleId="1101" w:customStyle="1">
    <w:name w:val="正文文本11"/>
    <w:basedOn w:val="904"/>
    <w:next w:val="1102"/>
    <w:uiPriority w:val="0"/>
    <w:qFormat/>
    <w:rPr>
      <w:rFonts w:ascii="ËÎÌå" w:hAnsi="等线 Light" w:eastAsia="ËÎÌå"/>
      <w:b/>
      <w:spacing w:val="-8"/>
      <w:sz w:val="44"/>
      <w:szCs w:val="20"/>
    </w:rPr>
  </w:style>
  <w:style w:type="paragraph" w:styleId="1102" w:customStyle="1">
    <w:name w:val="列表项目符号 51"/>
    <w:basedOn w:val="904"/>
    <w:uiPriority w:val="0"/>
    <w:qFormat/>
    <w:pPr>
      <w:numPr>
        <w:ilvl w:val="0"/>
        <w:numId w:val="2"/>
      </w:numPr>
    </w:pPr>
  </w:style>
  <w:style w:type="paragraph" w:styleId="1103" w:customStyle="1">
    <w:name w:val="正文文本缩进1"/>
    <w:basedOn w:val="904"/>
    <w:next w:val="1104"/>
    <w:link w:val="1105"/>
    <w:uiPriority w:val="0"/>
    <w:qFormat/>
    <w:pPr>
      <w:ind w:firstLine="301"/>
      <w:spacing w:line="200" w:lineRule="exact"/>
    </w:pPr>
    <w:rPr>
      <w:rFonts w:ascii="黑体" w:hAnsi="等线 Light"/>
      <w:spacing w:val="-4"/>
      <w:sz w:val="18"/>
      <w:szCs w:val="20"/>
    </w:rPr>
  </w:style>
  <w:style w:type="paragraph" w:styleId="1104" w:customStyle="1">
    <w:name w:val="正文首行缩进 21"/>
    <w:uiPriority w:val="99"/>
    <w:qFormat/>
    <w:pPr>
      <w:ind w:left="200" w:firstLine="200"/>
      <w:jc w:val="both"/>
      <w:spacing w:line="520" w:lineRule="exact"/>
      <w:widowControl w:val="off"/>
    </w:pPr>
    <w:rPr>
      <w:rFonts w:hint="default" w:ascii="Times New Roman" w:hAnsi="Times New Roman" w:eastAsia="仿宋_GB2312" w:cs="Times New Roman"/>
      <w:sz w:val="24"/>
      <w:szCs w:val="24"/>
      <w:lang w:val="en-US" w:eastAsia="zh-CN" w:bidi="ar-SA"/>
    </w:rPr>
  </w:style>
  <w:style w:type="character" w:styleId="1105" w:customStyle="1">
    <w:name w:val="正文文本缩进 Char"/>
    <w:link w:val="1103"/>
    <w:uiPriority w:val="0"/>
    <w:qFormat/>
    <w:rPr>
      <w:rFonts w:ascii="黑体" w:hAnsi="等线 Light" w:eastAsia="黑体"/>
      <w:spacing w:val="-4"/>
      <w:sz w:val="18"/>
      <w:lang w:val="en-US" w:eastAsia="zh-CN" w:bidi="ar-SA"/>
    </w:rPr>
  </w:style>
  <w:style w:type="paragraph" w:styleId="1106" w:customStyle="1">
    <w:name w:val="列表 21"/>
    <w:basedOn w:val="904"/>
    <w:uiPriority w:val="0"/>
    <w:qFormat/>
    <w:pPr>
      <w:ind w:left="100" w:hanging="200"/>
    </w:pPr>
  </w:style>
  <w:style w:type="paragraph" w:styleId="1107" w:customStyle="1">
    <w:name w:val="目录 51"/>
    <w:basedOn w:val="904"/>
    <w:next w:val="904"/>
    <w:uiPriority w:val="0"/>
    <w:qFormat/>
    <w:pPr>
      <w:ind w:left="840"/>
      <w:jc w:val="left"/>
    </w:pPr>
    <w:rPr>
      <w:rFonts w:ascii="monospace" w:hAnsi="monospace"/>
      <w:sz w:val="20"/>
      <w:szCs w:val="20"/>
    </w:rPr>
  </w:style>
  <w:style w:type="paragraph" w:styleId="1108" w:customStyle="1">
    <w:name w:val="目录 31"/>
    <w:basedOn w:val="904"/>
    <w:next w:val="904"/>
    <w:uiPriority w:val="39"/>
    <w:unhideWhenUsed/>
    <w:qFormat/>
    <w:pPr>
      <w:ind w:left="420"/>
      <w:jc w:val="left"/>
    </w:pPr>
    <w:rPr>
      <w:rFonts w:ascii="monospace" w:hAnsi="monospace"/>
      <w:sz w:val="20"/>
      <w:szCs w:val="20"/>
    </w:rPr>
  </w:style>
  <w:style w:type="paragraph" w:styleId="1109" w:customStyle="1">
    <w:name w:val="纯文本111"/>
    <w:basedOn w:val="904"/>
    <w:link w:val="1110"/>
    <w:uiPriority w:val="0"/>
    <w:qFormat/>
    <w:rPr>
      <w:rFonts w:ascii="黑体" w:hAnsi="等线 Light"/>
      <w:szCs w:val="20"/>
    </w:rPr>
  </w:style>
  <w:style w:type="character" w:styleId="1110" w:customStyle="1">
    <w:name w:val="纯文本 Char"/>
    <w:link w:val="1109"/>
    <w:uiPriority w:val="0"/>
    <w:qFormat/>
    <w:rPr>
      <w:rFonts w:ascii="黑体" w:hAnsi="等线 Light" w:eastAsia="黑体"/>
      <w:sz w:val="21"/>
      <w:lang w:val="en-US" w:eastAsia="zh-CN" w:bidi="ar-SA"/>
    </w:rPr>
  </w:style>
  <w:style w:type="paragraph" w:styleId="1111" w:customStyle="1">
    <w:name w:val="目录 81"/>
    <w:basedOn w:val="904"/>
    <w:next w:val="904"/>
    <w:uiPriority w:val="0"/>
    <w:qFormat/>
    <w:pPr>
      <w:ind w:left="1470"/>
      <w:jc w:val="left"/>
    </w:pPr>
    <w:rPr>
      <w:rFonts w:ascii="monospace" w:hAnsi="monospace"/>
      <w:sz w:val="20"/>
      <w:szCs w:val="20"/>
    </w:rPr>
  </w:style>
  <w:style w:type="paragraph" w:styleId="1112" w:customStyle="1">
    <w:name w:val="日期1"/>
    <w:basedOn w:val="904"/>
    <w:next w:val="904"/>
    <w:link w:val="1113"/>
    <w:uiPriority w:val="0"/>
    <w:qFormat/>
    <w:pPr>
      <w:ind w:left="100"/>
    </w:pPr>
  </w:style>
  <w:style w:type="character" w:styleId="1113" w:customStyle="1">
    <w:name w:val="日期 Char"/>
    <w:link w:val="1112"/>
    <w:uiPriority w:val="0"/>
    <w:qFormat/>
    <w:rPr>
      <w:sz w:val="21"/>
      <w:szCs w:val="24"/>
    </w:rPr>
  </w:style>
  <w:style w:type="paragraph" w:styleId="1114" w:customStyle="1">
    <w:name w:val="正文文本缩进 21"/>
    <w:basedOn w:val="904"/>
    <w:link w:val="1115"/>
    <w:uiPriority w:val="0"/>
    <w:qFormat/>
    <w:pPr>
      <w:ind w:left="420"/>
      <w:spacing w:after="120" w:line="480" w:lineRule="auto"/>
    </w:pPr>
  </w:style>
  <w:style w:type="character" w:styleId="1115" w:customStyle="1">
    <w:name w:val="正文文本缩进 2 Char"/>
    <w:link w:val="1114"/>
    <w:uiPriority w:val="0"/>
    <w:qFormat/>
    <w:rPr>
      <w:sz w:val="21"/>
      <w:szCs w:val="24"/>
    </w:rPr>
  </w:style>
  <w:style w:type="paragraph" w:styleId="1116" w:customStyle="1">
    <w:name w:val="批注框文本1"/>
    <w:basedOn w:val="904"/>
    <w:uiPriority w:val="0"/>
    <w:semiHidden/>
    <w:qFormat/>
    <w:rPr>
      <w:sz w:val="18"/>
      <w:szCs w:val="18"/>
    </w:rPr>
  </w:style>
  <w:style w:type="paragraph" w:styleId="1117" w:customStyle="1">
    <w:name w:val="页脚1"/>
    <w:basedOn w:val="904"/>
    <w:uiPriority w:val="0"/>
    <w:qFormat/>
    <w:pPr>
      <w:jc w:val="left"/>
      <w:tabs>
        <w:tab w:val="center" w:pos="4153" w:leader="none"/>
        <w:tab w:val="right" w:pos="8306" w:leader="none"/>
      </w:tabs>
    </w:pPr>
    <w:rPr>
      <w:rFonts w:ascii="黑体" w:hAnsi="等线 Light"/>
      <w:sz w:val="18"/>
      <w:szCs w:val="20"/>
    </w:rPr>
  </w:style>
  <w:style w:type="paragraph" w:styleId="1118" w:customStyle="1">
    <w:name w:val="页眉1"/>
    <w:basedOn w:val="904"/>
    <w:uiPriority w:val="0"/>
    <w:qFormat/>
    <w:pPr>
      <w:jc w:val="center"/>
      <w:tabs>
        <w:tab w:val="center" w:pos="4153" w:leader="none"/>
        <w:tab w:val="right" w:pos="8306" w:leader="none"/>
      </w:tabs>
      <w:pBdr>
        <w:bottom w:val="single" w:color="000000" w:sz="6" w:space="1"/>
      </w:pBdr>
    </w:pPr>
    <w:rPr>
      <w:sz w:val="18"/>
      <w:szCs w:val="18"/>
    </w:rPr>
  </w:style>
  <w:style w:type="paragraph" w:styleId="1119" w:customStyle="1">
    <w:name w:val="目录 11"/>
    <w:basedOn w:val="904"/>
    <w:next w:val="904"/>
    <w:uiPriority w:val="39"/>
    <w:qFormat/>
    <w:pPr>
      <w:jc w:val="left"/>
      <w:spacing w:before="120"/>
    </w:pPr>
    <w:rPr>
      <w:rFonts w:ascii="monospace" w:hAnsi="monospace"/>
      <w:b/>
      <w:bCs/>
      <w:i/>
      <w:iCs/>
      <w:sz w:val="24"/>
    </w:rPr>
  </w:style>
  <w:style w:type="paragraph" w:styleId="1120" w:customStyle="1">
    <w:name w:val="目录 41"/>
    <w:basedOn w:val="904"/>
    <w:next w:val="904"/>
    <w:uiPriority w:val="0"/>
    <w:qFormat/>
    <w:pPr>
      <w:ind w:left="630"/>
      <w:jc w:val="left"/>
    </w:pPr>
    <w:rPr>
      <w:rFonts w:ascii="monospace" w:hAnsi="monospace"/>
      <w:sz w:val="20"/>
      <w:szCs w:val="20"/>
    </w:rPr>
  </w:style>
  <w:style w:type="paragraph" w:styleId="1121" w:customStyle="1">
    <w:name w:val="副标题1"/>
    <w:basedOn w:val="904"/>
    <w:next w:val="904"/>
    <w:link w:val="1122"/>
    <w:uiPriority w:val="0"/>
    <w:qFormat/>
    <w:pPr>
      <w:jc w:val="center"/>
      <w:spacing w:before="240" w:after="60" w:line="312" w:lineRule="auto"/>
      <w:outlineLvl w:val="1"/>
    </w:pPr>
    <w:rPr>
      <w:rFonts w:ascii="楷体_GB2312" w:hAnsi="楷体_GB2312" w:cs="Tahoma"/>
      <w:b/>
      <w:bCs/>
      <w:sz w:val="32"/>
      <w:szCs w:val="32"/>
    </w:rPr>
  </w:style>
  <w:style w:type="character" w:styleId="1122" w:customStyle="1">
    <w:name w:val="副标题 Char"/>
    <w:link w:val="1121"/>
    <w:uiPriority w:val="0"/>
    <w:qFormat/>
    <w:rPr>
      <w:rFonts w:ascii="楷体_GB2312" w:hAnsi="楷体_GB2312" w:cs="Tahoma"/>
      <w:b/>
      <w:bCs/>
      <w:sz w:val="32"/>
      <w:szCs w:val="32"/>
    </w:rPr>
  </w:style>
  <w:style w:type="paragraph" w:styleId="1123" w:customStyle="1">
    <w:name w:val="目录 61"/>
    <w:basedOn w:val="904"/>
    <w:next w:val="904"/>
    <w:uiPriority w:val="0"/>
    <w:qFormat/>
    <w:pPr>
      <w:ind w:left="1050"/>
      <w:jc w:val="left"/>
    </w:pPr>
    <w:rPr>
      <w:rFonts w:ascii="monospace" w:hAnsi="monospace"/>
      <w:sz w:val="20"/>
      <w:szCs w:val="20"/>
    </w:rPr>
  </w:style>
  <w:style w:type="paragraph" w:styleId="1124" w:customStyle="1">
    <w:name w:val="正文文本缩进 31"/>
    <w:basedOn w:val="904"/>
    <w:uiPriority w:val="0"/>
    <w:qFormat/>
    <w:pPr>
      <w:ind w:left="360"/>
      <w:spacing w:line="400" w:lineRule="exact"/>
    </w:pPr>
    <w:rPr>
      <w:sz w:val="24"/>
    </w:rPr>
  </w:style>
  <w:style w:type="paragraph" w:styleId="1125" w:customStyle="1">
    <w:name w:val="目录 21"/>
    <w:basedOn w:val="904"/>
    <w:next w:val="904"/>
    <w:uiPriority w:val="39"/>
    <w:unhideWhenUsed/>
    <w:qFormat/>
    <w:pPr>
      <w:ind w:left="210"/>
      <w:jc w:val="left"/>
      <w:spacing w:before="120"/>
    </w:pPr>
    <w:rPr>
      <w:rFonts w:ascii="monospace" w:hAnsi="monospace"/>
      <w:b/>
      <w:bCs/>
      <w:sz w:val="22"/>
      <w:szCs w:val="22"/>
    </w:rPr>
  </w:style>
  <w:style w:type="paragraph" w:styleId="1126" w:customStyle="1">
    <w:name w:val="目录 91"/>
    <w:basedOn w:val="904"/>
    <w:next w:val="904"/>
    <w:uiPriority w:val="0"/>
    <w:qFormat/>
    <w:pPr>
      <w:ind w:left="1680"/>
      <w:jc w:val="left"/>
    </w:pPr>
    <w:rPr>
      <w:rFonts w:ascii="monospace" w:hAnsi="monospace"/>
      <w:sz w:val="20"/>
      <w:szCs w:val="20"/>
    </w:rPr>
  </w:style>
  <w:style w:type="paragraph" w:styleId="1127" w:customStyle="1">
    <w:name w:val="正文文本 21"/>
    <w:basedOn w:val="904"/>
    <w:uiPriority w:val="0"/>
    <w:qFormat/>
    <w:rPr>
      <w:rFonts w:ascii="黑体" w:hAnsi="等线 Light"/>
      <w:sz w:val="13"/>
      <w:szCs w:val="20"/>
    </w:rPr>
  </w:style>
  <w:style w:type="paragraph" w:styleId="1128" w:customStyle="1">
    <w:name w:val="HTML 预设格式11"/>
    <w:basedOn w:val="904"/>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sz w:val="24"/>
    </w:rPr>
  </w:style>
  <w:style w:type="character" w:styleId="1129" w:customStyle="1">
    <w:name w:val="HTML 预设格式 Char"/>
    <w:link w:val="1128"/>
    <w:uiPriority w:val="0"/>
    <w:qFormat/>
    <w:rPr>
      <w:rFonts w:ascii="黑体" w:hAnsi="黑体" w:cs="黑体"/>
      <w:sz w:val="24"/>
      <w:szCs w:val="24"/>
    </w:rPr>
  </w:style>
  <w:style w:type="paragraph" w:styleId="1130" w:customStyle="1">
    <w:name w:val="普通(网站)1"/>
    <w:basedOn w:val="904"/>
    <w:uiPriority w:val="99"/>
    <w:qFormat/>
    <w:pPr>
      <w:jc w:val="left"/>
      <w:spacing w:before="100" w:beforeAutospacing="1" w:after="100" w:afterAutospacing="1"/>
      <w:widowControl/>
    </w:pPr>
    <w:rPr>
      <w:rFonts w:ascii="黑体" w:hAnsi="黑体"/>
      <w:sz w:val="24"/>
    </w:rPr>
  </w:style>
  <w:style w:type="paragraph" w:styleId="1131" w:customStyle="1">
    <w:name w:val="批注主题1"/>
    <w:basedOn w:val="1098"/>
    <w:next w:val="1098"/>
    <w:uiPriority w:val="0"/>
    <w:semiHidden/>
    <w:qFormat/>
    <w:rPr>
      <w:b/>
      <w:bCs/>
    </w:rPr>
  </w:style>
  <w:style w:type="paragraph" w:styleId="1132" w:customStyle="1">
    <w:name w:val="正文首行缩进1"/>
    <w:basedOn w:val="1101"/>
    <w:link w:val="1133"/>
    <w:uiPriority w:val="0"/>
    <w:qFormat/>
    <w:pPr>
      <w:ind w:firstLine="420"/>
      <w:spacing w:after="120"/>
    </w:pPr>
    <w:rPr>
      <w:rFonts w:ascii="Tahoma" w:hAnsi="Tahoma" w:eastAsia="黑体"/>
      <w:b w:val="0"/>
      <w:spacing w:val="0"/>
      <w:sz w:val="21"/>
      <w:szCs w:val="24"/>
    </w:rPr>
  </w:style>
  <w:style w:type="character" w:styleId="1133" w:customStyle="1">
    <w:name w:val="正文首行缩进 Char"/>
    <w:link w:val="1132"/>
    <w:uiPriority w:val="0"/>
    <w:qFormat/>
    <w:rPr>
      <w:rFonts w:eastAsia="黑体"/>
      <w:sz w:val="21"/>
      <w:szCs w:val="24"/>
      <w:lang w:val="en-US" w:eastAsia="zh-CN" w:bidi="ar-SA"/>
    </w:rPr>
  </w:style>
  <w:style w:type="table" w:styleId="1134" w:customStyle="1">
    <w:name w:val="网格型1"/>
    <w:basedOn w:val="1093"/>
    <w:uiPriority w:val="0"/>
    <w:qFormat/>
    <w:pPr>
      <w:jc w:val="both"/>
      <w:widowControl w:val="off"/>
    </w:pPr>
    <w:tblPr/>
  </w:style>
  <w:style w:type="character" w:styleId="1135" w:customStyle="1">
    <w:name w:val="要点1"/>
    <w:link w:val="904"/>
    <w:uiPriority w:val="0"/>
    <w:qFormat/>
    <w:rPr>
      <w:b/>
      <w:bCs/>
    </w:rPr>
  </w:style>
  <w:style w:type="character" w:styleId="1136" w:customStyle="1">
    <w:name w:val="页码1"/>
    <w:link w:val="904"/>
    <w:uiPriority w:val="0"/>
    <w:qFormat/>
  </w:style>
  <w:style w:type="character" w:styleId="1137" w:customStyle="1">
    <w:name w:val="已访问的超链接1"/>
    <w:link w:val="904"/>
    <w:uiPriority w:val="99"/>
    <w:qFormat/>
    <w:rPr>
      <w:color w:val="800080"/>
      <w:u w:val="none"/>
    </w:rPr>
  </w:style>
  <w:style w:type="character" w:styleId="1138" w:customStyle="1">
    <w:name w:val="HTML 定义1"/>
    <w:link w:val="904"/>
    <w:uiPriority w:val="0"/>
    <w:qFormat/>
  </w:style>
  <w:style w:type="character" w:styleId="1139" w:customStyle="1">
    <w:name w:val="HTML 打字机1"/>
    <w:link w:val="904"/>
    <w:uiPriority w:val="0"/>
    <w:qFormat/>
    <w:rPr>
      <w:rFonts w:ascii="Cambria Math" w:hAnsi="Cambria Math" w:eastAsia="Cambria Math" w:cs="Cambria Math"/>
      <w:sz w:val="20"/>
    </w:rPr>
  </w:style>
  <w:style w:type="character" w:styleId="1140" w:customStyle="1">
    <w:name w:val="HTML 缩写1"/>
    <w:link w:val="904"/>
    <w:uiPriority w:val="0"/>
    <w:qFormat/>
  </w:style>
  <w:style w:type="character" w:styleId="1141" w:customStyle="1">
    <w:name w:val="HTML 变量1"/>
    <w:link w:val="904"/>
    <w:uiPriority w:val="0"/>
    <w:qFormat/>
  </w:style>
  <w:style w:type="character" w:styleId="1142" w:customStyle="1">
    <w:name w:val="超链接1"/>
    <w:link w:val="904"/>
    <w:uiPriority w:val="99"/>
    <w:qFormat/>
    <w:rPr>
      <w:color w:val="0000ff"/>
      <w:u w:val="none"/>
    </w:rPr>
  </w:style>
  <w:style w:type="character" w:styleId="1143" w:customStyle="1">
    <w:name w:val="HTML 代码1"/>
    <w:link w:val="904"/>
    <w:uiPriority w:val="0"/>
    <w:qFormat/>
    <w:rPr>
      <w:rFonts w:ascii="Cambria Math" w:hAnsi="Cambria Math" w:eastAsia="Cambria Math" w:cs="Cambria Math"/>
      <w:sz w:val="20"/>
    </w:rPr>
  </w:style>
  <w:style w:type="character" w:styleId="1144" w:customStyle="1">
    <w:name w:val="批注引用1"/>
    <w:link w:val="904"/>
    <w:uiPriority w:val="0"/>
    <w:semiHidden/>
    <w:qFormat/>
    <w:rPr>
      <w:sz w:val="21"/>
      <w:szCs w:val="21"/>
    </w:rPr>
  </w:style>
  <w:style w:type="character" w:styleId="1145" w:customStyle="1">
    <w:name w:val="HTML 引文1"/>
    <w:link w:val="904"/>
    <w:uiPriority w:val="0"/>
    <w:qFormat/>
  </w:style>
  <w:style w:type="character" w:styleId="1146" w:customStyle="1">
    <w:name w:val="HTML 键盘1"/>
    <w:link w:val="904"/>
    <w:uiPriority w:val="0"/>
    <w:qFormat/>
    <w:rPr>
      <w:rFonts w:ascii="Cambria Math" w:hAnsi="Cambria Math" w:eastAsia="Cambria Math" w:cs="Cambria Math"/>
      <w:sz w:val="20"/>
    </w:rPr>
  </w:style>
  <w:style w:type="character" w:styleId="1147" w:customStyle="1">
    <w:name w:val="HTML 样本1"/>
    <w:link w:val="904"/>
    <w:uiPriority w:val="0"/>
    <w:qFormat/>
    <w:rPr>
      <w:rFonts w:ascii="Cambria Math" w:hAnsi="Cambria Math" w:eastAsia="Cambria Math" w:cs="Cambria Math"/>
    </w:rPr>
  </w:style>
  <w:style w:type="character" w:styleId="1148" w:customStyle="1">
    <w:name w:val="普通正文 Char"/>
    <w:link w:val="1149"/>
    <w:uiPriority w:val="0"/>
    <w:qFormat/>
    <w:rPr>
      <w:rFonts w:ascii="Courier New" w:hAnsi="Courier New"/>
      <w:sz w:val="24"/>
      <w:szCs w:val="24"/>
    </w:rPr>
  </w:style>
  <w:style w:type="paragraph" w:styleId="1149" w:customStyle="1">
    <w:name w:val="普通正文"/>
    <w:basedOn w:val="904"/>
    <w:link w:val="1148"/>
    <w:uiPriority w:val="0"/>
    <w:qFormat/>
    <w:pPr>
      <w:ind w:firstLine="480"/>
      <w:jc w:val="left"/>
      <w:spacing w:before="120" w:after="120" w:line="360" w:lineRule="auto"/>
    </w:pPr>
    <w:rPr>
      <w:rFonts w:ascii="Courier New" w:hAnsi="Courier New"/>
      <w:sz w:val="24"/>
    </w:rPr>
  </w:style>
  <w:style w:type="character" w:styleId="1150" w:customStyle="1">
    <w:name w:val="普通文字1 Char1"/>
    <w:link w:val="904"/>
    <w:uiPriority w:val="0"/>
    <w:qFormat/>
    <w:rPr>
      <w:rFonts w:ascii="黑体" w:hAnsi="等线 Light" w:eastAsia="黑体"/>
      <w:sz w:val="21"/>
      <w:lang w:val="en-US" w:eastAsia="zh-CN" w:bidi="ar-SA"/>
    </w:rPr>
  </w:style>
  <w:style w:type="character" w:styleId="1151" w:customStyle="1">
    <w:name w:val="ca-412"/>
    <w:link w:val="904"/>
    <w:uiPriority w:val="0"/>
    <w:qFormat/>
  </w:style>
  <w:style w:type="character" w:styleId="1152" w:customStyle="1">
    <w:name w:val="apple-converted-space"/>
    <w:link w:val="904"/>
    <w:uiPriority w:val="0"/>
    <w:qFormat/>
  </w:style>
  <w:style w:type="character" w:styleId="1153" w:customStyle="1">
    <w:name w:val="ca-72"/>
    <w:link w:val="904"/>
    <w:uiPriority w:val="0"/>
    <w:qFormat/>
  </w:style>
  <w:style w:type="character" w:styleId="1154" w:customStyle="1">
    <w:name w:val="font01"/>
    <w:link w:val="904"/>
    <w:uiPriority w:val="0"/>
    <w:qFormat/>
    <w:rPr>
      <w:rFonts w:hint="eastAsia" w:ascii="宋体" w:hAnsi="宋体" w:eastAsia="宋体" w:cs="宋体"/>
      <w:color w:val="000000"/>
      <w:sz w:val="22"/>
      <w:szCs w:val="22"/>
      <w:u w:val="none"/>
    </w:rPr>
  </w:style>
  <w:style w:type="character" w:styleId="1155" w:customStyle="1">
    <w:name w:val="p12"/>
    <w:link w:val="904"/>
    <w:uiPriority w:val="0"/>
    <w:qFormat/>
  </w:style>
  <w:style w:type="character" w:styleId="1156" w:customStyle="1">
    <w:name w:val="font"/>
    <w:link w:val="904"/>
    <w:uiPriority w:val="0"/>
    <w:qFormat/>
    <w:rPr>
      <w:rFonts w:cs="Tahoma"/>
    </w:rPr>
  </w:style>
  <w:style w:type="character" w:styleId="1157" w:customStyle="1">
    <w:name w:val="apple-style-span"/>
    <w:link w:val="904"/>
    <w:uiPriority w:val="0"/>
    <w:qFormat/>
  </w:style>
  <w:style w:type="paragraph" w:styleId="1158" w:customStyle="1">
    <w:name w:val="正文文本1"/>
    <w:basedOn w:val="1159"/>
    <w:uiPriority w:val="99"/>
    <w:unhideWhenUsed/>
    <w:qFormat/>
  </w:style>
  <w:style w:type="paragraph" w:styleId="1159" w:customStyle="1">
    <w:name w:val="正文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标题 21"/>
    <w:basedOn w:val="1159"/>
    <w:uiPriority w:val="0"/>
    <w:qFormat/>
    <w:pPr>
      <w:ind w:left="602"/>
      <w:outlineLvl w:val="1"/>
    </w:pPr>
    <w:rPr>
      <w:rFonts w:ascii="宋体" w:hAnsi="宋体"/>
      <w:b/>
      <w:bCs/>
    </w:rPr>
  </w:style>
  <w:style w:type="paragraph" w:styleId="1161" w:customStyle="1">
    <w:name w:val="标题 31"/>
    <w:basedOn w:val="1159"/>
    <w:next w:val="1159"/>
    <w:uiPriority w:val="0"/>
    <w:qFormat/>
    <w:pPr>
      <w:ind w:left="1588" w:hanging="737"/>
      <w:spacing w:line="360" w:lineRule="auto"/>
      <w:tabs>
        <w:tab w:val="left" w:pos="900" w:leader="none"/>
        <w:tab w:val="left" w:pos="1588" w:leader="none"/>
      </w:tabs>
      <w:outlineLvl w:val="2"/>
    </w:pPr>
    <w:rPr>
      <w:rFonts w:eastAsia="黑体"/>
      <w:b/>
      <w:sz w:val="28"/>
      <w:szCs w:val="20"/>
    </w:rPr>
  </w:style>
  <w:style w:type="paragraph" w:styleId="1162" w:customStyle="1">
    <w:name w:val="表"/>
    <w:uiPriority w:val="0"/>
    <w:qFormat/>
    <w:pPr>
      <w:jc w:val="both"/>
      <w:spacing w:line="312" w:lineRule="auto"/>
      <w:widowControl w:val="off"/>
    </w:pPr>
    <w:rPr>
      <w:rFonts w:hint="default" w:ascii="Calibri" w:hAnsi="Calibri" w:eastAsia="宋体" w:cs="宋体"/>
      <w:sz w:val="21"/>
      <w:szCs w:val="22"/>
      <w:lang w:val="en-US" w:eastAsia="zh-CN" w:bidi="ar-SA"/>
    </w:rPr>
  </w:style>
  <w:style w:type="paragraph" w:styleId="1163" w:customStyle="1">
    <w:name w:val="xl90"/>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4" w:customStyle="1">
    <w:name w:val="xl84"/>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5" w:customStyle="1">
    <w:name w:val="xl83"/>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66" w:customStyle="1">
    <w:name w:val="xl79"/>
    <w:basedOn w:val="904"/>
    <w:uiPriority w:val="0"/>
    <w:qFormat/>
    <w:pPr>
      <w:jc w:val="left"/>
      <w:spacing w:before="100" w:beforeAutospacing="1" w:after="100" w:afterAutospacing="1"/>
      <w:widowControl/>
    </w:pPr>
    <w:rPr>
      <w:rFonts w:ascii="MS Mincho" w:hAnsi="MS Mincho" w:eastAsia="MS Mincho" w:cs="黑体"/>
      <w:color w:val="000000"/>
      <w:sz w:val="24"/>
    </w:rPr>
  </w:style>
  <w:style w:type="paragraph" w:styleId="1167" w:customStyle="1">
    <w:name w:val="xl74"/>
    <w:basedOn w:val="904"/>
    <w:uiPriority w:val="0"/>
    <w:qFormat/>
    <w:pPr>
      <w:jc w:val="left"/>
      <w:spacing w:before="100" w:beforeAutospacing="1" w:after="100" w:afterAutospacing="1"/>
      <w:widowControl/>
    </w:pPr>
    <w:rPr>
      <w:rFonts w:ascii="MS Mincho" w:hAnsi="MS Mincho" w:eastAsia="MS Mincho" w:cs="黑体"/>
      <w:color w:val="000000"/>
      <w:sz w:val="24"/>
    </w:rPr>
  </w:style>
  <w:style w:type="paragraph" w:styleId="1168" w:customStyle="1">
    <w:name w:val="修订"/>
    <w:uiPriority w:val="99"/>
    <w:unhideWhenUsed/>
    <w:qFormat/>
    <w:rPr>
      <w:rFonts w:hint="default" w:ascii="Tahoma" w:hAnsi="Tahoma" w:eastAsia="黑体" w:cs="Tahoma"/>
      <w:sz w:val="21"/>
      <w:szCs w:val="24"/>
      <w:lang w:val="en-US" w:eastAsia="zh-CN" w:bidi="ar-SA"/>
    </w:rPr>
  </w:style>
  <w:style w:type="paragraph" w:styleId="1169" w:customStyle="1">
    <w:name w:val="xl72"/>
    <w:basedOn w:val="904"/>
    <w:uiPriority w:val="0"/>
    <w:qFormat/>
    <w:pPr>
      <w:jc w:val="left"/>
      <w:spacing w:before="100" w:beforeAutospacing="1" w:after="100" w:afterAutospacing="1"/>
      <w:widowControl/>
    </w:pPr>
    <w:rPr>
      <w:rFonts w:ascii="MS Mincho" w:hAnsi="MS Mincho" w:eastAsia="MS Mincho" w:cs="黑体"/>
      <w:b/>
      <w:bCs/>
      <w:color w:val="000000"/>
      <w:sz w:val="24"/>
    </w:rPr>
  </w:style>
  <w:style w:type="paragraph" w:styleId="1170" w:customStyle="1">
    <w:name w:val="font13"/>
    <w:basedOn w:val="904"/>
    <w:uiPriority w:val="0"/>
    <w:qFormat/>
    <w:pPr>
      <w:jc w:val="left"/>
      <w:spacing w:before="100" w:beforeAutospacing="1" w:after="100" w:afterAutospacing="1"/>
      <w:widowControl/>
    </w:pPr>
    <w:rPr>
      <w:rFonts w:ascii="黑体" w:hAnsi="黑体" w:cs="黑体"/>
      <w:b/>
      <w:bCs/>
      <w:color w:val="000000"/>
      <w:sz w:val="20"/>
      <w:szCs w:val="20"/>
    </w:rPr>
  </w:style>
  <w:style w:type="paragraph" w:styleId="1171" w:customStyle="1">
    <w:name w:val="font11"/>
    <w:basedOn w:val="904"/>
    <w:uiPriority w:val="0"/>
    <w:qFormat/>
    <w:pPr>
      <w:jc w:val="left"/>
      <w:spacing w:before="100" w:beforeAutospacing="1" w:after="100" w:afterAutospacing="1"/>
      <w:widowControl/>
    </w:pPr>
    <w:rPr>
      <w:rFonts w:ascii="黑体" w:hAnsi="黑体" w:cs="黑体"/>
      <w:color w:val="ff0000"/>
      <w:sz w:val="20"/>
      <w:szCs w:val="20"/>
    </w:rPr>
  </w:style>
  <w:style w:type="paragraph" w:styleId="1172" w:customStyle="1">
    <w:name w:val="xl101"/>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3" w:customStyle="1">
    <w:name w:val="xl102"/>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4" w:customStyle="1">
    <w:name w:val="xl8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5" w:customStyle="1">
    <w:name w:val="font9"/>
    <w:basedOn w:val="904"/>
    <w:uiPriority w:val="0"/>
    <w:qFormat/>
    <w:pPr>
      <w:jc w:val="left"/>
      <w:spacing w:before="100" w:beforeAutospacing="1" w:after="100" w:afterAutospacing="1"/>
      <w:widowControl/>
    </w:pPr>
    <w:rPr>
      <w:rFonts w:ascii="黑体" w:hAnsi="黑体" w:cs="黑体"/>
      <w:sz w:val="18"/>
      <w:szCs w:val="18"/>
    </w:rPr>
  </w:style>
  <w:style w:type="paragraph" w:styleId="1176" w:customStyle="1">
    <w:name w:val="xl76"/>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18"/>
      <w:szCs w:val="18"/>
    </w:rPr>
  </w:style>
  <w:style w:type="paragraph" w:styleId="1177" w:customStyle="1">
    <w:name w:val="font7"/>
    <w:basedOn w:val="904"/>
    <w:uiPriority w:val="0"/>
    <w:qFormat/>
    <w:pPr>
      <w:jc w:val="left"/>
      <w:spacing w:before="100" w:beforeAutospacing="1" w:after="100" w:afterAutospacing="1"/>
      <w:widowControl/>
    </w:pPr>
    <w:rPr>
      <w:rFonts w:ascii="Courier New" w:hAnsi="Courier New" w:cs="Courier New"/>
      <w:b/>
      <w:bCs/>
      <w:color w:val="000000"/>
      <w:sz w:val="18"/>
      <w:szCs w:val="18"/>
    </w:rPr>
  </w:style>
  <w:style w:type="paragraph" w:styleId="1178" w:customStyle="1">
    <w:name w:val="xl98"/>
    <w:basedOn w:val="9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179" w:customStyle="1">
    <w:name w:val="font6"/>
    <w:basedOn w:val="904"/>
    <w:uiPriority w:val="0"/>
    <w:qFormat/>
    <w:pPr>
      <w:jc w:val="left"/>
      <w:spacing w:before="100" w:beforeAutospacing="1" w:after="100" w:afterAutospacing="1"/>
      <w:widowControl/>
    </w:pPr>
    <w:rPr>
      <w:rFonts w:ascii="黑体" w:hAnsi="黑体" w:cs="黑体"/>
      <w:sz w:val="18"/>
      <w:szCs w:val="18"/>
    </w:rPr>
  </w:style>
  <w:style w:type="paragraph" w:styleId="1180" w:customStyle="1">
    <w:name w:val="xl73"/>
    <w:basedOn w:val="904"/>
    <w:uiPriority w:val="0"/>
    <w:qFormat/>
    <w:pPr>
      <w:jc w:val="center"/>
      <w:spacing w:before="100" w:beforeAutospacing="1" w:after="100" w:afterAutospacing="1"/>
      <w:widowControl/>
    </w:pPr>
    <w:rPr>
      <w:rFonts w:ascii="MS Mincho" w:hAnsi="MS Mincho" w:eastAsia="MS Mincho" w:cs="黑体"/>
      <w:color w:val="000000"/>
      <w:sz w:val="24"/>
    </w:rPr>
  </w:style>
  <w:style w:type="paragraph" w:styleId="1181" w:customStyle="1">
    <w:name w:val="xl99"/>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82" w:customStyle="1">
    <w:name w:val="纯文本1"/>
    <w:basedOn w:val="904"/>
    <w:uiPriority w:val="0"/>
    <w:qFormat/>
    <w:rPr>
      <w:rFonts w:ascii="黑体" w:hAnsi="等线 Light"/>
    </w:rPr>
  </w:style>
  <w:style w:type="paragraph" w:styleId="1183" w:customStyle="1">
    <w:name w:val="xl116"/>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184" w:customStyle="1">
    <w:name w:val="xl100"/>
    <w:basedOn w:val="904"/>
    <w:uiPriority w:val="0"/>
    <w:qFormat/>
    <w:pPr>
      <w:jc w:val="left"/>
      <w:spacing w:before="100" w:beforeAutospacing="1" w:after="100" w:afterAutospacing="1"/>
      <w:widowControl/>
      <w:pBdr>
        <w:top w:val="single" w:color="000000" w:sz="4" w:space="0"/>
        <w:left w:val="single" w:color="000000" w:sz="4" w:space="9"/>
        <w:bottom w:val="single" w:color="000000" w:sz="4" w:space="0"/>
        <w:right w:val="single" w:color="000000" w:sz="4" w:space="0"/>
      </w:pBdr>
    </w:pPr>
    <w:rPr>
      <w:rFonts w:ascii="黑体" w:hAnsi="黑体" w:cs="黑体"/>
      <w:b/>
      <w:bCs/>
      <w:color w:val="000000"/>
      <w:sz w:val="24"/>
    </w:rPr>
  </w:style>
  <w:style w:type="paragraph" w:styleId="1185" w:customStyle="1">
    <w:name w:val="正文_13"/>
    <w:uiPriority w:val="0"/>
    <w:qFormat/>
    <w:pPr>
      <w:jc w:val="both"/>
      <w:widowControl w:val="off"/>
    </w:pPr>
    <w:rPr>
      <w:rFonts w:hint="default" w:ascii="Tahoma" w:hAnsi="Tahoma" w:eastAsia="黑体" w:cs="Tahoma"/>
      <w:sz w:val="21"/>
      <w:szCs w:val="24"/>
      <w:lang w:val="en-US" w:eastAsia="zh-CN" w:bidi="ar-SA"/>
    </w:rPr>
  </w:style>
  <w:style w:type="paragraph" w:styleId="1186" w:customStyle="1">
    <w:name w:val="列出段落2"/>
    <w:basedOn w:val="904"/>
    <w:uiPriority w:val="0"/>
    <w:qFormat/>
    <w:pPr>
      <w:ind w:firstLine="420"/>
    </w:pPr>
    <w:rPr>
      <w:rFonts w:ascii="monospace" w:hAnsi="monospace"/>
      <w:szCs w:val="22"/>
    </w:rPr>
  </w:style>
  <w:style w:type="paragraph" w:styleId="1187" w:customStyle="1">
    <w:name w:val="xl103"/>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88" w:customStyle="1">
    <w:name w:val="Char1"/>
    <w:basedOn w:val="904"/>
    <w:uiPriority w:val="0"/>
    <w:qFormat/>
    <w:pPr>
      <w:tabs>
        <w:tab w:val="left" w:pos="360" w:leader="none"/>
      </w:tabs>
    </w:pPr>
    <w:rPr>
      <w:sz w:val="24"/>
    </w:rPr>
  </w:style>
  <w:style w:type="paragraph" w:styleId="1189" w:customStyle="1">
    <w:name w:val="TOC 标题"/>
    <w:basedOn w:val="1086"/>
    <w:next w:val="904"/>
    <w:uiPriority w:val="39"/>
    <w:qFormat/>
    <w:pPr>
      <w:numPr>
        <w:ilvl w:val="0"/>
        <w:numId w:val="0"/>
      </w:numPr>
      <w:jc w:val="left"/>
      <w:spacing w:before="480" w:line="276" w:lineRule="auto"/>
      <w:widowControl/>
      <w:outlineLvl w:val="9"/>
    </w:pPr>
    <w:rPr>
      <w:rFonts w:ascii="楷体_GB2312" w:hAnsi="楷体_GB2312" w:eastAsia="黑体" w:cs="Tahoma"/>
      <w:bCs w:val="0"/>
      <w:color w:val="365f91"/>
      <w:szCs w:val="28"/>
    </w:rPr>
  </w:style>
  <w:style w:type="paragraph" w:styleId="1190" w:customStyle="1">
    <w:name w:val="pa-5"/>
    <w:basedOn w:val="904"/>
    <w:uiPriority w:val="0"/>
    <w:qFormat/>
    <w:pPr>
      <w:jc w:val="left"/>
      <w:spacing w:before="100" w:beforeAutospacing="1" w:after="100" w:afterAutospacing="1"/>
      <w:widowControl/>
    </w:pPr>
    <w:rPr>
      <w:rFonts w:ascii="黑体" w:hAnsi="黑体" w:cs="黑体"/>
      <w:sz w:val="24"/>
    </w:rPr>
  </w:style>
  <w:style w:type="paragraph" w:styleId="1191" w:customStyle="1">
    <w:name w:val="msonormal"/>
    <w:basedOn w:val="904"/>
    <w:uiPriority w:val="0"/>
    <w:qFormat/>
    <w:pPr>
      <w:jc w:val="left"/>
      <w:spacing w:before="100" w:beforeAutospacing="1" w:after="100" w:afterAutospacing="1"/>
      <w:widowControl/>
    </w:pPr>
    <w:rPr>
      <w:rFonts w:ascii="黑体" w:hAnsi="黑体" w:cs="黑体"/>
      <w:sz w:val="24"/>
    </w:rPr>
  </w:style>
  <w:style w:type="paragraph" w:styleId="1192" w:customStyle="1">
    <w:name w:val="正文1"/>
    <w:basedOn w:val="904"/>
    <w:uiPriority w:val="0"/>
    <w:qFormat/>
    <w:pPr>
      <w:ind w:left="420" w:firstLine="527"/>
      <w:spacing w:before="120" w:line="360" w:lineRule="auto"/>
    </w:pPr>
    <w:rPr>
      <w:rFonts w:ascii="黑体" w:hAnsi="黑体"/>
    </w:rPr>
  </w:style>
  <w:style w:type="paragraph" w:styleId="1193" w:customStyle="1">
    <w:name w:val="xl82"/>
    <w:basedOn w:val="904"/>
    <w:uiPriority w:val="0"/>
    <w:qFormat/>
    <w:pPr>
      <w:jc w:val="left"/>
      <w:spacing w:before="100" w:beforeAutospacing="1" w:after="100" w:afterAutospacing="1"/>
      <w:widowControl/>
    </w:pPr>
    <w:rPr>
      <w:rFonts w:ascii="黑体" w:hAnsi="黑体" w:cs="黑体"/>
      <w:color w:val="000000"/>
      <w:sz w:val="18"/>
      <w:szCs w:val="18"/>
    </w:rPr>
  </w:style>
  <w:style w:type="paragraph" w:styleId="1194" w:customStyle="1">
    <w:name w:val="xl96"/>
    <w:basedOn w:val="904"/>
    <w:uiPriority w:val="0"/>
    <w:qFormat/>
    <w:pPr>
      <w:jc w:val="left"/>
      <w:spacing w:before="100" w:beforeAutospacing="1" w:after="100" w:afterAutospacing="1"/>
      <w:widowControl/>
      <w:pBdr>
        <w:top w:val="single" w:color="000000" w:sz="4" w:space="0"/>
        <w:left w:val="single" w:color="000000" w:sz="4" w:space="9"/>
        <w:bottom w:val="single" w:color="000000" w:sz="4" w:space="0"/>
      </w:pBdr>
    </w:pPr>
    <w:rPr>
      <w:rFonts w:ascii="黑体" w:hAnsi="黑体" w:cs="黑体"/>
      <w:b/>
      <w:bCs/>
      <w:color w:val="000000"/>
      <w:sz w:val="24"/>
    </w:rPr>
  </w:style>
  <w:style w:type="paragraph" w:styleId="1195" w:customStyle="1">
    <w:name w:val="p0"/>
    <w:basedOn w:val="904"/>
    <w:uiPriority w:val="0"/>
    <w:qFormat/>
    <w:pPr>
      <w:jc w:val="left"/>
      <w:spacing w:before="100" w:beforeAutospacing="1" w:after="100" w:afterAutospacing="1"/>
      <w:widowControl/>
    </w:pPr>
    <w:rPr>
      <w:rFonts w:ascii="黑体" w:hAnsi="黑体" w:cs="黑体"/>
      <w:sz w:val="24"/>
    </w:rPr>
  </w:style>
  <w:style w:type="paragraph" w:styleId="1196" w:customStyle="1">
    <w:name w:val="xl95"/>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97" w:customStyle="1">
    <w:name w:val="xl111"/>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黑体" w:hAnsi="黑体" w:cs="黑体"/>
      <w:b/>
      <w:bCs/>
      <w:color w:val="000000"/>
      <w:sz w:val="24"/>
    </w:rPr>
  </w:style>
  <w:style w:type="paragraph" w:styleId="1198" w:customStyle="1">
    <w:name w:val="para"/>
    <w:basedOn w:val="904"/>
    <w:uiPriority w:val="0"/>
    <w:qFormat/>
    <w:pPr>
      <w:ind w:firstLine="425"/>
      <w:spacing w:before="160" w:line="360" w:lineRule="auto"/>
      <w:widowControl/>
    </w:pPr>
    <w:rPr>
      <w:sz w:val="24"/>
      <w:szCs w:val="20"/>
      <w:lang w:eastAsia="en-US"/>
    </w:rPr>
  </w:style>
  <w:style w:type="paragraph" w:styleId="1199" w:customStyle="1">
    <w:name w:val="xl94"/>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200" w:customStyle="1">
    <w:name w:val="p15"/>
    <w:basedOn w:val="904"/>
    <w:uiPriority w:val="0"/>
    <w:qFormat/>
    <w:pPr>
      <w:widowControl/>
    </w:pPr>
    <w:rPr>
      <w:rFonts w:ascii="monospace" w:hAnsi="monospace" w:cs="黑体"/>
      <w:szCs w:val="21"/>
    </w:rPr>
  </w:style>
  <w:style w:type="paragraph" w:styleId="1201" w:customStyle="1">
    <w:name w:val="列出段落1"/>
    <w:basedOn w:val="904"/>
    <w:uiPriority w:val="0"/>
    <w:qFormat/>
    <w:pPr>
      <w:ind w:firstLine="420"/>
    </w:pPr>
    <w:rPr>
      <w:rFonts w:ascii="monospace" w:hAnsi="monospace"/>
      <w:szCs w:val="22"/>
    </w:rPr>
  </w:style>
  <w:style w:type="paragraph" w:styleId="1202" w:customStyle="1">
    <w:name w:val="xl93"/>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203" w:customStyle="1">
    <w:name w:val="xl113"/>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204" w:customStyle="1">
    <w:name w:val="g3"/>
    <w:basedOn w:val="904"/>
    <w:uiPriority w:val="0"/>
    <w:qFormat/>
    <w:pPr>
      <w:jc w:val="left"/>
      <w:spacing w:before="100" w:beforeAutospacing="1" w:after="100" w:afterAutospacing="1" w:line="675" w:lineRule="atLeast"/>
      <w:widowControl/>
    </w:pPr>
    <w:rPr>
      <w:rFonts w:hint="eastAsia" w:ascii="黑体" w:hAnsi="黑体" w:eastAsia="黑体"/>
      <w:sz w:val="42"/>
      <w:szCs w:val="42"/>
    </w:rPr>
  </w:style>
  <w:style w:type="paragraph" w:styleId="1205" w:customStyle="1">
    <w:name w:val="xl105"/>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6" w:customStyle="1">
    <w:name w:val="xl85"/>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7" w:customStyle="1">
    <w:name w:val="ecxmsonormal"/>
    <w:basedOn w:val="904"/>
    <w:uiPriority w:val="0"/>
    <w:qFormat/>
    <w:pPr>
      <w:jc w:val="left"/>
      <w:spacing w:after="324"/>
      <w:widowControl/>
    </w:pPr>
    <w:rPr>
      <w:rFonts w:ascii="黑体" w:hAnsi="黑体" w:cs="黑体"/>
      <w:sz w:val="24"/>
    </w:rPr>
  </w:style>
  <w:style w:type="paragraph" w:styleId="1208" w:customStyle="1">
    <w:name w:val="xl106"/>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9" w:customStyle="1">
    <w:name w:val="xl92"/>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0" w:customStyle="1">
    <w:name w:val="[基本段落]"/>
    <w:basedOn w:val="904"/>
    <w:uiPriority w:val="99"/>
    <w:qFormat/>
    <w:pPr>
      <w:spacing w:line="288" w:lineRule="auto"/>
    </w:pPr>
    <w:rPr>
      <w:rFonts w:ascii="黑体" w:cs="黑体"/>
      <w:color w:val="000000"/>
      <w:sz w:val="24"/>
      <w:szCs w:val="24"/>
      <w:lang w:val="zh-CN"/>
    </w:rPr>
  </w:style>
  <w:style w:type="paragraph" w:styleId="1211" w:customStyle="1">
    <w:name w:val="xl110"/>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2" w:customStyle="1">
    <w:name w:val="xl80"/>
    <w:basedOn w:val="904"/>
    <w:uiPriority w:val="0"/>
    <w:qFormat/>
    <w:pPr>
      <w:jc w:val="left"/>
      <w:spacing w:before="100" w:beforeAutospacing="1" w:after="100" w:afterAutospacing="1"/>
      <w:widowControl/>
    </w:pPr>
    <w:rPr>
      <w:rFonts w:ascii="MS Mincho" w:hAnsi="MS Mincho" w:eastAsia="MS Mincho" w:cs="黑体"/>
      <w:b/>
      <w:bCs/>
      <w:color w:val="000000"/>
      <w:sz w:val="24"/>
    </w:rPr>
  </w:style>
  <w:style w:type="paragraph" w:styleId="1213" w:customStyle="1">
    <w:name w:val="纯文本11"/>
    <w:basedOn w:val="904"/>
    <w:uiPriority w:val="0"/>
    <w:qFormat/>
    <w:rPr>
      <w:rFonts w:ascii="黑体" w:hAnsi="等线 Light" w:eastAsia="Courier New"/>
      <w:sz w:val="26"/>
    </w:rPr>
  </w:style>
  <w:style w:type="paragraph" w:styleId="1214" w:customStyle="1">
    <w:name w:val="Table Paragraph"/>
    <w:basedOn w:val="904"/>
    <w:uiPriority w:val="99"/>
    <w:qFormat/>
    <w:pPr>
      <w:jc w:val="left"/>
    </w:pPr>
    <w:rPr>
      <w:sz w:val="24"/>
    </w:rPr>
  </w:style>
  <w:style w:type="paragraph" w:styleId="1215" w:customStyle="1">
    <w:name w:val="xl87"/>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6" w:customStyle="1">
    <w:name w:val="xl97"/>
    <w:basedOn w:val="904"/>
    <w:uiPriority w:val="0"/>
    <w:qFormat/>
    <w:pPr>
      <w:jc w:val="left"/>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17" w:customStyle="1">
    <w:name w:val="table_1stline"/>
    <w:basedOn w:val="904"/>
    <w:uiPriority w:val="0"/>
    <w:qFormat/>
    <w:pPr>
      <w:jc w:val="left"/>
      <w:spacing w:before="120"/>
      <w:widowControl/>
    </w:pPr>
    <w:rPr>
      <w:rFonts w:eastAsia="Yu Mincho Light"/>
      <w:bCs/>
      <w:sz w:val="20"/>
      <w:szCs w:val="20"/>
      <w:lang w:val="de-DE" w:eastAsia="de-DE"/>
    </w:rPr>
  </w:style>
  <w:style w:type="paragraph" w:styleId="1218" w:customStyle="1">
    <w:name w:val="xl107"/>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9" w:customStyle="1">
    <w:name w:val="Char Char Char Char1 Char Char Char"/>
    <w:basedOn w:val="904"/>
    <w:uiPriority w:val="0"/>
    <w:qFormat/>
    <w:rPr>
      <w:rFonts w:ascii="TimesNewRomanPSMT" w:hAnsi="TimesNewRomanPSMT"/>
      <w:sz w:val="24"/>
      <w:szCs w:val="20"/>
    </w:rPr>
  </w:style>
  <w:style w:type="paragraph" w:styleId="1220" w:customStyle="1">
    <w:name w:val="xl115"/>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21" w:customStyle="1">
    <w:name w:val="Default"/>
    <w:uiPriority w:val="0"/>
    <w:qFormat/>
    <w:pPr>
      <w:widowControl w:val="off"/>
    </w:pPr>
    <w:rPr>
      <w:rFonts w:hint="default" w:ascii="Yu Mincho Light" w:hAnsi="Tahoma" w:eastAsia="Yu Mincho Light" w:cs="Yu Mincho Light"/>
      <w:color w:val="000000"/>
      <w:sz w:val="24"/>
      <w:szCs w:val="24"/>
      <w:lang w:val="en-US" w:eastAsia="zh-CN" w:bidi="ar-SA"/>
    </w:rPr>
  </w:style>
  <w:style w:type="paragraph" w:styleId="1222" w:customStyle="1">
    <w:name w:val="段"/>
    <w:next w:val="904"/>
    <w:uiPriority w:val="99"/>
    <w:qFormat/>
    <w:pPr>
      <w:ind w:firstLine="360"/>
      <w:jc w:val="both"/>
      <w:spacing w:line="360" w:lineRule="auto"/>
    </w:pPr>
    <w:rPr>
      <w:rFonts w:hint="default" w:ascii="Calibri" w:hAnsi="Calibri" w:eastAsia="宋体" w:cs="Times New Roman"/>
      <w:sz w:val="24"/>
      <w:szCs w:val="24"/>
      <w:lang w:val="en-US" w:eastAsia="zh-CN" w:bidi="ar-SA"/>
    </w:rPr>
  </w:style>
  <w:style w:type="paragraph" w:styleId="1223" w:customStyle="1">
    <w:name w:val="首行缩进"/>
    <w:basedOn w:val="904"/>
    <w:uiPriority w:val="0"/>
    <w:qFormat/>
    <w:pPr>
      <w:ind w:firstLine="480"/>
    </w:pPr>
    <w:rPr>
      <w:lang w:val="zh-CN"/>
    </w:rPr>
  </w:style>
  <w:style w:type="paragraph" w:styleId="1224" w:customStyle="1">
    <w:name w:val="xl112"/>
    <w:basedOn w:val="904"/>
    <w:uiPriority w:val="0"/>
    <w:qFormat/>
    <w:pPr>
      <w:jc w:val="center"/>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25" w:customStyle="1">
    <w:name w:val="xl75"/>
    <w:basedOn w:val="904"/>
    <w:uiPriority w:val="0"/>
    <w:qFormat/>
    <w:pPr>
      <w:jc w:val="left"/>
      <w:spacing w:before="100" w:beforeAutospacing="1" w:after="100" w:afterAutospacing="1"/>
      <w:widowControl/>
    </w:pPr>
    <w:rPr>
      <w:rFonts w:ascii="MS Mincho" w:hAnsi="MS Mincho" w:eastAsia="MS Mincho" w:cs="黑体"/>
      <w:color w:val="000000"/>
      <w:sz w:val="24"/>
    </w:rPr>
  </w:style>
  <w:style w:type="paragraph" w:styleId="1226" w:customStyle="1">
    <w:name w:val="font10"/>
    <w:basedOn w:val="904"/>
    <w:uiPriority w:val="0"/>
    <w:qFormat/>
    <w:pPr>
      <w:jc w:val="left"/>
      <w:spacing w:before="100" w:beforeAutospacing="1" w:after="100" w:afterAutospacing="1"/>
      <w:widowControl/>
    </w:pPr>
    <w:rPr>
      <w:rFonts w:ascii="黑体" w:hAnsi="黑体" w:cs="黑体"/>
      <w:color w:val="000000"/>
      <w:sz w:val="20"/>
      <w:szCs w:val="20"/>
    </w:rPr>
  </w:style>
  <w:style w:type="paragraph" w:styleId="1227" w:customStyle="1">
    <w:name w:val="font12"/>
    <w:basedOn w:val="904"/>
    <w:uiPriority w:val="0"/>
    <w:qFormat/>
    <w:pPr>
      <w:jc w:val="left"/>
      <w:spacing w:before="100" w:beforeAutospacing="1" w:after="100" w:afterAutospacing="1"/>
      <w:widowControl/>
    </w:pPr>
    <w:rPr>
      <w:rFonts w:ascii="黑体" w:hAnsi="黑体" w:cs="黑体"/>
      <w:color w:val="ff0000"/>
      <w:sz w:val="20"/>
      <w:szCs w:val="20"/>
    </w:rPr>
  </w:style>
  <w:style w:type="paragraph" w:styleId="1228" w:customStyle="1">
    <w:name w:val="Char"/>
    <w:basedOn w:val="904"/>
    <w:uiPriority w:val="0"/>
    <w:qFormat/>
    <w:pPr>
      <w:jc w:val="left"/>
      <w:spacing w:after="160" w:line="240" w:lineRule="exact"/>
      <w:widowControl/>
    </w:pPr>
    <w:rPr>
      <w:rFonts w:ascii="Courier New" w:hAnsi="Courier New" w:eastAsia="Tahoma" w:cs="Cambria"/>
      <w:b/>
      <w:sz w:val="24"/>
      <w:szCs w:val="20"/>
      <w:lang w:eastAsia="en-US"/>
    </w:rPr>
  </w:style>
  <w:style w:type="paragraph" w:styleId="1229" w:customStyle="1">
    <w:name w:val="列出段落"/>
    <w:basedOn w:val="904"/>
    <w:uiPriority w:val="0"/>
    <w:qFormat/>
    <w:pPr>
      <w:ind w:firstLine="420"/>
    </w:pPr>
  </w:style>
  <w:style w:type="paragraph" w:styleId="1230" w:customStyle="1">
    <w:name w:val="xl77"/>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黑体" w:hAnsi="黑体" w:cs="黑体"/>
      <w:b/>
      <w:bCs/>
      <w:color w:val="000000"/>
      <w:sz w:val="18"/>
      <w:szCs w:val="18"/>
    </w:rPr>
  </w:style>
  <w:style w:type="paragraph" w:styleId="1231" w:customStyle="1">
    <w:name w:val="xl86"/>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2" w:customStyle="1">
    <w:name w:val="Normal_8"/>
    <w:uiPriority w:val="0"/>
    <w:qFormat/>
    <w:rPr>
      <w:rFonts w:hint="default" w:ascii="Tahoma" w:hAnsi="Tahoma" w:eastAsia="Tahoma" w:cs="Tahoma"/>
      <w:sz w:val="24"/>
      <w:szCs w:val="24"/>
      <w:lang w:val="en-US" w:eastAsia="zh-CN" w:bidi="ar-SA"/>
    </w:rPr>
  </w:style>
  <w:style w:type="paragraph" w:styleId="1233" w:customStyle="1">
    <w:name w:val="xl88"/>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4" w:customStyle="1">
    <w:name w:val="font8"/>
    <w:basedOn w:val="904"/>
    <w:uiPriority w:val="0"/>
    <w:qFormat/>
    <w:pPr>
      <w:jc w:val="left"/>
      <w:spacing w:before="100" w:beforeAutospacing="1" w:after="100" w:afterAutospacing="1"/>
      <w:widowControl/>
    </w:pPr>
    <w:rPr>
      <w:rFonts w:ascii="MS Mincho" w:hAnsi="MS Mincho" w:eastAsia="MS Mincho" w:cs="黑体"/>
      <w:b/>
      <w:bCs/>
      <w:color w:val="000000"/>
      <w:sz w:val="18"/>
      <w:szCs w:val="18"/>
    </w:rPr>
  </w:style>
  <w:style w:type="paragraph" w:styleId="1235" w:customStyle="1">
    <w:name w:val="xl81"/>
    <w:basedOn w:val="904"/>
    <w:uiPriority w:val="0"/>
    <w:qFormat/>
    <w:pPr>
      <w:jc w:val="left"/>
      <w:spacing w:before="100" w:beforeAutospacing="1" w:after="100" w:afterAutospacing="1"/>
      <w:widowControl/>
    </w:pPr>
    <w:rPr>
      <w:rFonts w:ascii="MS Mincho" w:hAnsi="MS Mincho" w:eastAsia="MS Mincho" w:cs="黑体"/>
      <w:color w:val="000000"/>
      <w:sz w:val="24"/>
    </w:rPr>
  </w:style>
  <w:style w:type="paragraph" w:styleId="1236" w:customStyle="1">
    <w:name w:val="HTML 预设格式1"/>
    <w:basedOn w:val="9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cs="黑体"/>
      <w:sz w:val="24"/>
    </w:rPr>
  </w:style>
  <w:style w:type="paragraph" w:styleId="1237" w:customStyle="1">
    <w:name w:val="表格"/>
    <w:uiPriority w:val="0"/>
    <w:qFormat/>
    <w:pPr>
      <w:widowControl w:val="off"/>
    </w:pPr>
    <w:rPr>
      <w:rFonts w:hint="default" w:ascii="Calibri" w:hAnsi="Calibri" w:eastAsia="宋体" w:cs="黑体"/>
      <w:sz w:val="21"/>
      <w:szCs w:val="21"/>
      <w:lang w:val="en-US" w:eastAsia="zh-CN" w:bidi="ar-SA"/>
    </w:rPr>
  </w:style>
  <w:style w:type="paragraph" w:styleId="1238" w:customStyle="1">
    <w:name w:val="xl108"/>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39" w:customStyle="1">
    <w:name w:val="xl10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0" w:customStyle="1">
    <w:name w:val="xl104"/>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1" w:customStyle="1">
    <w:name w:val="Char Char1 Char Char Char"/>
    <w:basedOn w:val="904"/>
    <w:uiPriority w:val="0"/>
    <w:qFormat/>
    <w:rPr>
      <w:szCs w:val="20"/>
    </w:rPr>
  </w:style>
  <w:style w:type="paragraph" w:styleId="1242" w:customStyle="1">
    <w:name w:val="xl114"/>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43" w:customStyle="1">
    <w:name w:val="xl91"/>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4" w:customStyle="1">
    <w:name w:val="xl78"/>
    <w:basedOn w:val="904"/>
    <w:uiPriority w:val="0"/>
    <w:qFormat/>
    <w:pPr>
      <w:jc w:val="left"/>
      <w:spacing w:before="100" w:beforeAutospacing="1" w:after="100" w:afterAutospacing="1"/>
      <w:widowControl/>
    </w:pPr>
    <w:rPr>
      <w:rFonts w:ascii="黑体" w:hAnsi="黑体" w:cs="黑体"/>
      <w:color w:val="000000"/>
      <w:sz w:val="24"/>
    </w:rPr>
  </w:style>
  <w:style w:type="paragraph" w:styleId="1245" w:customStyle="1">
    <w:name w:val="Char Char Char Char1"/>
    <w:basedOn w:val="904"/>
    <w:uiPriority w:val="0"/>
    <w:qFormat/>
    <w:rPr>
      <w:rFonts w:ascii="TimesNewRomanPSMT" w:hAnsi="TimesNewRomanPSMT"/>
      <w:sz w:val="24"/>
      <w:szCs w:val="20"/>
    </w:rPr>
  </w:style>
  <w:style w:type="paragraph" w:styleId="1246" w:customStyle="1">
    <w:name w:val="font5"/>
    <w:basedOn w:val="904"/>
    <w:uiPriority w:val="0"/>
    <w:qFormat/>
    <w:pPr>
      <w:jc w:val="left"/>
      <w:spacing w:before="100" w:beforeAutospacing="1" w:after="100" w:afterAutospacing="1"/>
      <w:widowControl/>
    </w:pPr>
    <w:rPr>
      <w:rFonts w:ascii="黑体" w:hAnsi="黑体" w:cs="黑体"/>
      <w:sz w:val="18"/>
      <w:szCs w:val="18"/>
    </w:rPr>
  </w:style>
  <w:style w:type="table" w:styleId="1247" w:customStyle="1">
    <w:name w:val="Table Normal"/>
    <w:uiPriority w:val="0"/>
    <w:semiHidden/>
    <w:unhideWhenUsed/>
    <w:qFormat/>
    <w:tblPr>
      <w:tblCellMar>
        <w:left w:w="0" w:type="dxa"/>
        <w:top w:w="0" w:type="dxa"/>
        <w:right w:w="0" w:type="dxa"/>
        <w:bottom w:w="0" w:type="dxa"/>
      </w:tblCellMar>
    </w:tblPr>
  </w:style>
  <w:style w:type="paragraph" w:styleId="1248" w:customStyle="1">
    <w:name w:val="Table Text"/>
    <w:basedOn w:val="904"/>
    <w:uiPriority w:val="0"/>
    <w:semiHidden/>
    <w:qFormat/>
    <w:rPr>
      <w:rFonts w:ascii="宋体" w:hAnsi="宋体" w:eastAsia="宋体" w:cs="宋体"/>
      <w:sz w:val="20"/>
      <w:szCs w:val="20"/>
      <w:lang w:val="en-US" w:eastAsia="en-US" w:bidi="ar-SA"/>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曾宪尧</cp:lastModifiedBy>
  <cp:revision>13</cp:revision>
  <dcterms:created xsi:type="dcterms:W3CDTF">2022-07-13T12:43:00Z</dcterms:created>
  <dcterms:modified xsi:type="dcterms:W3CDTF">2024-05-24T08:12:33Z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DA2EA35744DA424EA90E3BB847BBA784_13</vt:lpwstr>
  </property>
</Properties>
</file>