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color w:val="000000"/>
          <w:sz w:val="30"/>
        </w:rPr>
        <w:t xml:space="preserve">：</w:t>
      </w:r>
      <w:r>
        <w:rPr>
          <w:rFonts w:ascii="SimSun" w:hAnsi="SimSun" w:eastAsia="SimSun" w:cs="SimSun"/>
          <w:b/>
          <w:color w:val="000000"/>
          <w:sz w:val="28"/>
        </w:rPr>
        <w:t xml:space="preserve">2024年补充耕地项目客土检测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w:t>
      </w:r>
      <w:r>
        <w:rPr>
          <w:rFonts w:ascii="Times New Roman" w:hAnsi="Times New Roman" w:eastAsia="Times New Roman" w:cs="Times New Roman"/>
          <w:b/>
          <w:color w:val="000000"/>
          <w:sz w:val="30"/>
        </w:rPr>
        <w:t xml:space="preserve">JSZC-321283-TZJX-G2024-0033</w:t>
      </w:r>
      <w:r/>
    </w:p>
    <w:p>
      <w:pPr>
        <w:ind w:left="0" w:right="0" w:firstLine="602"/>
        <w:jc w:val="center"/>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602"/>
        <w:jc w:val="center"/>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602"/>
        <w:jc w:val="center"/>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602"/>
        <w:jc w:val="center"/>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602"/>
        <w:jc w:val="center"/>
        <w:spacing w:before="240" w:after="24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采购人：泰兴市滨江镇人民政府</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招标代理：泰州捷星建设项目管理有限公司</w:t>
      </w:r>
      <w:r/>
    </w:p>
    <w:p>
      <w:pPr>
        <w:ind w:left="0" w:right="0" w:firstLine="3313"/>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二○二四年十月</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ff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ff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ff00"/>
          <w:sz w:val="28"/>
        </w:rPr>
        <w:t xml:space="preserve">第一章  招标公告</w:t>
      </w:r>
      <w:r/>
    </w:p>
    <w:p>
      <w:pPr>
        <w:ind w:left="0" w:right="0" w:firstLine="0"/>
        <w:jc w:val="both"/>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420"/>
        <w:jc w:val="both"/>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2024年补充耕地项目客土检测</w:t>
      </w:r>
      <w:r>
        <w:rPr>
          <w:rFonts w:ascii="SimSun" w:hAnsi="SimSun" w:eastAsia="SimSun" w:cs="SimSun"/>
          <w:color w:val="000000"/>
          <w:sz w:val="21"/>
        </w:rPr>
        <w:t xml:space="preserve">招标项目的潜在投标人应在</w:t>
      </w:r>
      <w:r>
        <w:rPr>
          <w:rFonts w:ascii="SimSun" w:hAnsi="SimSun" w:eastAsia="SimSun" w:cs="SimSun"/>
          <w:color w:val="000000"/>
          <w:sz w:val="21"/>
          <w:u w:val="single"/>
        </w:rPr>
        <w:t xml:space="preserve">“江苏政府采购网”获取招标文件</w:t>
      </w:r>
      <w:r>
        <w:rPr>
          <w:rFonts w:ascii="SimSun" w:hAnsi="SimSun" w:eastAsia="SimSun" w:cs="SimSun"/>
          <w:color w:val="000000"/>
          <w:sz w:val="21"/>
        </w:rPr>
        <w:t xml:space="preserve">，并于</w:t>
      </w:r>
      <w:r>
        <w:rPr>
          <w:rFonts w:ascii="SimSun" w:hAnsi="SimSun" w:eastAsia="SimSun" w:cs="SimSun"/>
          <w:color w:val="000000"/>
          <w:sz w:val="21"/>
          <w:u w:val="single"/>
        </w:rPr>
        <w:t xml:space="preserve">2024年11月1日9点 00 分（</w:t>
      </w:r>
      <w:r>
        <w:rPr>
          <w:rFonts w:ascii="SimSun" w:hAnsi="SimSun" w:eastAsia="SimSun" w:cs="SimSun"/>
          <w:color w:val="000000"/>
          <w:sz w:val="21"/>
        </w:rPr>
        <w:t xml:space="preserve">北京时间）前递交投标文件。</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1.项目编号：JSZC-321283-TZJX-G2024-0033</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2.项目名称：2024年补充耕地项目客土检测</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3.采购方式：公开招标</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4.预算金额：1400元/个点位，约1200个点位，总金额168万元</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5.最高限价：1200元/个点位（本项目以单价报价，按实结算，超过最高限价的报价为无效报价）</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需求：2024年补充耕地项目客土检测任务涉及14个村约540亩（约1200个点位，具体点位以国土局入库面积为准），供应商须根据实际情况，对客土质量进行检测，编制客土调查实施方案、对客土质量进行全面调查与评价，出具客土质量检测与评价报告。（具体详见第五章采购需求）</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7.合同履行期限：</w:t>
      </w:r>
      <w:r>
        <w:rPr>
          <w:rFonts w:ascii="SimSun" w:hAnsi="SimSun" w:eastAsia="SimSun" w:cs="SimSun"/>
          <w:color w:val="000000"/>
          <w:sz w:val="21"/>
          <w:u w:val="single"/>
        </w:rPr>
        <w:t xml:space="preserve">一年</w:t>
      </w:r>
      <w:r>
        <w:rPr>
          <w:rFonts w:ascii="SimSun" w:hAnsi="SimSun" w:eastAsia="SimSun" w:cs="SimSun"/>
          <w:color w:val="000000"/>
          <w:sz w:val="21"/>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8.是否接受联合体：</w:t>
      </w:r>
      <w:r>
        <w:rPr>
          <w:rFonts w:ascii="SimSun" w:hAnsi="SimSun" w:eastAsia="SimSun" w:cs="SimSun"/>
          <w:color w:val="000000"/>
          <w:sz w:val="21"/>
          <w:u w:val="single"/>
        </w:rPr>
        <w:t xml:space="preserve">否</w:t>
      </w:r>
      <w:r>
        <w:rPr>
          <w:rFonts w:ascii="SimSun" w:hAnsi="SimSun" w:eastAsia="SimSun" w:cs="SimSun"/>
          <w:color w:val="000000"/>
          <w:sz w:val="21"/>
        </w:rPr>
        <w:t xml:space="preserve">。</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2.落实政府采购政策需满足的资格要求：本项目为非专门面向中小企业的项目；</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3.本项目的特定资格要求：投标人须具有有效的CMA资质认证。（投标人需提供有效的CMA资质认证证书复印件加盖公章）</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1.获取时间：2024年10月12日至2024年10月17日，每天上午00:00-12:00,下午12:00-23:59(北京时间，法定节假日除外)；</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2.获取方式：</w:t>
      </w:r>
      <w:r>
        <w:rPr>
          <w:rFonts w:ascii="SimSun" w:hAnsi="SimSun" w:eastAsia="SimSun" w:cs="SimSun"/>
          <w:b/>
          <w:color w:val="000000"/>
          <w:sz w:val="21"/>
        </w:rPr>
        <w:t xml:space="preserve">投标人完成注册并办理CA证书后，登录江苏省政府采购管理交易系统（苏采云）（http://jszfcg.jsczt.cn/）免费获取本项目的招标文件。</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四、提交投标文件截止时间、开标时间和地点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1.提交投标文件截止时间：2024年11月1日9点00 分止（北京时间）；</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2.开标时间：同投标文件递交截止时间；</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3.开标地点：“苏采云”系统“开标大厅”。</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1.投标保证金：无。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2.公告发布媒介：江苏政府采购网（www.ccgp-jiangsu.gov.cn）</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3.注意事项：</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本项目采用电子化投标，投标人应根据《江苏省政府采购管理交易系统（苏采云）投标人操作手册》（“泰州市政府采购网—下载中心”下载）规定，制作、上传电子投标文件（技术支持电话：0523-87633965、0523-86897512；客服QQ709339244、QQ：1810179072）。</w:t>
      </w:r>
      <w:r/>
    </w:p>
    <w:p>
      <w:pPr>
        <w:ind w:left="0" w:right="0" w:firstLine="21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（3）有关本次招标的事项若存在变动或修改，敬请及时关注“江苏政府采购网”发布的更正公告。</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如潜在投标人未按上述要求操作，将自行承担所产生的风险。</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采购人：泰兴市滨江镇人民政府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址：泰兴市滨江镇福泰路1号</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联系方式：0523-80738783</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称：泰州捷星建设项目管理有限公司</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址：泰兴市城东高新区戴王路</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联系方式：13951173339</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项目联系人：泰兴市滨江镇人民政府           蒋勇</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话：0523-80738783</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项目联系人：泰州捷星建设项目管理有限公司 李亮</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话：13951173339</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第二章投标人须知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投标人须知前附表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6"/>
        <w:gridCol w:w="2298"/>
        <w:gridCol/>
        <w:gridCol w:w="5572"/>
      </w:tblGrid>
      <w:tr>
        <w:trPr>
          <w:trHeight w:val="3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编列内容</w:t>
            </w:r>
            <w:r/>
          </w:p>
        </w:tc>
      </w:tr>
      <w:tr>
        <w:trPr>
          <w:trHeight w:val="1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名称：泰兴市滨江镇人民政府</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地址：泰兴市滨江镇福泰路1号</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联系人：蒋勇</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联系电话：0523-80738783</w:t>
            </w:r>
            <w:r/>
          </w:p>
        </w:tc>
      </w:tr>
      <w:tr>
        <w:trPr>
          <w:trHeight w:val="1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名称：泰州捷星建设项目管理有限公司</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地址：泰兴市城东高新区戴王路</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联系人：李亮</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联系电话：13951173339</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项目名称及项目编号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项目名称：2024年补充耕地项目客土检测</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项目编号：JSZC-321283-TZJX-G2024-0033</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工作量经招标人审核确认后按时汇总，服务期结束提供正式成果并经主管部门验收、批准同意后，根据实际工作量乘以中标单价一次性付清费用。</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见第五章采购需求</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见招标公告</w:t>
            </w:r>
            <w:r/>
          </w:p>
        </w:tc>
      </w:tr>
      <w:tr>
        <w:trPr>
          <w:trHeight w:val="7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要求投标人具备的特定条件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见招标公告</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投标人应仔细阅读招标文件第五章采购需求，结合自身的实际情况，如实编制。采购需求响应表须详细说明实际提供的服务及其他采购需求中相关要求的响应情况。</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构成招标文件的其他材料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投标人要求澄清招标文件的截止时间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2024年10月18日17时30分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（1）开标一览表；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（3）中小企业声明函（若有）；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（4）投标报价明细表及分析说明；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（5）资格性审查和符合性评审文件；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（6）采购需求响应表；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（7）对照第三章评标办法，认为应列入投标文件的其他材料。</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60天</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电子投标文件壹份；</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投标文件的签署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投标函、投标人基本资格条件承诺函中须加盖投标人法人章并经法定代表人签字或签章。</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开标时间和地点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开标时间：同投标截止时间</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开标地点：“苏采云”系统“开标大厅”</w:t>
            </w:r>
            <w:r/>
          </w:p>
        </w:tc>
      </w:tr>
      <w:tr>
        <w:trPr>
          <w:trHeight w:val="10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投标人参与开标要求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开标活动将在招标公告中规定的时间和地点进行。投标人应当按照</w:t>
            </w:r>
            <w:r>
              <w:rPr>
                <w:rFonts w:ascii="SimSun" w:hAnsi="SimSun" w:eastAsia="SimSun" w:cs="SimSun"/>
                <w:b/>
                <w:color w:val="000000"/>
                <w:sz w:val="21"/>
              </w:rPr>
              <w:t xml:space="preserve">《江苏省政府采购管理交易系统（苏采云）投标人操作手册》</w:t>
            </w:r>
            <w:r>
              <w:rPr>
                <w:rFonts w:ascii="SimSun" w:hAnsi="SimSun" w:eastAsia="SimSun" w:cs="SimSun"/>
                <w:color w:val="000000"/>
                <w:sz w:val="21"/>
              </w:rPr>
              <w:t xml:space="preserve">规定，参加开标活动。</w:t>
            </w:r>
            <w:r/>
          </w:p>
        </w:tc>
      </w:tr>
      <w:tr>
        <w:trPr>
          <w:trHeight w:val="6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评标委员会人数：</w:t>
            </w:r>
            <w:r>
              <w:rPr>
                <w:rFonts w:ascii="SimSun" w:hAnsi="SimSun" w:eastAsia="SimSun" w:cs="SimSun"/>
                <w:color w:val="000000"/>
                <w:sz w:val="21"/>
                <w:u w:val="single"/>
              </w:rPr>
              <w:t xml:space="preserve"> 5 </w:t>
            </w:r>
            <w:r>
              <w:rPr>
                <w:rFonts w:ascii="SimSun" w:hAnsi="SimSun" w:eastAsia="SimSun" w:cs="SimSun"/>
                <w:color w:val="000000"/>
                <w:sz w:val="21"/>
              </w:rPr>
              <w:t xml:space="preserve">人（采购人代表</w:t>
            </w:r>
            <w:r>
              <w:rPr>
                <w:rFonts w:ascii="SimSun" w:hAnsi="SimSun" w:eastAsia="SimSun" w:cs="SimSun"/>
                <w:color w:val="000000"/>
                <w:sz w:val="21"/>
                <w:u w:val="single"/>
              </w:rPr>
              <w:t xml:space="preserve"> 1</w:t>
            </w:r>
            <w:r>
              <w:rPr>
                <w:rFonts w:ascii="SimSun" w:hAnsi="SimSun" w:eastAsia="SimSun" w:cs="SimSun"/>
                <w:color w:val="000000"/>
                <w:sz w:val="21"/>
              </w:rPr>
              <w:t xml:space="preserve">人，评审专家 </w:t>
            </w:r>
            <w:r>
              <w:rPr>
                <w:rFonts w:ascii="SimSun" w:hAnsi="SimSun" w:eastAsia="SimSun" w:cs="SimSun"/>
                <w:color w:val="000000"/>
                <w:sz w:val="21"/>
                <w:u w:val="single"/>
              </w:rPr>
              <w:t xml:space="preserve"> 4 </w:t>
            </w:r>
            <w:r>
              <w:rPr>
                <w:rFonts w:ascii="SimSun" w:hAnsi="SimSun" w:eastAsia="SimSun" w:cs="SimSun"/>
                <w:color w:val="000000"/>
                <w:sz w:val="21"/>
              </w:rPr>
              <w:t xml:space="preserve">人）。</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中标公告媒介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江苏政府采购网（www.ccgp-jiangsu.gov.cn）</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（1）履约保证金形式:支票、汇票、本票或者金融机构、担保机构出具的保函等非现金形式</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（2）金额：合同价的5%</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（3）缴纳时间：在确定成交投标人之后,签订采购合同前。</w:t>
            </w:r>
            <w:r/>
          </w:p>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（4）退还时间：合同履约结束验收合格后退还。</w:t>
            </w:r>
            <w:r/>
          </w:p>
        </w:tc>
      </w:tr>
      <w:tr>
        <w:trPr>
          <w:trHeight w:val="7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签订合同的</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自中标通知书发出之日起</w:t>
            </w:r>
            <w:r>
              <w:rPr>
                <w:rFonts w:ascii="SimSun" w:hAnsi="SimSun" w:eastAsia="SimSun" w:cs="SimSun"/>
                <w:color w:val="000000"/>
                <w:sz w:val="21"/>
                <w:u w:val="single"/>
              </w:rPr>
              <w:t xml:space="preserve">30</w:t>
            </w:r>
            <w:r>
              <w:rPr>
                <w:rFonts w:ascii="SimSun" w:hAnsi="SimSun" w:eastAsia="SimSun" w:cs="SimSun"/>
                <w:color w:val="000000"/>
                <w:sz w:val="21"/>
              </w:rPr>
              <w:t xml:space="preserve">天内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需要补充的其他内容</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质疑和投诉</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按照《政府采购质疑和投诉办法》（财政部第94号令）处理</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招标文件的解释</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由采购人负责</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top"/>
            <w:textDirection w:val="lrTb"/>
            <w:noWrap w:val="false"/>
          </w:tcPr>
          <w:p>
            <w:pPr>
              <w:ind w:left="0" w:right="0" w:firstLine="0"/>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苏财购[2022]45号）规定，对小型和微型生产企业生产的产品或承接的服务价格给予10%的扣除，扣除后的价格参与评审。投标人应当提供《中小企业声明函》（格式见附件）</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1.投标人应仔细阅读和充分理解招标文件的采购需求和合同主要条款，根据自身实际情况并综合考虑合同履行过程中的各类风险，理性报价。</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2.异常的低价可能会导致投标无效。</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9.5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补充条款</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9.5.1</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本项目采购代理服务费及其他相关费用均由中标供应商在领取中标通知书前支付给代理机构，采购人不另外支付。</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[2002]1980号文件及发改价格[2011]534号文件规定的58%，暂定11855元。其他相关费用按实计取。</w:t>
            </w:r>
            <w:r/>
          </w:p>
        </w:tc>
      </w:tr>
    </w:tbl>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1.总则</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1.1 项目概况</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1.1.1根据《中华人民共和国政府采购法》、《中华人民共和国政府采购法实施条例》等有关法律、法规和规章的规定，本采购项目已具备采购条件，现对本项目进行公开招标。</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招标人：见投标人须知前附表。</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采购代理机构：见投标人须知前附表。</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项目名称及项目编号：见投标人须知前附表。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1.2付款方式</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1.2.1付款方式：见投标人须知前附表。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1.3 采购范围与合同履行期限</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采购范围：见投标人须知前附表。</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合同履行期限：见投标人须知前附表。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1.4 投标人资格要求</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投标人参加政府采购活动应当具备下列条件：</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1.4.2根据采购项目特殊要求，要求投标人具备的特定条件：见投标人须知前附表。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1.4.3投标人不得存在下列情形之一：</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（l）与招标人或采购代理机构存在隶属关系或者其他利害关系；</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（2）为采购项目提供了整体设计、规范编制或者项目管理、监理、检测等服务；</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（3）单位负责人为同一人或者存在直接控股、管理关系的不同投标人，参加同一合同项下的政府采购活动。</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（4）以联合体形式参加政府采购活动的，联合体各方再单独参加或者与其他投标人另外组成联合体参加同一合同项下的政府采购活动。</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（5）法律、行政法规规定的其他条件。</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1.5费用承担</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无论采购结果如何，投标人为准备和参加投标活动发生的费用自理。</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1.6语言文字</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招投标文件使用的语言文字为中文。专用术语使用外文的，应附有中文注释。</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1.7计量单位</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所有计量均采用中华人民共和国法定计量单位。</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1.8偏离</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1.8.1偏离是指投标文件中的内容与招标文件中规定的技术参数、标准、服务要求等不一致的情形。优于招标文件规定的技术参数、标准、服务要求的为正偏离，反之为负偏离。</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1.8.2偏离的具体要求见投标人须知前附表。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2. 招标文件</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2.1 招标文件的组成</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本招标文件包括：</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（3）评标办法；</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（4）合同条款及格式；</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（6）投标文件的编制要求及参考格式；</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（7）投标人须知前附表规定的构成招标文件的其他材料。</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2.1.2根据本章第2.2款和第2.3款对招标文件所作的澄清、修改，构成招标文件的组成部分。</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2.2 招标文件的澄清</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2.3 招标文件的修改</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2.4招标文件的重新发布</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招标文件的澄清或修改涉及到申请人的资格条件、评标办法、采购需求等实质性内容时，将重新发布招标公告。</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3. 投标文件</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3.1投标文件的组成</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投标文件的组成：见投标人须知前附表。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3.2投标报价</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投标人应按招标文件规定的采购需求、责任范围和合同条件，以人民币进行报价。报价包括完成项目的所有费用，招标人不再支付报价以外的任何费用。</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投标人应按开标一览表的内容和格式要求填写价格。投标总价中不得缺漏招标文件所要求的内容，也不得包含招标文件要求以外的内容，否则，在评标时不予核减。</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3.2.3投标人只允许有一个报价，不接受选择性报价，否则，在评标时将其视为无效投标。</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3.2.4投标报价不得超过采购最高限价。</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3.2.5投标文件中标明的价格在合同执行过程中是固定不变的，不得以任何理由予以变更。任何包含价格调整要求和条件的投标，在评标时将被视为无效投标。</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3.3投标有效期</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3.3.1在投标人须知前附表规定的投标有效期内，投标人不得要求撤销或修改其投标文件。</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3.3.2出现特殊情况需要延长投标有效期的，招标人将以书面形式通知投标人。投标人拒绝延长投标有效期的，其投标失效。</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3.4投标文件的编制</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3.4.1投标人可以按照第六章“投标文件的编制要求及参考格式”要求编制投标文件。需另行增加的相关内容和材料应编入投标文件相应章节，作为投标文件的组成部分。</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3.4.2投标人应对招标文件中的资格要求、合同履行期限、投标有效期、技术、服务标准和要求等实质性内容作出响应，并根据评审因素提供相应的证明材料。</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3.4.3 投标文件的数量：见投标人须知前附表</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3.4.4投标文件的签署：见投标人须知前附表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4.投标</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4.1投标文件的上传</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4.2投标文件的修改与撤回</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4.2.1在投标截止时间前，投标人可以修改或撤回已递交的投标文件。具体操作方法见《江苏省政府采购管理交易系统（苏采云）投标人操作手册》。</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4.2.2修改的投标文件应按照本招标文件规定进行编制和重新上传。</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4.3投标文件的确认</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投标人可以通过江苏省政府采购管理交易系统（苏采云）多次上传投标文件，以招标文件规定的投标截止时间前，江苏省政府采购管理交易系统（苏采云）接受到的最后一份投标文件为准。</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5. 开标</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5.1 开标时间和地点</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5.1.1开标时间和地点：见投标人须知前附表。</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5.1.2开标活动在江苏政府采购“苏采云”系统“开标大厅”内公开进行，投标人应当按照《江苏省政府采购管理交易系统（苏采云）投标人操作手册》规定，参加开标活动。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5.2 不见面开标程序</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（1）系统登录。投标人应在投标截止时间前登录开标大厅。</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（2）投标人解密投标文件。按照系统内提示，在规定的时间内完成投标文件的解密。</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（3）唱标。</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（4）开标记录确认。</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（5）开标结束。</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5.3特殊情况的处置</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5.3.1在投标截止时间后，开标系统出现下列情况之一时，项目未开标的，暂停开标活动；正在开标的，立即暂停开标，待系统恢复正常后再组织开标。</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（1）系统服务器发生故障，无法访问或无法使用系统； </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（2）系统的软件或数据库出现错误，不能进行正常操作； </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（3）系统发现有安全漏洞，有潜在的泄密危险； </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（4）其他无法保证招投标过程公平和信息安全的情形。</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5.3.2因投标人自身原因造成投标文件无法解密的，视为撤销投标文件。</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5.3.3投标人对开标过程和开标记录有疑义的，可向招标人或者采购代理机构提出。</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5.3.4投标人未在开标系统中确认开标结果的，视同认可开标结果。</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6. 评标</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6.1 评标委员会</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6.1.1评标由招标人依法组建的评标委员会负责。评标委员会由招标人代表，以及有关技术、经济等方面的专家组成。具体人数见投标人须知前附表。</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6.1.2评标委员会成员有下列情形之一的，应当回避：</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（1）参加采购活动前三年内,与投标人存在劳动关系,或者担任过投标人的董事、监事,或者是投标人的控股股东或实际控制人；</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（2）与投标人的法定代表人或者负责人有夫妻、直系血亲、三代以内旁系血亲或者近姻亲关系；</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（3）与投标人有其他可能影响政府采购活动公平、公正进行的关系；</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（4）法律、行政法规规定的其他条件。</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6.2 评标</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评标活动遵循公正、客观、审慎的原则。评标委员会严格按照第三章“评标办法”规定的评标方法、评标程序和评标标准进行独立评审。第三章“评标办法”没有规定的评标标准，不得作为评标依据。</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7.中标</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7.1确定中标人</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7.1.1自收到评标报告之日起５个工作日内，在评标报告确定的中标候选人名单中按顺序确定中标人。</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7.1.2排名第一的中标候选人出现下列情形之一的，除合格投标人的数量不符合法定的要求外，招标人将按照评标委员会提出的中标候选人名单排序依次确定其他中标候选人为中标人。</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（1）因不可抗力或者自身原因不能履行合同的；</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（2）经过财政部门处理投诉举报、监督检查，认定中标无效的；</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（3）拒绝与招标人签订合同的。</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7.2中标公告及中标通知书</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7.2.1自中标人确定之日起2个工作日内，在投标人须知前附表规定的媒介上公告中标结果，公告期限为1个工作日。</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7.2.2在公告中标结果的同时，向中标人发出中标通知书。中标通知书对招标人和中标人具有同等法律效力。</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8.合同</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8.1 履约保证金</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8.1.1中标人应按投标人须知前附表规定的履约保证金的形式、金额和提交时间向招标人提交履约保证金。</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8.1.2中标人不能按本招标文件要求提交履约保证金的，视为放弃中标，给招标人造成损失的，中标人还应当予以赔偿。</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8.2签订合同</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招标人和中标人在投标人须知前附表规定的时间内，根据招标文件和中标人的投标文件订立书面合同。中标人无正当理由拒签合同的，招标人取消其中标资格；给招标人造成损失的，中标人还应当对予以赔偿。</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9. 需要补充的其他内容</w:t>
      </w:r>
      <w:r/>
    </w:p>
    <w:p>
      <w:pPr>
        <w:ind w:left="0" w:right="0" w:firstLine="42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需要补充的其他内容：见投标人须知前附表。</w:t>
      </w:r>
      <w:r/>
    </w:p>
    <w:p>
      <w:pPr>
        <w:ind w:left="0" w:right="0" w:firstLine="0"/>
        <w:jc w:val="both"/>
        <w:spacing w:before="240" w:after="120" w:line="4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2" w:right="0" w:firstLine="562"/>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第三章 资格审查及评标办法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资格审查和评标办法前附表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392"/>
        <w:gridCol w:w="658"/>
        <w:gridCol w:w="1550"/>
        <w:gridCol w:w="479"/>
        <w:gridCol w:w="5594"/>
      </w:tblGrid>
      <w:tr>
        <w:trPr>
          <w:trHeight w:val="484"/>
        </w:trPr>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条款号</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9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rHeight w:val="63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644"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1.2</w:t>
            </w:r>
            <w:r/>
          </w:p>
        </w:tc>
        <w:tc>
          <w:tcPr>
            <w:gridSpan w:val="2"/>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10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基本资格条件的承诺</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9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根据投标人提供的承诺函，内容完整且具有法人及法定代表人的印章。（内容及格式参照第六章）</w:t>
            </w:r>
            <w:r/>
          </w:p>
        </w:tc>
      </w:tr>
      <w:tr>
        <w:trPr>
          <w:trHeight w:val="587"/>
        </w:trPr>
        <w:tc>
          <w:tcPr>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招标人根据本项目特点，要求投标人具备的条件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94"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详见公告</w:t>
            </w:r>
            <w:r/>
          </w:p>
        </w:tc>
      </w:tr>
      <w:tr>
        <w:trPr>
          <w:trHeight w:val="308"/>
        </w:trPr>
        <w:tc>
          <w:tcPr>
            <w:gridSpan w:val="6"/>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4"/>
                <w:sz w:val="21"/>
              </w:rPr>
              <w:t xml:space="preserve">1.2项评审内容由采购人负责，投标文件不符合1.2项评审标准的，作无效标处理。</w:t>
            </w:r>
            <w:r/>
          </w:p>
        </w:tc>
      </w:tr>
      <w:tr>
        <w:trPr>
          <w:trHeight w:val="4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4"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2.2.2</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3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投标文件的签署</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94"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符合第二章第3.4.4项规定</w:t>
            </w:r>
            <w:r/>
          </w:p>
        </w:tc>
      </w:tr>
      <w:tr>
        <w:trPr>
          <w:trHeight w:val="460"/>
        </w:trPr>
        <w:tc>
          <w:tcPr>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9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有且只有一个有效报价；未超过采购预算或最高限价；</w:t>
            </w:r>
            <w:r/>
          </w:p>
        </w:tc>
      </w:tr>
      <w:tr>
        <w:trPr>
          <w:trHeight w:val="460"/>
        </w:trPr>
        <w:tc>
          <w:tcPr>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合同履行期限（合同工期）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94"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符合第二章第1.3.2项规定</w:t>
            </w:r>
            <w:r/>
          </w:p>
        </w:tc>
      </w:tr>
      <w:tr>
        <w:trPr>
          <w:trHeight w:val="410"/>
        </w:trPr>
        <w:tc>
          <w:tcPr>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94"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符合第二章第3.3.1项规定</w:t>
            </w:r>
            <w:r/>
          </w:p>
        </w:tc>
      </w:tr>
      <w:tr>
        <w:trPr>
          <w:trHeight w:val="346"/>
        </w:trPr>
        <w:tc>
          <w:tcPr>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3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94"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符合第二章“投标人须知”第1.8项规定</w:t>
            </w:r>
            <w:r/>
          </w:p>
        </w:tc>
      </w:tr>
      <w:tr>
        <w:trPr>
          <w:trHeight w:val="378"/>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4"/>
                <w:sz w:val="21"/>
              </w:rPr>
              <w:t xml:space="preserve">2.2.2项评审内容由评标委员会负责，投标文件不符合2.2.2项评审标准的，作无效标处理。</w:t>
            </w:r>
            <w:r/>
          </w:p>
        </w:tc>
      </w:tr>
      <w:tr>
        <w:trPr>
          <w:trHeight w:val="276"/>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2.3详细评审</w:t>
            </w:r>
            <w:r/>
          </w:p>
        </w:tc>
      </w:tr>
      <w:tr>
        <w:trPr>
          <w:trHeight w:val="32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0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0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rHeight w:val="4338"/>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74" w:type="dxa"/>
            <w:vAlign w:val="center"/>
            <w:textDirection w:val="lrTb"/>
            <w:noWrap w:val="false"/>
          </w:tcPr>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价格分统一采用低价优先法计算，即满足招标文件要求且投标价格最低的投标报价为评标基准价，其价格分为满分，其他招标人的价格分统一按照下列公式计算：</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投标报价得分＝（评标基准价/投标报价）×20分。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依据苏财购[2022]45文规定，对小型和微型企业产品价格给予10%的扣除，用扣除后的价格参与评审。投标单位若为小微企业，须在编制投标文件时，须填写《中小企业声明函》，投标单位对《中小企业声明函》内容真实性负责。如未按要求填写和提供有效证明或相关内容表述不清的，不得享受价格扣除。</w:t>
            </w:r>
            <w:r/>
          </w:p>
          <w:p>
            <w:pPr>
              <w:ind w:left="0" w:right="0" w:firstLine="21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trHeight w:val="9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7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投标人自2019年1月1日（以合同签订时间为准）至今，承担过类似项目，每个合同业绩得3分，该项最高得15分。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注：需提供合同扫描件加盖投标人公章，否则不得分。</w:t>
            </w:r>
            <w:r/>
          </w:p>
        </w:tc>
      </w:tr>
      <w:tr>
        <w:trPr>
          <w:trHeight w:val="349"/>
        </w:trPr>
        <w:tc>
          <w:tcPr>
            <w:gridSpan w:val="2"/>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03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8"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（25分）</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74" w:type="dxa"/>
            <w:vAlign w:val="center"/>
            <w:textDirection w:val="lrTb"/>
            <w:noWrap w:val="false"/>
          </w:tcPr>
          <w:p>
            <w:pPr>
              <w:numPr>
                <w:ilvl w:val="0"/>
                <w:numId w:val="1"/>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项目负责人具有有效的注册测绘师证书得4分；项目负责人具有有效的注册土木工程师(岩土）证书得4分。本项最高得8分。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2、项目负责人具有中级职称证书得1分；具有高级职称证书（副高）得3分；具有研究员级或教授级等（正高）职称证书得5分。本项仅以项目负责人取得的最高职称证书进行计分，不充分累计，最高得5分。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3、项目技术负责人具有有效的注册测绘师证书得4分；项目技术负责人具有有效的注册土木工程师(岩土）证书得4分。本项最高得8分。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技术负责人具有中级职称证书得1分；具有高级职称证书（副高）得2分；具有研究员级或教授级等（正高）职称证书得4分。本项仅以项目技术负责人取得的最高职称证书进行计分，不充分累计，最高得4分。</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（注：以上项目负责人和项目技术负责人仅限一人且不得兼任，人员不得重复计分，需提供人员证书及近三个月单位为其缴纳的社保证明扫描件加盖公章，否则不得分。）</w:t>
            </w:r>
            <w:r/>
          </w:p>
        </w:tc>
      </w:tr>
      <w:tr>
        <w:trPr>
          <w:trHeight w:val="2035"/>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08"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进度安排及保障措施</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（11分）</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074" w:type="dxa"/>
            <w:vAlign w:val="center"/>
            <w:textDirection w:val="lrTb"/>
            <w:noWrap w:val="false"/>
          </w:tcPr>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编制进度计划和各阶段进度的保证措施，任务、人员安排落实到位，关键节点安排合理，保障措施完善且可行性强得11分；任务、人员安排基本落实到位，关键节点安排较合理，保障措施基本完善且可行性一般，得7分；任务、人员安排落实不到位，关键节点安排不合理，保障措施不完善且不具备可行性得4分，未提供不得分。</w:t>
            </w:r>
            <w:r/>
          </w:p>
        </w:tc>
      </w:tr>
      <w:tr>
        <w:trPr>
          <w:trHeight w:val="1795"/>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8"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质量控制方案</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（11分）</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74" w:type="dxa"/>
            <w:vAlign w:val="center"/>
            <w:textDirection w:val="lrTb"/>
            <w:noWrap w:val="false"/>
          </w:tcPr>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客土质量评价方面，对客土质量评价方法有全面的阐述，选用评价标准得当（需提出标准选用理由）得11分；阐述比较详细、选用标准一般的得7分；阐述简单、选用标准不得当得4分；未提供不得分。</w:t>
            </w:r>
            <w:r/>
          </w:p>
        </w:tc>
      </w:tr>
      <w:tr>
        <w:trPr>
          <w:trHeight w:val="745"/>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项目整体分析</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投标人对采购需求有充分的认识，工作任务、执行规范标准的阐述内容完整，项目理解透彻，对各检测内容重点的应对措施明确、分析全面得10分；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投标人对采购需求有基本的认识，工作任务、执行规范标准的阐述内容比较详细，项目有一定的理解，对各检测内容重点的应对措施明确、分析比较全面，得6分；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投标人对采购需求认识一般，工作任务、执行规范标准的阐述内容比较浅显，项目的理解一般，对各检测内容重点的应对措施明确、分析不全面，得4分，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投标人对采购需求认识不足，工作任务、执行规范标准的阐述内容缺失，项目的理解差，对各检测内容重点的应对措施不明确、分析缺失，得2分。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rHeight w:val="745"/>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08"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安全生产措施与数据保密措施方案</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74" w:type="dxa"/>
            <w:vAlign w:val="center"/>
            <w:textDirection w:val="lrTb"/>
            <w:noWrap w:val="false"/>
          </w:tcPr>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针对本项目提供安全生产措施与数据保密措施方案完整、详细、准确、科学合理可操作性强的得8分；方案基本完整，准确、比较合理可操作性一般的得5分；方案简单、不合理且不具备可操作性得2分，未提供的不得分。</w:t>
            </w:r>
            <w:r/>
          </w:p>
        </w:tc>
      </w:tr>
    </w:tbl>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评标采用综合评分法，评标委员会对满足招标文件实质要求的投标文件，按照本章规定的评分标准进行打分，并按得分由高到低顺序推荐中标候选人。</w:t>
      </w:r>
      <w:r>
        <w:rPr>
          <w:rFonts w:ascii="SimSun" w:hAnsi="SimSun" w:eastAsia="SimSun" w:cs="SimSun"/>
          <w:b/>
          <w:color w:val="000000"/>
          <w:sz w:val="21"/>
        </w:rPr>
        <w:t xml:space="preserve">采购人将对第一中标候选人提交的所有资料的真实性进行考察、核实，若发现弄虚作假的，取消中标资格，并进行公示等相关处罚。</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1.资格审查</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1.1项目开标结束后，招标人对投标人的资格进行审查。</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1.2资格审查的内容和标准：见资格审查和评标办法前附表。</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2.评标</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2.1评标方法</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评标采用综合评分法，评标委员会对满足招标文件实质要求的投标文件，按照本章规定的程序和方法进行评审，并按总得分由高到低顺序推荐中标候选人。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2.2初步评审</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2.2.1评标委员会对通过资格审查的投标人进行初步评审。</w:t>
      </w:r>
      <w:r/>
    </w:p>
    <w:p>
      <w:pPr>
        <w:ind w:left="0" w:right="0" w:firstLine="42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2.2.2初步评审的内容为投标文件的符合性评审。符合性评审的内容及标准：见资格审查和评标办法前附表。</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2.3详细评审</w:t>
      </w:r>
      <w:r/>
    </w:p>
    <w:p>
      <w:pPr>
        <w:ind w:left="0" w:right="0" w:firstLine="42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2.3.1评标委员会对通过初步评审的投标人进行详细评审。</w:t>
      </w:r>
      <w:r/>
    </w:p>
    <w:p>
      <w:pPr>
        <w:ind w:left="0" w:right="0" w:firstLine="42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2.3.2详细评审的内容及标准：见资格审查和评标办法前附表。</w:t>
      </w:r>
      <w:r/>
    </w:p>
    <w:p>
      <w:pPr>
        <w:ind w:left="0" w:right="0" w:firstLine="42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2.3.3因落实政府采购政策进行价格调整的，以调整后的价格计算评标基准价和投标报价。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2.4评标报告</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2.4.1详细评审结束后，评标委员会负责编写评标报告。</w:t>
      </w:r>
      <w:r/>
    </w:p>
    <w:p>
      <w:pPr>
        <w:ind w:left="0" w:right="0" w:firstLine="42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2.4.2采购代理机构自评审结束之日起2个工作日内将评标报告送交招标人。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2.5澄清、说明或补正</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2.5.1评标委员会在评审过程中，可以要求投标人对投标文件中含义不明确、同类问题表述不一致或者有明显文字和计算错误的内容等作出必要的澄清、说明或者更正。</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2.5.2评标委员会要求投标人澄清、说明或者更正投标文件应当以书面形式作出。</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2.5.3投标人的澄清、说明或者更正应当由法定代表人或其授权代表签字或者加盖公章。由授权代表签字的，应当附法定代表人授权书。投标人的书面澄清材料作为投标文件的补充。</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2.5.4投标人的澄清、说明或者更正不得超出投标文件的范围或者改变投标文件的实质性内容。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2.5.5评标委员会不得接受投标人主动提出的澄清、说明或补正。</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3.评标过程中特殊情况的处理规定</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3.1投标报价的修正</w:t>
      </w:r>
      <w:r/>
    </w:p>
    <w:p>
      <w:pPr>
        <w:ind w:left="0" w:right="0" w:firstLine="42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投标文件报价出现前后不一致的，按照下列规定修正： </w:t>
      </w:r>
      <w:r/>
    </w:p>
    <w:p>
      <w:pPr>
        <w:ind w:left="0" w:right="0" w:firstLine="21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 </w:t>
      </w:r>
      <w:r/>
    </w:p>
    <w:p>
      <w:pPr>
        <w:ind w:left="0" w:right="0" w:firstLine="21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 </w:t>
      </w:r>
      <w:r/>
    </w:p>
    <w:p>
      <w:pPr>
        <w:ind w:left="0" w:right="0" w:firstLine="21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 </w:t>
      </w:r>
      <w:r/>
    </w:p>
    <w:p>
      <w:pPr>
        <w:ind w:left="0" w:right="0" w:firstLine="21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 </w:t>
      </w:r>
      <w:r/>
    </w:p>
    <w:p>
      <w:pPr>
        <w:ind w:left="0" w:right="0" w:firstLine="420"/>
        <w:jc w:val="both"/>
        <w:spacing w:before="24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同时出现两种以上不一致的，按照前款规定的顺序修正。修正后的报价按照本章第2.5条的规定经投标人确认后产生约束力，投标人不确认的，其投标无效。</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3.2评标委员会成员的更换</w:t>
      </w:r>
      <w:r/>
    </w:p>
    <w:p>
      <w:pPr>
        <w:ind w:left="0" w:right="0" w:firstLine="42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3.2.1评标过程中，因评标委员会成员缺席、回避或者健康等特殊原因导致评标委员会组成不符合规定的，招标人将依法补足后继续评标。被更换的评标委员会成员所作出的评标意见无效。 </w:t>
      </w:r>
      <w:r/>
    </w:p>
    <w:p>
      <w:pPr>
        <w:ind w:left="0" w:right="0" w:firstLine="42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3.2.2无法及时补足评标委员会成员的，招标人将停止评标活动，封存所有投标文件和开标、评标资料，依法重新组建评标委员会进行评标。原评标委员会所作出的评标意见无效。</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3.3异常低价的处理</w:t>
      </w:r>
      <w:r/>
    </w:p>
    <w:p>
      <w:pPr>
        <w:ind w:left="0" w:right="0" w:firstLine="42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3.4争议解决</w:t>
      </w:r>
      <w:r/>
    </w:p>
    <w:p>
      <w:pPr>
        <w:ind w:left="0" w:right="0" w:firstLine="42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评标委员会成员对需要共同认定的事项存在争议的，按照少数服从多数的原则作出结论。持不同意见的评标委员会成员须在评标报告上签署不同意见及理由。</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3.5评标终止</w:t>
      </w:r>
      <w:r/>
    </w:p>
    <w:p>
      <w:pPr>
        <w:ind w:left="0" w:right="0" w:firstLine="42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3.6修改评标结果</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评审组长负责汇总和核对各评标委员会成员的评审结果。在评标报告签署前，出现下列情形之一的，可以要求其当场修改评审结果：</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（1）分值汇总计算错误；</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（2）分项评分超出评分标准范围；</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（3）评标委员会成员对客观评审因素评分不一致；</w:t>
      </w:r>
      <w:r/>
    </w:p>
    <w:p>
      <w:pPr>
        <w:ind w:left="0" w:right="0" w:firstLine="42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（4）经评标委员会认定评分畸高或畸低。</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3.7 投标人总分相同</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投标人总分相同时，投标报价低的排名优先；如投标报价也相同，由招标人抽签确定排序。</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3.8评标报告签署</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4.判定无效投标的规定</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4.1开标过程中，有下列情形之一的，作无效投标处理。</w:t>
      </w:r>
      <w:r/>
    </w:p>
    <w:p>
      <w:pPr>
        <w:ind w:left="0" w:right="0" w:firstLine="420"/>
        <w:jc w:val="both"/>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（1）投标文件无法解密；</w:t>
      </w:r>
      <w:r/>
    </w:p>
    <w:p>
      <w:pPr>
        <w:ind w:left="0" w:right="0" w:firstLine="420"/>
        <w:jc w:val="both"/>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（2）投标文件未在规定的时间内解密成功。</w:t>
      </w:r>
      <w:r/>
    </w:p>
    <w:p>
      <w:pPr>
        <w:ind w:left="0" w:right="0" w:firstLine="0"/>
        <w:jc w:val="both"/>
        <w:spacing w:before="24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4.2资格审查过程中，</w:t>
      </w:r>
      <w:r>
        <w:rPr>
          <w:rFonts w:ascii="KaiTi" w:hAnsi="KaiTi" w:eastAsia="KaiTi" w:cs="KaiTi"/>
          <w:b/>
          <w:color w:val="000000"/>
          <w:spacing w:val="-14"/>
          <w:sz w:val="21"/>
        </w:rPr>
        <w:t xml:space="preserve">投标文件出现不符合1.2项评审标准之一的，作无效标处理。</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14"/>
          <w:sz w:val="21"/>
        </w:rPr>
        <w:t xml:space="preserve">4.3</w:t>
      </w:r>
      <w:r>
        <w:rPr>
          <w:rFonts w:ascii="KaiTi" w:hAnsi="KaiTi" w:eastAsia="KaiTi" w:cs="KaiTi"/>
          <w:b/>
          <w:color w:val="000000"/>
          <w:sz w:val="21"/>
        </w:rPr>
        <w:t xml:space="preserve">评标过程中，有下列情形之一的，作无效投标处理。</w:t>
      </w:r>
      <w:r/>
    </w:p>
    <w:p>
      <w:pPr>
        <w:ind w:left="0" w:right="0" w:firstLine="42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（1）符合性评审时，投标文件出现不符合2.2.2项评审标准之一的；</w:t>
      </w:r>
      <w:r/>
    </w:p>
    <w:p>
      <w:pPr>
        <w:ind w:left="0" w:right="0" w:firstLine="42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（2）投标人不确认评标委员会提出的投标报价修正意见的；</w:t>
      </w:r>
      <w:r/>
    </w:p>
    <w:p>
      <w:pPr>
        <w:ind w:left="0" w:right="0" w:firstLine="42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（3）未按照评标委员会要求提供书面说明及相关证明材料证明其报价合理性的；</w:t>
      </w:r>
      <w:r/>
    </w:p>
    <w:p>
      <w:pPr>
        <w:ind w:left="0" w:right="0" w:firstLine="42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（4）投标文件含有采购人不能接受的附加条件的。</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4.4法律、法规规定的其他投标无效情形。</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第四章 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本合同履行标的为：</w:t>
      </w:r>
      <w:r>
        <w:rPr>
          <w:rFonts w:ascii="SimSun" w:hAnsi="SimSun" w:eastAsia="SimSun" w:cs="SimSun"/>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经甲乙双方友好协商，现签订服务合同如下：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一、服务宗旨</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甲方利用乙方技术支撑条件，特委托乙方承担甲方的2024年补充耕地项目客土检测工作。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二、服务内容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乙方根据甲方的委托，承担甲方辖区内的</w:t>
      </w:r>
      <w:r>
        <w:rPr>
          <w:rFonts w:ascii="SimSun" w:hAnsi="SimSun" w:eastAsia="SimSun" w:cs="SimSun"/>
          <w:color w:val="000000"/>
          <w:sz w:val="21"/>
          <w:u w:val="single"/>
        </w:rPr>
        <w:t xml:space="preserve">         </w:t>
      </w:r>
      <w:r>
        <w:rPr>
          <w:rFonts w:ascii="SimSun" w:hAnsi="SimSun" w:eastAsia="SimSun" w:cs="SimSun"/>
          <w:color w:val="000000"/>
          <w:sz w:val="21"/>
        </w:rPr>
        <w:t xml:space="preserve">的拟用于复垦地块的客土质量进行检测工作，严格按照甲方要求开展检查，具体工作根据甲方的安排进行。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三、服务方式与要求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乙方需对2024年补充耕地项目内所涉及的客土进行调查、取样、检测，并出具《客土调查与检测报告》；</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证本次检测工作质量，实际参与此次服务人员必须与采购文件中的人员一致，中途不得调整，如有违反，视为违反合同。实际工作过程中若违反上述人员要求、相关报告要求条款的，视为违反合同并支付给甲方20万元违约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注：1.上述服务内容和人员要求乙方必须履行，如不履行则视为违约。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2.乙方须对所提供的资料以及调查的真实性负法律责任。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四、执行标准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本项目所有的技术指标，除非在技术规格中另作规定外，均应使用相应的中华人民共和国国家标准和相关行业标准。如所执行的标准有矛盾时，按较高标准执行。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五、提交成果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1、提交的成果必须满足国家的相关标准和技术要求，同时满足采购人的要求。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2、必须按照规定要求，向采购人提交项目所有成果资料（含电子文档）。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提交的成果需达到上级审批验收标准(土地综合整治项目客土调查和检测工作指南（试行）、市政府办公室关于进一步规范土地整治项目管理的通知、泰兴市自然资源和规划局关于进一步强化土地整治项目管理的通知等文件)直至验收合格，因验收不合格造成的所有返工费用由成交单位自行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六、服务收费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乙方根据甲方委托</w:t>
      </w:r>
      <w:r>
        <w:rPr>
          <w:rFonts w:ascii="SimSun" w:hAnsi="SimSun" w:eastAsia="SimSun" w:cs="SimSun"/>
          <w:color w:val="000000"/>
          <w:sz w:val="21"/>
          <w:u w:val="single"/>
        </w:rPr>
        <w:t xml:space="preserve">2024年补充耕地项目客土检测</w:t>
      </w:r>
      <w:r>
        <w:rPr>
          <w:rFonts w:ascii="SimSun" w:hAnsi="SimSun" w:eastAsia="SimSun" w:cs="SimSun"/>
          <w:color w:val="000000"/>
          <w:sz w:val="21"/>
        </w:rPr>
        <w:t xml:space="preserve">。成</w:t>
      </w:r>
      <w:r>
        <w:rPr>
          <w:rFonts w:ascii="SimSun" w:hAnsi="SimSun" w:eastAsia="SimSun" w:cs="SimSun"/>
          <w:color w:val="000000"/>
          <w:sz w:val="21"/>
          <w:u w:val="single"/>
        </w:rPr>
        <w:t xml:space="preserve">交单价为：元/个点位。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七、支付方式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工作量经招标人审核确认后按时汇总，服务期结束提供正式成果并经主管部门验收、批准同意后，根据实际工作量乘以中标单价一次性付清费用。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八、服务期限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本合同书的服务期限：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八、保密条款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乙方对甲方提供的资料及所检查的企业负有保密责任，不得泄漏所检查企业的商业秘密，如有违背，承担一切法律责任。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本合同一式两份，甲乙双方各执一份。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甲方代表（签字）乙方代表（签字）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（单位盖章）（单位盖章）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第五章 采购需求</w:t>
      </w:r>
      <w:r/>
    </w:p>
    <w:p>
      <w:pPr>
        <w:ind w:left="0" w:right="0" w:firstLine="64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一、工作内容</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2024年补充耕地项目客土检测任务涉及14个村约540亩（约1200个点位，具体点位以国土局入库面积为准），供应商须根据实际情况，对客土质量进行检测；</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供应商需对2024年补充耕地项目客土检测范围内所涉及的客土进行调查、取样、检测，并出具《客土调查与检测报告》；</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供应商须根据实际情况，对复垦地块的客土质量进行检测，编制合理可行的客土调查实施方案、对客土质量进行全面调查与评价，出具客土质量检测与评价报告；</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二、经费支付</w:t>
      </w:r>
      <w:r/>
    </w:p>
    <w:p>
      <w:pPr>
        <w:ind w:left="0" w:right="0" w:firstLine="505"/>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付款方式：工作量经招标人审核确认后按时汇总，服务期结束提供正式成果并经主管部门验收、批准同意后，根据实际工作量乘以中标单价一次性付清费用。</w:t>
      </w:r>
      <w:r/>
    </w:p>
    <w:p>
      <w:pPr>
        <w:ind w:left="0" w:right="0" w:firstLine="505"/>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服务期限：一年。</w:t>
      </w:r>
      <w:r/>
    </w:p>
    <w:p>
      <w:pPr>
        <w:ind w:left="0" w:right="0" w:firstLine="505"/>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三、服务承诺</w:t>
      </w:r>
      <w:r/>
    </w:p>
    <w:p>
      <w:pPr>
        <w:ind w:left="0" w:right="0" w:firstLine="505"/>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为保证本次检测工作质量，实际参与此次服务人员必须与采购文件中的人员一致，中途不得调整，如有违反，视为违反合同。实际工作过程中若违反上述人员要求、相关报告要求条款的，视为违反合同。</w:t>
      </w:r>
      <w:r/>
    </w:p>
    <w:p>
      <w:pPr>
        <w:ind w:left="0" w:right="0" w:firstLine="505"/>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注：1.凡上述要求必须提供相应佐证资料。</w:t>
      </w:r>
      <w:r/>
    </w:p>
    <w:p>
      <w:pPr>
        <w:ind w:left="0" w:right="0" w:firstLine="505"/>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2.上述服务内容和人员要求供应商必须完全响应，如不响应则视为无效投标。</w:t>
      </w:r>
      <w:r/>
    </w:p>
    <w:p>
      <w:pPr>
        <w:ind w:left="0" w:right="0" w:firstLine="505"/>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3.投标方对所提供的资料真实性负法律责任。</w:t>
      </w:r>
      <w:r/>
    </w:p>
    <w:p>
      <w:pPr>
        <w:ind w:left="0" w:right="0" w:firstLine="505"/>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四、执行标准</w:t>
      </w:r>
      <w:r/>
    </w:p>
    <w:p>
      <w:pPr>
        <w:ind w:left="0" w:right="0" w:firstLine="505"/>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本项目所有的技术指标，除非在技术规格中另作规定外，均应使用相应的中华人民共和国国家标准和相关行业标准。如所执行的标准有矛盾时，按较高标准执行。</w:t>
      </w:r>
      <w:r/>
    </w:p>
    <w:p>
      <w:pPr>
        <w:ind w:left="0" w:right="0" w:firstLine="505"/>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五、提交成果</w:t>
      </w:r>
      <w:r/>
    </w:p>
    <w:p>
      <w:pPr>
        <w:ind w:left="0" w:right="0" w:firstLine="505"/>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1、提交的成果必须满足国家的相关标准和技术要求，同时满足采购人的要求。</w:t>
      </w:r>
      <w:r/>
    </w:p>
    <w:p>
      <w:pPr>
        <w:ind w:left="0" w:right="0" w:firstLine="505"/>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2、必须按照规定要求，向采购人提交项目所有成果资料（含电子文档）。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提交的成果需达到上级审批验收标准(土地综合整治项目客土调查和检测工作指南（试行）、市政府办公室关于进一步规范土地整治项目管理的通知、泰兴市自然资源和规划局关于进一步强化土地整治项目管理的通知等文件)直至验收合格，因验收不合格造成的所有返工费用由成交单位自行承担。</w:t>
      </w:r>
      <w:r/>
    </w:p>
    <w:p>
      <w:pPr>
        <w:ind w:left="0" w:right="0" w:firstLine="42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六、地块明细表（本表仅为参考，具体点位以国土局入库面积为准）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34"/>
        <w:gridCol w:w="2867"/>
        <w:gridCol w:w="1466"/>
        <w:gridCol w:w="3167"/>
      </w:tblGrid>
      <w:tr>
        <w:trPr>
          <w:trHeight w:val="2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村组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面积（亩）</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蔡桥村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12.25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大何庄村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33.94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大何庄村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24.99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红旗村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12.09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红旗村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7.39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蒋港村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16.23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蒋港村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蒋港村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联杨村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22.14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联杨村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9.56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联杨村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20.47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联杨村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57.40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龙港村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0.69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龙港村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2.08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龙港村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1.95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龙港村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16.23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龙港村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龙港村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6.19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龙港村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龙港村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10.25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龙港村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14.45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龙港村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10.39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龙港村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16.36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龙港村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2.94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龙港村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4.28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卢碾村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卢碾村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4.16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卢碾村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4.61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仁寿村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2.47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仁寿村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10.79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仁寿村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24.06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仁寿村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4.33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仁寿村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18.96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仁寿村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15.80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仁寿村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仁寿村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三联村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0.75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三联村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三联村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0.75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泰兴市水产良种场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22.96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西江村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小马庄村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73.00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新星村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1.37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新星村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7.16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永新村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永新村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1.88 </w:t>
            </w:r>
            <w:r/>
          </w:p>
        </w:tc>
      </w:tr>
    </w:tbl>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18"/>
        <w:ind w:left="0" w:right="0" w:firstLine="0"/>
        <w:jc w:val="both"/>
        <w:spacing w:before="280" w:after="290" w:line="43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18"/>
        <w:ind w:left="0" w:right="0" w:firstLine="0"/>
        <w:jc w:val="both"/>
        <w:spacing w:before="280" w:after="290" w:line="43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第六章</w:t>
      </w:r>
      <w:r>
        <w:rPr>
          <w:rFonts w:ascii="SimHei" w:hAnsi="SimHei" w:eastAsia="SimHei" w:cs="SimHei"/>
          <w:b/>
          <w:color w:val="000000"/>
          <w:sz w:val="28"/>
        </w:rPr>
        <w:t xml:space="preserve">投标文件的编制要求及参考格式</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ffff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1.投标文件的组成</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见本招标文件第二章3.1条。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2.投标文件的编制内容及编制要求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2.1开标一览表</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投标人应按表中格式完整、清晰、正确填写；</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2.1.2开标一览表中的价格应与投标文件中投标报价明细表中的价格一致。</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2.1.3开标一览表格式见附件。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2.2 投标函</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2.2.1投标人应按表中规定格式完整、清晰、正确填写；</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2.2.2投标函必须加盖投标人法人公章并经法定代表人签字或签章。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2.3投标报价明细表及分析说明</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2.3.1投标报价构成表及分析说明见附件。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2.4资格条件证明文件</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（1）投标人基本资格条件承诺函；</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（2）招标文件要求的其他资格条件证明材料。</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2.5采购需求响应表</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投标人应仔细阅读招标文件第五章采购需求，结合自身的实际情况，如实编制，格式自拟。</w:t>
      </w:r>
      <w:r>
        <w:rPr>
          <w:rFonts w:ascii="SimSun" w:hAnsi="SimSun" w:eastAsia="SimSun" w:cs="SimSun"/>
          <w:b/>
          <w:color w:val="000000"/>
          <w:sz w:val="21"/>
        </w:rPr>
        <w:t xml:space="preserve">采购需求响应表须详细说明实际提供的货物、服务及其他采购需求中相关要求的响应情况。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2.6投标人认为应列入投标文件的其他材料</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投标人应对照第三章评标办法中的评审因素，结合自身的实际情况，如实编制，格式自拟。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3. 投标文件参考格式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3.1投标文件封面格式</w:t>
      </w:r>
      <w:r/>
    </w:p>
    <w:p>
      <w:pPr>
        <w:ind w:left="0" w:right="0" w:firstLine="42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8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p>
    <w:p>
      <w:pPr>
        <w:ind w:left="0" w:right="0" w:firstLine="18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采购项目编号：</w:t>
      </w:r>
      <w:r/>
    </w:p>
    <w:p>
      <w:pPr>
        <w:ind w:left="0" w:right="0" w:firstLine="945"/>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89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（盖法人章）</w:t>
      </w:r>
      <w:r/>
    </w:p>
    <w:p>
      <w:pPr>
        <w:ind w:left="0" w:right="0" w:firstLine="189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p>
      <w:pPr>
        <w:ind w:left="0" w:right="0" w:firstLine="189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189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日期：______年____月____日</w:t>
      </w:r>
      <w:r/>
    </w:p>
    <w:p>
      <w:pPr>
        <w:ind w:left="0" w:right="0" w:firstLine="189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3.2开标一览表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货币单位： 人民币元</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52"/>
        <w:gridCol w:w="2410"/>
        <w:gridCol w:w="354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单价（小写）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单价（大写）：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金额大写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3.3投标函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(采购人名称)</w:t>
      </w:r>
      <w:r>
        <w:rPr>
          <w:rFonts w:ascii="SimSun" w:hAnsi="SimSun" w:eastAsia="SimSun" w:cs="SimSun"/>
          <w:color w:val="000000"/>
          <w:sz w:val="21"/>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招标文件的所有条款要求，遵照《中华人民共和国政府采购法》、《中华人民共和国政府采购法实施条例》等有关规定，我方承诺如下：</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1、应提交和交付的货物和服务投标单价为：</w:t>
      </w:r>
      <w:r>
        <w:rPr>
          <w:rFonts w:ascii="SimSun" w:hAnsi="SimSun" w:eastAsia="SimSun" w:cs="SimSun"/>
          <w:color w:val="000000"/>
          <w:sz w:val="21"/>
          <w:u w:val="single"/>
        </w:rPr>
        <w:t xml:space="preserve">        </w:t>
      </w:r>
      <w:r>
        <w:rPr>
          <w:rFonts w:ascii="SimSun" w:hAnsi="SimSun" w:eastAsia="SimSun" w:cs="SimSun"/>
          <w:color w:val="000000"/>
          <w:sz w:val="21"/>
        </w:rPr>
        <w:t xml:space="preserve">元/个点位（小写）</w:t>
      </w:r>
      <w:r>
        <w:rPr>
          <w:rFonts w:ascii="SimSun" w:hAnsi="SimSun" w:eastAsia="SimSun" w:cs="SimSun"/>
          <w:color w:val="000000"/>
          <w:sz w:val="21"/>
          <w:u w:val="single"/>
        </w:rPr>
        <w:t xml:space="preserve">           </w:t>
      </w:r>
      <w:r>
        <w:rPr>
          <w:rFonts w:ascii="SimSun" w:hAnsi="SimSun" w:eastAsia="SimSun" w:cs="SimSun"/>
          <w:color w:val="000000"/>
          <w:sz w:val="21"/>
        </w:rPr>
        <w:t xml:space="preserve">元/个点位(人民币大写)。</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3、投标有效期：</w:t>
      </w:r>
      <w:r>
        <w:rPr>
          <w:rFonts w:ascii="SimSun" w:hAnsi="SimSun" w:eastAsia="SimSun" w:cs="SimSun"/>
          <w:color w:val="000000"/>
          <w:sz w:val="21"/>
          <w:u w:val="single"/>
        </w:rPr>
        <w:t xml:space="preserve"> 60天 </w:t>
      </w:r>
      <w:r>
        <w:rPr>
          <w:rFonts w:ascii="SimSun" w:hAnsi="SimSun" w:eastAsia="SimSun" w:cs="SimSun"/>
          <w:color w:val="000000"/>
          <w:sz w:val="21"/>
        </w:rPr>
        <w:t xml:space="preserve">。在投标有效期内我方同意遵守本投标文件中的承诺且在此期限期满之前投标文件对我方具有法律约束力。</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4、我方已详细审查全部招标文件。我们完全理解并同意放弃对这方面有不明及误解的权力。</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560" w:firstLine="231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投标人名称(盖法人章)：</w:t>
      </w:r>
      <w:r/>
    </w:p>
    <w:p>
      <w:pPr>
        <w:ind w:left="0" w:right="0" w:firstLine="231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 (签字或签章)：</w:t>
      </w:r>
      <w:r/>
    </w:p>
    <w:p>
      <w:pPr>
        <w:ind w:left="0" w:right="0" w:firstLine="231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3.4投标报价明细表及分析说明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投标报价明细表及分析说明（含税）格式自拟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投标报价单价为全费用综合单价，包含但不限于材料费，设备费、机械费、制作、采购、包装、保管、运杂费、安装、调试、清理保洁、使用培训、管理费、配合费、安全文明施工费、临时设施费、合理利润、规费、税金等交付使用方前及合同期保修发生的所有费用。</w:t>
      </w:r>
      <w:r/>
    </w:p>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94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投标人名称(盖法人章)：</w:t>
      </w:r>
      <w:r/>
    </w:p>
    <w:p>
      <w:pPr>
        <w:ind w:left="0" w:right="0" w:firstLine="294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 (签字或签章)：</w:t>
      </w:r>
      <w:r/>
    </w:p>
    <w:p>
      <w:pPr>
        <w:ind w:left="0" w:right="0" w:firstLine="294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3.5投标人资格条件证明文件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（1）投标人基本资格条件承诺函</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投标人基本资格条件承诺函</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一、按照《政府采购法》第二十二条规定的投标人基本资格条件，我公司郑重承诺如下：</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1.我公司具有</w:t>
      </w:r>
      <w:r>
        <w:rPr>
          <w:rFonts w:ascii="SimSun" w:hAnsi="SimSun" w:eastAsia="SimSun" w:cs="SimSun"/>
          <w:color w:val="000000"/>
          <w:sz w:val="21"/>
          <w:highlight w:val="white"/>
        </w:rPr>
        <w:t xml:space="preserve">良好的商业信誉和健全的财务制度；</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2.我公司具有履行合同所必须的设备和专业技术能力；</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3.我公司具有依法缴纳税收和社会保障资金的良好记录；</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4.我公司参加政府采购活动前三年内，在经营活动中没有重大违法记录；</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5.我公司未列入在信用中国网站（www.creditchina.gov.cn）“失信被执行人”、“重大税收违法案件当事人名单”中，也未列入中国政府采购网（www.ccgp.gov.cn）“政府采购严重违法失信行为记录名单”中</w:t>
      </w:r>
      <w:r>
        <w:rPr>
          <w:rFonts w:ascii="SimSun" w:hAnsi="SimSun" w:eastAsia="SimSun" w:cs="SimSun"/>
          <w:color w:val="000000"/>
          <w:sz w:val="21"/>
        </w:rPr>
        <w:t xml:space="preserve">。</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二、</w:t>
      </w:r>
      <w:r>
        <w:rPr>
          <w:rFonts w:ascii="SimSun" w:hAnsi="SimSun" w:eastAsia="SimSun" w:cs="SimSun"/>
          <w:color w:val="000000"/>
          <w:sz w:val="21"/>
        </w:rPr>
        <w:t xml:space="preserve">我公司承诺：在本次投标过程中，我公司不存在本项目招标文件第二章第1.4.3条所列情形之一。</w:t>
      </w:r>
      <w:r/>
    </w:p>
    <w:p>
      <w:pPr>
        <w:ind w:left="0" w:right="0" w:firstLine="294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94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投标人名称(盖法人章)：</w:t>
      </w:r>
      <w:r/>
    </w:p>
    <w:p>
      <w:pPr>
        <w:ind w:left="0" w:right="0" w:firstLine="294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 (签字或签章)：</w:t>
      </w:r>
      <w:r/>
    </w:p>
    <w:p>
      <w:pPr>
        <w:ind w:left="0" w:right="0" w:firstLine="294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（2）招标文件要求的其他资格条件及证明材料</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1.具有有效的营业执照等（附证书的扫描件）；</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2.中小企业声明函（参考格式附后）。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附件：中小企业声明函</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中小企业声明函</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 （单位名称）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 （标的名称）</w:t>
      </w:r>
      <w:r>
        <w:rPr>
          <w:rFonts w:ascii="SimSun" w:hAnsi="SimSun" w:eastAsia="SimSun" w:cs="SimSun"/>
          <w:color w:val="000000"/>
          <w:sz w:val="21"/>
        </w:rPr>
        <w:t xml:space="preserve">采购活动，提供的货物或服务全部由符合政策要求的小微企业提供。相关企业（含联合体中的中小企业、签订分包意向协议的中小企业）的具体情况如下：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  （采购文件中明确的所属行业） </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 （企业名称）</w:t>
      </w:r>
      <w:r>
        <w:rPr>
          <w:rFonts w:ascii="SimSun" w:hAnsi="SimSun" w:eastAsia="SimSun" w:cs="SimSun"/>
          <w:color w:val="000000"/>
          <w:sz w:val="21"/>
        </w:rPr>
        <w:t xml:space="preserve">，从业人员人，营业收入万元，资产总额万元，属于</w:t>
      </w:r>
      <w:r>
        <w:rPr>
          <w:rFonts w:ascii="SimSun" w:hAnsi="SimSun" w:eastAsia="SimSun" w:cs="SimSun"/>
          <w:color w:val="000000"/>
          <w:sz w:val="21"/>
          <w:u w:val="single"/>
        </w:rPr>
        <w:t xml:space="preserve"> （中型企业、小型企业、微型企业）</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  （采购文件中明确的所属行业） </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 （企业名称）</w:t>
      </w:r>
      <w:r>
        <w:rPr>
          <w:rFonts w:ascii="SimSun" w:hAnsi="SimSun" w:eastAsia="SimSun" w:cs="SimSun"/>
          <w:color w:val="000000"/>
          <w:sz w:val="21"/>
        </w:rPr>
        <w:t xml:space="preserve">，从业人员人，营业收入万元，资产总额万元，属于</w:t>
      </w:r>
      <w:r>
        <w:rPr>
          <w:rFonts w:ascii="SimSun" w:hAnsi="SimSun" w:eastAsia="SimSun" w:cs="SimSun"/>
          <w:color w:val="000000"/>
          <w:sz w:val="21"/>
          <w:u w:val="single"/>
        </w:rPr>
        <w:t xml:space="preserve"> （中型企业、小型企业、微型企业）</w:t>
      </w:r>
      <w:r>
        <w:rPr>
          <w:rFonts w:ascii="SimSun" w:hAnsi="SimSun" w:eastAsia="SimSun" w:cs="SimSun"/>
          <w:color w:val="000000"/>
          <w:sz w:val="21"/>
        </w:rPr>
        <w:t xml:space="preserve">；</w:t>
      </w:r>
      <w:r/>
    </w:p>
    <w:p>
      <w:pPr>
        <w:ind w:left="93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以上企业，不属于大企业的分支机构，不存在控股股东为大企业的情形，也不存在与大企业的负责人为同一人的情形。</w:t>
      </w:r>
      <w:r/>
    </w:p>
    <w:p>
      <w:pPr>
        <w:ind w:left="0" w:right="0" w:firstLine="57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本企业对上述声明内容的真实性负责。如有虚假，将依法承担相应责任。</w:t>
      </w:r>
      <w:r/>
    </w:p>
    <w:p>
      <w:pPr>
        <w:ind w:left="0" w:right="0" w:firstLine="357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企业名称（盖章）：</w:t>
      </w:r>
      <w:r/>
    </w:p>
    <w:p>
      <w:pPr>
        <w:ind w:left="0" w:right="0" w:firstLine="357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日期：</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注：1、从业人员、营业收入填报上一年度数据，无上一年度数据的新成立企业可不填报。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2、投标人如不提供此声明函，价格将不做相应扣除。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3、投标人提供的声明函内容不实的，属于提供虚假材料谋取中标，依照《中华人民共和国政府采购法》等国家有关规定追究相应责任。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本项目为其他未列明行业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3.6采购需求响应表（格式自拟）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imSun">
    <w:panose1 w:val="02010600030101010101"/>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蒋鹏</cp:lastModifiedBy>
  <cp:revision>1</cp:revision>
  <dcterms:created xsi:type="dcterms:W3CDTF">2024-10-11T06:11:56Z</dcterms:created>
  <dcterms:modified xsi:type="dcterms:W3CDTF">2024-10-11T06:53:08Z</dcterms:modified>
</cp:coreProperties>
</file>