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ind w:firstLine="0"/>
        <w:rPr>
          <w:rFonts w:eastAsia="黑体"/>
          <w:b/>
          <w:bCs/>
          <w:color w:val="000000"/>
          <w:sz w:val="84"/>
          <w:shd w:val="clear" w:color="ffffff" w:fill="d9d9d9"/>
        </w:rPr>
      </w:pPr>
      <w:r>
        <w:rPr>
          <w:rFonts w:eastAsia="黑体"/>
          <w:b/>
          <w:bCs/>
          <w:color w:val="000000"/>
          <w:sz w:val="84"/>
          <w:shd w:val="clear" w:color="ffffff" w:fill="d9d9d9"/>
        </w:rPr>
      </w:r>
      <w:r/>
    </w:p>
    <w:p>
      <w:pPr>
        <w:pStyle w:val="894"/>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894"/>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894"/>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894"/>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894"/>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JSZC-320200-WXJY-G2025-0015</w:t>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梅村高中化学实验室设备更新项目</w:t>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江苏省梅村高级中学</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894"/>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894"/>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894"/>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894"/>
        <w:ind w:firstLine="0"/>
        <w:jc w:val="center"/>
        <w:spacing w:before="0" w:after="0"/>
        <w:rPr>
          <w:rFonts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采购代理机构：无锡市教育信息化和装备管理服务中心</w:t>
      </w:r>
      <w:r/>
    </w:p>
    <w:p>
      <w:pPr>
        <w:pStyle w:val="894"/>
        <w:ind w:firstLine="0"/>
        <w:jc w:val="center"/>
        <w:rPr>
          <w:rFonts w:ascii="黑体" w:hAnsi="华文中宋" w:eastAsia="黑体"/>
          <w:bCs/>
          <w:color w:val="000000"/>
          <w:sz w:val="32"/>
          <w:szCs w:val="32"/>
        </w:rPr>
      </w:pPr>
      <w:r>
        <w:rPr>
          <w:rFonts w:hint="eastAsia" w:ascii="黑体" w:hAnsi="华文中宋" w:eastAsia="黑体"/>
          <w:bCs/>
          <w:color w:val="000000"/>
          <w:sz w:val="32"/>
          <w:szCs w:val="32"/>
          <w:lang w:eastAsia="zh-CN"/>
        </w:rPr>
        <w:t xml:space="preserve">二〇二五</w:t>
      </w:r>
      <w:r>
        <w:rPr>
          <w:rFonts w:hint="eastAsia" w:ascii="黑体" w:hAnsi="华文中宋" w:eastAsia="黑体"/>
          <w:bCs/>
          <w:color w:val="000000"/>
          <w:sz w:val="32"/>
          <w:szCs w:val="32"/>
        </w:rPr>
        <w:t xml:space="preserve">年</w:t>
      </w:r>
      <w:r>
        <w:rPr>
          <w:rFonts w:hint="eastAsia" w:ascii="黑体" w:hAnsi="华文中宋" w:eastAsia="黑体"/>
          <w:bCs/>
          <w:color w:val="000000"/>
          <w:sz w:val="32"/>
          <w:szCs w:val="32"/>
          <w:lang w:val="en-US" w:eastAsia="zh-CN"/>
        </w:rPr>
        <w:t xml:space="preserve">八</w:t>
      </w:r>
      <w:r>
        <w:rPr>
          <w:rFonts w:hint="eastAsia" w:ascii="黑体" w:hAnsi="华文中宋" w:eastAsia="黑体"/>
          <w:bCs/>
          <w:color w:val="000000"/>
          <w:sz w:val="32"/>
          <w:szCs w:val="32"/>
        </w:rPr>
        <w:t xml:space="preserve">月</w:t>
      </w:r>
      <w:r/>
    </w:p>
    <w:p>
      <w:pPr>
        <w:pStyle w:val="894"/>
        <w:ind w:firstLine="0"/>
        <w:jc w:val="center"/>
        <w:rPr>
          <w:rFonts w:hint="eastAsia" w:ascii="黑体" w:hAnsi="黑体" w:eastAsia="黑体"/>
          <w:color w:val="000000"/>
          <w:sz w:val="36"/>
          <w:szCs w:val="36"/>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16938516"/>
      <w:r/>
      <w:bookmarkStart w:id="2" w:name="_Toc513029200"/>
      <w:r/>
      <w:bookmarkStart w:id="3" w:name="_Toc20823272"/>
      <w:r/>
      <w:bookmarkStart w:id="4" w:name="_Toc523127445"/>
      <w:r/>
      <w:bookmarkStart w:id="5" w:name="_Toc479757206"/>
      <w:r/>
      <w:r/>
    </w:p>
    <w:p>
      <w:pPr>
        <w:pStyle w:val="894"/>
        <w:ind w:firstLine="0"/>
        <w:jc w:val="center"/>
        <w:rPr>
          <w:rFonts w:ascii="黑体" w:hAnsi="黑体" w:eastAsia="黑体"/>
          <w:color w:val="000000"/>
          <w:sz w:val="36"/>
          <w:szCs w:val="36"/>
        </w:rPr>
      </w:pPr>
      <w:r>
        <w:rPr>
          <w:rFonts w:hint="eastAsia" w:ascii="黑体" w:hAnsi="黑体" w:eastAsia="黑体"/>
          <w:color w:val="000000"/>
          <w:sz w:val="36"/>
          <w:szCs w:val="36"/>
        </w:rPr>
        <w:t xml:space="preserve">总  目  录</w:t>
      </w:r>
      <w:r/>
    </w:p>
    <w:p>
      <w:pPr>
        <w:jc w:val="center"/>
        <w:spacing w:line="480" w:lineRule="auto"/>
        <w:rPr>
          <w:rFonts w:ascii="黑体" w:hAnsi="Arial" w:eastAsia="黑体"/>
          <w:color w:val="000000"/>
          <w:sz w:val="44"/>
        </w:rPr>
        <w:outlineLvl w:val="0"/>
      </w:pPr>
      <w:r>
        <w:rPr>
          <w:rFonts w:ascii="黑体" w:hAnsi="Arial" w:eastAsia="黑体"/>
          <w:color w:val="000000"/>
          <w:sz w:val="44"/>
        </w:rPr>
      </w:r>
      <w:r/>
    </w:p>
    <w:p>
      <w:pPr>
        <w:numPr>
          <w:ilvl w:val="0"/>
          <w:numId w:val="1"/>
        </w:numPr>
        <w:spacing w:line="720" w:lineRule="auto"/>
        <w:rPr>
          <w:rFonts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lang w:val="en-US" w:eastAsia="zh-CN"/>
        </w:rPr>
        <w:t xml:space="preserve">2</w:t>
      </w:r>
      <w:r>
        <w:rPr>
          <w:rFonts w:hint="eastAsia" w:ascii="宋体" w:hAnsi="宋体"/>
          <w:color w:val="000000"/>
          <w:sz w:val="30"/>
          <w:szCs w:val="30"/>
        </w:rPr>
        <w:t xml:space="preserve">）</w:t>
      </w:r>
      <w:r/>
    </w:p>
    <w:p>
      <w:pPr>
        <w:numPr>
          <w:ilvl w:val="0"/>
          <w:numId w:val="1"/>
        </w:numPr>
        <w:spacing w:line="720" w:lineRule="auto"/>
        <w:rPr>
          <w:rFonts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val="en-US" w:eastAsia="zh-CN"/>
        </w:rPr>
        <w:t xml:space="preserve">6</w:t>
      </w:r>
      <w:r>
        <w:rPr>
          <w:rFonts w:hint="eastAsia" w:ascii="宋体" w:hAnsi="宋体"/>
          <w:color w:val="000000"/>
          <w:sz w:val="30"/>
          <w:szCs w:val="30"/>
        </w:rPr>
        <w:t xml:space="preserve">）</w:t>
      </w:r>
      <w:r/>
    </w:p>
    <w:p>
      <w:pPr>
        <w:numPr>
          <w:ilvl w:val="0"/>
          <w:numId w:val="1"/>
        </w:numPr>
        <w:spacing w:line="720" w:lineRule="auto"/>
        <w:rPr>
          <w:rFonts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val="en-US" w:eastAsia="zh-CN"/>
        </w:rPr>
        <w:t xml:space="preserve">20</w:t>
      </w:r>
      <w:r>
        <w:rPr>
          <w:rFonts w:hint="eastAsia" w:ascii="宋体" w:hAnsi="宋体"/>
          <w:color w:val="000000"/>
          <w:sz w:val="30"/>
          <w:szCs w:val="30"/>
        </w:rPr>
        <w:t xml:space="preserve">）</w:t>
      </w:r>
      <w:r/>
    </w:p>
    <w:p>
      <w:pPr>
        <w:numPr>
          <w:ilvl w:val="0"/>
          <w:numId w:val="1"/>
        </w:numPr>
        <w:spacing w:line="720" w:lineRule="auto"/>
        <w:rPr>
          <w:rFonts w:ascii="宋体" w:hAnsi="宋体"/>
          <w:color w:val="000000"/>
          <w:sz w:val="30"/>
          <w:szCs w:val="30"/>
          <w:highlight w:val="none"/>
        </w:rPr>
        <w:outlineLvl w:val="0"/>
      </w:pPr>
      <w:r>
        <w:rPr>
          <w:rFonts w:hint="eastAsia" w:ascii="宋体" w:hAnsi="宋体"/>
          <w:color w:val="000000"/>
          <w:sz w:val="30"/>
          <w:szCs w:val="30"/>
        </w:rPr>
        <w:t xml:space="preserve">采购需求------------------------------</w:t>
      </w:r>
      <w:r>
        <w:rPr>
          <w:rFonts w:hint="eastAsia" w:ascii="宋体" w:hAnsi="宋体"/>
          <w:color w:val="000000"/>
          <w:sz w:val="30"/>
          <w:szCs w:val="30"/>
          <w:highlight w:val="none"/>
        </w:rPr>
        <w:t xml:space="preserve">-（</w:t>
      </w:r>
      <w:r>
        <w:rPr>
          <w:rFonts w:hint="eastAsia" w:ascii="宋体" w:hAnsi="宋体"/>
          <w:color w:val="000000"/>
          <w:sz w:val="30"/>
          <w:szCs w:val="30"/>
          <w:highlight w:val="none"/>
          <w:lang w:val="en-US" w:eastAsia="zh-CN"/>
        </w:rPr>
        <w:t xml:space="preserve">25</w:t>
      </w:r>
      <w:r>
        <w:rPr>
          <w:rFonts w:hint="eastAsia" w:ascii="宋体" w:hAnsi="宋体"/>
          <w:color w:val="000000"/>
          <w:sz w:val="30"/>
          <w:szCs w:val="30"/>
          <w:highlight w:val="none"/>
        </w:rPr>
        <w:t xml:space="preserve">）</w:t>
      </w:r>
      <w:r/>
    </w:p>
    <w:p>
      <w:pPr>
        <w:numPr>
          <w:ilvl w:val="0"/>
          <w:numId w:val="1"/>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lang w:val="en-US" w:eastAsia="zh-CN"/>
        </w:rPr>
        <w:t xml:space="preserve">63</w:t>
      </w:r>
      <w:r>
        <w:rPr>
          <w:rFonts w:hint="eastAsia" w:ascii="宋体" w:hAnsi="宋体"/>
          <w:color w:val="000000"/>
          <w:sz w:val="30"/>
          <w:szCs w:val="30"/>
          <w:highlight w:val="none"/>
        </w:rPr>
        <w:t xml:space="preserve">）</w:t>
      </w:r>
      <w:r/>
    </w:p>
    <w:p>
      <w:pPr>
        <w:numPr>
          <w:ilvl w:val="0"/>
          <w:numId w:val="1"/>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lang w:val="en-US" w:eastAsia="zh-CN"/>
        </w:rPr>
        <w:t xml:space="preserve">71</w:t>
      </w:r>
      <w:r>
        <w:rPr>
          <w:rFonts w:hint="eastAsia" w:ascii="宋体" w:hAnsi="宋体"/>
          <w:color w:val="000000"/>
          <w:sz w:val="30"/>
          <w:szCs w:val="30"/>
          <w:highlight w:val="none"/>
        </w:rPr>
        <w:t xml:space="preserve">）</w:t>
      </w:r>
      <w:r/>
    </w:p>
    <w:p>
      <w:pPr>
        <w:jc w:val="center"/>
        <w:spacing w:line="500" w:lineRule="exact"/>
        <w:tabs>
          <w:tab w:val="left" w:pos="1440" w:leader="none"/>
        </w:tabs>
        <w:rPr>
          <w:rFonts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江苏省梅村高级中学</w:t>
      </w:r>
      <w:r>
        <w:rPr>
          <w:rFonts w:hint="eastAsia" w:ascii="宋体" w:hAnsi="宋体"/>
          <w:color w:val="000000"/>
          <w:sz w:val="24"/>
          <w:szCs w:val="24"/>
        </w:rPr>
        <w:t xml:space="preserve">的委托，无锡市教育信息化和装备管理服务中心就</w:t>
      </w:r>
      <w:r>
        <w:rPr>
          <w:rFonts w:hint="eastAsia" w:ascii="宋体" w:hAnsi="宋体"/>
          <w:color w:val="000000"/>
          <w:sz w:val="24"/>
          <w:szCs w:val="24"/>
          <w:lang w:eastAsia="zh-CN"/>
        </w:rPr>
        <w:t xml:space="preserve">梅村高中化学实验室设备更新项目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JSZC-320200-WXJY-G2025-0015</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梅村高中化学实验室设备更新项目</w:t>
      </w:r>
      <w:r>
        <w:rPr>
          <w:rFonts w:hint="eastAsia" w:ascii="宋体" w:hAnsi="宋体"/>
          <w:color w:val="000000"/>
          <w:sz w:val="24"/>
          <w:szCs w:val="24"/>
        </w:rPr>
        <w:t xml:space="preserve">的潜在投标人应在“江苏政府采购网”自行浏览招标文件，如有投标意向须在本招标文件有效获取期</w:t>
      </w:r>
      <w:r>
        <w:rPr>
          <w:rFonts w:hint="eastAsia" w:ascii="宋体" w:hAnsi="宋体"/>
          <w:color w:val="000000"/>
          <w:sz w:val="24"/>
          <w:szCs w:val="24"/>
          <w:highlight w:val="none"/>
        </w:rPr>
        <w:t xml:space="preserve">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879"/>
        <w:ind w:firstLine="452"/>
        <w:keepLines w:val="0"/>
        <w:keepNext w:val="0"/>
        <w:spacing w:before="0" w:after="0" w:line="500" w:lineRule="exact"/>
        <w:rPr>
          <w:color w:val="000000"/>
          <w:sz w:val="30"/>
          <w:szCs w:val="30"/>
          <w:highlight w:val="none"/>
          <w:lang w:eastAsia="zh-CN"/>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color w:val="000000"/>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JSZC-320200-WXJY-G2025-0015</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项目</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梅村高中化学实验室设备更新项目</w:t>
      </w:r>
      <w:bookmarkEnd w:id="11"/>
      <w:r/>
      <w:r/>
    </w:p>
    <w:p>
      <w:pPr>
        <w:ind w:firstLine="480"/>
        <w:spacing w:line="50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val="en-US" w:eastAsia="zh-CN"/>
        </w:rPr>
        <w:t xml:space="preserve">199</w:t>
      </w:r>
      <w:r>
        <w:rPr>
          <w:rFonts w:hint="eastAsia" w:ascii="宋体" w:hAnsi="宋体"/>
          <w:color w:val="000000"/>
          <w:sz w:val="24"/>
          <w:szCs w:val="24"/>
          <w:highlight w:val="none"/>
          <w:lang w:eastAsia="zh-CN"/>
        </w:rPr>
        <w:t xml:space="preserve">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4.项目最高限价：</w:t>
      </w:r>
      <w:r>
        <w:rPr>
          <w:rFonts w:hint="eastAsia" w:ascii="宋体" w:hAnsi="宋体"/>
          <w:color w:val="000000"/>
          <w:sz w:val="24"/>
          <w:szCs w:val="24"/>
          <w:highlight w:val="none"/>
          <w:lang w:val="en-US" w:eastAsia="zh-CN"/>
        </w:rPr>
        <w:t xml:space="preserve">150</w:t>
      </w:r>
      <w:r>
        <w:rPr>
          <w:rFonts w:hint="eastAsia" w:ascii="宋体" w:hAnsi="宋体"/>
          <w:color w:val="000000"/>
          <w:sz w:val="24"/>
          <w:szCs w:val="24"/>
          <w:highlight w:val="none"/>
        </w:rPr>
        <w:t xml:space="preserve">万元</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5.采购需求：详见招标文件第四章《</w:t>
      </w:r>
      <w:r>
        <w:rPr>
          <w:rFonts w:hint="eastAsia" w:ascii="宋体" w:hAnsi="宋体" w:cs="宋体"/>
          <w:color w:val="000000"/>
          <w:sz w:val="24"/>
          <w:szCs w:val="24"/>
          <w:highlight w:val="none"/>
        </w:rPr>
        <w:t xml:space="preserve">采购需求》</w:t>
      </w:r>
      <w:r/>
    </w:p>
    <w:p>
      <w:pPr>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7.本项目所属行业：工业</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8.本项目专门面向中小企业</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.本项目不接受联合体投标。</w:t>
      </w:r>
      <w:r/>
    </w:p>
    <w:p>
      <w:pPr>
        <w:pStyle w:val="879"/>
        <w:ind w:firstLine="452"/>
        <w:keepLines w:val="0"/>
        <w:keepNext w:val="0"/>
        <w:spacing w:before="0" w:after="0" w:line="500" w:lineRule="exact"/>
        <w:rPr>
          <w:color w:val="000000"/>
          <w:sz w:val="30"/>
          <w:szCs w:val="30"/>
          <w:highlight w:val="none"/>
          <w:lang w:eastAsia="zh-CN"/>
        </w:rPr>
      </w:pPr>
      <w:r/>
      <w:bookmarkStart w:id="12" w:name="_Toc28359003"/>
      <w:r/>
      <w:bookmarkStart w:id="13" w:name="_Toc28359080"/>
      <w:r/>
      <w:bookmarkStart w:id="14" w:name="_Toc38985264"/>
      <w:r/>
      <w:bookmarkStart w:id="15" w:name="_Toc35393622"/>
      <w:r/>
      <w:bookmarkStart w:id="16" w:name="_Toc35393791"/>
      <w:r>
        <w:rPr>
          <w:rFonts w:hint="eastAsia"/>
          <w:color w:val="000000"/>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28359004"/>
      <w:r/>
      <w:bookmarkStart w:id="18" w:name="_Toc35393792"/>
      <w:r/>
      <w:bookmarkStart w:id="19" w:name="_Toc28359081"/>
      <w:r/>
      <w:bookmarkStart w:id="20" w:name="_Toc35393623"/>
      <w:r/>
      <w:bookmarkStart w:id="21" w:name="_Toc38985265"/>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2.在“信用中国”网站（www.creditchina.gov.cn）、中国政府采购网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3.落实政府采购政策需满足的资格要求：</w:t>
      </w:r>
      <w:r>
        <w:rPr>
          <w:rFonts w:hint="eastAsia" w:ascii="宋体" w:hAnsi="宋体" w:cs="宋体"/>
          <w:color w:val="000000"/>
          <w:sz w:val="24"/>
          <w:szCs w:val="24"/>
          <w:highlight w:val="none"/>
        </w:rPr>
        <w:t xml:space="preserve">供应商为中型企业/小型企业/微型企业（监狱企业/残疾人福利性单位视同小微企业）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4.本项目的特定资格要求：无</w:t>
      </w:r>
      <w:r/>
    </w:p>
    <w:p>
      <w:pPr>
        <w:pStyle w:val="879"/>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w:t>
      </w:r>
      <w:r>
        <w:rPr>
          <w:rFonts w:hint="eastAsia"/>
          <w:color w:val="000000"/>
          <w:highlight w:val="none"/>
        </w:rPr>
        <w:t xml:space="preserve"> </w:t>
      </w:r>
      <w:r>
        <w:rPr>
          <w:rFonts w:hint="eastAsia" w:ascii="宋体" w:hAnsi="宋体" w:cs="宋体"/>
          <w:color w:val="000000"/>
          <w:sz w:val="24"/>
          <w:szCs w:val="24"/>
          <w:highlight w:val="none"/>
        </w:rPr>
        <w:t xml:space="preserve">时间：</w:t>
      </w:r>
      <w:r>
        <w:rPr>
          <w:rFonts w:hint="eastAsia" w:ascii="宋体" w:hAnsi="宋体"/>
          <w:color w:val="000000"/>
          <w:sz w:val="24"/>
          <w:szCs w:val="24"/>
          <w:highlight w:val="none"/>
        </w:rPr>
        <w:t xml:space="preserve">本招标文件有效获取期</w:t>
      </w:r>
      <w:r>
        <w:rPr>
          <w:rFonts w:hint="eastAsia" w:ascii="宋体" w:hAnsi="宋体" w:cs="宋体"/>
          <w:color w:val="000000"/>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500" w:lineRule="exact"/>
        <w:rPr>
          <w:rStyle w:val="893"/>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879"/>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四、提交投标文件</w:t>
      </w:r>
      <w:bookmarkEnd w:id="22"/>
      <w:r/>
      <w:bookmarkEnd w:id="23"/>
      <w:r>
        <w:rPr>
          <w:rFonts w:hint="eastAsia"/>
          <w:color w:val="000000"/>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rPr>
      </w:pPr>
      <w:r>
        <w:rPr>
          <w:rFonts w:hint="eastAsia" w:ascii="宋体" w:hAnsi="宋体"/>
          <w:bCs/>
          <w:color w:val="000000"/>
          <w:sz w:val="24"/>
          <w:szCs w:val="24"/>
          <w:highlight w:val="none"/>
        </w:rPr>
        <w:t xml:space="preserve">1.时间：</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日</w:t>
      </w:r>
      <w:r>
        <w:rPr>
          <w:rFonts w:hint="eastAsia" w:ascii="宋体" w:hAnsi="宋体"/>
          <w:bCs/>
          <w:color w:val="000000"/>
          <w:sz w:val="24"/>
          <w:szCs w:val="24"/>
          <w:highlight w:val="none"/>
        </w:rPr>
        <w:t xml:space="preserve">09</w:t>
      </w:r>
      <w:r>
        <w:rPr>
          <w:rFonts w:hint="eastAsia" w:ascii="宋体" w:hAnsi="宋体"/>
          <w:bCs/>
          <w:color w:val="000000"/>
          <w:sz w:val="24"/>
          <w:szCs w:val="24"/>
        </w:rPr>
        <w:t xml:space="preserve">点30分（北京时间）</w:t>
      </w:r>
      <w:r/>
    </w:p>
    <w:p>
      <w:pPr>
        <w:ind w:firstLine="480"/>
        <w:spacing w:line="500" w:lineRule="exact"/>
        <w:rPr>
          <w:rFonts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p>
    <w:p>
      <w:pPr>
        <w:pStyle w:val="879"/>
        <w:ind w:firstLine="452"/>
        <w:keepLines w:val="0"/>
        <w:keepNext w:val="0"/>
        <w:spacing w:before="0" w:after="0" w:line="500" w:lineRule="exact"/>
        <w:rPr>
          <w:color w:val="000000"/>
          <w:sz w:val="30"/>
          <w:szCs w:val="30"/>
          <w:lang w:eastAsia="zh-CN"/>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（招标公告及招标文件公告期限）自本公告发布之日起5个工作日。</w:t>
      </w:r>
      <w:r/>
    </w:p>
    <w:p>
      <w:pPr>
        <w:pStyle w:val="879"/>
        <w:ind w:firstLine="452"/>
        <w:keepLines w:val="0"/>
        <w:keepNext w:val="0"/>
        <w:spacing w:before="0" w:after="0" w:line="500" w:lineRule="exact"/>
        <w:rPr>
          <w:color w:val="000000"/>
          <w:sz w:val="30"/>
          <w:szCs w:val="30"/>
          <w:lang w:eastAsia="zh-CN"/>
        </w:rPr>
      </w:pPr>
      <w:r>
        <w:rPr>
          <w:rFonts w:hint="eastAsia"/>
          <w:color w:val="000000"/>
          <w:sz w:val="30"/>
          <w:szCs w:val="30"/>
          <w:lang w:eastAsia="zh-CN"/>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879"/>
        <w:ind w:firstLine="452"/>
        <w:keepLines w:val="0"/>
        <w:keepNext w:val="0"/>
        <w:spacing w:before="0" w:after="0" w:line="500" w:lineRule="exact"/>
        <w:rPr>
          <w:color w:val="000000"/>
          <w:sz w:val="30"/>
          <w:szCs w:val="30"/>
          <w:lang w:eastAsia="zh-CN"/>
        </w:rPr>
      </w:pPr>
      <w:r/>
      <w:bookmarkStart w:id="35" w:name="_Toc35393796"/>
      <w:r/>
      <w:bookmarkStart w:id="36" w:name="_Toc35393627"/>
      <w:r/>
      <w:bookmarkStart w:id="37" w:name="_Toc28359008"/>
      <w:r/>
      <w:bookmarkStart w:id="38" w:name="_Toc38985269"/>
      <w:r/>
      <w:bookmarkStart w:id="39" w:name="_Toc28359085"/>
      <w:r>
        <w:rPr>
          <w:rFonts w:hint="eastAsia"/>
          <w:color w:val="000000"/>
          <w:sz w:val="30"/>
          <w:szCs w:val="30"/>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江苏省梅村高级中学</w:t>
      </w:r>
      <w:r/>
    </w:p>
    <w:p>
      <w:pPr>
        <w:ind w:firstLine="480"/>
        <w:spacing w:line="500" w:lineRule="exact"/>
        <w:rPr>
          <w:rFonts w:hint="default" w:ascii="宋体" w:hAnsi="宋体" w:cs="宋体"/>
          <w:color w:val="000000"/>
          <w:sz w:val="24"/>
          <w:szCs w:val="24"/>
          <w:lang w:val="en-US" w:eastAsia="zh-CN"/>
        </w:rPr>
      </w:pPr>
      <w:r>
        <w:rPr>
          <w:rFonts w:hint="eastAsia" w:ascii="宋体" w:hAnsi="宋体" w:cs="宋体"/>
          <w:color w:val="000000"/>
          <w:sz w:val="24"/>
          <w:szCs w:val="24"/>
        </w:rPr>
        <w:t xml:space="preserve">地    址：</w:t>
      </w:r>
      <w:r>
        <w:rPr>
          <w:rFonts w:hint="eastAsia" w:ascii="宋体" w:hAnsi="宋体" w:cs="宋体"/>
          <w:color w:val="000000"/>
          <w:sz w:val="24"/>
          <w:szCs w:val="24"/>
          <w:lang w:val="en-US" w:eastAsia="zh-CN"/>
        </w:rPr>
        <w:t xml:space="preserve">无锡市新吴区梅育路63号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称：无锡市教育信息化和装备管理服务中心</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址：无锡市学前街2</w:t>
      </w:r>
      <w:r>
        <w:rPr>
          <w:rFonts w:ascii="宋体" w:hAnsi="宋体" w:cs="宋体"/>
          <w:color w:val="000000"/>
          <w:sz w:val="24"/>
          <w:szCs w:val="24"/>
        </w:rPr>
        <w:t xml:space="preserve">7</w:t>
      </w:r>
      <w:r>
        <w:rPr>
          <w:rFonts w:hint="eastAsia" w:ascii="宋体" w:hAnsi="宋体" w:cs="宋体"/>
          <w:color w:val="000000"/>
          <w:sz w:val="24"/>
          <w:szCs w:val="24"/>
        </w:rPr>
        <w:t xml:space="preserve">号4楼</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采购人项目咨询联系人：</w:t>
      </w:r>
      <w:r>
        <w:rPr>
          <w:rFonts w:hint="eastAsia" w:ascii="宋体" w:hAnsi="宋体" w:cs="宋体"/>
          <w:color w:val="000000"/>
          <w:sz w:val="24"/>
          <w:szCs w:val="24"/>
          <w:lang w:val="en-US" w:eastAsia="zh-CN"/>
        </w:rPr>
        <w:t xml:space="preserve">江海涛</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eastAsia="zh-CN"/>
        </w:rPr>
        <w:t xml:space="preserve">0510-81859746</w:t>
      </w:r>
      <w:r/>
    </w:p>
    <w:p>
      <w:pPr>
        <w:ind w:firstLine="48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采购人质疑受理联系人：</w:t>
      </w:r>
      <w:r>
        <w:rPr>
          <w:rFonts w:hint="eastAsia" w:ascii="宋体" w:hAnsi="宋体" w:cs="宋体"/>
          <w:color w:val="000000"/>
          <w:sz w:val="24"/>
          <w:szCs w:val="24"/>
          <w:lang w:val="en-US" w:eastAsia="zh-CN"/>
        </w:rPr>
        <w:t xml:space="preserve">江海涛</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eastAsia="zh-CN"/>
        </w:rPr>
        <w:t xml:space="preserve">0510-81859746</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无锡市教育信息化和装备管理服务中心项目联系人：陈旻晔；电话：0510-</w:t>
      </w:r>
      <w:r>
        <w:rPr>
          <w:rFonts w:ascii="宋体" w:hAnsi="宋体" w:cs="宋体"/>
          <w:color w:val="000000"/>
          <w:sz w:val="24"/>
          <w:szCs w:val="24"/>
        </w:rPr>
        <w:t xml:space="preserve">82730672</w:t>
      </w:r>
      <w:r/>
    </w:p>
    <w:p>
      <w:pPr>
        <w:pStyle w:val="879"/>
        <w:ind w:firstLine="452"/>
        <w:keepLines w:val="0"/>
        <w:keepNext w:val="0"/>
        <w:spacing w:before="0" w:after="0" w:line="500" w:lineRule="exact"/>
        <w:rPr>
          <w:color w:val="000000"/>
          <w:sz w:val="30"/>
          <w:szCs w:val="30"/>
          <w:lang w:eastAsia="zh-CN"/>
        </w:rPr>
      </w:pPr>
      <w:r>
        <w:rPr>
          <w:rFonts w:hint="eastAsia"/>
          <w:color w:val="000000"/>
          <w:sz w:val="30"/>
          <w:szCs w:val="30"/>
          <w:lang w:eastAsia="zh-CN"/>
        </w:rPr>
        <w:t xml:space="preserve">八、其他</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hint="eastAsia"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（三）有关本次采购的事项若存在变动或修改，敬请及时关注无锡市教育信息化和装备管理服务中心在“江苏政府采购网”发布的更正公告。</w:t>
      </w:r>
      <w:r/>
    </w:p>
    <w:p>
      <w:pPr>
        <w:ind w:firstLine="480"/>
        <w:spacing w:line="500" w:lineRule="exact"/>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jc w:val="center"/>
        <w:spacing w:line="500" w:lineRule="exact"/>
        <w:tabs>
          <w:tab w:val="left" w:pos="1440" w:leader="none"/>
        </w:tabs>
        <w:rPr>
          <w:rFonts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黑体" w:eastAsia="黑体"/>
          <w:color w:val="000000"/>
          <w:sz w:val="36"/>
          <w:szCs w:val="36"/>
        </w:rPr>
        <w:t xml:space="preserve">投标人须知</w:t>
      </w:r>
      <w:bookmarkEnd w:id="43"/>
      <w:r/>
      <w:bookmarkEnd w:id="44"/>
      <w:r/>
      <w:bookmarkEnd w:id="45"/>
      <w:r/>
      <w:bookmarkEnd w:id="46"/>
      <w:r/>
      <w:r/>
    </w:p>
    <w:p>
      <w:pPr>
        <w:pStyle w:val="879"/>
        <w:ind w:firstLine="452"/>
        <w:keepLines w:val="0"/>
        <w:keepNext w:val="0"/>
        <w:spacing w:before="0" w:after="0" w:line="500" w:lineRule="exact"/>
        <w:rPr>
          <w:color w:val="000000"/>
          <w:sz w:val="30"/>
          <w:szCs w:val="30"/>
          <w:lang w:eastAsia="zh-CN"/>
        </w:rPr>
      </w:pPr>
      <w:r/>
      <w:bookmarkStart w:id="47" w:name="_Toc20823275"/>
      <w:r/>
      <w:bookmarkStart w:id="48" w:name="_Toc513029203"/>
      <w:r/>
      <w:bookmarkStart w:id="49" w:name="_Toc120614214"/>
      <w:r/>
      <w:bookmarkStart w:id="50" w:name="_Toc16938519"/>
      <w:r>
        <w:rPr>
          <w:rFonts w:hint="eastAsia"/>
          <w:color w:val="000000"/>
          <w:sz w:val="30"/>
          <w:szCs w:val="30"/>
          <w:lang w:eastAsia="zh-CN"/>
        </w:rPr>
        <w:t xml:space="preserve">一、总则</w:t>
      </w:r>
      <w:bookmarkEnd w:id="47"/>
      <w:r/>
      <w:bookmarkEnd w:id="48"/>
      <w:r/>
      <w:bookmarkEnd w:id="49"/>
      <w:r/>
      <w:bookmarkEnd w:id="50"/>
      <w:r/>
      <w:r/>
    </w:p>
    <w:p>
      <w:pPr>
        <w:pStyle w:val="880"/>
        <w:ind w:firstLine="422"/>
        <w:keepLines w:val="0"/>
        <w:keepNext w:val="0"/>
        <w:spacing w:before="0" w:after="0" w:line="500" w:lineRule="exact"/>
        <w:rPr>
          <w:rFonts w:ascii="宋体" w:hAnsi="宋体" w:eastAsia="宋体"/>
          <w:bCs w:val="0"/>
          <w:color w:val="000000"/>
          <w:lang w:eastAsia="zh-CN"/>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lang w:eastAsia="zh-CN"/>
        </w:rPr>
        <w:t xml:space="preserve">1.招标方式</w:t>
      </w:r>
      <w:bookmarkEnd w:id="52"/>
      <w:r/>
      <w:bookmarkEnd w:id="53"/>
      <w:r/>
      <w:bookmarkEnd w:id="54"/>
      <w:r/>
      <w:r/>
    </w:p>
    <w:p>
      <w:pPr>
        <w:ind w:firstLine="480"/>
        <w:spacing w:line="5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880"/>
        <w:ind w:firstLine="422"/>
        <w:keepLines w:val="0"/>
        <w:keepNext w:val="0"/>
        <w:spacing w:before="0" w:after="0" w:line="500" w:lineRule="exact"/>
        <w:rPr>
          <w:rFonts w:ascii="宋体" w:hAnsi="宋体" w:eastAsia="宋体"/>
          <w:bCs w:val="0"/>
          <w:color w:val="000000"/>
          <w:lang w:eastAsia="zh-CN"/>
        </w:rPr>
      </w:pPr>
      <w:r/>
      <w:bookmarkStart w:id="55" w:name="_Toc513029205"/>
      <w:r/>
      <w:bookmarkStart w:id="56" w:name="_Toc20823277"/>
      <w:r/>
      <w:bookmarkStart w:id="57" w:name="_Toc16938521"/>
      <w:r>
        <w:rPr>
          <w:rFonts w:hint="eastAsia" w:ascii="宋体" w:hAnsi="宋体" w:eastAsia="宋体"/>
          <w:bCs w:val="0"/>
          <w:color w:val="000000"/>
          <w:lang w:eastAsia="zh-CN"/>
        </w:rPr>
        <w:t xml:space="preserve">2.</w:t>
      </w:r>
      <w:bookmarkEnd w:id="55"/>
      <w:r/>
      <w:bookmarkEnd w:id="56"/>
      <w:r/>
      <w:bookmarkEnd w:id="57"/>
      <w:r>
        <w:rPr>
          <w:rFonts w:hint="eastAsia" w:ascii="宋体" w:hAnsi="宋体" w:eastAsia="宋体"/>
          <w:bCs w:val="0"/>
          <w:color w:val="000000"/>
          <w:lang w:eastAsia="zh-CN"/>
        </w:rPr>
        <w:t xml:space="preserve">采购人、采购代理机构、投标人、联合体</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color w:val="000000"/>
          <w:sz w:val="24"/>
          <w:szCs w:val="24"/>
          <w:lang w:eastAsia="zh-CN"/>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0"/>
        <w:ind w:firstLine="422"/>
        <w:keepLines w:val="0"/>
        <w:keepNext w:val="0"/>
        <w:spacing w:before="0" w:after="0" w:line="500" w:lineRule="exact"/>
        <w:rPr>
          <w:rFonts w:ascii="宋体" w:hAnsi="宋体" w:eastAsia="宋体"/>
          <w:bCs w:val="0"/>
          <w:color w:val="000000"/>
          <w:lang w:eastAsia="zh-CN"/>
        </w:rPr>
      </w:pPr>
      <w:r/>
      <w:bookmarkStart w:id="58" w:name="_Toc16938522"/>
      <w:r/>
      <w:bookmarkStart w:id="59" w:name="_Toc20823278"/>
      <w:r/>
      <w:bookmarkStart w:id="60" w:name="_Toc513029206"/>
      <w:r>
        <w:rPr>
          <w:rFonts w:hint="eastAsia" w:ascii="宋体" w:hAnsi="宋体" w:eastAsia="宋体"/>
          <w:bCs w:val="0"/>
          <w:color w:val="000000"/>
          <w:lang w:eastAsia="zh-CN"/>
        </w:rPr>
        <w:t xml:space="preserve">3.适用法律</w:t>
      </w:r>
      <w:bookmarkEnd w:id="58"/>
      <w:r/>
      <w:bookmarkEnd w:id="59"/>
      <w:r/>
      <w:bookmarkEnd w:id="60"/>
      <w:r/>
      <w:r/>
    </w:p>
    <w:p>
      <w:pPr>
        <w:ind w:firstLine="480"/>
        <w:spacing w:line="5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880"/>
        <w:ind w:firstLine="422"/>
        <w:keepLines w:val="0"/>
        <w:keepNext w:val="0"/>
        <w:spacing w:before="0" w:after="0" w:line="500" w:lineRule="exact"/>
        <w:rPr>
          <w:rFonts w:ascii="宋体" w:hAnsi="宋体" w:eastAsia="宋体"/>
          <w:bCs w:val="0"/>
          <w:color w:val="000000"/>
          <w:lang w:eastAsia="zh-CN"/>
        </w:rPr>
      </w:pPr>
      <w:r/>
      <w:bookmarkStart w:id="61" w:name="_Toc513029207"/>
      <w:r/>
      <w:bookmarkStart w:id="62" w:name="_Toc20823279"/>
      <w:r/>
      <w:bookmarkStart w:id="63" w:name="_Toc462564067"/>
      <w:r/>
      <w:bookmarkStart w:id="64" w:name="_Toc16938523"/>
      <w:r>
        <w:rPr>
          <w:rFonts w:hint="eastAsia" w:ascii="宋体" w:hAnsi="宋体" w:eastAsia="宋体"/>
          <w:bCs w:val="0"/>
          <w:color w:val="000000"/>
          <w:lang w:eastAsia="zh-CN"/>
        </w:rPr>
        <w:t xml:space="preserve">4.投标费用</w:t>
      </w:r>
      <w:bookmarkEnd w:id="61"/>
      <w:r/>
      <w:bookmarkEnd w:id="62"/>
      <w:r/>
      <w:bookmarkEnd w:id="63"/>
      <w:r/>
      <w:bookmarkEnd w:id="64"/>
      <w:r/>
      <w:r/>
    </w:p>
    <w:p>
      <w:pPr>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教育信息化和装备管理服务中心（以下简称无锡市教育信息化和装备管理服务中心）在任何情况下均无义务和责任承担这些费用。</w:t>
      </w:r>
      <w:r/>
    </w:p>
    <w:p>
      <w:pPr>
        <w:ind w:firstLine="480"/>
        <w:spacing w:line="500" w:lineRule="exact"/>
        <w:rPr>
          <w:rFonts w:ascii="宋体" w:hAnsi="宋体"/>
          <w:color w:val="000000"/>
          <w:sz w:val="24"/>
        </w:rPr>
      </w:pPr>
      <w:r>
        <w:rPr>
          <w:rFonts w:hint="eastAsia" w:ascii="宋体" w:hAnsi="宋体"/>
          <w:color w:val="000000"/>
          <w:sz w:val="24"/>
        </w:rPr>
        <w:t xml:space="preserve">4.2本次招标标书工本费、中标服务费、招标文件均免费。</w:t>
      </w:r>
      <w:r/>
    </w:p>
    <w:p>
      <w:pPr>
        <w:pStyle w:val="880"/>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5.招标文件的约束力</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79"/>
        <w:ind w:firstLine="452"/>
        <w:keepLines w:val="0"/>
        <w:keepNext w:val="0"/>
        <w:spacing w:before="0" w:after="0" w:line="500" w:lineRule="exact"/>
        <w:rPr>
          <w:color w:val="000000"/>
          <w:sz w:val="30"/>
          <w:szCs w:val="30"/>
          <w:lang w:eastAsia="zh-CN"/>
        </w:rPr>
      </w:pPr>
      <w:r/>
      <w:bookmarkStart w:id="65" w:name="_Toc513029209"/>
      <w:r/>
      <w:bookmarkStart w:id="66" w:name="_Toc20823281"/>
      <w:r/>
      <w:bookmarkStart w:id="67" w:name="_Toc16938525"/>
      <w:r/>
      <w:bookmarkStart w:id="68" w:name="_Toc120614215"/>
      <w:r>
        <w:rPr>
          <w:rFonts w:hint="eastAsia"/>
          <w:color w:val="000000"/>
          <w:sz w:val="30"/>
          <w:szCs w:val="30"/>
          <w:lang w:eastAsia="zh-CN"/>
        </w:rPr>
        <w:t xml:space="preserve">二、招标文件</w:t>
      </w:r>
      <w:bookmarkEnd w:id="65"/>
      <w:r/>
      <w:bookmarkEnd w:id="66"/>
      <w:r/>
      <w:bookmarkEnd w:id="67"/>
      <w:r/>
      <w:bookmarkEnd w:id="68"/>
      <w:r/>
      <w:r/>
    </w:p>
    <w:p>
      <w:pPr>
        <w:pStyle w:val="880"/>
        <w:ind w:firstLine="422"/>
        <w:keepLines w:val="0"/>
        <w:keepNext w:val="0"/>
        <w:spacing w:before="0" w:after="0" w:line="500" w:lineRule="exact"/>
        <w:rPr>
          <w:rFonts w:ascii="宋体" w:hAnsi="宋体" w:eastAsia="宋体"/>
          <w:bCs w:val="0"/>
          <w:color w:val="000000"/>
          <w:lang w:eastAsia="zh-CN"/>
        </w:rPr>
      </w:pPr>
      <w:r/>
      <w:bookmarkStart w:id="69" w:name="_Toc20823282"/>
      <w:r/>
      <w:bookmarkStart w:id="70" w:name="_Toc513029210"/>
      <w:r/>
      <w:bookmarkStart w:id="71" w:name="_Toc16938526"/>
      <w:r>
        <w:rPr>
          <w:rFonts w:hint="eastAsia" w:ascii="宋体" w:hAnsi="宋体" w:eastAsia="宋体"/>
          <w:bCs w:val="0"/>
          <w:color w:val="000000"/>
          <w:lang w:eastAsia="zh-CN"/>
        </w:rPr>
        <w:t xml:space="preserve">6.招标文件构成</w:t>
      </w:r>
      <w:bookmarkEnd w:id="69"/>
      <w:r/>
      <w:bookmarkEnd w:id="70"/>
      <w:r/>
      <w:bookmarkEnd w:id="71"/>
      <w:r/>
      <w:r/>
    </w:p>
    <w:p>
      <w:pPr>
        <w:ind w:firstLine="480"/>
        <w:spacing w:line="5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请仔细检查招标文件是否齐全，如有缺漏请立即与无锡市教育信息化和装备管理服务中心联系解决。</w:t>
      </w:r>
      <w:r/>
    </w:p>
    <w:p>
      <w:pPr>
        <w:ind w:firstLine="480"/>
        <w:spacing w:line="50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0"/>
        <w:ind w:firstLine="422"/>
        <w:keepLines w:val="0"/>
        <w:keepNext w:val="0"/>
        <w:spacing w:before="0" w:after="0" w:line="500" w:lineRule="exact"/>
        <w:rPr>
          <w:rFonts w:ascii="宋体" w:hAnsi="宋体" w:eastAsia="宋体"/>
          <w:bCs w:val="0"/>
          <w:color w:val="000000"/>
          <w:lang w:eastAsia="zh-CN"/>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无锡市教育信息化和装备管理服务中心以书面形式提出。</w:t>
      </w:r>
      <w:r/>
    </w:p>
    <w:p>
      <w:pPr>
        <w:pStyle w:val="880"/>
        <w:ind w:firstLine="422"/>
        <w:keepLines w:val="0"/>
        <w:keepNext w:val="0"/>
        <w:spacing w:before="0" w:after="0" w:line="500" w:lineRule="exact"/>
        <w:rPr>
          <w:rFonts w:ascii="宋体" w:hAnsi="宋体" w:eastAsia="宋体"/>
          <w:bCs w:val="0"/>
          <w:color w:val="000000"/>
          <w:lang w:eastAsia="zh-CN"/>
        </w:rPr>
      </w:pPr>
      <w:r/>
      <w:bookmarkStart w:id="76" w:name="_Toc513029212"/>
      <w:r/>
      <w:bookmarkStart w:id="77" w:name="_Toc20823284"/>
      <w:r/>
      <w:bookmarkStart w:id="78" w:name="_Toc16938528"/>
      <w:r/>
      <w:bookmarkStart w:id="79" w:name="_Toc462564071"/>
      <w:r>
        <w:rPr>
          <w:rFonts w:hint="eastAsia" w:ascii="宋体" w:hAnsi="宋体" w:eastAsia="宋体"/>
          <w:bCs w:val="0"/>
          <w:color w:val="000000"/>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8.1无锡市教育信息化和装备管理服务中心可在投标截止时间十五日前对招标文件进行必要的澄清或者修改，不足十五日的，将顺延提交投标文件的截止时间和开标日期。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如需对招标文件进行澄清或修改，无锡市教育信息化和装备管理服务中心将在江苏政府采购网发布更正公告，澄清或修改的内容为招标文件的组成部分，并对投标人具有约束力。投标人应在投标截止时间前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879"/>
        <w:ind w:firstLine="452"/>
        <w:keepLines w:val="0"/>
        <w:keepNext w:val="0"/>
        <w:spacing w:before="0" w:after="0" w:line="500" w:lineRule="exact"/>
        <w:rPr>
          <w:color w:val="000000"/>
          <w:sz w:val="30"/>
          <w:szCs w:val="30"/>
          <w:lang w:eastAsia="zh-CN"/>
        </w:rPr>
      </w:pPr>
      <w:r/>
      <w:bookmarkStart w:id="80" w:name="_Toc20823285"/>
      <w:r/>
      <w:bookmarkStart w:id="81" w:name="_Toc513029213"/>
      <w:r/>
      <w:bookmarkStart w:id="82" w:name="_Toc462564072"/>
      <w:r/>
      <w:bookmarkStart w:id="83" w:name="_Toc120614216"/>
      <w:r/>
      <w:bookmarkStart w:id="84" w:name="_Toc16938529"/>
      <w:r>
        <w:rPr>
          <w:rFonts w:hint="eastAsia"/>
          <w:color w:val="000000"/>
          <w:sz w:val="30"/>
          <w:szCs w:val="30"/>
          <w:lang w:eastAsia="zh-CN"/>
        </w:rPr>
        <w:t xml:space="preserve">三、投标文件的编制</w:t>
      </w:r>
      <w:bookmarkEnd w:id="80"/>
      <w:r/>
      <w:bookmarkEnd w:id="81"/>
      <w:r/>
      <w:bookmarkEnd w:id="82"/>
      <w:r/>
      <w:bookmarkEnd w:id="83"/>
      <w:r/>
      <w:bookmarkEnd w:id="84"/>
      <w:r/>
      <w:r/>
    </w:p>
    <w:p>
      <w:pPr>
        <w:pStyle w:val="880"/>
        <w:ind w:firstLine="422"/>
        <w:keepLines w:val="0"/>
        <w:keepNext w:val="0"/>
        <w:spacing w:before="0" w:after="0" w:line="500" w:lineRule="exact"/>
        <w:rPr>
          <w:rFonts w:ascii="宋体" w:hAnsi="宋体" w:eastAsia="宋体"/>
          <w:bCs w:val="0"/>
          <w:color w:val="000000"/>
          <w:lang w:eastAsia="zh-CN"/>
        </w:rPr>
      </w:pPr>
      <w:r/>
      <w:bookmarkStart w:id="85" w:name="_Toc513029214"/>
      <w:r/>
      <w:bookmarkStart w:id="86" w:name="_Toc462564073"/>
      <w:r/>
      <w:bookmarkStart w:id="87" w:name="_Toc16938530"/>
      <w:r/>
      <w:bookmarkStart w:id="88" w:name="_Toc20823286"/>
      <w:r>
        <w:rPr>
          <w:rFonts w:hint="eastAsia" w:ascii="宋体" w:hAnsi="宋体" w:eastAsia="宋体"/>
          <w:bCs w:val="0"/>
          <w:color w:val="000000"/>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投标人提交的投标文件以及投标人与无锡市教育信息化和装备管理服务中心就有关投标的所有来往通知、函件和文件均应使用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880"/>
        <w:ind w:firstLine="422"/>
        <w:keepLines w:val="0"/>
        <w:keepNext w:val="0"/>
        <w:spacing w:before="0" w:after="0" w:line="500" w:lineRule="exact"/>
        <w:rPr>
          <w:rFonts w:ascii="宋体" w:hAnsi="宋体" w:eastAsia="宋体"/>
          <w:bCs w:val="0"/>
          <w:color w:val="000000"/>
          <w:lang w:eastAsia="zh-CN"/>
        </w:rPr>
      </w:pPr>
      <w:r/>
      <w:bookmarkStart w:id="89" w:name="_Toc513029215"/>
      <w:r/>
      <w:bookmarkStart w:id="90" w:name="_Toc16938531"/>
      <w:r/>
      <w:bookmarkStart w:id="91" w:name="_Toc462564074"/>
      <w:r/>
      <w:bookmarkStart w:id="92" w:name="_Toc20823287"/>
      <w:r>
        <w:rPr>
          <w:rFonts w:hint="eastAsia" w:ascii="宋体" w:hAnsi="宋体" w:eastAsia="宋体"/>
          <w:bCs w:val="0"/>
          <w:color w:val="000000"/>
          <w:lang w:eastAsia="zh-CN"/>
        </w:rPr>
        <w:t xml:space="preserve">10.投标文件构成</w:t>
      </w:r>
      <w:bookmarkEnd w:id="89"/>
      <w:r/>
      <w:bookmarkEnd w:id="90"/>
      <w:r/>
      <w:bookmarkEnd w:id="91"/>
      <w:r/>
      <w:bookmarkEnd w:id="92"/>
      <w:r/>
      <w:r/>
    </w:p>
    <w:p>
      <w:pPr>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资格证明文件、承诺书、开标一览表、明细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880"/>
        <w:ind w:firstLine="422"/>
        <w:keepLines w:val="0"/>
        <w:keepNext w:val="0"/>
        <w:spacing w:before="0" w:after="0" w:line="500" w:lineRule="exact"/>
        <w:rPr>
          <w:rFonts w:ascii="宋体" w:hAnsi="宋体" w:eastAsia="宋体"/>
          <w:bCs w:val="0"/>
          <w:color w:val="000000"/>
          <w:lang w:eastAsia="zh-CN"/>
        </w:rPr>
      </w:pPr>
      <w:r/>
      <w:bookmarkStart w:id="93" w:name="_Hlt26668975"/>
      <w:r/>
      <w:bookmarkEnd w:id="93"/>
      <w:r/>
      <w:bookmarkStart w:id="94" w:name="_Hlt26670360"/>
      <w:r/>
      <w:bookmarkEnd w:id="94"/>
      <w:r/>
      <w:bookmarkStart w:id="95" w:name="_Hlt26954838"/>
      <w:r/>
      <w:bookmarkEnd w:id="95"/>
      <w:r/>
      <w:bookmarkStart w:id="96" w:name="_Toc49090509"/>
      <w:r/>
      <w:bookmarkStart w:id="97" w:name="_Toc513029219"/>
      <w:r/>
      <w:bookmarkStart w:id="98" w:name="_Toc14577357"/>
      <w:r/>
      <w:bookmarkStart w:id="99" w:name="_Toc14577354"/>
      <w:r/>
      <w:bookmarkStart w:id="100" w:name="_Toc513029216"/>
      <w:r/>
      <w:bookmarkStart w:id="101" w:name="_Toc49090507"/>
      <w:r>
        <w:rPr>
          <w:rFonts w:hint="eastAsia" w:ascii="宋体" w:hAnsi="宋体" w:eastAsia="宋体"/>
          <w:bCs w:val="0"/>
          <w:color w:val="000000"/>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sz w:val="24"/>
        </w:rPr>
      </w:pPr>
      <w:r/>
      <w:bookmarkStart w:id="102" w:name="_Toc14577355"/>
      <w:r/>
      <w:bookmarkStart w:id="103" w:name="_Toc49090508"/>
      <w:r>
        <w:rPr>
          <w:rFonts w:hint="eastAsia" w:ascii="宋体" w:hAnsi="宋体"/>
          <w:bCs/>
          <w:color w:val="000000"/>
          <w:sz w:val="24"/>
        </w:rPr>
        <w:t xml:space="preserve">11.1投标人应按照</w:t>
      </w:r>
      <w:r>
        <w:rPr>
          <w:rFonts w:hint="eastAsia" w:ascii="宋体" w:hAnsi="宋体"/>
          <w:bCs/>
          <w:color w:val="000000"/>
          <w:sz w:val="24"/>
          <w:lang w:eastAsia="zh-CN"/>
        </w:rPr>
        <w:t xml:space="preserve">法律法规</w:t>
      </w:r>
      <w:r>
        <w:rPr>
          <w:rFonts w:hint="eastAsia" w:ascii="宋体" w:hAnsi="宋体"/>
          <w:bCs/>
          <w:color w:val="000000"/>
          <w:sz w:val="24"/>
        </w:rPr>
        <w:t xml:space="preserve">、规章和规范性文件以及招标文件要求提交证明文件，证明其及投标标的符合招标文件规定。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80"/>
        <w:ind w:firstLine="422"/>
        <w:keepLines w:val="0"/>
        <w:keepNext w:val="0"/>
        <w:spacing w:before="0" w:after="0" w:line="500" w:lineRule="exact"/>
        <w:rPr>
          <w:rFonts w:ascii="宋体" w:hAnsi="宋体" w:eastAsia="宋体"/>
          <w:bCs w:val="0"/>
          <w:color w:val="000000"/>
          <w:lang w:eastAsia="zh-CN"/>
        </w:rPr>
      </w:pPr>
      <w:r/>
      <w:bookmarkStart w:id="104" w:name="_Toc49090510"/>
      <w:r/>
      <w:bookmarkStart w:id="105" w:name="_Toc14577359"/>
      <w:r>
        <w:rPr>
          <w:rFonts w:hint="eastAsia" w:ascii="宋体" w:hAnsi="宋体" w:eastAsia="宋体"/>
          <w:bCs w:val="0"/>
          <w:color w:val="000000"/>
          <w:lang w:eastAsia="zh-CN"/>
        </w:rPr>
        <w:t xml:space="preserve">12.投标函、承诺书和开标一览表</w:t>
      </w:r>
      <w:r/>
    </w:p>
    <w:p>
      <w:pPr>
        <w:ind w:firstLine="480"/>
        <w:spacing w:line="500" w:lineRule="exact"/>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ind w:firstLine="480"/>
        <w:spacing w:line="500" w:lineRule="exact"/>
        <w:rPr>
          <w:rFonts w:ascii="宋体" w:hAnsi="宋体"/>
          <w:bCs/>
          <w:color w:val="000000"/>
          <w:sz w:val="24"/>
        </w:rPr>
      </w:pPr>
      <w:r>
        <w:rPr>
          <w:rFonts w:hint="eastAsia" w:ascii="宋体" w:hAnsi="宋体"/>
          <w:color w:val="000000"/>
          <w:sz w:val="24"/>
        </w:rPr>
        <w:t xml:space="preserve">12.2对于采用货币报价的项目，开标一览表中的投标总报价应与明细报价表的总额一致，如不一致，不作为无效投标处理，但评标时按开标一览表中价格为准。</w:t>
      </w:r>
      <w:bookmarkEnd w:id="104"/>
      <w:r/>
      <w:bookmarkEnd w:id="105"/>
      <w:r/>
      <w:r/>
    </w:p>
    <w:p>
      <w:pPr>
        <w:pStyle w:val="880"/>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13.</w:t>
      </w:r>
      <w:bookmarkEnd w:id="102"/>
      <w:r/>
      <w:bookmarkEnd w:id="103"/>
      <w:r>
        <w:rPr>
          <w:rFonts w:hint="eastAsia" w:ascii="宋体" w:hAnsi="宋体" w:eastAsia="宋体"/>
          <w:bCs w:val="0"/>
          <w:color w:val="000000"/>
          <w:lang w:eastAsia="zh-CN"/>
        </w:rPr>
        <w:t xml:space="preserve">明细报价表</w:t>
      </w:r>
      <w:r/>
    </w:p>
    <w:p>
      <w:pPr>
        <w:ind w:firstLine="480"/>
        <w:spacing w:line="500" w:lineRule="exact"/>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明细报价表。</w:t>
      </w:r>
      <w:r/>
    </w:p>
    <w:p>
      <w:pPr>
        <w:ind w:firstLine="480"/>
        <w:spacing w:line="500" w:lineRule="exact"/>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880"/>
        <w:ind w:firstLine="422"/>
        <w:keepLines w:val="0"/>
        <w:keepNext w:val="0"/>
        <w:spacing w:before="0" w:after="0" w:line="500" w:lineRule="exact"/>
        <w:rPr>
          <w:rFonts w:ascii="宋体" w:hAnsi="宋体" w:eastAsia="宋体"/>
          <w:bCs w:val="0"/>
          <w:color w:val="000000"/>
          <w:lang w:eastAsia="zh-CN"/>
        </w:rPr>
      </w:pPr>
      <w:r/>
      <w:bookmarkStart w:id="108" w:name="_Hlt26954731"/>
      <w:r/>
      <w:bookmarkEnd w:id="108"/>
      <w:r/>
      <w:bookmarkStart w:id="109" w:name="_Hlt26670403"/>
      <w:r/>
      <w:bookmarkEnd w:id="109"/>
      <w:r/>
      <w:bookmarkStart w:id="110" w:name="_Hlt26670425"/>
      <w:r/>
      <w:bookmarkEnd w:id="110"/>
      <w:r/>
      <w:bookmarkStart w:id="111" w:name="_Hlt26668983"/>
      <w:r/>
      <w:bookmarkEnd w:id="111"/>
      <w:r/>
      <w:bookmarkStart w:id="112" w:name="_Hlt26670486"/>
      <w:r/>
      <w:bookmarkEnd w:id="112"/>
      <w:r/>
      <w:bookmarkStart w:id="113" w:name="_Hlt26954848"/>
      <w:r/>
      <w:bookmarkEnd w:id="113"/>
      <w:r/>
      <w:bookmarkStart w:id="114" w:name="_Hlt26954844"/>
      <w:r/>
      <w:bookmarkEnd w:id="114"/>
      <w:r/>
      <w:bookmarkStart w:id="115" w:name="_Hlt26670482"/>
      <w:r/>
      <w:bookmarkEnd w:id="115"/>
      <w:r/>
      <w:bookmarkStart w:id="116" w:name="_Hlt26954842"/>
      <w:r/>
      <w:bookmarkEnd w:id="116"/>
      <w:r/>
      <w:bookmarkStart w:id="117" w:name="_Hlt26954846"/>
      <w:r/>
      <w:bookmarkEnd w:id="117"/>
      <w:r>
        <w:rPr>
          <w:rFonts w:hint="eastAsia" w:ascii="宋体" w:hAnsi="宋体" w:eastAsia="宋体"/>
          <w:bCs w:val="0"/>
          <w:color w:val="000000"/>
          <w:lang w:eastAsia="zh-CN"/>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880"/>
        <w:ind w:firstLine="422"/>
        <w:keepLines w:val="0"/>
        <w:keepNext w:val="0"/>
        <w:spacing w:before="0" w:after="0" w:line="500" w:lineRule="exact"/>
        <w:rPr>
          <w:rFonts w:ascii="宋体" w:hAnsi="宋体" w:eastAsia="宋体"/>
          <w:bCs w:val="0"/>
          <w:color w:val="000000"/>
          <w:lang w:eastAsia="zh-CN"/>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000000"/>
          <w:lang w:eastAsia="zh-CN"/>
        </w:rPr>
        <w:t xml:space="preserve">15.投标有效期</w:t>
      </w:r>
      <w:bookmarkEnd w:id="121"/>
      <w:r/>
      <w:bookmarkEnd w:id="122"/>
      <w:r/>
      <w:r/>
    </w:p>
    <w:p>
      <w:pPr>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80"/>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16.投标有效期的延长</w:t>
      </w:r>
      <w:r/>
    </w:p>
    <w:p>
      <w:pPr>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无锡市教育信息化和装备管理服务中心于原投标有效期满之前，可向投标人提出延长投标有效期的要求。这种要求与答复均应采用书面形式。投标人可以拒绝无锡市教育信息化和装备管理服务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79"/>
        <w:ind w:firstLine="452"/>
        <w:keepLines w:val="0"/>
        <w:keepNext w:val="0"/>
        <w:spacing w:before="0" w:after="0" w:line="500" w:lineRule="exact"/>
        <w:rPr>
          <w:color w:val="000000"/>
          <w:sz w:val="30"/>
          <w:szCs w:val="30"/>
          <w:lang w:eastAsia="zh-CN"/>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color w:val="000000"/>
          <w:sz w:val="30"/>
          <w:szCs w:val="30"/>
          <w:lang w:eastAsia="zh-CN"/>
        </w:rPr>
        <w:t xml:space="preserve">四、投标文件的递交</w:t>
      </w:r>
      <w:bookmarkEnd w:id="125"/>
      <w:r/>
      <w:bookmarkEnd w:id="126"/>
      <w:r/>
      <w:bookmarkEnd w:id="127"/>
      <w:r/>
      <w:bookmarkEnd w:id="128"/>
      <w:r/>
      <w:r/>
    </w:p>
    <w:p>
      <w:pPr>
        <w:pStyle w:val="880"/>
        <w:ind w:firstLine="422"/>
        <w:keepLines w:val="0"/>
        <w:keepNext w:val="0"/>
        <w:spacing w:before="0" w:after="0" w:line="500" w:lineRule="exact"/>
        <w:rPr>
          <w:rFonts w:ascii="宋体" w:hAnsi="宋体" w:eastAsia="宋体"/>
          <w:bCs w:val="0"/>
          <w:color w:val="000000"/>
          <w:lang w:eastAsia="zh-CN"/>
        </w:rPr>
      </w:pPr>
      <w:r/>
      <w:bookmarkStart w:id="129" w:name="_Toc16938541"/>
      <w:r/>
      <w:bookmarkStart w:id="130" w:name="_Toc513029225"/>
      <w:r/>
      <w:bookmarkStart w:id="131" w:name="_Toc20823297"/>
      <w:r/>
      <w:bookmarkStart w:id="132" w:name="_Toc462564084"/>
      <w:r>
        <w:rPr>
          <w:rFonts w:hint="eastAsia" w:ascii="宋体" w:hAnsi="宋体" w:eastAsia="宋体"/>
          <w:bCs w:val="0"/>
          <w:color w:val="000000"/>
          <w:lang w:eastAsia="zh-CN"/>
        </w:rPr>
        <w:t xml:space="preserve">17.投标文件</w:t>
      </w:r>
      <w:bookmarkEnd w:id="129"/>
      <w:r/>
      <w:bookmarkEnd w:id="130"/>
      <w:r/>
      <w:bookmarkEnd w:id="131"/>
      <w:r/>
      <w:bookmarkEnd w:id="132"/>
      <w:r>
        <w:rPr>
          <w:rFonts w:hint="eastAsia" w:ascii="宋体" w:hAnsi="宋体" w:eastAsia="宋体"/>
          <w:bCs w:val="0"/>
          <w:color w:val="000000"/>
          <w:lang w:eastAsia="zh-CN"/>
        </w:rPr>
        <w:t xml:space="preserve">的递交</w:t>
      </w:r>
      <w:r/>
    </w:p>
    <w:p>
      <w:pPr>
        <w:ind w:firstLine="480"/>
        <w:spacing w:line="5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895"/>
        <w:ind w:firstLine="480"/>
        <w:spacing w:line="5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880"/>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18.投标截止</w:t>
      </w:r>
      <w:bookmarkEnd w:id="133"/>
      <w:r/>
      <w:bookmarkEnd w:id="134"/>
      <w:r/>
      <w:bookmarkEnd w:id="135"/>
      <w:r>
        <w:rPr>
          <w:rFonts w:hint="eastAsia" w:ascii="宋体" w:hAnsi="宋体" w:eastAsia="宋体"/>
          <w:bCs w:val="0"/>
          <w:color w:val="000000"/>
          <w:lang w:eastAsia="zh-CN"/>
        </w:rPr>
        <w:t xml:space="preserve">时间</w:t>
      </w:r>
      <w:r/>
    </w:p>
    <w:p>
      <w:pPr>
        <w:ind w:firstLine="480"/>
        <w:spacing w:line="500" w:lineRule="exact"/>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投标人应</w:t>
      </w:r>
      <w:r>
        <w:rPr>
          <w:rFonts w:hint="eastAsia" w:ascii="宋体" w:hAnsi="宋体"/>
          <w:bCs/>
          <w:color w:val="000000"/>
          <w:sz w:val="24"/>
          <w:lang w:eastAsia="zh-CN"/>
        </w:rPr>
        <w:t xml:space="preserve">充分考虑</w:t>
      </w:r>
      <w:r>
        <w:rPr>
          <w:rFonts w:hint="eastAsia" w:ascii="宋体" w:hAnsi="宋体"/>
          <w:bCs/>
          <w:color w:val="000000"/>
          <w:sz w:val="24"/>
        </w:rPr>
        <w:t xml:space="preserve">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无锡市教育信息化和装备管理服务中心可以按照规定，通过更正公告修改投标截止时间，投标人的所有权利和义务以及投标人受制的截止时间均应以延长后新的截止时间为准。</w:t>
      </w:r>
      <w:r/>
    </w:p>
    <w:p>
      <w:pPr>
        <w:pStyle w:val="880"/>
        <w:ind w:firstLine="422"/>
        <w:keepLines w:val="0"/>
        <w:keepNext w:val="0"/>
        <w:spacing w:before="0" w:after="0" w:line="500" w:lineRule="exact"/>
        <w:rPr>
          <w:rFonts w:ascii="宋体" w:hAnsi="宋体" w:eastAsia="宋体"/>
          <w:bCs w:val="0"/>
          <w:color w:val="000000"/>
          <w:lang w:eastAsia="zh-CN"/>
        </w:rPr>
      </w:pPr>
      <w:r/>
      <w:bookmarkStart w:id="136" w:name="_Toc20823299"/>
      <w:r/>
      <w:bookmarkStart w:id="137" w:name="_Toc513029227"/>
      <w:r/>
      <w:bookmarkStart w:id="138" w:name="_Toc16938543"/>
      <w:r>
        <w:rPr>
          <w:rFonts w:hint="eastAsia" w:ascii="宋体" w:hAnsi="宋体" w:eastAsia="宋体"/>
          <w:bCs w:val="0"/>
          <w:color w:val="000000"/>
          <w:lang w:eastAsia="zh-CN"/>
        </w:rPr>
        <w:t xml:space="preserve">19.投标文件</w:t>
      </w:r>
      <w:bookmarkEnd w:id="136"/>
      <w:r/>
      <w:bookmarkEnd w:id="137"/>
      <w:r/>
      <w:bookmarkEnd w:id="138"/>
      <w:r>
        <w:rPr>
          <w:rFonts w:hint="eastAsia" w:ascii="宋体" w:hAnsi="宋体" w:eastAsia="宋体"/>
          <w:bCs w:val="0"/>
          <w:color w:val="000000"/>
          <w:lang w:eastAsia="zh-CN"/>
        </w:rPr>
        <w:t xml:space="preserve">的拒收</w:t>
      </w:r>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无锡市教育信息化和装备管理服务中心拒绝接收在其规定的投标截止时间后上传的任何投标文件。</w:t>
      </w:r>
      <w:r/>
    </w:p>
    <w:p>
      <w:pPr>
        <w:pStyle w:val="880"/>
        <w:ind w:firstLine="422"/>
        <w:keepLines w:val="0"/>
        <w:keepNext w:val="0"/>
        <w:spacing w:before="0" w:after="0" w:line="500" w:lineRule="exact"/>
        <w:rPr>
          <w:rFonts w:ascii="宋体" w:hAnsi="宋体" w:eastAsia="宋体"/>
          <w:bCs w:val="0"/>
          <w:color w:val="000000"/>
          <w:lang w:eastAsia="zh-CN"/>
        </w:rPr>
      </w:pPr>
      <w:r/>
      <w:bookmarkStart w:id="139" w:name="_Toc20823300"/>
      <w:r/>
      <w:bookmarkStart w:id="140" w:name="_Toc513029228"/>
      <w:r/>
      <w:bookmarkStart w:id="141" w:name="_Toc16938544"/>
      <w:r>
        <w:rPr>
          <w:rFonts w:hint="eastAsia" w:ascii="宋体" w:hAnsi="宋体" w:eastAsia="宋体"/>
          <w:bCs w:val="0"/>
          <w:color w:val="000000"/>
          <w:lang w:eastAsia="zh-CN"/>
        </w:rPr>
        <w:t xml:space="preserve">20.投标文件的撤回和修改</w:t>
      </w:r>
      <w:bookmarkEnd w:id="139"/>
      <w:r/>
      <w:bookmarkEnd w:id="140"/>
      <w:r/>
      <w:bookmarkEnd w:id="141"/>
      <w:r/>
      <w:r/>
    </w:p>
    <w:p>
      <w:pPr>
        <w:ind w:firstLine="480"/>
        <w:spacing w:line="500" w:lineRule="exact"/>
        <w:rPr>
          <w:rFonts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879"/>
        <w:ind w:firstLine="452"/>
        <w:keepLines w:val="0"/>
        <w:keepNext w:val="0"/>
        <w:spacing w:before="0" w:after="0" w:line="500" w:lineRule="exact"/>
        <w:rPr>
          <w:color w:val="000000"/>
          <w:sz w:val="30"/>
          <w:szCs w:val="30"/>
          <w:lang w:eastAsia="zh-CN"/>
        </w:rPr>
      </w:pPr>
      <w:r/>
      <w:bookmarkStart w:id="142" w:name="_Toc120614218"/>
      <w:r/>
      <w:bookmarkStart w:id="143" w:name="_Toc20823301"/>
      <w:r/>
      <w:bookmarkStart w:id="144" w:name="_Toc513029229"/>
      <w:r/>
      <w:bookmarkStart w:id="145" w:name="_Toc16938545"/>
      <w:r>
        <w:rPr>
          <w:rFonts w:hint="eastAsia"/>
          <w:color w:val="000000"/>
          <w:sz w:val="30"/>
          <w:szCs w:val="30"/>
          <w:lang w:eastAsia="zh-CN"/>
        </w:rPr>
        <w:t xml:space="preserve">五、开标与评标</w:t>
      </w:r>
      <w:bookmarkEnd w:id="142"/>
      <w:r/>
      <w:bookmarkEnd w:id="143"/>
      <w:r/>
      <w:bookmarkEnd w:id="144"/>
      <w:r/>
      <w:bookmarkEnd w:id="145"/>
      <w:r/>
      <w:r/>
    </w:p>
    <w:p>
      <w:pPr>
        <w:pStyle w:val="880"/>
        <w:ind w:firstLine="422"/>
        <w:keepLines w:val="0"/>
        <w:keepNext w:val="0"/>
        <w:spacing w:before="0" w:after="0" w:line="500" w:lineRule="exact"/>
        <w:rPr>
          <w:rFonts w:ascii="宋体" w:hAnsi="宋体" w:eastAsia="宋体"/>
          <w:bCs w:val="0"/>
          <w:color w:val="000000"/>
          <w:lang w:eastAsia="zh-CN"/>
        </w:rPr>
      </w:pPr>
      <w:r/>
      <w:bookmarkStart w:id="146" w:name="_Toc513029230"/>
      <w:r/>
      <w:bookmarkStart w:id="147" w:name="_Toc20823302"/>
      <w:r/>
      <w:bookmarkStart w:id="148" w:name="_Toc16938546"/>
      <w:r>
        <w:rPr>
          <w:rFonts w:hint="eastAsia" w:ascii="宋体" w:hAnsi="宋体" w:eastAsia="宋体"/>
          <w:bCs w:val="0"/>
          <w:color w:val="000000"/>
          <w:lang w:eastAsia="zh-CN"/>
        </w:rPr>
        <w:t xml:space="preserve">21.开标</w:t>
      </w:r>
      <w:bookmarkEnd w:id="146"/>
      <w:r/>
      <w:bookmarkEnd w:id="147"/>
      <w:r/>
      <w:bookmarkEnd w:id="148"/>
      <w:r/>
      <w:r/>
    </w:p>
    <w:p>
      <w:pPr>
        <w:ind w:firstLine="480"/>
        <w:spacing w:line="500" w:lineRule="exact"/>
        <w:rPr>
          <w:color w:val="000000"/>
        </w:rPr>
      </w:pPr>
      <w:r>
        <w:rPr>
          <w:rFonts w:hint="eastAsia" w:ascii="宋体" w:hAnsi="宋体"/>
          <w:color w:val="000000"/>
          <w:sz w:val="24"/>
        </w:rPr>
        <w:t xml:space="preserve">21.1</w:t>
      </w:r>
      <w:r>
        <w:rPr>
          <w:rFonts w:hint="eastAsia" w:ascii="宋体" w:hAnsi="宋体"/>
          <w:bCs/>
          <w:color w:val="000000"/>
          <w:sz w:val="24"/>
        </w:rPr>
        <w:t xml:space="preserve">无锡市教育信息化和装备管理服务中心将在招标公告中规定的时间和地点组织公开开标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ascii="宋体" w:hAnsi="宋体"/>
          <w:color w:val="000000"/>
          <w:sz w:val="24"/>
        </w:rPr>
      </w:pPr>
      <w:r>
        <w:rPr>
          <w:rFonts w:hint="eastAsia" w:ascii="宋体" w:hAnsi="宋体"/>
          <w:color w:val="000000"/>
          <w:sz w:val="24"/>
        </w:rPr>
        <w:t xml:space="preserve">21.2开标仪式由无锡市教育信息化和装备管理服务中心组织。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lang w:eastAsia="zh-CN"/>
        </w:rPr>
        <w:t xml:space="preserve">涉及的</w:t>
      </w:r>
      <w:r>
        <w:rPr>
          <w:rFonts w:hint="eastAsia" w:ascii="宋体" w:hAnsi="宋体"/>
          <w:color w:val="000000"/>
          <w:sz w:val="24"/>
        </w:rPr>
        <w:t xml:space="preserve">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880"/>
        <w:ind w:firstLine="422"/>
        <w:keepLines w:val="0"/>
        <w:keepNext w:val="0"/>
        <w:spacing w:before="0" w:after="0" w:line="500" w:lineRule="exact"/>
        <w:rPr>
          <w:rFonts w:ascii="宋体" w:hAnsi="宋体" w:eastAsia="宋体"/>
          <w:bCs w:val="0"/>
          <w:color w:val="000000"/>
          <w:lang w:eastAsia="zh-CN"/>
        </w:rPr>
      </w:pPr>
      <w:r/>
      <w:bookmarkStart w:id="149" w:name="_Toc513029231"/>
      <w:r/>
      <w:bookmarkStart w:id="150" w:name="_Toc20823303"/>
      <w:r/>
      <w:bookmarkStart w:id="151" w:name="_Toc16938547"/>
      <w:r>
        <w:rPr>
          <w:rFonts w:hint="eastAsia" w:ascii="宋体" w:hAnsi="宋体" w:eastAsia="宋体"/>
          <w:bCs w:val="0"/>
          <w:color w:val="000000"/>
          <w:lang w:eastAsia="zh-CN"/>
        </w:rPr>
        <w:t xml:space="preserve">22.评标委员会</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22.1开标后，无锡市教育信息化和装备管理服务中心将立即组织评标委员会（以下简称评委会）进行评标。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880"/>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23.评标过程的保密与公正</w:t>
      </w:r>
      <w:bookmarkEnd w:id="149"/>
      <w:r/>
      <w:bookmarkEnd w:id="150"/>
      <w:r/>
      <w:bookmarkEnd w:id="151"/>
      <w:r/>
      <w:r/>
    </w:p>
    <w:p>
      <w:pPr>
        <w:ind w:firstLine="480"/>
        <w:spacing w:line="500" w:lineRule="exact"/>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w:t>
      </w:r>
      <w:r>
        <w:rPr>
          <w:rFonts w:hint="eastAsia" w:ascii="宋体" w:hAnsi="宋体"/>
          <w:bCs/>
          <w:color w:val="000000"/>
          <w:sz w:val="24"/>
          <w:lang w:eastAsia="zh-CN"/>
        </w:rPr>
        <w:t xml:space="preserve">投标</w:t>
      </w:r>
      <w:r>
        <w:rPr>
          <w:rFonts w:hint="eastAsia" w:ascii="宋体" w:hAnsi="宋体"/>
          <w:bCs/>
          <w:color w:val="000000"/>
          <w:sz w:val="24"/>
        </w:rPr>
        <w:t xml:space="preserve">建议等，采购人、评委、无锡市教育信息化和装备管理服务中心均不得向投标人或与评标无关的其他人员透露。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无锡市教育信息化和装备管理服务中心和评标委员会不向未中标的投标人解释未中标原因，也不公布评标过程中的相关细节。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880"/>
        <w:ind w:firstLine="422"/>
        <w:keepLines w:val="0"/>
        <w:keepNext w:val="0"/>
        <w:spacing w:before="0" w:after="0" w:line="500" w:lineRule="exact"/>
        <w:rPr>
          <w:rFonts w:ascii="宋体" w:hAnsi="宋体" w:eastAsia="宋体"/>
          <w:bCs w:val="0"/>
          <w:color w:val="000000"/>
          <w:lang w:eastAsia="zh-CN"/>
        </w:rPr>
      </w:pPr>
      <w:r/>
      <w:bookmarkStart w:id="152" w:name="_Toc20823304"/>
      <w:r/>
      <w:bookmarkStart w:id="153" w:name="_Toc513029232"/>
      <w:r/>
      <w:bookmarkStart w:id="154" w:name="_Toc16938548"/>
      <w:r>
        <w:rPr>
          <w:rFonts w:hint="eastAsia" w:ascii="宋体" w:hAnsi="宋体" w:eastAsia="宋体"/>
          <w:bCs w:val="0"/>
          <w:color w:val="000000"/>
          <w:lang w:eastAsia="zh-CN"/>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p>
    <w:p>
      <w:pPr>
        <w:pStyle w:val="880"/>
        <w:ind w:firstLine="422"/>
        <w:keepLines w:val="0"/>
        <w:keepNext w:val="0"/>
        <w:spacing w:before="0" w:after="0" w:line="500" w:lineRule="exact"/>
        <w:rPr>
          <w:rFonts w:ascii="宋体" w:hAnsi="宋体" w:eastAsia="宋体"/>
          <w:bCs w:val="0"/>
          <w:color w:val="000000"/>
          <w:lang w:eastAsia="zh-CN"/>
        </w:rPr>
      </w:pPr>
      <w:r/>
      <w:bookmarkStart w:id="155" w:name="_Toc513029233"/>
      <w:r/>
      <w:bookmarkStart w:id="156" w:name="_Toc20823305"/>
      <w:r/>
      <w:bookmarkStart w:id="157" w:name="_Toc16938549"/>
      <w:r>
        <w:rPr>
          <w:rFonts w:hint="eastAsia" w:ascii="宋体" w:hAnsi="宋体" w:eastAsia="宋体"/>
          <w:bCs w:val="0"/>
          <w:color w:val="000000"/>
          <w:lang w:eastAsia="zh-CN"/>
        </w:rPr>
        <w:t xml:space="preserve">25.对投标文件的初审</w:t>
      </w:r>
      <w:bookmarkEnd w:id="155"/>
      <w:r/>
      <w:bookmarkEnd w:id="156"/>
      <w:r/>
      <w:bookmarkEnd w:id="157"/>
      <w:r/>
      <w:r/>
    </w:p>
    <w:p>
      <w:pPr>
        <w:ind w:firstLine="480"/>
        <w:spacing w:line="50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25.1.1资格审查：依据法律法规和招标文件的规定，由采购人或采购代理机构对投标文件中的资格证明文件进行审查。</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采购人</w:t>
      </w:r>
      <w:r>
        <w:rPr>
          <w:rFonts w:hint="eastAsia" w:ascii="宋体" w:hAnsi="宋体"/>
          <w:bCs/>
          <w:color w:val="000000"/>
          <w:sz w:val="24"/>
        </w:rPr>
        <w:t xml:space="preserve">或采购代理机构</w:t>
      </w:r>
      <w:r>
        <w:rPr>
          <w:rFonts w:hint="eastAsia" w:ascii="宋体" w:hAnsi="宋体" w:cs="宋体"/>
          <w:bCs/>
          <w:color w:val="000000"/>
          <w:sz w:val="24"/>
        </w:rPr>
        <w:t xml:space="preserve">在进行资格审查的同时，将</w:t>
      </w:r>
      <w:r>
        <w:rPr>
          <w:rFonts w:hint="eastAsia" w:ascii="宋体" w:hAnsi="宋体" w:cs="宋体"/>
          <w:bCs/>
          <w:color w:val="000000"/>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联合体成员存在不良信用记录的，视同联合体存在不良信用记录。</w:t>
      </w:r>
      <w:r/>
    </w:p>
    <w:p>
      <w:pPr>
        <w:ind w:firstLine="480"/>
        <w:spacing w:line="5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无锡市教育信息化和装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w:t>
      </w:r>
      <w:r>
        <w:rPr>
          <w:rFonts w:hint="eastAsia" w:ascii="宋体" w:hAnsi="宋体"/>
          <w:color w:val="000000"/>
          <w:sz w:val="24"/>
          <w:lang w:eastAsia="zh-CN"/>
        </w:rPr>
        <w:t xml:space="preserve">不符</w:t>
      </w:r>
      <w:r>
        <w:rPr>
          <w:rFonts w:hint="eastAsia" w:ascii="宋体" w:hAnsi="宋体"/>
          <w:color w:val="000000"/>
          <w:sz w:val="24"/>
        </w:rPr>
        <w:t xml:space="preserve">合要求的偏离或保留而使其投标成为实质性响应的投标。</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rPr>
      </w:pPr>
      <w:r/>
      <w:bookmarkStart w:id="158" w:name="_Toc20823306"/>
      <w:r/>
      <w:bookmarkStart w:id="159" w:name="_Toc16938550"/>
      <w:r/>
      <w:bookmarkStart w:id="160" w:name="_Toc513029234"/>
      <w:r>
        <w:rPr>
          <w:rFonts w:hint="eastAsia" w:ascii="宋体" w:hAnsi="宋体"/>
          <w:color w:val="000000"/>
          <w:sz w:val="24"/>
        </w:rPr>
        <w:t xml:space="preserve">25.6投标人在开、评标全过程中应</w:t>
      </w:r>
      <w:r>
        <w:rPr>
          <w:rFonts w:hint="eastAsia" w:ascii="宋体" w:hAnsi="宋体"/>
          <w:color w:val="000000"/>
          <w:sz w:val="24"/>
          <w:lang w:eastAsia="zh-CN"/>
        </w:rPr>
        <w:t xml:space="preserve">保持通信畅通</w:t>
      </w:r>
      <w:r>
        <w:rPr>
          <w:rFonts w:hint="eastAsia" w:ascii="宋体" w:hAnsi="宋体"/>
          <w:color w:val="000000"/>
          <w:sz w:val="24"/>
        </w:rPr>
        <w:t xml:space="preserve">，及时登录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880"/>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26</w:t>
      </w:r>
      <w:bookmarkEnd w:id="158"/>
      <w:r/>
      <w:bookmarkEnd w:id="159"/>
      <w:r/>
      <w:bookmarkEnd w:id="160"/>
      <w:r>
        <w:rPr>
          <w:rFonts w:hint="eastAsia" w:ascii="宋体" w:hAnsi="宋体" w:eastAsia="宋体"/>
          <w:bCs w:val="0"/>
          <w:color w:val="000000"/>
          <w:lang w:eastAsia="zh-CN"/>
        </w:rPr>
        <w:t xml:space="preserve">.无效投标条款和废标条款</w:t>
      </w:r>
      <w:r/>
    </w:p>
    <w:p>
      <w:pPr>
        <w:ind w:left="479"/>
        <w:spacing w:line="500" w:lineRule="exact"/>
        <w:rPr>
          <w:rFonts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500" w:lineRule="exact"/>
        <w:rPr>
          <w:rFonts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p>
    <w:p>
      <w:pPr>
        <w:ind w:firstLine="480"/>
        <w:spacing w:line="500" w:lineRule="exact"/>
        <w:rPr>
          <w:rFonts w:ascii="宋体" w:hAnsi="宋体"/>
          <w:bCs/>
          <w:color w:val="000000"/>
          <w:sz w:val="24"/>
        </w:rPr>
      </w:pPr>
      <w:r>
        <w:rPr>
          <w:rFonts w:hint="eastAsia" w:ascii="宋体" w:hAnsi="宋体"/>
          <w:bCs/>
          <w:color w:val="000000"/>
          <w:sz w:val="24"/>
        </w:rPr>
        <w:t xml:space="preserve">26.1.24其他</w:t>
      </w:r>
      <w:r>
        <w:rPr>
          <w:rFonts w:hint="eastAsia" w:ascii="宋体" w:hAnsi="宋体"/>
          <w:bCs/>
          <w:color w:val="000000"/>
          <w:sz w:val="24"/>
          <w:lang w:eastAsia="zh-CN"/>
        </w:rPr>
        <w:t xml:space="preserve">法律法规</w:t>
      </w:r>
      <w:r>
        <w:rPr>
          <w:rFonts w:hint="eastAsia" w:ascii="宋体" w:hAnsi="宋体"/>
          <w:bCs/>
          <w:color w:val="000000"/>
          <w:sz w:val="24"/>
        </w:rPr>
        <w:t xml:space="preserve">及本招标文件规定的属无效投标的情形。</w:t>
      </w:r>
      <w:r/>
    </w:p>
    <w:p>
      <w:pPr>
        <w:ind w:left="479"/>
        <w:spacing w:line="500" w:lineRule="exact"/>
        <w:rPr>
          <w:rFonts w:ascii="宋体" w:hAnsi="宋体"/>
          <w:bCs/>
          <w:color w:val="000000"/>
          <w:sz w:val="24"/>
        </w:rPr>
      </w:pPr>
      <w:r>
        <w:rPr>
          <w:rFonts w:hint="eastAsia" w:ascii="宋体" w:hAnsi="宋体"/>
          <w:bCs/>
          <w:color w:val="000000"/>
          <w:sz w:val="24"/>
        </w:rPr>
        <w:t xml:space="preserve">26.2废标条款</w:t>
      </w:r>
      <w:r/>
    </w:p>
    <w:p>
      <w:pPr>
        <w:ind w:left="479"/>
        <w:spacing w:line="500" w:lineRule="exact"/>
        <w:rPr>
          <w:rFonts w:ascii="宋体" w:hAnsi="宋体"/>
          <w:bCs/>
          <w:color w:val="000000"/>
          <w:sz w:val="24"/>
        </w:rPr>
      </w:pPr>
      <w:r>
        <w:rPr>
          <w:rFonts w:hint="eastAsia" w:ascii="宋体" w:hAnsi="宋体"/>
          <w:bCs/>
          <w:color w:val="000000"/>
          <w:sz w:val="24"/>
        </w:rPr>
        <w:t xml:space="preserve">26.2.1符合专业条件的供应商或者对招标文件</w:t>
      </w:r>
      <w:r>
        <w:rPr>
          <w:rFonts w:hint="eastAsia" w:ascii="宋体" w:hAnsi="宋体"/>
          <w:bCs/>
          <w:color w:val="000000"/>
          <w:sz w:val="24"/>
          <w:lang w:eastAsia="zh-CN"/>
        </w:rPr>
        <w:t xml:space="preserve">做</w:t>
      </w:r>
      <w:r>
        <w:rPr>
          <w:rFonts w:hint="eastAsia" w:ascii="宋体" w:hAnsi="宋体"/>
          <w:bCs/>
          <w:color w:val="000000"/>
          <w:sz w:val="24"/>
        </w:rPr>
        <w:t xml:space="preserve">实质响应的供应商不足三家的。26.2.2出现影响采购公正的违法、违规行为的。</w:t>
      </w:r>
      <w:r/>
    </w:p>
    <w:p>
      <w:pPr>
        <w:ind w:left="479"/>
        <w:spacing w:line="500" w:lineRule="exact"/>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879"/>
        <w:ind w:firstLine="452"/>
        <w:keepLines w:val="0"/>
        <w:keepNext w:val="0"/>
        <w:spacing w:before="0" w:after="0" w:line="500" w:lineRule="exact"/>
        <w:rPr>
          <w:color w:val="000000"/>
          <w:sz w:val="30"/>
          <w:szCs w:val="30"/>
          <w:lang w:eastAsia="zh-CN"/>
        </w:rPr>
      </w:pPr>
      <w:r/>
      <w:bookmarkStart w:id="164" w:name="_Toc120614219"/>
      <w:r>
        <w:rPr>
          <w:rFonts w:hint="eastAsia"/>
          <w:color w:val="000000"/>
          <w:sz w:val="30"/>
          <w:szCs w:val="30"/>
          <w:lang w:eastAsia="zh-CN"/>
        </w:rPr>
        <w:t xml:space="preserve">六、</w:t>
      </w:r>
      <w:bookmarkEnd w:id="161"/>
      <w:r/>
      <w:bookmarkEnd w:id="162"/>
      <w:r/>
      <w:bookmarkEnd w:id="163"/>
      <w:r>
        <w:rPr>
          <w:rFonts w:hint="eastAsia"/>
          <w:color w:val="000000"/>
          <w:sz w:val="30"/>
          <w:szCs w:val="30"/>
          <w:lang w:eastAsia="zh-CN"/>
        </w:rPr>
        <w:t xml:space="preserve">定标</w:t>
      </w:r>
      <w:bookmarkEnd w:id="164"/>
      <w:r/>
      <w:r/>
    </w:p>
    <w:p>
      <w:pPr>
        <w:pStyle w:val="880"/>
        <w:ind w:firstLine="422"/>
        <w:keepLines w:val="0"/>
        <w:keepNext w:val="0"/>
        <w:spacing w:before="0" w:after="0" w:line="500" w:lineRule="exact"/>
        <w:rPr>
          <w:rFonts w:ascii="宋体" w:hAnsi="宋体" w:eastAsia="宋体"/>
          <w:bCs w:val="0"/>
          <w:color w:val="000000"/>
          <w:lang w:eastAsia="zh-CN"/>
        </w:rPr>
      </w:pPr>
      <w:r/>
      <w:bookmarkStart w:id="165" w:name="_Toc513029238"/>
      <w:r/>
      <w:bookmarkStart w:id="166" w:name="_Toc20823310"/>
      <w:r/>
      <w:bookmarkStart w:id="167" w:name="_Toc16938554"/>
      <w:r>
        <w:rPr>
          <w:rFonts w:hint="eastAsia" w:ascii="宋体" w:hAnsi="宋体" w:eastAsia="宋体"/>
          <w:bCs w:val="0"/>
          <w:color w:val="000000"/>
          <w:lang w:eastAsia="zh-CN"/>
        </w:rPr>
        <w:t xml:space="preserve">27</w:t>
      </w:r>
      <w:bookmarkEnd w:id="165"/>
      <w:r>
        <w:rPr>
          <w:rFonts w:hint="eastAsia" w:ascii="宋体" w:hAnsi="宋体" w:eastAsia="宋体"/>
          <w:bCs w:val="0"/>
          <w:color w:val="000000"/>
          <w:lang w:eastAsia="zh-CN"/>
        </w:rPr>
        <w:t xml:space="preserve">.确定</w:t>
      </w:r>
      <w:bookmarkEnd w:id="166"/>
      <w:r/>
      <w:bookmarkEnd w:id="167"/>
      <w:r>
        <w:rPr>
          <w:rFonts w:hint="eastAsia" w:ascii="宋体" w:hAnsi="宋体" w:eastAsia="宋体"/>
          <w:bCs w:val="0"/>
          <w:color w:val="000000"/>
          <w:lang w:eastAsia="zh-CN"/>
        </w:rPr>
        <w:t xml:space="preserve">中标单位</w:t>
      </w:r>
      <w:r/>
    </w:p>
    <w:p>
      <w:pPr>
        <w:ind w:firstLine="480"/>
        <w:spacing w:line="500" w:lineRule="exact"/>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rPr>
      </w:pPr>
      <w:r>
        <w:rPr>
          <w:rFonts w:hint="eastAsia" w:ascii="宋体" w:hAnsi="宋体"/>
          <w:bCs/>
          <w:color w:val="000000"/>
          <w:sz w:val="24"/>
        </w:rPr>
        <w:t xml:space="preserve">27.2采购人应根据评委会推荐的中标候选人名单中按排名先后顺序确定第一名投标人为中标单位。联合体中标的，联合体各方应当共同与采购人签订合同，就中标项目向采购人承担连带责任。</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无锡市教育信息化和装备管理服务中心将在“江苏政府采购网”发布中标公告，公告期限为1个工作日。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27.4.2向采购人、无锡市教育信息化和装备管理服务中心行贿或者提供其他不正当利益的。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880"/>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28.质疑处理</w:t>
      </w:r>
      <w:bookmarkEnd w:id="16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无锡市教育信息化和装备管理服务中心</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color w:val="000000"/>
          <w:sz w:val="24"/>
          <w:szCs w:val="24"/>
        </w:rPr>
        <w:t xml:space="preserve">质疑。供应商如在法定期限内对同一采购程序环节提出多次质疑的，无锡市教育信息化和装备管理服务中心、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教育信息化和装备管理服务中心提出，由无锡市教育信息化和装备管理服务中心负责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采购人、无锡市教育信息化和装备管理服务中心只接收以纸质原件形式送达的质疑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质疑供应商可通过面交或邮寄方式送达（采购人和无锡市教育信息化和装备管理服务中心不接受未填写快递运单的快件）。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采购人、无锡市教育信息化和装备管理服务中心联系人、联系方式、通信地址见招标文件第一章。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一经查实，无锡市教育信息化和装备管理服务中心有权依据政府采购的有关规定，报请政府采购监管部门对该供应商进行相应的行政处罚和记录该供应商的失信信息。</w:t>
      </w:r>
      <w:r/>
    </w:p>
    <w:p>
      <w:pPr>
        <w:pStyle w:val="880"/>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29.l中标结果确定后，无锡市教育信息化和装备管理服务中心将向中标人发出中标通知书。请中标人在中标结果公告届满之日起30日内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9"/>
        <w:ind w:firstLine="452"/>
        <w:keepLines w:val="0"/>
        <w:keepNext w:val="0"/>
        <w:spacing w:before="0" w:after="0" w:line="500" w:lineRule="exact"/>
        <w:rPr>
          <w:color w:val="000000"/>
          <w:sz w:val="30"/>
          <w:szCs w:val="30"/>
          <w:lang w:eastAsia="zh-CN"/>
        </w:rPr>
      </w:pPr>
      <w:r/>
      <w:bookmarkStart w:id="169" w:name="_Toc120614220"/>
      <w:r/>
      <w:bookmarkStart w:id="170" w:name="_Toc513029236"/>
      <w:r/>
      <w:bookmarkStart w:id="171" w:name="_Toc16938552"/>
      <w:r/>
      <w:bookmarkStart w:id="172" w:name="_Toc20823308"/>
      <w:r>
        <w:rPr>
          <w:rFonts w:hint="eastAsia"/>
          <w:color w:val="000000"/>
          <w:sz w:val="30"/>
          <w:szCs w:val="30"/>
          <w:lang w:eastAsia="zh-CN"/>
        </w:rPr>
        <w:t xml:space="preserve">七、授予合同</w:t>
      </w:r>
      <w:bookmarkEnd w:id="169"/>
      <w:r/>
      <w:bookmarkEnd w:id="170"/>
      <w:r/>
      <w:bookmarkEnd w:id="171"/>
      <w:r/>
      <w:bookmarkEnd w:id="172"/>
      <w:r/>
      <w:r/>
    </w:p>
    <w:p>
      <w:pPr>
        <w:pStyle w:val="880"/>
        <w:ind w:firstLine="422"/>
        <w:keepLines w:val="0"/>
        <w:keepNext w:val="0"/>
        <w:spacing w:before="0" w:after="0" w:line="500" w:lineRule="exact"/>
        <w:rPr>
          <w:rFonts w:ascii="宋体" w:hAnsi="宋体" w:eastAsia="宋体"/>
          <w:bCs w:val="0"/>
          <w:color w:val="000000"/>
          <w:lang w:eastAsia="zh-CN"/>
        </w:rPr>
      </w:pPr>
      <w:r/>
      <w:bookmarkStart w:id="173" w:name="_Toc20823309"/>
      <w:r/>
      <w:bookmarkStart w:id="174" w:name="_Toc513029237"/>
      <w:r/>
      <w:bookmarkStart w:id="175" w:name="_Toc16938553"/>
      <w:r>
        <w:rPr>
          <w:rFonts w:hint="eastAsia" w:ascii="宋体" w:hAnsi="宋体" w:eastAsia="宋体"/>
          <w:bCs w:val="0"/>
          <w:color w:val="000000"/>
          <w:lang w:eastAsia="zh-CN"/>
        </w:rPr>
        <w:t xml:space="preserve">30.签订合同</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30.2中标人非因不可抗力未履行招、投标文件和合同规定的义务，一经查实，无锡市教育信息化和装备管理服务中心将根据具体情况提请政府采购管理部门作出相应处理。</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0"/>
        <w:ind w:firstLine="422"/>
        <w:keepLines w:val="0"/>
        <w:keepNext w:val="0"/>
        <w:spacing w:before="0" w:after="0" w:line="500" w:lineRule="exact"/>
        <w:rPr>
          <w:rFonts w:ascii="宋体" w:hAnsi="宋体" w:eastAsia="宋体"/>
          <w:bCs w:val="0"/>
          <w:color w:val="000000"/>
          <w:lang w:eastAsia="zh-CN"/>
        </w:rPr>
      </w:pPr>
      <w:r>
        <w:rPr>
          <w:rFonts w:hint="eastAsia" w:ascii="宋体" w:hAnsi="宋体" w:eastAsia="宋体"/>
          <w:bCs w:val="0"/>
          <w:color w:val="000000"/>
          <w:lang w:eastAsia="zh-CN"/>
        </w:rPr>
        <w:t xml:space="preserve">31.服务（包含与服务相关的货物）的追加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sz w:val="24"/>
          <w:szCs w:val="24"/>
          <w:lang w:eastAsia="zh-CN"/>
        </w:rPr>
        <w:t xml:space="preserve">额的</w:t>
      </w:r>
      <w:r>
        <w:rPr>
          <w:rFonts w:hint="eastAsia" w:ascii="宋体" w:hAnsi="宋体"/>
          <w:color w:val="000000"/>
          <w:sz w:val="24"/>
          <w:szCs w:val="24"/>
        </w:rPr>
        <w:t xml:space="preserve">10%。</w:t>
      </w:r>
      <w:bookmarkEnd w:id="173"/>
      <w:r/>
      <w:bookmarkEnd w:id="174"/>
      <w:r/>
      <w:bookmarkEnd w:id="175"/>
      <w:r/>
      <w:r/>
    </w:p>
    <w:p>
      <w:pPr>
        <w:pStyle w:val="883"/>
        <w:jc w:val="center"/>
        <w:spacing w:line="500" w:lineRule="exact"/>
        <w:rPr>
          <w:rFonts w:ascii="黑体" w:eastAsia="黑体"/>
          <w:bCs/>
          <w:color w:val="000000"/>
          <w:sz w:val="36"/>
          <w:szCs w:val="36"/>
          <w:lang w:eastAsia="zh-CN"/>
        </w:rPr>
      </w:pPr>
      <w:r/>
      <w:bookmarkStart w:id="176" w:name="_Toc479757207"/>
      <w:r/>
      <w:bookmarkStart w:id="177" w:name="_Toc120614221"/>
      <w:r/>
      <w:bookmarkStart w:id="178" w:name="_Toc513029242"/>
      <w:r/>
      <w:bookmarkStart w:id="179" w:name="_Toc16938558"/>
      <w:r/>
      <w:bookmarkStart w:id="180" w:name="_Toc20823314"/>
      <w:r>
        <w:rPr>
          <w:rFonts w:ascii="宋体" w:hAnsi="宋体"/>
          <w:bCs/>
          <w:color w:val="000000"/>
          <w:sz w:val="24"/>
          <w:shd w:val="clear" w:color="ffffff" w:fill="d9d9d9"/>
          <w:lang w:eastAsia="zh-CN"/>
        </w:rPr>
        <w:br w:type="page" w:clear="all"/>
      </w:r>
      <w:r>
        <w:rPr>
          <w:rFonts w:hint="eastAsia" w:ascii="黑体" w:eastAsia="黑体"/>
          <w:bCs/>
          <w:color w:val="000000"/>
          <w:sz w:val="36"/>
          <w:szCs w:val="36"/>
          <w:lang w:eastAsia="zh-CN"/>
        </w:rPr>
        <w:t xml:space="preserve">第三章  合同</w:t>
      </w:r>
      <w:bookmarkEnd w:id="176"/>
      <w:r/>
      <w:bookmarkEnd w:id="177"/>
      <w:r/>
      <w:bookmarkEnd w:id="178"/>
      <w:r/>
      <w:bookmarkEnd w:id="179"/>
      <w:r/>
      <w:bookmarkEnd w:id="180"/>
      <w:r>
        <w:rPr>
          <w:rFonts w:hint="eastAsia" w:ascii="黑体" w:eastAsia="黑体"/>
          <w:bCs/>
          <w:color w:val="000000"/>
          <w:sz w:val="36"/>
          <w:szCs w:val="36"/>
          <w:lang w:eastAsia="zh-CN"/>
        </w:rPr>
        <w:t xml:space="preserve">文本</w:t>
      </w:r>
      <w:r/>
    </w:p>
    <w:p>
      <w:pPr>
        <w:ind w:firstLine="480"/>
        <w:spacing w:line="400" w:lineRule="exact"/>
        <w:rPr>
          <w:rFonts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以下为中标后签订本项目合同的通用条款，中标人不得提出实质性的修改。</w:t>
      </w:r>
      <w:r/>
    </w:p>
    <w:p>
      <w:pPr>
        <w:ind w:firstLine="602"/>
        <w:jc w:val="center"/>
        <w:spacing w:line="400" w:lineRule="exact"/>
        <w:rPr>
          <w:rFonts w:ascii="宋体" w:hAnsi="宋体"/>
          <w:b/>
          <w:bCs/>
          <w:sz w:val="30"/>
          <w:szCs w:val="20"/>
        </w:rPr>
      </w:pPr>
      <w:r>
        <w:rPr>
          <w:rFonts w:hint="eastAsia" w:ascii="宋体" w:hAnsi="宋体"/>
          <w:b/>
          <w:sz w:val="30"/>
        </w:rPr>
        <w:t xml:space="preserve">江苏省政府采购合同</w:t>
      </w:r>
      <w:r/>
    </w:p>
    <w:p>
      <w:pPr>
        <w:spacing w:line="400" w:lineRule="exact"/>
        <w:rPr>
          <w:rFonts w:ascii="宋体" w:hAnsi="宋体" w:cs="Courier New"/>
          <w:sz w:val="24"/>
          <w:szCs w:val="24"/>
        </w:rPr>
      </w:pPr>
      <w:r>
        <w:rPr>
          <w:rFonts w:ascii="宋体" w:hAnsi="宋体" w:cs="Courier New"/>
          <w:sz w:val="24"/>
          <w:szCs w:val="24"/>
        </w:rPr>
        <w:t xml:space="preserve">项目名称：                                       项目编号：</w:t>
      </w:r>
      <w:r/>
    </w:p>
    <w:p>
      <w:pPr>
        <w:spacing w:line="400" w:lineRule="exact"/>
        <w:rPr>
          <w:rFonts w:ascii="宋体" w:hAnsi="宋体" w:cs="Courier New"/>
          <w:sz w:val="24"/>
          <w:szCs w:val="24"/>
        </w:rPr>
      </w:pPr>
      <w:r>
        <w:rPr>
          <w:rFonts w:ascii="宋体" w:hAnsi="宋体" w:cs="Courier New"/>
          <w:sz w:val="24"/>
          <w:szCs w:val="24"/>
        </w:rPr>
        <w:t xml:space="preserve">甲方：（买方、需方、采购人）_________</w:t>
      </w:r>
      <w:r/>
    </w:p>
    <w:p>
      <w:pPr>
        <w:spacing w:line="400" w:lineRule="exact"/>
        <w:rPr>
          <w:rFonts w:ascii="宋体" w:hAnsi="宋体" w:cs="Courier New"/>
          <w:sz w:val="24"/>
          <w:szCs w:val="24"/>
        </w:rPr>
      </w:pPr>
      <w:r>
        <w:rPr>
          <w:rFonts w:ascii="宋体" w:hAnsi="宋体" w:cs="Courier New"/>
          <w:sz w:val="24"/>
          <w:szCs w:val="24"/>
        </w:rPr>
        <w:t xml:space="preserve">乙方：（卖方、供方、供应商）_________</w:t>
      </w:r>
      <w:r/>
    </w:p>
    <w:p>
      <w:pPr>
        <w:ind w:firstLine="480"/>
        <w:spacing w:line="400" w:lineRule="exact"/>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无锡市公共资源交易中心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p>
    <w:p>
      <w:pPr>
        <w:ind w:firstLine="482"/>
        <w:spacing w:line="40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0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firstLine="480"/>
        <w:spacing w:line="400" w:lineRule="exact"/>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1.3 标的数量（规模）：</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1.4 履行时间（期限）：</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1.5 履行地点：</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1.7 包装方式：</w:t>
      </w:r>
      <w:r/>
    </w:p>
    <w:p>
      <w:pPr>
        <w:ind w:firstLine="482"/>
        <w:spacing w:line="400" w:lineRule="exact"/>
        <w:rPr>
          <w:rFonts w:ascii="宋体" w:hAnsi="宋体" w:cs="Courier New"/>
          <w:b/>
          <w:sz w:val="24"/>
          <w:szCs w:val="24"/>
        </w:rPr>
      </w:pPr>
      <w:r>
        <w:rPr>
          <w:rFonts w:ascii="宋体" w:hAnsi="宋体" w:cs="Courier New"/>
          <w:b/>
          <w:sz w:val="24"/>
          <w:szCs w:val="24"/>
        </w:rPr>
        <w:t xml:space="preserve">二、合同金额</w:t>
      </w:r>
      <w:r/>
    </w:p>
    <w:p>
      <w:pPr>
        <w:ind w:firstLine="480"/>
        <w:spacing w:line="400" w:lineRule="exact"/>
        <w:rPr>
          <w:rFonts w:ascii="宋体" w:hAnsi="宋体" w:cs="Courier New"/>
          <w:sz w:val="24"/>
          <w:szCs w:val="24"/>
        </w:rPr>
      </w:pPr>
      <w:r>
        <w:rPr>
          <w:rFonts w:ascii="宋体" w:hAnsi="宋体" w:cs="Courier New"/>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sz w:val="24"/>
          <w:szCs w:val="24"/>
        </w:rPr>
      </w:pPr>
      <w:r>
        <w:rPr>
          <w:rFonts w:ascii="宋体" w:hAnsi="宋体" w:cs="Courier New"/>
          <w:b/>
          <w:sz w:val="24"/>
          <w:szCs w:val="24"/>
        </w:rPr>
        <w:t xml:space="preserve">三、技术资料</w:t>
      </w:r>
      <w:r/>
    </w:p>
    <w:p>
      <w:pPr>
        <w:ind w:firstLine="480"/>
        <w:spacing w:line="400" w:lineRule="exact"/>
        <w:rPr>
          <w:rFonts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lang w:eastAsia="zh-CN"/>
        </w:rPr>
        <w:t xml:space="preserve">（</w:t>
      </w:r>
      <w:r>
        <w:rPr>
          <w:rFonts w:hint="eastAsia" w:ascii="宋体" w:hAnsi="宋体" w:cs="Courier New"/>
          <w:sz w:val="24"/>
          <w:szCs w:val="24"/>
        </w:rPr>
        <w:t xml:space="preserve">包含与货物相关的服务</w:t>
      </w:r>
      <w:r>
        <w:rPr>
          <w:rFonts w:hint="eastAsia" w:ascii="宋体" w:hAnsi="宋体" w:cs="Courier New"/>
          <w:sz w:val="24"/>
          <w:szCs w:val="24"/>
          <w:lang w:eastAsia="zh-CN"/>
        </w:rPr>
        <w:t xml:space="preserve">）</w:t>
      </w:r>
      <w:r>
        <w:rPr>
          <w:rFonts w:ascii="宋体" w:hAnsi="宋体" w:cs="Courier New"/>
          <w:sz w:val="24"/>
          <w:szCs w:val="24"/>
        </w:rPr>
        <w:t xml:space="preserve">的有关技术资料。</w:t>
      </w:r>
      <w:r/>
    </w:p>
    <w:p>
      <w:pPr>
        <w:ind w:firstLine="480"/>
        <w:spacing w:line="400" w:lineRule="exact"/>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00" w:lineRule="exact"/>
        <w:rPr>
          <w:rFonts w:ascii="宋体" w:hAnsi="宋体"/>
          <w:sz w:val="24"/>
        </w:rPr>
      </w:pPr>
      <w:r>
        <w:rPr>
          <w:rFonts w:hAnsi="宋体"/>
          <w:sz w:val="24"/>
          <w:szCs w:val="24"/>
        </w:rPr>
        <w:t xml:space="preserve">4.1乙</w:t>
      </w:r>
      <w:r>
        <w:rPr>
          <w:rFonts w:hint="eastAsia" w:ascii="宋体" w:hAnsi="宋体"/>
          <w:sz w:val="24"/>
        </w:rPr>
        <w:t xml:space="preserve">方应保证甲方在使用、接受本合同货物</w:t>
      </w:r>
      <w:r>
        <w:rPr>
          <w:rFonts w:hint="eastAsia" w:hAnsi="宋体"/>
          <w:sz w:val="24"/>
          <w:szCs w:val="24"/>
        </w:rPr>
        <w:t xml:space="preserve">（包含与货物相关的服务）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spacing w:line="400" w:lineRule="exact"/>
        <w:rPr>
          <w:rFonts w:ascii="宋体" w:hAnsi="宋体" w:cs="Courier New"/>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sz w:val="24"/>
          <w:szCs w:val="24"/>
          <w:u w:val="single"/>
        </w:rPr>
      </w:pPr>
      <w:r>
        <w:rPr>
          <w:rFonts w:ascii="宋体" w:hAnsi="宋体" w:cs="Courier New"/>
          <w:b/>
          <w:sz w:val="24"/>
          <w:szCs w:val="24"/>
        </w:rPr>
        <w:t xml:space="preserve">五、产权担保</w:t>
      </w:r>
      <w:r/>
    </w:p>
    <w:p>
      <w:pPr>
        <w:ind w:firstLine="480"/>
        <w:spacing w:line="400" w:lineRule="exact"/>
        <w:rPr>
          <w:rFonts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p>
    <w:p>
      <w:pPr>
        <w:ind w:firstLine="482"/>
        <w:spacing w:line="40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line="400" w:lineRule="exact"/>
        <w:rPr>
          <w:rFonts w:ascii="宋体" w:hAnsi="宋体" w:cs="Courier New"/>
          <w:sz w:val="24"/>
          <w:szCs w:val="24"/>
        </w:rPr>
      </w:pPr>
      <w:r>
        <w:rPr>
          <w:rFonts w:ascii="宋体" w:hAnsi="宋体" w:cs="Courier New"/>
          <w:sz w:val="24"/>
          <w:szCs w:val="24"/>
        </w:rPr>
        <w:t xml:space="preserve">6.1 乙方交纳人民币__元作为本合同的履约保证金。</w:t>
      </w:r>
      <w:r>
        <w:rPr>
          <w:rFonts w:hint="eastAsia" w:ascii="宋体" w:hAnsi="宋体" w:cs="Courier New"/>
          <w:sz w:val="24"/>
          <w:szCs w:val="24"/>
        </w:rPr>
        <w:t xml:space="preserve">（不得超过合同金额的10%）</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6.2.1履约保证金退还方式：</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6.2.2履约保证金退还时间：</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6.2.3履约保证金退还条件：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p>
    <w:p>
      <w:pPr>
        <w:ind w:firstLine="482"/>
        <w:spacing w:line="40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400" w:lineRule="exact"/>
        <w:rPr>
          <w:rFonts w:ascii="宋体" w:hAnsi="宋体" w:cs="Courier New"/>
          <w:bCs/>
          <w:sz w:val="24"/>
          <w:szCs w:val="24"/>
        </w:rPr>
      </w:pPr>
      <w:r>
        <w:rPr>
          <w:rFonts w:hint="eastAsia" w:ascii="宋体" w:hAnsi="宋体" w:cs="Courier New"/>
          <w:bCs/>
          <w:sz w:val="24"/>
          <w:szCs w:val="24"/>
          <w:lang w:eastAsia="zh-CN"/>
        </w:rPr>
        <w:t xml:space="preserve">8.</w:t>
      </w:r>
      <w:r>
        <w:rPr>
          <w:rFonts w:hint="eastAsia" w:ascii="宋体" w:hAnsi="宋体" w:cs="Courier New"/>
          <w:bCs/>
          <w:sz w:val="24"/>
          <w:szCs w:val="24"/>
        </w:rPr>
        <w:t xml:space="preserve">1.1预付款支付时间：合同签订后</w:t>
      </w:r>
      <w:r>
        <w:rPr>
          <w:rFonts w:hint="eastAsia" w:ascii="宋体" w:hAnsi="宋体" w:cs="Courier New"/>
          <w:bCs/>
          <w:sz w:val="24"/>
          <w:szCs w:val="24"/>
          <w:u w:val="single"/>
        </w:rPr>
        <w:t xml:space="preserve">  </w:t>
      </w:r>
      <w:r>
        <w:rPr>
          <w:rFonts w:hint="eastAsia" w:ascii="宋体" w:hAnsi="宋体" w:cs="Courier New"/>
          <w:bCs/>
          <w:sz w:val="24"/>
          <w:szCs w:val="24"/>
        </w:rPr>
        <w:t xml:space="preserve">日内，预付款支付比例：合同金额的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ind w:firstLine="480"/>
        <w:spacing w:line="400" w:lineRule="exact"/>
        <w:rPr>
          <w:rFonts w:ascii="宋体" w:hAnsi="宋体" w:cs="Courier New"/>
          <w:sz w:val="24"/>
          <w:szCs w:val="24"/>
        </w:rPr>
      </w:pPr>
      <w:r>
        <w:rPr>
          <w:rFonts w:hint="eastAsia" w:ascii="宋体" w:hAnsi="宋体" w:cs="Courier New"/>
          <w:bCs/>
          <w:sz w:val="24"/>
          <w:szCs w:val="24"/>
        </w:rPr>
        <w:t xml:space="preserve">8.1.2尾款支付时间：产品验收通过</w:t>
      </w:r>
      <w:r>
        <w:rPr>
          <w:rFonts w:hint="eastAsia" w:ascii="宋体" w:hAnsi="宋体" w:cs="Courier New"/>
          <w:bCs/>
          <w:sz w:val="24"/>
          <w:szCs w:val="24"/>
          <w:lang w:eastAsia="zh-CN"/>
        </w:rPr>
        <w:t xml:space="preserve">，</w:t>
      </w:r>
      <w:r>
        <w:rPr>
          <w:rFonts w:hint="eastAsia" w:ascii="宋体" w:hAnsi="宋体" w:cs="Courier New"/>
          <w:bCs/>
          <w:sz w:val="24"/>
          <w:szCs w:val="24"/>
        </w:rPr>
        <w:t xml:space="preserve">采购人收到发票后15日内，尾款支付比例：合同金额的</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spacing w:line="400" w:lineRule="exact"/>
        <w:rPr>
          <w:rFonts w:ascii="宋体" w:hAnsi="宋体" w:cs="Courier New"/>
          <w:bCs/>
          <w:sz w:val="24"/>
          <w:szCs w:val="24"/>
        </w:rPr>
      </w:pPr>
      <w:r>
        <w:rPr>
          <w:rFonts w:hint="eastAsia" w:hAnsi="宋体"/>
          <w:bCs/>
          <w:sz w:val="24"/>
          <w:szCs w:val="24"/>
        </w:rPr>
        <w:t xml:space="preserve">（注：根据《关于做好政府采购支持企业发展有关事项的通知》（苏采购</w:t>
      </w:r>
      <w:r>
        <w:rPr>
          <w:rFonts w:hint="eastAsia" w:hAnsi="宋体"/>
          <w:bCs/>
          <w:sz w:val="24"/>
          <w:szCs w:val="24"/>
          <w:lang w:eastAsia="zh-CN"/>
        </w:rPr>
        <w:t xml:space="preserve">〔2020〕52号</w:t>
      </w:r>
      <w:r>
        <w:rPr>
          <w:rFonts w:hint="eastAsia" w:hAnsi="宋体"/>
          <w:bCs/>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firstLine="482"/>
        <w:spacing w:line="400" w:lineRule="exact"/>
        <w:rPr>
          <w:rFonts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年（自交货验收合格之日起计），因人为因素出现的故障不在免费保修范围内。超过保修期的机器设备，</w:t>
      </w:r>
      <w:r>
        <w:rPr>
          <w:rFonts w:hint="eastAsia" w:ascii="宋体" w:hAnsi="宋体" w:cs="Courier New"/>
          <w:sz w:val="24"/>
          <w:szCs w:val="24"/>
          <w:lang w:eastAsia="zh-CN"/>
        </w:rPr>
        <w:t xml:space="preserve">终身维修</w:t>
      </w:r>
      <w:r>
        <w:rPr>
          <w:rFonts w:ascii="宋体" w:hAnsi="宋体" w:cs="Courier New"/>
          <w:sz w:val="24"/>
          <w:szCs w:val="24"/>
        </w:rPr>
        <w:t xml:space="preserve">，维修时只收部件成本费。</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11.1 甲方依法组织履约验收工作。</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11.5 甲方成立验收小组，按照采购合同的约定对乙方的履约情况进行验收。验收时间、验收标准见招标文件验收内容。验收时</w:t>
      </w:r>
      <w:r>
        <w:rPr>
          <w:rFonts w:hint="eastAsia" w:ascii="宋体" w:hAnsi="宋体" w:cs="Courier New"/>
          <w:sz w:val="24"/>
          <w:szCs w:val="24"/>
          <w:lang w:eastAsia="zh-CN"/>
        </w:rPr>
        <w:t xml:space="preserve">，</w:t>
      </w:r>
      <w:r>
        <w:rPr>
          <w:rFonts w:hint="eastAsia" w:ascii="宋体" w:hAnsi="宋体" w:cs="Courier New"/>
          <w:sz w:val="24"/>
          <w:szCs w:val="24"/>
        </w:rPr>
        <w:t xml:space="preserve">甲方按照采购合同的约定对每一项技术、商务要求的履约情况进行确认。验收结束后</w:t>
      </w:r>
      <w:r>
        <w:rPr>
          <w:rFonts w:hint="eastAsia" w:ascii="宋体" w:hAnsi="宋体" w:cs="Courier New"/>
          <w:sz w:val="24"/>
          <w:szCs w:val="24"/>
          <w:lang w:eastAsia="zh-CN"/>
        </w:rPr>
        <w:t xml:space="preserve">，</w:t>
      </w:r>
      <w:r>
        <w:rPr>
          <w:rFonts w:hint="eastAsia" w:ascii="宋体" w:hAnsi="宋体" w:cs="Courier New"/>
          <w:sz w:val="24"/>
          <w:szCs w:val="24"/>
        </w:rPr>
        <w:t xml:space="preserve">验收小组出具验收书</w:t>
      </w:r>
      <w:r>
        <w:rPr>
          <w:rFonts w:hint="eastAsia" w:ascii="宋体" w:hAnsi="宋体" w:cs="Courier New"/>
          <w:sz w:val="24"/>
          <w:szCs w:val="24"/>
          <w:lang w:eastAsia="zh-CN"/>
        </w:rPr>
        <w:t xml:space="preserve">，</w:t>
      </w:r>
      <w:r>
        <w:rPr>
          <w:rFonts w:hint="eastAsia" w:ascii="宋体" w:hAnsi="宋体" w:cs="Courier New"/>
          <w:sz w:val="24"/>
          <w:szCs w:val="24"/>
        </w:rPr>
        <w:t xml:space="preserve">列明各项标准的验收情况及项目总体评价</w:t>
      </w:r>
      <w:r>
        <w:rPr>
          <w:rFonts w:hint="eastAsia" w:ascii="宋体" w:hAnsi="宋体" w:cs="Courier New"/>
          <w:sz w:val="24"/>
          <w:szCs w:val="24"/>
          <w:lang w:eastAsia="zh-CN"/>
        </w:rPr>
        <w:t xml:space="preserve">，</w:t>
      </w:r>
      <w:r>
        <w:rPr>
          <w:rFonts w:hint="eastAsia" w:ascii="宋体" w:hAnsi="宋体" w:cs="Courier New"/>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ascii="宋体" w:hAnsi="宋体" w:cs="Courier New"/>
          <w:sz w:val="24"/>
          <w:szCs w:val="24"/>
        </w:rPr>
      </w:pPr>
      <w:r>
        <w:rPr>
          <w:rFonts w:hint="eastAsia" w:ascii="宋体" w:hAnsi="宋体" w:cs="Courier New"/>
          <w:sz w:val="24"/>
          <w:szCs w:val="24"/>
        </w:rPr>
        <w:t xml:space="preserve">11.6 验收合格的项目</w:t>
      </w:r>
      <w:r>
        <w:rPr>
          <w:rFonts w:hint="eastAsia" w:ascii="宋体" w:hAnsi="宋体" w:cs="Courier New"/>
          <w:sz w:val="24"/>
          <w:szCs w:val="24"/>
          <w:lang w:eastAsia="zh-CN"/>
        </w:rPr>
        <w:t xml:space="preserve">，</w:t>
      </w:r>
      <w:r>
        <w:rPr>
          <w:rFonts w:hint="eastAsia" w:ascii="宋体" w:hAnsi="宋体" w:cs="Courier New"/>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sz w:val="24"/>
          <w:szCs w:val="24"/>
          <w:lang w:eastAsia="zh-CN"/>
        </w:rPr>
        <w:t xml:space="preserve">中华人民共和国民法典</w:t>
      </w:r>
      <w:r>
        <w:rPr>
          <w:rFonts w:hint="eastAsia" w:ascii="宋体" w:hAnsi="宋体" w:cs="Courier New"/>
          <w:sz w:val="24"/>
          <w:szCs w:val="24"/>
        </w:rPr>
        <w:t xml:space="preserve">》。乙方在履约过程中有政府采购法律法规规定的违法违规情形的</w:t>
      </w:r>
      <w:r>
        <w:rPr>
          <w:rFonts w:hint="eastAsia" w:ascii="宋体" w:hAnsi="宋体" w:cs="Courier New"/>
          <w:sz w:val="24"/>
          <w:szCs w:val="24"/>
          <w:lang w:eastAsia="zh-CN"/>
        </w:rPr>
        <w:t xml:space="preserve">，</w:t>
      </w:r>
      <w:r>
        <w:rPr>
          <w:rFonts w:hint="eastAsia" w:ascii="宋体" w:hAnsi="宋体" w:cs="Courier New"/>
          <w:sz w:val="24"/>
          <w:szCs w:val="24"/>
        </w:rPr>
        <w:t xml:space="preserve">甲方将及时报告本级财政部门。</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.2 甲方无故逾期验收和办理货款支付手续的</w:t>
      </w:r>
      <w:r>
        <w:rPr>
          <w:rFonts w:hint="eastAsia" w:ascii="宋体" w:hAnsi="宋体" w:cs="Courier New"/>
          <w:sz w:val="24"/>
          <w:szCs w:val="24"/>
          <w:lang w:eastAsia="zh-CN"/>
        </w:rPr>
        <w:t xml:space="preserve">，</w:t>
      </w:r>
      <w:r>
        <w:rPr>
          <w:rFonts w:ascii="宋体" w:hAnsi="宋体" w:cs="Courier New"/>
          <w:sz w:val="24"/>
          <w:szCs w:val="24"/>
        </w:rPr>
        <w:t xml:space="preserve">甲方应按逾期付款总额每日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不可抗力事件发生后，应立即通知对方，并寄送有关权威机构出具的证明。</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ind w:firstLine="482"/>
        <w:spacing w:line="40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、合同生效及</w:t>
      </w:r>
      <w:r>
        <w:rPr>
          <w:rFonts w:hint="eastAsia" w:ascii="宋体" w:hAnsi="宋体" w:cs="Courier New"/>
          <w:b/>
          <w:sz w:val="24"/>
          <w:szCs w:val="24"/>
          <w:lang w:eastAsia="zh-CN"/>
        </w:rPr>
        <w:t xml:space="preserve">其他</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.2本合同未尽事宜，遵照</w:t>
      </w:r>
      <w:r>
        <w:rPr>
          <w:rFonts w:hint="eastAsia" w:ascii="宋体" w:hAnsi="宋体" w:cs="Courier New"/>
          <w:sz w:val="24"/>
          <w:szCs w:val="24"/>
        </w:rPr>
        <w:t xml:space="preserve">《中华人民共和国民法典</w:t>
      </w:r>
      <w:r>
        <w:rPr>
          <w:rFonts w:hint="eastAsia" w:ascii="宋体" w:hAnsi="宋体" w:cs="Courier New"/>
          <w:sz w:val="24"/>
          <w:szCs w:val="24"/>
          <w:lang w:eastAsia="zh-CN"/>
        </w:rPr>
        <w:t xml:space="preserve">》《</w:t>
      </w:r>
      <w:r>
        <w:rPr>
          <w:rFonts w:hint="eastAsia" w:ascii="宋体" w:hAnsi="宋体" w:cs="Courier New"/>
          <w:sz w:val="24"/>
          <w:szCs w:val="24"/>
        </w:rPr>
        <w:t xml:space="preserve">中华人民共和国政府采购法》</w:t>
      </w:r>
      <w:r>
        <w:rPr>
          <w:rFonts w:ascii="宋体" w:hAnsi="宋体" w:cs="Courier New"/>
          <w:sz w:val="24"/>
          <w:szCs w:val="24"/>
        </w:rPr>
        <w:t xml:space="preserve">有关条文执行。</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ind w:left="480" w:hanging="480"/>
        <w:spacing w:line="400" w:lineRule="exact"/>
        <w:rPr>
          <w:rFonts w:ascii="宋体" w:hAnsi="宋体" w:cs="Courier New"/>
          <w:sz w:val="24"/>
          <w:szCs w:val="24"/>
        </w:rPr>
      </w:pPr>
      <w:r>
        <w:rPr>
          <w:rFonts w:ascii="宋体" w:hAnsi="宋体" w:cs="Courier New"/>
          <w:sz w:val="24"/>
          <w:szCs w:val="24"/>
        </w:rPr>
        <w:t xml:space="preserve">  甲方：                        乙方： </w:t>
      </w:r>
      <w:r/>
    </w:p>
    <w:p>
      <w:pPr>
        <w:spacing w:line="400" w:lineRule="exac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line="400" w:lineRule="exac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line="400" w:lineRule="exact"/>
        <w:rPr>
          <w:rFonts w:ascii="宋体" w:hAnsi="Courier New" w:cs="Courier New"/>
        </w:rPr>
      </w:pPr>
      <w:r>
        <w:rPr>
          <w:rFonts w:hint="eastAsia" w:ascii="宋体" w:hAnsi="宋体" w:cs="Courier New"/>
          <w:sz w:val="24"/>
          <w:szCs w:val="24"/>
        </w:rPr>
        <w:t xml:space="preserve">联系电话：                    联系电话：          </w:t>
      </w:r>
      <w:r/>
    </w:p>
    <w:p>
      <w:pPr>
        <w:jc w:val="center"/>
        <w:spacing w:line="400" w:lineRule="exact"/>
        <w:rPr>
          <w:rFonts w:ascii="宋体" w:hAnsi="宋体" w:cs="Courier New"/>
          <w:sz w:val="24"/>
          <w:szCs w:val="24"/>
        </w:rPr>
      </w:pPr>
      <w:r>
        <w:rPr>
          <w:rFonts w:hint="eastAsia" w:ascii="宋体" w:hAnsi="Courier New" w:cs="Courier New"/>
        </w:rPr>
        <w:t xml:space="preserve">                 </w:t>
      </w:r>
      <w:r>
        <w:rPr>
          <w:rFonts w:hint="eastAsia" w:ascii="宋体" w:hAnsi="宋体" w:cs="Courier New"/>
          <w:sz w:val="24"/>
          <w:szCs w:val="24"/>
        </w:rPr>
        <w:t xml:space="preserve">   </w:t>
      </w:r>
      <w:r/>
    </w:p>
    <w:p>
      <w:pPr>
        <w:jc w:val="center"/>
        <w:spacing w:line="400" w:lineRule="exact"/>
        <w:rPr>
          <w:rFonts w:ascii="宋体" w:hAnsi="宋体" w:cs="Courier New"/>
          <w:sz w:val="24"/>
          <w:szCs w:val="24"/>
        </w:rPr>
      </w:pPr>
      <w:r>
        <w:rPr>
          <w:rFonts w:ascii="宋体" w:hAnsi="宋体" w:cs="Courier New"/>
          <w:sz w:val="24"/>
          <w:szCs w:val="24"/>
        </w:rPr>
      </w:r>
      <w:r/>
    </w:p>
    <w:p>
      <w:pPr>
        <w:ind w:firstLine="480"/>
        <w:spacing w:line="400" w:lineRule="exact"/>
        <w:rPr>
          <w:rFonts w:ascii="宋体" w:hAnsi="宋体"/>
          <w:bCs/>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r/>
    </w:p>
    <w:p>
      <w:pPr>
        <w:ind w:firstLine="480"/>
        <w:spacing w:line="400" w:lineRule="exact"/>
        <w:rPr>
          <w:rFonts w:ascii="宋体" w:hAnsi="宋体"/>
          <w:bCs/>
          <w:color w:val="000000"/>
          <w:sz w:val="24"/>
          <w:szCs w:val="24"/>
        </w:rPr>
      </w:pPr>
      <w:r>
        <w:rPr>
          <w:rFonts w:ascii="宋体" w:hAnsi="宋体"/>
          <w:bCs/>
          <w:color w:val="000000"/>
          <w:sz w:val="24"/>
          <w:szCs w:val="24"/>
        </w:rPr>
      </w:r>
      <w:r/>
    </w:p>
    <w:p>
      <w:pPr>
        <w:jc w:val="center"/>
        <w:spacing w:line="400" w:lineRule="exact"/>
        <w:rPr>
          <w:rFonts w:ascii="黑体" w:eastAsia="黑体"/>
          <w:bCs/>
          <w:color w:val="000000"/>
          <w:sz w:val="36"/>
          <w:szCs w:val="36"/>
        </w:rPr>
        <w:outlineLvl w:val="0"/>
      </w:pPr>
      <w:r>
        <w:rPr>
          <w:rFonts w:ascii="宋体" w:hAnsi="宋体"/>
          <w:bCs/>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r/>
    </w:p>
    <w:p>
      <w:pPr>
        <w:ind w:firstLine="720"/>
        <w:jc w:val="center"/>
        <w:spacing w:line="288" w:lineRule="auto"/>
        <w:rPr>
          <w:rFonts w:hAnsi="宋体"/>
          <w:color w:val="000000"/>
          <w:sz w:val="36"/>
          <w:szCs w:val="36"/>
        </w:rPr>
      </w:pPr>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
    </w:p>
    <w:p>
      <w:pPr>
        <w:ind w:firstLine="600"/>
        <w:jc w:val="left"/>
        <w:spacing w:line="360" w:lineRule="auto"/>
        <w:rPr>
          <w:rFonts w:ascii="黑体" w:hAnsi="黑体" w:eastAsia="黑体"/>
          <w:color w:val="000000"/>
          <w:sz w:val="30"/>
          <w:szCs w:val="30"/>
        </w:rPr>
      </w:pPr>
      <w:r>
        <w:rPr>
          <w:rFonts w:hint="eastAsia" w:ascii="黑体" w:hAnsi="黑体" w:eastAsia="黑体"/>
          <w:color w:val="000000"/>
          <w:sz w:val="30"/>
          <w:szCs w:val="30"/>
        </w:rPr>
        <w:t xml:space="preserve">本项目属性：货物类项目</w:t>
      </w:r>
      <w:r/>
    </w:p>
    <w:p>
      <w:pPr>
        <w:ind w:firstLine="480"/>
        <w:jc w:val="left"/>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keepLines w:val="0"/>
        <w:keepNext w:val="0"/>
        <w:pageBreakBefore w:val="0"/>
        <w:spacing w:line="360" w:lineRule="auto"/>
        <w:rPr>
          <w:rFonts w:ascii="宋体" w:hAnsi="宋体"/>
          <w:bCs/>
          <w:color w:val="auto"/>
          <w:sz w:val="24"/>
          <w:szCs w:val="24"/>
        </w:rPr>
      </w:pPr>
      <w:r>
        <w:rPr>
          <w:rFonts w:hint="eastAsia" w:ascii="宋体" w:hAnsi="宋体"/>
          <w:bCs/>
          <w:color w:val="auto"/>
          <w:sz w:val="24"/>
          <w:szCs w:val="24"/>
        </w:rPr>
        <w:t xml:space="preserve">本项目标的物所属行业：工业</w:t>
      </w:r>
      <w:r/>
    </w:p>
    <w:p>
      <w:pPr>
        <w:ind w:firstLine="480"/>
        <w:keepLines w:val="0"/>
        <w:keepNext w:val="0"/>
        <w:pageBreakBefore w:val="0"/>
        <w:spacing w:line="360" w:lineRule="auto"/>
        <w:rPr>
          <w:rFonts w:hint="eastAsia" w:ascii="宋体" w:hAnsi="宋体" w:eastAsia="宋体" w:cs="Times New Roman"/>
          <w:b w:val="0"/>
          <w:bCs w:val="0"/>
          <w:color w:val="auto"/>
          <w:sz w:val="24"/>
          <w:szCs w:val="24"/>
          <w:highlight w:val="yellow"/>
        </w:rPr>
      </w:pPr>
      <w:r>
        <w:rPr>
          <w:rFonts w:hint="eastAsia" w:ascii="宋体" w:hAnsi="宋体"/>
          <w:bCs/>
          <w:color w:val="auto"/>
          <w:sz w:val="24"/>
          <w:szCs w:val="24"/>
        </w:rPr>
        <w:t xml:space="preserve">核心</w:t>
      </w:r>
      <w:r>
        <w:rPr>
          <w:rFonts w:hint="eastAsia" w:ascii="宋体" w:hAnsi="宋体"/>
          <w:color w:val="auto"/>
          <w:sz w:val="24"/>
          <w:szCs w:val="24"/>
        </w:rPr>
        <w:t xml:space="preserve">产品：</w:t>
      </w:r>
      <w:r>
        <w:rPr>
          <w:rFonts w:hint="eastAsia" w:ascii="宋体" w:hAnsi="宋体"/>
          <w:color w:val="auto"/>
          <w:sz w:val="24"/>
          <w:szCs w:val="24"/>
          <w:lang w:val="en-US" w:eastAsia="zh-CN"/>
        </w:rPr>
        <w:t xml:space="preserve">学生安全电源、</w:t>
      </w:r>
      <w:r>
        <w:rPr>
          <w:rFonts w:hint="eastAsia" w:asciiTheme="minorEastAsia" w:hAnsiTheme="minorEastAsia" w:eastAsiaTheme="minorEastAsia" w:cstheme="minorEastAsia"/>
          <w:b w:val="0"/>
          <w:bCs w:val="0"/>
          <w:i w:val="0"/>
          <w:iCs w:val="0"/>
          <w:color w:val="auto"/>
          <w:sz w:val="24"/>
          <w:szCs w:val="24"/>
          <w:u w:val="none"/>
          <w:lang w:val="en-US" w:eastAsia="zh-CN" w:bidi="ar"/>
        </w:rPr>
        <w:t xml:space="preserve">铝合金万向罩</w:t>
      </w:r>
      <w:r/>
    </w:p>
    <w:p>
      <w:pPr>
        <w:ind w:firstLine="602"/>
        <w:keepLines w:val="0"/>
        <w:keepNext w:val="0"/>
        <w:pageBreakBefore w:val="0"/>
        <w:spacing w:line="360" w:lineRule="auto"/>
        <w:rPr>
          <w:rFonts w:ascii="宋体" w:hAnsi="宋体"/>
          <w:b/>
          <w:color w:val="auto"/>
          <w:sz w:val="30"/>
          <w:szCs w:val="30"/>
        </w:rPr>
      </w:pPr>
      <w:r>
        <w:rPr>
          <w:rFonts w:hint="eastAsia" w:ascii="宋体" w:hAnsi="宋体"/>
          <w:b/>
          <w:color w:val="auto"/>
          <w:sz w:val="30"/>
          <w:szCs w:val="30"/>
        </w:rPr>
        <w:t xml:space="preserve">第一部分  项目技术要求</w:t>
      </w:r>
      <w:r/>
    </w:p>
    <w:p>
      <w:pPr>
        <w:ind w:firstLine="480"/>
        <w:jc w:val="left"/>
        <w:keepLines w:val="0"/>
        <w:keepNext w:val="0"/>
        <w:pageBreakBefore w:val="0"/>
        <w:spacing w:line="360" w:lineRule="auto"/>
        <w:rPr>
          <w:rFonts w:hint="eastAsia" w:ascii="宋体" w:hAnsi="宋体"/>
          <w:color w:val="000000"/>
          <w:sz w:val="24"/>
          <w:szCs w:val="24"/>
        </w:rPr>
      </w:pPr>
      <w:r>
        <w:rPr>
          <w:rFonts w:hint="default" w:ascii="宋体" w:hAnsi="宋体"/>
          <w:color w:val="000000"/>
          <w:sz w:val="24"/>
          <w:szCs w:val="24"/>
          <w:lang w:val="en-US" w:eastAsia="zh-CN"/>
        </w:rPr>
        <w:t xml:space="preserve">（一）</w:t>
      </w:r>
      <w:r>
        <w:rPr>
          <w:rFonts w:hint="eastAsia" w:ascii="宋体" w:hAnsi="宋体"/>
          <w:color w:val="000000"/>
          <w:sz w:val="24"/>
          <w:szCs w:val="24"/>
        </w:rPr>
        <w:t xml:space="preserve">项目概况</w:t>
      </w:r>
      <w:r/>
    </w:p>
    <w:p>
      <w:pPr>
        <w:ind w:firstLine="480"/>
        <w:jc w:val="left"/>
        <w:keepLines w:val="0"/>
        <w:keepNext w:val="0"/>
        <w:pageBreakBefore w:val="0"/>
        <w:spacing w:line="360" w:lineRule="auto"/>
        <w:rPr>
          <w:rFonts w:hint="eastAsia" w:ascii="宋体" w:hAnsi="宋体"/>
          <w:color w:val="000000"/>
          <w:sz w:val="24"/>
          <w:szCs w:val="24"/>
          <w:lang w:val="en-US" w:eastAsia="zh-CN"/>
        </w:rPr>
      </w:pPr>
      <w:r>
        <w:rPr>
          <w:rFonts w:hint="eastAsia" w:ascii="宋体" w:hAnsi="宋体"/>
          <w:color w:val="000000"/>
          <w:sz w:val="24"/>
          <w:szCs w:val="24"/>
          <w:lang w:eastAsia="zh-CN"/>
        </w:rPr>
        <w:t xml:space="preserve">本项目是梅村高中化学实验室设备更新项目</w:t>
      </w:r>
      <w:r>
        <w:rPr>
          <w:rFonts w:hint="eastAsia" w:ascii="宋体" w:hAnsi="宋体"/>
          <w:color w:val="000000"/>
          <w:sz w:val="24"/>
          <w:szCs w:val="24"/>
          <w:lang w:val="en-US" w:eastAsia="zh-CN"/>
        </w:rPr>
        <w:t xml:space="preserve">，完成1间化学智慧吊装实验室、1间化学竞赛兼探究实验室、2间常规化学实验室、2间化学仪器准备室增添更新实验室教学仪器设备以满足化学实验教学需要。在满足常规必修类化学教学基础上，增设创新、探究、竞赛专项实验室，提升创新思维，增加化学学习的积极性，优化学科教学氛围，改善化学学科教学效果，推动学校高品质发展。</w:t>
      </w:r>
      <w:r/>
    </w:p>
    <w:p>
      <w:pPr>
        <w:pStyle w:val="896"/>
        <w:numPr>
          <w:ilvl w:val="0"/>
          <w:numId w:val="0"/>
        </w:numPr>
        <w:ind w:left="1230" w:hanging="750"/>
        <w:spacing w:line="85" w:lineRule="atLeast"/>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4"/>
          <w:szCs w:val="24"/>
          <w:lang w:val="en-US" w:eastAsia="zh-CN" w:bidi="ar-SA"/>
        </w:rPr>
        <w:t xml:space="preserve">（二）</w:t>
      </w:r>
      <w:r>
        <w:rPr>
          <w:rFonts w:hint="eastAsia" w:ascii="宋体" w:hAnsi="宋体" w:cs="宋体"/>
          <w:b/>
          <w:bCs/>
          <w:color w:val="auto"/>
          <w:sz w:val="24"/>
          <w:szCs w:val="24"/>
        </w:rPr>
        <w:t xml:space="preserve">项目清单</w:t>
      </w:r>
      <w:r/>
    </w:p>
    <w:tbl>
      <w:tblPr>
        <w:tblStyle w:val="882"/>
        <w:tblpPr w:horzAnchor="page" w:tblpX="1593" w:vertAnchor="text" w:tblpY="756" w:leftFromText="180" w:topFromText="0" w:rightFromText="180" w:bottomFromText="0"/>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autofit"/>
        <w:tblCellMar>
          <w:left w:w="108" w:type="dxa"/>
          <w:top w:w="0" w:type="dxa"/>
          <w:right w:w="108" w:type="dxa"/>
          <w:bottom w:w="0" w:type="dxa"/>
        </w:tblCellMar>
        <w:tblLook w:val="04A0" w:firstRow="1" w:lastRow="0" w:firstColumn="1" w:lastColumn="0" w:noHBand="0" w:noVBand="1"/>
      </w:tblPr>
      <w:tblGrid>
        <w:gridCol w:w="1292"/>
        <w:gridCol w:w="1668"/>
        <w:gridCol w:w="3377"/>
        <w:gridCol w:w="1520"/>
        <w:gridCol w:w="1340"/>
      </w:tblGrid>
      <w:tr>
        <w:trPr>
          <w:trHeight w:val="485"/>
        </w:trPr>
        <w:tc>
          <w:tcPr>
            <w:shd w:val="clear" w:color="auto" w:fill="auto"/>
            <w:tcW w:w="1292" w:type="dxa"/>
            <w:vAlign w:val="center"/>
            <w:textDirection w:val="lrTb"/>
            <w:noWrap w:val="false"/>
          </w:tcPr>
          <w:p>
            <w:pPr>
              <w:jc w:val="center"/>
              <w:spacing w:line="360" w:lineRule="auto"/>
              <w:rPr>
                <w:rStyle w:val="897"/>
                <w:rFonts w:hint="eastAsia" w:ascii="宋体" w:hAnsi="宋体" w:eastAsia="宋体" w:cs="宋体"/>
                <w:b/>
                <w:bCs/>
                <w:color w:val="auto"/>
                <w:sz w:val="24"/>
                <w:szCs w:val="24"/>
                <w:highlight w:val="none"/>
              </w:rPr>
            </w:pPr>
            <w:r>
              <w:rPr>
                <w:rStyle w:val="897"/>
                <w:rFonts w:hint="eastAsia" w:ascii="宋体" w:hAnsi="宋体" w:eastAsia="宋体" w:cs="宋体"/>
                <w:b/>
                <w:bCs/>
                <w:color w:val="auto"/>
                <w:sz w:val="24"/>
                <w:szCs w:val="24"/>
                <w:highlight w:val="none"/>
              </w:rPr>
              <w:t xml:space="preserve">序号</w:t>
            </w:r>
            <w:r/>
          </w:p>
        </w:tc>
        <w:tc>
          <w:tcPr>
            <w:shd w:val="clear" w:color="auto" w:fill="auto"/>
            <w:tcW w:w="1668"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楼层</w:t>
            </w:r>
            <w:r/>
          </w:p>
        </w:tc>
        <w:tc>
          <w:tcPr>
            <w:shd w:val="clear" w:color="auto" w:fill="auto"/>
            <w:tcW w:w="3377" w:type="dxa"/>
            <w:vAlign w:val="center"/>
            <w:textDirection w:val="lrTb"/>
            <w:noWrap w:val="false"/>
          </w:tcPr>
          <w:p>
            <w:pPr>
              <w:jc w:val="center"/>
              <w:rPr>
                <w:rStyle w:val="897"/>
                <w:rFonts w:hint="eastAsia" w:ascii="宋体" w:hAnsi="宋体" w:eastAsia="宋体" w:cs="宋体"/>
                <w:b/>
                <w:bCs/>
                <w:color w:val="auto"/>
                <w:sz w:val="24"/>
                <w:szCs w:val="24"/>
                <w:highlight w:val="none"/>
              </w:rPr>
            </w:pPr>
            <w:r>
              <w:rPr>
                <w:rStyle w:val="897"/>
                <w:rFonts w:hint="eastAsia" w:ascii="宋体" w:hAnsi="宋体" w:eastAsia="宋体" w:cs="宋体"/>
                <w:b/>
                <w:bCs/>
                <w:color w:val="auto"/>
                <w:sz w:val="24"/>
                <w:szCs w:val="24"/>
                <w:highlight w:val="none"/>
              </w:rPr>
              <w:t xml:space="preserve">采购项目</w:t>
            </w:r>
            <w:r/>
          </w:p>
        </w:tc>
        <w:tc>
          <w:tcPr>
            <w:shd w:val="clear" w:color="auto" w:fill="auto"/>
            <w:tcW w:w="1520" w:type="dxa"/>
            <w:vAlign w:val="center"/>
            <w:textDirection w:val="lrTb"/>
            <w:noWrap w:val="false"/>
          </w:tcPr>
          <w:p>
            <w:pPr>
              <w:jc w:val="center"/>
              <w:rPr>
                <w:rStyle w:val="897"/>
                <w:rFonts w:hint="eastAsia" w:ascii="宋体" w:hAnsi="宋体" w:eastAsia="宋体" w:cs="宋体"/>
                <w:b/>
                <w:bCs/>
                <w:color w:val="auto"/>
                <w:sz w:val="24"/>
                <w:szCs w:val="24"/>
                <w:highlight w:val="none"/>
              </w:rPr>
            </w:pPr>
            <w:r>
              <w:rPr>
                <w:rStyle w:val="897"/>
                <w:rFonts w:hint="eastAsia" w:ascii="宋体" w:hAnsi="宋体" w:eastAsia="宋体" w:cs="宋体"/>
                <w:b/>
                <w:bCs/>
                <w:color w:val="auto"/>
                <w:sz w:val="24"/>
                <w:szCs w:val="24"/>
                <w:highlight w:val="none"/>
              </w:rPr>
              <w:t xml:space="preserve">数量</w:t>
            </w:r>
            <w:r/>
          </w:p>
        </w:tc>
        <w:tc>
          <w:tcPr>
            <w:shd w:val="clear" w:color="auto" w:fill="auto"/>
            <w:tcW w:w="1340"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rPr>
              <w:t xml:space="preserve">单位</w:t>
            </w:r>
            <w:r/>
          </w:p>
        </w:tc>
      </w:tr>
      <w:tr>
        <w:trPr>
          <w:trHeight w:val="485"/>
        </w:trPr>
        <w:tc>
          <w:tcPr>
            <w:shd w:val="clear" w:color="auto" w:fill="auto"/>
            <w:tcW w:w="1292" w:type="dxa"/>
            <w:vAlign w:val="center"/>
            <w:textDirection w:val="lrTb"/>
            <w:noWrap w:val="false"/>
          </w:tcPr>
          <w:p>
            <w:pPr>
              <w:jc w:val="center"/>
              <w:spacing w:line="360" w:lineRule="auto"/>
              <w:rPr>
                <w:rStyle w:val="897"/>
                <w:rFonts w:hint="eastAsia" w:ascii="宋体" w:hAnsi="宋体" w:eastAsia="宋体" w:cs="宋体"/>
                <w:b/>
                <w:bCs/>
                <w:color w:val="auto"/>
                <w:sz w:val="24"/>
                <w:szCs w:val="24"/>
                <w:highlight w:val="none"/>
              </w:rPr>
            </w:pPr>
            <w:r>
              <w:rPr>
                <w:rStyle w:val="897"/>
                <w:rFonts w:hint="eastAsia" w:ascii="宋体" w:hAnsi="宋体" w:eastAsia="宋体" w:cs="宋体"/>
                <w:b/>
                <w:bCs/>
                <w:color w:val="auto"/>
                <w:sz w:val="24"/>
                <w:szCs w:val="24"/>
                <w:highlight w:val="none"/>
              </w:rPr>
              <w:t xml:space="preserve">1</w:t>
            </w:r>
            <w:r/>
          </w:p>
        </w:tc>
        <w:tc>
          <w:tcPr>
            <w:shd w:val="clear" w:color="auto" w:fill="auto"/>
            <w:tcW w:w="1668" w:type="dxa"/>
            <w:vAlign w:val="center"/>
            <w:vMerge w:val="restart"/>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一层</w:t>
            </w:r>
            <w:r/>
          </w:p>
        </w:tc>
        <w:tc>
          <w:tcPr>
            <w:shd w:val="clear" w:color="auto" w:fill="auto"/>
            <w:tcW w:w="3377" w:type="dxa"/>
            <w:vAlign w:val="center"/>
            <w:textDirection w:val="lrTb"/>
            <w:noWrap w:val="false"/>
          </w:tcPr>
          <w:p>
            <w:pPr>
              <w:jc w:val="center"/>
              <w:rPr>
                <w:rStyle w:val="897"/>
                <w:rFonts w:hint="eastAsia" w:ascii="宋体" w:hAnsi="宋体" w:eastAsia="宋体" w:cs="宋体"/>
                <w:b/>
                <w:bCs/>
                <w:color w:val="auto"/>
                <w:sz w:val="24"/>
                <w:szCs w:val="24"/>
                <w:highlight w:val="none"/>
              </w:rPr>
            </w:pPr>
            <w:r>
              <w:rPr>
                <w:rStyle w:val="897"/>
                <w:rFonts w:hint="eastAsia" w:ascii="宋体" w:hAnsi="宋体" w:eastAsia="宋体" w:cs="宋体"/>
                <w:b/>
                <w:bCs/>
                <w:color w:val="auto"/>
                <w:sz w:val="24"/>
                <w:szCs w:val="24"/>
                <w:highlight w:val="none"/>
              </w:rPr>
              <w:t xml:space="preserve">化学智慧吊装实验室</w:t>
            </w:r>
            <w:r/>
          </w:p>
        </w:tc>
        <w:tc>
          <w:tcPr>
            <w:shd w:val="clear" w:color="auto" w:fill="auto"/>
            <w:tcW w:w="1520"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1</w:t>
            </w:r>
            <w:r/>
          </w:p>
        </w:tc>
        <w:tc>
          <w:tcPr>
            <w:shd w:val="clear" w:color="auto" w:fill="auto"/>
            <w:tcW w:w="1340"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Style w:val="897"/>
                <w:rFonts w:hint="eastAsia" w:ascii="宋体" w:hAnsi="宋体" w:eastAsia="宋体" w:cs="宋体"/>
                <w:b/>
                <w:bCs/>
                <w:color w:val="auto"/>
                <w:sz w:val="24"/>
                <w:szCs w:val="24"/>
                <w:highlight w:val="none"/>
                <w:lang w:val="en-US" w:eastAsia="zh-CN"/>
              </w:rPr>
              <w:t xml:space="preserve">套</w:t>
            </w:r>
            <w:r/>
          </w:p>
        </w:tc>
      </w:tr>
      <w:tr>
        <w:trPr>
          <w:trHeight w:val="485"/>
        </w:trPr>
        <w:tc>
          <w:tcPr>
            <w:shd w:val="clear" w:color="auto" w:fill="auto"/>
            <w:tcW w:w="1292" w:type="dxa"/>
            <w:vAlign w:val="center"/>
            <w:textDirection w:val="lrTb"/>
            <w:noWrap w:val="false"/>
          </w:tcPr>
          <w:p>
            <w:pPr>
              <w:jc w:val="center"/>
              <w:spacing w:line="360" w:lineRule="auto"/>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2</w:t>
            </w:r>
            <w:r/>
          </w:p>
        </w:tc>
        <w:tc>
          <w:tcPr>
            <w:shd w:val="clear" w:color="auto" w:fill="auto"/>
            <w:tcW w:w="1668" w:type="dxa"/>
            <w:vAlign w:val="center"/>
            <w:vMerge w:val="continue"/>
            <w:textDirection w:val="lrTb"/>
            <w:noWrap w:val="false"/>
          </w:tcPr>
          <w:p>
            <w:pPr>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shd w:val="clear" w:color="auto" w:fill="auto"/>
            <w:tcW w:w="3377"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化学仪器准备室1</w:t>
            </w:r>
            <w:r/>
          </w:p>
        </w:tc>
        <w:tc>
          <w:tcPr>
            <w:shd w:val="clear" w:color="auto" w:fill="auto"/>
            <w:tcW w:w="1520"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1</w:t>
            </w:r>
            <w:r/>
          </w:p>
        </w:tc>
        <w:tc>
          <w:tcPr>
            <w:shd w:val="clear" w:color="auto" w:fill="auto"/>
            <w:tcW w:w="1340"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Style w:val="897"/>
                <w:rFonts w:hint="eastAsia" w:ascii="宋体" w:hAnsi="宋体" w:eastAsia="宋体" w:cs="宋体"/>
                <w:b/>
                <w:bCs/>
                <w:color w:val="auto"/>
                <w:sz w:val="24"/>
                <w:szCs w:val="24"/>
                <w:highlight w:val="none"/>
                <w:lang w:val="en-US" w:eastAsia="zh-CN"/>
              </w:rPr>
              <w:t xml:space="preserve">套</w:t>
            </w:r>
            <w:r/>
          </w:p>
        </w:tc>
      </w:tr>
      <w:tr>
        <w:trPr>
          <w:trHeight w:val="485"/>
        </w:trPr>
        <w:tc>
          <w:tcPr>
            <w:shd w:val="clear" w:color="auto" w:fill="auto"/>
            <w:tcW w:w="1292" w:type="dxa"/>
            <w:vAlign w:val="center"/>
            <w:textDirection w:val="lrTb"/>
            <w:noWrap w:val="false"/>
          </w:tcPr>
          <w:p>
            <w:pPr>
              <w:jc w:val="center"/>
              <w:spacing w:line="360" w:lineRule="auto"/>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3</w:t>
            </w:r>
            <w:r/>
          </w:p>
        </w:tc>
        <w:tc>
          <w:tcPr>
            <w:shd w:val="clear" w:color="auto" w:fill="auto"/>
            <w:tcW w:w="1668" w:type="dxa"/>
            <w:vAlign w:val="center"/>
            <w:vMerge w:val="continue"/>
            <w:textDirection w:val="lrTb"/>
            <w:noWrap w:val="false"/>
          </w:tcPr>
          <w:p>
            <w:pPr>
              <w:jc w:val="left"/>
              <w:rPr>
                <w:rStyle w:val="897"/>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shd w:val="clear" w:color="auto" w:fill="auto"/>
            <w:tcW w:w="3377"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常规化学实验室1</w:t>
            </w:r>
            <w:r/>
          </w:p>
        </w:tc>
        <w:tc>
          <w:tcPr>
            <w:shd w:val="clear" w:color="auto" w:fill="auto"/>
            <w:tcW w:w="1520"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1</w:t>
            </w:r>
            <w:r/>
          </w:p>
        </w:tc>
        <w:tc>
          <w:tcPr>
            <w:shd w:val="clear" w:color="auto" w:fill="auto"/>
            <w:tcW w:w="1340"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Style w:val="897"/>
                <w:rFonts w:hint="eastAsia" w:ascii="宋体" w:hAnsi="宋体" w:eastAsia="宋体" w:cs="宋体"/>
                <w:b/>
                <w:bCs/>
                <w:color w:val="auto"/>
                <w:sz w:val="24"/>
                <w:szCs w:val="24"/>
                <w:highlight w:val="none"/>
                <w:lang w:val="en-US" w:eastAsia="zh-CN"/>
              </w:rPr>
              <w:t xml:space="preserve">套</w:t>
            </w:r>
            <w:r/>
          </w:p>
        </w:tc>
      </w:tr>
      <w:tr>
        <w:trPr>
          <w:trHeight w:val="485"/>
        </w:trPr>
        <w:tc>
          <w:tcPr>
            <w:shd w:val="clear" w:color="auto" w:fill="auto"/>
            <w:tcW w:w="1292" w:type="dxa"/>
            <w:vAlign w:val="center"/>
            <w:textDirection w:val="lrTb"/>
            <w:noWrap w:val="false"/>
          </w:tcPr>
          <w:p>
            <w:pPr>
              <w:jc w:val="center"/>
              <w:spacing w:line="360" w:lineRule="auto"/>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4</w:t>
            </w:r>
            <w:r/>
          </w:p>
        </w:tc>
        <w:tc>
          <w:tcPr>
            <w:shd w:val="clear" w:color="auto" w:fill="auto"/>
            <w:tcW w:w="1668" w:type="dxa"/>
            <w:vAlign w:val="center"/>
            <w:vMerge w:val="restart"/>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二层</w:t>
            </w:r>
            <w:r/>
          </w:p>
        </w:tc>
        <w:tc>
          <w:tcPr>
            <w:shd w:val="clear" w:color="auto" w:fill="auto"/>
            <w:tcW w:w="3377"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化学竞赛兼探究实验室</w:t>
            </w:r>
            <w:r/>
          </w:p>
        </w:tc>
        <w:tc>
          <w:tcPr>
            <w:shd w:val="clear" w:color="auto" w:fill="auto"/>
            <w:tcW w:w="1520"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1</w:t>
            </w:r>
            <w:r/>
          </w:p>
        </w:tc>
        <w:tc>
          <w:tcPr>
            <w:shd w:val="clear" w:color="auto" w:fill="auto"/>
            <w:tcW w:w="1340"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Style w:val="897"/>
                <w:rFonts w:hint="eastAsia" w:ascii="宋体" w:hAnsi="宋体" w:eastAsia="宋体" w:cs="宋体"/>
                <w:b/>
                <w:bCs/>
                <w:color w:val="auto"/>
                <w:sz w:val="24"/>
                <w:szCs w:val="24"/>
                <w:highlight w:val="none"/>
                <w:lang w:val="en-US" w:eastAsia="zh-CN"/>
              </w:rPr>
              <w:t xml:space="preserve">套</w:t>
            </w:r>
            <w:r/>
          </w:p>
        </w:tc>
      </w:tr>
      <w:tr>
        <w:trPr>
          <w:trHeight w:val="485"/>
        </w:trPr>
        <w:tc>
          <w:tcPr>
            <w:shd w:val="clear" w:color="auto" w:fill="auto"/>
            <w:tcW w:w="1292" w:type="dxa"/>
            <w:vAlign w:val="center"/>
            <w:textDirection w:val="lrTb"/>
            <w:noWrap w:val="false"/>
          </w:tcPr>
          <w:p>
            <w:pPr>
              <w:jc w:val="center"/>
              <w:spacing w:line="360" w:lineRule="auto"/>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5</w:t>
            </w:r>
            <w:r/>
          </w:p>
        </w:tc>
        <w:tc>
          <w:tcPr>
            <w:shd w:val="clear" w:color="auto" w:fill="auto"/>
            <w:tcW w:w="1668" w:type="dxa"/>
            <w:vAlign w:val="center"/>
            <w:vMerge w:val="continue"/>
            <w:textDirection w:val="lrTb"/>
            <w:noWrap w:val="false"/>
          </w:tcPr>
          <w:p>
            <w:pPr>
              <w:jc w:val="left"/>
              <w:rPr>
                <w:rStyle w:val="897"/>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shd w:val="clear" w:color="auto" w:fill="auto"/>
            <w:tcW w:w="3377"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化学仪器准备室2</w:t>
            </w:r>
            <w:r/>
          </w:p>
        </w:tc>
        <w:tc>
          <w:tcPr>
            <w:shd w:val="clear" w:color="auto" w:fill="auto"/>
            <w:tcW w:w="1520"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1</w:t>
            </w:r>
            <w:r/>
          </w:p>
        </w:tc>
        <w:tc>
          <w:tcPr>
            <w:shd w:val="clear" w:color="auto" w:fill="auto"/>
            <w:tcW w:w="1340"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Style w:val="897"/>
                <w:rFonts w:hint="eastAsia" w:ascii="宋体" w:hAnsi="宋体" w:eastAsia="宋体" w:cs="宋体"/>
                <w:b/>
                <w:bCs/>
                <w:color w:val="auto"/>
                <w:sz w:val="24"/>
                <w:szCs w:val="24"/>
                <w:highlight w:val="none"/>
                <w:lang w:val="en-US" w:eastAsia="zh-CN"/>
              </w:rPr>
              <w:t xml:space="preserve">套</w:t>
            </w:r>
            <w:r/>
          </w:p>
        </w:tc>
      </w:tr>
      <w:tr>
        <w:trPr>
          <w:trHeight w:val="485"/>
        </w:trPr>
        <w:tc>
          <w:tcPr>
            <w:shd w:val="clear" w:color="auto" w:fill="auto"/>
            <w:tcW w:w="129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bidi="ar-SA"/>
              </w:rPr>
            </w:pPr>
            <w:r>
              <w:rPr>
                <w:rStyle w:val="897"/>
                <w:rFonts w:hint="eastAsia" w:ascii="宋体" w:hAnsi="宋体" w:eastAsia="宋体" w:cs="宋体"/>
                <w:b/>
                <w:bCs/>
                <w:color w:val="auto"/>
                <w:sz w:val="24"/>
                <w:szCs w:val="24"/>
                <w:highlight w:val="none"/>
                <w:lang w:val="en-US" w:eastAsia="zh-CN"/>
              </w:rPr>
              <w:t xml:space="preserve">6</w:t>
            </w:r>
            <w:r/>
          </w:p>
        </w:tc>
        <w:tc>
          <w:tcPr>
            <w:shd w:val="clear" w:color="auto" w:fill="auto"/>
            <w:tcW w:w="1668" w:type="dxa"/>
            <w:vAlign w:val="center"/>
            <w:vMerge w:val="continue"/>
            <w:textDirection w:val="lrTb"/>
            <w:noWrap w:val="false"/>
          </w:tcPr>
          <w:p>
            <w:pPr>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c>
        <w:tc>
          <w:tcPr>
            <w:shd w:val="clear" w:color="auto" w:fill="auto"/>
            <w:tcW w:w="3377"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Style w:val="897"/>
                <w:rFonts w:hint="eastAsia" w:ascii="宋体" w:hAnsi="宋体" w:eastAsia="宋体" w:cs="宋体"/>
                <w:b/>
                <w:bCs/>
                <w:color w:val="auto"/>
                <w:sz w:val="24"/>
                <w:szCs w:val="24"/>
                <w:highlight w:val="none"/>
                <w:lang w:val="en-US" w:eastAsia="zh-CN"/>
              </w:rPr>
              <w:t xml:space="preserve">常规化学实验室2</w:t>
            </w:r>
            <w:r/>
          </w:p>
        </w:tc>
        <w:tc>
          <w:tcPr>
            <w:shd w:val="clear" w:color="auto" w:fill="auto"/>
            <w:tcW w:w="1520"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1</w:t>
            </w:r>
            <w:r/>
          </w:p>
        </w:tc>
        <w:tc>
          <w:tcPr>
            <w:shd w:val="clear" w:color="auto" w:fill="auto"/>
            <w:tcW w:w="1340"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Style w:val="897"/>
                <w:rFonts w:hint="eastAsia" w:ascii="宋体" w:hAnsi="宋体" w:eastAsia="宋体" w:cs="宋体"/>
                <w:b/>
                <w:bCs/>
                <w:color w:val="auto"/>
                <w:sz w:val="24"/>
                <w:szCs w:val="24"/>
                <w:highlight w:val="none"/>
                <w:lang w:val="en-US" w:eastAsia="zh-CN"/>
              </w:rPr>
              <w:t xml:space="preserve">套</w:t>
            </w:r>
            <w:r/>
          </w:p>
        </w:tc>
      </w:tr>
      <w:tr>
        <w:trPr>
          <w:trHeight w:val="495"/>
        </w:trPr>
        <w:tc>
          <w:tcPr>
            <w:shd w:val="clear" w:color="auto" w:fill="auto"/>
            <w:tcW w:w="1292" w:type="dxa"/>
            <w:vAlign w:val="center"/>
            <w:textDirection w:val="lrTb"/>
            <w:noWrap w:val="false"/>
          </w:tcPr>
          <w:p>
            <w:pPr>
              <w:jc w:val="center"/>
              <w:spacing w:line="360" w:lineRule="auto"/>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7</w:t>
            </w:r>
            <w:r/>
          </w:p>
        </w:tc>
        <w:tc>
          <w:tcPr>
            <w:shd w:val="clear" w:color="auto" w:fill="auto"/>
            <w:tcW w:w="1668" w:type="dxa"/>
            <w:vAlign w:val="center"/>
            <w:textDirection w:val="lrTb"/>
            <w:noWrap w:val="false"/>
          </w:tcPr>
          <w:p>
            <w:pPr>
              <w:jc w:val="left"/>
              <w:rPr>
                <w:rStyle w:val="897"/>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shd w:val="clear" w:color="auto" w:fill="auto"/>
            <w:tcW w:w="3377" w:type="dxa"/>
            <w:vAlign w:val="center"/>
            <w:textDirection w:val="lrTb"/>
            <w:noWrap w:val="false"/>
          </w:tcPr>
          <w:p>
            <w:pPr>
              <w:jc w:val="center"/>
              <w:rPr>
                <w:rStyle w:val="897"/>
                <w:rFonts w:hint="eastAsia" w:ascii="宋体" w:hAnsi="宋体" w:eastAsia="宋体" w:cs="宋体"/>
                <w:b/>
                <w:bCs/>
                <w:color w:val="auto"/>
                <w:sz w:val="24"/>
                <w:szCs w:val="24"/>
                <w:highlight w:val="none"/>
                <w:lang w:val="en-US" w:eastAsia="zh-CN"/>
              </w:rPr>
            </w:pPr>
            <w:r>
              <w:rPr>
                <w:rStyle w:val="897"/>
                <w:rFonts w:hint="eastAsia" w:ascii="宋体" w:hAnsi="宋体" w:eastAsia="宋体" w:cs="宋体"/>
                <w:b/>
                <w:bCs/>
                <w:color w:val="auto"/>
                <w:sz w:val="24"/>
                <w:szCs w:val="24"/>
                <w:highlight w:val="none"/>
                <w:lang w:val="en-US" w:eastAsia="zh-CN"/>
              </w:rPr>
              <w:t xml:space="preserve">教具</w:t>
            </w:r>
            <w:r/>
          </w:p>
        </w:tc>
        <w:tc>
          <w:tcPr>
            <w:shd w:val="clear" w:color="auto" w:fill="auto"/>
            <w:tcW w:w="1520"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Style w:val="897"/>
                <w:rFonts w:hint="eastAsia" w:ascii="宋体" w:hAnsi="宋体" w:eastAsia="宋体" w:cs="宋体"/>
                <w:b/>
                <w:bCs/>
                <w:color w:val="auto"/>
                <w:sz w:val="24"/>
                <w:szCs w:val="24"/>
                <w:highlight w:val="none"/>
                <w:lang w:val="en-US" w:eastAsia="zh-CN"/>
              </w:rPr>
              <w:t xml:space="preserve">1</w:t>
            </w:r>
            <w:r/>
          </w:p>
        </w:tc>
        <w:tc>
          <w:tcPr>
            <w:shd w:val="clear" w:color="auto" w:fill="auto"/>
            <w:tcW w:w="1340"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Style w:val="897"/>
                <w:rFonts w:hint="eastAsia" w:ascii="宋体" w:hAnsi="宋体" w:eastAsia="宋体" w:cs="宋体"/>
                <w:b/>
                <w:bCs/>
                <w:color w:val="auto"/>
                <w:sz w:val="24"/>
                <w:szCs w:val="24"/>
                <w:highlight w:val="none"/>
                <w:lang w:val="en-US" w:eastAsia="zh-CN"/>
              </w:rPr>
              <w:t xml:space="preserve">套</w:t>
            </w:r>
            <w:r/>
          </w:p>
        </w:tc>
      </w:tr>
    </w:tbl>
    <w:p>
      <w:pPr>
        <w:spacing w:line="85" w:lineRule="atLeast"/>
        <w:rPr>
          <w:rFonts w:hint="eastAsia" w:eastAsia="宋体"/>
          <w:b/>
          <w:bCs/>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eastAsia="宋体"/>
          <w:b/>
          <w:bCs/>
          <w:color w:val="auto"/>
          <w:sz w:val="24"/>
          <w:szCs w:val="24"/>
          <w:highlight w:val="yellow"/>
          <w:lang w:eastAsia="zh-CN"/>
        </w:rPr>
      </w:r>
      <w:r/>
    </w:p>
    <w:p>
      <w:pPr>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br w:type="page" w:clear="all"/>
      </w:r>
      <w:r/>
    </w:p>
    <w:p>
      <w:pPr>
        <w:pStyle w:val="896"/>
        <w:numPr>
          <w:ilvl w:val="0"/>
          <w:numId w:val="0"/>
        </w:numPr>
        <w:ind w:left="1230" w:hanging="750"/>
        <w:keepLines w:val="0"/>
        <w:keepNext w:val="0"/>
        <w:pageBreakBefore w:val="0"/>
        <w:spacing w:line="360" w:lineRule="auto"/>
        <w:widowControl w:val="off"/>
        <w:rPr>
          <w:b/>
          <w:bCs/>
          <w:sz w:val="24"/>
          <w:szCs w:val="24"/>
        </w:rPr>
      </w:pPr>
      <w:r>
        <w:rPr>
          <w:rFonts w:hint="default" w:ascii="Times New Roman" w:hAnsi="Times New Roman" w:eastAsia="宋体" w:cs="Times New Roman"/>
          <w:b/>
          <w:bCs/>
          <w:sz w:val="24"/>
          <w:szCs w:val="24"/>
          <w:lang w:val="en-US" w:eastAsia="zh-CN" w:bidi="ar-SA"/>
        </w:rPr>
        <w:t xml:space="preserve">（三）</w:t>
      </w:r>
      <w:r>
        <w:rPr>
          <w:rFonts w:hint="eastAsia"/>
          <w:b/>
          <w:bCs/>
          <w:sz w:val="24"/>
          <w:szCs w:val="24"/>
        </w:rPr>
        <w:t xml:space="preserve">技术要求</w:t>
      </w:r>
      <w:r/>
    </w:p>
    <w:tbl>
      <w:tblPr>
        <w:tblStyle w:val="882"/>
        <w:tblpPr w:horzAnchor="page" w:tblpX="1157" w:vertAnchor="text" w:tblpY="905" w:leftFromText="180" w:topFromText="0" w:rightFromText="180" w:bottomFromText="0"/>
        <w:tblW w:w="99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5"/>
        <w:gridCol w:w="1185"/>
        <w:gridCol w:w="1155"/>
        <w:gridCol w:w="5475"/>
        <w:gridCol w:w="752"/>
        <w:gridCol w:w="728"/>
      </w:tblGrid>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9970" w:type="dxa"/>
            <w:vAlign w:val="center"/>
            <w:textDirection w:val="lrTb"/>
            <w:noWrap/>
          </w:tcPr>
          <w:p>
            <w:pPr>
              <w:jc w:val="center"/>
              <w:keepLines w:val="0"/>
              <w:keepNext w:val="0"/>
              <w:widowControl/>
              <w:rPr>
                <w:rFonts w:hint="eastAsia" w:ascii="宋体" w:hAnsi="宋体" w:eastAsia="宋体" w:cs="宋体"/>
                <w:b/>
                <w:bCs/>
                <w:i w:val="0"/>
                <w:iCs w:val="0"/>
                <w:color w:val="2c1d86"/>
                <w:sz w:val="32"/>
                <w:szCs w:val="32"/>
                <w:u w:val="none"/>
              </w:rPr>
              <w:suppressLineNumbers w:val="0"/>
            </w:pPr>
            <w:r>
              <w:rPr>
                <w:rFonts w:hint="eastAsia" w:ascii="宋体" w:hAnsi="宋体" w:eastAsia="宋体" w:cs="宋体"/>
                <w:b/>
                <w:bCs/>
                <w:i w:val="0"/>
                <w:iCs w:val="0"/>
                <w:color w:val="2c1d86"/>
                <w:sz w:val="32"/>
                <w:szCs w:val="32"/>
                <w:u w:val="none"/>
                <w:lang w:val="en-US" w:eastAsia="zh-CN" w:bidi="ar"/>
              </w:rPr>
              <w:t xml:space="preserve">一层化学实验室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技术参数（规格尺寸偏离±3%）</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99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化学智慧吊装实验室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实验室专用水槽</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550*450*300mm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规格：550*450*300mm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1、采用PP一体化成型水槽，易清洁，耐腐蚀特点。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2、实验室专用水槽技术要求满足：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(1)、垂直冲击试验要求：检测条件高度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300mm次数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500 次，a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零部件无断裂、无</w:t>
            </w:r>
            <w:r>
              <w:rPr>
                <w:rFonts w:hint="eastAsia" w:ascii="宋体" w:hAnsi="宋体" w:cs="宋体"/>
                <w:i w:val="0"/>
                <w:iCs w:val="0"/>
                <w:color w:val="000000"/>
                <w:sz w:val="21"/>
                <w:szCs w:val="21"/>
                <w:u w:val="none"/>
                <w:lang w:val="en-US" w:eastAsia="zh-CN" w:bidi="ar"/>
              </w:rPr>
              <w:t xml:space="preserve">破裂</w:t>
            </w:r>
            <w:r>
              <w:rPr>
                <w:rFonts w:hint="eastAsia" w:ascii="宋体" w:hAnsi="宋体" w:eastAsia="宋体" w:cs="宋体"/>
                <w:i w:val="0"/>
                <w:iCs w:val="0"/>
                <w:color w:val="000000"/>
                <w:sz w:val="21"/>
                <w:szCs w:val="21"/>
                <w:u w:val="none"/>
                <w:lang w:val="en-US" w:eastAsia="zh-CN" w:bidi="ar"/>
              </w:rPr>
              <w:t xml:space="preserve">;b</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零部件未出现严重影响使用功能的磨损和变形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(2)、密度检测结果符合GB/T1033.1-2008方法A，检测条件：(23+2)℃，(50±5)%RH，24h浸渍液；水浸渍液密度:1.0165g'cm3浸渍液温度 22.3℃块状试样</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三联高低位龙头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教师智能控制器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教师演示台配备总漏电保护和分组保护，可分组控制学生的高低压电源，确保学生实验安全方便；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2、教师电源总控采用10寸"电阻式"液晶屏，显示智能控制按键同时显示电源电压；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3、教师交流电源通过智能控制按键直接选取0～24V电压，最小调节单元可达1V,额定电流3A；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4、教师直流电源也是通过智能控制按键直接选取，调节范围为1.5～24V，分辨率可达0.1V,额定电流3A；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5、低压大电流值为40A，自动关断；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教学电源：220V交流输出为带安全门的插座，带有电源指示，学生低压交流电源可通过智能控制按键直接选取0～24V电压，最小调节单元为1V，分组输送至学生桌；低压直流电压教师能准确控制，最小调节单元为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7、集中控制系统。可执行各分项分页控制；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（1）升降控制：可以实现单个控制，可以集中控制，可以任意组合控制；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（2）补光控制：分组控制整室照明；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（3）学生220V电源控制：控制学生AC220V电源；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（4）低压控制：教室主控，分组控制。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8、教师演示电源技术要求满足：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(1)、教师电源交流输出电压的测试， 电源输入端接变频电源，交流输出端接万用表。当输入电压为220V时，测量交流分档输出各档空载电压应不大于(1.05U+0.2)V。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输入端接变频电源，交流输出端接阻性负载箱作负载，并串接万用表作输出指示。当输入电压为220V,交流输出端为开路时，从2V起用万用表测量各点输出电压U,再接入并调整阻性负载箱使输出电流在0至额定电流值范围内变化时，测量输出电压应不小于(0.95U-0.2)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(2)、教师电源直流稳压输出电压的测试，电源输入端接变频电源，直流输出端接万用表。当输入电压为220V时，测量直流稳压分档输出空载电压误差应不大于±(2%U+0.1)V。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指示。当输入电压为220V,调整电子负载使输出电流为额定电流值，用万用表测量各点输出电压，调节变频电源，使输入电压在198V~242V之间变化，用万用表测量各相应点输出电压的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电源输入端接变频电源，直流输出端接电子负载作负载，并串接万用表作输出电流指示。输入电压保持220V,直流输出端为开路时，从2V起用万用表测量各点输出电压作为U,再接入并调节电子负载使输出电流 在0至额定电流值范围内变化，用万用表 测量相应各点输出电压变化量应不大于(2%U+0.1)V。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电源输入端接变频电源，直流输出端接电子负载作负载，并串接万用表作输出电流指示。当输入电压为220V时，调节电子负载使输出电流为额定值，用万用表测量各点输出电压，再用示波器测量相应各点输出纹波 电压，在输出范围内纹波电压应不大于5mV。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(3)、机械强度之250N恒定力试验，对外部外壳上直径为30mm的圆形平面施加250N±10N的恒定力，短时间保持大约5s,力依次施加到顶部、底部和侧面，外壳应无损坏。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(4)、机械强度之外壳冲击试验 直径为50mm±1mm、500g±25g、光滑的实心钢球进行试验，1300mm±10mm处自由落到样品上。3级能量</w:t>
            </w:r>
            <w:r>
              <w:rPr>
                <w:rFonts w:hint="eastAsia" w:ascii="宋体" w:hAnsi="宋体" w:cs="宋体"/>
                <w:i w:val="0"/>
                <w:iCs w:val="0"/>
                <w:color w:val="000000"/>
                <w:sz w:val="21"/>
                <w:szCs w:val="21"/>
                <w:u w:val="none"/>
                <w:lang w:val="en-US" w:eastAsia="zh-CN" w:bidi="ar"/>
              </w:rPr>
              <w:t xml:space="preserve">能源</w:t>
            </w:r>
            <w:r>
              <w:rPr>
                <w:rFonts w:hint="eastAsia" w:ascii="宋体" w:hAnsi="宋体" w:eastAsia="宋体" w:cs="宋体"/>
                <w:i w:val="0"/>
                <w:iCs w:val="0"/>
                <w:color w:val="000000"/>
                <w:sz w:val="21"/>
                <w:szCs w:val="21"/>
                <w:u w:val="none"/>
                <w:lang w:val="en-US" w:eastAsia="zh-CN" w:bidi="ar"/>
              </w:rPr>
              <w:t xml:space="preserve">未变成可触及，安全防护措施保持有效，未破碎，未破裂。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(5)、未接地的可触及零部件，使用泄漏电流测试仪，在正常工作条件下对所有未接地的可触及导电零部件进行测量ES1:0.5mA(有效值)0.707 mA(峰值)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(6)、抗电强度试验，使用绝缘耐压测试仪，施加直流电压到受试绝缘上，从零逐渐升高到规定的电压，并在该电压值上保持60s。试验中不应有绝缘击穿和飞弧现象出现。</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通风矢量控制器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风机矢量控制变频器：应用空间电压矢量控制原理，采用模块化设计、双CPU控制，是集数字技术、计算机技术、现代自控技术于一体的高科技产品，具有精度高、</w:t>
            </w:r>
            <w:r>
              <w:rPr>
                <w:rFonts w:hint="eastAsia" w:ascii="宋体" w:hAnsi="宋体" w:cs="宋体"/>
                <w:i w:val="0"/>
                <w:iCs w:val="0"/>
                <w:color w:val="000000"/>
                <w:sz w:val="21"/>
                <w:szCs w:val="21"/>
                <w:u w:val="none"/>
                <w:lang w:val="en-US" w:eastAsia="zh-CN" w:bidi="ar"/>
              </w:rPr>
              <w:t xml:space="preserve">噪声</w:t>
            </w:r>
            <w:r>
              <w:rPr>
                <w:rFonts w:hint="eastAsia" w:ascii="宋体" w:hAnsi="宋体" w:eastAsia="宋体" w:cs="宋体"/>
                <w:i w:val="0"/>
                <w:iCs w:val="0"/>
                <w:color w:val="000000"/>
                <w:sz w:val="21"/>
                <w:szCs w:val="21"/>
                <w:u w:val="none"/>
                <w:lang w:val="en-US" w:eastAsia="zh-CN" w:bidi="ar"/>
              </w:rPr>
              <w:t xml:space="preserve">低、转矩大、性能可靠等特点。主要参数指标为：1.频率指示、异常指示、转速指示、状态指示等均由LED显示；2.输入额定电压：三相380V，±15%；3.输入额定频率：50/60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；4.控制方式：空间电压矢量控制；5.输出频率：1.00~400.0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；6.过载能力：150%额定电流；7.保护功能：输入缺相、输入欠压、直流过压、过载等。</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顶装智能控制模块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集中控制系统。可执行各分项分页控制。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给排水控制：控制顶装给排水。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照明控制：</w:t>
            </w:r>
            <w:r>
              <w:rPr>
                <w:rFonts w:hint="eastAsia" w:ascii="宋体" w:hAnsi="宋体" w:cs="宋体"/>
                <w:i w:val="0"/>
                <w:iCs w:val="0"/>
                <w:color w:val="000000"/>
                <w:sz w:val="21"/>
                <w:szCs w:val="21"/>
                <w:u w:val="none"/>
                <w:lang w:val="en-US" w:eastAsia="zh-CN" w:bidi="ar"/>
              </w:rPr>
              <w:t xml:space="preserve">控制</w:t>
            </w:r>
            <w:r>
              <w:rPr>
                <w:rFonts w:hint="eastAsia" w:ascii="宋体" w:hAnsi="宋体" w:eastAsia="宋体" w:cs="宋体"/>
                <w:i w:val="0"/>
                <w:iCs w:val="0"/>
                <w:color w:val="000000"/>
                <w:sz w:val="21"/>
                <w:szCs w:val="21"/>
                <w:u w:val="none"/>
                <w:lang w:val="en-US" w:eastAsia="zh-CN" w:bidi="ar"/>
              </w:rPr>
              <w:t xml:space="preserve">顶装照明。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电源控制：控制学生AC220V电源和低压电源。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摇臂控制：控制摇臂升降。</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远程</w:t>
            </w:r>
            <w:r>
              <w:rPr>
                <w:rFonts w:hint="eastAsia" w:ascii="宋体" w:hAnsi="宋体" w:cs="宋体"/>
                <w:i w:val="0"/>
                <w:iCs w:val="0"/>
                <w:color w:val="000000"/>
                <w:sz w:val="21"/>
                <w:szCs w:val="21"/>
                <w:u w:val="none"/>
                <w:lang w:val="en-US" w:eastAsia="zh-CN" w:bidi="ar"/>
              </w:rPr>
              <w:t xml:space="preserve">控制</w:t>
            </w:r>
            <w:r>
              <w:rPr>
                <w:rFonts w:hint="eastAsia" w:ascii="宋体" w:hAnsi="宋体" w:eastAsia="宋体" w:cs="宋体"/>
                <w:i w:val="0"/>
                <w:iCs w:val="0"/>
                <w:color w:val="000000"/>
                <w:sz w:val="21"/>
                <w:szCs w:val="21"/>
                <w:u w:val="none"/>
                <w:lang w:val="en-US" w:eastAsia="zh-CN" w:bidi="ar"/>
              </w:rPr>
              <w:t xml:space="preserve">模块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APP登入有网络注册功能，注册后登入系统操作，使用者忘记密码方便找回，同时方便升级系统，带来新的体验。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2、能使用APP能控制总电源关闭；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3、APP能显示当前温度、相对湿度及当前时间；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4、使用APP能控制学生低压电源的交流电压，且电压值为实测值。如APP给学生交流3V，学生电源电压实测电压为3V；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5、使用APP同时控制水电风光源开启与关闭，同时可以扩展功能（监控布防、空调控制等等）</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温湿度监视模块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内置精密温湿度传感装置，实时监控房间内的温度和湿度，保障室内舒适的环境舒适性，在触摸屏中实时显示当前环境的温度和湿度。</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铝合金万向罩</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四节</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关节：高密度PP材质表面磨砂，可360°旋转调节。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2、关节密封圈：高密度橡胶。在关节之间随着旋钮压力加大而产生阻尼效果。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3、关节连接杆：304不锈钢双头连接杆。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4、关节盖：高密度PP材质表面磨砂，组合式安装拆装方便。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5、关节松紧</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：高密度PP材质，调节</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可以调节关节旋转扭矩。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6、铝合金万向罩口：直径不小于230mm，高密度铝合金制成，防止实验时的火焰使其燃烧。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7、导管：4节直径不小于55mm的抗氧化抗腐蚀的镁硅铝合金，表面做特氟龙表面处理，耐酸、耐碱、耐划痕。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8、旋转关节：采用抗氧化抗腐蚀的镁硅铝合金，和铝合金万向</w:t>
            </w:r>
            <w:r>
              <w:rPr>
                <w:rFonts w:hint="eastAsia" w:ascii="宋体" w:hAnsi="宋体" w:cs="宋体"/>
                <w:i w:val="0"/>
                <w:iCs w:val="0"/>
                <w:color w:val="000000"/>
                <w:sz w:val="21"/>
                <w:szCs w:val="21"/>
                <w:u w:val="none"/>
                <w:lang w:val="en-US" w:eastAsia="zh-CN" w:bidi="ar"/>
              </w:rPr>
              <w:t xml:space="preserve">罩</w:t>
            </w:r>
            <w:r>
              <w:rPr>
                <w:rFonts w:hint="eastAsia" w:ascii="宋体" w:hAnsi="宋体" w:eastAsia="宋体" w:cs="宋体"/>
                <w:i w:val="0"/>
                <w:iCs w:val="0"/>
                <w:color w:val="000000"/>
                <w:sz w:val="21"/>
                <w:szCs w:val="21"/>
                <w:u w:val="none"/>
                <w:lang w:val="en-US" w:eastAsia="zh-CN" w:bidi="ar"/>
              </w:rPr>
              <w:t xml:space="preserve">连接的导管设计旋转功能。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9、扭簧：使用90度的4mm专用弹簧钢抗氧化处理，防止吸风罩自重导致导管下滑。</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万向吸风罩底座</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钢制固定底座，抗氧化抗腐蚀的镁硅铝合金方管，根据不同的组合方式可选择丝口和挂口结构，拆装方便。</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吊装式通风管道</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1200*300mm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室内通风主管道、支管道均采用防腐蚀材质，主管道：定制风管，满足实验室通风要求；接口保证无漏风。</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室外行程通风管道</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采用防腐蚀材质，具有整体结构性能好、严密性高等优点，同时具有耐酸碱性能。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2、规格：定制风管，满足实验室通风要求，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3、管卡采用碳钢制作，表面经防锈处理，具有耐腐蚀、防火、防潮等功能。</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防腐风机</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cs="宋体"/>
                <w:i w:val="0"/>
                <w:iCs w:val="0"/>
                <w:color w:val="000000"/>
                <w:sz w:val="21"/>
                <w:szCs w:val="21"/>
                <w:u w:val="none"/>
                <w:lang w:val="en-US" w:eastAsia="zh-CN" w:bidi="ar"/>
              </w:rPr>
              <w:t xml:space="preserve">kW</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功率：5.5</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。风量：7100-13500m3/h。风压：926-735Pa。</w:t>
            </w:r>
            <w:r>
              <w:rPr>
                <w:rFonts w:hint="eastAsia" w:ascii="宋体" w:hAnsi="宋体" w:cs="宋体"/>
                <w:i w:val="0"/>
                <w:iCs w:val="0"/>
                <w:color w:val="000000"/>
                <w:sz w:val="21"/>
                <w:szCs w:val="21"/>
                <w:u w:val="none"/>
                <w:lang w:val="en-US" w:eastAsia="zh-CN" w:bidi="ar"/>
              </w:rPr>
              <w:t xml:space="preserve">噪声</w:t>
            </w:r>
            <w:r>
              <w:rPr>
                <w:rFonts w:hint="eastAsia" w:ascii="宋体" w:hAnsi="宋体" w:eastAsia="宋体" w:cs="宋体"/>
                <w:i w:val="0"/>
                <w:iCs w:val="0"/>
                <w:color w:val="000000"/>
                <w:sz w:val="21"/>
                <w:szCs w:val="21"/>
                <w:u w:val="none"/>
                <w:lang w:val="en-US" w:eastAsia="zh-CN" w:bidi="ar"/>
              </w:rPr>
              <w:t xml:space="preserve">：≤55dB(A)</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2.5mm²*3+1.5mm²*2</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智能摇臂升降模块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动力电机</w:t>
            </w:r>
            <w:r>
              <w:rPr>
                <w:rFonts w:hint="eastAsia" w:ascii="宋体" w:hAnsi="宋体" w:cs="宋体"/>
                <w:i w:val="0"/>
                <w:iCs w:val="0"/>
                <w:color w:val="000000"/>
                <w:sz w:val="21"/>
                <w:szCs w:val="21"/>
                <w:u w:val="none"/>
                <w:lang w:val="en-US" w:eastAsia="zh-CN" w:bidi="ar"/>
              </w:rPr>
              <w:t xml:space="preserve">采用</w:t>
            </w:r>
            <w:r>
              <w:rPr>
                <w:rFonts w:hint="eastAsia" w:ascii="宋体" w:hAnsi="宋体" w:eastAsia="宋体" w:cs="宋体"/>
                <w:i w:val="0"/>
                <w:iCs w:val="0"/>
                <w:color w:val="000000"/>
                <w:sz w:val="21"/>
                <w:szCs w:val="21"/>
                <w:u w:val="none"/>
                <w:lang w:val="en-US" w:eastAsia="zh-CN" w:bidi="ar"/>
              </w:rPr>
              <w:t xml:space="preserve">直流24V减速低压电机，连接杆采用不小于DN60*1.8mm专用铝合金模具一体成型定制铝管，内部水电分离，功能模块采用模具一体成型，功能模块可安装高低压电源（低压电源为交直流，可以显示交直流电压）、急停开关，可选配网络及上下水模块。系统自带障碍物保护功能，当摇臂在运动的过程中遇到障碍物时会自动复位；摇臂在运动的过程中供应模块的电源处于断电状态。</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模块主架舱体</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1200*720*195mm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采用标准模块化组成，1200*720*195mm为一组；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及材质：主框架采用航空飞碟式设计1.8-3mm厚铝合金模具成型表面经环氧树脂粉末喷涂高温固化处理，舱体下部采用高强度镀锌钢板配色成型，左右装饰条采用实验室专用铝合金模具型材，表面经环氧树脂粉末喷涂高温固化处理。具有阻燃性强和耐酸碱、耐腐蚀，光泽度好，美观大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3、模块主架舱体技术要求满足：GB/T 3325-2017金属家具通用技术条件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金属喷漆（塑）涂层理化满足：1.1硬度≥H；1.2冲击强度：冲击高度400mm,应无剥落、裂纹、皱纹；1.3耐腐蚀：100h内，观察在溶液中样板上划道两侧3mm以外，应无鼓泡产生；100h后，检查划道两侧3mm外，应无锈迹、剥落、起皱、变色和失光等现象；1.4附着力：应不低于2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集成功能模块舱体</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采用ABS材质，模具一体成型。模块内部采用双层设计，水电隔离设计，相互不干扰，保证设备安全可靠性。模块内预留高压、低压、网络、上下水接口位置。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2、集成功能模块舱体技术要求满足：GB/T 3325-2017金属家具通用技术条件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金属喷漆（塑）涂层理化：1.1硬度≥H；1.2冲击强度：冲击高度400mm,应无剥落、裂纹、皱纹；1.3耐腐蚀：100h内，观察在溶液中样板上划道两侧3mm以外，应无鼓泡产生；100h后，检查划道两侧3mm外，应无锈迹、剥落、起皱、变色和失光等现象；1.4附着力：应不低于2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220V</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接收智能化控制系统控制，内含插座。可以分组或独立控制电源供给。</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ffffff"/>
            <w:tcBorders>
              <w:top w:val="single" w:color="000000" w:sz="4" w:space="0"/>
              <w:left w:val="single" w:color="000000" w:sz="4" w:space="0"/>
              <w:bottom w:val="single" w:color="auto" w:sz="4" w:space="0"/>
              <w:right w:val="single" w:color="000000" w:sz="4" w:space="0"/>
            </w:tcBorders>
            <w:tcW w:w="1185"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0-24V</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2、学生电源采用耐磨、耐腐蚀、耐高温的PC亮光薄膜面板，学生电源的控制采用按钮式按键，可以随意设置电压，贴片元件生产技术，微电脑控制，采用1.38寸液晶显示电源学生交直流电压；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3、学生交流电源通过上下键0～24V电压，最小调节单元可达1V,额定电流2A；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4、学生直流电源也是通过上下键选取，调节范围为1.5～24V，分辨率可达0.1V,额定电流2A。</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ffffff"/>
            <w:tcBorders>
              <w:top w:val="single" w:color="auto" w:sz="4" w:space="0"/>
              <w:left w:val="single" w:color="000000" w:sz="4" w:space="0"/>
              <w:bottom w:val="single" w:color="000000" w:sz="4" w:space="0"/>
              <w:right w:val="single" w:color="000000" w:sz="4" w:space="0"/>
            </w:tcBorders>
            <w:tcW w:w="118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485模块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485模块</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采用485网络模块接口，含设备中网线，方便与教室网络对接，不含教室网络布线及网线。</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学生端防堵反冲洗装置</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采用4分PVC水管，具有耐酸碱、防爆的特性，水管之间接头采用金属连接件，安装自来水大流量反冲前置过滤器，避免自来水水质不干净；排水采用内置钢丝PVC水管，防止水泵工作时水管负压变形，水管之间接头采用金属连接件</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学生端给排水接口</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4分</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PVC材质，给排水接头采用美国进口,具有耐酸碱，拔插轻松，不生锈；即插即用，带自动锁紧插功能，即使在供水排水工作时，随时拔掉接口不会有任何滴漏现象。</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自动给排水模块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4分</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采用自主研发，当给水开关打开时，排水自动启动，水槽水低位时，排水自动关闭，设定时间内自动检测排水管水位，当排水管有水时，排水自动抽完，如果排水管未检测到水，水泵自动关闭。</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多功能防溅水槽柜</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水槽柜整体尺寸为600*450*820mm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2、底围：590x440x61.5mm，中间部分尺寸601x450x817mm；材质1.0mm高强度镀锌钢板，表面经防锈处理、环氧树脂静电粉末涂装处理；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3、一体水槽，PP改性材质，水槽上部内径尺寸为405x480mm，底部内径尺寸为346*436mm，水槽最高深度为360mm，洗涤时水不易外溅；水槽内部带滴水架，滴水架带不少于10根滴水棒，滴水棒可以翻转收纳；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4、水槽柜预留收纳翻盖，有收纳水管功能；检修门带锁，底围安装1寸定向轮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5、多功能防溅水槽柜技术要求满足：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(1)、密度：(23±2)℃，(50±5)%RH，24h，浸渍液：水，浸渍液密度：1.0168g/cm3，浸渍液温度23.5℃，块状试样，1.161g/cm3；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(2)、水槽柜尺寸：使用卷尺测量，水槽内径尺寸，底部：346m宽×436mm长、上部：405mm宽×480mm长、高度：360mm；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(3)、水槽柜滴水架具有折叠隐藏功能；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(4)、水槽柜隐藏设计：柜体上部设计有隐藏式上下水管功能，可以搭配上走水电的需求；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(5)、水槽柜过滤功能：下水带2层过滤装置，可以过滤不同的杂质；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(6)、水槽柜排水功能：水槽底部设置矩形式下水口，可以快速排出水槽废水。</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升降折叠水龙头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双口</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主体材质为加厚铜管，主管管径26mm铜管，表面经环氧树脂喷涂处理。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龙头可以独立折叠式设计，使用时打开折叠双联龙头在使用过程中可以自由升降水嘴，以满足不同身高的高度仪器清洗要求使用。其中一个出水嘴加装了可调节水花装置，保证实验过程中对水花的不同要求，调节方便，美观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4、实验室龙头采用壁式安装，壁厚大于2.5mm，固定底座直径50mm，底座</w:t>
            </w:r>
            <w:r>
              <w:rPr>
                <w:rFonts w:hint="eastAsia" w:ascii="宋体" w:hAnsi="宋体" w:cs="宋体"/>
                <w:i w:val="0"/>
                <w:iCs w:val="0"/>
                <w:color w:val="000000"/>
                <w:sz w:val="21"/>
                <w:szCs w:val="21"/>
                <w:u w:val="none"/>
                <w:lang w:val="en-US" w:eastAsia="zh-CN" w:bidi="ar"/>
              </w:rPr>
              <w:t xml:space="preserve">锁扣</w:t>
            </w:r>
            <w:r>
              <w:rPr>
                <w:rFonts w:hint="eastAsia" w:ascii="宋体" w:hAnsi="宋体" w:eastAsia="宋体" w:cs="宋体"/>
                <w:i w:val="0"/>
                <w:iCs w:val="0"/>
                <w:color w:val="000000"/>
                <w:sz w:val="21"/>
                <w:szCs w:val="21"/>
                <w:u w:val="none"/>
                <w:lang w:val="en-US" w:eastAsia="zh-CN" w:bidi="ar"/>
              </w:rPr>
              <w:t xml:space="preserve">与台面中间添加齿形止退垫，使连接后不易松动稳定性强，与台面安装牢固。双联龙头可以分开折叠90度收纳，保证实验室的整洁美观。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5、开关旋钮：材质PP，符合人体工学设计，启闭方式为平面式，开关标识清晰醒目，装配好的开关旋钮应平稳轻便无卡阻，与阀杆连接后不易松动稳定性强。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主架舱体防尘检修板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采用1.0mm优质高强度镀锌钢板，采用CO2保护焊焊接，打磨处理，表面经耐酸碱EPOXY粉末烤漆处理；造型独特美观，检修方便。</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智能灯光照明装置</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接收智能化控制系统控制，功能面板采用1170*85mm，配置LED日光灯1根，每根15W，灯罩采用ABS一次成型，设计安装磨砂透明均光板，不仅能使光线扩散均匀更能起到安全防护作用。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电源供应线路</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模块化设计，每组模块间采用活接式连接，方便安装、检修。采用2.5mm²电线进行系统布线。</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智能控制系统线路</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模块化设计，每组模块间采用活接式连接，方便安装、检修。采用1.mm²屏蔽电线进行系统布线。</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给水管路</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给水主管选用φ20-32mmPP-R给水管，模块化设计，每组模块间采用活接式连接，方便安装、检修。</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排水管路</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排水管选用加厚φ50-75mmPVC-U国标管（具有防酸、防碱、耐腐蚀功能），模块化设计，每组模块间采用活接式连接，方便安装、检修。</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舱体末端封板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采用ABS材质，模具一体成型。</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支架功能封板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能隐藏水电通风管道及电线，采用PVC材质，方便检修。</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安装龙骨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采用碳钢丝杠及专业连接件、直角座、龙骨架连接件、吊装挂件、安装连接板等。</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安装辅材</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采用双槽钢横梁吊装方式，减少楼板承重，防止左右晃动，可进行上下、左右的平衡调节，实验功能板离地2m左右，主要辅件有：槽钢等（不含桁架）</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设备集成调试</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1、吊顶式系统采用模块化结构设计，采用吊装安装方式；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2、系统结构调试；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3、系统控制调试；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4、通风系统调试；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5、给排水调试；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6、供电系统调试；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7、照明系统调试。</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顶装安装</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设备运输卸车、搬运上楼，高空设备安装、调试等服务。垃圾清运。</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学科展板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600*800mm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规格：600*800mm,铝合金边框，亚克力面板，高清喷绘写真。内容：生物学科著名人物简介，图文并茂。</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文化背景墙</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6000*1200mm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规格：6000*1200mm,PVC立体雕刻。内容：生物学科背景墙</w:t>
            </w:r>
            <w:r>
              <w:rPr>
                <w:rFonts w:hint="eastAsia" w:ascii="宋体" w:hAnsi="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99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化学仪器准备室1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实验室专用试剂架</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2200*300*750mm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铝合金结构，表面喷涂高温固化匀乳白环氧树脂</w:t>
            </w:r>
            <w:r>
              <w:rPr>
                <w:rFonts w:hint="eastAsia" w:ascii="宋体" w:hAnsi="宋体" w:cs="宋体"/>
                <w:i w:val="0"/>
                <w:iCs w:val="0"/>
                <w:color w:val="000000"/>
                <w:sz w:val="21"/>
                <w:szCs w:val="21"/>
                <w:u w:val="none"/>
                <w:lang w:val="en-US" w:eastAsia="zh-CN" w:bidi="ar"/>
              </w:rPr>
              <w:t xml:space="preserve">喷涂</w:t>
            </w:r>
            <w:r>
              <w:rPr>
                <w:rFonts w:hint="eastAsia" w:ascii="宋体" w:hAnsi="宋体" w:eastAsia="宋体" w:cs="宋体"/>
                <w:i w:val="0"/>
                <w:iCs w:val="0"/>
                <w:color w:val="000000"/>
                <w:sz w:val="21"/>
                <w:szCs w:val="21"/>
                <w:u w:val="none"/>
                <w:lang w:val="en-US" w:eastAsia="zh-CN" w:bidi="ar"/>
              </w:rPr>
              <w:t xml:space="preserve">处理，具有较强的耐蚀性能，上下带塑胶模具堵头；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试剂架立柱截面尺寸：42mm*82mm, 型材壁厚1.2mm；试剂架立柱双面升降槽，侧面双面镶嵌另色色条；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试剂架托架1.0mm高强度镀锌钢板，一次性冲压成型；试剂架护栏：护栏壁厚1.2mm，单面镶嵌另色色条。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立杆牢固固定于C型钢架底端，层板采用8mm厚的玻璃，安装后用户可根据试剂大小上下高低无级调节。</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规章制度展板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600*800mm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规格：600*800mm,铝合金边框，亚克力面板，高清喷绘写真。内容：化学仪器室准备室管理制度、使用规则等。</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安装调试</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设备运输卸车、搬运上楼，地面设备安装、调试等服务。垃圾清运。</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99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常规化学实验室1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实验室专用水槽</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550*450*300mm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规格：550*450*300mm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采用PP一体化成型水槽，易清洁，耐腐蚀特点。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实验室专用水槽技术要求满足：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(1)、垂直冲击试验要求：检测条件高度:300mm次数:500 次，a,零部件无断裂、无</w:t>
            </w:r>
            <w:r>
              <w:rPr>
                <w:rFonts w:hint="eastAsia" w:ascii="宋体" w:hAnsi="宋体" w:cs="宋体"/>
                <w:i w:val="0"/>
                <w:iCs w:val="0"/>
                <w:color w:val="000000"/>
                <w:sz w:val="21"/>
                <w:szCs w:val="21"/>
                <w:u w:val="none"/>
                <w:lang w:val="en-US" w:eastAsia="zh-CN" w:bidi="ar"/>
              </w:rPr>
              <w:t xml:space="preserve">破裂</w:t>
            </w:r>
            <w:r>
              <w:rPr>
                <w:rFonts w:hint="eastAsia" w:ascii="宋体" w:hAnsi="宋体" w:eastAsia="宋体" w:cs="宋体"/>
                <w:i w:val="0"/>
                <w:iCs w:val="0"/>
                <w:color w:val="000000"/>
                <w:sz w:val="21"/>
                <w:szCs w:val="21"/>
                <w:u w:val="none"/>
                <w:lang w:val="en-US" w:eastAsia="zh-CN" w:bidi="ar"/>
              </w:rPr>
              <w:t xml:space="preserve">;b,零部件未出现严重影响使用功能的磨损和变形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(2)、密度检测结果符合GB/T1033.1-2008方法A，检测条件：(23+2)℃，(50±5)%RH，24h浸渍液；水浸渍液密度:1.0165g'cm3浸渍液温度 22.3℃块状试样</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三联高低位龙头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实验室专用洗眼器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单眼</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洗眼喷头：采用不助燃PC材质模铸一体</w:t>
            </w:r>
            <w:r>
              <w:rPr>
                <w:rFonts w:hint="eastAsia" w:ascii="宋体" w:hAnsi="宋体" w:cs="宋体"/>
                <w:i w:val="0"/>
                <w:iCs w:val="0"/>
                <w:color w:val="000000"/>
                <w:sz w:val="21"/>
                <w:szCs w:val="21"/>
                <w:u w:val="none"/>
                <w:lang w:val="en-US" w:eastAsia="zh-CN" w:bidi="ar"/>
              </w:rPr>
              <w:t xml:space="preserve">成型</w:t>
            </w:r>
            <w:r>
              <w:rPr>
                <w:rFonts w:hint="eastAsia" w:ascii="宋体" w:hAnsi="宋体" w:eastAsia="宋体" w:cs="宋体"/>
                <w:i w:val="0"/>
                <w:iCs w:val="0"/>
                <w:color w:val="000000"/>
                <w:sz w:val="21"/>
                <w:szCs w:val="21"/>
                <w:u w:val="none"/>
                <w:lang w:val="en-US" w:eastAsia="zh-CN" w:bidi="ar"/>
              </w:rPr>
              <w:t xml:space="preserve">制作，具有防尘功能，上面防尘盖平常可防尘，使用时可随时被水冲开，并降低突然打开时短暂的高水压，避免冲伤眼睛。</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全新钢塑水槽柜</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450*600*800mm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规格：450*600*800mm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水槽柜：整体采用三段式结构，前部凸起，采用实验室专用一次成型的绿色环保材质，背板和侧板采用1.0MM厚高强度镀锌钢板后两侧圆弧角设计，前面门板两侧圆弧形设计，方便上下水检修，底座为专用一次成型绿色环保材质。要求无毒无味，防水防潮，不生锈，承重力强，可重复拆卸拼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2、全新钢塑水槽柜技术要求满足：GB/T 32487-2016塑料家具通用技术条件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(1)、耐老化性（室内720h）满足：外观颜色不低于≥4级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三联高低位龙头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PP一体化水槽</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450*600*250mm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水槽为整体模具一体成型，尺寸450*600*250mm，并设有溢水口，底部带S弯防臭设计，与地面下水管密封连接。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2、PP一体化水槽技术要求满足：GB/T 32487-2016塑料家具通用技术条件:耐老化性（室内720h）满足：外观颜色不低于≥4级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多功能实验下水装置</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多功能实验下水装置技术要求满足：GB/T 32487-2016塑料家具通用技术条件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(1)、耐老化性（室内720h）满足：外观颜色不低于≥4级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多功能柱</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360*245*735mm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整体采用实验室专用PP材质，四周圆弧处理，前后二块拼接而成，可拆装，内部隐藏实验线管及通风管道，方便检修。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2、多功能柱技术要求满足：GB/T 32487-2016塑料家具通用技术条件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(1)、耐老化性（室内720h）满足：外观颜色不低于≥4级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学生安全电源</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92*152mm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工作环境：温度-10ºC~+40ºC 相对湿度&lt;85％（25ºC）海拔&lt;4000M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2、市电AC220V/3A输出为2个五孔插座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3、学生电源采用耐磨、耐腐蚀、耐高温（≤140℃）的PC亮光薄膜面板，学生电源的控制采用“电容式”触摸键盘，贴片元件生产技术，微电脑控制，采用1.54寸液晶显示电源学生交直流电压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4、直流稳压电源：液晶显示，触摸按键调节，1.5-24V/2A，电压调节分辨率为0.1V。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5、交流低压电源：液晶显示，触摸按键调节，1-24V/2A，电压调节分辨率为1V。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6、学生低压电源都可接收老师发送的锁定信号，教师主控在锁定指示灯点亮后，学生只能接收老师输送的设定电源电压，学生自己无法操作，这样可避免学生的误操作。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7、学生安全电源技术要求满足：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受控学生电源交流输出电压的测试：控制单元输入端接变频电源和万用表，输出端接受控学生电源，受控学生电源交流输出端接万用表。当控制单元输入电压为220V时，测量受控学生电源交流分档输出各档空载电压应不大于(1.05U0.3)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电源输入端接变频电源和万用表，输出端接受控学生电源，受控学生电源交流输出端接阻性负载箱作负载，并串接万用表作输出电流指示。当输入控制单元的电压为220V，受控学生电源交流输出端为开路时，从2V起用万用表测量学生电源各点输出电压U，再接入并调整阻性负载箱使输出电流在0至额定电流值范围内变化时，测量相应各点输出电压应不小于(0.95U-0.3)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受控学生电源直流稳压输出电压的测试：控制单元输入端接变频电源和万用表，输出端接受控学生电源，受控学生电源直流输出端接万用表。当输入控制单元电压为220V时，用万用表测量受控学生电源分档直流稳压输出空载电压误差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输入端接变频电源和万用表，输出端接受控学生电源，受控学生电源直流稳压输出端接电子负载作负载，并串接万用表作输出指示。当输入控制单元的电压为220V，调整电子负载使受控学生电源直流稳压输出电流为额定电流值，用万用表测量各点输出电压作为U，调节变频电源，使控制单元输入电压在198V-242V之间变化，用万用表测量受控学生电源直流稳压各相应点输出电压的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控制单元输入</w:t>
            </w:r>
            <w:r>
              <w:rPr>
                <w:rFonts w:hint="eastAsia" w:ascii="宋体" w:hAnsi="宋体" w:cs="宋体"/>
                <w:i w:val="0"/>
                <w:iCs w:val="0"/>
                <w:color w:val="000000"/>
                <w:sz w:val="21"/>
                <w:szCs w:val="21"/>
                <w:u w:val="none"/>
                <w:lang w:val="en-US" w:eastAsia="zh-CN" w:bidi="ar"/>
              </w:rPr>
              <w:t xml:space="preserve">端接</w:t>
            </w:r>
            <w:r>
              <w:rPr>
                <w:rFonts w:hint="eastAsia" w:ascii="宋体" w:hAnsi="宋体" w:eastAsia="宋体" w:cs="宋体"/>
                <w:i w:val="0"/>
                <w:iCs w:val="0"/>
                <w:color w:val="000000"/>
                <w:sz w:val="21"/>
                <w:szCs w:val="21"/>
                <w:u w:val="none"/>
                <w:lang w:val="en-US" w:eastAsia="zh-CN" w:bidi="ar"/>
              </w:rPr>
              <w:t xml:space="preserve">变频电源和万用表，输出端接受控学生电源，受控学生电源直流输出端接电子负载作负载，并串接万用表作输出电流指示。控制单元输入电压保持220V，直流输出端为开路时，从2V起用万用表测量各点输出电压作为U，再接入并调节电子负载使受控学生电源直流输出电流在0至额定电流值范围内变化，用万用表测量受控学生电源相应各点输出电压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输入端接变频电源和万用表，输出端接受控学生电源，受控学生电源直流输出端接电子负载作负载，并串接万用表作输出电流指示。当输入控制单元电压为220V时，调节电子负载使受控学生电源输出电流为额定电流值，用万用表测量各点输出电压，再用示波器测量各点输出纹波电压，在输出范围内纹波电压应不大于10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（3）、机械强度之250N恒定力试验，对外部外壳上直径为30mm的圆形平面施加250N±10N的恒定力，短时间保持大约5s，力依次施加到顶部、底部和侧面，外壳无损坏。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（4)、机械强度之外壳冲击试验。直径为50mm±1mm、500g±25g、光滑的实心钢球进行试验，1300mm±10mm处自由落到样品上。3级能量</w:t>
            </w:r>
            <w:r>
              <w:rPr>
                <w:rFonts w:hint="eastAsia" w:ascii="宋体" w:hAnsi="宋体" w:cs="宋体"/>
                <w:i w:val="0"/>
                <w:iCs w:val="0"/>
                <w:color w:val="000000"/>
                <w:sz w:val="21"/>
                <w:szCs w:val="21"/>
                <w:u w:val="none"/>
                <w:lang w:val="en-US" w:eastAsia="zh-CN" w:bidi="ar"/>
              </w:rPr>
              <w:t xml:space="preserve">能源</w:t>
            </w:r>
            <w:r>
              <w:rPr>
                <w:rFonts w:hint="eastAsia" w:ascii="宋体" w:hAnsi="宋体" w:eastAsia="宋体" w:cs="宋体"/>
                <w:i w:val="0"/>
                <w:iCs w:val="0"/>
                <w:color w:val="000000"/>
                <w:sz w:val="21"/>
                <w:szCs w:val="21"/>
                <w:u w:val="none"/>
                <w:lang w:val="en-US" w:eastAsia="zh-CN" w:bidi="ar"/>
              </w:rPr>
              <w:t xml:space="preserve">未变成可触及，安全防护措施保持有效，未破碎，未破裂。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（5）、未接地的可触及零部件：0.054 mA Apk；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（6）、抗电强度试验，使用绝缘耐压测试仪，施加直流电压到受试绝缘上，从零逐渐升高到规定的电压，并在该电压值上保持60s。试验中不应有绝缘击穿和飞弧现象出现。</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教师演示电源</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500*260mm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教师演示台配备总漏电保护，可控制学生的高低压电源，确保学生实验安全方便；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2、教师电源总控采用7寸"电阻式"液晶屏，显示智能控制按键同时显示电源电压；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3、教师交流电源通过智能控制按键直接选取0～24V电压，最小调节单元可达1V</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额定电流3A；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4、教师直流电源也是通过智能控制按键直接选取，调节范围为1.5～24V，分辨率可达0.1V</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额定电流3A；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5、低压大电流值为40A，自动关断；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6、220V交流输出为带安全门的插座，带有电源指示，学生低压交流电源可通过智能控制按键直接选取0～24V电压，最小调节单元为1V</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输送至学生桌；低压直流电压教师能准确控制，最小调节单元为0.1V。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7、教师演示电源技术要求满足：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(1)、教师电源交流输出电压的测试， 电源输入端接变频电源，交流输出端接万用表。当输入电压为220V时，测量交流分档输出各档空载电压应不大于(1.05U+0.2)V。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输入端接变频电源，交流输出端接阻性负载箱作负载，并串接万用表作输出指示。当输入电压为220V,交流输出端为开路时，从2V起用万用表测量各点输出电压U,再接入并调整阻性负载箱使输出电流在0至额定电流值范围内变化时，测量输出电压应不小于(0.95U-0.2)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(2)、教师电源直流稳压输出电压的测试， 电源输入端接变频电源，直流输出端接万用表。当输入电压为220V时，测量直流稳压分档输出空载电压误差应不大于±(2%U+0.1)V。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指示。当输入电压为220V,调整电子负载使输出电流为额定电流值，用万用表测量各点输出电压，调节变频电源，使输入电压在198V~242V之间变化，用万用表测量各相应点输出电压的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电源输入端接变频电源，直流输出端接电子负载作负载，并串接万用表作输出电流指示。输入电压保持220V,直流输出端为开路时，从2V起用万用表测量各点输出电压作为U,再接入并调节电子负载使输出电流 在0至额定电流值范围内变化，用万用表 测量相应各点输出电压变化量应不大于(2%U+0.1)V。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电源输入端接变频电源，直流输出端接电子负载作负载，并串接万用表作输出电流指示。当输入电压为220V时，调节电子负载使输出电流为额定值，用万用表测量各点输出电压，再用示波器测量相应各点输出纹波 电压，在输出范围内纹波电压应不大于5mV。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(3)、机械强度之250N恒定力试验，对外部外壳上直径为30mm的圆形平面施加250N±10N的恒定力，短时间保持大约5s,力依次施加到顶部、底部和侧面，外壳应无损坏。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(4)、机械强度之外壳冲击试验 直径为50mm±1mm、500g±25g、光滑的实心钢球进行试验，1300mm±10mm处自由落到样品上。3级能量</w:t>
            </w:r>
            <w:r>
              <w:rPr>
                <w:rFonts w:hint="eastAsia" w:ascii="宋体" w:hAnsi="宋体" w:cs="宋体"/>
                <w:i w:val="0"/>
                <w:iCs w:val="0"/>
                <w:color w:val="000000"/>
                <w:sz w:val="21"/>
                <w:szCs w:val="21"/>
                <w:u w:val="none"/>
                <w:lang w:val="en-US" w:eastAsia="zh-CN" w:bidi="ar"/>
              </w:rPr>
              <w:t xml:space="preserve">能源</w:t>
            </w:r>
            <w:r>
              <w:rPr>
                <w:rFonts w:hint="eastAsia" w:ascii="宋体" w:hAnsi="宋体" w:eastAsia="宋体" w:cs="宋体"/>
                <w:i w:val="0"/>
                <w:iCs w:val="0"/>
                <w:color w:val="000000"/>
                <w:sz w:val="21"/>
                <w:szCs w:val="21"/>
                <w:u w:val="none"/>
                <w:lang w:val="en-US" w:eastAsia="zh-CN" w:bidi="ar"/>
              </w:rPr>
              <w:t xml:space="preserve">未变成可触及，安全防护措施保持有效，未破碎，未破裂。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(5)、未接地的可触及零部件，使用泄漏电流测试仪，在正常工作条件下对所有未接地的可触及导电零部件进行测量ES1:0.5mA(有效值)0.707 mA(峰值)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(6)、抗电强度试验，使用绝缘耐压测试仪，施加直流电压到受试绝缘上，从零逐渐升高到规定的电压，并在该电压值上保持60s。试验中不应有绝缘击穿和飞弧现象出现。</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学科展板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600*800mm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规格：600*800mm,铝合金边框，亚克力面板，高清喷绘写真。内容：化学学科著名人物简介，图文并茂</w:t>
            </w:r>
            <w:r>
              <w:rPr>
                <w:rFonts w:hint="eastAsia" w:ascii="宋体" w:hAnsi="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文化背景墙</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6000*1200mm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规格：6000*1200mm,PVC立体雕刻。内容：化学学科背景墙</w:t>
            </w:r>
            <w:r>
              <w:rPr>
                <w:rFonts w:hint="eastAsia" w:ascii="宋体" w:hAnsi="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DN25阻燃线管；2.5平方国标线材，符合国家标准。</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电气布线（地面以</w:t>
            </w:r>
            <w:r>
              <w:rPr>
                <w:rFonts w:hint="eastAsia" w:ascii="宋体" w:hAnsi="宋体" w:cs="宋体"/>
                <w:i w:val="0"/>
                <w:iCs w:val="0"/>
                <w:color w:val="000000"/>
                <w:sz w:val="21"/>
                <w:szCs w:val="21"/>
                <w:u w:val="none"/>
                <w:lang w:val="en-US" w:eastAsia="zh-CN" w:bidi="ar"/>
              </w:rPr>
              <w:t xml:space="preserve">下</w:t>
            </w:r>
            <w:r>
              <w:rPr>
                <w:rFonts w:hint="eastAsia" w:ascii="宋体" w:hAnsi="宋体" w:eastAsia="宋体" w:cs="宋体"/>
                <w:i w:val="0"/>
                <w:iCs w:val="0"/>
                <w:color w:val="000000"/>
                <w:sz w:val="21"/>
                <w:szCs w:val="21"/>
                <w:u w:val="none"/>
                <w:lang w:val="en-US" w:eastAsia="zh-CN" w:bidi="ar"/>
              </w:rPr>
              <w:t xml:space="preserve">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DN25阻燃线管；2.5平方国标线材，符合国家标准。</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ф32、ф25、ф20；DN75、DN50</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给水：采用PPR复合管敷设。排水：使用国标优质UPVC专用排水管。</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给、排水系统（地下部分）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ф32、ф25、ф20；DN75、DN50</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给水：采用PPR复合管敷设。排水：使用国标优质UPVC专用排水管。</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安装调试</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设备运输卸车、搬运上楼，地面设备安装、调试等服务。垃圾清运。</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9970" w:type="dxa"/>
            <w:vAlign w:val="center"/>
            <w:textDirection w:val="lrTb"/>
            <w:noWrap/>
          </w:tcPr>
          <w:p>
            <w:pPr>
              <w:jc w:val="center"/>
              <w:keepLines w:val="0"/>
              <w:keepNext w:val="0"/>
              <w:widowControl/>
              <w:rPr>
                <w:rFonts w:hint="eastAsia" w:ascii="宋体" w:hAnsi="宋体" w:eastAsia="宋体" w:cs="宋体"/>
                <w:b/>
                <w:bCs/>
                <w:i w:val="0"/>
                <w:iCs w:val="0"/>
                <w:color w:val="2c1d86"/>
                <w:sz w:val="32"/>
                <w:szCs w:val="32"/>
                <w:u w:val="none"/>
              </w:rPr>
              <w:suppressLineNumbers w:val="0"/>
            </w:pPr>
            <w:r>
              <w:rPr>
                <w:rFonts w:hint="eastAsia" w:ascii="宋体" w:hAnsi="宋体" w:eastAsia="宋体" w:cs="宋体"/>
                <w:b/>
                <w:bCs/>
                <w:i w:val="0"/>
                <w:iCs w:val="0"/>
                <w:color w:val="2c1d86"/>
                <w:sz w:val="32"/>
                <w:szCs w:val="32"/>
                <w:u w:val="none"/>
                <w:lang w:val="en-US" w:eastAsia="zh-CN" w:bidi="ar"/>
              </w:rPr>
              <w:t xml:space="preserve">二层化学实验室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规格型号</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技术参数（规格尺寸偏离±3%）</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99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化学竞赛兼探究实验室</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教师演示电源</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500*260mm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教师演示台配备总漏电保护，可控制学生的高低压电源，确保学生实验安全方便；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2、教师电源总控采用7寸"电阻式"液晶屏，显示智能控制按键同时显示电源电压；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3、教师交流电源通过智能控制按键直接选取0～24V电压，最小调节单元可达1V,额定电流3A；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4、教师直流电源也是通过智能控制按键直接选取，调节范围为1.5～24V，分辨率可达0.1V,额定电流3A；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5、低压大电流值为40A，自动关断；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6、220V交流输出为带安全门的插座，带有电源指示，学生低压交流电源可通过智能控制按键直接选取0～24V电压，最小调节单元为1V</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输送至学生桌；低压直流电压教师能准确控制，最小调节单元为0.1V。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7、教师演示电源技术要求满足：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(1)、教师电源交流输出电压的测试， 电源输入端接变频电源，交流输出端接万用表。当输入电压为220V时，测量交流分档输出各档空载电压应不大于(1.05U+0.2)V。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输入端接变频电源，交流输出端接阻性负载箱作负载，并串接万用表作输出指示。当输入电压为220V,交流输出端为开路时，从2V起用万用表测量各点输出电压U,再接入并调整阻性负载箱使输出电流在0至额定电流值范围内变化时，测量输出电压应不小于(0.95U-0.2)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(2)、教师电源直流稳压输出电压的测试， 电源输入端接变频电源，直流输出端接万用表。当输入电压为220V时，测量直流稳压分档输出空载电压误差应不大于±(2%U+0.1)V。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指示。当输入电压为220V,调整电子负载使输出电流为额定电流值，用万用表测量各点输出电压，调节变频电源，使输入电压在198V~242V之间变化，用万用表测量各相应点输出电压的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电源输入端接变频电源，直流输出端接电子负载作负载，并串接万用表作输出电流指示。输入电压保持220V,直流输出端为开路时，从2V起用万用表测量各点输出电压作为U,再接入并调节电子负载使输出电流 在0至额定电流值范围内变化，用万用表 测量相应各点输出电压变化量应不大于(2%U+0.1)V。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电源输入端接变频电源，直流输出端接电子负载作负载，并串接万用表作输出电流指示。当输入电压为220V时，调节电子负载使输出电流为额定值，用万用表测量各点输出电压，再用示波器测量相应各点输出纹波 电压，在输出范围内纹波电压应不大于5mV。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(3)、机械强度之250N恒定力试验，对外部外壳上直径为30mm的圆形平面施加250N±10N的恒定力，短时间保持大约5s,力依次施加到顶部、底部和侧面，外壳应无损坏。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(4)、机械强度之外壳冲击试验 直径为50mm±1mm、500g±25g、光滑的实心钢球进行试验，1300mm±10mm处自由落到样品上。3级能量</w:t>
            </w:r>
            <w:r>
              <w:rPr>
                <w:rFonts w:hint="eastAsia" w:ascii="宋体" w:hAnsi="宋体" w:cs="宋体"/>
                <w:i w:val="0"/>
                <w:iCs w:val="0"/>
                <w:color w:val="000000"/>
                <w:sz w:val="21"/>
                <w:szCs w:val="21"/>
                <w:u w:val="none"/>
                <w:lang w:val="en-US" w:eastAsia="zh-CN" w:bidi="ar"/>
              </w:rPr>
              <w:t xml:space="preserve">能源</w:t>
            </w:r>
            <w:r>
              <w:rPr>
                <w:rFonts w:hint="eastAsia" w:ascii="宋体" w:hAnsi="宋体" w:eastAsia="宋体" w:cs="宋体"/>
                <w:i w:val="0"/>
                <w:iCs w:val="0"/>
                <w:color w:val="000000"/>
                <w:sz w:val="21"/>
                <w:szCs w:val="21"/>
                <w:u w:val="none"/>
                <w:lang w:val="en-US" w:eastAsia="zh-CN" w:bidi="ar"/>
              </w:rPr>
              <w:t xml:space="preserve">未变成可触及，安全防护措施保持有效，未破碎，未破裂。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(5)、未接地的可触及零部件，使用泄漏电流测试仪，在正常工作条件下对所有未接地的可触及导电零部件进行测量ES1:0.5mA(有效值)0.707 mA(峰值)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(6)、抗电强度试验，使用绝缘耐压测试仪，施加直流电压到受试绝缘上，从零逐渐升高到规定的电压，并在该电压值上保持60s。试验中不应有绝缘击穿和飞弧现象出现。</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实验室专用水槽</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550*445*300</w:t>
            </w:r>
            <w:r>
              <w:rPr>
                <w:rFonts w:hint="eastAsia" w:ascii="宋体" w:hAnsi="宋体" w:cs="宋体"/>
                <w:i w:val="0"/>
                <w:iCs w:val="0"/>
                <w:color w:val="000000"/>
                <w:sz w:val="21"/>
                <w:szCs w:val="21"/>
                <w:u w:val="none"/>
                <w:lang w:val="en-US" w:eastAsia="zh-CN" w:bidi="ar"/>
              </w:rPr>
              <w:t xml:space="preserve">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采用实验室专用高密度PP一体化成型水槽，易清洁，耐腐蚀，且利于台面残水自然回流，美观实用；具耐酸碱、耐有机溶剂、耐紫外线等特点。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实验室专用水槽技术性能满足：QB/T 2658-2017 卫生设备用台盆：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1、外观：产品使用表面应光滑顺畅，不应有划伤、裂纹、气泡、爆边等明显缺陷；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2、抗负载：试验后不应有裂纹、破裂</w:t>
            </w:r>
            <w:r>
              <w:rPr>
                <w:rFonts w:hint="eastAsia" w:ascii="宋体" w:hAnsi="宋体" w:cs="宋体"/>
                <w:i w:val="0"/>
                <w:iCs w:val="0"/>
                <w:color w:val="000000"/>
                <w:sz w:val="21"/>
                <w:szCs w:val="21"/>
                <w:u w:val="none"/>
                <w:lang w:val="en-US" w:eastAsia="zh-CN" w:bidi="ar"/>
              </w:rPr>
              <w:t xml:space="preserve">，或</w:t>
            </w:r>
            <w:r>
              <w:rPr>
                <w:rFonts w:hint="eastAsia" w:ascii="宋体" w:hAnsi="宋体" w:eastAsia="宋体" w:cs="宋体"/>
                <w:i w:val="0"/>
                <w:iCs w:val="0"/>
                <w:color w:val="000000"/>
                <w:sz w:val="21"/>
                <w:szCs w:val="21"/>
                <w:u w:val="none"/>
                <w:lang w:val="en-US" w:eastAsia="zh-CN" w:bidi="ar"/>
              </w:rPr>
              <w:t xml:space="preserve">永久性变形，但直接受力点的变形不视为不合格；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3、耐化学腐蚀和耐污染性能：试验后，测试面不应出现不可消除的不良，如污点、损坏等。</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三联高低位龙头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鹅颈式实验室专用优质化验水嘴：要求防酸碱、防锈、防虹吸、防阻塞，表面环氧树脂喷涂。出水嘴为铜质瓷芯，高头，便于多用途使用，可拆卸清洗阻塞。出水嘴可拆卸，内有</w:t>
            </w:r>
            <w:r>
              <w:rPr>
                <w:rFonts w:hint="eastAsia" w:ascii="宋体" w:hAnsi="宋体" w:cs="宋体"/>
                <w:i w:val="0"/>
                <w:iCs w:val="0"/>
                <w:color w:val="000000"/>
                <w:sz w:val="21"/>
                <w:szCs w:val="21"/>
                <w:u w:val="none"/>
                <w:lang w:val="en-US" w:eastAsia="zh-CN" w:bidi="ar"/>
              </w:rPr>
              <w:t xml:space="preserve">成形</w:t>
            </w:r>
            <w:r>
              <w:rPr>
                <w:rFonts w:hint="eastAsia" w:ascii="宋体" w:hAnsi="宋体" w:eastAsia="宋体" w:cs="宋体"/>
                <w:i w:val="0"/>
                <w:iCs w:val="0"/>
                <w:color w:val="000000"/>
                <w:sz w:val="21"/>
                <w:szCs w:val="21"/>
                <w:u w:val="none"/>
                <w:lang w:val="en-US" w:eastAsia="zh-CN" w:bidi="ar"/>
              </w:rPr>
              <w:t xml:space="preserve">螺纹，可方便连接循环等特殊用水水管。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三联高低位龙头技术要求满足：GB 18145-2014 陶瓷片密封水嘴：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1、螺纹：螺纹表面应光洁，不得有凹痕、断牙等明显缺陷；产品外接非密封管螺纹应符合GB/T7307的要求，其中外螺纹应不低于GB/T 7307的B级精度；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抗水压机械性能：阀芯上游：关闭阀芯，出水口打开，在静压（2.5±0.05）Mpa下保压（60±5）s，阀芯上游的任何零部件无永久性变形；出水口不带流量调节器的水嘴阀芯下游：打开阀芯，出水口打开，水嘴流量为（0.4±0.04）L/S时的压力下保压（60±5）s，阀芯下游的任何零部件无永久性变形；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密封性能：阀芯及阀芯上游：阀芯关闭，出水口打开，在静压（1.6±0.05）Mpa下保压（60±5）s，阀芯及上游过水通道无渗漏；阀芯下游：出水口能够被堵住的水嘴阀芯下游：阀芯打开，堵住出水口，在静压（0.4±0.02）Mpa下保压（60±5）s，减压至（0.05±0.01）Mpa保压（60±5）s，阀芯下游任何密封部位无渗漏。</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学生安全电源</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92*152mm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工作环境：温度-10ºC~+40ºC 相对湿度&lt;85％（25ºC）海拔&lt;4000M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2、市电AC220V/3A输出为2个五孔插座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3、学生电源采用耐磨、耐腐蚀、耐高温（≤140℃）的PC亮光薄膜面板，学生电源的控制采用“电容式”触摸键盘，贴片元件生产技术，微电脑控制，采用1.54寸液晶显示电源学生交直流电压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4、直流稳压电源：液晶显示，触摸按键调节，1.5-24V/2A，电压调节分辨率为0.1V。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5、交流低压电源：液晶显示，触摸按键调节，1-24V/2A，电压调节分辨率为1V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6、学生低压电源都可接收老师发送的锁定信号，教师主控在锁定指示灯点亮后，学生只能接收老师输送的设定电源电压，学生自己无法操作，这样可避免学生的误操作。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7、学生安全电源技术要求满足：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受控学生电源交流输出电压的测试：控制单元输入端接变频电源和万用表，输出端接受控学生电源，受控学生电源交流输出端接万用表。当控制单元输入电压为220V时，测量受控学生电源交流分档输出各档空载电压应不大于(1.05U0.3)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电源输入端接变频电源和万用表，输出端接受控学生电源，受控学生电源交流输出端接阻性负载箱作负载，并串接万用表作输出电流指示。当输入控制单元的电压为220V，受控学生电源交流输出端为开路时，从2V起用万用表测量学生电源各点输出电压U，再接入并调整阻性负载箱使输出电流在0至额定电流值范围内变化时，测量相应各点输出电压应不小于(0.95U-0.3)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受控学生电源直流稳压输出电压的测试：控制单元输入端接变频电源和万用表，输出端接受控学生电源，受控学生电源直流输出端接万用表。当输入控制单元电压为220V时，用万用表测量受控学生电源分档直流稳压输出空载电压误差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输入端接变频电源和万用表，输出端接受控学生电源，受控学生电源直流稳压输出端接电子负载作负载，并串接万用表作输出指示。当输入控制单元的电压为220V，调整电子负载使受控学生电源直流稳压输出电流为额定电流值，用万用表测量各点输出电压作为U，调节变频电源，使控制单元输入电压在198V-242V之间变化，用万用表测量受控学生电源直流稳压各相应点输出电压的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控制单元输入</w:t>
            </w:r>
            <w:r>
              <w:rPr>
                <w:rFonts w:hint="eastAsia" w:ascii="宋体" w:hAnsi="宋体" w:cs="宋体"/>
                <w:i w:val="0"/>
                <w:iCs w:val="0"/>
                <w:color w:val="000000"/>
                <w:sz w:val="21"/>
                <w:szCs w:val="21"/>
                <w:u w:val="none"/>
                <w:lang w:val="en-US" w:eastAsia="zh-CN" w:bidi="ar"/>
              </w:rPr>
              <w:t xml:space="preserve">端接</w:t>
            </w:r>
            <w:r>
              <w:rPr>
                <w:rFonts w:hint="eastAsia" w:ascii="宋体" w:hAnsi="宋体" w:eastAsia="宋体" w:cs="宋体"/>
                <w:i w:val="0"/>
                <w:iCs w:val="0"/>
                <w:color w:val="000000"/>
                <w:sz w:val="21"/>
                <w:szCs w:val="21"/>
                <w:u w:val="none"/>
                <w:lang w:val="en-US" w:eastAsia="zh-CN" w:bidi="ar"/>
              </w:rPr>
              <w:t xml:space="preserve">变频电源和万用表，输出端接受控学生电源，受控学生电源直流输出端接电子负载作负载，并串接万用表作输出电流指示。控制单元输入电压保持220V，直流输出端为开路时，从2V起用万用表测量各点输出电压作为U，再接入并调节电子负载使受控学生电源直流输出电流在0至额定电流值范围内变化，用万用表测量受控学生电源相应各点输出电压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输入端接变频电源和万用表，输出端接受控学生电源，受控学生电源直流输出端接电子负载作负载，并串接万用表作输出电流指示。当输入控制单元电压为220V时，调节电子负载使受控学生电源输出电流为额定电流值，用万用表测量各点输出电压，再用示波器测量各点输出纹波电压，在输出范围内纹波电压应不大于10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（3）、机械强度之250N恒定力试验，对外部外壳上直径为30mm的圆形平面施加250N±10N的恒定力，短时间保持大约5s，力依次施加到顶部、底部和侧面，外壳无损坏。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（4)、机械强度之外壳冲击试验。直径为50mm±1mm、500g±25g、光滑的实心钢球进行试验，1300mm±10mm处自由落到样品上。3级能量</w:t>
            </w:r>
            <w:r>
              <w:rPr>
                <w:rFonts w:hint="eastAsia" w:ascii="宋体" w:hAnsi="宋体" w:cs="宋体"/>
                <w:i w:val="0"/>
                <w:iCs w:val="0"/>
                <w:color w:val="000000"/>
                <w:sz w:val="21"/>
                <w:szCs w:val="21"/>
                <w:u w:val="none"/>
                <w:lang w:val="en-US" w:eastAsia="zh-CN" w:bidi="ar"/>
              </w:rPr>
              <w:t xml:space="preserve">能源</w:t>
            </w:r>
            <w:r>
              <w:rPr>
                <w:rFonts w:hint="eastAsia" w:ascii="宋体" w:hAnsi="宋体" w:eastAsia="宋体" w:cs="宋体"/>
                <w:i w:val="0"/>
                <w:iCs w:val="0"/>
                <w:color w:val="000000"/>
                <w:sz w:val="21"/>
                <w:szCs w:val="21"/>
                <w:u w:val="none"/>
                <w:lang w:val="en-US" w:eastAsia="zh-CN" w:bidi="ar"/>
              </w:rPr>
              <w:t xml:space="preserve">未变成可触及，安全防护措施保持有效，未破碎，未破裂。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（5）、未接地的可触及零部件：0.054 mA Apk；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（6）、抗电强度试验，使用绝缘耐压测试仪，施加直流电压到受试绝缘上，从零逐渐升高到规定的电压，并在该电压值上保持60s。试验中不应有绝缘击穿和飞弧现象出现。</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交流插座</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220V</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国标，220V，五孔</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试剂架</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1100*300*450mm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全钢，表面喷涂高温固化匀乳白环氧树脂</w:t>
            </w:r>
            <w:r>
              <w:rPr>
                <w:rFonts w:hint="eastAsia" w:ascii="宋体" w:hAnsi="宋体" w:cs="宋体"/>
                <w:i w:val="0"/>
                <w:iCs w:val="0"/>
                <w:color w:val="000000"/>
                <w:sz w:val="21"/>
                <w:szCs w:val="21"/>
                <w:u w:val="none"/>
                <w:lang w:val="en-US" w:eastAsia="zh-CN" w:bidi="ar"/>
              </w:rPr>
              <w:t xml:space="preserve">喷涂</w:t>
            </w:r>
            <w:r>
              <w:rPr>
                <w:rFonts w:hint="eastAsia" w:ascii="宋体" w:hAnsi="宋体" w:eastAsia="宋体" w:cs="宋体"/>
                <w:i w:val="0"/>
                <w:iCs w:val="0"/>
                <w:color w:val="000000"/>
                <w:sz w:val="21"/>
                <w:szCs w:val="21"/>
                <w:u w:val="none"/>
                <w:lang w:val="en-US" w:eastAsia="zh-CN" w:bidi="ar"/>
              </w:rPr>
              <w:t xml:space="preserve">处理，具有较强的耐蚀性能，上下带塑胶模具堵头；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试剂架立柱双面升降槽，侧面双面镶嵌另色色条；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试剂架托架1.0mm高强度镀锌钢板，一次性冲压成型；试剂架护栏：护栏壁厚1.2mm，单面镶嵌另色色条。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立杆牢固固定于C型钢架底端，层板采用8mm厚的玻璃，安装后用户可根据试剂大小上下高低无级调节。</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多功能柱</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350*230*730mm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整体采用实验室专用PP材质，四脚圆弧处理，地脚线缩进30mm，前后</w:t>
            </w:r>
            <w:r>
              <w:rPr>
                <w:rFonts w:hint="eastAsia" w:ascii="宋体" w:hAnsi="宋体" w:cs="宋体"/>
                <w:i w:val="0"/>
                <w:iCs w:val="0"/>
                <w:color w:val="000000"/>
                <w:sz w:val="21"/>
                <w:szCs w:val="21"/>
                <w:u w:val="none"/>
                <w:lang w:val="en-US" w:eastAsia="zh-CN" w:bidi="ar"/>
              </w:rPr>
              <w:t xml:space="preserve">两块</w:t>
            </w:r>
            <w:r>
              <w:rPr>
                <w:rFonts w:hint="eastAsia" w:ascii="宋体" w:hAnsi="宋体" w:eastAsia="宋体" w:cs="宋体"/>
                <w:i w:val="0"/>
                <w:iCs w:val="0"/>
                <w:color w:val="000000"/>
                <w:sz w:val="21"/>
                <w:szCs w:val="21"/>
                <w:u w:val="none"/>
                <w:lang w:val="en-US" w:eastAsia="zh-CN" w:bidi="ar"/>
              </w:rPr>
              <w:t xml:space="preserve">拼接而成，可拆装，内部隐藏实验线管及通风管道，方便检修。</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全新钢塑水槽柜</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450*600*810mm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整体采用三段式结构，前部凸起，采用实验室专用一次成型的绿色环保材质，背板和侧板采用1.0MM厚高强度镀锌钢板后两侧圆弧角设计，前面门板两侧圆弧形设计，底座为专用一次成型绿色环保材质。内部钢框支撑，要求无毒无味，防水防潮，不生锈，承重力强，可重复拆卸拼装，专用连接件拼装。</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三联高低位龙头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学科展板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600*800mm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规格：600*800mm,铝合金边框，亚克力面板，高清喷绘写真。内容：化学学科著名人物简介，图文并茂</w:t>
            </w:r>
            <w:r>
              <w:rPr>
                <w:rFonts w:hint="eastAsia" w:ascii="宋体" w:hAnsi="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安全防护站</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1200*500*2000mm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全钢结构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柜体采用优质钢材裸板厚度1.0mm一级高强度镀锌钢板冲折制作，表面经磷化等防腐处理后再经环氧树脂静电粉末喷涂。</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急救药箱</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305*170*190mm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材质：铝合金+ABS；多功能收纳。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2、内容:棉签、别针、剪刀、酒精片、纱布、</w:t>
            </w:r>
            <w:r>
              <w:rPr>
                <w:rFonts w:hint="eastAsia" w:ascii="宋体" w:hAnsi="宋体" w:cs="宋体"/>
                <w:i w:val="0"/>
                <w:iCs w:val="0"/>
                <w:color w:val="000000"/>
                <w:sz w:val="21"/>
                <w:szCs w:val="21"/>
                <w:u w:val="none"/>
                <w:lang w:val="en-US" w:eastAsia="zh-CN" w:bidi="ar"/>
              </w:rPr>
              <w:t xml:space="preserve">创可贴</w:t>
            </w:r>
            <w:r>
              <w:rPr>
                <w:rFonts w:hint="eastAsia" w:ascii="宋体" w:hAnsi="宋体" w:eastAsia="宋体" w:cs="宋体"/>
                <w:i w:val="0"/>
                <w:iCs w:val="0"/>
                <w:color w:val="000000"/>
                <w:sz w:val="21"/>
                <w:szCs w:val="21"/>
                <w:u w:val="none"/>
                <w:lang w:val="en-US" w:eastAsia="zh-CN" w:bidi="ar"/>
              </w:rPr>
              <w:t xml:space="preserve">、医药塑料</w:t>
            </w:r>
            <w:r>
              <w:rPr>
                <w:rFonts w:hint="eastAsia" w:ascii="宋体" w:hAnsi="宋体" w:cs="宋体"/>
                <w:i w:val="0"/>
                <w:iCs w:val="0"/>
                <w:color w:val="000000"/>
                <w:sz w:val="21"/>
                <w:szCs w:val="21"/>
                <w:u w:val="none"/>
                <w:lang w:val="en-US" w:eastAsia="zh-CN" w:bidi="ar"/>
              </w:rPr>
              <w:t xml:space="preserve">镊</w:t>
            </w:r>
            <w:r>
              <w:rPr>
                <w:rFonts w:hint="eastAsia" w:ascii="宋体" w:hAnsi="宋体" w:eastAsia="宋体" w:cs="宋体"/>
                <w:i w:val="0"/>
                <w:iCs w:val="0"/>
                <w:color w:val="000000"/>
                <w:sz w:val="21"/>
                <w:szCs w:val="21"/>
                <w:u w:val="none"/>
                <w:lang w:val="en-US" w:eastAsia="zh-CN" w:bidi="ar"/>
              </w:rPr>
              <w:t xml:space="preserve">子、止血袋、PBT绷带、</w:t>
            </w:r>
            <w:r>
              <w:rPr>
                <w:rFonts w:hint="eastAsia" w:ascii="宋体" w:hAnsi="宋体" w:cs="宋体"/>
                <w:i w:val="0"/>
                <w:iCs w:val="0"/>
                <w:color w:val="000000"/>
                <w:sz w:val="21"/>
                <w:szCs w:val="21"/>
                <w:u w:val="none"/>
                <w:lang w:val="en-US" w:eastAsia="zh-CN" w:bidi="ar"/>
              </w:rPr>
              <w:t xml:space="preserve">无纺布</w:t>
            </w:r>
            <w:r>
              <w:rPr>
                <w:rFonts w:hint="eastAsia" w:ascii="宋体" w:hAnsi="宋体" w:eastAsia="宋体" w:cs="宋体"/>
                <w:i w:val="0"/>
                <w:iCs w:val="0"/>
                <w:color w:val="000000"/>
                <w:sz w:val="21"/>
                <w:szCs w:val="21"/>
                <w:u w:val="none"/>
                <w:lang w:val="en-US" w:eastAsia="zh-CN" w:bidi="ar"/>
              </w:rPr>
              <w:t xml:space="preserve">胶带</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应急处理工具</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二氧化碳灭火器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200*115*465mm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1.喷射时间：8.7-8.8S；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2.使用温度：-10℃——+55℃；                                                                                                                                                   3.灭火级别：21B</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灭火毯</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1200*1800*8mm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性能：绝缘，隔热，阻燃。</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黄沙箱</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500*380*500mm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产品毛重：300.00g；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产品材质：加厚铁皮，静电喷涂</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实验服</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S~XXXL</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材质：涤棉；性能：宽松舒适</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一次性乳胶手套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100支（s`l)</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产品毛重：0.7kg；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产品材质：橡胶/乳胶/合成橡胶；</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酸碱手套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毛重：0.2kg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材质乳胶</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防护面罩</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195*250</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1套含一个眼镜框，2个面罩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毛重：0.2kg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材质：PC/APET</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铝合金万向罩</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四节</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1.关节：高密度PP材质表面磨砂，优化了视觉美感和手握触感可360°旋转调节方向。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2.关节密封圈：不易老化之高密度橡胶。在关节之间随着旋钮压力加大而产生阻尼效果。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3.关节连接杆：304不锈钢双头锁杆。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4.关节盖：高密度PP材质表面磨砂，一面嵌入铜质滚花螺母，四周采用自锁式倒扣拆装方便。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5.关节松紧</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：高密度PP材质，内置</w:t>
            </w:r>
            <w:r>
              <w:rPr>
                <w:rFonts w:hint="eastAsia" w:ascii="宋体" w:hAnsi="宋体" w:cs="宋体"/>
                <w:i w:val="0"/>
                <w:iCs w:val="0"/>
                <w:color w:val="000000"/>
                <w:sz w:val="21"/>
                <w:szCs w:val="21"/>
                <w:u w:val="none"/>
                <w:lang w:val="en-US" w:eastAsia="zh-CN" w:bidi="ar"/>
              </w:rPr>
              <w:t xml:space="preserve">微型</w:t>
            </w:r>
            <w:r>
              <w:rPr>
                <w:rFonts w:hint="eastAsia" w:ascii="宋体" w:hAnsi="宋体" w:eastAsia="宋体" w:cs="宋体"/>
                <w:i w:val="0"/>
                <w:iCs w:val="0"/>
                <w:color w:val="000000"/>
                <w:sz w:val="21"/>
                <w:szCs w:val="21"/>
                <w:u w:val="none"/>
                <w:lang w:val="en-US" w:eastAsia="zh-CN" w:bidi="ar"/>
              </w:rPr>
              <w:t xml:space="preserve">平面推力不锈钢轴承，与关节连接杆锁合。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6.铝合金万向罩口：直径253mm，高密度铝合金制成。防止做实验时着火出现危险，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7.伸缩导管：4节直径60mm的6系专业抗氧化抗腐蚀的镁硅铝合金，表面做特氟龙表面处理，耐酸、耐碱、耐划痕。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8.旋转关节：6系专业抗氧化抗腐蚀的镁硅铝合金，在下部设计增加旋转功能，内部设计PVC离合结构。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9.扭簧：使用90度的4mm专用弹簧钢抗氧化处理，防止吸风罩整体滑下。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10.安装后可根据使用需要达到三维360度任意转停，集气罩吸气角度360度任意转停。整体美观大方，吻合高水准专业实验室</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万向吸风罩底座</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固定底座：6系专业抗氧化抗腐蚀的镁硅铝合金，根据不同的组合方式可选择丝口和挂口结构，拆装方便。</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PP离心风机</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5#,功率；2.2KW,风量；3856-7728m³/h，压头：790-502Pa,转速；1440转/分,电压：380V</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风帽</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5#，PP材质，具有防雨功能，风阻小。</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进风口软接头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De500/300*250H，软质PVC</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防火阀</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300*250H，不锈钢材质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室内行程通风管道</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室内管道，采用防腐蚀PP材质，具有整体结构性能好、严密性高等优点大小管道组成，各支管风速小于8m/s</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室外行程通风管道</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室外管道，采用防腐蚀PP材质，具有整体结构性能好、严密性高等优点大小管道组成，各主管风速小于12m/s</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风机电缆线、控制线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4㎡*3+2.5㎡*2</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启停控制电箱</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含交流接触器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耗材及附件</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含风管安装及支架，安装螺杆，密封垫</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通风设备安装</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标准化安装、现场安装机具</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DN25阻燃线管；2.5平方国标线材，符合国家标准。</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电气布线（地下部分）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DN25阻燃线管；2.5平方国标线材，符合国家标准。</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ф32、ф25、ф20；DN75、DN50</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给水：采用PPR复合管敷设。排水：使用国标优质UPVC专用排水管。</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给、排水系统（地下部分）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ф32、ф25、ф20；DN75、DN50</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给水：采用PPR复合管敷设。排水：使用国标优质UPVC专用排水管。</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设备搬运及调试</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1、吊顶式系统采用模块化结构设计，采用吊装安装方式；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2、系统结构调试；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3、系统控制调试；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4、通风系统调试；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5、给排水调试；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6、供电系统调试；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7、设备运输搬运卸车，垃圾清运。</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数据采集器1</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top"/>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模块化结构；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2、与计算机USB接口通讯，无须外接电源；全数字通道，每个数据通道最大采样速率可达20KHz；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3、连接插口采用BT接口，具有方向性和自锁功能，可以防止传感器脱落保证数据传输稳定；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4、可根据实验教学需要，选择接插有线接口或无线接收实现与传感器通讯；支持有线/无线状态下的四通道并行采集，支持热插拔连接。</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数据采集器2</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14.9寸</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内存容量：16GB，硬盘容量：512GB，处理器(CPU)：英特尔第13代酷睿i5，接口支持：USB-C，USB-A，读卡器，屏幕尺寸：14.9英寸。机身材质：金属+复合材质。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无线接收</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模块化结构，采用无线方式接入四种相同或不同的传感器并支持四通道并行采集，全数字通道，与数据采集器接插使用。在此种工作状态下，传感器应转化为与采集器的无线通信状态。</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传感器无线发射模块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模块化结构，独立无线传输模块，协议传输，互不干扰；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2、自动识别，通过与各种传感器组合使之具备与采集器的无线通讯功能，可实现多通道长距离无线传输，满足实验教学需求；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3、连接插口采用通用BT接口，具有方向性和自锁功能，可以防止传感器脱落保证数据传输稳定，支持热插拔，可充电电池供电。</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数据显示模块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与各种传感器组合，使之具备独立数据显示功能，1.77寸（±0.1寸）彩屏，BT自锁接头，支持热插拔连接，接入任一可识别传感器，屏幕会显示该传感器的实时数据和单位并且显示数据应有变化。并具备自锁功能防止传感器脱落，并且可与计算机直接通讯（兼充电），可充电锂电池供电。可充电电池（3.6V）供电，模块具备保存7万组数据的功能，可对保存的实验数据进行导出到计算机内、查看和处理数据；带二维码可以与安卓、苹果系统移动采集终端无线数据同步传输。</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传感器转接模块</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两端分别是BT接头与BT接口转换器，用于特种传感器与无线发射模块或数据显示模块的转接</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组成：不锈钢探针，并支持与采集器的有线通讯、无线通讯和独立数据显示三种工作方式；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2、规格：测量范围：-50℃~+200℃；分度：0.1℃；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3、温度传感器采用BT通讯接口，具有方向性和自锁功能；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4、用途：可测各种物体或溶液的温度。</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0℃~1200℃；分度：1℃；不锈钢探针，可测高温物体或火焰的温度，连接插口采用BT接口，具有方向性和自锁功能，可以防止传感器脱落保证数据传输稳定，支持与采集器的有线通讯、无线通讯和彩屏独立数据显示三种工作方式，支持热插拔，可在windows系统、安卓和iOS系统下进行实验演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相对压强传感器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测量范围：-20kPa~+20kPa；分度：0.01 kPa；可用于测量气体的相对压强，连接插口采用BT接口，具有方向性和自锁功能，可以防止传感器脱落保证数据传输稳定，支持与采集器的有线通讯、无线通讯和彩屏独立数据显示三种工作方式，支持热插拔，具有硬件清零功能。该产品需满足以下教学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（1）连接接口具有自锁功能，可以防止传感器脱落保证数据传输稳定，具有硬件清零功能；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（2）在实验过程中所测数据以数字、图线与数据表格的方式显示并记录；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（3）实验操作过程和步骤（2）实验数据同时在软件界面上显示，且可以</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avi等常见格式存储。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（4）在安卓和iOS平台上以无线方式演示多通道实验数据采集及图像绘制。</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多量程电流传感器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测量范围：-3A~+3A；分度：0.01A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测量范围：-300mA~+300mA；分度：0.1mA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测量范围：-30mA~+30mA；分度：0.01mA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可通过传感器自带的硬件调零按钮实现数据调零功能；可通过传感器上按钮对量程进行切换；数据传输采用具有方向性和自锁功能的BT接口方式。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支持与采集器的有线通讯、无线通讯和彩屏独立数据显示三种工作方式，支持热插拔，可在windows系统、安卓和iOS系统下分别进行实验演示。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测量范围：0~14；分度：0.01，具有快速响应的特点，测量数据能在5秒内达到真实值的90%，10秒内稳定。支持与采集器的有线通讯、无线通讯和独立数据显示三种工作方式。</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电导率传感器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0mS/cm~20mS/cm；分度：0.001mS/cm，连接插口采用BT接口，具有方向性和自锁功能，可以防止传感器脱落保证数据传输稳定，支持与采集器的有线通讯、无线通讯和彩屏独立数据显示三种工作方式，支持热插拔，可在windows系统、安卓和iOS系统下进行实验演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100％，分度：0.1％，连接插口采用BT接口，具有方向性和自锁功能，可以防止传感器脱落保证数据传输稳定，支持与采集器的有线通讯、无线通讯和彩屏独立数据显示三种工作方式，支持热插拔，自带校准按钮，可在windows系统、安卓和iOS系统下进行实验演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测量范围：透光率0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100％，分度：0.1％，三波长光源（R、G、B）测量，连接插口采用BT接口，具有方向性和自锁功能，可以防止传感器脱落保证数据传输稳定，与无线传输模块自由组合，支持热插拔，可在windows系统、安卓和iOS系统下进行实验演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测量范围：0ppm～50000ppm，分度1ppm，红外原理，为保证测量数据准确性和时效性，要求该传感器采用泵动循环，有明显的进气口、出气口，方便气体循环。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感器采用BT插口，具有方向性和自锁功能，可以防止传感器脱落保证数据传输稳定，支持热插拔，支持与采集器的有线通讯、无线通讯和独立数据显示三种工作方式。可在windows系统、安卓和iOS系统下进行实验演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气态酒精传感器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测量范围：0mg/L~2mg/L；用于测量气态酒精含量，支持与采集器的有线通讯、无线通讯和独立数据显示三种工作方式</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浊度传感器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测量范围：0NTU ~400NTU；分度：0.1NTU，支持与采集器的有线通讯、无线通讯和独立数据显示三种工作方式</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氧化还原传感器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-500mV~+1200mV，分度：1mV，连接插口采用BT接口，具有方向性和自锁功能，可以防止传感器脱落保证数据传输稳定，支持与采集器的有线通讯、无线通讯和彩屏独立数据显示三种工作方式，支持热插拔，可在windows系统、安卓和iOS系统下进行实验演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二氧化硫传感器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测量范围：0 ppm～20ppm，分度0.01ppm，连接插口采用BT接口，具有方向性和自锁功能，可以防止传感器脱落保证数据传输稳定，支持与采集器的有线通讯、无线通讯和彩屏独立数据显示三种工作方式，支持热插拔，可在windows系统、安卓和iOS系统下进行实验演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一氧化碳传感器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top"/>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83820</wp:posOffset>
                      </wp:positionH>
                      <wp:positionV relativeFrom="paragraph">
                        <wp:posOffset>111125</wp:posOffset>
                      </wp:positionV>
                      <wp:extent cx="0" cy="374650"/>
                      <wp:effectExtent l="0" t="0" r="0" b="0"/>
                      <wp:wrapNone/>
                      <wp:docPr id="2" name="图片_32"/>
                      <wp:cNvGraphicFramePr/>
                      <a:graphic xmlns:a="http://schemas.openxmlformats.org/drawingml/2006/main">
                        <a:graphicData uri="http://schemas.openxmlformats.org/drawingml/2006/picture">
                          <pic:pic xmlns:pic="http://schemas.openxmlformats.org/drawingml/2006/picture">
                            <pic:nvPicPr>
                              <pic:cNvPr id="1" name="图片_32"/>
                              <pic:cNvPicPr/>
                              <pic:nvPr/>
                            </pic:nvPicPr>
                            <pic:blipFill>
                              <a:blip r:embed="rId13"/>
                              <a:stretch/>
                            </pic:blipFill>
                            <pic:spPr bwMode="auto">
                              <a:xfrm>
                                <a:off x="0" y="0"/>
                                <a:ext cx="0"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6pt;mso-position-horizontal:absolute;mso-position-vertical-relative:text;margin-top:8.8pt;mso-position-vertical:absolute;width:0.0pt;height:29.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w:t xml:space="preserve">测量范围：0~1000ppm；分度：1ppm；用于检测气体中一氧化碳含量；连接插口采用BT接口，具有方向性和自锁功能，可以防止传感器脱落保证数据传输稳定，支持与采集器的有线通讯、无线通讯和彩屏独立数据显示三种工作方式，支持热插拔。可在windows系统、安卓和IOS系统下进行实验演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溶解氧传感器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0mg/L～20mg/L，分度：0.01mg/L；带有温补功能，连接插口采用BT接口，具有方向性和自锁功能，可以防止传感器脱落保证数据传输稳定，支持与采集器的有线通讯、无线通讯和彩屏独立数据显示三种工作方式，支持热插拔，自带校准按钮，可在windows系统、安卓和iOS系统下进行实验演示</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中和滴定实验装置</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由滴定计数器、支架、转接器和螺栓组成，用于测量液滴体积，可固定于铁架台上，计数器可与滴定管、针筒等配套使用。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多向转接头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零件，双向交叉，孔内径适应于标准铁架台</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稀释池</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倒置三角烧杯结构，上端开口，底端封闭，配匀速滴管。用于稀释倍数较大，且对初始溶解有一定量要求的化学实验</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多用途生化传感器支架</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机械臂、传感器电极夹及固定夹组成，机械臂固定在实验台边，能在三维空间内灵活移动并准确定位，稳定性好；电极夹口径适合常用生化传感器的电极，方便生化实验操作，具有保护传感器不受损坏、提高空间利用率和实验效率功能。机械臂长度：600mm。</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远红外加热器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220V交流供电，功率80W；圆筒型远红外辐射加热炉芯，便于对加热体均匀加热。可完成查理定律、晶体熔解和凝固、比热容等高精度热学定量实验。</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DISlab软件包</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包含教材通用软件、物理教材专用软件、化学专用软件、生物专用软件、传感器校准软件与数据导入软件六个部分。理化生专用软件由系列独立软件组成，每个独立软件针对某个（类）实验过程进行固化设计，具有“风格独特、界面简洁、一键OK”特点。教材通用软件为中文简体界面；接入传感器后能自动识别和运行；数字表、模拟表、示波器三种显示方式：实时显示实验数据或曲线；具备多种实验数据的分析工具；采集频率可调；数据表格、实验数据可以导出为文本格式；实验曲线可导出为图片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软件自带实验录像功能，能同时记录数据变化和实验小组操作情况并存储到计算机指定位置。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应用平台：windowsXP、windows7、windows8、windows10、安卓、IOS等</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附件</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含USB通讯线1条、转接器4只、技术资料等；传感器线4条；两端为BT插头。</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传感器铝合金实验箱</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99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化学仪器准备室2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挡水条</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1000*100*20mm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采用12.7mm厚实验室专用理化板。</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实验室专用水槽</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800*460*325mm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规格：800*460*325mm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1、采用PP一体化成型水槽，易清洁，耐腐蚀特点。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2、实验室专用水槽技术要求满足：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(1)、垂直冲击试验要求：检测条件高度:300mm次数:500 次，a,零部件无断裂、无</w:t>
            </w:r>
            <w:r>
              <w:rPr>
                <w:rFonts w:hint="eastAsia" w:ascii="宋体" w:hAnsi="宋体" w:cs="宋体"/>
                <w:i w:val="0"/>
                <w:iCs w:val="0"/>
                <w:color w:val="000000"/>
                <w:sz w:val="21"/>
                <w:szCs w:val="21"/>
                <w:u w:val="none"/>
                <w:lang w:val="en-US" w:eastAsia="zh-CN" w:bidi="ar"/>
              </w:rPr>
              <w:t xml:space="preserve">破裂</w:t>
            </w:r>
            <w:r>
              <w:rPr>
                <w:rFonts w:hint="eastAsia" w:ascii="宋体" w:hAnsi="宋体" w:eastAsia="宋体" w:cs="宋体"/>
                <w:i w:val="0"/>
                <w:iCs w:val="0"/>
                <w:color w:val="000000"/>
                <w:sz w:val="21"/>
                <w:szCs w:val="21"/>
                <w:u w:val="none"/>
                <w:lang w:val="en-US" w:eastAsia="zh-CN" w:bidi="ar"/>
              </w:rPr>
              <w:t xml:space="preserve">;b,零部件未出现严重影响使用功能的磨损和变形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(2)、密度检测结果符合GB/T1033.1-2008方法A，检测条件：(23+2)℃，(50±5)%RH，24h浸渍液；水浸渍液密度:1.0165g'cm3浸渍液温度 22.3℃块状试样</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三联高低位龙头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岛式插座</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钢制线盒，主框架采用裸板实际厚度大于1.0mm厚优质钢材产一级高强度镀锌钢板经CNC机压</w:t>
            </w:r>
            <w:r>
              <w:rPr>
                <w:rFonts w:hint="eastAsia" w:ascii="宋体" w:hAnsi="宋体" w:cs="宋体"/>
                <w:i w:val="0"/>
                <w:iCs w:val="0"/>
                <w:color w:val="000000"/>
                <w:sz w:val="21"/>
                <w:szCs w:val="21"/>
                <w:u w:val="none"/>
                <w:lang w:val="en-US" w:eastAsia="zh-CN" w:bidi="ar"/>
              </w:rPr>
              <w:t xml:space="preserve">成型</w:t>
            </w:r>
            <w:r>
              <w:rPr>
                <w:rFonts w:hint="eastAsia" w:ascii="宋体" w:hAnsi="宋体" w:eastAsia="宋体" w:cs="宋体"/>
                <w:i w:val="0"/>
                <w:iCs w:val="0"/>
                <w:color w:val="000000"/>
                <w:sz w:val="21"/>
                <w:szCs w:val="21"/>
                <w:u w:val="none"/>
                <w:lang w:val="en-US" w:eastAsia="zh-CN" w:bidi="ar"/>
              </w:rPr>
              <w:t xml:space="preserve">、焊接制作，表面经磷化处理、环氧树脂静电粉末涂装处理。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2.220V交流输出为五孔插座。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实验室专用试剂架</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2200*300*750mm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1.铝合金结构，表面喷涂高温固化匀乳白环氧树脂</w:t>
            </w:r>
            <w:r>
              <w:rPr>
                <w:rFonts w:hint="eastAsia" w:ascii="宋体" w:hAnsi="宋体" w:cs="宋体"/>
                <w:i w:val="0"/>
                <w:iCs w:val="0"/>
                <w:color w:val="000000"/>
                <w:sz w:val="21"/>
                <w:szCs w:val="21"/>
                <w:u w:val="none"/>
                <w:lang w:val="en-US" w:eastAsia="zh-CN" w:bidi="ar"/>
              </w:rPr>
              <w:t xml:space="preserve">喷涂</w:t>
            </w:r>
            <w:r>
              <w:rPr>
                <w:rFonts w:hint="eastAsia" w:ascii="宋体" w:hAnsi="宋体" w:eastAsia="宋体" w:cs="宋体"/>
                <w:i w:val="0"/>
                <w:iCs w:val="0"/>
                <w:color w:val="000000"/>
                <w:sz w:val="21"/>
                <w:szCs w:val="21"/>
                <w:u w:val="none"/>
                <w:lang w:val="en-US" w:eastAsia="zh-CN" w:bidi="ar"/>
              </w:rPr>
              <w:t xml:space="preserve">处理，具有较强的耐蚀性能，上下带塑胶模具堵头；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2.试剂架立柱截面尺寸：42mm*82mm, 型材壁厚1.2mm；试剂架立柱双面升降槽，侧面双面镶嵌另色色条；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3.试剂架托架1.0mm高强度镀锌钢板，一次性冲压成型；试剂架护栏：护栏壁厚1.2mm，单面镶嵌另色色条。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4.立杆牢固固定于C型钢架底端，层板采用8mm厚的玻璃，安装后用户可根据试剂大小上下高低无级调节。</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滴水架</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2、滴水架主体与集水盘由模具注塑一体</w:t>
            </w:r>
            <w:r>
              <w:rPr>
                <w:rFonts w:hint="eastAsia" w:ascii="宋体" w:hAnsi="宋体" w:cs="宋体"/>
                <w:i w:val="0"/>
                <w:iCs w:val="0"/>
                <w:color w:val="000000"/>
                <w:sz w:val="21"/>
                <w:szCs w:val="21"/>
                <w:u w:val="none"/>
                <w:lang w:val="en-US" w:eastAsia="zh-CN" w:bidi="ar"/>
              </w:rPr>
              <w:t xml:space="preserve">成型</w:t>
            </w:r>
            <w:r>
              <w:rPr>
                <w:rFonts w:hint="eastAsia" w:ascii="宋体" w:hAnsi="宋体" w:eastAsia="宋体" w:cs="宋体"/>
                <w:i w:val="0"/>
                <w:iCs w:val="0"/>
                <w:color w:val="000000"/>
                <w:sz w:val="21"/>
                <w:szCs w:val="21"/>
                <w:u w:val="none"/>
                <w:lang w:val="en-US" w:eastAsia="zh-CN" w:bidi="ar"/>
              </w:rPr>
              <w:t xml:space="preserve">（非PP板焊接而成）。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3、滴水棒卡扣与主板卡槽紧密契合，不易松动，极好地保护实验器具。</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实验室专用洗眼器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双眼</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洗眼喷头：采用不助燃PC材质模铸一体</w:t>
            </w:r>
            <w:r>
              <w:rPr>
                <w:rFonts w:hint="eastAsia" w:ascii="宋体" w:hAnsi="宋体" w:cs="宋体"/>
                <w:i w:val="0"/>
                <w:iCs w:val="0"/>
                <w:color w:val="000000"/>
                <w:sz w:val="21"/>
                <w:szCs w:val="21"/>
                <w:u w:val="none"/>
                <w:lang w:val="en-US" w:eastAsia="zh-CN" w:bidi="ar"/>
              </w:rPr>
              <w:t xml:space="preserve">成型</w:t>
            </w:r>
            <w:r>
              <w:rPr>
                <w:rFonts w:hint="eastAsia" w:ascii="宋体" w:hAnsi="宋体" w:eastAsia="宋体" w:cs="宋体"/>
                <w:i w:val="0"/>
                <w:iCs w:val="0"/>
                <w:color w:val="000000"/>
                <w:sz w:val="21"/>
                <w:szCs w:val="21"/>
                <w:u w:val="none"/>
                <w:lang w:val="en-US" w:eastAsia="zh-CN" w:bidi="ar"/>
              </w:rPr>
              <w:t xml:space="preserve">制作，具有防尘功能，上面防尘盖平常可防尘，使用时可随时被水冲开，并降低突然打开时短暂的高水压，避免冲伤眼睛。</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规章制度展板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600*800mm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规格：600*800mm,铝合金边框，亚克力面板，高清喷绘写真。内容：化学仪器室准备室管理制度、使用规则等。</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安装调试</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设备卸车、搬运上楼，地面设备安装、调试等服务。垃圾清运。</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99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常规化学实验室2</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实验室专用水槽</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550*450*300mm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规格：550*450*300mm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采用PP一体化成型水槽，易清洁，耐腐蚀特点。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实验室专用水槽技术要求满足：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(1)、垂直冲击试验要求：检测条件高度:300mm次数:500次，a,零部件无断裂、无</w:t>
            </w:r>
            <w:r>
              <w:rPr>
                <w:rFonts w:hint="eastAsia" w:ascii="宋体" w:hAnsi="宋体" w:cs="宋体"/>
                <w:i w:val="0"/>
                <w:iCs w:val="0"/>
                <w:color w:val="000000"/>
                <w:sz w:val="21"/>
                <w:szCs w:val="21"/>
                <w:u w:val="none"/>
                <w:lang w:val="en-US" w:eastAsia="zh-CN" w:bidi="ar"/>
              </w:rPr>
              <w:t xml:space="preserve">破裂</w:t>
            </w:r>
            <w:r>
              <w:rPr>
                <w:rFonts w:hint="eastAsia" w:ascii="宋体" w:hAnsi="宋体" w:eastAsia="宋体" w:cs="宋体"/>
                <w:i w:val="0"/>
                <w:iCs w:val="0"/>
                <w:color w:val="000000"/>
                <w:sz w:val="21"/>
                <w:szCs w:val="21"/>
                <w:u w:val="none"/>
                <w:lang w:val="en-US" w:eastAsia="zh-CN" w:bidi="ar"/>
              </w:rPr>
              <w:t xml:space="preserve">;b,零部件未出现严重影响使用功能的磨损和变形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(2)、密度检测结果符合GB/T1033.1-2008方法A，检测条件：(23+2)℃，(50±5)%RH，24h浸渍液；水浸渍液密度:1.0165g'cm3浸渍液温度 22.3℃块状试样</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三联高低位龙头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实验室专用洗眼器</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单眼</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洗眼喷头：采用不助燃PC材质模铸一体</w:t>
            </w:r>
            <w:r>
              <w:rPr>
                <w:rFonts w:hint="eastAsia" w:ascii="宋体" w:hAnsi="宋体" w:cs="宋体"/>
                <w:i w:val="0"/>
                <w:iCs w:val="0"/>
                <w:color w:val="000000"/>
                <w:sz w:val="21"/>
                <w:szCs w:val="21"/>
                <w:u w:val="none"/>
                <w:lang w:val="en-US" w:eastAsia="zh-CN" w:bidi="ar"/>
              </w:rPr>
              <w:t xml:space="preserve">成型</w:t>
            </w:r>
            <w:r>
              <w:rPr>
                <w:rFonts w:hint="eastAsia" w:ascii="宋体" w:hAnsi="宋体" w:eastAsia="宋体" w:cs="宋体"/>
                <w:i w:val="0"/>
                <w:iCs w:val="0"/>
                <w:color w:val="000000"/>
                <w:sz w:val="21"/>
                <w:szCs w:val="21"/>
                <w:u w:val="none"/>
                <w:lang w:val="en-US" w:eastAsia="zh-CN" w:bidi="ar"/>
              </w:rPr>
              <w:t xml:space="preserve">制作，具有防尘功能，上面防尘盖平常可防尘，使用时可随时被水冲开，并降低突然打开时短暂的高水压，避免冲伤眼睛。</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全新钢塑水槽柜</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450*600*800mm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规格：450*600*800mm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水槽柜：整体采用三段式结构，前部凸起，采用实验室专用一次成型的绿色环保材质，背板和侧板采用1.0MM厚高强度镀锌钢板后两侧圆弧角设计，前面门板两侧圆弧形设计，方便上下水检修，底座为专用一次成型绿色环保材质。要求无毒无味，防水防潮，不生锈，承重力强，可重复拆卸拼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2、全新钢塑水槽柜技术要求满足：GB/T 32487-2016塑料家具通用技术条件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(1)、耐老化性（室内720h）满足：外观颜色不低于≥4级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三联高低位龙头</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PP一体化水槽</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450*600*250mm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水槽为整体模具一体成型，尺寸450*600*250，并设有溢水口，底部带S弯防臭设计，与地面下水管密封连接。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2、PP一体化水槽技术要求满足：GB/T 32487-2016塑料家具通用技术条件。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耐老化性（室内720h）满足：外观颜色不低于≥4级。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多功能实验下水装置</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多功能实验下水装置技术要求满足：GB/T 32487-2016塑料家具通用技术条件。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耐老化性（室内720h）满足：外观颜色不低于≥4级。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多功能柱</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360*245*735mm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整体采用实验室专用PP材质，四周圆弧处理，前后二块拼接而成，可拆装，内部隐藏实验线管及通风管道，方便检修。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2、多功能柱技术要求满足：GB/T 32487-2016塑料家具通用技术条件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(1)、耐老化性（室内720h）满足：外观颜色不低于≥4级</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学生安全电源</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92*152mm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工作环境：温度-10ºC~+40ºC 相对湿度&lt;85％（25ºC）海拔&lt;4000M。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2、市电AC220V/3A输出为2个五孔插座。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3、学生电源采用耐磨、耐腐蚀、耐高温（≤140℃）的PC亮光薄膜面板，学生电源的控制采用“电容式”触摸键盘，贴片元件生产技术，微电脑控制，采用1.54寸液晶显示电源学生交直流电压。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4、直流稳压电源：液晶显示，触摸按键调节，1.5-24V/2A，电压调节分辨率为0.1V。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5、交流低压电源：液晶显示，触摸按键调节，1-24V/2A，电压调节分辨率为1V。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6、学生低压电源都可接收老师发送的锁定信号，教师主控在锁定指示灯点亮后，学生只能接收老师输送的设定电源电压，学生自己无法操作，这样可避免学生的误操作。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7、学生安全电源技术要求满足：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受控学生电源交流输出电压的测试：控制单元输入端接变频电源和万用表，输出端接受控学生电源，受控学生电源交流输出端接万用表。当控制单元输入电压为220V时，测量受控学生电源交流分档输出各档空载电压应不大于(1.05U0.3)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电源输入端接变频电源和万用表，输出端接受控学生电源，受控学生电源交流输出端接阻性负载箱作负载，并串接万用表作输出电流指示。当输入控制单元的电压为220V，受控学生电源交流输出端为开路时，从2V起用万用表测量学生电源各点输出电压U，再接入并调整阻性负载箱使输出电流在0至额定电流值范围内变化时，测量相应各点输出电压应不小于(0.95U-0.3)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受控学生电源直流稳压输出电压的测试：控制单元输入端接变频电源和万用表，输出端接受控学生电源，受控学生电源直流输出端接万用表。当输入控制单元电压为220V时，用万用表测量受控学生电源分档直流稳压输出空载电压误差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输入端接变频电源和万用表，输出端接受控学生电源，受控学生电源直流稳压输出端接电子负载作负载，并串接万用表作输出指示。当输入控制单元的电压为220V，调整电子负载使受控学生电源直流稳压输出电流为额定电流值，用万用表测量各点输出电压作为U，调节变频电源，使控制单元输入电压在198V-242V之间变化，用万用表测量受控学生电源直流稳压各相应点输出电压的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控制单元输入</w:t>
            </w:r>
            <w:r>
              <w:rPr>
                <w:rFonts w:hint="eastAsia" w:ascii="宋体" w:hAnsi="宋体" w:cs="宋体"/>
                <w:i w:val="0"/>
                <w:iCs w:val="0"/>
                <w:color w:val="000000"/>
                <w:sz w:val="21"/>
                <w:szCs w:val="21"/>
                <w:u w:val="none"/>
                <w:lang w:val="en-US" w:eastAsia="zh-CN" w:bidi="ar"/>
              </w:rPr>
              <w:t xml:space="preserve">端接</w:t>
            </w:r>
            <w:r>
              <w:rPr>
                <w:rFonts w:hint="eastAsia" w:ascii="宋体" w:hAnsi="宋体" w:eastAsia="宋体" w:cs="宋体"/>
                <w:i w:val="0"/>
                <w:iCs w:val="0"/>
                <w:color w:val="000000"/>
                <w:sz w:val="21"/>
                <w:szCs w:val="21"/>
                <w:u w:val="none"/>
                <w:lang w:val="en-US" w:eastAsia="zh-CN" w:bidi="ar"/>
              </w:rPr>
              <w:t xml:space="preserve">变频电源和万用表，输出端接受控学生电源，受控学生电源直流输出端接电子负载作负载，并串接万用表作输出电流指示。控制单元输入电压保持220V，直流输出端为开路时，从2V起用万用表测量各点输出电压作为U，再接入并调节电子负载使受控学生电源直流输出电流在0至额定电流值范围内变化，用万用表测量受控学生电源相应各点输出电压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控制单元输入端接变频电源和万用表，输出端接受控学生电源，受控学生电源直流输出端接电子负载作负载，并串接万用表作输出电流指示。当输入控制单元电压为220V时，调节电子负载使受控学生电源输出电流为额定电流值，用万用表测量各点输出电压，再用示波器测量各点输出纹波电压，在输出范围内纹波电压应不大于10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（3）、机械强度之250N恒定力试验，对外部外壳上直径为30mm的圆形平面施加250N±10N的恒定力，短时间保持大约5s，力依次施加到顶部、底部和侧面，外壳无损坏。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（4)、机械强度之外壳冲击试验。直径为50mm±1mm、500g±25g、光滑的实心钢球进行试验，1300mm±10mm处自由落到样品上。3级能量</w:t>
            </w:r>
            <w:r>
              <w:rPr>
                <w:rFonts w:hint="eastAsia" w:ascii="宋体" w:hAnsi="宋体" w:cs="宋体"/>
                <w:i w:val="0"/>
                <w:iCs w:val="0"/>
                <w:color w:val="000000"/>
                <w:sz w:val="21"/>
                <w:szCs w:val="21"/>
                <w:u w:val="none"/>
                <w:lang w:val="en-US" w:eastAsia="zh-CN" w:bidi="ar"/>
              </w:rPr>
              <w:t xml:space="preserve">能源</w:t>
            </w:r>
            <w:r>
              <w:rPr>
                <w:rFonts w:hint="eastAsia" w:ascii="宋体" w:hAnsi="宋体" w:eastAsia="宋体" w:cs="宋体"/>
                <w:i w:val="0"/>
                <w:iCs w:val="0"/>
                <w:color w:val="000000"/>
                <w:sz w:val="21"/>
                <w:szCs w:val="21"/>
                <w:u w:val="none"/>
                <w:lang w:val="en-US" w:eastAsia="zh-CN" w:bidi="ar"/>
              </w:rPr>
              <w:t xml:space="preserve">未变成可触及，安全防护措施保持有效，未破碎，未破裂。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（5）、未接地的可触及零部件：0.054 mA Apk；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（6）、抗电强度试验，使用绝缘耐压测试仪，施加直流电压到受试绝缘上，从零逐渐升高到规定的电压，并在该电压值上保持60s。试验中不应有绝缘击穿和飞弧现象出现。</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教师演示电源</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500*260mm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教师演示台配备总漏电保护，可控制学生的高低压电源，确保学生实验安全方便；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2、教师电源总控采用7寸"电阻式"液晶屏，显示智能控制按键同时显示电源电压；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3、教师交流电源通过智能控制按键直接选取0～24V电压，最小调节单元可达1V,额定电流3A；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4、教师直流电源也是通过智能控制按键直接选取，调节范围为1.5～24V，分辨率可达0.1V,额定电流3A；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5、低压大电流值为40A，自动关断；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6、220V交流输出为带安全门的插座，带有电源指示，学生低压交流电源可通过智能控制按键直接选取0～24V电压，最小调节单元为1V，组输送至学生桌；低压直流电压教师能准确控制，最小调节单元为0.1V。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7、教师演示电源技术要求满足：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(1)、教师电源交流输出电压的测试， 电源输入端接变频电源，交流输出端接万用表。当输入电压为220V时，测量交流分档输出各档空载电压应不大于(1.05U+0.2)V。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输入端接变频电源，交流输出端接阻性负载箱作负载，并串接万用表作输出指示。当输入电压为220V,交流输出端为开路时，从2V起用万用表测量各点输出电压U,再接入并调整阻性负载箱使输出电流在0至额定电流值范围内变化时，测量输出电压应不小于(0.95U-0.2)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(2)、教师电源直流稳压输出电压的测试， 电源输入端接变频电源，直流输出端接万用表。当输入电压为220V时，测量直流稳压分档输出空载电压误差应不大于±(2%U+0.1)V。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指示。当输入电压为220V,调整电子负载使输出电流为额定电流值，用万用表测量各点输出电压，调节变频电源，使输入电压在198V~242V之间变化，用万用表测量各相应点输出电压的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电源输入端接变频电源，直流输出端接电子负载作负载，并串接万用表作输出电流指示。输入电压保持220V,直流输出端为开路时，从2V起用万用表测量各点输出电压作为U,再接入并调节电子负载使输出电流 在0至额定电流值范围内变化，用万用表 测量相应各点输出电压变化量应不大于(2%U+0.1)V。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电源输入端接变频电源，直流输出端接电子负载作负载，并串接万用表作输出电流指示。当输入电压为220V时，调节电子负载使输出电流为额定值，用万用表测量各点输出电压，再用示波器测量相应各点输出纹波 电压，在输出范围内纹波电压应不大于5mV。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(3)、机械强度之250N恒定力试验，对外部外壳上直径为30mm的圆形平面施加250N±10N的恒定力，短时间保持大约5s,力依次施加到顶部、底部和侧面，外壳应无损坏。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(4)、机械强度之外壳冲击试验 直径为50mm±1mm、500g±25g、光滑的实心钢球进行试验，1300mm±10mm处自由落到样品上。3级能量</w:t>
            </w:r>
            <w:r>
              <w:rPr>
                <w:rFonts w:hint="eastAsia" w:ascii="宋体" w:hAnsi="宋体" w:cs="宋体"/>
                <w:i w:val="0"/>
                <w:iCs w:val="0"/>
                <w:color w:val="000000"/>
                <w:sz w:val="21"/>
                <w:szCs w:val="21"/>
                <w:u w:val="none"/>
                <w:lang w:val="en-US" w:eastAsia="zh-CN" w:bidi="ar"/>
              </w:rPr>
              <w:t xml:space="preserve">能源</w:t>
            </w:r>
            <w:r>
              <w:rPr>
                <w:rFonts w:hint="eastAsia" w:ascii="宋体" w:hAnsi="宋体" w:eastAsia="宋体" w:cs="宋体"/>
                <w:i w:val="0"/>
                <w:iCs w:val="0"/>
                <w:color w:val="000000"/>
                <w:sz w:val="21"/>
                <w:szCs w:val="21"/>
                <w:u w:val="none"/>
                <w:lang w:val="en-US" w:eastAsia="zh-CN" w:bidi="ar"/>
              </w:rPr>
              <w:t xml:space="preserve">未变成可触及，安全防护措施保持有效，未破碎，未破裂。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(5)、未接地的可触及零部件，使用泄漏电流测试仪，在正常工作条件下对所有未接地的可触及导电零部件进行测量ES1:0.5mA(有效值)0.707 mA(峰值)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(6)、抗电强度试验，使用绝缘耐压测试仪，施加直流电压到受试绝缘上，从零逐渐升高到规定的电压，并在该电压值上保持60s。试验中不应有绝缘击穿和飞弧现象出现。</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学科展板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600*800mm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规格：600*800mm,铝合金边框，亚克力面板，高清喷绘写真。内容：化学学科著名人物简介，图文并茂</w:t>
            </w:r>
            <w:r>
              <w:rPr>
                <w:rFonts w:hint="eastAsia" w:ascii="宋体" w:hAnsi="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文化背景墙</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6000*1200mm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规格：6000*1200mm,PVC立体雕刻。内容：化学学科背景墙</w:t>
            </w:r>
            <w:r>
              <w:rPr>
                <w:rFonts w:hint="eastAsia" w:ascii="宋体" w:hAnsi="宋体" w:cs="宋体"/>
                <w:i w:val="0"/>
                <w:iCs w:val="0"/>
                <w:color w:val="000000"/>
                <w:sz w:val="21"/>
                <w:szCs w:val="21"/>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DN25阻燃线管；2.5平方国标线材，符合国家标准。</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电气布线（地下部分）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DN25mm</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DN25阻燃线管；2.5平方国标线材，符合国家标准。</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ф32、ф25、ф20；DN75、DN50</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给水：采用PPR复合管敷设。排水：使用国标优质UPVC专用排水管。</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给、排水系统（地下部分）</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ф32、ф25、ф20；DN75、DN50</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给水：采用PPR复合管敷设。排水：使用国标优质UPVC专用排水管。</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安装调试</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设备运输卸车、搬运上楼，地面设备安装、调试等服务。垃圾清运。</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3"/>
        </w:trPr>
        <w:tc>
          <w:tcPr>
            <w:gridSpan w:val="6"/>
            <w:shd w:val="clear" w:color="auto" w:fill="ffffff"/>
            <w:tcBorders>
              <w:top w:val="single" w:color="000000" w:sz="4" w:space="0"/>
              <w:left w:val="single" w:color="000000" w:sz="4" w:space="0"/>
              <w:bottom w:val="single" w:color="000000" w:sz="4" w:space="0"/>
              <w:right w:val="single" w:color="000000" w:sz="4" w:space="0"/>
            </w:tcBorders>
            <w:tcW w:w="997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教具</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推拉黑板</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基本尺寸：≥5300mm×1300mm，可根据所配一体机居中或一侧适当调整，确保与一体机有效配套。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书写板面：采用优质烤漆板面，</w:t>
            </w:r>
            <w:r>
              <w:rPr>
                <w:rFonts w:hint="eastAsia" w:ascii="宋体" w:hAnsi="宋体" w:cs="宋体"/>
                <w:i w:val="0"/>
                <w:iCs w:val="0"/>
                <w:color w:val="000000"/>
                <w:sz w:val="21"/>
                <w:szCs w:val="21"/>
                <w:u w:val="none"/>
                <w:lang w:val="en-US" w:eastAsia="zh-CN" w:bidi="ar"/>
              </w:rPr>
              <w:t xml:space="preserve">哑</w:t>
            </w:r>
            <w:r>
              <w:rPr>
                <w:rFonts w:hint="eastAsia" w:ascii="宋体" w:hAnsi="宋体" w:eastAsia="宋体" w:cs="宋体"/>
                <w:i w:val="0"/>
                <w:iCs w:val="0"/>
                <w:color w:val="000000"/>
                <w:sz w:val="21"/>
                <w:szCs w:val="21"/>
                <w:u w:val="none"/>
                <w:lang w:val="en-US" w:eastAsia="zh-CN" w:bidi="ar"/>
              </w:rPr>
              <w:t xml:space="preserve">光、墨绿色,厚度≥0.3mm，漆膜硬度为6H，粗糙度为Ra1.6-3.2xt，无裂纹、无流痕、无气泡。符合GB/T28231-2011《书写板安全卫生要求》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内芯材料：选用高强度、吸音、防潮、阻燃聚苯乙烯板，厚度≥13mm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背板：采用优质镀锌钢板，厚度≥0.2mm，流水线一次成型，间隔80mm设有20mm专利技术凹槽加强筋，保证背板在长期使用中挺括坚固。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覆板：采用环保型双</w:t>
            </w:r>
            <w:r>
              <w:rPr>
                <w:rFonts w:hint="eastAsia" w:ascii="宋体" w:hAnsi="宋体" w:cs="宋体"/>
                <w:i w:val="0"/>
                <w:iCs w:val="0"/>
                <w:color w:val="000000"/>
                <w:sz w:val="21"/>
                <w:szCs w:val="21"/>
                <w:u w:val="none"/>
                <w:lang w:val="en-US" w:eastAsia="zh-CN" w:bidi="ar"/>
              </w:rPr>
              <w:t xml:space="preserve">组分</w:t>
            </w:r>
            <w:r>
              <w:rPr>
                <w:rFonts w:hint="eastAsia" w:ascii="宋体" w:hAnsi="宋体" w:eastAsia="宋体" w:cs="宋体"/>
                <w:i w:val="0"/>
                <w:iCs w:val="0"/>
                <w:color w:val="000000"/>
                <w:sz w:val="21"/>
                <w:szCs w:val="21"/>
                <w:u w:val="none"/>
                <w:lang w:val="en-US" w:eastAsia="zh-CN" w:bidi="ar"/>
              </w:rPr>
              <w:t xml:space="preserve">聚氨酯胶水，自动化流水线覆板作业，确保粘接牢固板面平整，甲醛释放量≤0.2mg/L，符合GB/T 28231-2011《书写板安全卫生要求》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边框：横框尺寸≥78×57mm，竖框尺寸≥29mm×100mm，边框经氧化、喷砂涂层处理，无明显眩光；横（立）框采用双层加强结构，厚≥10㎜。 滑轮：采用上吊轮双滑道、下平形滑块，滑动顺畅、</w:t>
            </w:r>
            <w:r>
              <w:rPr>
                <w:rFonts w:hint="eastAsia" w:ascii="宋体" w:hAnsi="宋体" w:cs="宋体"/>
                <w:i w:val="0"/>
                <w:iCs w:val="0"/>
                <w:color w:val="000000"/>
                <w:sz w:val="21"/>
                <w:szCs w:val="21"/>
                <w:u w:val="none"/>
                <w:lang w:val="en-US" w:eastAsia="zh-CN" w:bidi="ar"/>
              </w:rPr>
              <w:t xml:space="preserve">噪声</w:t>
            </w:r>
            <w:r>
              <w:rPr>
                <w:rFonts w:hint="eastAsia" w:ascii="宋体" w:hAnsi="宋体" w:eastAsia="宋体" w:cs="宋体"/>
                <w:i w:val="0"/>
                <w:iCs w:val="0"/>
                <w:color w:val="000000"/>
                <w:sz w:val="21"/>
                <w:szCs w:val="21"/>
                <w:u w:val="none"/>
                <w:lang w:val="en-US" w:eastAsia="zh-CN" w:bidi="ar"/>
              </w:rPr>
              <w:t xml:space="preserve">小；书写时定位精确不晃动、滑动板前后晃动小于0.5mm。 粉尘槽：配备宽度≥30mm一体化粉尘槽，防止粉尘垂直落地，粉尘槽与下边框一体化设计。限位档：黑板边框内部一侧安装同色限位档，保证活动黑板开启时不会碰撞立框，防止滑动时夹伤师生的手。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包角材料：采用抗老化高强度ABS工程塑料一次注塑成型不得拼接，双壁成腔流线型设计，圆角≥kR25mm，并带有注册商标，符合JY0001-2003《教学仪器设备产品一般质量要求》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8.侧封：黑板两侧配有与边框同色同质侧封，与触控一体机厚度匹配遮挡缝隙，提高美观度。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9.易维护性：一体机上或下配黑色挡板一块，上下可根据一体机尺寸进行微调，两侧用H型边框与固定板配合，使一体机不用拆整套黑板即可完成维护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10.安全性：一把锁实现对滑动黑板的锁定，钥匙通用，方便实用。</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视频展台</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壁挂式安装，防盗防破坏。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无锐角无利边设计，有效防止师生碰伤、划伤。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采用三折叠开合式托板，展开后托板尺寸≥A4面积，收起时小巧不占空间，高效利用挂墙面积。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采用USB高速接口，单根USB线实现供电、高清数据传输需求。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采用800W像素自动对焦摄像头，可拍摄A4画幅。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解析度：中间1600线，四周1400线。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展台按键采用触摸按键，可实现一键启动展台画面、画面放大、画面缩小、画面旋转、拍照截图等功能，同时也支持在一体机或电脑上进行同样的操作。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整机自带均光罩LED补光灯，光线不足时可进行亮度补充，亮度均匀。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支持对展台实时画面进行放大、缩小、旋转、自适应、冻结画面等操作。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支持展台画面实时批注，预设多种</w:t>
            </w:r>
            <w:r>
              <w:rPr>
                <w:rFonts w:hint="eastAsia" w:ascii="宋体" w:hAnsi="宋体" w:cs="宋体"/>
                <w:i w:val="0"/>
                <w:iCs w:val="0"/>
                <w:color w:val="000000"/>
                <w:sz w:val="21"/>
                <w:szCs w:val="21"/>
                <w:u w:val="none"/>
                <w:lang w:val="en-US" w:eastAsia="zh-CN" w:bidi="ar"/>
              </w:rPr>
              <w:t xml:space="preserve">笔画</w:t>
            </w:r>
            <w:r>
              <w:rPr>
                <w:rFonts w:hint="eastAsia" w:ascii="宋体" w:hAnsi="宋体" w:eastAsia="宋体" w:cs="宋体"/>
                <w:i w:val="0"/>
                <w:iCs w:val="0"/>
                <w:color w:val="000000"/>
                <w:sz w:val="21"/>
                <w:szCs w:val="21"/>
                <w:u w:val="none"/>
                <w:lang w:val="en-US" w:eastAsia="zh-CN" w:bidi="ar"/>
              </w:rPr>
              <w:t xml:space="preserve">粗细及颜色供选择，且支持对展台画面</w:t>
            </w:r>
            <w:r>
              <w:rPr>
                <w:rFonts w:hint="eastAsia" w:ascii="宋体" w:hAnsi="宋体" w:cs="宋体"/>
                <w:i w:val="0"/>
                <w:iCs w:val="0"/>
                <w:color w:val="000000"/>
                <w:sz w:val="21"/>
                <w:szCs w:val="21"/>
                <w:u w:val="none"/>
                <w:lang w:val="en-US" w:eastAsia="zh-CN" w:bidi="ar"/>
              </w:rPr>
              <w:t xml:space="preserve">连同</w:t>
            </w:r>
            <w:r>
              <w:rPr>
                <w:rFonts w:hint="eastAsia" w:ascii="宋体" w:hAnsi="宋体" w:eastAsia="宋体" w:cs="宋体"/>
                <w:i w:val="0"/>
                <w:iCs w:val="0"/>
                <w:color w:val="000000"/>
                <w:sz w:val="21"/>
                <w:szCs w:val="21"/>
                <w:u w:val="none"/>
                <w:lang w:val="en-US" w:eastAsia="zh-CN" w:bidi="ar"/>
              </w:rPr>
              <w:t xml:space="preserve">批注内容进行同步缩放、移动。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支持展台画面拍照截图并进行多图预览，可对任一图片进行全屏显示。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老师可在一体机或电脑上选择延时拍照功能，支持5秒或10秒延时模式，预留充足时间以便调整拍摄内容。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 可选择图像、文本或动态三种情景模式，适应不同展示内容。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 具备图像增强功能，可自动裁剪背景并增强文字显示，使文档画面更清晰。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 支持故障自动检测，在软件无法出现展台拍摄画面时，自动出现检测链接，帮助用户检测“无画面”的原因，并给出引导性解决方案。可判断硬件连接、显卡驱动、摄像头占用、软件版本等问题。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 支持二维码扫码功能：打开扫一扫功能后，将书本上的二维码放入扫描框内即可自动扫描，并进入系统浏览器获取二维码的链接内容，帮助老师快速获取电子教学资源。</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化学教学主机</w:t>
            </w:r>
            <w:r/>
          </w:p>
        </w:tc>
        <w:tc>
          <w:tcPr>
            <w:shd w:val="clear" w:color="auto" w:fill="ffffff"/>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国产</w:t>
            </w:r>
            <w:r/>
          </w:p>
        </w:tc>
        <w:tc>
          <w:tcPr>
            <w:shd w:val="clear" w:color="auto" w:fill="ffffff"/>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整体设计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整机采用一体设计，外部无任何可见内部功能模块连接线。边角采用弧形设计，表面无尖锐边缘或凸起。整机采用全金属外壳设计，屏幕边缘采用金属圆角包边防护，整机背板采用金属材质，有效屏蔽内部电路器件辐射；防潮耐盐雾蚀锈，适应多种教学环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2.整机屏幕采用≥86英寸液晶显示器。侧置输入接口具备2路HDMI、1路RS232、1路USB接口；侧置输出接口具备1路音频输出、1路触控USB输出；前置输入接口具备3路USB接口（包含1路Type-C、2路USB）。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3.整机内置2.2声道扬声器，位于设备上边框，顶置朝前发声，前朝向10W高音扬声器2个，上朝向20W中低音扬声器2个，额定总功率60W。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4.整机可选择高级音效设置，支持在左右声道平衡显示范围中进行更改；中低频段显示调节范围125Hz～1KHz，高频段显示调节范围 2KHz～16KHz，分贝显示-12dB～12dB 调节范围。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内置非独立外扩展的8阵列麦克风，拾音角度≥180°，可用于对教室环境音频进行采集，拾音距离≥12m。整机上边框内置非独立式摄像头，采用一体化集成设计，摄像头数量≥4个。整机内置至少三个摄像头，像素值均大于800 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标准、听力、观影和AI空间感知音效模式，AI空间感知音效模式可通过内置麦克风采集教室物理环境声音，自动生成符合当前教室物理环境的频段、音量、音效。整机背光系统支持DC调光方式，多级亮度调节，支持白颜色背景下最暗亮度≤100nit，用于提升显示对比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整机支持色彩空间可选，包含标准模式和sRGB模式，在sRGB模式下可做到高色准△E≤1。支持标准、多媒体和节能三种图像模式调节。整机全通道支持纸质护眼模式，可实现画面纹理的实时调整；支持纸质纹理：牛皮纸、素描纸、宣纸、水彩纸、水纹纸；支持透明度调节；支持色温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内置传屏接收模块，整机不需要连接任何附加设备，可实现外部电脑、手机等设备的音视频信号实时传输到整机上；当使用外部电脑传屏时，支持触摸回传，在屏幕上部显示传屏工具栏，可以进行触摸回传控制、勿扰模式、暂停投屏功能；开启勿扰模式时，不允许其他人再进行传屏；投屏时可以选择过滤特定应用窗口，如邮件应用等窗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9.整机屏幕触摸有效识别高度不超过1.5mm，即触摸物体距离玻璃外表面高度不超过1.5mm时，触摸屏识别为点击操作。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10.在整机全信号源通道下，支持十指长按屏幕5秒和遥控器两种方式实现触摸锁定及解锁，触摸锁定时整机无法被触控操作。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11.支持通道自动跳转功能，如整机处于正常使用状态，HDMI信号接入时，能自动识别并切换到对应的HDMI信号源通道，且断开后能回到上一通道。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整机安卓和全部外接通道（HDMI、Type-c）下侧边栏支持通过扫描二维码加入班级，老师设置题型，学生回答后提交，可以查看正确率比例及详细讲解；支持随机抽选、实时弹幕；支持管理当前班级成员；支持导出学生报告。全通道下可支持通过自定义按键调出该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13.整机具备智能手势识别功能，在整机全信号源通道下均可识别五指上、下、左、右方向手势，五指画 O、画~、左右晃动、缩/放方向手势滑动并调用相应功能。支持将各手势滑动方向自定义设置为无操作、熄屏、批注、桌面、半屏模式。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14.整机内置双</w:t>
            </w:r>
            <w:r>
              <w:rPr>
                <w:rFonts w:hint="eastAsia" w:ascii="宋体" w:hAnsi="宋体" w:cs="宋体"/>
                <w:i w:val="0"/>
                <w:iCs w:val="0"/>
                <w:color w:val="000000"/>
                <w:sz w:val="21"/>
                <w:szCs w:val="21"/>
                <w:u w:val="none"/>
                <w:lang w:val="en-US" w:eastAsia="zh-CN" w:bidi="ar"/>
              </w:rPr>
              <w:t xml:space="preserve">Wi-Fi</w:t>
            </w:r>
            <w:r>
              <w:rPr>
                <w:rFonts w:hint="eastAsia" w:ascii="宋体" w:hAnsi="宋体" w:eastAsia="宋体" w:cs="宋体"/>
                <w:i w:val="0"/>
                <w:iCs w:val="0"/>
                <w:color w:val="000000"/>
                <w:sz w:val="21"/>
                <w:szCs w:val="21"/>
                <w:u w:val="none"/>
                <w:lang w:val="en-US" w:eastAsia="zh-CN" w:bidi="ar"/>
              </w:rPr>
              <w:t xml:space="preserve">6无线网卡（不接受外接），在整机设备下，可实现Wi-Fi无线上网连接、AP无线热点发射。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15.支持外接信号输入时自动唤醒功能，整机处于关机通电状态，外接电脑显示信号通过HDMI传输线连接至整机时，整机可智能识别外接电脑设备信号输入并自动开机。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无PC状态下，嵌入式系统内置互动白板支持十笔书写及手掌擦除（手掌擦除面积根据手掌与屏幕的接触面大小自动调整），白板书写内容可以PDF、IWB和SVG格式导出。支持10种以上平面图形工具。支持8种以上立体图形工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17.整机支持5个自定义前置按键，“设置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音量-”，“音量+”，“录屏”，“护眼”按键，可通过自定义设置实现前置面板功能按键一键启用任一全局小工具（批注、截屏、计时、降半屏、放大镜、倒数日、日历）、快捷开关（节能模式、纸质护眼模式、经典护眼模式、自动亮度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18.整机具备前置Type-C接口，通过Type-C接口实现音视频输入，外接电脑设备经双头Type-C线连接至整机，即可把外接电脑设备画面投到整机上，同时在整机上操作画面，可实现触摸电脑的操作，无需再连接触控USB线。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19.玻璃表面采用纳米材料镀膜环保工艺，书写更加顺滑，防眩光效果更加优异。整机采用防眩光玻璃，屏幕支持防眩光功能。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20.整机全通道侧边栏快捷菜单包含如下小工具：批注、降半屏、截屏、放大镜、倒计时、日历、聚光灯、秒表、冻屏、倒数日、答题、节拍器。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21.整机电磁干扰ITE达到国标GB/T 9254.1-2021 Class B等级要求，满足教学环境多电子设备共用，无需采取任何电磁辐射防护措施，不接受GB/T 9254.1-2021 ITE Class A等级产品。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22.具备电视遥控功能和电脑键盘常用的F1—F12功能键及Alt+F4、Alt+Tab、Space、Enter、windows快捷按键，可实现一键开启交互白板软件、PPT上下翻页、一键锁定/解锁触摸及整机实体按键、一键熄屏的功能。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23.整机全通道侧边栏快捷菜单支持快捷调节音量、亮度，支持自动亮度模式，支持点击静音按钮静音。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电脑模块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1.CPU 采用国产自主可控芯片，处理器核数≥8核，主频≥2.7GHz。内存：8GB或以上配置。硬盘：256GB或以上固态硬盘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2.和整机的连接采用万兆级接口，传输速率≥10Gbps。PC模块可抽拉式插入整机，可实现无单独接线的插拔。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3.采用按压式卡扣，无需工具就可快速拆卸电脑模块。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4.预装正版国产操作系统，操作系统基于统一版本的 Linux 内核同时支持不同硬件平台，内核版本不低于Kernel 4.19。提供操作系统核心组件的完整性保护功能，当受保护文件被破坏时，会自动执行禁止或警告策略。提供常用系统工具包括磁盘管理、文件浏览器、系统监视器、光盘刻录、计算器等。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5.支持通过自研浏览器上网，拦截网页中恶意弹窗、诱导点击跳转至不良内容、低俗庸俗等有害页面的行为，在线查阅拦截报表统计。操作系统预装同品牌自研浏览器，同时支持 360 安全浏览器、奇安信可信浏览器、红莲花安全浏览器等浏览器。操作系统产品具有应用商店，应用商店可针对教育行业提供教育专属应用，并可以提供各地方的智慧教育云平台应用。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交互式白板软件：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1.备授课一体化，具有备课模式及授课模式，支持老师个人账号注册登录使用，也可通过USB key进行身份快速识别登录。支持课件云存储，无需使用U盘等存储设备，老师只需联网登录即可获取云课件。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2.支持点对点分享云课件，用户可在软件中直接将课件发送给</w:t>
            </w:r>
            <w:r>
              <w:rPr>
                <w:rFonts w:hint="eastAsia" w:ascii="宋体" w:hAnsi="宋体" w:cs="宋体"/>
                <w:i w:val="0"/>
                <w:iCs w:val="0"/>
                <w:color w:val="000000"/>
                <w:sz w:val="21"/>
                <w:szCs w:val="21"/>
                <w:u w:val="none"/>
                <w:lang w:val="en-US" w:eastAsia="zh-CN" w:bidi="ar"/>
              </w:rPr>
              <w:t xml:space="preserve">其他用户</w:t>
            </w:r>
            <w:r>
              <w:rPr>
                <w:rFonts w:hint="eastAsia" w:ascii="宋体" w:hAnsi="宋体" w:eastAsia="宋体" w:cs="宋体"/>
                <w:i w:val="0"/>
                <w:iCs w:val="0"/>
                <w:color w:val="000000"/>
                <w:sz w:val="21"/>
                <w:szCs w:val="21"/>
                <w:u w:val="none"/>
                <w:lang w:val="en-US" w:eastAsia="zh-CN" w:bidi="ar"/>
              </w:rPr>
              <w:t xml:space="preserve">，同时也可以在软件中直接接收并</w:t>
            </w:r>
            <w:r>
              <w:rPr>
                <w:rFonts w:hint="eastAsia" w:ascii="宋体" w:hAnsi="宋体" w:cs="宋体"/>
                <w:i w:val="0"/>
                <w:iCs w:val="0"/>
                <w:color w:val="000000"/>
                <w:sz w:val="21"/>
                <w:szCs w:val="21"/>
                <w:u w:val="none"/>
                <w:lang w:val="en-US" w:eastAsia="zh-CN" w:bidi="ar"/>
              </w:rPr>
              <w:t xml:space="preserve">打开其他</w:t>
            </w:r>
            <w:r>
              <w:rPr>
                <w:rFonts w:hint="eastAsia" w:ascii="宋体" w:hAnsi="宋体" w:eastAsia="宋体" w:cs="宋体"/>
                <w:i w:val="0"/>
                <w:iCs w:val="0"/>
                <w:color w:val="000000"/>
                <w:sz w:val="21"/>
                <w:szCs w:val="21"/>
                <w:u w:val="none"/>
                <w:lang w:val="en-US" w:eastAsia="zh-CN" w:bidi="ar"/>
              </w:rPr>
              <w:t xml:space="preserve">用户分享的课件；同时支持链接分享课件，接收方打开链接后可直接输入账号获取课件。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3.支持用户在软件中打开pptx格式文件，且用户可在软件中自由编辑原文件中的图片、文字、表格等元素，并支持修改原文件中的动画。方便老师利用软件互动功能在原有PPT基础上修改课件。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4.高级图形：支持对话框、五角星、大括号、旗子等特殊图形绘制，同时支持自定义绘制复杂的任意多边形及曲边图形。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5.路径动画：支持任意对象自定义路径动画设置，可绘制任意移动轨迹并让对象沿着轨迹路径进行移动，可单独设置该动画通过翻页或单击对象本身进行触发。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6.快捷抠图：无需借助专业图片处理软件，即可在白板软件中对导入的图片进行快捷抠图、去背景，处理后的图片主体边缘没有明显毛边，可导出保存成PNG格式。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7.蒙层工具：一键对输入的文本、图片、形状设置蒙层进行隐藏，授课模式下可通过擦除蒙层展现隐藏内容，丰富课件互动展示效果。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互动分类游戏：支持创建互动分类游戏，可自定义不同类别及相对应的对象，实现将不同对象拖拽到对应的类别容器中可自动辨识分类，分类正确或错误均有相应提示。类别和对象的样式、数量均可以自定义设置。系统需提供不少于10种游戏模板，直接选择并输入相应内容即可轻松生成互动分类游戏，提升课堂趣味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智能选词填空：支持创建智能选词填空游戏，教师可随意编辑填空题题干以及相应的答案选项，将选项拖到对应题干空白处，系统将自动判别答案是否正确。系统需提供不少于9种游戏模板供老师选择，且模板样式支持自定义修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10.分组竞争游戏：支持创建分组竞争游戏，教师可设置正确项／干扰项，让两组学生开展竞争游戏。系统提供不少于3种难度、10种游戏</w:t>
            </w:r>
            <w:r>
              <w:rPr>
                <w:rFonts w:hint="eastAsia" w:ascii="宋体" w:hAnsi="宋体" w:cs="宋体"/>
                <w:i w:val="0"/>
                <w:iCs w:val="0"/>
                <w:color w:val="000000"/>
                <w:sz w:val="21"/>
                <w:szCs w:val="21"/>
                <w:u w:val="none"/>
                <w:lang w:val="en-US" w:eastAsia="zh-CN" w:bidi="ar"/>
              </w:rPr>
              <w:t xml:space="preserve">模板</w:t>
            </w:r>
            <w:r>
              <w:rPr>
                <w:rFonts w:hint="eastAsia" w:ascii="宋体" w:hAnsi="宋体" w:eastAsia="宋体" w:cs="宋体"/>
                <w:i w:val="0"/>
                <w:iCs w:val="0"/>
                <w:color w:val="000000"/>
                <w:sz w:val="21"/>
                <w:szCs w:val="21"/>
                <w:u w:val="none"/>
                <w:lang w:val="en-US" w:eastAsia="zh-CN" w:bidi="ar"/>
              </w:rPr>
              <w:t xml:space="preserve">选择，且</w:t>
            </w:r>
            <w:r>
              <w:rPr>
                <w:rFonts w:hint="eastAsia" w:ascii="宋体" w:hAnsi="宋体" w:cs="宋体"/>
                <w:i w:val="0"/>
                <w:iCs w:val="0"/>
                <w:color w:val="000000"/>
                <w:sz w:val="21"/>
                <w:szCs w:val="21"/>
                <w:u w:val="none"/>
                <w:lang w:val="en-US" w:eastAsia="zh-CN" w:bidi="ar"/>
              </w:rPr>
              <w:t xml:space="preserve">模板样式</w:t>
            </w:r>
            <w:r>
              <w:rPr>
                <w:rFonts w:hint="eastAsia" w:ascii="宋体" w:hAnsi="宋体" w:eastAsia="宋体" w:cs="宋体"/>
                <w:i w:val="0"/>
                <w:iCs w:val="0"/>
                <w:color w:val="000000"/>
                <w:sz w:val="21"/>
                <w:szCs w:val="21"/>
                <w:u w:val="none"/>
                <w:lang w:val="en-US" w:eastAsia="zh-CN" w:bidi="ar"/>
              </w:rPr>
              <w:t xml:space="preserve">支持自定义修改。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11.数学公式编辑器：支持复杂数学公式输入，提供不少于20个数学符号及模板，输出的公式内容支持不同颜色标记及二次编辑。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12.为使用方全体教师配备个人账号，形成一体的信息化教学账号体系；根据教师账号信息将教师云空间匹配至对应学校、学科校本资源库。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13.支持将互动课件导出为pptx、pdf、H5或web链接，在多终端进行二次编辑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14.支持PPT解析课件、互动云课件和云端资源调用等多种备课方式。教师可直接在课件中调取试题、微课视频、仿真实验等云端资源，可创建试题、课堂互动游戏、思维导图、网络画板、学科工具形成互动课件。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15.互动课件内容的编辑修改无需人为保存，可自动同步至云空间。本地课件不会自动同步到云空间。编辑多份互动课件时，教师可一键将所有处于编辑状态的课件同步到互动课件云空间。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16.支持PPT的原生解析，教师可将pptx课件转化为互动课件。支持单份导入的导入方式，保留pptx原文件中的文字，图片，表格等对象及动画的可编辑性，并可为课件增加互动教学元素。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17.支持对多对象的叠放层级、对齐方式进行设置，可批量组合、锁定课件对象。对象移动时自动弹出对齐线及等距线辅助排版。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18.支持给课件内所有的元素对象创建超链接，可链接到对象所在课件的相关页面、网页。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19.内置图片处理功能，无需借助图片处理软件，可对课件内的图片进行抠图，图片主体处理后边缘无明显毛边。内置图片裁切功能。无需调用截图工具，可直接对课件内容的图片进行裁切，裁切面积可自由调整。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20.提供教案模板，方便老师撰写教案，预置模板包含表格式、提纲式、集备式、多课时式、单元设计式等不少于7个。支持校本模板，管理员在教研管理后台设置校本模板后，老师可在云教案模板调用。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21.云教案与云课件可一对多关联绑定，产生绑定后，在课件页和教案页均支持在同一面板打开关联的云课件或云教案预览，便于老师备课时相互对照。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22.具备云端静默推送下载功能，无需用户手动下载即可实现应用的在线升级，升级具有信息验证机制。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23.蒙层工具:可一键为课件文本、图片、形状等对象添加蒙层将其隐藏，授课模式下可通过橡皮擦工具</w:t>
            </w:r>
            <w:r>
              <w:rPr>
                <w:rFonts w:hint="eastAsia" w:ascii="宋体" w:hAnsi="宋体" w:cs="宋体"/>
                <w:i w:val="0"/>
                <w:iCs w:val="0"/>
                <w:color w:val="000000"/>
                <w:sz w:val="21"/>
                <w:szCs w:val="21"/>
                <w:u w:val="none"/>
                <w:lang w:val="en-US" w:eastAsia="zh-CN" w:bidi="ar"/>
              </w:rPr>
              <w:t xml:space="preserve">，或</w:t>
            </w:r>
            <w:r>
              <w:rPr>
                <w:rFonts w:hint="eastAsia" w:ascii="宋体" w:hAnsi="宋体" w:eastAsia="宋体" w:cs="宋体"/>
                <w:i w:val="0"/>
                <w:iCs w:val="0"/>
                <w:color w:val="000000"/>
                <w:sz w:val="21"/>
                <w:szCs w:val="21"/>
                <w:u w:val="none"/>
                <w:lang w:val="en-US" w:eastAsia="zh-CN" w:bidi="ar"/>
              </w:rPr>
              <w:t xml:space="preserve">手势擦除蒙层展现隐藏内容。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动画:提供至少32种应用于文本、形状、图片等课件元素的触发动画，可对动画的设置触发条件、动画声效、动画时长、动画延迟和动画方向进行自定义设置。支持对任意课件元素自定义路径动画，可自由绘制动画移动轨迹使课件元素沿轨迹路径进行移动。一个课件元素支持同时设置多组出现、消失、路径动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学科思维导图工具:内嵌学科思维导图功能，提供思维导图、鱼骨图及组织结构图等知识结构化工具，提供不少于13种预设模板，可自由增删或拖拽编辑知识节点，并支持在节点上插入图片、音频、视频、网页链接、课件页面等教学知识内容，便于建构知识结构；学科思维导图知识点可逐级、逐个展开，导图工具具备归纳总结功能，可将相邻知识节点一键快速归纳，并添加文本、图片、音频、视频等辅助讲解，进行知识点关联发散。思维导图支持自定义连接线、节点样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交互表格工具:具备交互表格功能，课件可自由插入表格，预置不少于6种表格样式，支持边框、底纹设置，自由合并单元格；表格支持自由输入文本，且根据文本内容可一键自动调整行列宽高；表格通过表格首行首列交接处的按键可一键精准增加行列；具备遮罩功能，表格中任一单元格可添加遮罩掩盖单元格内容，授课模式点击即可取消遮罩，便于教师交互式教学。</w:t>
            </w:r>
            <w:r/>
          </w:p>
        </w:tc>
        <w:tc>
          <w:tcPr>
            <w:shd w:val="clear" w:color="auto" w:fill="ffffff"/>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bl>
    <w:p>
      <w:pPr>
        <w:numPr>
          <w:ilvl w:val="0"/>
          <w:numId w:val="2"/>
        </w:numPr>
        <w:ind w:firstLine="482"/>
        <w:spacing w:line="360" w:lineRule="auto"/>
        <w:rPr>
          <w:rFonts w:hint="eastAsia" w:ascii="宋体" w:hAnsi="宋体"/>
          <w:b/>
          <w:bCs w:val="0"/>
          <w:color w:val="000000"/>
          <w:sz w:val="24"/>
          <w:szCs w:val="24"/>
          <w:lang w:val="en-US" w:eastAsia="zh-CN"/>
        </w:rPr>
      </w:pPr>
      <w:r>
        <w:rPr>
          <w:rFonts w:hint="eastAsia" w:ascii="宋体" w:hAnsi="宋体"/>
          <w:b/>
          <w:bCs w:val="0"/>
          <w:color w:val="000000"/>
          <w:sz w:val="24"/>
          <w:szCs w:val="24"/>
          <w:lang w:val="en-US" w:eastAsia="zh-CN"/>
        </w:rPr>
        <w:t xml:space="preserve">其他要求：</w:t>
      </w:r>
      <w:r/>
    </w:p>
    <w:p>
      <w:pPr>
        <w:pStyle w:val="889"/>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1.投标供应商的投标总价应满足本项目招标文件（包括项目采购清单、实验室设备技术参数要求等）的全部技术要求。</w:t>
      </w:r>
      <w:r/>
    </w:p>
    <w:p>
      <w:pPr>
        <w:pStyle w:val="889"/>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 投标单位应按照清单中的规格、材质和工艺来生产，定制</w:t>
      </w:r>
      <w:r>
        <w:rPr>
          <w:rFonts w:hint="eastAsia" w:ascii="宋体" w:hAnsi="宋体" w:cs="Times New Roman"/>
          <w:color w:val="000000"/>
          <w:sz w:val="24"/>
          <w:szCs w:val="24"/>
          <w:highlight w:val="none"/>
          <w:lang w:val="en-US" w:eastAsia="zh-CN" w:bidi="ar-SA"/>
        </w:rPr>
        <w:t xml:space="preserve">产品</w:t>
      </w:r>
      <w:r>
        <w:rPr>
          <w:rFonts w:hint="eastAsia" w:ascii="宋体" w:hAnsi="宋体" w:eastAsia="宋体" w:cs="Times New Roman"/>
          <w:color w:val="000000"/>
          <w:sz w:val="24"/>
          <w:szCs w:val="24"/>
          <w:highlight w:val="none"/>
          <w:lang w:val="en-US" w:eastAsia="zh-CN" w:bidi="ar-SA"/>
        </w:rPr>
        <w:t xml:space="preserve">需按照甲方实际场地尺寸或确定的方案进行加工，材质及工艺不变，规格偏差在10%以内，价格不予调整，投标人在投标时要考虑这一因素。</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 质量要求：保证所有产品及部件均是全新的纯正部品，不得以废、旧材料制作，产品必须符合行业设计及采购人的品质、环保要求。在正式供货前应与采购人协商好所有产品的规格及方案，交货时所有产品应货物完好，物品配件齐全，否则视为不合格产品；采购人将对中标人正式供</w:t>
      </w:r>
      <w:r>
        <w:rPr>
          <w:rFonts w:hint="eastAsia" w:ascii="宋体" w:hAnsi="宋体" w:cs="Times New Roman"/>
          <w:color w:val="000000"/>
          <w:sz w:val="24"/>
          <w:szCs w:val="24"/>
          <w:highlight w:val="none"/>
          <w:lang w:val="en-US" w:eastAsia="zh-CN" w:bidi="ar-SA"/>
        </w:rPr>
        <w:t xml:space="preserve">货的产品</w:t>
      </w:r>
      <w:r>
        <w:rPr>
          <w:rFonts w:hint="eastAsia" w:ascii="宋体" w:hAnsi="宋体" w:eastAsia="宋体" w:cs="Times New Roman"/>
          <w:color w:val="000000"/>
          <w:sz w:val="24"/>
          <w:szCs w:val="24"/>
          <w:highlight w:val="none"/>
          <w:lang w:val="en-US" w:eastAsia="zh-CN" w:bidi="ar-SA"/>
        </w:rPr>
        <w:t xml:space="preserve">随机抽取一件进行破坏性检测，被抽样检测产品中甲醛和苯等有害物质含量不符合采购方要求或国家标准的、参数和材质不符合招标文件要求的，视为不合格产品，采购人有权拒绝接收所有产品，并要求中标人按合同规定赔偿采购人损失（破坏性检测的货物，检测费用以及重新安装费用由中标人支付）。</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 质量标准：符合国家验收合格标准。</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 教学软件免费升级。</w:t>
      </w:r>
      <w:r/>
    </w:p>
    <w:p>
      <w:pPr>
        <w:pStyle w:val="889"/>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 在本项目产品质保期内，一旦产品发生质量问题，中标人保证在接到通知12小时内响应，3日历天内赶到现场进行修理、更换或退货，费用由中标人负责。如中标人在接到通知后12小时内没有答复，则视为中标人承认质量问题并承担由此发生的一切费用。质保期内产品的一切质量问题，更换部件及产品本身质量原因造成的直接经济损失应全部由中标人负责。</w:t>
      </w:r>
      <w:r/>
    </w:p>
    <w:p>
      <w:pPr>
        <w:numPr>
          <w:ilvl w:val="0"/>
          <w:numId w:val="0"/>
        </w:numPr>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 投标人须按照招标文件“项目技术要求和有关说明”中规定的技术配置分别对自己所投产品进行报价，投标人必须在满足招标文件要求的基础上进行报价，如有技术正偏离请另列表说明。</w:t>
      </w:r>
      <w:r/>
    </w:p>
    <w:p>
      <w:pPr>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1"/>
          <w:numId w:val="0"/>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1.</w:t>
      </w:r>
      <w:r>
        <w:rPr>
          <w:rFonts w:hint="eastAsia" w:ascii="宋体" w:hAnsi="宋体"/>
          <w:bCs/>
          <w:color w:val="000000"/>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2.</w:t>
      </w:r>
      <w:r>
        <w:rPr>
          <w:rFonts w:hint="eastAsia" w:ascii="宋体" w:hAnsi="宋体"/>
          <w:bCs/>
          <w:color w:val="000000"/>
          <w:sz w:val="24"/>
          <w:szCs w:val="24"/>
          <w:highlight w:val="none"/>
        </w:rPr>
        <w:t xml:space="preserve">通过中国海关报关验放进入中国境内且产自境外的产品不在本项目的报价范围。</w:t>
      </w:r>
      <w:r/>
    </w:p>
    <w:p>
      <w:pPr>
        <w:numPr>
          <w:ilvl w:val="1"/>
          <w:numId w:val="0"/>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3.</w:t>
      </w: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4.</w:t>
      </w:r>
      <w:r>
        <w:rPr>
          <w:rFonts w:hint="eastAsia" w:ascii="宋体" w:hAnsi="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0"/>
        </w:numPr>
        <w:ind w:left="0"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5.</w:t>
      </w:r>
      <w:r>
        <w:rPr>
          <w:rFonts w:hint="eastAsia" w:ascii="宋体" w:hAnsi="宋体"/>
          <w:bCs/>
          <w:color w:val="000000"/>
          <w:sz w:val="24"/>
          <w:szCs w:val="24"/>
          <w:highlight w:val="none"/>
        </w:rPr>
        <w:t xml:space="preserve">投标人必须在满足招标文件要求的基础上进行报价，如有技术偏离请于投标偏离表中说明。</w:t>
      </w:r>
      <w:r/>
    </w:p>
    <w:p>
      <w:pPr>
        <w:numPr>
          <w:ilvl w:val="1"/>
          <w:numId w:val="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bCs/>
          <w:color w:val="000000"/>
          <w:sz w:val="24"/>
          <w:szCs w:val="24"/>
          <w:highlight w:val="none"/>
          <w:lang w:val="en-US" w:eastAsia="zh-CN"/>
        </w:rPr>
        <w:t xml:space="preserve">6.</w:t>
      </w:r>
      <w:r>
        <w:rPr>
          <w:rFonts w:hint="eastAsia" w:ascii="宋体"/>
          <w:bCs/>
          <w:color w:val="000000"/>
          <w:sz w:val="24"/>
          <w:szCs w:val="24"/>
          <w:highlight w:val="none"/>
        </w:rPr>
        <w:t xml:space="preserve"> 项目工期：</w:t>
      </w:r>
      <w:r>
        <w:rPr>
          <w:rFonts w:hint="eastAsia" w:ascii="宋体" w:hAnsi="宋体" w:eastAsia="宋体" w:cs="Times New Roman"/>
          <w:bCs/>
          <w:color w:val="000000"/>
          <w:sz w:val="24"/>
          <w:szCs w:val="24"/>
          <w:highlight w:val="none"/>
        </w:rPr>
        <w:t xml:space="preserve">25天内完成本项目的供货、安装、调试。</w:t>
      </w:r>
      <w:r/>
    </w:p>
    <w:p>
      <w:pPr>
        <w:numPr>
          <w:ilvl w:val="1"/>
          <w:numId w:val="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7.</w:t>
      </w:r>
      <w:r>
        <w:rPr>
          <w:rFonts w:hint="eastAsia" w:ascii="宋体" w:hAnsi="宋体"/>
          <w:bCs/>
          <w:sz w:val="24"/>
          <w:szCs w:val="24"/>
          <w:highlight w:val="none"/>
        </w:rPr>
        <w:t xml:space="preserve">项目整体</w:t>
      </w:r>
      <w:r>
        <w:rPr>
          <w:rFonts w:hint="eastAsia" w:ascii="宋体"/>
          <w:bCs/>
          <w:color w:val="000000"/>
          <w:sz w:val="24"/>
          <w:szCs w:val="24"/>
          <w:highlight w:val="none"/>
        </w:rPr>
        <w:t xml:space="preserve">质保期：自验收合格之日起整体质保不少于</w:t>
      </w:r>
      <w:r>
        <w:rPr>
          <w:rFonts w:hint="eastAsia" w:ascii="宋体"/>
          <w:bCs/>
          <w:color w:val="000000"/>
          <w:sz w:val="24"/>
          <w:szCs w:val="24"/>
          <w:highlight w:val="none"/>
          <w:lang w:val="en-US" w:eastAsia="zh-CN"/>
        </w:rPr>
        <w:t xml:space="preserve">3</w:t>
      </w:r>
      <w:r>
        <w:rPr>
          <w:rFonts w:hint="eastAsia" w:ascii="宋体"/>
          <w:bCs/>
          <w:color w:val="000000"/>
          <w:sz w:val="24"/>
          <w:szCs w:val="24"/>
          <w:highlight w:val="none"/>
        </w:rPr>
        <w:t xml:space="preserve">年（不含易损易耗件）；质保期内质量出现问题或损坏，由供应商免费更换。</w:t>
      </w:r>
      <w:r/>
    </w:p>
    <w:p>
      <w:pPr>
        <w:numPr>
          <w:ilvl w:val="1"/>
          <w:numId w:val="0"/>
        </w:numPr>
        <w:ind w:left="0" w:firstLine="480"/>
        <w:spacing w:line="360" w:lineRule="auto"/>
        <w:tabs>
          <w:tab w:val="left" w:pos="426" w:leader="none"/>
          <w:tab w:val="left" w:pos="525" w:leader="none"/>
        </w:tabs>
        <w:rPr>
          <w:rFonts w:hint="eastAsia" w:ascii="宋体" w:hAnsi="宋体" w:eastAsia="宋体" w:cs="Times New Roman"/>
          <w:bCs/>
          <w:color w:val="000000"/>
          <w:sz w:val="24"/>
          <w:szCs w:val="24"/>
        </w:rPr>
      </w:pP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付</w:t>
      </w:r>
      <w:r>
        <w:rPr>
          <w:rFonts w:hint="eastAsia" w:ascii="宋体"/>
          <w:bCs/>
          <w:color w:val="000000"/>
          <w:sz w:val="24"/>
          <w:szCs w:val="24"/>
        </w:rPr>
        <w:t xml:space="preserve">款方式：</w:t>
      </w:r>
      <w:r>
        <w:rPr>
          <w:rFonts w:hint="eastAsia" w:ascii="宋体" w:hAnsi="宋体" w:eastAsia="宋体" w:cs="Times New Roman"/>
          <w:bCs/>
          <w:color w:val="000000"/>
          <w:sz w:val="24"/>
          <w:szCs w:val="24"/>
        </w:rPr>
        <w:t xml:space="preserve">合同签订生效后，采购人按财政计划支付合同价款。项目预付款30%，全部货物到场并经采购方确认后支付至合同价款的70%，所有货物安装完毕并经验收合格后付至合同价款的90%，余款质保期满一年后一次性付清。上述款项均不计息，乙方应于每次付款前向甲方提供对应金额的发票，否则甲方有权相应顺延付款而无需承担逾期付款责任。</w:t>
      </w:r>
      <w:r/>
    </w:p>
    <w:p>
      <w:pPr>
        <w:numPr>
          <w:ilvl w:val="1"/>
          <w:numId w:val="0"/>
        </w:numPr>
        <w:ind w:left="0" w:firstLine="480"/>
        <w:spacing w:line="360" w:lineRule="auto"/>
        <w:tabs>
          <w:tab w:val="left" w:pos="426" w:leader="none"/>
          <w:tab w:val="left" w:pos="525"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9.</w:t>
      </w:r>
      <w:r>
        <w:rPr>
          <w:rFonts w:hint="eastAsia" w:ascii="宋体" w:hAnsi="宋体"/>
          <w:bCs/>
          <w:color w:val="000000"/>
          <w:sz w:val="24"/>
          <w:szCs w:val="24"/>
        </w:rPr>
        <w:t xml:space="preserve">本项目合同履行地点：</w:t>
      </w:r>
      <w:r>
        <w:rPr>
          <w:rFonts w:hint="eastAsia" w:ascii="宋体" w:hAnsi="宋体"/>
          <w:bCs/>
          <w:color w:val="000000"/>
          <w:sz w:val="24"/>
          <w:szCs w:val="24"/>
          <w:lang w:eastAsia="zh-CN"/>
        </w:rPr>
        <w:t xml:space="preserve">江苏省梅村高级中学藕塘校区</w:t>
      </w:r>
      <w:r>
        <w:rPr>
          <w:rFonts w:hint="eastAsia" w:ascii="宋体" w:hAnsi="宋体"/>
          <w:bCs/>
          <w:color w:val="000000"/>
          <w:sz w:val="24"/>
          <w:szCs w:val="24"/>
        </w:rPr>
        <w:t xml:space="preserve">，具体地点以合同书约定为准。中标方必须按采购人要求将本项目中货物送到指定地点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包括可能的分布范围</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，并分地实施安装调试。</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cs="Times New Roman"/>
          <w:bCs/>
          <w:color w:val="000000"/>
          <w:sz w:val="24"/>
          <w:szCs w:val="24"/>
          <w:lang w:val="en-US" w:eastAsia="zh-CN" w:bidi="ar-SA"/>
        </w:rPr>
        <w:t xml:space="preserve">10.</w:t>
      </w: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lang w:eastAsia="zh-CN"/>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11.维修</w:t>
      </w:r>
      <w:r>
        <w:rPr>
          <w:rFonts w:hint="eastAsia"/>
          <w:sz w:val="24"/>
          <w:highlight w:val="none"/>
        </w:rPr>
        <w:t xml:space="preserve">响应时间：接到电话后立即响应，需现场维修的，接报后1小时内到达现场，并于2小时内维修完毕，如2小时内无法修复，采购方有权选择要求供应商继续维修，并在产品维修期间提供备用产品或另行委托第三方进行维修，由此产生的所有费用由供应商承担。未尽事宜按产品说明的保修承诺执行。</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rPr>
      </w:pPr>
      <w:r>
        <w:rPr>
          <w:rFonts w:hint="eastAsia" w:ascii="宋体" w:hAnsi="宋体"/>
          <w:bCs/>
          <w:color w:val="000000"/>
          <w:sz w:val="24"/>
          <w:highlight w:val="none"/>
          <w:lang w:val="en-US" w:eastAsia="zh-CN"/>
        </w:rPr>
        <w:t xml:space="preserve">12.</w:t>
      </w:r>
      <w:r>
        <w:rPr>
          <w:rFonts w:hint="eastAsia" w:ascii="宋体" w:hAnsi="宋体"/>
          <w:bCs/>
          <w:color w:val="000000"/>
          <w:sz w:val="24"/>
          <w:highlight w:val="none"/>
        </w:rPr>
        <w:t xml:space="preserve">中标供应商为残疾人福利性单位的，其《残疾人福利性单位声明函》将</w:t>
      </w:r>
      <w:r>
        <w:rPr>
          <w:rFonts w:hint="eastAsia" w:ascii="宋体" w:hAnsi="宋体"/>
          <w:bCs/>
          <w:color w:val="000000"/>
          <w:sz w:val="24"/>
        </w:rPr>
        <w:t xml:space="preserve">随中标公告同时发布，接受社会监督。投标人提供的《残疾人福利性单位声明函》与事实不符的，依照《</w:t>
      </w:r>
      <w:r>
        <w:rPr>
          <w:rFonts w:hint="eastAsia" w:ascii="宋体" w:hAnsi="宋体"/>
          <w:bCs/>
          <w:color w:val="000000"/>
          <w:sz w:val="24"/>
          <w:lang w:eastAsia="zh-CN"/>
        </w:rPr>
        <w:t xml:space="preserve">中华人民共和国政府采购法</w:t>
      </w:r>
      <w:r>
        <w:rPr>
          <w:rFonts w:hint="eastAsia" w:ascii="宋体" w:hAnsi="宋体"/>
          <w:bCs/>
          <w:color w:val="000000"/>
          <w:sz w:val="24"/>
        </w:rPr>
        <w:t xml:space="preserve">》第七十七条第一款的规定追究法</w:t>
      </w:r>
      <w:r>
        <w:rPr>
          <w:rFonts w:hint="eastAsia" w:ascii="宋体" w:hAnsi="宋体"/>
          <w:bCs/>
          <w:color w:val="000000"/>
          <w:sz w:val="24"/>
          <w:lang w:eastAsia="zh-CN"/>
        </w:rPr>
        <w:t xml:space="preserve">律责</w:t>
      </w:r>
      <w:r>
        <w:rPr>
          <w:rFonts w:hint="eastAsia" w:ascii="宋体" w:hAnsi="宋体"/>
          <w:bCs/>
          <w:color w:val="000000"/>
          <w:sz w:val="24"/>
        </w:rPr>
        <w:t xml:space="preserve">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lang w:val="en-US" w:eastAsia="zh-CN"/>
        </w:rPr>
        <w:t xml:space="preserve">13.</w:t>
      </w: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lang w:val="en-US" w:eastAsia="zh-CN"/>
        </w:rPr>
        <w:t xml:space="preserve">14.</w:t>
      </w: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rPr>
          <w:rFonts w:ascii="宋体" w:hAnsi="宋体"/>
          <w:b/>
          <w:color w:val="000000"/>
          <w:sz w:val="30"/>
          <w:szCs w:val="30"/>
        </w:rPr>
      </w:pPr>
      <w:r>
        <w:rPr>
          <w:rFonts w:ascii="宋体" w:hAnsi="宋体"/>
          <w:bCs/>
          <w:color w:val="000000"/>
          <w:sz w:val="24"/>
        </w:rPr>
        <w:br w:type="page" w:clear="all"/>
      </w:r>
      <w:r/>
    </w:p>
    <w:p>
      <w:pPr>
        <w:ind w:firstLine="602"/>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p>
    <w:p>
      <w:pPr>
        <w:numPr>
          <w:ilvl w:val="1"/>
          <w:numId w:val="3"/>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lang w:eastAsia="zh-CN"/>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bCs/>
          <w:color w:val="000000"/>
          <w:sz w:val="24"/>
          <w:szCs w:val="24"/>
          <w:lang w:eastAsia="zh-CN"/>
        </w:rPr>
        <w:t xml:space="preserve">供的</w:t>
      </w:r>
      <w:r>
        <w:rPr>
          <w:rFonts w:hint="eastAsia" w:ascii="宋体"/>
          <w:bCs/>
          <w:color w:val="000000"/>
          <w:sz w:val="24"/>
          <w:szCs w:val="24"/>
        </w:rPr>
        <w:t xml:space="preserve">产品及相关快递服务的具体包装要求和履约验收相关条款，中标（成交）供应商须严格执行，必要时应按照要求在履约验收环节出具检测报告。</w:t>
      </w:r>
      <w:r/>
    </w:p>
    <w:p>
      <w:pPr>
        <w:numPr>
          <w:ilvl w:val="1"/>
          <w:numId w:val="3"/>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color w:val="000000"/>
          <w:sz w:val="24"/>
          <w:szCs w:val="24"/>
        </w:rPr>
        <w:t xml:space="preserve">本项目中如有</w:t>
      </w:r>
      <w:r>
        <w:rPr>
          <w:rFonts w:hint="eastAsia"/>
          <w:color w:val="000000"/>
          <w:sz w:val="24"/>
          <w:szCs w:val="24"/>
          <w:lang w:eastAsia="zh-CN"/>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
        </w:numPr>
        <w:ind w:left="0" w:firstLine="525"/>
        <w:spacing w:line="360" w:lineRule="auto"/>
        <w:tabs>
          <w:tab w:val="left" w:pos="525" w:leader="none"/>
          <w:tab w:val="clear" w:pos="780" w:leader="none"/>
          <w:tab w:val="left" w:pos="945" w:leader="none"/>
        </w:tabs>
        <w:rPr>
          <w:rFonts w:ascii="宋体" w:hAnsi="宋体" w:cs="宋体"/>
          <w:color w:val="000000"/>
          <w:sz w:val="24"/>
          <w:szCs w:val="24"/>
        </w:rPr>
      </w:pPr>
      <w:r>
        <w:rPr>
          <w:rFonts w:hint="eastAsia" w:ascii="宋体"/>
          <w:bCs/>
          <w:color w:val="000000"/>
          <w:sz w:val="24"/>
          <w:szCs w:val="24"/>
        </w:rPr>
        <w:t xml:space="preserve">根据国家扶持中小企业的有关政策，在我中心组织的采购项目中标的供应商，如需要政府采购合同融资，请按锡财购</w:t>
      </w:r>
      <w:r>
        <w:rPr>
          <w:rFonts w:hint="eastAsia" w:ascii="宋体"/>
          <w:bCs/>
          <w:color w:val="000000"/>
          <w:sz w:val="24"/>
          <w:szCs w:val="24"/>
          <w:lang w:eastAsia="zh-CN"/>
        </w:rPr>
        <w:t xml:space="preserve">〔2022〕7号</w:t>
      </w:r>
      <w:r>
        <w:rPr>
          <w:rFonts w:hint="eastAsia" w:ascii="宋体"/>
          <w:bCs/>
          <w:color w:val="000000"/>
          <w:sz w:val="24"/>
          <w:szCs w:val="24"/>
        </w:rPr>
        <w:t xml:space="preserve">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合同融资</w:t>
      </w:r>
      <w:r>
        <w:rPr>
          <w:rFonts w:hint="eastAsia" w:ascii="宋体"/>
          <w:bCs/>
          <w:color w:val="000000"/>
          <w:sz w:val="24"/>
          <w:szCs w:val="24"/>
          <w:lang w:eastAsia="zh-CN"/>
        </w:rPr>
        <w:t xml:space="preserve">，</w:t>
      </w:r>
      <w:r>
        <w:rPr>
          <w:rFonts w:hint="eastAsia" w:ascii="宋体"/>
          <w:bCs/>
          <w:color w:val="000000"/>
          <w:sz w:val="24"/>
          <w:szCs w:val="24"/>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szCs w:val="24"/>
        </w:rPr>
        <w:t xml:space="preserve">“苏采云”系统</w:t>
      </w:r>
      <w:r>
        <w:rPr>
          <w:rFonts w:hint="eastAsia" w:ascii="宋体"/>
          <w:bCs/>
          <w:color w:val="000000"/>
          <w:sz w:val="24"/>
          <w:szCs w:val="24"/>
        </w:rPr>
        <w:t xml:space="preserve">凭政府采购中标、成交通知书或政府采购合同向采购人提出此合同有融资需求，采购人在</w:t>
      </w:r>
      <w:r>
        <w:rPr>
          <w:rFonts w:hint="eastAsia" w:ascii="宋体" w:hAnsi="宋体"/>
          <w:bCs/>
          <w:color w:val="000000"/>
          <w:sz w:val="24"/>
          <w:szCs w:val="24"/>
        </w:rPr>
        <w:t xml:space="preserve">“苏采云”系统</w:t>
      </w:r>
      <w:r>
        <w:rPr>
          <w:rFonts w:hint="eastAsia" w:ascii="宋体"/>
          <w:bCs/>
          <w:color w:val="000000"/>
          <w:sz w:val="24"/>
          <w:szCs w:val="24"/>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中标、成交供应商可根据自身情况，自行决定是否选择采用合同融资形式， 在无锡政府采购网——政采贷专栏提供的银行名录内自主选择合作银行。</w:t>
      </w:r>
      <w:r/>
    </w:p>
    <w:p>
      <w:pPr>
        <w:numPr>
          <w:ilvl w:val="1"/>
          <w:numId w:val="3"/>
        </w:numPr>
        <w:ind w:left="0" w:firstLine="525"/>
        <w:spacing w:line="360" w:lineRule="auto"/>
        <w:tabs>
          <w:tab w:val="left" w:pos="525" w:leader="none"/>
          <w:tab w:val="clear" w:pos="780"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 xml:space="preserve">，</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lang w:val="en"/>
        </w:rPr>
        <w:t xml:space="preserve">中标、成交供应商可以根据自身情况，自行决定是否采用电子履约保函形式，具体操作可登录江苏政府采购网的保险保函模块进行办理。</w:t>
      </w:r>
      <w:r/>
    </w:p>
    <w:p>
      <w:pPr>
        <w:numPr>
          <w:ilvl w:val="1"/>
          <w:numId w:val="3"/>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color w:val="000000"/>
          <w:sz w:val="24"/>
          <w:szCs w:val="24"/>
          <w:lang w:eastAsia="zh-CN"/>
        </w:rPr>
        <w:t xml:space="preserve">布的</w:t>
      </w:r>
      <w:r>
        <w:rPr>
          <w:rFonts w:hint="eastAsia" w:ascii="宋体" w:hAnsi="宋体" w:cs="宋体"/>
          <w:color w:val="000000"/>
          <w:sz w:val="24"/>
          <w:szCs w:val="24"/>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numPr>
          <w:ilvl w:val="1"/>
          <w:numId w:val="3"/>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pPr>
      <w:r>
        <w:rPr>
          <w:rFonts w:ascii="宋体"/>
          <w:bCs/>
          <w:color w:val="000000"/>
          <w:sz w:val="24"/>
          <w:szCs w:val="24"/>
        </w:rPr>
        <w:br w:type="page" w:clear="all"/>
      </w: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894"/>
        <w:ind w:firstLine="602"/>
        <w:spacing w:before="0" w:after="0" w:line="500" w:lineRule="exact"/>
        <w:rPr>
          <w:rFonts w:cs="Arial"/>
          <w:b/>
          <w:color w:val="000000"/>
          <w:sz w:val="30"/>
          <w:szCs w:val="30"/>
        </w:rPr>
      </w:pPr>
      <w:r>
        <w:rPr>
          <w:rFonts w:hint="eastAsia" w:cs="Arial"/>
          <w:b/>
          <w:color w:val="000000"/>
          <w:sz w:val="30"/>
          <w:szCs w:val="30"/>
        </w:rPr>
        <w:t xml:space="preserve">第一部分  评标方法</w:t>
      </w:r>
      <w:r/>
    </w:p>
    <w:p>
      <w:pPr>
        <w:pStyle w:val="894"/>
        <w:spacing w:before="0" w:after="0" w:line="500" w:lineRule="exact"/>
        <w:rPr>
          <w:rFonts w:cs="Arial"/>
          <w:color w:val="000000"/>
        </w:rPr>
      </w:pPr>
      <w:r>
        <w:rPr>
          <w:rFonts w:hint="eastAsia" w:cs="Arial"/>
          <w:color w:val="000000"/>
        </w:rPr>
        <w:t xml:space="preserve">投标人通过初审的，方可进入比较与评价程序。</w:t>
      </w:r>
      <w:r/>
    </w:p>
    <w:p>
      <w:pPr>
        <w:pStyle w:val="894"/>
        <w:spacing w:before="0" w:after="0" w:line="500" w:lineRule="exact"/>
        <w:rPr>
          <w:rFonts w:cs="Arial"/>
          <w:color w:val="000000"/>
        </w:rPr>
      </w:pPr>
      <w:r>
        <w:rPr>
          <w:rFonts w:hint="eastAsia" w:cs="Arial"/>
          <w:color w:val="000000"/>
        </w:rPr>
        <w:t xml:space="preserve">比较与评价采用综合评分法。</w:t>
      </w:r>
      <w:r/>
    </w:p>
    <w:p>
      <w:pPr>
        <w:pStyle w:val="894"/>
        <w:spacing w:before="0" w:after="0" w:line="500" w:lineRule="exact"/>
        <w:rPr>
          <w:rStyle w:val="897"/>
          <w:rFonts w:ascii="宋体" w:hAnsi="宋体"/>
          <w:color w:val="000000"/>
        </w:rPr>
      </w:pPr>
      <w:r>
        <w:rPr>
          <w:rStyle w:val="897"/>
          <w:rFonts w:ascii="宋体" w:hAnsi="宋体"/>
          <w:color w:val="000000"/>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最高得分并列则按技术指标得分高的投标人为中标单位。</w:t>
      </w:r>
      <w:r/>
    </w:p>
    <w:p>
      <w:pPr>
        <w:pStyle w:val="894"/>
        <w:spacing w:before="0" w:after="0" w:line="500" w:lineRule="exact"/>
        <w:rPr>
          <w:rStyle w:val="893"/>
          <w:rFonts w:ascii="宋体" w:hAnsi="宋体"/>
          <w:color w:val="000000"/>
          <w:sz w:val="24"/>
          <w:szCs w:val="24"/>
        </w:rPr>
      </w:pPr>
      <w:r>
        <w:rPr>
          <w:rStyle w:val="897"/>
          <w:rFonts w:ascii="宋体" w:hAnsi="宋体"/>
          <w:color w:val="000000"/>
        </w:rPr>
        <w:t xml:space="preserve">提供相同品牌产品且通过资格审查、符合性审查的不同投标人参加同一合同项下投标的，按一家投标人计算</w:t>
      </w:r>
      <w:r>
        <w:rPr>
          <w:rStyle w:val="897"/>
          <w:rFonts w:hint="eastAsia" w:ascii="宋体" w:hAnsi="宋体"/>
          <w:color w:val="000000"/>
        </w:rPr>
        <w:t xml:space="preserve">，</w:t>
      </w:r>
      <w:r>
        <w:rPr>
          <w:rStyle w:val="897"/>
          <w:rFonts w:ascii="宋体" w:hAnsi="宋体"/>
          <w:color w:val="000000"/>
        </w:rPr>
        <w:t xml:space="preserve">评审</w:t>
      </w:r>
      <w:bookmarkStart w:id="189" w:name="_Hlk167442400"/>
      <w:r>
        <w:rPr>
          <w:rStyle w:val="897"/>
          <w:rFonts w:ascii="宋体" w:hAnsi="宋体"/>
          <w:color w:val="000000"/>
        </w:rPr>
        <w:t xml:space="preserve">后得分最高</w:t>
      </w:r>
      <w:bookmarkEnd w:id="189"/>
      <w:r>
        <w:rPr>
          <w:rStyle w:val="897"/>
          <w:rFonts w:ascii="宋体" w:hAnsi="宋体"/>
          <w:color w:val="000000"/>
        </w:rPr>
        <w:t xml:space="preserve">的投标人获得评审排名资格</w:t>
      </w:r>
      <w:r>
        <w:rPr>
          <w:rStyle w:val="897"/>
          <w:rFonts w:hint="eastAsia" w:ascii="宋体" w:hAnsi="宋体"/>
          <w:color w:val="000000"/>
        </w:rPr>
        <w:t xml:space="preserve">，</w:t>
      </w:r>
      <w:r>
        <w:rPr>
          <w:rStyle w:val="897"/>
          <w:rFonts w:ascii="宋体" w:hAnsi="宋体"/>
          <w:color w:val="000000"/>
        </w:rPr>
        <w:t xml:space="preserve">其他同品牌投标人无评审排名资格</w:t>
      </w:r>
      <w:r>
        <w:rPr>
          <w:rStyle w:val="897"/>
          <w:rFonts w:hint="eastAsia" w:ascii="宋体" w:hAnsi="宋体"/>
          <w:color w:val="000000"/>
        </w:rPr>
        <w:t xml:space="preserve">。</w:t>
      </w:r>
      <w:bookmarkStart w:id="190" w:name="_Hlk167442455"/>
      <w:r>
        <w:rPr>
          <w:rStyle w:val="897"/>
          <w:rFonts w:ascii="宋体" w:hAnsi="宋体"/>
          <w:color w:val="000000"/>
        </w:rPr>
        <w:t xml:space="preserve">评审后最高得分相同</w:t>
      </w:r>
      <w:bookmarkEnd w:id="190"/>
      <w:r>
        <w:rPr>
          <w:rStyle w:val="897"/>
          <w:rFonts w:ascii="宋体" w:hAnsi="宋体"/>
          <w:color w:val="000000"/>
        </w:rPr>
        <w:t xml:space="preserve">的，</w:t>
      </w:r>
      <w:r>
        <w:rPr>
          <w:rStyle w:val="897"/>
          <w:rFonts w:hint="eastAsia" w:ascii="宋体" w:hAnsi="宋体"/>
          <w:color w:val="000000"/>
        </w:rPr>
        <w:t xml:space="preserve">投标报价低的投标人</w:t>
      </w:r>
      <w:r>
        <w:rPr>
          <w:rStyle w:val="897"/>
          <w:rFonts w:ascii="宋体" w:hAnsi="宋体"/>
          <w:color w:val="000000"/>
        </w:rPr>
        <w:t xml:space="preserve">获得评审排名资格</w:t>
      </w:r>
      <w:r>
        <w:rPr>
          <w:rStyle w:val="897"/>
          <w:rFonts w:hint="eastAsia" w:ascii="宋体" w:hAnsi="宋体"/>
          <w:color w:val="000000"/>
        </w:rPr>
        <w:t xml:space="preserve">，</w:t>
      </w:r>
      <w:bookmarkStart w:id="191" w:name="_Hlk167442289"/>
      <w:r>
        <w:rPr>
          <w:rStyle w:val="897"/>
          <w:rFonts w:ascii="宋体" w:hAnsi="宋体"/>
          <w:color w:val="000000"/>
        </w:rPr>
        <w:t xml:space="preserve">其他同品牌投标人无评审排名资格</w:t>
      </w:r>
      <w:bookmarkEnd w:id="191"/>
      <w:r>
        <w:rPr>
          <w:rStyle w:val="897"/>
          <w:rFonts w:ascii="宋体" w:hAnsi="宋体"/>
          <w:color w:val="000000"/>
        </w:rPr>
        <w:t xml:space="preserve">。评审后最高得分相同</w:t>
      </w:r>
      <w:r>
        <w:rPr>
          <w:rStyle w:val="897"/>
          <w:rFonts w:hint="eastAsia" w:ascii="宋体" w:hAnsi="宋体"/>
          <w:color w:val="000000"/>
        </w:rPr>
        <w:t xml:space="preserve">且投标报价相同的投标人，则</w:t>
      </w:r>
      <w:r>
        <w:rPr>
          <w:rStyle w:val="897"/>
          <w:rFonts w:ascii="宋体" w:hAnsi="宋体"/>
          <w:color w:val="000000"/>
        </w:rPr>
        <w:t xml:space="preserve">技术指标得分高的投标人获得评审排名资格</w:t>
      </w:r>
      <w:r>
        <w:rPr>
          <w:rStyle w:val="897"/>
          <w:rFonts w:hint="eastAsia" w:ascii="宋体" w:hAnsi="宋体"/>
          <w:color w:val="000000"/>
        </w:rPr>
        <w:t xml:space="preserve">，</w:t>
      </w:r>
      <w:r>
        <w:rPr>
          <w:rStyle w:val="897"/>
          <w:rFonts w:ascii="宋体" w:hAnsi="宋体"/>
          <w:color w:val="000000"/>
        </w:rPr>
        <w:t xml:space="preserve">其他同品牌投标人无评审排名资格。非单一产品采购项目，多家投标人提供的核心产品（如有）品牌相同的，同上处理。</w:t>
      </w:r>
      <w:r/>
    </w:p>
    <w:p>
      <w:pPr>
        <w:pStyle w:val="894"/>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894"/>
        <w:ind w:firstLine="562"/>
        <w:spacing w:before="0" w:after="0" w:line="500" w:lineRule="exact"/>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 xml:space="preserve">〔2014〕68号</w:t>
      </w:r>
      <w:r>
        <w:rPr>
          <w:rFonts w:hint="eastAsia" w:ascii="宋体" w:hAnsi="宋体"/>
          <w:bCs/>
          <w:color w:val="000000"/>
          <w:sz w:val="24"/>
          <w:szCs w:val="24"/>
        </w:rPr>
        <w:t xml:space="preserve">）的规定提供由省级以上监狱管理局、戒毒管理局</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含新疆生产建设兵团</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pStyle w:val="894"/>
        <w:ind w:firstLine="360"/>
        <w:spacing w:before="0" w:after="0" w:line="500" w:lineRule="exact"/>
        <w:rPr>
          <w:rFonts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p>
    <w:p>
      <w:pPr>
        <w:numPr>
          <w:ilvl w:val="0"/>
          <w:numId w:val="0"/>
        </w:numPr>
        <w:ind w:left="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30</w:t>
      </w:r>
      <w:r>
        <w:rPr>
          <w:rFonts w:hint="eastAsia" w:ascii="宋体" w:hAnsi="宋体"/>
          <w:b/>
          <w:bCs/>
          <w:color w:val="000000"/>
          <w:sz w:val="24"/>
          <w:szCs w:val="24"/>
          <w:highlight w:val="none"/>
        </w:rPr>
        <w:t xml:space="preserve">分）：</w:t>
      </w:r>
      <w:r/>
    </w:p>
    <w:p>
      <w:pPr>
        <w:ind w:firstLine="482"/>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2"/>
        <w:keepLines w:val="0"/>
        <w:keepNext w:val="0"/>
        <w:pageBreakBefore w:val="0"/>
        <w:spacing w:line="360" w:lineRule="auto"/>
        <w:widowControl w:val="off"/>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b/>
          <w:bCs/>
          <w:sz w:val="24"/>
          <w:szCs w:val="24"/>
        </w:rPr>
      </w:pPr>
      <w:r>
        <w:rPr>
          <w:rFonts w:hint="eastAsia" w:ascii="宋体" w:hAnsi="宋体"/>
          <w:b/>
          <w:bCs/>
          <w:sz w:val="24"/>
          <w:szCs w:val="24"/>
        </w:rPr>
        <w:t xml:space="preserve">评标委员会认为投标人的报价明显低于其他通过符合性审</w:t>
      </w:r>
      <w:r>
        <w:rPr>
          <w:rFonts w:hint="eastAsia" w:ascii="宋体" w:hAnsi="宋体"/>
          <w:b/>
          <w:bCs/>
          <w:sz w:val="24"/>
          <w:szCs w:val="24"/>
          <w:lang w:eastAsia="zh-CN"/>
        </w:rPr>
        <w:t xml:space="preserve">查的</w:t>
      </w:r>
      <w:r>
        <w:rPr>
          <w:rFonts w:hint="eastAsia" w:ascii="宋体" w:hAnsi="宋体"/>
          <w:b/>
          <w:bCs/>
          <w:sz w:val="24"/>
          <w:szCs w:val="24"/>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numPr>
          <w:ilvl w:val="0"/>
          <w:numId w:val="4"/>
        </w:numPr>
        <w:ind w:left="480"/>
        <w:spacing w:line="360" w:lineRule="auto"/>
        <w:tabs>
          <w:tab w:val="left" w:pos="945" w:leader="none"/>
          <w:tab w:val="left" w:pos="1155" w:leader="none"/>
          <w:tab w:val="left" w:pos="3823"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技术部分（</w:t>
      </w:r>
      <w:r>
        <w:rPr>
          <w:rFonts w:hint="eastAsia" w:ascii="宋体" w:hAnsi="宋体" w:eastAsia="宋体" w:cs="宋体"/>
          <w:b/>
          <w:bCs/>
          <w:color w:val="auto"/>
          <w:sz w:val="24"/>
          <w:szCs w:val="24"/>
          <w:lang w:val="en-US" w:eastAsia="zh-CN"/>
        </w:rPr>
        <w:t xml:space="preserve">4</w:t>
      </w: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p>
      <w:pPr>
        <w:ind w:firstLine="482"/>
        <w:spacing w:line="360" w:lineRule="auto"/>
        <w:rPr>
          <w:rFonts w:hint="eastAsia" w:ascii="宋体" w:hAnsi="宋体" w:eastAsia="宋体" w:cs="宋体"/>
          <w:bCs/>
          <w:color w:val="000000"/>
          <w:sz w:val="24"/>
          <w:szCs w:val="24"/>
        </w:rPr>
      </w:pPr>
      <w:r>
        <w:rPr>
          <w:rFonts w:hint="eastAsia" w:ascii="宋体" w:hAnsi="宋体" w:eastAsia="宋体" w:cs="宋体"/>
          <w:b/>
          <w:bCs/>
          <w:color w:val="auto"/>
          <w:sz w:val="24"/>
          <w:szCs w:val="24"/>
          <w:lang w:val="en-US" w:eastAsia="zh-CN"/>
        </w:rPr>
        <w:t xml:space="preserve">2.1</w:t>
      </w:r>
      <w:r>
        <w:rPr>
          <w:rFonts w:hint="eastAsia" w:ascii="宋体" w:hAnsi="宋体" w:eastAsia="宋体" w:cs="宋体"/>
          <w:b/>
          <w:bCs w:val="0"/>
          <w:color w:val="auto"/>
          <w:sz w:val="24"/>
          <w:szCs w:val="24"/>
        </w:rPr>
        <w:t xml:space="preserve">设计规划方案（</w:t>
      </w:r>
      <w:r>
        <w:rPr>
          <w:rFonts w:hint="eastAsia" w:ascii="宋体" w:hAnsi="宋体" w:cs="宋体"/>
          <w:b/>
          <w:bCs w:val="0"/>
          <w:color w:val="auto"/>
          <w:sz w:val="24"/>
          <w:szCs w:val="24"/>
          <w:lang w:val="en-US" w:eastAsia="zh-CN"/>
        </w:rPr>
        <w:t xml:space="preserve">9</w:t>
      </w:r>
      <w:r>
        <w:rPr>
          <w:rFonts w:hint="eastAsia" w:ascii="宋体" w:hAnsi="宋体" w:eastAsia="宋体" w:cs="宋体"/>
          <w:b/>
          <w:bCs w:val="0"/>
          <w:color w:val="auto"/>
          <w:sz w:val="24"/>
          <w:szCs w:val="24"/>
        </w:rPr>
        <w:t xml:space="preserve">分）</w:t>
      </w:r>
      <w:r>
        <w:rPr>
          <w:rFonts w:hint="eastAsia" w:ascii="宋体" w:hAnsi="宋体" w:eastAsia="宋体" w:cs="宋体"/>
          <w:color w:val="auto"/>
          <w:sz w:val="24"/>
          <w:szCs w:val="24"/>
        </w:rPr>
        <w:t xml:space="preserve">：</w:t>
      </w:r>
      <w:r>
        <w:rPr>
          <w:rFonts w:hint="eastAsia" w:ascii="宋体" w:hAnsi="宋体" w:eastAsia="宋体" w:cs="宋体"/>
          <w:b w:val="0"/>
          <w:bCs w:val="0"/>
          <w:color w:val="auto"/>
          <w:sz w:val="24"/>
          <w:szCs w:val="24"/>
          <w:highlight w:val="none"/>
        </w:rPr>
        <w:t xml:space="preserve">投标人根据招标文件和招标人的需求进行设计规划，并至少需提供</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间实验室整体①设计效果图、②水路电路规划图</w:t>
      </w:r>
      <w:r>
        <w:rPr>
          <w:rFonts w:hint="eastAsia" w:ascii="宋体" w:hAnsi="宋体" w:cs="宋体"/>
          <w:b w:val="0"/>
          <w:bCs w:val="0"/>
          <w:color w:val="auto"/>
          <w:sz w:val="24"/>
          <w:szCs w:val="24"/>
          <w:highlight w:val="none"/>
          <w:lang w:val="en-US" w:eastAsia="zh-CN"/>
        </w:rPr>
        <w:t xml:space="preserve">两</w:t>
      </w:r>
      <w:r>
        <w:rPr>
          <w:rFonts w:hint="eastAsia" w:ascii="宋体" w:hAnsi="宋体" w:eastAsia="宋体" w:cs="宋体"/>
          <w:color w:val="auto"/>
          <w:sz w:val="24"/>
          <w:szCs w:val="24"/>
        </w:rPr>
        <w:t xml:space="preserve">种图纸各一套</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3间实验室分别为：1间</w:t>
      </w:r>
      <w:r>
        <w:rPr>
          <w:rFonts w:hint="eastAsia" w:ascii="宋体" w:hAnsi="宋体" w:cs="宋体"/>
          <w:b/>
          <w:bCs/>
          <w:color w:val="auto"/>
          <w:sz w:val="24"/>
          <w:highlight w:val="none"/>
          <w:lang w:val="en-US" w:eastAsia="zh-CN"/>
        </w:rPr>
        <w:t xml:space="preserve">化学智慧吊装实验室、1间化学竞赛兼探究实验室、1间常规化学实验室</w:t>
      </w:r>
      <w:r>
        <w:rPr>
          <w:rFonts w:hint="eastAsia" w:ascii="宋体" w:hAnsi="宋体" w:cs="宋体"/>
          <w:b/>
          <w:bCs/>
          <w:color w:val="auto"/>
          <w:sz w:val="24"/>
          <w:szCs w:val="24"/>
          <w:lang w:eastAsia="zh-CN"/>
        </w:rPr>
        <w:t xml:space="preserve">）</w:t>
      </w:r>
      <w:r>
        <w:rPr>
          <w:rFonts w:hint="eastAsia" w:ascii="宋体" w:hAnsi="宋体" w:eastAsia="宋体" w:cs="宋体"/>
          <w:color w:val="auto"/>
          <w:sz w:val="24"/>
          <w:szCs w:val="24"/>
        </w:rPr>
        <w:t xml:space="preserve">。评委根据设计规划方案是否全面覆盖施工实施范围，关键技术、解决方案是否先进可行，是否满足实际教学需求几方面进行综合评价。图纸方案完整，有效扎实、操</w:t>
      </w:r>
      <w:r>
        <w:rPr>
          <w:rFonts w:hint="eastAsia" w:ascii="宋体" w:hAnsi="宋体" w:eastAsia="宋体" w:cs="宋体"/>
          <w:color w:val="000000"/>
          <w:sz w:val="24"/>
          <w:szCs w:val="24"/>
        </w:rPr>
        <w:t xml:space="preserve">作性强，完全满足项目设计要求与功能要求的，得</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分；图纸方案较为完整，较为扎实、操作性较强，基本响应项目设计要求与功能要求的，得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分；图纸方案简略或不合理的，得</w:t>
      </w:r>
      <w:r>
        <w:rPr>
          <w:rFonts w:hint="eastAsia" w:ascii="宋体" w:hAnsi="宋体" w:cs="宋体"/>
          <w:color w:val="000000"/>
          <w:sz w:val="24"/>
          <w:szCs w:val="24"/>
          <w:lang w:val="en-US" w:eastAsia="zh-CN"/>
        </w:rPr>
        <w:t xml:space="preserve">5</w:t>
      </w:r>
      <w:bookmarkStart w:id="203" w:name="_GoBack"/>
      <w:r/>
      <w:bookmarkEnd w:id="203"/>
      <w:r>
        <w:rPr>
          <w:rFonts w:hint="eastAsia" w:ascii="宋体" w:hAnsi="宋体" w:eastAsia="宋体" w:cs="宋体"/>
          <w:color w:val="000000"/>
          <w:sz w:val="24"/>
          <w:szCs w:val="24"/>
        </w:rPr>
        <w:t xml:space="preserve">分；未作说明的本项不得分。</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2.2</w:t>
      </w:r>
      <w:r>
        <w:rPr>
          <w:rFonts w:hint="eastAsia" w:ascii="宋体" w:hAnsi="宋体" w:eastAsia="宋体" w:cs="宋体"/>
          <w:b/>
          <w:bCs/>
          <w:color w:val="000000"/>
          <w:sz w:val="24"/>
          <w:szCs w:val="24"/>
        </w:rPr>
        <w:t xml:space="preserve">项目安装、调试方案（9分）</w:t>
      </w:r>
      <w:r>
        <w:rPr>
          <w:rFonts w:hint="eastAsia" w:ascii="宋体" w:hAnsi="宋体" w:eastAsia="宋体" w:cs="宋体"/>
          <w:color w:val="000000"/>
          <w:sz w:val="24"/>
          <w:szCs w:val="24"/>
        </w:rPr>
        <w:t xml:space="preserve">：评委根据投标人提供的项目安装、调试方案（包括但不限于：①时间安排、②人员配备、③进度计划等方面），由评标委员会进行评分，对项目安装、调试方案的合理性、可行性进行综合评价。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安排：项目安装、调试时间安排完整，合理性和操作性强，完全满足本项目安装和调试的得3分；项目安装、调试时间安排较为完整，较为合理，基本响应项目时间安排要求的得2分；项目安装、调试时间安排方案简略或不合理的得1分；未作说明的本项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人员配备：项目安装、调试人员配备完整，合理性和操作性强，完全满足本项目安装和调试的</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得3分；项目安装、调试人员配备较为完整，较为合理，基本响应项目人员配备要求的得2分；项目安装、调试人员配备方案简略或不合理的得1分；未作说明的本项不得分。</w:t>
      </w:r>
      <w:r/>
    </w:p>
    <w:p>
      <w:pPr>
        <w:pStyle w:val="885"/>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进度计划：项目安装、调试进度计划方案完整，合理性和操作性强，完全满足本项目进度要求的得3分；项目安装、调试进度计划方案较为完整，较为合理、操作性较强，基本响应本项目进度要求的得2分；项目安装、调试进度计划方案简略或不合理的得1分；未作说明的本项不得分。</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bCs/>
          <w:color w:val="000000"/>
          <w:sz w:val="24"/>
          <w:szCs w:val="24"/>
          <w:lang w:val="en-US" w:eastAsia="zh-CN"/>
        </w:rPr>
        <w:t xml:space="preserve">2.3</w:t>
      </w:r>
      <w:r>
        <w:rPr>
          <w:rFonts w:hint="eastAsia" w:ascii="宋体" w:hAnsi="宋体" w:eastAsia="宋体" w:cs="宋体"/>
          <w:b/>
          <w:bCs/>
          <w:color w:val="000000"/>
          <w:sz w:val="24"/>
          <w:szCs w:val="24"/>
        </w:rPr>
        <w:t xml:space="preserve">产品质量保障以及供货保障</w:t>
      </w:r>
      <w:r>
        <w:rPr>
          <w:rFonts w:hint="eastAsia" w:ascii="宋体" w:hAnsi="宋体" w:eastAsia="宋体" w:cs="宋体"/>
          <w:b/>
          <w:bCs/>
          <w:color w:val="auto"/>
          <w:sz w:val="24"/>
          <w:szCs w:val="24"/>
        </w:rPr>
        <w:t xml:space="preserve">方案（</w:t>
      </w:r>
      <w:r>
        <w:rPr>
          <w:rFonts w:hint="eastAsia" w:ascii="宋体" w:hAnsi="宋体" w:cs="宋体"/>
          <w:b/>
          <w:bCs/>
          <w:color w:val="auto"/>
          <w:sz w:val="24"/>
          <w:szCs w:val="24"/>
          <w:lang w:val="en-US" w:eastAsia="zh-CN"/>
        </w:rPr>
        <w:t xml:space="preserve">8</w:t>
      </w:r>
      <w:r>
        <w:rPr>
          <w:rFonts w:hint="eastAsia" w:ascii="宋体" w:hAnsi="宋体" w:eastAsia="宋体" w:cs="宋体"/>
          <w:b/>
          <w:bCs/>
          <w:color w:val="auto"/>
          <w:sz w:val="24"/>
          <w:szCs w:val="24"/>
        </w:rPr>
        <w:t xml:space="preserve">分）</w:t>
      </w:r>
      <w:r>
        <w:rPr>
          <w:rFonts w:hint="eastAsia" w:ascii="宋体" w:hAnsi="宋体" w:eastAsia="宋体" w:cs="宋体"/>
          <w:color w:val="auto"/>
          <w:sz w:val="24"/>
          <w:szCs w:val="24"/>
        </w:rPr>
        <w:t xml:space="preserve">：评委根据投标人提供的产品质量保障以及供货保障方案（包括但不限于：①货物</w:t>
      </w:r>
      <w:r>
        <w:rPr>
          <w:rFonts w:hint="eastAsia" w:ascii="宋体" w:hAnsi="宋体" w:cs="宋体"/>
          <w:color w:val="auto"/>
          <w:sz w:val="24"/>
          <w:szCs w:val="24"/>
          <w:lang w:val="en-US" w:eastAsia="zh-CN"/>
        </w:rPr>
        <w:t xml:space="preserve">质量</w:t>
      </w:r>
      <w:r>
        <w:rPr>
          <w:rFonts w:hint="eastAsia" w:ascii="宋体" w:hAnsi="宋体" w:eastAsia="宋体" w:cs="宋体"/>
          <w:color w:val="auto"/>
          <w:sz w:val="24"/>
          <w:szCs w:val="24"/>
        </w:rPr>
        <w:t xml:space="preserve">保证、②货物检验</w:t>
      </w:r>
      <w:r>
        <w:rPr>
          <w:rFonts w:hint="eastAsia" w:ascii="宋体" w:hAnsi="宋体" w:cs="宋体"/>
          <w:color w:val="auto"/>
          <w:sz w:val="24"/>
          <w:szCs w:val="24"/>
          <w:lang w:val="en-US" w:eastAsia="zh-CN"/>
        </w:rPr>
        <w:t xml:space="preserve">方案方法</w:t>
      </w:r>
      <w:r>
        <w:rPr>
          <w:rFonts w:hint="eastAsia" w:ascii="宋体" w:hAnsi="宋体" w:eastAsia="宋体" w:cs="宋体"/>
          <w:color w:val="auto"/>
          <w:sz w:val="24"/>
          <w:szCs w:val="24"/>
        </w:rPr>
        <w:t xml:space="preserve">等方面，由评标委员会进行评分，对产品质量保障以及供货保障方案的合理性、可行性进行综合评价。</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货物</w:t>
      </w:r>
      <w:r>
        <w:rPr>
          <w:rFonts w:hint="eastAsia" w:ascii="宋体" w:hAnsi="宋体" w:cs="宋体"/>
          <w:color w:val="auto"/>
          <w:sz w:val="24"/>
          <w:szCs w:val="24"/>
          <w:lang w:val="en-US" w:eastAsia="zh-CN"/>
        </w:rPr>
        <w:t xml:space="preserve">质量</w:t>
      </w:r>
      <w:r>
        <w:rPr>
          <w:rFonts w:hint="eastAsia" w:ascii="宋体" w:hAnsi="宋体" w:eastAsia="宋体" w:cs="宋体"/>
          <w:color w:val="auto"/>
          <w:sz w:val="24"/>
          <w:szCs w:val="24"/>
        </w:rPr>
        <w:t xml:space="preserve">保证：产品质量保证以及供货保证方案完整，合理性和操作性强，完全满足本项目货物要求的得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分；产品质量保证以及供货保证方案较为完整，较为合理、操作性较强，基本响应本项目货物要求的得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分；产品质量保证以及供货保证方案简略或不合理的得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分；未作说明的本项不得分。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货物检验：货物检验方案完整，合理性和操作性强，完全满足本项目货物检验要求的得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分；货物检验方案较为完整，较为合理、操作性较强，基本响应项目货物检验要求的得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分；货物检验方案简略或不合理的得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分；未作说明的本项不得分。</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auto"/>
          <w:sz w:val="24"/>
          <w:szCs w:val="24"/>
          <w:lang w:val="en-US" w:eastAsia="zh-CN"/>
        </w:rPr>
        <w:t xml:space="preserve">2.4</w:t>
      </w:r>
      <w:r>
        <w:rPr>
          <w:rFonts w:hint="eastAsia" w:ascii="宋体" w:hAnsi="宋体" w:eastAsia="宋体" w:cs="宋体"/>
          <w:b/>
          <w:bCs/>
          <w:color w:val="auto"/>
          <w:sz w:val="24"/>
          <w:szCs w:val="24"/>
        </w:rPr>
        <w:t xml:space="preserve">培训方案（</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分）</w:t>
      </w:r>
      <w:r>
        <w:rPr>
          <w:rFonts w:hint="eastAsia" w:ascii="宋体" w:hAnsi="宋体" w:eastAsia="宋体" w:cs="宋体"/>
          <w:color w:val="auto"/>
          <w:sz w:val="24"/>
          <w:szCs w:val="24"/>
        </w:rPr>
        <w:t xml:space="preserve">：评委根据投标人拟为本项目使用人员提供的培训方案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包括但不限于：①培训计划、②培训内容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000000"/>
          <w:sz w:val="24"/>
          <w:szCs w:val="24"/>
        </w:rPr>
        <w:t xml:space="preserve">由评标委员会进行评分，对培训方案的合理性、可行性进行综合评价。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计划方案完整，合理性和操作性强，完全满足本项目培训方案的得3分；方案较为完整，较为合理、操作性较强，基本响应项目设计要求与功能要求的得2分；方案简略或不合理的得1分；未作说明的本项不得分。</w:t>
      </w:r>
      <w:r/>
    </w:p>
    <w:p>
      <w:pPr>
        <w:pStyle w:val="885"/>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培训内容完整，合理性和操作性强，完全满足本项目培训的得3分；培训内容较为完整，较为合理、操作性较强，基本响应项目设计要求与功能要求的得2分；培训方案简略或不合理的得1分；未作说明的本项不得分。</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2.5</w:t>
      </w:r>
      <w:r>
        <w:rPr>
          <w:rFonts w:hint="eastAsia" w:ascii="宋体" w:hAnsi="宋体" w:eastAsia="宋体" w:cs="宋体"/>
          <w:b/>
          <w:bCs/>
          <w:color w:val="000000"/>
          <w:sz w:val="24"/>
          <w:szCs w:val="24"/>
        </w:rPr>
        <w:t xml:space="preserve"> 售后服务方案（</w:t>
      </w:r>
      <w:r>
        <w:rPr>
          <w:rFonts w:hint="eastAsia" w:ascii="宋体" w:hAnsi="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：评委根据投标人提供的售后服务方案，包括但不限于①响应时间、②本地化服务人员安排、③质保期过后的售后服务方面进行综合评价。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响应时间：方案完整，有效扎实、操作性强，完全满足项目响应要求的得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分；方案较为完整，较为扎实、操作性较强，基本响应项目时间要求的得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分；方案简略或不合理的得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分；未作说明的本项不得分。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本地化服务人员安排：方案完整，有效扎实、操作性强，完全满足项目本地化服务人员要求的得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分；方案较为完整，较为扎实、操作性较强，基本响应项目本地化服务人员要求的得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分；方案简略或不合理的得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分；未作说明的本项不得分。</w:t>
      </w:r>
      <w:r/>
    </w:p>
    <w:p>
      <w:pPr>
        <w:numPr>
          <w:ilvl w:val="0"/>
          <w:numId w:val="0"/>
        </w:numPr>
        <w:ind w:firstLine="480"/>
        <w:spacing w:line="360" w:lineRule="auto"/>
        <w:tabs>
          <w:tab w:val="left" w:pos="945" w:leader="none"/>
          <w:tab w:val="left" w:pos="1155" w:leader="none"/>
          <w:tab w:val="left" w:pos="3823" w:leader="none"/>
        </w:tabs>
        <w:rPr>
          <w:rFonts w:hint="default" w:ascii="宋体" w:hAnsi="宋体" w:eastAsia="宋体" w:cs="宋体"/>
          <w:b/>
          <w:bCs/>
          <w:color w:val="000000"/>
          <w:sz w:val="24"/>
          <w:szCs w:val="24"/>
          <w:lang w:val="en-US" w:eastAsia="zh-CN"/>
        </w:rPr>
      </w:pPr>
      <w:r>
        <w:rPr>
          <w:rFonts w:hint="eastAsia" w:ascii="宋体" w:hAnsi="宋体" w:eastAsia="宋体" w:cs="宋体"/>
          <w:color w:val="000000"/>
          <w:sz w:val="24"/>
          <w:szCs w:val="24"/>
          <w:lang w:eastAsia="zh-CN"/>
        </w:rPr>
        <w:t xml:space="preserve">质保期过后的售后服务：方案完整，有效扎实、操作性强，完全满足项目质保期过后的售后服务要求的得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分；方案较为完整，较为扎实、操作性较强，基本响应项目质保期过后的售后服务要求的得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分；方案简略或不合理的得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分；未作说明的本项不得分。</w:t>
      </w:r>
      <w:r/>
    </w:p>
    <w:p>
      <w:pPr>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6</w:t>
      </w:r>
      <w:r>
        <w:rPr>
          <w:rFonts w:hint="eastAsia" w:ascii="宋体" w:hAnsi="宋体" w:eastAsia="宋体" w:cs="宋体"/>
          <w:b/>
          <w:bCs/>
          <w:color w:val="000000"/>
          <w:sz w:val="24"/>
        </w:rPr>
        <w:t xml:space="preserve"> 检测报告（</w:t>
      </w:r>
      <w:r>
        <w:rPr>
          <w:rFonts w:hint="eastAsia" w:ascii="宋体" w:hAnsi="宋体" w:cs="宋体"/>
          <w:b/>
          <w:bCs/>
          <w:color w:val="000000"/>
          <w:sz w:val="24"/>
          <w:lang w:val="en-US" w:eastAsia="zh-CN"/>
        </w:rPr>
        <w:t xml:space="preserve">6</w:t>
      </w:r>
      <w:r>
        <w:rPr>
          <w:rFonts w:hint="eastAsia" w:ascii="宋体" w:hAnsi="宋体" w:eastAsia="宋体" w:cs="宋体"/>
          <w:b/>
          <w:bCs/>
          <w:color w:val="000000"/>
          <w:sz w:val="24"/>
        </w:rPr>
        <w:t xml:space="preserve">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eastAsia="宋体" w:cs="宋体"/>
          <w:b/>
          <w:color w:val="000000"/>
          <w:sz w:val="24"/>
          <w:szCs w:val="24"/>
        </w:rPr>
        <w:t xml:space="preserve">高强度镀锌钢板</w:t>
      </w:r>
      <w:r>
        <w:rPr>
          <w:rFonts w:hint="eastAsia" w:ascii="宋体" w:hAnsi="宋体" w:eastAsia="宋体" w:cs="宋体"/>
          <w:color w:val="000000"/>
          <w:sz w:val="24"/>
          <w:szCs w:val="24"/>
        </w:rPr>
        <w:t xml:space="preserve">（模块主架舱体、多功能防溅水槽柜</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主架舱体防尘检修板</w:t>
      </w:r>
      <w:r>
        <w:rPr>
          <w:rFonts w:hint="eastAsia" w:ascii="宋体" w:hAnsi="宋体" w:cs="宋体"/>
          <w:color w:val="000000"/>
          <w:sz w:val="24"/>
          <w:szCs w:val="24"/>
          <w:lang w:eastAsia="zh-CN"/>
        </w:rPr>
        <w:t xml:space="preserve">、实验室专用试剂架、全新钢塑水槽柜、试剂架、安全防护站、岛式插座</w:t>
      </w:r>
      <w:r>
        <w:rPr>
          <w:rFonts w:hint="eastAsia" w:ascii="宋体" w:hAnsi="宋体" w:eastAsia="宋体" w:cs="宋体"/>
          <w:color w:val="000000"/>
          <w:sz w:val="24"/>
          <w:szCs w:val="24"/>
        </w:rPr>
        <w:t xml:space="preserve">所使用的）满足GB/T 10125-2021《人造气氛腐蚀试验 盐雾试验》和按照GB/T 6461-2002《金属基体上金属和其他无机覆盖层 经腐蚀试验后的试样和试件的评级》；耐腐蚀盐雾试验：</w:t>
      </w:r>
      <w:r>
        <w:rPr>
          <w:rFonts w:hint="eastAsia" w:ascii="宋体" w:hAnsi="宋体" w:cs="宋体"/>
          <w:color w:val="000000"/>
          <w:sz w:val="24"/>
          <w:szCs w:val="24"/>
          <w:lang w:val="en-US" w:eastAsia="zh-CN"/>
        </w:rPr>
        <w:t xml:space="preserve">120</w:t>
      </w:r>
      <w:r>
        <w:rPr>
          <w:rFonts w:hint="eastAsia" w:ascii="宋体" w:hAnsi="宋体" w:eastAsia="宋体" w:cs="宋体"/>
          <w:color w:val="000000"/>
          <w:sz w:val="24"/>
          <w:szCs w:val="24"/>
        </w:rPr>
        <w:t xml:space="preserve">小时中性盐雾试验，检测结果：达到10级。</w:t>
      </w:r>
      <w:r>
        <w:rPr>
          <w:rFonts w:hint="eastAsia" w:ascii="宋体" w:hAnsi="宋体" w:eastAsia="宋体" w:cs="宋体"/>
          <w:sz w:val="24"/>
        </w:rPr>
        <w:t xml:space="preserve">提供第三方检测机构出具的合格检测报告</w:t>
      </w:r>
      <w:r>
        <w:rPr>
          <w:rFonts w:hint="eastAsia" w:ascii="宋体" w:hAnsi="宋体" w:eastAsia="宋体" w:cs="宋体"/>
          <w:sz w:val="24"/>
          <w:lang w:eastAsia="zh-CN"/>
        </w:rPr>
        <w:t xml:space="preserve">，</w:t>
      </w:r>
      <w:r>
        <w:rPr>
          <w:rFonts w:hint="eastAsia" w:ascii="宋体" w:hAnsi="宋体" w:eastAsia="宋体" w:cs="宋体"/>
          <w:sz w:val="24"/>
        </w:rPr>
        <w:t xml:space="preserve">得</w:t>
      </w:r>
      <w:r>
        <w:rPr>
          <w:rFonts w:hint="eastAsia" w:ascii="宋体" w:hAnsi="宋体" w:cs="宋体"/>
          <w:sz w:val="24"/>
          <w:lang w:val="en-US" w:eastAsia="zh-CN"/>
        </w:rPr>
        <w:t xml:space="preserve">1</w:t>
      </w:r>
      <w:r>
        <w:rPr>
          <w:rFonts w:hint="eastAsia" w:ascii="宋体" w:hAnsi="宋体" w:eastAsia="宋体" w:cs="宋体"/>
          <w:sz w:val="24"/>
        </w:rPr>
        <w:t xml:space="preserve">分。</w:t>
      </w:r>
      <w:r/>
    </w:p>
    <w:p>
      <w:pPr>
        <w:ind w:firstLine="482"/>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eastAsia="宋体" w:cs="宋体"/>
          <w:b/>
          <w:color w:val="000000"/>
          <w:sz w:val="24"/>
          <w:szCs w:val="24"/>
        </w:rPr>
        <w:t xml:space="preserve">铝合金万向罩</w:t>
      </w:r>
      <w:r>
        <w:rPr>
          <w:rFonts w:hint="eastAsia" w:ascii="宋体" w:hAnsi="宋体" w:eastAsia="宋体" w:cs="宋体"/>
          <w:color w:val="000000"/>
          <w:sz w:val="24"/>
          <w:szCs w:val="24"/>
        </w:rPr>
        <w:t xml:space="preserve">满足GB/T 10125-2021《人造气氛腐蚀试验 盐雾试验》和按照 GB/T 6461-2002 《金属基体上金属和其他无机覆盖层 经腐蚀试验后的试样和试件的评级》；耐腐蚀盐雾试验：</w:t>
      </w:r>
      <w:r>
        <w:rPr>
          <w:rFonts w:hint="eastAsia" w:ascii="宋体" w:hAnsi="宋体" w:cs="宋体"/>
          <w:color w:val="000000"/>
          <w:sz w:val="24"/>
          <w:szCs w:val="24"/>
          <w:lang w:val="en-US" w:eastAsia="zh-CN"/>
        </w:rPr>
        <w:t xml:space="preserve">120</w:t>
      </w:r>
      <w:r>
        <w:rPr>
          <w:rFonts w:hint="eastAsia" w:ascii="宋体" w:hAnsi="宋体" w:eastAsia="宋体" w:cs="宋体"/>
          <w:color w:val="000000"/>
          <w:sz w:val="24"/>
          <w:szCs w:val="24"/>
        </w:rPr>
        <w:t xml:space="preserve">小时中性盐雾试验，检测结果：达到10级。</w:t>
      </w:r>
      <w:r>
        <w:rPr>
          <w:rFonts w:hint="eastAsia" w:ascii="宋体" w:hAnsi="宋体" w:eastAsia="宋体" w:cs="宋体"/>
          <w:sz w:val="24"/>
        </w:rPr>
        <w:t xml:space="preserve">提供第三方检测机构出具的合格检测报告</w:t>
      </w:r>
      <w:r>
        <w:rPr>
          <w:rFonts w:hint="eastAsia" w:ascii="宋体" w:hAnsi="宋体" w:eastAsia="宋体" w:cs="宋体"/>
          <w:sz w:val="24"/>
          <w:lang w:eastAsia="zh-CN"/>
        </w:rPr>
        <w:t xml:space="preserve">，</w:t>
      </w:r>
      <w:r>
        <w:rPr>
          <w:rFonts w:hint="eastAsia" w:ascii="宋体" w:hAnsi="宋体" w:eastAsia="宋体" w:cs="宋体"/>
          <w:sz w:val="24"/>
        </w:rPr>
        <w:t xml:space="preserve">得</w:t>
      </w:r>
      <w:r>
        <w:rPr>
          <w:rFonts w:hint="eastAsia" w:ascii="宋体" w:hAnsi="宋体" w:cs="宋体"/>
          <w:sz w:val="24"/>
          <w:lang w:val="en-US" w:eastAsia="zh-CN"/>
        </w:rPr>
        <w:t xml:space="preserve">1</w:t>
      </w:r>
      <w:r>
        <w:rPr>
          <w:rFonts w:hint="eastAsia" w:ascii="宋体" w:hAnsi="宋体" w:eastAsia="宋体" w:cs="宋体"/>
          <w:sz w:val="24"/>
        </w:rPr>
        <w:t xml:space="preserve">分。</w:t>
      </w:r>
      <w:r/>
    </w:p>
    <w:p>
      <w:pPr>
        <w:ind w:firstLine="482"/>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投标人提供的</w:t>
      </w:r>
      <w:r>
        <w:rPr>
          <w:rFonts w:hint="eastAsia" w:ascii="宋体" w:hAnsi="宋体" w:cs="宋体"/>
          <w:color w:val="000000"/>
          <w:sz w:val="24"/>
          <w:szCs w:val="24"/>
          <w:lang w:val="en-US" w:eastAsia="zh-CN"/>
        </w:rPr>
        <w:t xml:space="preserve">实验仪器</w:t>
      </w:r>
      <w:r>
        <w:rPr>
          <w:rFonts w:hint="eastAsia" w:ascii="宋体" w:hAnsi="宋体" w:eastAsia="宋体" w:cs="宋体"/>
          <w:color w:val="000000"/>
          <w:sz w:val="24"/>
          <w:szCs w:val="24"/>
        </w:rPr>
        <w:t xml:space="preserve">所使用的</w:t>
      </w:r>
      <w:r>
        <w:rPr>
          <w:rFonts w:hint="eastAsia" w:ascii="宋体" w:hAnsi="宋体" w:eastAsia="宋体" w:cs="宋体"/>
          <w:b/>
          <w:color w:val="000000"/>
          <w:sz w:val="24"/>
          <w:szCs w:val="24"/>
        </w:rPr>
        <w:t xml:space="preserve">塑料</w:t>
      </w:r>
      <w:r>
        <w:rPr>
          <w:rFonts w:hint="eastAsia" w:ascii="宋体" w:hAnsi="宋体" w:eastAsia="宋体" w:cs="宋体"/>
          <w:color w:val="000000"/>
          <w:sz w:val="24"/>
          <w:szCs w:val="24"/>
        </w:rPr>
        <w:t xml:space="preserve">：水平燃烧性能符合GB/T2408-2021规定的HB级要求，垂直燃烧性能符合GB/T2408-2021规定的V-0级要求；水平和垂直防火燃烧检测项目需满足以下要求：移去引燃源后是否出现可见有焰燃烧；火焰前端是否超过100mm标线；单个试样的余焰时间≤10S；任一状态调节的一组试样的总余焰时间≤50S；余焰或余辉是否燃至夹持夹具；燃烧颗粒是否引燃棉垫。</w:t>
      </w:r>
      <w:r>
        <w:rPr>
          <w:rFonts w:hint="eastAsia" w:ascii="宋体" w:hAnsi="宋体" w:eastAsia="宋体" w:cs="宋体"/>
          <w:sz w:val="24"/>
        </w:rPr>
        <w:t xml:space="preserve">提供第三方检测机构出具的合格检测报告</w:t>
      </w:r>
      <w:r>
        <w:rPr>
          <w:rFonts w:hint="eastAsia" w:ascii="宋体" w:hAnsi="宋体" w:eastAsia="宋体" w:cs="宋体"/>
          <w:sz w:val="24"/>
          <w:lang w:eastAsia="zh-CN"/>
        </w:rPr>
        <w:t xml:space="preserve">，</w:t>
      </w:r>
      <w:r>
        <w:rPr>
          <w:rFonts w:hint="eastAsia" w:ascii="宋体" w:hAnsi="宋体" w:eastAsia="宋体" w:cs="宋体"/>
          <w:sz w:val="24"/>
        </w:rPr>
        <w:t xml:space="preserve">得</w:t>
      </w:r>
      <w:r>
        <w:rPr>
          <w:rFonts w:hint="eastAsia" w:ascii="宋体" w:hAnsi="宋体" w:cs="宋体"/>
          <w:sz w:val="24"/>
          <w:lang w:val="en-US" w:eastAsia="zh-CN"/>
        </w:rPr>
        <w:t xml:space="preserve">1</w:t>
      </w:r>
      <w:r>
        <w:rPr>
          <w:rFonts w:hint="eastAsia" w:ascii="宋体" w:hAnsi="宋体" w:eastAsia="宋体" w:cs="宋体"/>
          <w:sz w:val="24"/>
        </w:rPr>
        <w:t xml:space="preserve">分。</w:t>
      </w:r>
      <w:r/>
    </w:p>
    <w:p>
      <w:pPr>
        <w:ind w:firstLine="482"/>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投标人提供的</w:t>
      </w:r>
      <w:r>
        <w:rPr>
          <w:rFonts w:hint="eastAsia" w:ascii="宋体" w:hAnsi="宋体" w:cs="宋体"/>
          <w:b/>
          <w:bCs/>
          <w:color w:val="000000"/>
          <w:sz w:val="24"/>
          <w:szCs w:val="24"/>
          <w:lang w:val="en-US" w:eastAsia="zh-CN"/>
        </w:rPr>
        <w:t xml:space="preserve">化学</w:t>
      </w:r>
      <w:r>
        <w:rPr>
          <w:rFonts w:hint="eastAsia" w:ascii="宋体" w:hAnsi="宋体" w:eastAsia="宋体" w:cs="宋体"/>
          <w:b/>
          <w:bCs/>
          <w:sz w:val="24"/>
          <w:szCs w:val="24"/>
          <w:highlight w:val="none"/>
          <w:lang w:val="en-US" w:eastAsia="zh-CN"/>
        </w:rPr>
        <w:t xml:space="preserve">顶装智能供电系统</w:t>
      </w:r>
      <w:r>
        <w:rPr>
          <w:rFonts w:hint="eastAsia" w:ascii="宋体" w:hAnsi="宋体" w:eastAsia="宋体" w:cs="宋体"/>
          <w:sz w:val="24"/>
          <w:szCs w:val="24"/>
          <w:highlight w:val="none"/>
          <w:lang w:val="en-US" w:eastAsia="zh-CN"/>
        </w:rPr>
        <w:t xml:space="preserve">中，①总电源控制：在正常工作中，通过对触摸屏的菜单操作，实现对产品总电源的开启与关闭的控制；②分组照明控制：通过对触摸屏的菜单操作，能对各个分组照明（两端荧光灯组）实施开启与关闭的控制；③分组电源控制：通过对触摸屏的菜单操作，能对各个分组功能模块的电源实施开启与关闭的控制；④安装装置自检：产品电气控制部分，设置的剩余电流断路器，均有自检功能；⑤接地电阻：产品安装施工后，产品的接地电阻应符合JGJ91-1993的规定限值，即实际接地电阻值不得大于4Ω；</w:t>
      </w:r>
      <w:r>
        <w:rPr>
          <w:rFonts w:hint="eastAsia" w:ascii="宋体" w:hAnsi="宋体" w:eastAsia="宋体" w:cs="宋体"/>
          <w:sz w:val="24"/>
        </w:rPr>
        <w:t xml:space="preserve">提供第三方检测机构出具的合格检测报告</w:t>
      </w:r>
      <w:r>
        <w:rPr>
          <w:rFonts w:hint="eastAsia" w:ascii="宋体" w:hAnsi="宋体" w:eastAsia="宋体" w:cs="宋体"/>
          <w:sz w:val="24"/>
          <w:lang w:eastAsia="zh-CN"/>
        </w:rPr>
        <w:t xml:space="preserve">，</w:t>
      </w:r>
      <w:r>
        <w:rPr>
          <w:rFonts w:hint="eastAsia" w:ascii="宋体" w:hAnsi="宋体" w:eastAsia="宋体" w:cs="宋体"/>
          <w:sz w:val="24"/>
        </w:rPr>
        <w:t xml:space="preserve">得</w:t>
      </w:r>
      <w:r>
        <w:rPr>
          <w:rFonts w:hint="eastAsia" w:ascii="宋体" w:hAnsi="宋体" w:cs="宋体"/>
          <w:sz w:val="24"/>
          <w:lang w:val="en-US" w:eastAsia="zh-CN"/>
        </w:rPr>
        <w:t xml:space="preserve">1</w:t>
      </w:r>
      <w:r>
        <w:rPr>
          <w:rFonts w:hint="eastAsia" w:ascii="宋体" w:hAnsi="宋体" w:eastAsia="宋体" w:cs="宋体"/>
          <w:sz w:val="24"/>
        </w:rPr>
        <w:t xml:space="preserve">分。</w:t>
      </w:r>
      <w:r/>
    </w:p>
    <w:p>
      <w:pPr>
        <w:ind w:firstLine="482"/>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cs="宋体"/>
          <w:sz w:val="24"/>
          <w:lang w:val="en-US" w:eastAsia="zh-CN"/>
        </w:rPr>
        <w:t xml:space="preserve">5</w:t>
      </w:r>
      <w:r>
        <w:rPr>
          <w:rFonts w:hint="eastAsia" w:ascii="宋体" w:hAnsi="宋体" w:eastAsia="宋体" w:cs="宋体"/>
          <w:color w:val="000000"/>
          <w:sz w:val="24"/>
          <w:szCs w:val="24"/>
        </w:rPr>
        <w:t xml:space="preserve">投标人提供的</w:t>
      </w:r>
      <w:r>
        <w:rPr>
          <w:rFonts w:hint="eastAsia" w:ascii="宋体" w:hAnsi="宋体" w:eastAsia="宋体" w:cs="宋体"/>
          <w:b/>
          <w:bCs/>
          <w:color w:val="000000"/>
          <w:sz w:val="24"/>
          <w:szCs w:val="24"/>
          <w:lang w:val="en-US" w:eastAsia="zh-CN"/>
        </w:rPr>
        <w:t xml:space="preserve">化学顶装智能给排水供应系统</w:t>
      </w:r>
      <w:r>
        <w:rPr>
          <w:rFonts w:hint="eastAsia" w:ascii="宋体" w:hAnsi="宋体" w:eastAsia="宋体" w:cs="宋体"/>
          <w:color w:val="000000"/>
          <w:sz w:val="24"/>
          <w:szCs w:val="24"/>
          <w:lang w:val="en-US" w:eastAsia="zh-CN"/>
        </w:rPr>
        <w:t xml:space="preserve">中，</w:t>
      </w:r>
      <w:r>
        <w:rPr>
          <w:rFonts w:hint="eastAsia" w:ascii="宋体" w:hAnsi="宋体" w:eastAsia="宋体" w:cs="宋体"/>
          <w:sz w:val="24"/>
          <w:szCs w:val="24"/>
          <w:highlight w:val="none"/>
          <w:lang w:val="en-US" w:eastAsia="zh-CN"/>
        </w:rPr>
        <w:t xml:space="preserve">①分组供水控制；②供水总阀开启与关闭状态控制，各个分组供水阀门开启与关闭控制；③自动排水功能；④漏水保护；⑤水管耐压：在正常工作状态下，连续工作2h后，水管表面无明显滴、跑、漏现象。</w:t>
      </w:r>
      <w:r>
        <w:rPr>
          <w:rFonts w:hint="eastAsia" w:ascii="宋体" w:hAnsi="宋体" w:eastAsia="宋体" w:cs="宋体"/>
          <w:sz w:val="24"/>
        </w:rPr>
        <w:t xml:space="preserve">提供第三方检测机构出具的合格检测报告</w:t>
      </w:r>
      <w:r>
        <w:rPr>
          <w:rFonts w:hint="eastAsia" w:ascii="宋体" w:hAnsi="宋体" w:eastAsia="宋体" w:cs="宋体"/>
          <w:sz w:val="24"/>
          <w:lang w:eastAsia="zh-CN"/>
        </w:rPr>
        <w:t xml:space="preserve">，</w:t>
      </w:r>
      <w:r>
        <w:rPr>
          <w:rFonts w:hint="eastAsia" w:ascii="宋体" w:hAnsi="宋体" w:eastAsia="宋体" w:cs="宋体"/>
          <w:sz w:val="24"/>
        </w:rPr>
        <w:t xml:space="preserve">得</w:t>
      </w:r>
      <w:r>
        <w:rPr>
          <w:rFonts w:hint="eastAsia" w:ascii="宋体" w:hAnsi="宋体" w:cs="宋体"/>
          <w:sz w:val="24"/>
          <w:lang w:val="en-US" w:eastAsia="zh-CN"/>
        </w:rPr>
        <w:t xml:space="preserve">1</w:t>
      </w:r>
      <w:r>
        <w:rPr>
          <w:rFonts w:hint="eastAsia" w:ascii="宋体" w:hAnsi="宋体" w:eastAsia="宋体" w:cs="宋体"/>
          <w:sz w:val="24"/>
        </w:rPr>
        <w:t xml:space="preserve">分。</w:t>
      </w:r>
      <w:r/>
    </w:p>
    <w:p>
      <w:pPr>
        <w:ind w:firstLine="482"/>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cs="宋体"/>
          <w:sz w:val="24"/>
          <w:lang w:val="en-US" w:eastAsia="zh-CN"/>
        </w:rPr>
        <w:t xml:space="preserve">6投标人提供的</w:t>
      </w:r>
      <w:r>
        <w:rPr>
          <w:rFonts w:hint="eastAsia" w:ascii="宋体" w:hAnsi="宋体" w:cs="宋体"/>
          <w:b/>
          <w:bCs/>
          <w:sz w:val="24"/>
          <w:lang w:val="en-US" w:eastAsia="zh-CN"/>
        </w:rPr>
        <w:t xml:space="preserve">化学顶装智能供应系统</w:t>
      </w:r>
      <w:r>
        <w:rPr>
          <w:rFonts w:hint="eastAsia" w:ascii="宋体" w:hAnsi="宋体" w:cs="宋体"/>
          <w:sz w:val="24"/>
          <w:lang w:val="en-US" w:eastAsia="zh-CN"/>
        </w:rPr>
        <w:t xml:space="preserve">整体要求，需满足①外表面安全要求：表面的可接触表面符合GB21746-2008的规定，即可接触表</w:t>
      </w:r>
      <w:r>
        <w:rPr>
          <w:rFonts w:hint="eastAsia" w:ascii="宋体" w:hAnsi="宋体" w:cs="宋体"/>
          <w:sz w:val="24"/>
          <w:lang w:val="en-US" w:eastAsia="zh-CN"/>
        </w:rPr>
        <w:t xml:space="preserve">面距场所地面高度不小于2.3m范围内；②操作安全要求：控制箱外部设置锁具，操作人员凭账号和密码登录；③过载保护：各组供电采用独立过载保护；④分组低压输送及控制：可以独立分组（A组和B组）通过控制箱对分组电源进行控制，调节电压；⑤摇臂运行时，摇臂上的220V和低压电源处于断电状态，可以运行断电保护；⑥摇臂运行时，水管未拔或碰到障碍物时，摇臂能自动回位，进行障碍物保护功能；⑦通过手机APP控制系统，控制整个系统的所有功能；⑧单个摇臂的摇摆次数达到5000次，无损坏；⑨整个设备运行，噪声不大于55dB（A声级）；</w:t>
      </w:r>
      <w:r>
        <w:rPr>
          <w:rFonts w:hint="eastAsia" w:ascii="宋体" w:hAnsi="宋体" w:eastAsia="宋体" w:cs="宋体"/>
          <w:sz w:val="24"/>
        </w:rPr>
        <w:t xml:space="preserve">提供第</w:t>
      </w:r>
      <w:r>
        <w:rPr>
          <w:rFonts w:hint="eastAsia" w:ascii="宋体" w:hAnsi="宋体" w:eastAsia="宋体" w:cs="宋体"/>
          <w:color w:val="auto"/>
          <w:sz w:val="24"/>
        </w:rPr>
        <w:t xml:space="preserve">三方检测机构出具的合格检测报告</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得</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分。</w:t>
      </w:r>
      <w:r/>
    </w:p>
    <w:p>
      <w:pPr>
        <w:numPr>
          <w:ilvl w:val="0"/>
          <w:numId w:val="4"/>
        </w:numPr>
        <w:ind w:left="0" w:firstLine="482"/>
        <w:spacing w:line="360" w:lineRule="auto"/>
        <w:rPr>
          <w:rFonts w:hint="eastAsia" w:ascii="宋体" w:hAnsi="宋体" w:eastAsia="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Style w:val="897"/>
          <w:rFonts w:hint="eastAsia" w:ascii="宋体" w:hAnsi="宋体" w:cs="宋体"/>
          <w:b/>
          <w:bCs w:val="0"/>
          <w:color w:val="auto"/>
          <w:sz w:val="24"/>
          <w:szCs w:val="24"/>
          <w:highlight w:val="none"/>
        </w:rPr>
        <w:t xml:space="preserve">产品实物</w:t>
      </w:r>
      <w:r>
        <w:rPr>
          <w:rStyle w:val="897"/>
          <w:rFonts w:hint="eastAsia" w:ascii="宋体" w:hAnsi="宋体" w:cs="宋体"/>
          <w:b/>
          <w:bCs w:val="0"/>
          <w:color w:val="auto"/>
          <w:sz w:val="24"/>
          <w:szCs w:val="24"/>
          <w:highlight w:val="none"/>
          <w:lang w:val="en-US" w:eastAsia="zh-CN"/>
        </w:rPr>
        <w:t xml:space="preserve">视频</w:t>
      </w:r>
      <w:r>
        <w:rPr>
          <w:rStyle w:val="897"/>
          <w:rFonts w:hint="eastAsia" w:ascii="宋体" w:hAnsi="宋体" w:cs="宋体"/>
          <w:b/>
          <w:bCs w:val="0"/>
          <w:color w:val="auto"/>
          <w:sz w:val="24"/>
          <w:szCs w:val="24"/>
          <w:highlight w:val="none"/>
        </w:rPr>
        <w:t xml:space="preserve">演示（</w:t>
      </w:r>
      <w:r>
        <w:rPr>
          <w:rStyle w:val="897"/>
          <w:rFonts w:hint="eastAsia" w:ascii="宋体" w:hAnsi="宋体" w:cs="宋体"/>
          <w:b/>
          <w:bCs w:val="0"/>
          <w:color w:val="auto"/>
          <w:sz w:val="24"/>
          <w:szCs w:val="24"/>
          <w:highlight w:val="none"/>
          <w:lang w:val="en-US" w:eastAsia="zh-CN"/>
        </w:rPr>
        <w:t xml:space="preserve">4</w:t>
      </w:r>
      <w:r>
        <w:rPr>
          <w:rStyle w:val="897"/>
          <w:rFonts w:hint="eastAsia" w:ascii="宋体" w:hAnsi="宋体" w:cs="宋体"/>
          <w:b/>
          <w:bCs w:val="0"/>
          <w:color w:val="auto"/>
          <w:sz w:val="24"/>
          <w:szCs w:val="24"/>
          <w:highlight w:val="none"/>
        </w:rPr>
        <w:t xml:space="preserve">分）</w:t>
      </w:r>
      <w:r>
        <w:rPr>
          <w:rStyle w:val="897"/>
          <w:rFonts w:hint="eastAsia" w:ascii="宋体" w:hAnsi="宋体" w:cs="宋体"/>
          <w:b/>
          <w:bCs w:val="0"/>
          <w:color w:val="auto"/>
          <w:sz w:val="24"/>
          <w:szCs w:val="24"/>
        </w:rPr>
        <w:t xml:space="preserve">：</w:t>
      </w:r>
      <w:r>
        <w:rPr>
          <w:rFonts w:hint="eastAsia" w:ascii="宋体" w:hAnsi="宋体"/>
          <w:b w:val="0"/>
          <w:bCs/>
          <w:color w:val="auto"/>
          <w:sz w:val="24"/>
          <w:szCs w:val="24"/>
        </w:rPr>
        <w:t xml:space="preserve">投标人自行准备氧气含量的测定演示</w:t>
      </w:r>
      <w:r>
        <w:rPr>
          <w:rFonts w:ascii="宋体" w:hAnsi="宋体"/>
          <w:b w:val="0"/>
          <w:bCs/>
          <w:color w:val="auto"/>
          <w:sz w:val="24"/>
          <w:szCs w:val="24"/>
        </w:rPr>
        <w:t xml:space="preserve">视频文件</w:t>
      </w:r>
      <w:r>
        <w:rPr>
          <w:rFonts w:hint="eastAsia" w:ascii="宋体" w:hAnsi="宋体"/>
          <w:b w:val="0"/>
          <w:bCs/>
          <w:color w:val="auto"/>
          <w:sz w:val="24"/>
          <w:szCs w:val="24"/>
        </w:rPr>
        <w:t xml:space="preserve">，演示时间不超过</w:t>
      </w:r>
      <w:r>
        <w:rPr>
          <w:rFonts w:hint="eastAsia" w:ascii="宋体" w:hAnsi="宋体"/>
          <w:b w:val="0"/>
          <w:bCs/>
          <w:color w:val="auto"/>
          <w:sz w:val="24"/>
          <w:szCs w:val="24"/>
          <w:lang w:val="en-US" w:eastAsia="zh-CN"/>
        </w:rPr>
        <w:t xml:space="preserve">5</w:t>
      </w:r>
      <w:r>
        <w:rPr>
          <w:rFonts w:hint="eastAsia" w:ascii="宋体" w:hAnsi="宋体"/>
          <w:b w:val="0"/>
          <w:bCs/>
          <w:color w:val="auto"/>
          <w:sz w:val="24"/>
          <w:szCs w:val="24"/>
        </w:rPr>
        <w:t xml:space="preserve">分钟。</w:t>
      </w:r>
      <w:r>
        <w:rPr>
          <w:rFonts w:hint="eastAsia" w:ascii="宋体" w:hAnsi="宋体"/>
          <w:b w:val="0"/>
          <w:bCs/>
          <w:color w:val="auto"/>
          <w:sz w:val="24"/>
          <w:szCs w:val="24"/>
          <w:lang w:val="en-US" w:eastAsia="zh-CN"/>
        </w:rPr>
        <w:t xml:space="preserve">  </w:t>
      </w:r>
      <w:r/>
    </w:p>
    <w:p>
      <w:pPr>
        <w:numPr>
          <w:ilvl w:val="0"/>
          <w:numId w:val="5"/>
        </w:numPr>
        <w:ind w:firstLine="482"/>
        <w:spacing w:line="360" w:lineRule="auto"/>
        <w:rPr>
          <w:rFonts w:hint="eastAsia" w:ascii="宋体" w:hAnsi="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b w:val="0"/>
          <w:bCs/>
          <w:color w:val="auto"/>
          <w:sz w:val="24"/>
          <w:szCs w:val="24"/>
        </w:rPr>
        <w:t xml:space="preserve">氧气传感器与数据显示模块通过具有方向性和自锁功能的BT接口连接</w:t>
      </w:r>
      <w:r>
        <w:rPr>
          <w:rFonts w:hint="eastAsia" w:ascii="宋体" w:hAnsi="宋体"/>
          <w:b w:val="0"/>
          <w:bCs/>
          <w:color w:val="auto"/>
          <w:sz w:val="24"/>
          <w:szCs w:val="24"/>
          <w:lang w:val="en-US" w:eastAsia="zh-CN"/>
        </w:rPr>
        <w:t xml:space="preserve">得1分；</w:t>
      </w:r>
      <w:r/>
    </w:p>
    <w:p>
      <w:pPr>
        <w:numPr>
          <w:ilvl w:val="0"/>
          <w:numId w:val="5"/>
        </w:numPr>
        <w:ind w:firstLine="482"/>
        <w:spacing w:line="360" w:lineRule="auto"/>
        <w:rPr>
          <w:rFonts w:hint="default" w:ascii="宋体" w:hAnsi="宋体" w:eastAsia="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b w:val="0"/>
          <w:bCs/>
          <w:color w:val="auto"/>
          <w:sz w:val="24"/>
          <w:szCs w:val="24"/>
        </w:rPr>
        <w:t xml:space="preserve">氧气传感器自带硬件校准按钮并支持硬件校准到20.9%（误差±0.1%）</w:t>
      </w:r>
      <w:r>
        <w:rPr>
          <w:rFonts w:hint="eastAsia" w:ascii="宋体" w:hAnsi="宋体"/>
          <w:b w:val="0"/>
          <w:bCs/>
          <w:color w:val="auto"/>
          <w:sz w:val="24"/>
          <w:szCs w:val="24"/>
          <w:lang w:val="en-US" w:eastAsia="zh-CN"/>
        </w:rPr>
        <w:t xml:space="preserve">得1分；</w:t>
      </w:r>
      <w:r/>
    </w:p>
    <w:p>
      <w:pPr>
        <w:ind w:firstLine="482"/>
        <w:spacing w:line="360" w:lineRule="auto"/>
        <w:rPr>
          <w:rFonts w:hint="default" w:ascii="宋体" w:hAnsi="宋体" w:eastAsia="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b w:val="0"/>
          <w:bCs/>
          <w:color w:val="auto"/>
          <w:sz w:val="24"/>
          <w:szCs w:val="24"/>
        </w:rPr>
        <w:t xml:space="preserve">（</w:t>
      </w:r>
      <w:r>
        <w:rPr>
          <w:rFonts w:hint="eastAsia" w:ascii="宋体" w:hAnsi="宋体"/>
          <w:b w:val="0"/>
          <w:bCs/>
          <w:color w:val="auto"/>
          <w:sz w:val="24"/>
          <w:szCs w:val="24"/>
          <w:lang w:val="en-US" w:eastAsia="zh-CN"/>
        </w:rPr>
        <w:t xml:space="preserve">3</w:t>
      </w:r>
      <w:r>
        <w:rPr>
          <w:rFonts w:hint="eastAsia" w:ascii="宋体" w:hAnsi="宋体"/>
          <w:b w:val="0"/>
          <w:bCs/>
          <w:color w:val="auto"/>
          <w:sz w:val="24"/>
          <w:szCs w:val="24"/>
        </w:rPr>
        <w:t xml:space="preserve">）分别在麒麟、统信、鸿蒙等国产系统和Windows、iOS等常规系统上完成氧气含量变化的实验数据采集，并描绘出氧气变化曲线</w:t>
      </w:r>
      <w:r>
        <w:rPr>
          <w:rFonts w:hint="eastAsia" w:ascii="宋体" w:hAnsi="宋体"/>
          <w:b w:val="0"/>
          <w:bCs/>
          <w:color w:val="auto"/>
          <w:sz w:val="24"/>
          <w:szCs w:val="24"/>
          <w:lang w:eastAsia="zh-CN"/>
        </w:rPr>
        <w:t xml:space="preserve">，</w:t>
      </w:r>
      <w:r>
        <w:rPr>
          <w:rFonts w:hint="eastAsia" w:ascii="宋体" w:hAnsi="宋体"/>
          <w:b w:val="0"/>
          <w:bCs/>
          <w:color w:val="auto"/>
          <w:sz w:val="24"/>
          <w:szCs w:val="24"/>
          <w:lang w:val="en-US" w:eastAsia="zh-CN"/>
        </w:rPr>
        <w:t xml:space="preserve">符合以上要求得1分；</w:t>
      </w:r>
      <w:r/>
    </w:p>
    <w:p>
      <w:pPr>
        <w:ind w:firstLine="482"/>
        <w:spacing w:line="360" w:lineRule="auto"/>
        <w:rPr>
          <w:rFonts w:hint="default" w:ascii="宋体" w:hAnsi="宋体" w:eastAsia="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b w:val="0"/>
          <w:bCs/>
          <w:color w:val="auto"/>
          <w:sz w:val="24"/>
          <w:szCs w:val="24"/>
        </w:rPr>
        <w:t xml:space="preserve">（</w:t>
      </w:r>
      <w:r>
        <w:rPr>
          <w:rFonts w:hint="eastAsia" w:ascii="宋体" w:hAnsi="宋体"/>
          <w:b w:val="0"/>
          <w:bCs/>
          <w:color w:val="auto"/>
          <w:sz w:val="24"/>
          <w:szCs w:val="24"/>
          <w:lang w:val="en-US" w:eastAsia="zh-CN"/>
        </w:rPr>
        <w:t xml:space="preserve">4</w:t>
      </w:r>
      <w:r>
        <w:rPr>
          <w:rFonts w:hint="eastAsia" w:ascii="宋体" w:hAnsi="宋体"/>
          <w:b w:val="0"/>
          <w:bCs/>
          <w:color w:val="auto"/>
          <w:sz w:val="24"/>
          <w:szCs w:val="24"/>
        </w:rPr>
        <w:t xml:space="preserve">）通过软件自带的实验录制功能，将实验操作过程和实验数据变化以视频方式录制并保存在指定位置</w:t>
      </w:r>
      <w:r>
        <w:rPr>
          <w:rFonts w:hint="eastAsia" w:ascii="宋体" w:hAnsi="宋体"/>
          <w:b w:val="0"/>
          <w:bCs/>
          <w:color w:val="auto"/>
          <w:sz w:val="24"/>
          <w:szCs w:val="24"/>
          <w:lang w:eastAsia="zh-CN"/>
        </w:rPr>
        <w:t xml:space="preserve">，</w:t>
      </w:r>
      <w:r>
        <w:rPr>
          <w:rFonts w:hint="eastAsia" w:ascii="宋体" w:hAnsi="宋体"/>
          <w:b w:val="0"/>
          <w:bCs/>
          <w:color w:val="auto"/>
          <w:sz w:val="24"/>
          <w:szCs w:val="24"/>
          <w:lang w:val="en-US" w:eastAsia="zh-CN"/>
        </w:rPr>
        <w:t xml:space="preserve">符合以上要求得1分；</w:t>
      </w:r>
      <w:r/>
    </w:p>
    <w:p>
      <w:pPr>
        <w:ind w:firstLine="480"/>
        <w:jc w:val="left"/>
        <w:spacing w:line="360" w:lineRule="auto"/>
        <w:rPr>
          <w:rFonts w:ascii="宋体" w:hAnsi="宋体"/>
          <w:bCs/>
          <w:color w:val="000000"/>
          <w:sz w:val="24"/>
          <w:szCs w:val="24"/>
        </w:rPr>
      </w:pPr>
      <w:r>
        <w:rPr>
          <w:rFonts w:hint="eastAsia" w:ascii="宋体" w:hAnsi="宋体"/>
          <w:color w:val="auto"/>
          <w:sz w:val="24"/>
          <w:szCs w:val="24"/>
        </w:rPr>
        <w:t xml:space="preserve">由评委根据实验的效果及实</w:t>
      </w:r>
      <w:r>
        <w:rPr>
          <w:rFonts w:hint="eastAsia" w:ascii="宋体" w:hAnsi="宋体"/>
          <w:sz w:val="24"/>
          <w:szCs w:val="24"/>
        </w:rPr>
        <w:t xml:space="preserve">用性</w:t>
      </w:r>
      <w:r>
        <w:rPr>
          <w:rFonts w:hint="eastAsia" w:ascii="宋体" w:hAnsi="宋体"/>
          <w:sz w:val="24"/>
          <w:szCs w:val="24"/>
          <w:lang w:val="en-US" w:eastAsia="zh-CN"/>
        </w:rPr>
        <w:t xml:space="preserve">打分</w:t>
      </w:r>
      <w:r>
        <w:rPr>
          <w:rFonts w:hint="eastAsia" w:ascii="宋体" w:hAnsi="宋体"/>
          <w:sz w:val="24"/>
          <w:szCs w:val="24"/>
        </w:rPr>
        <w:t xml:space="preserve">，无演示或演示失败的，不得分。</w:t>
      </w:r>
      <w:r/>
    </w:p>
    <w:p>
      <w:pPr>
        <w:numPr>
          <w:ilvl w:val="0"/>
          <w:numId w:val="4"/>
        </w:numPr>
        <w:ind w:left="0"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商务部分（16分）</w:t>
      </w:r>
      <w:r/>
    </w:p>
    <w:p>
      <w:pPr>
        <w:numPr>
          <w:ilvl w:val="0"/>
          <w:numId w:val="0"/>
        </w:numPr>
        <w:ind w:firstLine="482"/>
        <w:jc w:val="left"/>
        <w:spacing w:line="360" w:lineRule="auto"/>
        <w:rPr>
          <w:rFonts w:hint="eastAsia" w:ascii="宋体" w:hAnsi="宋体" w:eastAsia="宋体" w:cs="宋体"/>
          <w:bCs/>
          <w:color w:val="000000"/>
          <w:sz w:val="24"/>
          <w:szCs w:val="24"/>
        </w:rPr>
      </w:pPr>
      <w:r>
        <w:rPr>
          <w:rFonts w:hint="eastAsia" w:ascii="宋体" w:hAnsi="宋体" w:eastAsia="宋体" w:cs="宋体"/>
          <w:b/>
          <w:bCs/>
          <w:color w:val="000000"/>
          <w:sz w:val="24"/>
          <w:szCs w:val="24"/>
          <w:lang w:val="en-US" w:eastAsia="zh-CN"/>
        </w:rPr>
        <w:t xml:space="preserve">4.1</w:t>
      </w:r>
      <w:r>
        <w:rPr>
          <w:rFonts w:hint="eastAsia" w:ascii="宋体" w:hAnsi="宋体" w:eastAsia="宋体" w:cs="宋体"/>
          <w:b/>
          <w:bCs/>
          <w:color w:val="000000"/>
          <w:sz w:val="24"/>
          <w:szCs w:val="24"/>
        </w:rPr>
        <w:t xml:space="preserve">认证证书（</w:t>
      </w:r>
      <w:r>
        <w:rPr>
          <w:rFonts w:hint="eastAsia" w:ascii="宋体" w:hAnsi="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分）</w:t>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.1.1 </w:t>
      </w:r>
      <w:r>
        <w:rPr>
          <w:rStyle w:val="897"/>
          <w:rFonts w:hint="eastAsia" w:ascii="宋体" w:hAnsi="宋体" w:eastAsia="宋体" w:cs="宋体"/>
          <w:bCs/>
          <w:color w:val="000000"/>
          <w:sz w:val="24"/>
          <w:szCs w:val="24"/>
        </w:rPr>
        <w:t xml:space="preserve">投标人或所投产品生产厂家具有有效期内的</w:t>
      </w:r>
      <w:r>
        <w:rPr>
          <w:rFonts w:hint="eastAsia" w:ascii="宋体" w:hAnsi="宋体" w:eastAsia="宋体" w:cs="宋体"/>
          <w:bCs/>
          <w:color w:val="000000"/>
          <w:sz w:val="24"/>
          <w:szCs w:val="24"/>
        </w:rPr>
        <w:t xml:space="preserve">质量管理体系认证</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环境管理体系认证、职业健康安全管理体系认证</w:t>
      </w:r>
      <w:r>
        <w:rPr>
          <w:rFonts w:hint="eastAsia" w:ascii="宋体" w:hAnsi="宋体" w:eastAsia="宋体" w:cs="宋体"/>
          <w:bCs/>
          <w:color w:val="000000"/>
          <w:sz w:val="24"/>
          <w:szCs w:val="24"/>
        </w:rPr>
        <w:t xml:space="preserve">证书，</w:t>
      </w:r>
      <w:r>
        <w:rPr>
          <w:rFonts w:hint="eastAsia" w:ascii="宋体" w:hAnsi="宋体" w:cs="宋体"/>
          <w:bCs/>
          <w:color w:val="000000"/>
          <w:sz w:val="24"/>
          <w:szCs w:val="24"/>
          <w:lang w:val="en-US" w:eastAsia="zh-CN"/>
        </w:rPr>
        <w:t xml:space="preserve">且认证范围包含实验室成套设备的生产和销售，每提供1份</w:t>
      </w:r>
      <w:r>
        <w:rPr>
          <w:rFonts w:hint="eastAsia" w:ascii="宋体" w:hAnsi="宋体" w:eastAsia="宋体" w:cs="宋体"/>
          <w:bCs/>
          <w:color w:val="000000"/>
          <w:sz w:val="24"/>
          <w:szCs w:val="24"/>
        </w:rPr>
        <w:t xml:space="preserve">得1分</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满分3分</w:t>
      </w:r>
      <w:r>
        <w:rPr>
          <w:rFonts w:hint="eastAsia" w:ascii="宋体" w:hAnsi="宋体" w:eastAsia="宋体" w:cs="宋体"/>
          <w:bCs/>
          <w:color w:val="000000"/>
          <w:sz w:val="24"/>
          <w:szCs w:val="24"/>
        </w:rPr>
        <w:t xml:space="preserve">。</w:t>
      </w:r>
      <w:r>
        <w:rPr>
          <w:rFonts w:hint="eastAsia" w:ascii="宋体" w:hAnsi="宋体" w:eastAsia="宋体" w:cs="宋体"/>
          <w:sz w:val="24"/>
        </w:rPr>
        <w:t xml:space="preserve">（提供证书扫描件</w:t>
      </w:r>
      <w:r>
        <w:rPr>
          <w:rFonts w:hint="eastAsia" w:ascii="宋体" w:hAnsi="宋体" w:eastAsia="宋体" w:cs="宋体"/>
          <w:color w:val="000000"/>
          <w:sz w:val="24"/>
        </w:rPr>
        <w:t xml:space="preserve">官网查询截图，认证证书查询官网“全国认证认可信息公共服务平台</w:t>
      </w:r>
      <w:r>
        <w:rPr>
          <w:rFonts w:hint="eastAsia" w:ascii="宋体" w:hAnsi="宋体" w:eastAsia="宋体" w:cs="宋体"/>
          <w:color w:val="000000" w:themeColor="text1"/>
          <w:sz w:val="24"/>
          <w14:textFill>
            <w14:solidFill>
              <w14:schemeClr w14:val="tx1"/>
            </w14:solidFill>
          </w14:textFill>
        </w:rPr>
        <w:fldChar w:fldCharType="begin"/>
      </w:r>
      <w:r>
        <w:rPr>
          <w:rFonts w:hint="eastAsia" w:ascii="宋体" w:hAnsi="宋体" w:eastAsia="宋体" w:cs="宋体"/>
          <w:color w:val="000000" w:themeColor="text1"/>
          <w:sz w:val="24"/>
          <w14:textFill>
            <w14:solidFill>
              <w14:schemeClr w14:val="tx1"/>
            </w14:solidFill>
          </w14:textFill>
        </w:rPr>
        <w:instrText xml:space="preserve"> HYPERLINK "http://cx.cnca.cn/CertECloud/index/index/page\”）" </w:instrText>
      </w:r>
      <w:r>
        <w:rPr>
          <w:rFonts w:hint="eastAsia" w:ascii="宋体" w:hAnsi="宋体" w:eastAsia="宋体" w:cs="宋体"/>
          <w:color w:val="000000" w:themeColor="text1"/>
          <w:sz w:val="24"/>
          <w14:textFill>
            <w14:solidFill>
              <w14:schemeClr w14:val="tx1"/>
            </w14:solidFill>
          </w14:textFill>
        </w:rPr>
        <w:fldChar w:fldCharType="separate"/>
      </w:r>
      <w:r>
        <w:rPr>
          <w:rStyle w:val="892"/>
          <w:rFonts w:hint="eastAsia" w:ascii="宋体" w:hAnsi="宋体" w:eastAsia="宋体" w:cs="宋体"/>
          <w:color w:val="000000" w:themeColor="text1"/>
          <w:sz w:val="24"/>
          <w14:textFill>
            <w14:solidFill>
              <w14:schemeClr w14:val="tx1"/>
            </w14:solidFill>
          </w14:textFill>
        </w:rPr>
        <w:t xml:space="preserve">http://cx.cnca.cn/CertECloud/index/index/page”）</w:t>
      </w:r>
      <w:r>
        <w:rPr>
          <w:rFonts w:hint="eastAsia" w:ascii="宋体" w:hAnsi="宋体" w:eastAsia="宋体" w:cs="宋体"/>
          <w:color w:val="000000" w:themeColor="text1"/>
          <w:sz w:val="24"/>
          <w14:textFill>
            <w14:solidFill>
              <w14:schemeClr w14:val="tx1"/>
            </w14:solidFill>
          </w14:textFill>
        </w:rPr>
        <w:fldChar w:fldCharType="end"/>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.1.2 </w:t>
      </w:r>
      <w:r>
        <w:rPr>
          <w:rFonts w:hint="eastAsia" w:ascii="宋体" w:hAnsi="宋体" w:eastAsia="宋体" w:cs="宋体"/>
          <w:color w:val="000000"/>
          <w:sz w:val="24"/>
        </w:rPr>
        <w:t xml:space="preserve">投标人或所投产品生产厂家具有供应链安全管理体系、信息安全管理体系、知识产权管理体系认证证书，认证范围需包括实验室成套设备的生产和销售，有</w:t>
      </w:r>
      <w:r>
        <w:rPr>
          <w:rFonts w:hint="eastAsia" w:ascii="宋体" w:hAnsi="宋体" w:eastAsia="宋体" w:cs="宋体"/>
          <w:bCs/>
          <w:color w:val="000000"/>
          <w:sz w:val="24"/>
          <w:szCs w:val="24"/>
        </w:rPr>
        <w:t xml:space="preserve">一个得1分，共3分。</w:t>
      </w:r>
      <w:r>
        <w:rPr>
          <w:rFonts w:hint="eastAsia" w:ascii="宋体" w:hAnsi="宋体" w:eastAsia="宋体" w:cs="宋体"/>
          <w:sz w:val="24"/>
        </w:rPr>
        <w:t xml:space="preserve">（提供证书扫描件</w:t>
      </w:r>
      <w:r>
        <w:rPr>
          <w:rFonts w:hint="eastAsia" w:ascii="宋体" w:hAnsi="宋体" w:eastAsia="宋体" w:cs="宋体"/>
          <w:color w:val="000000"/>
          <w:sz w:val="24"/>
        </w:rPr>
        <w:t xml:space="preserve">官网查询截图，认证证书查询官网“全国认证认可信息公共服务平台</w:t>
      </w:r>
      <w:r>
        <w:rPr>
          <w:rFonts w:hint="eastAsia" w:ascii="宋体" w:hAnsi="宋体" w:eastAsia="宋体" w:cs="宋体"/>
          <w:color w:val="000000" w:themeColor="text1"/>
          <w:sz w:val="24"/>
          <w14:textFill>
            <w14:solidFill>
              <w14:schemeClr w14:val="tx1"/>
            </w14:solidFill>
          </w14:textFill>
        </w:rPr>
        <w:fldChar w:fldCharType="begin"/>
      </w:r>
      <w:r>
        <w:rPr>
          <w:rFonts w:hint="eastAsia" w:ascii="宋体" w:hAnsi="宋体" w:eastAsia="宋体" w:cs="宋体"/>
          <w:color w:val="000000" w:themeColor="text1"/>
          <w:sz w:val="24"/>
          <w14:textFill>
            <w14:solidFill>
              <w14:schemeClr w14:val="tx1"/>
            </w14:solidFill>
          </w14:textFill>
        </w:rPr>
        <w:instrText xml:space="preserve"> HYPERLINK "http://cx.cnca.cn/CertECloud/index/index/page\”）" </w:instrText>
      </w:r>
      <w:r>
        <w:rPr>
          <w:rFonts w:hint="eastAsia" w:ascii="宋体" w:hAnsi="宋体" w:eastAsia="宋体" w:cs="宋体"/>
          <w:color w:val="000000" w:themeColor="text1"/>
          <w:sz w:val="24"/>
          <w14:textFill>
            <w14:solidFill>
              <w14:schemeClr w14:val="tx1"/>
            </w14:solidFill>
          </w14:textFill>
        </w:rPr>
        <w:fldChar w:fldCharType="separate"/>
      </w:r>
      <w:r>
        <w:rPr>
          <w:rStyle w:val="892"/>
          <w:rFonts w:hint="eastAsia" w:ascii="宋体" w:hAnsi="宋体" w:eastAsia="宋体" w:cs="宋体"/>
          <w:color w:val="000000" w:themeColor="text1"/>
          <w:sz w:val="24"/>
          <w14:textFill>
            <w14:solidFill>
              <w14:schemeClr w14:val="tx1"/>
            </w14:solidFill>
          </w14:textFill>
        </w:rPr>
        <w:t xml:space="preserve">http://cx.cnca.cn/CertECloud/index/index/page”）</w:t>
      </w:r>
      <w:r>
        <w:rPr>
          <w:rFonts w:hint="eastAsia" w:ascii="宋体" w:hAnsi="宋体" w:eastAsia="宋体" w:cs="宋体"/>
          <w:color w:val="000000" w:themeColor="text1"/>
          <w:sz w:val="24"/>
          <w14:textFill>
            <w14:solidFill>
              <w14:schemeClr w14:val="tx1"/>
            </w14:solidFill>
          </w14:textFill>
        </w:rPr>
        <w:fldChar w:fldCharType="end"/>
      </w:r>
      <w:r/>
    </w:p>
    <w:p>
      <w:pPr>
        <w:ind w:firstLine="480"/>
        <w:jc w:val="left"/>
        <w:spacing w:line="360" w:lineRule="auto"/>
        <w:rPr>
          <w:rFonts w:hint="eastAsia" w:ascii="宋体" w:hAnsi="宋体" w:eastAsia="宋体" w:cs="宋体"/>
          <w:sz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.1.3 </w:t>
      </w:r>
      <w:r>
        <w:rPr>
          <w:rFonts w:hint="eastAsia" w:ascii="宋体" w:hAnsi="宋体" w:eastAsia="宋体" w:cs="宋体"/>
          <w:color w:val="000000"/>
          <w:sz w:val="24"/>
        </w:rPr>
        <w:t xml:space="preserve">投标人或所投产品生产厂家获得符合 GB/T27922-2011《商品售后服务评价体系》规定要求的十星售后服务完善成熟度认证证书，获得五星售后服务认证证书，且证书覆盖实验室成套设备</w:t>
      </w:r>
      <w:r>
        <w:rPr>
          <w:rFonts w:hint="eastAsia" w:ascii="宋体" w:hAnsi="宋体" w:cs="宋体"/>
          <w:color w:val="000000"/>
          <w:sz w:val="24"/>
          <w:lang w:eastAsia="zh-CN"/>
        </w:rPr>
        <w:t xml:space="preserve">的</w:t>
      </w:r>
      <w:r>
        <w:rPr>
          <w:rFonts w:hint="eastAsia" w:ascii="宋体" w:hAnsi="宋体" w:cs="宋体"/>
          <w:color w:val="000000"/>
          <w:sz w:val="24"/>
          <w:lang w:val="en-US" w:eastAsia="zh-CN"/>
        </w:rPr>
        <w:t xml:space="preserve">售后服务</w:t>
      </w: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每提供1份</w:t>
      </w:r>
      <w:r>
        <w:rPr>
          <w:rFonts w:hint="eastAsia" w:ascii="宋体" w:hAnsi="宋体" w:eastAsia="宋体" w:cs="宋体"/>
          <w:color w:val="000000"/>
          <w:sz w:val="24"/>
        </w:rPr>
        <w:t xml:space="preserve">得1分，共2分。</w:t>
      </w:r>
      <w:r>
        <w:rPr>
          <w:rFonts w:hint="eastAsia" w:ascii="宋体" w:hAnsi="宋体" w:eastAsia="宋体" w:cs="宋体"/>
          <w:sz w:val="24"/>
        </w:rPr>
        <w:t xml:space="preserve">（提供证书扫描件</w:t>
      </w:r>
      <w:r>
        <w:rPr>
          <w:rFonts w:hint="eastAsia" w:ascii="宋体" w:hAnsi="宋体" w:eastAsia="宋体" w:cs="宋体"/>
          <w:color w:val="000000"/>
          <w:sz w:val="24"/>
        </w:rPr>
        <w:t xml:space="preserve">官网查询截图，认证证书查询官网“全国认证认可信息公共服务平台</w:t>
      </w:r>
      <w:r>
        <w:rPr>
          <w:rFonts w:hint="eastAsia" w:ascii="宋体" w:hAnsi="宋体" w:eastAsia="宋体" w:cs="宋体"/>
          <w:color w:val="000000" w:themeColor="text1"/>
          <w:sz w:val="24"/>
          <w14:textFill>
            <w14:solidFill>
              <w14:schemeClr w14:val="tx1"/>
            </w14:solidFill>
          </w14:textFill>
        </w:rPr>
        <w:fldChar w:fldCharType="begin"/>
      </w:r>
      <w:r>
        <w:rPr>
          <w:rFonts w:hint="eastAsia" w:ascii="宋体" w:hAnsi="宋体" w:eastAsia="宋体" w:cs="宋体"/>
          <w:color w:val="000000" w:themeColor="text1"/>
          <w:sz w:val="24"/>
          <w14:textFill>
            <w14:solidFill>
              <w14:schemeClr w14:val="tx1"/>
            </w14:solidFill>
          </w14:textFill>
        </w:rPr>
        <w:instrText xml:space="preserve"> HYPERLINK "http://cx.cnca.cn/CertECloud/index/index/page\”）" </w:instrText>
      </w:r>
      <w:r>
        <w:rPr>
          <w:rFonts w:hint="eastAsia" w:ascii="宋体" w:hAnsi="宋体" w:eastAsia="宋体" w:cs="宋体"/>
          <w:color w:val="000000" w:themeColor="text1"/>
          <w:sz w:val="24"/>
          <w14:textFill>
            <w14:solidFill>
              <w14:schemeClr w14:val="tx1"/>
            </w14:solidFill>
          </w14:textFill>
        </w:rPr>
        <w:fldChar w:fldCharType="separate"/>
      </w:r>
      <w:r>
        <w:rPr>
          <w:rStyle w:val="892"/>
          <w:rFonts w:hint="eastAsia" w:ascii="宋体" w:hAnsi="宋体" w:eastAsia="宋体" w:cs="宋体"/>
          <w:color w:val="000000" w:themeColor="text1"/>
          <w:sz w:val="24"/>
          <w14:textFill>
            <w14:solidFill>
              <w14:schemeClr w14:val="tx1"/>
            </w14:solidFill>
          </w14:textFill>
        </w:rPr>
        <w:t xml:space="preserve">http://cx.cnca.cn/CertECloud/index/index/page”）</w:t>
      </w:r>
      <w:r>
        <w:rPr>
          <w:rFonts w:hint="eastAsia" w:ascii="宋体" w:hAnsi="宋体" w:eastAsia="宋体" w:cs="宋体"/>
          <w:color w:val="000000" w:themeColor="text1"/>
          <w:sz w:val="24"/>
          <w14:textFill>
            <w14:solidFill>
              <w14:schemeClr w14:val="tx1"/>
            </w14:solidFill>
          </w14:textFill>
        </w:rPr>
        <w:fldChar w:fldCharType="end"/>
      </w:r>
      <w:r/>
    </w:p>
    <w:p>
      <w:pPr>
        <w:ind w:firstLine="480"/>
        <w:jc w:val="left"/>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4.1.4</w:t>
      </w:r>
      <w:r>
        <w:rPr>
          <w:rFonts w:hint="eastAsia" w:ascii="宋体" w:hAnsi="宋体" w:eastAsia="宋体" w:cs="宋体"/>
          <w:color w:val="000000"/>
          <w:sz w:val="24"/>
        </w:rPr>
        <w:t xml:space="preserve">投标人或所投产品生产厂家具有建筑装修装饰工程专业承包二级或以上</w:t>
      </w:r>
      <w:r>
        <w:rPr>
          <w:rFonts w:hint="eastAsia" w:ascii="宋体" w:hAnsi="宋体" w:cs="宋体"/>
          <w:color w:val="000000"/>
          <w:sz w:val="24"/>
          <w:lang w:val="en-US" w:eastAsia="zh-CN"/>
        </w:rPr>
        <w:t xml:space="preserve">证书</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具有</w:t>
      </w:r>
      <w:r>
        <w:rPr>
          <w:rFonts w:hint="eastAsia" w:ascii="宋体" w:hAnsi="宋体" w:eastAsia="宋体" w:cs="宋体"/>
          <w:color w:val="000000"/>
          <w:sz w:val="24"/>
          <w:lang w:eastAsia="zh-CN"/>
        </w:rPr>
        <w:t xml:space="preserve">机电安装工程专业承包三级或以上</w:t>
      </w:r>
      <w:r>
        <w:rPr>
          <w:rFonts w:hint="eastAsia" w:ascii="宋体" w:hAnsi="宋体" w:cs="宋体"/>
          <w:color w:val="000000"/>
          <w:sz w:val="24"/>
          <w:lang w:val="en-US" w:eastAsia="zh-CN"/>
        </w:rPr>
        <w:t xml:space="preserve">证书，有一个得1分，共2分。</w:t>
      </w:r>
      <w:r/>
    </w:p>
    <w:p>
      <w:pPr>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业绩（</w:t>
      </w:r>
      <w:r>
        <w:rPr>
          <w:rFonts w:hint="eastAsia" w:ascii="宋体" w:hAnsi="宋体" w:cs="宋体"/>
          <w:b/>
          <w:bCs/>
          <w:color w:val="000000"/>
          <w:sz w:val="24"/>
          <w:lang w:val="en-US" w:eastAsia="zh-CN"/>
        </w:rPr>
        <w:t xml:space="preserve">6</w:t>
      </w:r>
      <w:r>
        <w:rPr>
          <w:rFonts w:hint="eastAsia" w:ascii="宋体" w:hAnsi="宋体" w:eastAsia="宋体" w:cs="宋体"/>
          <w:b/>
          <w:bCs/>
          <w:color w:val="000000"/>
          <w:sz w:val="24"/>
        </w:rPr>
        <w:t xml:space="preserve">分）：</w:t>
      </w:r>
      <w:r>
        <w:rPr>
          <w:rFonts w:hint="eastAsia" w:ascii="宋体" w:hAnsi="宋体" w:eastAsia="宋体" w:cs="宋体"/>
          <w:color w:val="000000"/>
          <w:sz w:val="24"/>
        </w:rPr>
        <w:t xml:space="preserve">投标人或所投产品生产厂商在202</w:t>
      </w: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年1月1日以来具有类似实验室仪器设备供应业绩的，有1个得2分，本项最高得</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分。（提供有效的合同复印件，以合同签订日期为准）</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节能、环保产品</w:t>
      </w:r>
      <w:r>
        <w:rPr>
          <w:rFonts w:hint="eastAsia" w:ascii="宋体" w:hAnsi="宋体" w:eastAsia="宋体" w:cs="宋体"/>
          <w:color w:val="000000"/>
          <w:sz w:val="24"/>
          <w:szCs w:val="24"/>
        </w:rPr>
        <w:t xml:space="preserve">（3分）：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ind w:firstLine="480"/>
        <w:spacing w:line="360" w:lineRule="auto"/>
        <w:tabs>
          <w:tab w:val="left" w:pos="525" w:leader="none"/>
          <w:tab w:val="left" w:pos="945" w:leader="none"/>
          <w:tab w:val="left" w:pos="1155" w:leader="none"/>
        </w:tabs>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jc w:val="left"/>
        <w:spacing w:line="360" w:lineRule="auto"/>
        <w:rPr>
          <w:rFonts w:hint="default" w:ascii="宋体" w:hAnsi="宋体" w:eastAsia="宋体" w:cs="Times New Roman"/>
          <w:b/>
          <w:bCs w:val="0"/>
          <w:color w:val="ff0000"/>
          <w:sz w:val="24"/>
          <w:szCs w:val="24"/>
          <w:lang w:val="en-US" w:eastAsia="zh-CN" w:bidi="ar-SA"/>
        </w:rPr>
      </w:pPr>
      <w:r>
        <w:rPr>
          <w:rFonts w:hint="eastAsia" w:ascii="宋体" w:hAnsi="宋体" w:cs="Times New Roman"/>
          <w:b/>
          <w:bCs w:val="0"/>
          <w:color w:val="ff0000"/>
          <w:sz w:val="24"/>
          <w:szCs w:val="24"/>
          <w:lang w:val="en-US" w:eastAsia="zh-CN" w:bidi="ar-SA"/>
        </w:rPr>
        <w:t xml:space="preserve">附：一二层实验室平面布局图</w:t>
      </w:r>
      <w:r/>
    </w:p>
    <w:p>
      <w:pPr>
        <w:numPr>
          <w:ilvl w:val="0"/>
          <w:numId w:val="0"/>
        </w:numPr>
        <w:ind w:left="0" w:firstLine="0"/>
        <w:jc w:val="center"/>
        <w:spacing w:line="360" w:lineRule="auto"/>
        <w:tabs>
          <w:tab w:val="left" w:pos="945" w:leader="none"/>
          <w:tab w:val="left" w:pos="1155" w:leader="none"/>
          <w:tab w:val="left" w:pos="3823" w:leader="none"/>
        </w:tabs>
        <w:rPr>
          <w:rFonts w:ascii="宋体" w:hAnsi="宋体"/>
          <w:b w:val="0"/>
          <w:bCs w:val="0"/>
          <w:color w:val="000000"/>
          <w:sz w:val="24"/>
          <w:szCs w:val="24"/>
          <w:highlight w:val="none"/>
        </w:rPr>
      </w:pPr>
      <w:r>
        <mc:AlternateContent>
          <mc:Choice Requires="wpg">
            <w:drawing>
              <wp:inline xmlns:wp="http://schemas.openxmlformats.org/drawingml/2006/wordprocessingDrawing" distT="0" distB="0" distL="0" distR="0">
                <wp:extent cx="5558790" cy="2345055"/>
                <wp:effectExtent l="0" t="0" r="3810" b="171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5558790" cy="2345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7.7pt;height:184.6pt;mso-wrap-distance-left:0.0pt;mso-wrap-distance-top:0.0pt;mso-wrap-distance-right:0.0pt;mso-wrap-distance-bottom:0.0pt;" stroked="f">
                <v:path textboxrect="0,0,0,0"/>
                <v:imagedata r:id="rId14" o:title=""/>
              </v:shape>
            </w:pict>
          </mc:Fallback>
        </mc:AlternateContent>
      </w:r>
      <w:r/>
    </w:p>
    <w:p>
      <w:pPr>
        <w:rPr>
          <w:rFonts w:hint="eastAsia" w:ascii="黑体" w:eastAsia="黑体"/>
          <w:bCs/>
          <w:color w:val="000000"/>
          <w:sz w:val="36"/>
          <w:szCs w:val="36"/>
        </w:rPr>
      </w:pPr>
      <w:r>
        <w:rPr>
          <w:rFonts w:hint="eastAsia" w:ascii="黑体" w:eastAsia="黑体"/>
          <w:bCs/>
          <w:color w:val="000000"/>
          <w:sz w:val="36"/>
          <w:szCs w:val="36"/>
        </w:rPr>
      </w:r>
      <w:r/>
    </w:p>
    <w:p>
      <w:pPr>
        <w:rPr>
          <w:rFonts w:hint="eastAsia" w:ascii="黑体" w:eastAsia="黑体"/>
          <w:bCs/>
          <w:color w:val="000000"/>
          <w:sz w:val="36"/>
          <w:szCs w:val="36"/>
        </w:rPr>
      </w:pPr>
      <w:r>
        <mc:AlternateContent>
          <mc:Choice Requires="wpg">
            <w:drawing>
              <wp:inline xmlns:wp="http://schemas.openxmlformats.org/drawingml/2006/wordprocessingDrawing" distT="0" distB="0" distL="0" distR="0">
                <wp:extent cx="5667375" cy="2809875"/>
                <wp:effectExtent l="0" t="0" r="9525" b="952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667375" cy="280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6.2pt;height:221.2pt;mso-wrap-distance-left:0.0pt;mso-wrap-distance-top:0.0pt;mso-wrap-distance-right:0.0pt;mso-wrap-distance-bottom:0.0pt;" stroked="f">
                <v:path textboxrect="0,0,0,0"/>
                <v:imagedata r:id="rId15" o:title=""/>
              </v:shape>
            </w:pict>
          </mc:Fallback>
        </mc:AlternateContent>
      </w:r>
      <w:r>
        <w:rPr>
          <w:rFonts w:hint="eastAsia" w:ascii="黑体" w:eastAsia="黑体"/>
          <w:bCs/>
          <w:color w:val="000000"/>
          <w:sz w:val="36"/>
          <w:szCs w:val="36"/>
        </w:rPr>
        <w:br w:type="page" w:clear="all"/>
      </w:r>
      <w:r/>
    </w:p>
    <w:p>
      <w:pPr>
        <w:jc w:val="center"/>
        <w:spacing w:line="500" w:lineRule="exact"/>
        <w:rPr>
          <w:rFonts w:ascii="黑体" w:eastAsia="黑体"/>
          <w:bCs/>
          <w:color w:val="000000"/>
          <w:sz w:val="36"/>
          <w:szCs w:val="36"/>
        </w:rPr>
      </w:pPr>
      <w:r>
        <w:rPr>
          <w:rFonts w:hint="eastAsia" w:ascii="黑体" w:eastAsia="黑体"/>
          <w:bCs/>
          <w:color w:val="000000"/>
          <w:sz w:val="36"/>
          <w:szCs w:val="36"/>
        </w:rPr>
        <w:t xml:space="preserve">第六章  投标文件内容与格式</w:t>
      </w:r>
      <w:r/>
    </w:p>
    <w:p>
      <w:pPr>
        <w:pStyle w:val="894"/>
        <w:ind w:firstLine="602"/>
        <w:spacing w:before="0" w:after="0" w:line="500" w:lineRule="exact"/>
        <w:rPr>
          <w:rFonts w:cs="Arial"/>
          <w:b/>
          <w:color w:val="000000"/>
          <w:sz w:val="30"/>
          <w:szCs w:val="30"/>
        </w:rPr>
      </w:pPr>
      <w:r/>
      <w:bookmarkStart w:id="192" w:name="_Hlt26671244"/>
      <w:r/>
      <w:bookmarkEnd w:id="192"/>
      <w:r/>
      <w:bookmarkStart w:id="193" w:name="_Hlt26955039"/>
      <w:r/>
      <w:bookmarkEnd w:id="193"/>
      <w:r/>
      <w:bookmarkStart w:id="194" w:name="_Toc120614282"/>
      <w:r/>
      <w:bookmarkStart w:id="195" w:name="_Toc49090576"/>
      <w:r/>
      <w:bookmarkStart w:id="196" w:name="_Toc26554094"/>
      <w:r>
        <w:rPr>
          <w:rFonts w:hint="eastAsia" w:cs="Arial"/>
          <w:b/>
          <w:color w:val="000000"/>
          <w:sz w:val="30"/>
          <w:szCs w:val="30"/>
        </w:rPr>
        <w:t xml:space="preserve">第一部分  投标文件内容</w:t>
      </w:r>
      <w:r/>
    </w:p>
    <w:p>
      <w:pPr>
        <w:pStyle w:val="894"/>
        <w:ind w:firstLine="0"/>
        <w:spacing w:before="0" w:after="0" w:line="500" w:lineRule="exact"/>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88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94"/>
              <w:ind w:firstLine="0"/>
              <w:jc w:val="center"/>
              <w:spacing w:before="0" w:after="0" w:line="240" w:lineRule="auto"/>
              <w:rPr>
                <w:rFonts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894"/>
              <w:jc w:val="center"/>
              <w:spacing w:before="0" w:after="0" w:line="240" w:lineRule="auto"/>
              <w:rPr>
                <w:rFonts w:ascii="宋体" w:hAnsi="宋体" w:cs="宋体"/>
                <w:b/>
                <w:color w:val="000000"/>
              </w:rPr>
            </w:pPr>
            <w:r>
              <w:rPr>
                <w:rFonts w:hint="eastAsia" w:ascii="宋体" w:hAnsi="宋体" w:cs="宋体"/>
                <w:b/>
                <w:color w:val="000000"/>
              </w:rPr>
              <w:t xml:space="preserve">评审项目及评审要求</w:t>
            </w:r>
            <w:r/>
          </w:p>
        </w:tc>
        <w:tc>
          <w:tcPr>
            <w:tcW w:w="2449" w:type="dxa"/>
            <w:vAlign w:val="center"/>
            <w:textDirection w:val="lrTb"/>
            <w:noWrap w:val="false"/>
          </w:tcPr>
          <w:p>
            <w:pPr>
              <w:pStyle w:val="894"/>
              <w:ind w:firstLine="0"/>
              <w:jc w:val="center"/>
              <w:spacing w:before="0" w:after="0" w:line="240" w:lineRule="auto"/>
              <w:rPr>
                <w:rFonts w:ascii="宋体" w:hAnsi="宋体" w:cs="宋体"/>
                <w:b/>
                <w:color w:val="000000"/>
              </w:rPr>
            </w:pPr>
            <w:r>
              <w:rPr>
                <w:rFonts w:hint="eastAsia" w:ascii="宋体" w:hAnsi="宋体" w:cs="宋体"/>
                <w:b/>
                <w:color w:val="000000"/>
              </w:rPr>
              <w:t xml:space="preserve">审查因素</w:t>
            </w:r>
            <w:r/>
          </w:p>
        </w:tc>
      </w:tr>
      <w:tr>
        <w:trPr>
          <w:cantSplit/>
          <w:jc w:val="center"/>
          <w:trHeight w:val="1335"/>
        </w:trPr>
        <w:tc>
          <w:tcPr>
            <w:tcW w:w="719" w:type="dxa"/>
            <w:vAlign w:val="center"/>
            <w:textDirection w:val="lrTb"/>
            <w:noWrap w:val="false"/>
          </w:tcPr>
          <w:p>
            <w:pPr>
              <w:pStyle w:val="894"/>
              <w:ind w:firstLine="0"/>
              <w:jc w:val="center"/>
              <w:spacing w:before="0" w:after="0" w:line="240" w:lineRule="auto"/>
              <w:rPr>
                <w:rFonts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894"/>
              <w:ind w:firstLine="0"/>
              <w:jc w:val="both"/>
              <w:spacing w:before="0" w:after="0" w:line="240" w:lineRule="auto"/>
              <w:rPr>
                <w:rFonts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94"/>
              <w:ind w:firstLine="0"/>
              <w:spacing w:before="0" w:after="0" w:line="240" w:lineRule="auto"/>
              <w:rPr>
                <w:rFonts w:ascii="宋体" w:hAnsi="宋体" w:cs="宋体"/>
                <w:color w:val="000000"/>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894"/>
              <w:ind w:firstLine="0"/>
              <w:jc w:val="center"/>
              <w:spacing w:before="0" w:after="0" w:line="240" w:lineRule="auto"/>
              <w:rPr>
                <w:rFonts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894"/>
              <w:ind w:firstLine="0"/>
              <w:jc w:val="both"/>
              <w:spacing w:before="0" w:after="0" w:line="240" w:lineRule="auto"/>
              <w:rPr>
                <w:rFonts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894"/>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684"/>
        </w:trPr>
        <w:tc>
          <w:tcPr>
            <w:tcW w:w="719" w:type="dxa"/>
            <w:vAlign w:val="center"/>
            <w:textDirection w:val="lrTb"/>
            <w:noWrap w:val="false"/>
          </w:tcPr>
          <w:p>
            <w:pPr>
              <w:pStyle w:val="894"/>
              <w:ind w:firstLine="0"/>
              <w:jc w:val="center"/>
              <w:spacing w:before="0" w:after="0" w:line="240" w:lineRule="auto"/>
              <w:rPr>
                <w:rFonts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894"/>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93"/>
                <w:rFonts w:hint="eastAsia" w:ascii="宋体" w:hAnsi="宋体" w:cs="宋体"/>
                <w:color w:val="000000"/>
                <w:sz w:val="24"/>
                <w:szCs w:val="24"/>
              </w:rPr>
              <w:t xml:space="preserve">。</w:t>
            </w:r>
            <w:r/>
          </w:p>
        </w:tc>
        <w:tc>
          <w:tcPr>
            <w:tcW w:w="2449" w:type="dxa"/>
            <w:vAlign w:val="center"/>
            <w:vMerge w:val="continue"/>
            <w:textDirection w:val="lrTb"/>
            <w:noWrap w:val="false"/>
          </w:tcPr>
          <w:p>
            <w:pPr>
              <w:pStyle w:val="894"/>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963"/>
        </w:trPr>
        <w:tc>
          <w:tcPr>
            <w:tcW w:w="719" w:type="dxa"/>
            <w:vAlign w:val="center"/>
            <w:textDirection w:val="lrTb"/>
            <w:noWrap w:val="false"/>
          </w:tcPr>
          <w:p>
            <w:pPr>
              <w:pStyle w:val="894"/>
              <w:ind w:firstLine="0"/>
              <w:jc w:val="center"/>
              <w:spacing w:before="0" w:after="0" w:line="240" w:lineRule="auto"/>
              <w:rPr>
                <w:rFonts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894"/>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的依法缴纳税收的相关材料（提供相关主管部门证明或银行代扣证明）。</w:t>
            </w:r>
            <w:r/>
          </w:p>
        </w:tc>
        <w:tc>
          <w:tcPr>
            <w:tcW w:w="2449" w:type="dxa"/>
            <w:vAlign w:val="center"/>
            <w:vMerge w:val="continue"/>
            <w:textDirection w:val="lrTb"/>
            <w:noWrap w:val="false"/>
          </w:tcPr>
          <w:p>
            <w:pPr>
              <w:pStyle w:val="894"/>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1023"/>
        </w:trPr>
        <w:tc>
          <w:tcPr>
            <w:tcW w:w="719" w:type="dxa"/>
            <w:vAlign w:val="center"/>
            <w:textDirection w:val="lrTb"/>
            <w:noWrap w:val="false"/>
          </w:tcPr>
          <w:p>
            <w:pPr>
              <w:pStyle w:val="894"/>
              <w:ind w:firstLine="0"/>
              <w:jc w:val="center"/>
              <w:spacing w:before="0" w:after="0" w:line="240" w:lineRule="auto"/>
              <w:rPr>
                <w:rFonts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894"/>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的依法缴纳社会保障资金的相关材料（提供相关主管部门证明或银行代扣证明）。</w:t>
            </w:r>
            <w:r/>
          </w:p>
        </w:tc>
        <w:tc>
          <w:tcPr>
            <w:tcW w:w="2449" w:type="dxa"/>
            <w:vAlign w:val="center"/>
            <w:vMerge w:val="continue"/>
            <w:textDirection w:val="lrTb"/>
            <w:noWrap w:val="false"/>
          </w:tcPr>
          <w:p>
            <w:pPr>
              <w:pStyle w:val="894"/>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705"/>
        </w:trPr>
        <w:tc>
          <w:tcPr>
            <w:tcBorders>
              <w:bottom w:val="single" w:color="000000" w:sz="4" w:space="0"/>
            </w:tcBorders>
            <w:tcW w:w="719" w:type="dxa"/>
            <w:vAlign w:val="center"/>
            <w:textDirection w:val="lrTb"/>
            <w:noWrap w:val="false"/>
          </w:tcPr>
          <w:p>
            <w:pPr>
              <w:pStyle w:val="894"/>
              <w:ind w:firstLine="0"/>
              <w:jc w:val="center"/>
              <w:spacing w:before="0" w:after="0" w:line="240" w:lineRule="auto"/>
              <w:rPr>
                <w:rFonts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894"/>
              <w:ind w:firstLine="0"/>
              <w:jc w:val="both"/>
              <w:spacing w:before="0" w:after="0" w:line="240" w:lineRule="auto"/>
              <w:rPr>
                <w:rFonts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894"/>
              <w:ind w:firstLine="0"/>
              <w:spacing w:before="0" w:after="0" w:line="240" w:lineRule="auto"/>
              <w:rPr>
                <w:rFonts w:ascii="宋体" w:hAnsi="宋体" w:cs="宋体"/>
                <w:color w:val="000000"/>
              </w:rPr>
            </w:pPr>
            <w:r>
              <w:rPr>
                <w:rFonts w:ascii="宋体" w:hAnsi="宋体" w:cs="宋体"/>
                <w:color w:val="000000"/>
              </w:rPr>
            </w:r>
            <w:r/>
          </w:p>
        </w:tc>
      </w:tr>
      <w:tr>
        <w:trPr>
          <w:cantSplit/>
          <w:jc w:val="center"/>
          <w:trHeight w:val="700"/>
        </w:trPr>
        <w:tc>
          <w:tcPr>
            <w:tcW w:w="719" w:type="dxa"/>
            <w:vAlign w:val="center"/>
            <w:textDirection w:val="lrTb"/>
            <w:noWrap w:val="false"/>
          </w:tcPr>
          <w:p>
            <w:pPr>
              <w:pStyle w:val="894"/>
              <w:ind w:firstLine="0"/>
              <w:jc w:val="center"/>
              <w:spacing w:before="0" w:after="0" w:line="240" w:lineRule="auto"/>
              <w:rPr>
                <w:rFonts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落实政府采购政策需满足的资格要求的证明文件（如有）</w:t>
            </w:r>
            <w:r/>
          </w:p>
        </w:tc>
        <w:tc>
          <w:tcPr>
            <w:tcW w:w="2449" w:type="dxa"/>
            <w:vAlign w:val="center"/>
            <w:vMerge w:val="continue"/>
            <w:textDirection w:val="lrTb"/>
            <w:noWrap w:val="false"/>
          </w:tcPr>
          <w:p>
            <w:pPr>
              <w:pStyle w:val="894"/>
              <w:ind w:firstLine="0"/>
              <w:spacing w:before="0" w:after="0" w:line="240" w:lineRule="auto"/>
              <w:rPr>
                <w:rFonts w:ascii="宋体" w:hAnsi="宋体" w:cs="宋体"/>
                <w:color w:val="000000"/>
              </w:rPr>
            </w:pPr>
            <w:r>
              <w:rPr>
                <w:rFonts w:ascii="宋体" w:hAnsi="宋体" w:cs="宋体"/>
                <w:color w:val="000000"/>
              </w:rPr>
            </w:r>
            <w:r/>
          </w:p>
        </w:tc>
      </w:tr>
      <w:tr>
        <w:trPr>
          <w:jc w:val="center"/>
          <w:trHeight w:val="726"/>
        </w:trPr>
        <w:tc>
          <w:tcPr>
            <w:tcW w:w="719" w:type="dxa"/>
            <w:vAlign w:val="center"/>
            <w:textDirection w:val="lrTb"/>
            <w:noWrap w:val="false"/>
          </w:tcPr>
          <w:p>
            <w:pPr>
              <w:pStyle w:val="894"/>
              <w:ind w:firstLine="0"/>
              <w:jc w:val="center"/>
              <w:spacing w:before="0" w:after="0" w:line="240" w:lineRule="auto"/>
              <w:rPr>
                <w:rFonts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894"/>
              <w:ind w:firstLine="0"/>
              <w:jc w:val="both"/>
              <w:spacing w:before="0" w:after="0" w:line="240" w:lineRule="auto"/>
              <w:rPr>
                <w:rFonts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p>
        </w:tc>
        <w:tc>
          <w:tcPr>
            <w:tcW w:w="2449" w:type="dxa"/>
            <w:vAlign w:val="center"/>
            <w:textDirection w:val="lrTb"/>
            <w:noWrap w:val="false"/>
          </w:tcPr>
          <w:p>
            <w:pPr>
              <w:pStyle w:val="894"/>
              <w:ind w:firstLine="0"/>
              <w:spacing w:before="0" w:after="0" w:line="240" w:lineRule="auto"/>
              <w:rPr>
                <w:rFonts w:ascii="宋体" w:hAnsi="宋体" w:cs="宋体"/>
                <w:bCs/>
                <w:color w:val="000000"/>
              </w:rPr>
            </w:pPr>
            <w:r>
              <w:rPr>
                <w:rFonts w:hint="eastAsia" w:ascii="宋体" w:hAnsi="宋体" w:cs="宋体"/>
                <w:color w:val="000000"/>
              </w:rPr>
              <w:t xml:space="preserve">特定资格要求，详见第一章《投标邀请》</w:t>
            </w:r>
            <w:r/>
          </w:p>
        </w:tc>
      </w:tr>
      <w:tr>
        <w:trPr>
          <w:jc w:val="center"/>
          <w:trHeight w:val="632"/>
        </w:trPr>
        <w:tc>
          <w:tcPr>
            <w:tcW w:w="719" w:type="dxa"/>
            <w:vAlign w:val="center"/>
            <w:textDirection w:val="lrTb"/>
            <w:noWrap w:val="false"/>
          </w:tcPr>
          <w:p>
            <w:pPr>
              <w:pStyle w:val="894"/>
              <w:ind w:firstLine="0"/>
              <w:jc w:val="center"/>
              <w:spacing w:before="0" w:after="0" w:line="240" w:lineRule="auto"/>
              <w:rPr>
                <w:rFonts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894"/>
              <w:ind w:firstLine="0"/>
              <w:jc w:val="both"/>
              <w:spacing w:before="0" w:after="0" w:line="240" w:lineRule="auto"/>
              <w:rPr>
                <w:rFonts w:ascii="宋体" w:hAnsi="宋体" w:cs="宋体"/>
                <w:bCs/>
                <w:color w:val="000000"/>
              </w:rPr>
            </w:pPr>
            <w:r>
              <w:rPr>
                <w:rFonts w:hint="eastAsia" w:ascii="宋体" w:hAnsi="宋体" w:cs="宋体"/>
                <w:bCs/>
                <w:color w:val="000000"/>
              </w:rPr>
              <w:t xml:space="preserve">《联合体协议》（如有，格式自拟）。</w:t>
            </w:r>
            <w:r/>
          </w:p>
        </w:tc>
        <w:tc>
          <w:tcPr>
            <w:tcW w:w="2449" w:type="dxa"/>
            <w:vAlign w:val="center"/>
            <w:textDirection w:val="lrTb"/>
            <w:noWrap w:val="false"/>
          </w:tcPr>
          <w:p>
            <w:pPr>
              <w:pStyle w:val="894"/>
              <w:ind w:firstLine="0"/>
              <w:spacing w:before="0" w:after="0" w:line="240" w:lineRule="auto"/>
              <w:rPr>
                <w:rFonts w:ascii="宋体" w:hAnsi="宋体" w:cs="宋体"/>
                <w:color w:val="000000"/>
              </w:rPr>
            </w:pPr>
            <w:r>
              <w:rPr>
                <w:rFonts w:hint="eastAsia" w:ascii="宋体" w:hAnsi="宋体"/>
                <w:color w:val="000000"/>
              </w:rPr>
              <w:t xml:space="preserve">如接受联合体投标且投标人为联合体时</w:t>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6"/>
        </w:numPr>
        <w:ind w:firstLine="480"/>
        <w:spacing w:line="500" w:lineRule="exact"/>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w:t>
      </w:r>
      <w:r>
        <w:rPr>
          <w:rFonts w:ascii="宋体" w:hAnsi="宋体"/>
          <w:color w:val="000000"/>
          <w:sz w:val="24"/>
          <w:szCs w:val="24"/>
        </w:rPr>
        <w:t xml:space="preserve">7</w:t>
      </w:r>
      <w:r>
        <w:rPr>
          <w:rFonts w:hint="eastAsia" w:ascii="宋体" w:hAnsi="宋体"/>
          <w:color w:val="000000"/>
          <w:sz w:val="24"/>
          <w:szCs w:val="24"/>
        </w:rPr>
        <w:t xml:space="preserve">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w:t>
      </w:r>
      <w:r>
        <w:rPr>
          <w:rFonts w:hint="eastAsia" w:ascii="宋体" w:hAnsi="宋体"/>
          <w:color w:val="000000"/>
          <w:sz w:val="24"/>
          <w:szCs w:val="24"/>
          <w:lang w:val="en-US" w:eastAsia="zh-CN"/>
        </w:rPr>
        <w:t xml:space="preserve">实</w:t>
      </w:r>
      <w:r>
        <w:rPr>
          <w:rFonts w:hint="eastAsia" w:ascii="宋体" w:hAnsi="宋体"/>
          <w:color w:val="000000"/>
          <w:sz w:val="24"/>
          <w:szCs w:val="24"/>
        </w:rPr>
        <w:t xml:space="preserve">无法提供</w:t>
      </w:r>
      <w:r>
        <w:rPr>
          <w:rFonts w:ascii="宋体" w:hAnsi="宋体"/>
          <w:color w:val="000000"/>
          <w:sz w:val="24"/>
          <w:szCs w:val="24"/>
        </w:rPr>
        <w:t xml:space="preserve">的，可以不提供。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894"/>
              <w:ind w:firstLine="0"/>
              <w:jc w:val="center"/>
              <w:spacing w:before="0" w:after="0" w:line="240" w:lineRule="auto"/>
              <w:rPr>
                <w:rFonts w:cs="Arial"/>
                <w:b/>
                <w:color w:val="000000"/>
              </w:rPr>
            </w:pPr>
            <w:r>
              <w:rPr>
                <w:rFonts w:hint="eastAsia" w:cs="Arial"/>
                <w:b/>
                <w:color w:val="000000"/>
              </w:rPr>
              <w:t xml:space="preserve">序号</w:t>
            </w:r>
            <w:r/>
          </w:p>
        </w:tc>
        <w:tc>
          <w:tcPr>
            <w:tcW w:w="6095" w:type="dxa"/>
            <w:vAlign w:val="center"/>
            <w:textDirection w:val="lrTb"/>
            <w:noWrap w:val="false"/>
          </w:tcPr>
          <w:p>
            <w:pPr>
              <w:pStyle w:val="894"/>
              <w:ind w:firstLine="0"/>
              <w:jc w:val="center"/>
              <w:spacing w:before="0" w:after="0" w:line="240" w:lineRule="auto"/>
              <w:rPr>
                <w:rFonts w:cs="Arial"/>
                <w:b/>
                <w:color w:val="000000"/>
              </w:rPr>
            </w:pPr>
            <w:r>
              <w:rPr>
                <w:rFonts w:hint="eastAsia" w:ascii="宋体" w:hAnsi="宋体" w:cs="宋体"/>
                <w:b/>
                <w:color w:val="000000"/>
              </w:rPr>
              <w:t xml:space="preserve">评审项及评审要求</w:t>
            </w:r>
            <w:r/>
          </w:p>
        </w:tc>
        <w:tc>
          <w:tcPr>
            <w:tcW w:w="1979" w:type="dxa"/>
            <w:vAlign w:val="center"/>
            <w:textDirection w:val="lrTb"/>
            <w:noWrap w:val="false"/>
          </w:tcPr>
          <w:p>
            <w:pPr>
              <w:pStyle w:val="894"/>
              <w:ind w:firstLine="0"/>
              <w:jc w:val="center"/>
              <w:spacing w:before="0" w:after="0" w:line="240" w:lineRule="auto"/>
              <w:rPr>
                <w:rFonts w:cs="Arial"/>
                <w:b/>
                <w:color w:val="000000"/>
              </w:rPr>
            </w:pPr>
            <w:r>
              <w:rPr>
                <w:rFonts w:hint="eastAsia" w:cs="Arial"/>
                <w:b/>
                <w:color w:val="000000"/>
              </w:rPr>
              <w:t xml:space="preserve">审查因素</w:t>
            </w:r>
            <w:r/>
          </w:p>
        </w:tc>
      </w:tr>
      <w:tr>
        <w:trPr>
          <w:cantSplit/>
          <w:jc w:val="center"/>
          <w:trHeight w:val="567"/>
        </w:trPr>
        <w:tc>
          <w:tcPr>
            <w:tcW w:w="823" w:type="dxa"/>
            <w:vAlign w:val="center"/>
            <w:textDirection w:val="lrTb"/>
            <w:noWrap w:val="false"/>
          </w:tcPr>
          <w:p>
            <w:pPr>
              <w:pStyle w:val="894"/>
              <w:ind w:firstLine="0"/>
              <w:jc w:val="center"/>
              <w:spacing w:before="0" w:after="0" w:line="24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894"/>
              <w:ind w:firstLine="0"/>
              <w:jc w:val="both"/>
              <w:spacing w:before="0" w:after="0" w:line="24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894"/>
              <w:ind w:firstLine="0"/>
              <w:jc w:val="both"/>
              <w:spacing w:before="0" w:after="0" w:line="240" w:lineRule="auto"/>
              <w:rPr>
                <w:rFonts w:cs="Arial"/>
                <w:color w:val="000000"/>
              </w:rPr>
            </w:pPr>
            <w:r>
              <w:rPr>
                <w:rFonts w:hint="eastAsia" w:cs="Arial"/>
                <w:color w:val="000000"/>
              </w:rPr>
              <w:t xml:space="preserve">符合性证明文件</w:t>
            </w:r>
            <w:r/>
          </w:p>
        </w:tc>
      </w:tr>
      <w:tr>
        <w:trPr>
          <w:cantSplit/>
          <w:jc w:val="center"/>
          <w:trHeight w:val="567"/>
        </w:trPr>
        <w:tc>
          <w:tcPr>
            <w:tcW w:w="823" w:type="dxa"/>
            <w:vAlign w:val="center"/>
            <w:textDirection w:val="lrTb"/>
            <w:noWrap w:val="false"/>
          </w:tcPr>
          <w:p>
            <w:pPr>
              <w:pStyle w:val="894"/>
              <w:ind w:firstLine="0"/>
              <w:jc w:val="center"/>
              <w:spacing w:before="0" w:after="0" w:line="240" w:lineRule="auto"/>
              <w:rPr>
                <w:rFonts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894"/>
              <w:ind w:firstLine="0"/>
              <w:jc w:val="both"/>
              <w:spacing w:before="0" w:after="0" w:line="24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894"/>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894"/>
              <w:ind w:firstLine="0"/>
              <w:jc w:val="center"/>
              <w:spacing w:before="0" w:after="0" w:line="240" w:lineRule="auto"/>
              <w:rPr>
                <w:rFonts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894"/>
              <w:ind w:firstLine="0"/>
              <w:jc w:val="both"/>
              <w:spacing w:before="0" w:after="0" w:line="240" w:lineRule="auto"/>
              <w:rPr>
                <w:rFonts w:ascii="宋体" w:hAnsi="宋体" w:cs="Arial"/>
                <w:color w:val="000000"/>
              </w:rPr>
            </w:pPr>
            <w:r>
              <w:rPr>
                <w:rFonts w:hint="eastAsia" w:ascii="宋体" w:hAnsi="宋体"/>
                <w:color w:val="000000"/>
              </w:rPr>
              <w:t xml:space="preserve">开标一览表（给定格式）</w:t>
            </w:r>
            <w:r/>
          </w:p>
        </w:tc>
        <w:tc>
          <w:tcPr>
            <w:tcW w:w="1979" w:type="dxa"/>
            <w:vAlign w:val="center"/>
            <w:vMerge w:val="continue"/>
            <w:textDirection w:val="lrTb"/>
            <w:noWrap w:val="false"/>
          </w:tcPr>
          <w:p>
            <w:pPr>
              <w:pStyle w:val="894"/>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894"/>
              <w:ind w:firstLine="0"/>
              <w:jc w:val="center"/>
              <w:spacing w:before="0" w:after="0" w:line="24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894"/>
              <w:ind w:firstLine="0"/>
              <w:jc w:val="both"/>
              <w:spacing w:before="0" w:after="0" w:line="240" w:lineRule="auto"/>
              <w:rPr>
                <w:rFonts w:ascii="宋体" w:hAnsi="宋体" w:cs="Arial"/>
                <w:color w:val="000000"/>
              </w:rPr>
            </w:pPr>
            <w:r>
              <w:rPr>
                <w:rFonts w:hint="eastAsia" w:ascii="宋体" w:hAnsi="宋体"/>
                <w:color w:val="000000"/>
              </w:rPr>
              <w:t xml:space="preserve">明细报价表（给定格式）</w:t>
            </w:r>
            <w:r/>
          </w:p>
        </w:tc>
        <w:tc>
          <w:tcPr>
            <w:tcW w:w="1979" w:type="dxa"/>
            <w:vAlign w:val="center"/>
            <w:vMerge w:val="continue"/>
            <w:textDirection w:val="lrTb"/>
            <w:noWrap w:val="false"/>
          </w:tcPr>
          <w:p>
            <w:pPr>
              <w:pStyle w:val="894"/>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894"/>
              <w:ind w:firstLine="0"/>
              <w:jc w:val="center"/>
              <w:spacing w:before="0" w:after="0" w:line="24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894"/>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continue"/>
            <w:textDirection w:val="lrTb"/>
            <w:noWrap w:val="false"/>
          </w:tcPr>
          <w:p>
            <w:pPr>
              <w:pStyle w:val="894"/>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894"/>
              <w:ind w:firstLine="0"/>
              <w:jc w:val="center"/>
              <w:spacing w:before="0" w:after="0" w:line="24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894"/>
              <w:ind w:firstLine="0"/>
              <w:jc w:val="both"/>
              <w:spacing w:before="0" w:after="0" w:line="240" w:lineRule="auto"/>
              <w:rPr>
                <w:rFonts w:ascii="宋体" w:hAnsi="宋体"/>
                <w:color w:val="000000"/>
              </w:rPr>
            </w:pPr>
            <w:r>
              <w:rPr>
                <w:rFonts w:hint="eastAsia" w:ascii="宋体" w:hAnsi="宋体"/>
                <w:color w:val="000000"/>
              </w:rPr>
              <w:t xml:space="preserve">《采购需求》中如有要求须提供的证明文件</w:t>
            </w:r>
            <w:r/>
          </w:p>
        </w:tc>
        <w:tc>
          <w:tcPr>
            <w:tcW w:w="1979" w:type="dxa"/>
            <w:vAlign w:val="center"/>
            <w:vMerge w:val="continue"/>
            <w:textDirection w:val="lrTb"/>
            <w:noWrap w:val="false"/>
          </w:tcPr>
          <w:p>
            <w:pPr>
              <w:pStyle w:val="894"/>
              <w:ind w:firstLine="0"/>
              <w:jc w:val="both"/>
              <w:spacing w:before="0" w:after="0" w:line="240" w:lineRule="auto"/>
              <w:rPr>
                <w:rFonts w:cs="Arial"/>
                <w:color w:val="000000"/>
              </w:rPr>
            </w:pPr>
            <w:r>
              <w:rPr>
                <w:rFonts w:cs="Arial"/>
                <w:color w:val="000000"/>
              </w:rPr>
            </w:r>
            <w:r/>
          </w:p>
        </w:tc>
      </w:tr>
      <w:tr>
        <w:trPr>
          <w:cantSplit/>
          <w:jc w:val="center"/>
          <w:trHeight w:val="567"/>
        </w:trPr>
        <w:tc>
          <w:tcPr>
            <w:tcW w:w="823" w:type="dxa"/>
            <w:vAlign w:val="center"/>
            <w:textDirection w:val="lrTb"/>
            <w:noWrap w:val="false"/>
          </w:tcPr>
          <w:p>
            <w:pPr>
              <w:pStyle w:val="894"/>
              <w:ind w:firstLine="0"/>
              <w:jc w:val="center"/>
              <w:spacing w:before="0" w:after="0" w:line="24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894"/>
              <w:ind w:firstLine="0"/>
              <w:jc w:val="both"/>
              <w:spacing w:before="0" w:after="0" w:line="240" w:lineRule="auto"/>
              <w:rPr>
                <w:rFonts w:ascii="宋体" w:hAnsi="宋体"/>
                <w:color w:val="000000"/>
              </w:rPr>
            </w:pPr>
            <w:r>
              <w:rPr>
                <w:rFonts w:hint="eastAsia" w:ascii="宋体" w:hAnsi="宋体"/>
                <w:color w:val="000000"/>
              </w:rPr>
              <w:t xml:space="preserve">《评标方法与评标标准》中涉及的证明文件</w:t>
            </w:r>
            <w:r/>
          </w:p>
        </w:tc>
        <w:tc>
          <w:tcPr>
            <w:tcW w:w="1979" w:type="dxa"/>
            <w:vAlign w:val="center"/>
            <w:vMerge w:val="restart"/>
            <w:textDirection w:val="lrTb"/>
            <w:noWrap w:val="false"/>
          </w:tcPr>
          <w:p>
            <w:pPr>
              <w:pStyle w:val="894"/>
              <w:ind w:firstLine="0"/>
              <w:jc w:val="both"/>
              <w:spacing w:before="0" w:after="0" w:line="240" w:lineRule="auto"/>
              <w:rPr>
                <w:rFonts w:cs="Arial"/>
                <w:color w:val="000000"/>
              </w:rPr>
            </w:pPr>
            <w:r>
              <w:rPr>
                <w:rFonts w:hint="eastAsia" w:cs="Arial"/>
                <w:color w:val="000000"/>
              </w:rPr>
              <w:t xml:space="preserve">其他证明文件</w:t>
            </w:r>
            <w:r/>
          </w:p>
        </w:tc>
      </w:tr>
      <w:tr>
        <w:trPr>
          <w:cantSplit/>
          <w:jc w:val="center"/>
          <w:trHeight w:val="567"/>
        </w:trPr>
        <w:tc>
          <w:tcPr>
            <w:tcW w:w="823" w:type="dxa"/>
            <w:vAlign w:val="center"/>
            <w:textDirection w:val="lrTb"/>
            <w:noWrap w:val="false"/>
          </w:tcPr>
          <w:p>
            <w:pPr>
              <w:pStyle w:val="894"/>
              <w:ind w:firstLine="0"/>
              <w:jc w:val="center"/>
              <w:spacing w:before="0" w:after="0" w:line="240" w:lineRule="auto"/>
              <w:rPr>
                <w:rFonts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894"/>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Merge w:val="continue"/>
            <w:textDirection w:val="lrTb"/>
            <w:noWrap w:val="false"/>
          </w:tcPr>
          <w:p>
            <w:pPr>
              <w:pStyle w:val="894"/>
              <w:ind w:firstLine="0"/>
              <w:spacing w:before="0" w:after="0" w:line="240" w:lineRule="auto"/>
              <w:rPr>
                <w:rFonts w:cs="Arial"/>
                <w:color w:val="000000"/>
              </w:rPr>
            </w:pPr>
            <w:r>
              <w:rPr>
                <w:rFonts w:cs="Arial"/>
                <w:color w:val="000000"/>
              </w:rPr>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7"/>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p>
    <w:p>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894"/>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JSZC-320200-WXJY-G2025-0015</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梅村高中化学实验室设备更新项目</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898"/>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lang w:eastAsia="zh-CN"/>
        </w:rPr>
        <w:t xml:space="preserve">JSZC-320200-WXJY-G2025-0015</w:t>
      </w:r>
      <w:r>
        <w:rPr>
          <w:rFonts w:hint="eastAsia" w:ascii="宋体" w:hAnsi="宋体"/>
          <w:bCs/>
          <w:color w:val="000000"/>
          <w:sz w:val="24"/>
          <w:szCs w:val="24"/>
        </w:rPr>
        <w:t xml:space="preserve">项目，兹授权：</w:t>
      </w:r>
      <w:r/>
    </w:p>
    <w:p>
      <w:pPr>
        <w:pStyle w:val="898"/>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898"/>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898"/>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898"/>
        <w:ind w:firstLine="480"/>
        <w:keepLines w:val="0"/>
        <w:keepNext w:val="0"/>
        <w:pageBreakBefore w:val="0"/>
        <w:spacing w:line="360" w:lineRule="auto"/>
        <w:widowControl w:val="off"/>
        <w:rPr>
          <w:rFonts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898"/>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特此授权委托。</w:t>
      </w:r>
      <w:r/>
    </w:p>
    <w:p>
      <w:pPr>
        <w:pStyle w:val="898"/>
        <w:ind w:firstLine="0"/>
        <w:keepLines w:val="0"/>
        <w:keepNext w:val="0"/>
        <w:pageBreakBefore w:val="0"/>
        <w:spacing w:line="360" w:lineRule="auto"/>
        <w:widowControl w:val="off"/>
        <w:rPr>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898"/>
        <w:ind w:firstLine="0"/>
        <w:keepLines w:val="0"/>
        <w:keepNext w:val="0"/>
        <w:pageBreakBefore w:val="0"/>
        <w:spacing w:line="360" w:lineRule="auto"/>
        <w:widowControl w:val="off"/>
        <w:rPr>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p>
    <w:p>
      <w:pPr>
        <w:pStyle w:val="898"/>
        <w:ind w:firstLine="0"/>
        <w:keepLines w:val="0"/>
        <w:keepNext w:val="0"/>
        <w:pageBreakBefore w:val="0"/>
        <w:spacing w:line="360" w:lineRule="auto"/>
        <w:widowControl w:val="off"/>
        <w:rPr>
          <w:color w:val="000000"/>
          <w:sz w:val="24"/>
          <w:szCs w:val="24"/>
        </w:rPr>
      </w:pPr>
      <w:r>
        <w:rPr>
          <w:rFonts w:hint="eastAsia" w:ascii="宋体" w:hAnsi="宋体" w:cs="宋体"/>
          <w:b/>
          <w:color w:val="000000"/>
          <w:sz w:val="30"/>
          <w:lang w:eastAsia="zh-CN"/>
        </w:rPr>
        <w:t xml:space="preserve">（</w:t>
      </w:r>
      <w:r>
        <w:rPr>
          <w:rFonts w:hint="eastAsia" w:ascii="宋体" w:hAnsi="宋体" w:cs="宋体"/>
          <w:b/>
          <w:color w:val="000000"/>
          <w:sz w:val="30"/>
        </w:rPr>
        <w:t xml:space="preserve">被授权人身份证原件扫描件附后</w:t>
      </w:r>
      <w:r>
        <w:rPr>
          <w:rFonts w:hint="eastAsia" w:ascii="宋体" w:hAnsi="宋体" w:cs="宋体"/>
          <w:b/>
          <w:color w:val="000000"/>
          <w:sz w:val="30"/>
          <w:lang w:eastAsia="zh-CN"/>
        </w:rPr>
        <w:t xml:space="preserve">）</w:t>
      </w:r>
      <w:r/>
    </w:p>
    <w:p>
      <w:pPr>
        <w:pStyle w:val="898"/>
        <w:ind w:firstLine="0"/>
        <w:keepLines w:val="0"/>
        <w:keepNext w:val="0"/>
        <w:pageBreakBefore w:val="0"/>
        <w:spacing w:line="360" w:lineRule="auto"/>
        <w:widowControl w:val="off"/>
        <w:rPr>
          <w:color w:val="000000"/>
          <w:sz w:val="24"/>
          <w:szCs w:val="24"/>
        </w:rPr>
      </w:pPr>
      <w:r>
        <w:rPr>
          <w:rFonts w:hint="eastAsia"/>
          <w:color w:val="000000"/>
          <w:sz w:val="24"/>
          <w:szCs w:val="24"/>
        </w:rPr>
        <w:t xml:space="preserve">说明：</w:t>
      </w:r>
      <w:r/>
    </w:p>
    <w:p>
      <w:pPr>
        <w:pStyle w:val="898"/>
        <w:numPr>
          <w:ilvl w:val="0"/>
          <w:numId w:val="8"/>
        </w:numPr>
        <w:ind w:firstLine="48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898"/>
        <w:numPr>
          <w:ilvl w:val="0"/>
          <w:numId w:val="8"/>
        </w:numPr>
        <w:ind w:firstLine="48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处签字或盖章即可。</w:t>
      </w:r>
      <w:r/>
    </w:p>
    <w:p>
      <w:pPr>
        <w:pStyle w:val="898"/>
        <w:numPr>
          <w:ilvl w:val="0"/>
          <w:numId w:val="8"/>
        </w:numPr>
        <w:ind w:firstLine="48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898"/>
        <w:numPr>
          <w:ilvl w:val="0"/>
          <w:numId w:val="8"/>
        </w:numPr>
        <w:ind w:firstLine="480"/>
        <w:keepLines w:val="0"/>
        <w:keepNext w:val="0"/>
        <w:pageBreakBefore w:val="0"/>
        <w:spacing w:line="360" w:lineRule="auto"/>
        <w:widowControl w:val="off"/>
        <w:rPr>
          <w:rFonts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可在中国大陆有效居留的许可证明。</w:t>
      </w:r>
      <w:r/>
    </w:p>
    <w:p>
      <w:pPr>
        <w:pStyle w:val="898"/>
        <w:ind w:firstLine="0"/>
        <w:keepLines w:val="0"/>
        <w:keepNext w:val="0"/>
        <w:pageBreakBefore w:val="0"/>
        <w:spacing w:line="360" w:lineRule="auto"/>
        <w:widowControl w:val="off"/>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197" w:name="报价方关于资格的声明函（格式）"/>
      <w:r/>
      <w:bookmarkEnd w:id="197"/>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无锡市教育信息化和装备管理服务中心：</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宋体" w:hAnsi="宋体"/>
          <w:bCs/>
          <w:color w:val="000000"/>
          <w:sz w:val="24"/>
          <w:szCs w:val="24"/>
          <w:lang w:eastAsia="zh-CN"/>
        </w:rPr>
        <w:t xml:space="preserve">JSZC-320200-WXJY-G2025-0015</w:t>
      </w:r>
      <w:r>
        <w:rPr>
          <w:rFonts w:hint="eastAsia" w:ascii="宋体" w:hAnsi="宋体"/>
          <w:bCs/>
          <w:color w:val="000000"/>
          <w:sz w:val="24"/>
          <w:szCs w:val="24"/>
        </w:rPr>
        <w:t xml:space="preserve">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黑体" w:eastAsia="黑体"/>
          <w:bCs/>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ind w:firstLine="420"/>
        <w:spacing w:line="360" w:lineRule="auto"/>
        <w:rPr>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color w:val="000000"/>
          <w:lang w:eastAsia="zh-CN"/>
        </w:rPr>
        <w:t xml:space="preserve">只需</w:t>
      </w:r>
      <w:r>
        <w:rPr>
          <w:rFonts w:hint="eastAsia"/>
          <w:color w:val="000000"/>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rPr>
      </w:pPr>
      <w:r>
        <w:rPr>
          <w:rFonts w:hint="eastAsia"/>
          <w:color w:val="000000"/>
        </w:rPr>
        <w:t xml:space="preserve">（2）从业人员、营业收入、资产总额填报上一年度数据，无上一年度数据的新成立企业可不填报。</w:t>
      </w:r>
      <w:r/>
    </w:p>
    <w:p>
      <w:pPr>
        <w:ind w:firstLine="420"/>
        <w:spacing w:line="360" w:lineRule="auto"/>
        <w:rPr>
          <w:color w:val="000000"/>
        </w:rPr>
      </w:pPr>
      <w:r>
        <w:rPr>
          <w:rFonts w:hint="eastAsia"/>
          <w:color w:val="000000"/>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sz w:val="30"/>
          <w:szCs w:val="30"/>
        </w:rPr>
      </w:pPr>
      <w:r>
        <w:rPr>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spacing w:line="360" w:lineRule="auto"/>
        <w:rPr>
          <w:b/>
          <w:color w:val="000000"/>
          <w:sz w:val="30"/>
          <w:szCs w:val="30"/>
        </w:rPr>
      </w:pPr>
      <w:r>
        <w:rPr>
          <w:b/>
          <w:color w:val="000000"/>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致无锡市教育信息化和装备管理服务中心：</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JSZC-320200-WXJY-G2025-0015</w:t>
      </w:r>
      <w:r>
        <w:rPr>
          <w:rFonts w:hint="eastAsia" w:ascii="宋体" w:hAnsi="宋体"/>
          <w:bCs/>
          <w:color w:val="000000"/>
          <w:sz w:val="24"/>
          <w:szCs w:val="24"/>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91"/>
          <w:bCs/>
          <w:color w:val="000000"/>
        </w:rPr>
      </w:pPr>
      <w:r>
        <w:rPr>
          <w:rFonts w:hint="eastAsia" w:ascii="宋体" w:hAnsi="宋体"/>
          <w:bCs/>
          <w:color w:val="000000"/>
          <w:sz w:val="24"/>
          <w:szCs w:val="24"/>
        </w:rPr>
        <w:t xml:space="preserve">我方愿意提供无锡市教育信息化和装备管理服务中心在招标文件中要求的文件、资料。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w:t>
      </w:r>
      <w:r>
        <w:rPr>
          <w:rFonts w:hint="eastAsia" w:ascii="宋体" w:hAnsi="宋体"/>
          <w:bCs/>
          <w:color w:val="000000"/>
          <w:sz w:val="24"/>
          <w:szCs w:val="24"/>
          <w:lang w:eastAsia="zh-CN"/>
        </w:rPr>
        <w:t xml:space="preserve">缴纳</w:t>
      </w:r>
      <w:r>
        <w:rPr>
          <w:rFonts w:hint="eastAsia" w:ascii="宋体" w:hAnsi="宋体"/>
          <w:bCs/>
          <w:color w:val="000000"/>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供应商或者无锡市教育信息化和装备管理服务中心恶意串通、决不向采购人、无锡市教育信息化和装备管理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ind w:firstLine="480"/>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p>
    <w:p>
      <w:pPr>
        <w:jc w:val="center"/>
        <w:rPr>
          <w:rFonts w:ascii="黑体" w:eastAsia="黑体"/>
          <w:bCs/>
          <w:color w:val="000000"/>
          <w:sz w:val="28"/>
          <w:szCs w:val="28"/>
        </w:rPr>
      </w:pPr>
      <w:r>
        <w:rPr>
          <w:rFonts w:hint="eastAsia" w:ascii="黑体" w:eastAsia="黑体"/>
          <w:bCs/>
          <w:color w:val="000000"/>
          <w:sz w:val="28"/>
          <w:szCs w:val="28"/>
        </w:rPr>
        <w:t xml:space="preserve">承诺书</w:t>
      </w:r>
      <w:r/>
    </w:p>
    <w:p>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bCs/>
          <w:color w:val="000000"/>
          <w:sz w:val="24"/>
          <w:szCs w:val="24"/>
          <w:lang w:eastAsia="zh-CN"/>
        </w:rPr>
        <w:t xml:space="preserve">JSZC-320200-WXJY-G2025-0015</w:t>
      </w:r>
      <w:r>
        <w:rPr>
          <w:rFonts w:hint="eastAsia" w:ascii="宋体" w:hAnsi="宋体"/>
          <w:color w:val="000000"/>
          <w:sz w:val="24"/>
          <w:szCs w:val="24"/>
        </w:rPr>
        <w:t xml:space="preserve">在此承诺：</w:t>
      </w:r>
      <w:r/>
    </w:p>
    <w:p>
      <w:pPr>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对本项目所提供的货物均为原厂全新合格品，提供的服务符合招标文件要求。</w:t>
      </w:r>
      <w:r/>
    </w:p>
    <w:p>
      <w:pPr>
        <w:ind w:firstLine="480"/>
        <w:spacing w:line="480" w:lineRule="auto"/>
        <w:rPr>
          <w:rFonts w:ascii="宋体"/>
          <w:bCs/>
          <w:color w:val="000000"/>
          <w:sz w:val="24"/>
          <w:szCs w:val="24"/>
        </w:rPr>
      </w:pPr>
      <w:r>
        <w:rPr>
          <w:rFonts w:hint="eastAsia" w:ascii="宋体"/>
          <w:bCs/>
          <w:color w:val="000000"/>
          <w:sz w:val="24"/>
          <w:szCs w:val="24"/>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sz w:val="24"/>
          <w:szCs w:val="24"/>
        </w:rPr>
      </w:pPr>
      <w:r>
        <w:rPr>
          <w:rFonts w:hint="eastAsia" w:ascii="宋体"/>
          <w:bCs/>
          <w:color w:val="000000"/>
          <w:sz w:val="24"/>
          <w:szCs w:val="24"/>
        </w:rPr>
        <w:t xml:space="preserve">4.</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sz w:val="24"/>
          <w:szCs w:val="24"/>
        </w:rPr>
      </w:pPr>
      <w:r>
        <w:rPr>
          <w:rFonts w:ascii="宋体"/>
          <w:bCs/>
          <w:color w:val="000000"/>
          <w:sz w:val="24"/>
          <w:szCs w:val="24"/>
        </w:rPr>
      </w:r>
      <w:r/>
    </w:p>
    <w:p>
      <w:pPr>
        <w:ind w:firstLine="480"/>
        <w:spacing w:line="480" w:lineRule="auto"/>
        <w:rPr>
          <w:rFonts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p>
    <w:p>
      <w:pPr>
        <w:ind w:firstLine="480"/>
        <w:spacing w:line="480" w:lineRule="auto"/>
        <w:rPr>
          <w:rFonts w:ascii="宋体"/>
          <w:bCs/>
          <w:color w:val="000000"/>
          <w:sz w:val="24"/>
          <w:szCs w:val="24"/>
        </w:rPr>
      </w:pPr>
      <w:r>
        <w:rPr>
          <w:rFonts w:ascii="宋体"/>
          <w:bCs/>
          <w:color w:val="000000"/>
          <w:sz w:val="24"/>
          <w:szCs w:val="24"/>
        </w:rPr>
      </w:r>
      <w:r/>
    </w:p>
    <w:p>
      <w:pPr>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ind w:firstLine="5400"/>
        <w:spacing w:line="480" w:lineRule="auto"/>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p>
    <w:p>
      <w:pPr>
        <w:rPr>
          <w:b/>
          <w:color w:val="000000"/>
          <w:sz w:val="30"/>
          <w:szCs w:val="30"/>
        </w:rPr>
        <w:outlineLvl w:val="0"/>
      </w:pPr>
      <w:r>
        <w:rPr>
          <w:rFonts w:ascii="宋体" w:hAnsi="宋体"/>
          <w:bCs/>
          <w:color w:val="000000"/>
          <w:sz w:val="24"/>
          <w:szCs w:val="24"/>
        </w:rPr>
        <w:br w:type="page" w:clear="all"/>
      </w:r>
      <w:r/>
    </w:p>
    <w:p>
      <w:pPr>
        <w:spacing w:line="360" w:lineRule="auto"/>
        <w:rPr>
          <w:b/>
          <w:color w:val="000000"/>
          <w:sz w:val="30"/>
          <w:szCs w:val="30"/>
        </w:rPr>
      </w:pPr>
      <w:r>
        <w:rPr>
          <w:rFonts w:hint="eastAsia"/>
          <w:b/>
          <w:color w:val="000000"/>
          <w:sz w:val="30"/>
          <w:szCs w:val="30"/>
        </w:rPr>
        <w:t xml:space="preserve">八、开标一览表（给定格式）：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JSZC-320200-WXJY-G2025-0015</w:t>
      </w:r>
      <w:r/>
    </w:p>
    <w:tbl>
      <w:tblPr>
        <w:tblStyle w:val="882"/>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899"/>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梅村高中化学实验室设备更新项目</w:t>
            </w:r>
            <w:r/>
          </w:p>
        </w:tc>
        <w:tc>
          <w:tcPr>
            <w:tcW w:w="3188" w:type="dxa"/>
            <w:vAlign w:val="center"/>
            <w:textDirection w:val="lrTb"/>
            <w:noWrap w:val="false"/>
          </w:tcPr>
          <w:p>
            <w:pPr>
              <w:pStyle w:val="899"/>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九、明细报价表（给定格式）：</w:t>
      </w:r>
      <w:r/>
    </w:p>
    <w:p>
      <w:pPr>
        <w:spacing w:line="360" w:lineRule="auto"/>
        <w:rPr>
          <w:b/>
          <w:color w:val="000000"/>
          <w:sz w:val="30"/>
          <w:szCs w:val="30"/>
        </w:rPr>
      </w:pPr>
      <w:r>
        <w:rPr>
          <w:b/>
          <w:color w:val="000000"/>
          <w:sz w:val="30"/>
          <w:szCs w:val="30"/>
        </w:rPr>
      </w:r>
      <w:r/>
    </w:p>
    <w:p>
      <w:pPr>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明细报价表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JSZC-320200-WXJY-G2025-0015</w:t>
      </w:r>
      <w:r/>
    </w:p>
    <w:tbl>
      <w:tblPr>
        <w:tblStyle w:val="88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rPr>
            </w:pPr>
            <w:r>
              <w:rPr>
                <w:rFonts w:hint="eastAsia"/>
                <w:color w:val="000000"/>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sz w:val="18"/>
              </w:rPr>
            </w:pPr>
            <w:r>
              <w:rPr>
                <w:rFonts w:hint="eastAsia"/>
                <w:color w:val="000000"/>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sz w:val="18"/>
              </w:rPr>
            </w:pPr>
            <w:r>
              <w:rPr>
                <w:rFonts w:hint="eastAsia"/>
                <w:color w:val="000000"/>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sz w:val="18"/>
              </w:rPr>
            </w:pPr>
            <w:r>
              <w:rPr>
                <w:rFonts w:hint="eastAsia"/>
                <w:color w:val="000000"/>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sz w:val="18"/>
              </w:rPr>
            </w:pPr>
            <w:r>
              <w:rPr>
                <w:rFonts w:hint="eastAsia"/>
                <w:color w:val="000000"/>
                <w:sz w:val="18"/>
              </w:rPr>
              <w:t xml:space="preserve">数量</w:t>
            </w:r>
            <w:r/>
          </w:p>
        </w:tc>
        <w:tc>
          <w:tcPr>
            <w:tcW w:w="1276" w:type="dxa"/>
            <w:vAlign w:val="center"/>
            <w:textDirection w:val="lrTb"/>
            <w:noWrap w:val="false"/>
          </w:tcPr>
          <w:p>
            <w:pPr>
              <w:jc w:val="center"/>
              <w:spacing w:before="5"/>
              <w:rPr>
                <w:color w:val="000000"/>
                <w:sz w:val="18"/>
              </w:rPr>
            </w:pPr>
            <w:r>
              <w:rPr>
                <w:rFonts w:hint="eastAsia"/>
                <w:color w:val="000000"/>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sz w:val="18"/>
              </w:rPr>
            </w:pPr>
            <w:r>
              <w:rPr>
                <w:rFonts w:hint="eastAsia"/>
                <w:color w:val="000000"/>
                <w:sz w:val="18"/>
              </w:rPr>
              <w:t xml:space="preserve">质保期</w:t>
            </w:r>
            <w:r/>
          </w:p>
        </w:tc>
        <w:tc>
          <w:tcPr>
            <w:tcW w:w="709" w:type="dxa"/>
            <w:vAlign w:val="center"/>
            <w:textDirection w:val="lrTb"/>
            <w:noWrap w:val="false"/>
          </w:tcPr>
          <w:p>
            <w:pPr>
              <w:jc w:val="center"/>
              <w:spacing w:before="5"/>
              <w:rPr>
                <w:color w:val="000000"/>
                <w:sz w:val="18"/>
              </w:rPr>
            </w:pPr>
            <w:r>
              <w:rPr>
                <w:rFonts w:hint="eastAsia"/>
                <w:color w:val="000000"/>
                <w:sz w:val="18"/>
              </w:rPr>
              <w:t xml:space="preserve">单报价</w:t>
            </w:r>
            <w:r/>
          </w:p>
        </w:tc>
        <w:tc>
          <w:tcPr>
            <w:tcW w:w="939" w:type="dxa"/>
            <w:vAlign w:val="center"/>
            <w:textDirection w:val="lrTb"/>
            <w:noWrap w:val="false"/>
          </w:tcPr>
          <w:p>
            <w:pPr>
              <w:jc w:val="center"/>
              <w:spacing w:before="5"/>
              <w:rPr>
                <w:color w:val="000000"/>
                <w:sz w:val="18"/>
              </w:rPr>
            </w:pPr>
            <w:r>
              <w:rPr>
                <w:rFonts w:hint="eastAsia"/>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88"/>
              <w:spacing w:before="5"/>
              <w:tabs>
                <w:tab w:val="clear" w:pos="4153" w:leader="none"/>
                <w:tab w:val="clear" w:pos="8306" w:leader="none"/>
              </w:tabs>
              <w:rPr>
                <w:rFonts w:ascii="宋体"/>
                <w:color w:val="000000"/>
                <w:lang w:eastAsia="zh-CN"/>
              </w:rPr>
              <w:pBdr>
                <w:bottom w:val="none" w:color="000000" w:sz="0" w:space="0"/>
              </w:pBdr>
            </w:pPr>
            <w:r>
              <w:rPr>
                <w:rFonts w:hint="eastAsia" w:ascii="宋体"/>
                <w:color w:val="000000"/>
                <w:lang w:eastAsia="zh-CN"/>
              </w:rPr>
              <w:t xml:space="preserve">1</w:t>
            </w:r>
            <w:r/>
          </w:p>
        </w:tc>
        <w:tc>
          <w:tcPr>
            <w:tcMar>
              <w:left w:w="15" w:type="dxa"/>
              <w:top w:w="15" w:type="dxa"/>
              <w:right w:w="15" w:type="dxa"/>
              <w:bottom w:w="0" w:type="dxa"/>
            </w:tcMar>
            <w:tcW w:w="1050" w:type="dxa"/>
            <w:vAlign w:val="center"/>
            <w:textDirection w:val="lrTb"/>
            <w:noWrap/>
          </w:tcPr>
          <w:p>
            <w:pPr>
              <w:pStyle w:val="888"/>
              <w:tabs>
                <w:tab w:val="clear" w:pos="4153" w:leader="none"/>
                <w:tab w:val="clear" w:pos="8306" w:leader="none"/>
              </w:tabs>
              <w:rPr>
                <w:rFonts w:ascii="宋体"/>
                <w:bCs/>
                <w:color w:val="000000"/>
                <w:lang w:eastAsia="zh-CN"/>
              </w:rPr>
              <w:pBdr>
                <w:bottom w:val="none" w:color="000000" w:sz="0" w:space="0"/>
              </w:pBdr>
            </w:pPr>
            <w:r>
              <w:rPr>
                <w:rFonts w:ascii="宋体"/>
                <w:bCs/>
                <w:color w:val="000000"/>
                <w:lang w:eastAsia="zh-CN"/>
              </w:rPr>
            </w:r>
            <w:r/>
          </w:p>
        </w:tc>
        <w:tc>
          <w:tcPr>
            <w:tcMar>
              <w:left w:w="15" w:type="dxa"/>
              <w:top w:w="15" w:type="dxa"/>
              <w:right w:w="15" w:type="dxa"/>
              <w:bottom w:w="0" w:type="dxa"/>
            </w:tcMar>
            <w:tcW w:w="945" w:type="dxa"/>
            <w:vAlign w:val="center"/>
            <w:textDirection w:val="lrTb"/>
            <w:noWrap w:val="false"/>
          </w:tcPr>
          <w:p>
            <w:pPr>
              <w:pStyle w:val="888"/>
              <w:tabs>
                <w:tab w:val="clear" w:pos="4153" w:leader="none"/>
                <w:tab w:val="clear" w:pos="8306" w:leader="none"/>
              </w:tabs>
              <w:rPr>
                <w:rFonts w:ascii="宋体"/>
                <w:bCs/>
                <w:color w:val="000000"/>
                <w:lang w:eastAsia="zh-CN"/>
              </w:rPr>
              <w:pBdr>
                <w:bottom w:val="none" w:color="000000" w:sz="0" w:space="0"/>
              </w:pBdr>
            </w:pPr>
            <w:r>
              <w:rPr>
                <w:rFonts w:ascii="宋体"/>
                <w:bCs/>
                <w:color w:val="000000"/>
                <w:lang w:eastAsia="zh-CN"/>
              </w:rPr>
            </w:r>
            <w:r/>
          </w:p>
        </w:tc>
        <w:tc>
          <w:tcPr>
            <w:tcMar>
              <w:left w:w="15" w:type="dxa"/>
              <w:top w:w="15" w:type="dxa"/>
              <w:right w:w="15" w:type="dxa"/>
              <w:bottom w:w="0" w:type="dxa"/>
            </w:tcMar>
            <w:tcW w:w="3045" w:type="dxa"/>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888"/>
              <w:tabs>
                <w:tab w:val="clear" w:pos="4153" w:leader="none"/>
                <w:tab w:val="clear" w:pos="8306" w:leader="none"/>
              </w:tabs>
              <w:rPr>
                <w:rFonts w:ascii="宋体"/>
                <w:bCs/>
                <w:color w:val="000000"/>
                <w:lang w:eastAsia="zh-CN"/>
              </w:rPr>
              <w:pBdr>
                <w:bottom w:val="none" w:color="000000" w:sz="0" w:space="0"/>
              </w:pBdr>
            </w:pPr>
            <w:r>
              <w:rPr>
                <w:rFonts w:ascii="宋体"/>
                <w:bCs/>
                <w:color w:val="000000"/>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888"/>
              <w:tabs>
                <w:tab w:val="clear" w:pos="4153" w:leader="none"/>
                <w:tab w:val="clear" w:pos="8306" w:leader="none"/>
              </w:tabs>
              <w:rPr>
                <w:rFonts w:ascii="宋体"/>
                <w:bCs/>
                <w:color w:val="000000"/>
                <w:lang w:eastAsia="zh-CN"/>
              </w:rPr>
              <w:pBdr>
                <w:bottom w:val="none" w:color="000000" w:sz="0" w:space="0"/>
              </w:pBdr>
            </w:pPr>
            <w:r>
              <w:rPr>
                <w:rFonts w:ascii="宋体"/>
                <w:bCs/>
                <w:color w:val="000000"/>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000000"/>
              </w:rPr>
            </w:pPr>
            <w:r>
              <w:rPr>
                <w:rFonts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000000"/>
              </w:rPr>
            </w:pPr>
            <w:r>
              <w:rPr>
                <w:rFonts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ascii="宋体" w:hAnsi="宋体"/>
          <w:b/>
          <w:color w:val="000000"/>
        </w:rPr>
        <w:outlineLvl w:val="0"/>
      </w:pPr>
      <w:r>
        <w:rPr>
          <w:rFonts w:ascii="宋体" w:hAnsi="宋体"/>
          <w:b/>
          <w:color w:val="000000"/>
        </w:rPr>
      </w:r>
      <w:r/>
    </w:p>
    <w:p>
      <w:pPr>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w:t>
      </w:r>
      <w:r>
        <w:rPr>
          <w:rFonts w:hint="eastAsia" w:ascii="宋体"/>
          <w:bCs/>
          <w:color w:val="000000"/>
          <w:lang w:eastAsia="zh-CN"/>
        </w:rPr>
        <w:t xml:space="preserve">人为</w:t>
      </w:r>
      <w:r>
        <w:rPr>
          <w:rFonts w:hint="eastAsia" w:ascii="宋体"/>
          <w:bCs/>
          <w:color w:val="000000"/>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000000"/>
          <w:lang w:eastAsia="zh-CN"/>
        </w:rPr>
        <w:t xml:space="preserve">（</w:t>
      </w:r>
      <w:r>
        <w:rPr>
          <w:rFonts w:hint="eastAsia" w:ascii="宋体"/>
          <w:bCs/>
          <w:color w:val="000000"/>
        </w:rPr>
        <w:t xml:space="preserve">含新疆生产建设兵团</w:t>
      </w:r>
      <w:r>
        <w:rPr>
          <w:rFonts w:hint="eastAsia" w:ascii="宋体"/>
          <w:bCs/>
          <w:color w:val="000000"/>
          <w:lang w:eastAsia="zh-CN"/>
        </w:rPr>
        <w:t xml:space="preserve">）</w:t>
      </w:r>
      <w:r>
        <w:rPr>
          <w:rFonts w:hint="eastAsia" w:ascii="宋体"/>
          <w:bCs/>
          <w:color w:val="000000"/>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装备管理服务中心有权将相关内容进行公示；</w:t>
      </w:r>
      <w:r/>
    </w:p>
    <w:p>
      <w:pPr>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）投标人应当根据“采购需求”的内容在上表中详细填写；</w:t>
      </w:r>
      <w:r/>
    </w:p>
    <w:p>
      <w:pPr>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bookmarkEnd w:id="194"/>
      <w:r/>
      <w:bookmarkEnd w:id="195"/>
      <w:r/>
      <w:bookmarkEnd w:id="196"/>
      <w:r/>
      <w:bookmarkStart w:id="198" w:name="_Toc120614284"/>
      <w:r/>
      <w:r/>
    </w:p>
    <w:p>
      <w:pPr>
        <w:jc w:val="center"/>
        <w:spacing w:line="400" w:lineRule="exact"/>
        <w:rPr>
          <w:b/>
          <w:color w:val="000000"/>
          <w:sz w:val="30"/>
          <w:szCs w:val="30"/>
        </w:rPr>
        <w:outlineLvl w:val="0"/>
      </w:pPr>
      <w:r>
        <w:rPr>
          <w:rFonts w:hint="eastAsia" w:ascii="宋体" w:hAnsi="宋体"/>
          <w:bCs/>
          <w:color w:val="000000"/>
        </w:rPr>
        <w:br w:type="page" w:clear="all"/>
      </w:r>
      <w:r/>
    </w:p>
    <w:p>
      <w:pPr>
        <w:spacing w:line="360" w:lineRule="auto"/>
        <w:rPr>
          <w:b/>
          <w:color w:val="000000"/>
          <w:sz w:val="30"/>
          <w:szCs w:val="30"/>
        </w:rPr>
      </w:pP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JSZC-320200-WXJY-G2025-0015</w:t>
      </w:r>
      <w:r/>
    </w:p>
    <w:tbl>
      <w:tblPr>
        <w:tblStyle w:val="88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98"/>
      <w:r/>
      <w:bookmarkStart w:id="199" w:name="_Hlt26955066"/>
      <w:r/>
      <w:bookmarkEnd w:id="199"/>
      <w:r/>
      <w:bookmarkStart w:id="200" w:name="_格式2__法定代表人授权书"/>
      <w:r/>
      <w:bookmarkEnd w:id="200"/>
      <w:r/>
      <w:bookmarkStart w:id="201" w:name="_Hlt26609389"/>
      <w:r/>
      <w:bookmarkEnd w:id="201"/>
      <w:r/>
      <w:bookmarkStart w:id="202" w:name="_Hlt26671374"/>
      <w:r/>
      <w:bookmarkEnd w:id="202"/>
      <w:r/>
      <w:r/>
    </w:p>
    <w:p>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7"/>
  </w:num>
  <w:num w:numId="2">
    <w:abstractNumId w:val="5"/>
  </w:num>
  <w:num w:numId="3">
    <w:abstractNumId w:val="4"/>
  </w:num>
  <w:num w:numId="4">
    <w:abstractNumId w:val="0"/>
  </w:num>
  <w:num w:numId="5">
    <w:abstractNumId w:val="1"/>
  </w:num>
  <w:num w:numId="6">
    <w:abstractNumId w:val="3"/>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8"/>
    <w:next w:val="878"/>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paragraph" w:styleId="709">
    <w:name w:val="Heading 2"/>
    <w:basedOn w:val="878"/>
    <w:next w:val="878"/>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basedOn w:val="881"/>
    <w:link w:val="709"/>
    <w:uiPriority w:val="9"/>
    <w:rPr>
      <w:rFonts w:ascii="Arial" w:hAnsi="Arial" w:eastAsia="Arial" w:cs="Arial"/>
      <w:sz w:val="34"/>
    </w:rPr>
  </w:style>
  <w:style w:type="character" w:styleId="711">
    <w:name w:val="Heading 3 Char"/>
    <w:basedOn w:val="881"/>
    <w:link w:val="879"/>
    <w:uiPriority w:val="9"/>
    <w:rPr>
      <w:rFonts w:ascii="Arial" w:hAnsi="Arial" w:eastAsia="Arial" w:cs="Arial"/>
      <w:sz w:val="30"/>
      <w:szCs w:val="30"/>
    </w:rPr>
  </w:style>
  <w:style w:type="character" w:styleId="712">
    <w:name w:val="Heading 4 Char"/>
    <w:basedOn w:val="881"/>
    <w:link w:val="880"/>
    <w:uiPriority w:val="9"/>
    <w:rPr>
      <w:rFonts w:ascii="Arial" w:hAnsi="Arial" w:eastAsia="Arial" w:cs="Arial"/>
      <w:b/>
      <w:bCs/>
      <w:sz w:val="26"/>
      <w:szCs w:val="26"/>
    </w:rPr>
  </w:style>
  <w:style w:type="paragraph" w:styleId="713">
    <w:name w:val="Heading 5"/>
    <w:basedOn w:val="878"/>
    <w:next w:val="878"/>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1"/>
    <w:link w:val="713"/>
    <w:uiPriority w:val="9"/>
    <w:rPr>
      <w:rFonts w:ascii="Arial" w:hAnsi="Arial" w:eastAsia="Arial" w:cs="Arial"/>
      <w:b/>
      <w:bCs/>
      <w:sz w:val="24"/>
      <w:szCs w:val="24"/>
    </w:rPr>
  </w:style>
  <w:style w:type="paragraph" w:styleId="715">
    <w:name w:val="Heading 6"/>
    <w:basedOn w:val="878"/>
    <w:next w:val="878"/>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1"/>
    <w:link w:val="715"/>
    <w:uiPriority w:val="9"/>
    <w:rPr>
      <w:rFonts w:ascii="Arial" w:hAnsi="Arial" w:eastAsia="Arial" w:cs="Arial"/>
      <w:b/>
      <w:bCs/>
      <w:sz w:val="22"/>
      <w:szCs w:val="22"/>
    </w:rPr>
  </w:style>
  <w:style w:type="paragraph" w:styleId="717">
    <w:name w:val="Heading 7"/>
    <w:basedOn w:val="878"/>
    <w:next w:val="878"/>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1"/>
    <w:link w:val="717"/>
    <w:uiPriority w:val="9"/>
    <w:rPr>
      <w:rFonts w:ascii="Arial" w:hAnsi="Arial" w:eastAsia="Arial" w:cs="Arial"/>
      <w:b/>
      <w:bCs/>
      <w:i/>
      <w:iCs/>
      <w:sz w:val="22"/>
      <w:szCs w:val="22"/>
    </w:rPr>
  </w:style>
  <w:style w:type="paragraph" w:styleId="719">
    <w:name w:val="Heading 8"/>
    <w:basedOn w:val="878"/>
    <w:next w:val="878"/>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1"/>
    <w:link w:val="719"/>
    <w:uiPriority w:val="9"/>
    <w:rPr>
      <w:rFonts w:ascii="Arial" w:hAnsi="Arial" w:eastAsia="Arial" w:cs="Arial"/>
      <w:i/>
      <w:iCs/>
      <w:sz w:val="22"/>
      <w:szCs w:val="22"/>
    </w:rPr>
  </w:style>
  <w:style w:type="paragraph" w:styleId="721">
    <w:name w:val="Heading 9"/>
    <w:basedOn w:val="878"/>
    <w:next w:val="878"/>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1"/>
    <w:link w:val="721"/>
    <w:uiPriority w:val="9"/>
    <w:rPr>
      <w:rFonts w:ascii="Arial" w:hAnsi="Arial" w:eastAsia="Arial" w:cs="Arial"/>
      <w:i/>
      <w:iCs/>
      <w:sz w:val="21"/>
      <w:szCs w:val="21"/>
    </w:rPr>
  </w:style>
  <w:style w:type="paragraph" w:styleId="723">
    <w:name w:val="Title"/>
    <w:basedOn w:val="878"/>
    <w:next w:val="878"/>
    <w:link w:val="724"/>
    <w:uiPriority w:val="10"/>
    <w:qFormat/>
    <w:pPr>
      <w:contextualSpacing/>
      <w:spacing w:before="300" w:after="200"/>
    </w:pPr>
    <w:rPr>
      <w:sz w:val="48"/>
      <w:szCs w:val="48"/>
    </w:rPr>
  </w:style>
  <w:style w:type="character" w:styleId="724">
    <w:name w:val="Title Char"/>
    <w:basedOn w:val="881"/>
    <w:link w:val="723"/>
    <w:uiPriority w:val="10"/>
    <w:rPr>
      <w:sz w:val="48"/>
      <w:szCs w:val="48"/>
    </w:rPr>
  </w:style>
  <w:style w:type="paragraph" w:styleId="725">
    <w:name w:val="Subtitle"/>
    <w:basedOn w:val="878"/>
    <w:next w:val="878"/>
    <w:link w:val="726"/>
    <w:uiPriority w:val="11"/>
    <w:qFormat/>
    <w:pPr>
      <w:spacing w:before="200" w:after="200"/>
    </w:pPr>
    <w:rPr>
      <w:sz w:val="24"/>
      <w:szCs w:val="24"/>
    </w:rPr>
  </w:style>
  <w:style w:type="character" w:styleId="726">
    <w:name w:val="Subtitle Char"/>
    <w:basedOn w:val="881"/>
    <w:link w:val="725"/>
    <w:uiPriority w:val="11"/>
    <w:rPr>
      <w:sz w:val="24"/>
      <w:szCs w:val="24"/>
    </w:rPr>
  </w:style>
  <w:style w:type="paragraph" w:styleId="727">
    <w:name w:val="Quote"/>
    <w:basedOn w:val="878"/>
    <w:next w:val="878"/>
    <w:link w:val="728"/>
    <w:uiPriority w:val="29"/>
    <w:qFormat/>
    <w:pPr>
      <w:ind w:left="720" w:right="720"/>
    </w:pPr>
    <w:rPr>
      <w:i/>
    </w:rPr>
  </w:style>
  <w:style w:type="character" w:styleId="728">
    <w:name w:val="Quote Char"/>
    <w:link w:val="727"/>
    <w:uiPriority w:val="29"/>
    <w:rPr>
      <w:i/>
    </w:rPr>
  </w:style>
  <w:style w:type="paragraph" w:styleId="729">
    <w:name w:val="Intense Quote"/>
    <w:basedOn w:val="878"/>
    <w:next w:val="878"/>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81"/>
    <w:link w:val="888"/>
    <w:uiPriority w:val="99"/>
  </w:style>
  <w:style w:type="character" w:styleId="732">
    <w:name w:val="Footer Char"/>
    <w:basedOn w:val="881"/>
    <w:link w:val="887"/>
    <w:uiPriority w:val="99"/>
  </w:style>
  <w:style w:type="paragraph" w:styleId="733">
    <w:name w:val="Caption"/>
    <w:basedOn w:val="878"/>
    <w:next w:val="878"/>
    <w:uiPriority w:val="35"/>
    <w:semiHidden/>
    <w:unhideWhenUsed/>
    <w:qFormat/>
    <w:pPr>
      <w:spacing w:line="276" w:lineRule="auto"/>
    </w:pPr>
    <w:rPr>
      <w:b/>
      <w:bCs/>
      <w:color w:val="4f81bd" w:themeColor="accent1"/>
      <w:sz w:val="18"/>
      <w:szCs w:val="18"/>
    </w:rPr>
  </w:style>
  <w:style w:type="character" w:styleId="734">
    <w:name w:val="Caption Char"/>
    <w:basedOn w:val="733"/>
    <w:link w:val="887"/>
    <w:uiPriority w:val="99"/>
  </w:style>
  <w:style w:type="table" w:styleId="735">
    <w:name w:val="Table Grid"/>
    <w:basedOn w:val="8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2">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3">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4">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5">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6">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7">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7">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8">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9">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0">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1">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2">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4">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5">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6">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7">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8">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9">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8">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9">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0">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1">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2">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3">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5">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6">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7">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8">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9">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0">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2">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3">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4">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5">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6">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7">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9">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0">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1">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2">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3">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4">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81"/>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81"/>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79">
    <w:name w:val="Heading 3"/>
    <w:basedOn w:val="878"/>
    <w:next w:val="883"/>
    <w:uiPriority w:val="0"/>
    <w:qFormat/>
    <w:pPr>
      <w:keepLines/>
      <w:keepNext/>
      <w:spacing w:before="260" w:after="260" w:line="416" w:lineRule="auto"/>
      <w:outlineLvl w:val="2"/>
    </w:pPr>
    <w:rPr>
      <w:b/>
      <w:bCs/>
      <w:sz w:val="32"/>
      <w:szCs w:val="32"/>
      <w:lang w:eastAsia="en-US"/>
    </w:rPr>
  </w:style>
  <w:style w:type="paragraph" w:styleId="880">
    <w:name w:val="Heading 4"/>
    <w:basedOn w:val="878"/>
    <w:next w:val="883"/>
    <w:uiPriority w:val="0"/>
    <w:qFormat/>
    <w:pPr>
      <w:keepLines/>
      <w:keepNext/>
      <w:spacing w:before="280" w:after="290" w:line="376" w:lineRule="auto"/>
      <w:outlineLvl w:val="3"/>
    </w:pPr>
    <w:rPr>
      <w:rFonts w:ascii="Arial" w:hAnsi="Arial" w:eastAsia="黑体"/>
      <w:b/>
      <w:bCs/>
      <w:sz w:val="28"/>
      <w:szCs w:val="28"/>
      <w:lang w:eastAsia="en-US"/>
    </w:rPr>
  </w:style>
  <w:style w:type="character" w:styleId="881" w:default="1">
    <w:name w:val="Default Paragraph Font"/>
    <w:uiPriority w:val="0"/>
    <w:semiHidden/>
    <w:qFormat/>
  </w:style>
  <w:style w:type="table" w:styleId="882" w:default="1">
    <w:name w:val="Normal Table"/>
    <w:uiPriority w:val="0"/>
    <w:semiHidden/>
    <w:qFormat/>
    <w:tblPr>
      <w:tblCellMar>
        <w:left w:w="108" w:type="dxa"/>
        <w:top w:w="0" w:type="dxa"/>
        <w:right w:w="108" w:type="dxa"/>
        <w:bottom w:w="0" w:type="dxa"/>
      </w:tblCellMar>
    </w:tblPr>
  </w:style>
  <w:style w:type="paragraph" w:styleId="883">
    <w:name w:val="Normal Indent"/>
    <w:basedOn w:val="878"/>
    <w:uiPriority w:val="0"/>
    <w:qFormat/>
    <w:pPr>
      <w:ind w:firstLine="420"/>
    </w:pPr>
    <w:rPr>
      <w:sz w:val="20"/>
      <w:lang w:eastAsia="en-US"/>
    </w:rPr>
  </w:style>
  <w:style w:type="paragraph" w:styleId="884">
    <w:name w:val="annotation text"/>
    <w:basedOn w:val="878"/>
    <w:uiPriority w:val="0"/>
    <w:semiHidden/>
    <w:qFormat/>
    <w:pPr>
      <w:jc w:val="left"/>
    </w:pPr>
    <w:rPr>
      <w:sz w:val="20"/>
      <w:lang w:eastAsia="en-US"/>
    </w:rPr>
  </w:style>
  <w:style w:type="paragraph" w:styleId="885">
    <w:name w:val="Body Text"/>
    <w:basedOn w:val="878"/>
    <w:uiPriority w:val="99"/>
    <w:qFormat/>
    <w:rPr>
      <w:rFonts w:ascii="楷体_GB2312" w:hAnsi="Arial" w:eastAsia="楷体_GB2312"/>
      <w:sz w:val="28"/>
      <w:szCs w:val="28"/>
      <w:lang w:eastAsia="en-US"/>
    </w:rPr>
  </w:style>
  <w:style w:type="paragraph" w:styleId="886">
    <w:name w:val="Body Text Indent"/>
    <w:basedOn w:val="878"/>
    <w:uiPriority w:val="0"/>
    <w:qFormat/>
    <w:pPr>
      <w:ind w:firstLine="645"/>
    </w:pPr>
    <w:rPr>
      <w:rFonts w:ascii="楷体_GB2312" w:eastAsia="楷体_GB2312"/>
      <w:sz w:val="32"/>
      <w:szCs w:val="32"/>
      <w:lang w:eastAsia="en-US"/>
    </w:rPr>
  </w:style>
  <w:style w:type="paragraph" w:styleId="887">
    <w:name w:val="Footer"/>
    <w:basedOn w:val="878"/>
    <w:uiPriority w:val="0"/>
    <w:qFormat/>
    <w:pPr>
      <w:jc w:val="left"/>
      <w:tabs>
        <w:tab w:val="center" w:pos="4153" w:leader="none"/>
        <w:tab w:val="right" w:pos="8306" w:leader="none"/>
      </w:tabs>
    </w:pPr>
    <w:rPr>
      <w:sz w:val="18"/>
      <w:szCs w:val="18"/>
      <w:lang w:eastAsia="en-US"/>
    </w:rPr>
  </w:style>
  <w:style w:type="paragraph" w:styleId="888">
    <w:name w:val="Header"/>
    <w:basedOn w:val="878"/>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889">
    <w:name w:val="Body Text First Indent 2"/>
    <w:basedOn w:val="886"/>
    <w:uiPriority w:val="99"/>
    <w:semiHidden/>
    <w:unhideWhenUsed/>
    <w:qFormat/>
    <w:pPr>
      <w:ind w:left="420" w:firstLine="420"/>
      <w:spacing w:after="120"/>
    </w:pPr>
    <w:rPr>
      <w:rFonts w:ascii="Times New Roman" w:eastAsia="宋体"/>
      <w:sz w:val="21"/>
      <w:szCs w:val="21"/>
      <w:lang w:eastAsia="zh-CN"/>
    </w:rPr>
  </w:style>
  <w:style w:type="character" w:styleId="890">
    <w:name w:val="page number"/>
    <w:uiPriority w:val="0"/>
    <w:qFormat/>
  </w:style>
  <w:style w:type="character" w:styleId="891">
    <w:name w:val="HTML Typewriter"/>
    <w:uiPriority w:val="99"/>
    <w:qFormat/>
    <w:rPr>
      <w:rFonts w:ascii="宋体" w:hAnsi="宋体" w:eastAsia="宋体" w:cs="宋体"/>
      <w:sz w:val="24"/>
      <w:szCs w:val="24"/>
    </w:rPr>
  </w:style>
  <w:style w:type="character" w:styleId="892">
    <w:name w:val="Hyperlink"/>
    <w:basedOn w:val="881"/>
    <w:uiPriority w:val="0"/>
    <w:qFormat/>
    <w:rPr>
      <w:color w:val="0000ff"/>
      <w:u w:val="single"/>
    </w:rPr>
  </w:style>
  <w:style w:type="character" w:styleId="893">
    <w:name w:val="annotation reference"/>
    <w:uiPriority w:val="0"/>
    <w:semiHidden/>
    <w:qFormat/>
    <w:rPr>
      <w:sz w:val="21"/>
      <w:szCs w:val="21"/>
    </w:rPr>
  </w:style>
  <w:style w:type="paragraph" w:styleId="894" w:customStyle="1">
    <w:name w:val="普通正文"/>
    <w:basedOn w:val="878"/>
    <w:uiPriority w:val="0"/>
    <w:qFormat/>
    <w:pPr>
      <w:ind w:firstLine="480"/>
      <w:jc w:val="left"/>
      <w:spacing w:before="120" w:after="120" w:line="360" w:lineRule="auto"/>
    </w:pPr>
    <w:rPr>
      <w:rFonts w:ascii="Arial" w:hAnsi="Arial"/>
      <w:sz w:val="24"/>
      <w:szCs w:val="24"/>
    </w:rPr>
  </w:style>
  <w:style w:type="paragraph" w:styleId="895">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896">
    <w:name w:val="List Paragraph"/>
    <w:basedOn w:val="878"/>
    <w:uiPriority w:val="34"/>
    <w:qFormat/>
    <w:pPr>
      <w:contextualSpacing/>
      <w:ind w:left="720"/>
    </w:pPr>
  </w:style>
  <w:style w:type="character" w:styleId="897" w:customStyle="1">
    <w:name w:val="NormalCharacter"/>
    <w:uiPriority w:val="0"/>
    <w:qFormat/>
  </w:style>
  <w:style w:type="paragraph" w:styleId="898" w:customStyle="1">
    <w:name w:val="Char"/>
    <w:basedOn w:val="878"/>
    <w:uiPriority w:val="0"/>
    <w:qFormat/>
    <w:pPr>
      <w:ind w:firstLine="200"/>
      <w:tabs>
        <w:tab w:val="left" w:pos="360" w:leader="none"/>
      </w:tabs>
    </w:pPr>
    <w:rPr>
      <w:sz w:val="28"/>
      <w:szCs w:val="30"/>
    </w:rPr>
  </w:style>
  <w:style w:type="paragraph" w:styleId="899" w:customStyle="1">
    <w:name w:val="普通文字"/>
    <w:basedOn w:val="878"/>
    <w:next w:val="878"/>
    <w:uiPriority w:val="99"/>
    <w:qFormat/>
    <w:rPr>
      <w:rFonts w:ascii="宋体"/>
      <w:sz w:val="24"/>
      <w:szCs w:val="20"/>
    </w:rPr>
  </w:style>
  <w:style w:type="paragraph" w:styleId="900" w:customStyle="1">
    <w:name w:val="Default"/>
    <w:uiPriority w:val="99"/>
    <w:qFormat/>
    <w:pPr>
      <w:widowControl w:val="off"/>
    </w:pPr>
    <w:rPr>
      <w:rFonts w:ascii="Arial" w:hAnsi="Arial" w:eastAsia="宋体" w:cs="Arial"/>
      <w:color w:val="000000"/>
      <w:sz w:val="24"/>
      <w:szCs w:val="24"/>
      <w:lang w:val="en-US" w:eastAsia="zh-CN" w:bidi="ar-SA"/>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3</cp:revision>
  <dcterms:created xsi:type="dcterms:W3CDTF">2025-06-13T00:30:00Z</dcterms:created>
  <dcterms:modified xsi:type="dcterms:W3CDTF">2025-08-14T08:19:58Z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F0BFB825962D442282ACD918493EB74F_13</vt:lpwstr>
  </property>
  <property fmtid="{D5CDD505-2E9C-101B-9397-08002B2CF9AE}" pid="4" name="KSOTemplateDocerSaveRecord">
    <vt:lpwstr>eyJoZGlkIjoiNDkxYTU0MTlhN2JkMTg2ZDJjNDBmNDY3Y2MxZGM4YTYiLCJ1c2VySWQiOiIxNjM3ODE2NDMwIn0=</vt:lpwstr>
  </property>
</Properties>
</file>