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ind w:firstLine="0"/>
        <w:rPr>
          <w:rFonts w:eastAsia="黑体"/>
          <w:b/>
          <w:bCs/>
          <w:color w:val="000000" w:themeColor="text1"/>
          <w:sz w:val="84"/>
          <w:highlight w:val="none"/>
          <w14:textFill>
            <w14:solidFill>
              <w14:schemeClr w14:val="tx1"/>
            </w14:solidFill>
          </w14:textFill>
        </w:rPr>
      </w:pPr>
      <w:r>
        <w:rPr>
          <w:highlight w:val="none"/>
        </w:rPr>
      </w:r>
      <w:bookmarkStart w:id="0" w:name="_Toc479757206"/>
      <w:r>
        <w:rPr>
          <w:highlight w:val="none"/>
        </w:rPr>
      </w:r>
      <w:bookmarkStart w:id="1" w:name="_Toc513029200"/>
      <w:r>
        <w:rPr>
          <w:highlight w:val="none"/>
        </w:rPr>
      </w:r>
      <w:bookmarkStart w:id="2" w:name="_Toc523127445"/>
      <w:r>
        <w:rPr>
          <w:highlight w:val="none"/>
        </w:rPr>
      </w:r>
      <w:bookmarkStart w:id="3" w:name="_Toc20823272"/>
      <w:r>
        <w:rPr>
          <w:highlight w:val="none"/>
        </w:rPr>
      </w:r>
      <w:bookmarkStart w:id="4" w:name="_Toc16938516"/>
      <w:r>
        <w:rPr>
          <w:highlight w:val="none"/>
        </w:rPr>
      </w:r>
      <w:r/>
    </w:p>
    <w:p>
      <w:pPr>
        <w:pStyle w:val="1065"/>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rPr>
          <w:highlight w:val="none"/>
        </w:rPr>
      </w:r>
      <w:r/>
    </w:p>
    <w:p>
      <w:pPr>
        <w:pStyle w:val="1065"/>
        <w:ind w:firstLine="0"/>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rPr>
          <w:highlight w:val="none"/>
        </w:rPr>
      </w:r>
      <w:r/>
    </w:p>
    <w:p>
      <w:pPr>
        <w:pStyle w:val="1065"/>
        <w:jc w:val="center"/>
        <w:rPr>
          <w:rFonts w:hint="eastAsia" w:eastAsia="宋体"/>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项目名称：</w:t>
      </w:r>
      <w:r>
        <w:rPr>
          <w:rFonts w:hint="eastAsia"/>
          <w:b/>
          <w:bCs/>
          <w:color w:val="000000" w:themeColor="text1"/>
          <w:sz w:val="32"/>
          <w:highlight w:val="none"/>
          <w:lang w:eastAsia="zh-CN"/>
          <w14:textFill>
            <w14:solidFill>
              <w14:schemeClr w14:val="tx1"/>
            </w14:solidFill>
          </w14:textFill>
        </w:rPr>
        <w:t xml:space="preserve">2025—2028年校园综合物业服务项目</w:t>
      </w:r>
      <w:r>
        <w:rPr>
          <w:highlight w:val="none"/>
        </w:rPr>
      </w:r>
      <w:r/>
    </w:p>
    <w:p>
      <w:pPr>
        <w:jc w:val="center"/>
        <w:rPr>
          <w:rFonts w:hint="default" w:eastAsia="宋体"/>
          <w:b/>
          <w:color w:val="000000" w:themeColor="text1"/>
          <w:sz w:val="36"/>
          <w:szCs w:val="36"/>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项目编号：</w:t>
      </w:r>
      <w:r>
        <w:rPr>
          <w:rFonts w:ascii="Arial" w:hAnsi="Arial" w:eastAsia="Arial" w:cs="Arial"/>
          <w:b/>
          <w:color w:val="000000"/>
          <w:sz w:val="32"/>
          <w:szCs w:val="24"/>
          <w:highlight w:val="white"/>
        </w:rPr>
        <w:t xml:space="preserve">JSZC-320000-SCZX-G2025-0476</w:t>
      </w:r>
      <w:r>
        <w:rPr>
          <w:sz w:val="24"/>
          <w:szCs w:val="24"/>
        </w:rPr>
      </w:r>
      <w:r/>
    </w:p>
    <w:p>
      <w:pPr>
        <w:pStyle w:val="1065"/>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r/>
    </w:p>
    <w:p>
      <w:pPr>
        <w:pStyle w:val="1065"/>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r/>
    </w:p>
    <w:p>
      <w:pPr>
        <w:pStyle w:val="1065"/>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r/>
    </w:p>
    <w:p>
      <w:pPr>
        <w:pStyle w:val="1065"/>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r/>
    </w:p>
    <w:p>
      <w:pPr>
        <w:pStyle w:val="1065"/>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r/>
    </w:p>
    <w:p>
      <w:pPr>
        <w:pStyle w:val="1065"/>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r/>
    </w:p>
    <w:p>
      <w:pPr>
        <w:pStyle w:val="1065"/>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r/>
    </w:p>
    <w:p>
      <w:pPr>
        <w:pStyle w:val="1065"/>
        <w:ind w:firstLine="0"/>
        <w:jc w:val="center"/>
        <w:rPr>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江苏省政府采购中心</w:t>
      </w:r>
      <w:r>
        <w:rPr>
          <w:highlight w:val="none"/>
        </w:rPr>
      </w:r>
      <w:r/>
    </w:p>
    <w:p>
      <w:pPr>
        <w:pStyle w:val="1065"/>
        <w:ind w:firstLine="0"/>
        <w:jc w:val="center"/>
        <w:rPr>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202</w:t>
      </w:r>
      <w:r>
        <w:rPr>
          <w:rFonts w:hint="eastAsia"/>
          <w:b/>
          <w:bCs/>
          <w:color w:val="000000" w:themeColor="text1"/>
          <w:sz w:val="32"/>
          <w:highlight w:val="none"/>
          <w:lang w:val="en-US" w:eastAsia="zh-CN"/>
          <w14:textFill>
            <w14:solidFill>
              <w14:schemeClr w14:val="tx1"/>
            </w14:solidFill>
          </w14:textFill>
        </w:rPr>
        <w:t xml:space="preserve">5</w:t>
      </w:r>
      <w:r>
        <w:rPr>
          <w:rFonts w:hint="eastAsia"/>
          <w:b/>
          <w:bCs/>
          <w:color w:val="000000" w:themeColor="text1"/>
          <w:sz w:val="32"/>
          <w:highlight w:val="none"/>
          <w14:textFill>
            <w14:solidFill>
              <w14:schemeClr w14:val="tx1"/>
            </w14:solidFill>
          </w14:textFill>
        </w:rPr>
        <w:t xml:space="preserve">年</w:t>
      </w:r>
      <w:r>
        <w:rPr>
          <w:rFonts w:hint="eastAsia"/>
          <w:b/>
          <w:bCs/>
          <w:color w:val="000000" w:themeColor="text1"/>
          <w:sz w:val="32"/>
          <w:highlight w:val="none"/>
          <w:lang w:val="en-US" w:eastAsia="zh-CN"/>
          <w14:textFill>
            <w14:solidFill>
              <w14:schemeClr w14:val="tx1"/>
            </w14:solidFill>
          </w14:textFill>
        </w:rPr>
        <w:t xml:space="preserve">9</w:t>
      </w:r>
      <w:r>
        <w:rPr>
          <w:rFonts w:hint="eastAsia"/>
          <w:b/>
          <w:bCs/>
          <w:color w:val="000000" w:themeColor="text1"/>
          <w:sz w:val="32"/>
          <w:highlight w:val="none"/>
          <w14:textFill>
            <w14:solidFill>
              <w14:schemeClr w14:val="tx1"/>
            </w14:solidFill>
          </w14:textFill>
        </w:rPr>
        <w:t xml:space="preserve">月</w:t>
      </w:r>
      <w:r>
        <w:rPr>
          <w:highlight w:val="none"/>
        </w:rPr>
      </w:r>
      <w:r/>
    </w:p>
    <w:p>
      <w:pPr>
        <w:pStyle w:val="1065"/>
        <w:ind w:firstLine="0"/>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highlight w:val="none"/>
        </w:rPr>
      </w:r>
      <w:r/>
    </w:p>
    <w:p>
      <w:pPr>
        <w:pStyle w:val="1065"/>
        <w:ind w:firstLine="0"/>
        <w:jc w:val="center"/>
        <w:rPr>
          <w:rFonts w:hint="eastAsia"/>
          <w:highlight w:val="none"/>
        </w:rPr>
      </w:pPr>
      <w:r>
        <w:rPr>
          <w:rFonts w:hint="eastAsia"/>
          <w:highlight w:val="none"/>
        </w:rPr>
      </w:r>
      <w:r>
        <w:rPr>
          <w:highlight w:val="none"/>
        </w:rPr>
      </w:r>
      <w:r/>
    </w:p>
    <w:p>
      <w:pPr>
        <w:jc w:val="center"/>
        <w:spacing w:line="480" w:lineRule="auto"/>
        <w:rPr>
          <w:rFonts w:hint="eastAsia" w:ascii="黑体" w:hAnsi="Arial" w:eastAsia="黑体"/>
          <w:b/>
          <w:sz w:val="44"/>
          <w:highlight w:val="none"/>
        </w:rPr>
        <w:outlineLvl w:val="0"/>
      </w:pPr>
      <w:r>
        <w:rPr>
          <w:highlight w:val="none"/>
        </w:rPr>
        <w:br w:type="page" w:clear="all"/>
      </w:r>
      <w:bookmarkStart w:id="5" w:name="_Toc120614210"/>
      <w:r>
        <w:rPr>
          <w:rFonts w:hint="eastAsia"/>
          <w:highlight w:val="none"/>
        </w:rPr>
        <w:t xml:space="preserve"> </w:t>
      </w:r>
      <w:r>
        <w:rPr>
          <w:rFonts w:hint="eastAsia" w:ascii="黑体" w:hAnsi="Arial" w:eastAsia="黑体"/>
          <w:b/>
          <w:sz w:val="44"/>
          <w:highlight w:val="none"/>
        </w:rPr>
        <w:t xml:space="preserve">总  目  录</w:t>
      </w:r>
      <w:r>
        <w:rPr>
          <w:highlight w:val="none"/>
        </w:rPr>
      </w:r>
      <w:r/>
    </w:p>
    <w:p>
      <w:pPr>
        <w:spacing w:line="480" w:lineRule="auto"/>
        <w:rPr>
          <w:rFonts w:hint="eastAsia" w:ascii="仿宋_GB2312" w:hAnsi="Arial" w:eastAsia="仿宋_GB2312"/>
          <w:b/>
          <w:sz w:val="28"/>
          <w:highlight w:val="none"/>
        </w:rPr>
      </w:pPr>
      <w:r>
        <w:rPr>
          <w:rFonts w:hint="eastAsia" w:ascii="仿宋_GB2312" w:hAnsi="Arial" w:eastAsia="仿宋_GB2312"/>
          <w:b/>
          <w:sz w:val="28"/>
          <w:highlight w:val="none"/>
        </w:rPr>
      </w:r>
      <w:r>
        <w:rPr>
          <w:highlight w:val="none"/>
        </w:rPr>
      </w:r>
      <w:r/>
    </w:p>
    <w:p>
      <w:pPr>
        <w:numPr>
          <w:ilvl w:val="0"/>
          <w:numId w:val="4"/>
        </w:numPr>
        <w:spacing w:line="480" w:lineRule="auto"/>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w:t>
      </w:r>
      <w:r>
        <w:rPr>
          <w:rFonts w:hint="eastAsia" w:ascii="黑体" w:hAnsi="Showcard Gothic" w:eastAsia="黑体"/>
          <w:sz w:val="36"/>
          <w:highlight w:val="none"/>
        </w:rPr>
        <w:t xml:space="preserve"> </w:t>
      </w:r>
      <w:r>
        <w:rPr>
          <w:highlight w:val="none"/>
        </w:rPr>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4</w:t>
      </w:r>
      <w:r>
        <w:rPr>
          <w:rFonts w:hint="eastAsia" w:ascii="黑体" w:hAnsi="Showcard Gothic" w:eastAsia="黑体"/>
          <w:sz w:val="36"/>
          <w:highlight w:val="none"/>
        </w:rPr>
        <w:t xml:space="preserve">  </w:t>
      </w:r>
      <w:r>
        <w:rPr>
          <w:highlight w:val="none"/>
        </w:rPr>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13</w:t>
      </w:r>
      <w:r>
        <w:rPr>
          <w:highlight w:val="none"/>
        </w:rPr>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19</w:t>
      </w:r>
      <w:r>
        <w:rPr>
          <w:highlight w:val="none"/>
        </w:rPr>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59</w:t>
      </w:r>
      <w:r>
        <w:rPr>
          <w:highlight w:val="none"/>
        </w:rPr>
      </w:r>
      <w:r/>
    </w:p>
    <w:p>
      <w:pPr>
        <w:numPr>
          <w:ilvl w:val="0"/>
          <w:numId w:val="4"/>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65</w:t>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rPr>
          <w:rFonts w:hint="eastAsia"/>
          <w:highlight w:val="none"/>
        </w:rPr>
      </w:pPr>
      <w:r>
        <w:rPr>
          <w:rFonts w:hint="eastAsia"/>
          <w:highlight w:val="none"/>
        </w:rPr>
      </w:r>
      <w:r>
        <w:rPr>
          <w:highlight w:val="none"/>
        </w:rPr>
      </w:r>
      <w:r/>
    </w:p>
    <w:p>
      <w:pPr>
        <w:pStyle w:val="1224"/>
        <w:rPr>
          <w:rFonts w:hint="eastAsia" w:ascii="黑体" w:eastAsia="黑体"/>
          <w:sz w:val="44"/>
          <w:szCs w:val="44"/>
          <w:highlight w:val="none"/>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sz w:val="44"/>
          <w:szCs w:val="44"/>
          <w:highlight w:val="none"/>
        </w:rPr>
      </w:r>
      <w:r>
        <w:rPr>
          <w:highlight w:val="none"/>
        </w:rPr>
      </w:r>
      <w:r/>
    </w:p>
    <w:p>
      <w:pPr>
        <w:pStyle w:val="1224"/>
        <w:keepLines w:val="0"/>
        <w:keepNext/>
        <w:pageBreakBefore w:val="0"/>
        <w:spacing w:line="360" w:lineRule="auto"/>
        <w:widowControl w:val="off"/>
        <w:rPr>
          <w:rFonts w:hint="eastAsia" w:ascii="黑体" w:eastAsia="黑体"/>
          <w:bCs/>
          <w:sz w:val="44"/>
          <w:szCs w:val="44"/>
          <w:highlight w:val="none"/>
        </w:rPr>
      </w:pPr>
      <w:r>
        <w:rPr>
          <w:rFonts w:hint="eastAsia" w:ascii="黑体" w:eastAsia="黑体"/>
          <w:sz w:val="44"/>
          <w:szCs w:val="44"/>
          <w:highlight w:val="none"/>
        </w:rPr>
        <w:t xml:space="preserve">第一章  </w:t>
      </w:r>
      <w:bookmarkEnd w:id="5"/>
      <w:r>
        <w:rPr>
          <w:rFonts w:hint="eastAsia" w:ascii="黑体" w:eastAsia="黑体"/>
          <w:sz w:val="44"/>
          <w:szCs w:val="44"/>
          <w:highlight w:val="none"/>
        </w:rPr>
        <w:t xml:space="preserve">投标邀请</w:t>
      </w:r>
      <w:r>
        <w:rPr>
          <w:highlight w:val="none"/>
        </w:rPr>
      </w:r>
      <w:r/>
    </w:p>
    <w:p>
      <w:pPr>
        <w:ind w:firstLine="480"/>
        <w:spacing w:line="400" w:lineRule="exact"/>
        <w:rPr>
          <w:rFonts w:ascii="宋体" w:hAnsi="宋体"/>
          <w:color w:val="auto"/>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无锡商业职业技术学院</w:t>
      </w:r>
      <w:r>
        <w:rPr>
          <w:rFonts w:hint="eastAsia" w:ascii="宋体" w:hAnsi="宋体"/>
          <w:sz w:val="24"/>
          <w:szCs w:val="24"/>
          <w:highlight w:val="none"/>
        </w:rPr>
        <w:t xml:space="preserve">的委托，江苏省政府采购中心就</w:t>
      </w:r>
      <w:r>
        <w:rPr>
          <w:rFonts w:hint="eastAsia" w:ascii="宋体" w:hAnsi="宋体"/>
          <w:sz w:val="24"/>
          <w:szCs w:val="24"/>
          <w:highlight w:val="none"/>
          <w:lang w:eastAsia="zh-CN"/>
        </w:rPr>
        <w:t xml:space="preserve">2025—2028年校园综合物业服</w:t>
      </w:r>
      <w:r>
        <w:rPr>
          <w:rFonts w:hint="eastAsia" w:ascii="宋体" w:hAnsi="宋体"/>
          <w:color w:val="auto"/>
          <w:sz w:val="24"/>
          <w:szCs w:val="24"/>
          <w:highlight w:val="none"/>
          <w:lang w:eastAsia="zh-CN"/>
        </w:rPr>
        <w:t xml:space="preserve">务项目（</w:t>
      </w:r>
      <w:r>
        <w:rPr>
          <w:rFonts w:hint="eastAsia" w:ascii="宋体" w:hAnsi="宋体"/>
          <w:color w:val="000000" w:themeColor="text1"/>
          <w:sz w:val="24"/>
          <w:szCs w:val="24"/>
          <w:highlight w:val="none"/>
          <w14:textFill>
            <w14:solidFill>
              <w14:schemeClr w14:val="tx1"/>
            </w14:solidFill>
          </w14:textFill>
        </w:rPr>
        <w:t xml:space="preserve">JSZC-320000-SCZX-G2025-0476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项目进行公开招标采购，欢迎符合条件的供应商投标。</w:t>
      </w:r>
      <w:r>
        <w:rPr>
          <w:highlight w:val="none"/>
        </w:rPr>
      </w:r>
      <w:r/>
    </w:p>
    <w:p>
      <w:pPr>
        <w:ind w:firstLine="480"/>
        <w:spacing w:line="40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highlight w:val="none"/>
        </w:rPr>
      </w:r>
      <w:r/>
    </w:p>
    <w:p>
      <w:pPr>
        <w:ind w:firstLine="480"/>
        <w:spacing w:line="40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2025—2028年校园综合物业服务项目</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ascii="宋体" w:hAnsi="宋体"/>
          <w:color w:val="auto"/>
          <w:sz w:val="24"/>
          <w:szCs w:val="24"/>
          <w:highlight w:val="none"/>
          <w:u w:val="single"/>
        </w:rPr>
        <w:t xml:space="preserve">2025</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10</w:t>
      </w:r>
      <w:r>
        <w:rPr>
          <w:rFonts w:hint="eastAsia" w:ascii="宋体" w:hAnsi="宋体"/>
          <w:bCs/>
          <w:color w:val="auto"/>
          <w:sz w:val="24"/>
          <w:szCs w:val="24"/>
          <w:highlight w:val="none"/>
          <w:u w:val="single"/>
          <w:lang w:eastAsia="zh-CN"/>
        </w:rPr>
        <w:t xml:space="preserve">月13</w:t>
      </w:r>
      <w:r>
        <w:rPr>
          <w:rFonts w:hint="eastAsia" w:ascii="宋体" w:hAnsi="宋体"/>
          <w:bCs/>
          <w:color w:val="auto"/>
          <w:sz w:val="24"/>
          <w:szCs w:val="24"/>
          <w:highlight w:val="none"/>
          <w:u w:val="single"/>
          <w:lang w:eastAsia="zh-CN"/>
        </w:rPr>
        <w:t xml:space="preserve">日</w:t>
      </w:r>
      <w:r>
        <w:rPr>
          <w:rFonts w:hint="eastAsia" w:ascii="宋体" w:hAnsi="宋体"/>
          <w:bCs/>
          <w:color w:val="auto"/>
          <w:sz w:val="24"/>
          <w:szCs w:val="24"/>
          <w:highlight w:val="none"/>
          <w:u w:val="single"/>
          <w:lang w:val="en-US" w:eastAsia="zh-CN"/>
        </w:rPr>
        <w:t xml:space="preserve">14</w:t>
      </w:r>
      <w:r>
        <w:rPr>
          <w:rFonts w:hint="eastAsia" w:ascii="宋体" w:hAnsi="宋体"/>
          <w:bCs/>
          <w:color w:val="auto"/>
          <w:sz w:val="24"/>
          <w:szCs w:val="24"/>
          <w:highlight w:val="none"/>
          <w:u w:val="single"/>
        </w:rPr>
        <w:t xml:space="preserve">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highlight w:val="none"/>
        </w:rPr>
      </w:r>
      <w:r/>
    </w:p>
    <w:p>
      <w:pPr>
        <w:pStyle w:val="1225"/>
        <w:ind w:firstLine="498"/>
        <w:spacing w:before="145" w:after="145" w:line="400" w:lineRule="exact"/>
        <w:rPr>
          <w:highlight w:val="none"/>
        </w:rPr>
      </w:pPr>
      <w:r>
        <w:rPr>
          <w:highlight w:val="none"/>
        </w:rPr>
      </w:r>
      <w:bookmarkStart w:id="6" w:name="_Toc35393790"/>
      <w:r>
        <w:rPr>
          <w:highlight w:val="none"/>
        </w:rPr>
      </w:r>
      <w:bookmarkStart w:id="7" w:name="_Toc28359002"/>
      <w:r>
        <w:rPr>
          <w:highlight w:val="none"/>
        </w:rPr>
      </w:r>
      <w:bookmarkStart w:id="8" w:name="_Toc38985263"/>
      <w:r>
        <w:rPr>
          <w:highlight w:val="none"/>
        </w:rPr>
      </w:r>
      <w:bookmarkStart w:id="9" w:name="_Toc28359079"/>
      <w:r>
        <w:rPr>
          <w:highlight w:val="none"/>
        </w:rPr>
      </w:r>
      <w:bookmarkStart w:id="10" w:name="_Toc35393621"/>
      <w:r>
        <w:rPr>
          <w:highlight w:val="none"/>
        </w:rPr>
      </w:r>
      <w:bookmarkStart w:id="11" w:name="_Hlk24379207"/>
      <w:r>
        <w:rPr>
          <w:rFonts w:hint="eastAsia"/>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p>
    <w:p>
      <w:pPr>
        <w:ind w:firstLine="480"/>
        <w:keepLines w:val="0"/>
        <w:keepNext w:val="0"/>
        <w:pageBreakBefore w:val="0"/>
        <w:spacing w:line="360" w:lineRule="auto"/>
        <w:widowControl w:val="off"/>
        <w:rPr>
          <w:rFonts w:hint="default"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14:textFill>
            <w14:solidFill>
              <w14:schemeClr w14:val="tx1"/>
            </w14:solidFill>
          </w14:textFill>
        </w:rPr>
        <w:t xml:space="preserve">JSZC-320000-SCZX-G2025-0476</w:t>
      </w:r>
      <w:r>
        <w:rPr>
          <w:rFonts w:hint="eastAsia" w:ascii="宋体" w:hAnsi="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lang w:eastAsia="zh-CN"/>
          <w14:textFill>
            <w14:solidFill>
              <w14:schemeClr w14:val="tx1"/>
            </w14:solidFill>
          </w14:textFill>
        </w:rPr>
        <w:t xml:space="preserve">2025—2028年校园综合物业服务项目</w:t>
      </w:r>
      <w:r>
        <w:rPr>
          <w:highlight w:val="none"/>
        </w:rPr>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highlight w:val="none"/>
        </w:rPr>
      </w:r>
      <w:r/>
    </w:p>
    <w:tbl>
      <w:tblPr>
        <w:tblStyle w:val="93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98"/>
        <w:gridCol w:w="3198"/>
      </w:tblGrid>
      <w:tr>
        <w:trPr/>
        <w:tc>
          <w:tcPr>
            <w:tcW w:w="1148" w:type="dxa"/>
            <w:vAlign w:val="center"/>
            <w:textDirection w:val="lrTb"/>
            <w:noWrap w:val="false"/>
          </w:tcPr>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采购</w:t>
            </w:r>
            <w:r>
              <w:rPr>
                <w:highlight w:val="none"/>
              </w:rPr>
            </w:r>
            <w:r/>
          </w:p>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包号</w:t>
            </w:r>
            <w:r>
              <w:rPr>
                <w:highlight w:val="none"/>
              </w:rPr>
            </w:r>
            <w:r/>
          </w:p>
        </w:tc>
        <w:tc>
          <w:tcPr>
            <w:tcW w:w="319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采购标的</w:t>
            </w:r>
            <w:r>
              <w:rPr>
                <w:highlight w:val="none"/>
              </w:rPr>
            </w:r>
            <w:r/>
          </w:p>
        </w:tc>
        <w:tc>
          <w:tcPr>
            <w:tcW w:w="3198"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预算</w:t>
            </w:r>
            <w:r>
              <w:rPr>
                <w:rFonts w:ascii="宋体" w:hAnsi="宋体"/>
                <w:color w:val="auto"/>
                <w:sz w:val="24"/>
                <w:szCs w:val="24"/>
                <w:highlight w:val="none"/>
              </w:rPr>
              <w:t xml:space="preserve">金额</w:t>
            </w:r>
            <w:r>
              <w:rPr>
                <w:rFonts w:hint="eastAsia" w:ascii="宋体" w:hAnsi="宋体"/>
                <w:color w:val="auto"/>
                <w:sz w:val="24"/>
                <w:szCs w:val="24"/>
                <w:highlight w:val="none"/>
              </w:rPr>
              <w:t xml:space="preserve">（人民币</w:t>
            </w:r>
            <w:r>
              <w:rPr>
                <w:rFonts w:ascii="宋体" w:hAnsi="宋体"/>
                <w:color w:val="auto"/>
                <w:sz w:val="24"/>
                <w:szCs w:val="24"/>
                <w:highlight w:val="none"/>
              </w:rPr>
              <w:t xml:space="preserve">：万元</w:t>
            </w:r>
            <w:r>
              <w:rPr>
                <w:rFonts w:hint="eastAsia" w:ascii="宋体" w:hAnsi="宋体"/>
                <w:color w:val="auto"/>
                <w:sz w:val="24"/>
                <w:szCs w:val="24"/>
                <w:highlight w:val="none"/>
              </w:rPr>
              <w:t xml:space="preserve">）</w:t>
            </w:r>
            <w:r>
              <w:rPr>
                <w:highlight w:val="none"/>
              </w:rPr>
            </w:r>
            <w:r/>
          </w:p>
        </w:tc>
      </w:tr>
      <w:tr>
        <w:trPr/>
        <w:tc>
          <w:tcPr>
            <w:tcW w:w="1148" w:type="dxa"/>
            <w:vAlign w:val="top"/>
            <w:textDirection w:val="lrTb"/>
            <w:noWrap w:val="false"/>
          </w:tcPr>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3198" w:type="dxa"/>
            <w:vAlign w:val="top"/>
            <w:textDirection w:val="lrTb"/>
            <w:noWrap w:val="false"/>
          </w:tcPr>
          <w:p>
            <w:pPr>
              <w:jc w:val="center"/>
              <w:keepLines w:val="0"/>
              <w:keepNext w:val="0"/>
              <w:pageBreakBefore w:val="0"/>
              <w:spacing w:line="360" w:lineRule="auto"/>
              <w:widowControl w:val="off"/>
              <w:rPr>
                <w:rFonts w:hint="eastAsia" w:ascii="宋体" w:hAnsi="宋体"/>
                <w:sz w:val="24"/>
                <w:szCs w:val="24"/>
                <w:highlight w:val="none"/>
              </w:rPr>
            </w:pPr>
            <w:r>
              <w:rPr>
                <w:rFonts w:hint="eastAsia" w:ascii="宋体" w:hAnsi="宋体"/>
                <w:color w:val="000000" w:themeColor="text1"/>
                <w:sz w:val="24"/>
                <w:szCs w:val="24"/>
                <w:highlight w:val="none"/>
                <w:lang w:eastAsia="zh-CN"/>
                <w14:textFill>
                  <w14:solidFill>
                    <w14:schemeClr w14:val="tx1"/>
                  </w14:solidFill>
                </w14:textFill>
              </w:rPr>
              <w:t xml:space="preserve">2025—2028年校园综合物业服务</w:t>
            </w:r>
            <w:r>
              <w:rPr>
                <w:highlight w:val="none"/>
              </w:rPr>
            </w:r>
            <w:r/>
          </w:p>
        </w:tc>
        <w:tc>
          <w:tcPr>
            <w:tcW w:w="3198" w:type="dxa"/>
            <w:vAlign w:val="top"/>
            <w:textDirection w:val="lrTb"/>
            <w:noWrap w:val="false"/>
          </w:tcPr>
          <w:p>
            <w:pPr>
              <w:jc w:val="center"/>
              <w:keepLines w:val="0"/>
              <w:keepNext w:val="0"/>
              <w:pageBreakBefore w:val="0"/>
              <w:spacing w:line="360" w:lineRule="auto"/>
              <w:widowControl w:val="off"/>
              <w:rPr>
                <w:rFonts w:hint="default" w:ascii="宋体" w:hAnsi="宋体" w:eastAsia="宋体"/>
                <w:color w:val="auto"/>
                <w:sz w:val="24"/>
                <w:szCs w:val="24"/>
                <w:highlight w:val="none"/>
              </w:rPr>
            </w:pPr>
            <w:r>
              <w:rPr>
                <w:rFonts w:hint="eastAsia" w:ascii="宋体" w:hAnsi="宋体"/>
                <w:color w:val="auto"/>
                <w:sz w:val="24"/>
                <w:szCs w:val="24"/>
                <w:highlight w:val="none"/>
              </w:rPr>
              <w:t xml:space="preserve">2019</w:t>
            </w:r>
            <w:r>
              <w:rPr>
                <w:rFonts w:hint="eastAsia" w:ascii="宋体" w:hAnsi="宋体"/>
                <w:color w:val="auto"/>
                <w:sz w:val="24"/>
                <w:szCs w:val="24"/>
                <w:highlight w:val="none"/>
                <w:lang w:val="en-US" w:eastAsia="zh-CN"/>
              </w:rPr>
              <w:t xml:space="preserve">.9729</w:t>
            </w:r>
            <w:r>
              <w:rPr>
                <w:highlight w:val="none"/>
              </w:rPr>
            </w:r>
            <w:r/>
          </w:p>
        </w:tc>
      </w:tr>
    </w:tbl>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4.最高限价：</w:t>
      </w:r>
      <w:r>
        <w:rPr>
          <w:highlight w:val="none"/>
        </w:rPr>
      </w:r>
      <w:r/>
    </w:p>
    <w:tbl>
      <w:tblPr>
        <w:tblStyle w:val="93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center"/>
            <w:textDirection w:val="lrTb"/>
            <w:noWrap w:val="false"/>
          </w:tcPr>
          <w:p>
            <w:pPr>
              <w:jc w:val="center"/>
              <w:keepLines w:val="0"/>
              <w:keepNext w:val="0"/>
              <w:pageBreakBefore w:val="0"/>
              <w:spacing w:line="360" w:lineRule="auto"/>
              <w:widowControl w:val="off"/>
              <w:rPr>
                <w:rFonts w:ascii="宋体" w:hAnsi="宋体"/>
                <w:color w:val="auto"/>
                <w:sz w:val="24"/>
                <w:szCs w:val="24"/>
                <w:highlight w:val="none"/>
              </w:rPr>
            </w:pPr>
            <w:r>
              <w:rPr>
                <w:highlight w:val="none"/>
              </w:rPr>
            </w:r>
            <w:bookmarkStart w:id="12" w:name="OLE_LINK23"/>
            <w:r>
              <w:rPr>
                <w:rFonts w:hint="eastAsia" w:ascii="宋体" w:hAnsi="宋体"/>
                <w:color w:val="auto"/>
                <w:sz w:val="24"/>
                <w:szCs w:val="24"/>
                <w:highlight w:val="none"/>
              </w:rPr>
              <w:t xml:space="preserve">采购</w:t>
            </w:r>
            <w:r>
              <w:rPr>
                <w:highlight w:val="none"/>
              </w:rPr>
            </w:r>
            <w:r/>
          </w:p>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包号</w:t>
            </w:r>
            <w:r>
              <w:rPr>
                <w:highlight w:val="none"/>
              </w:rPr>
            </w:r>
            <w:r/>
          </w:p>
        </w:tc>
        <w:tc>
          <w:tcPr>
            <w:tcW w:w="2800" w:type="dxa"/>
            <w:vAlign w:val="center"/>
            <w:textDirection w:val="lrTb"/>
            <w:noWrap w:val="false"/>
          </w:tcPr>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是否</w:t>
            </w:r>
            <w:r>
              <w:rPr>
                <w:rFonts w:ascii="宋体" w:hAnsi="宋体"/>
                <w:color w:val="auto"/>
                <w:sz w:val="24"/>
                <w:szCs w:val="24"/>
                <w:highlight w:val="none"/>
              </w:rPr>
              <w:t xml:space="preserve">设定最高</w:t>
            </w:r>
            <w:r>
              <w:rPr>
                <w:rFonts w:hint="eastAsia" w:ascii="宋体" w:hAnsi="宋体"/>
                <w:color w:val="auto"/>
                <w:sz w:val="24"/>
                <w:szCs w:val="24"/>
                <w:highlight w:val="none"/>
              </w:rPr>
              <w:t xml:space="preserve">限价</w:t>
            </w:r>
            <w:r>
              <w:rPr>
                <w:highlight w:val="none"/>
              </w:rPr>
            </w:r>
            <w:r/>
          </w:p>
          <w:p>
            <w:pPr>
              <w:jc w:val="center"/>
              <w:keepLines w:val="0"/>
              <w:keepNext w:val="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是/否</w:t>
            </w:r>
            <w:r>
              <w:rPr>
                <w:rFonts w:ascii="宋体" w:hAnsi="宋体"/>
                <w:color w:val="auto"/>
                <w:sz w:val="24"/>
                <w:szCs w:val="24"/>
                <w:highlight w:val="none"/>
              </w:rPr>
              <w:t xml:space="preserve">）</w:t>
            </w:r>
            <w:r>
              <w:rPr>
                <w:highlight w:val="none"/>
              </w:rPr>
            </w:r>
            <w:r/>
          </w:p>
        </w:tc>
        <w:tc>
          <w:tcPr>
            <w:tcW w:w="3135"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最高</w:t>
            </w:r>
            <w:r>
              <w:rPr>
                <w:rFonts w:ascii="宋体" w:hAnsi="宋体"/>
                <w:color w:val="auto"/>
                <w:sz w:val="24"/>
                <w:szCs w:val="24"/>
                <w:highlight w:val="none"/>
              </w:rPr>
              <w:t xml:space="preserve">限价</w:t>
            </w:r>
            <w:r>
              <w:rPr>
                <w:rFonts w:hint="eastAsia" w:ascii="宋体" w:hAnsi="宋体"/>
                <w:color w:val="auto"/>
                <w:sz w:val="24"/>
                <w:szCs w:val="24"/>
                <w:highlight w:val="none"/>
              </w:rPr>
              <w:t xml:space="preserve">（人民币</w:t>
            </w:r>
            <w:r>
              <w:rPr>
                <w:rFonts w:ascii="宋体" w:hAnsi="宋体"/>
                <w:color w:val="auto"/>
                <w:sz w:val="24"/>
                <w:szCs w:val="24"/>
                <w:highlight w:val="none"/>
              </w:rPr>
              <w:t xml:space="preserve">：万元</w:t>
            </w:r>
            <w:r>
              <w:rPr>
                <w:rFonts w:hint="eastAsia" w:ascii="宋体" w:hAnsi="宋体"/>
                <w:color w:val="auto"/>
                <w:sz w:val="24"/>
                <w:szCs w:val="24"/>
                <w:highlight w:val="none"/>
              </w:rPr>
              <w:t xml:space="preserve">）</w:t>
            </w:r>
            <w:r>
              <w:rPr>
                <w:highlight w:val="none"/>
              </w:rPr>
            </w:r>
            <w:r/>
          </w:p>
        </w:tc>
      </w:tr>
      <w:tr>
        <w:trPr/>
        <w:tc>
          <w:tcPr>
            <w:tcW w:w="1148" w:type="dxa"/>
            <w:vAlign w:val="top"/>
            <w:textDirection w:val="lrTb"/>
            <w:noWrap w:val="false"/>
          </w:tcPr>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2800" w:type="dxa"/>
            <w:vAlign w:val="top"/>
            <w:textDirection w:val="lrTb"/>
            <w:noWrap w:val="false"/>
          </w:tcPr>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是</w:t>
            </w:r>
            <w:r>
              <w:rPr>
                <w:highlight w:val="none"/>
              </w:rPr>
            </w:r>
            <w:r/>
          </w:p>
        </w:tc>
        <w:tc>
          <w:tcPr>
            <w:tcW w:w="3135" w:type="dxa"/>
            <w:vAlign w:val="top"/>
            <w:textDirection w:val="lrTb"/>
            <w:noWrap w:val="false"/>
          </w:tcPr>
          <w:p>
            <w:pPr>
              <w:jc w:val="center"/>
              <w:keepLines w:val="0"/>
              <w:keepNext w:val="0"/>
              <w:pageBreakBefore w:val="0"/>
              <w:spacing w:line="360" w:lineRule="auto"/>
              <w:widowControl w:val="off"/>
              <w:rPr>
                <w:rFonts w:hint="default" w:ascii="宋体" w:hAnsi="宋体" w:eastAsia="宋体"/>
                <w:color w:val="auto"/>
                <w:sz w:val="24"/>
                <w:szCs w:val="24"/>
                <w:highlight w:val="none"/>
              </w:rPr>
            </w:pPr>
            <w:r>
              <w:rPr>
                <w:rFonts w:hint="eastAsia" w:ascii="宋体" w:hAnsi="宋体"/>
                <w:color w:val="auto"/>
                <w:sz w:val="24"/>
                <w:szCs w:val="24"/>
                <w:highlight w:val="none"/>
              </w:rPr>
              <w:t xml:space="preserve">2019</w:t>
            </w:r>
            <w:r>
              <w:rPr>
                <w:rFonts w:hint="eastAsia" w:ascii="宋体" w:hAnsi="宋体"/>
                <w:color w:val="auto"/>
                <w:sz w:val="24"/>
                <w:szCs w:val="24"/>
                <w:highlight w:val="none"/>
                <w:lang w:val="en-US" w:eastAsia="zh-CN"/>
              </w:rPr>
              <w:t xml:space="preserve">.9729</w:t>
            </w:r>
            <w:bookmarkEnd w:id="12"/>
            <w:r>
              <w:rPr>
                <w:highlight w:val="none"/>
              </w:rPr>
            </w:r>
            <w:r/>
          </w:p>
        </w:tc>
      </w:tr>
    </w:tbl>
    <w:p>
      <w:pPr>
        <w:ind w:firstLine="482"/>
        <w:keepLines w:val="0"/>
        <w:keepNext w:val="0"/>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5.采购需求（简介）：本项目主要是</w:t>
      </w:r>
      <w:r>
        <w:rPr>
          <w:rFonts w:hint="eastAsia" w:ascii="宋体" w:hAnsi="宋体"/>
          <w:sz w:val="24"/>
          <w:szCs w:val="24"/>
          <w:highlight w:val="none"/>
          <w:lang w:eastAsia="zh-CN"/>
        </w:rPr>
        <w:t xml:space="preserve">无锡商业职业技术学院</w:t>
      </w:r>
      <w:r>
        <w:rPr>
          <w:rFonts w:hint="eastAsia" w:ascii="宋体" w:hAnsi="宋体"/>
          <w:color w:val="000000" w:themeColor="text1"/>
          <w:sz w:val="24"/>
          <w:szCs w:val="24"/>
          <w:highlight w:val="none"/>
          <w:lang w:eastAsia="zh-CN"/>
          <w14:textFill>
            <w14:solidFill>
              <w14:schemeClr w14:val="tx1"/>
            </w14:solidFill>
          </w14:textFill>
        </w:rPr>
        <w:t xml:space="preserve">2025—2028年校园综合物业服务，主要为场馆物业与环境绿化物业两大板块，场馆物业</w:t>
      </w:r>
      <w:r>
        <w:rPr>
          <w:rFonts w:hint="eastAsia" w:ascii="宋体" w:hAnsi="宋体"/>
          <w:color w:val="000000" w:themeColor="text1"/>
          <w:sz w:val="24"/>
          <w:szCs w:val="24"/>
          <w:highlight w:val="none"/>
          <w:lang w:val="en-US" w:eastAsia="zh-CN"/>
          <w14:textFill>
            <w14:solidFill>
              <w14:schemeClr w14:val="tx1"/>
            </w14:solidFill>
          </w14:textFill>
        </w:rPr>
        <w:t xml:space="preserve">包</w:t>
      </w:r>
      <w:r>
        <w:rPr>
          <w:rFonts w:hint="eastAsia" w:ascii="宋体" w:hAnsi="宋体"/>
          <w:color w:val="000000" w:themeColor="text1"/>
          <w:sz w:val="24"/>
          <w:szCs w:val="24"/>
          <w:highlight w:val="none"/>
          <w:lang w:eastAsia="zh-CN"/>
          <w14:textFill>
            <w14:solidFill>
              <w14:schemeClr w14:val="tx1"/>
            </w14:solidFill>
          </w14:textFill>
        </w:rPr>
        <w:t xml:space="preserve">含学生宿舍、教学楼、体育馆、图书馆、行政楼、实训楼、创业园、商贸楼、青年教工公寓、各类值班室等所有楼宇的管理服务；环境绿化物业</w:t>
      </w:r>
      <w:r>
        <w:rPr>
          <w:rFonts w:hint="eastAsia" w:ascii="宋体" w:hAnsi="宋体"/>
          <w:color w:val="000000" w:themeColor="text1"/>
          <w:sz w:val="24"/>
          <w:szCs w:val="24"/>
          <w:highlight w:val="none"/>
          <w:lang w:val="en-US" w:eastAsia="zh-CN"/>
          <w14:textFill>
            <w14:solidFill>
              <w14:schemeClr w14:val="tx1"/>
            </w14:solidFill>
          </w14:textFill>
        </w:rPr>
        <w:t xml:space="preserve">包</w:t>
      </w:r>
      <w:r>
        <w:rPr>
          <w:rFonts w:hint="eastAsia" w:ascii="宋体" w:hAnsi="宋体"/>
          <w:color w:val="000000" w:themeColor="text1"/>
          <w:sz w:val="24"/>
          <w:szCs w:val="24"/>
          <w:highlight w:val="none"/>
          <w:lang w:eastAsia="zh-CN"/>
          <w14:textFill>
            <w14:solidFill>
              <w14:schemeClr w14:val="tx1"/>
            </w14:solidFill>
          </w14:textFill>
        </w:rPr>
        <w:t xml:space="preserve">含建筑外所有公共区域（道路、广场、田径场、篮球场、人工湖、防洪沟、中转站、窨井等）的卫生保洁；校园所有绿化（含苗圃、紫园、成蹊园茶场）的养护；所有地下管网（窖井、化粪池、排水管道等）的清淤、疏通及检修</w:t>
      </w:r>
      <w:r>
        <w:rPr>
          <w:rFonts w:hint="eastAsia" w:ascii="宋体" w:hAnsi="宋体"/>
          <w:sz w:val="24"/>
          <w:szCs w:val="24"/>
          <w:highlight w:val="none"/>
        </w:rPr>
        <w:t xml:space="preserve">。（详细内容见本</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第四章）</w:t>
      </w:r>
      <w:r>
        <w:rPr>
          <w:rFonts w:hint="eastAsia" w:ascii="宋体" w:hAnsi="宋体" w:cs="宋体"/>
          <w:sz w:val="24"/>
          <w:szCs w:val="24"/>
          <w:highlight w:val="none"/>
        </w:rPr>
        <w:t xml:space="preserve"> </w:t>
      </w:r>
      <w:r>
        <w:rPr>
          <w:highlight w:val="none"/>
        </w:rPr>
      </w:r>
      <w:r/>
    </w:p>
    <w:p>
      <w:pPr>
        <w:ind w:firstLine="482"/>
        <w:keepLines w:val="0"/>
        <w:keepNext w:val="0"/>
        <w:pageBreakBefore w:val="0"/>
        <w:spacing w:line="360" w:lineRule="auto"/>
        <w:widowControl w:val="off"/>
        <w:rPr>
          <w:rFonts w:ascii="宋体" w:hAnsi="宋体" w:eastAsia="宋体"/>
          <w:sz w:val="24"/>
          <w:szCs w:val="24"/>
          <w:highlight w:val="none"/>
          <w:u w:val="single"/>
        </w:rPr>
      </w:pPr>
      <w:r>
        <w:rPr>
          <w:rFonts w:hint="eastAsia" w:ascii="宋体" w:hAnsi="宋体"/>
          <w:sz w:val="24"/>
          <w:szCs w:val="24"/>
          <w:highlight w:val="none"/>
        </w:rPr>
        <w:t xml:space="preserve">6.合同履行期</w:t>
      </w:r>
      <w:r>
        <w:rPr>
          <w:rFonts w:hint="eastAsia" w:ascii="宋体" w:hAnsi="宋体" w:eastAsia="宋体" w:cs="Times New Roman"/>
          <w:sz w:val="24"/>
          <w:szCs w:val="24"/>
          <w:highlight w:val="none"/>
        </w:rPr>
        <w:t xml:space="preserve">限：</w:t>
      </w:r>
      <w:r>
        <w:rPr>
          <w:rFonts w:hint="eastAsia" w:ascii="宋体" w:hAnsi="宋体"/>
          <w:bCs/>
          <w:color w:val="auto"/>
          <w:sz w:val="24"/>
          <w:szCs w:val="24"/>
          <w:highlight w:val="none"/>
          <w:lang w:val="en-US" w:eastAsia="zh-CN"/>
        </w:rPr>
        <w:t xml:space="preserve">合同签订之日起三年。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环境绿化物业部分自2025年10月25日</w:t>
      </w:r>
      <w:r>
        <w:rPr>
          <w:rFonts w:hint="eastAsia" w:ascii="宋体" w:hAnsi="宋体"/>
          <w:bCs/>
          <w:color w:val="auto"/>
          <w:sz w:val="24"/>
          <w:szCs w:val="24"/>
          <w:highlight w:val="none"/>
          <w:lang w:val="en-US" w:eastAsia="zh-CN"/>
        </w:rPr>
        <w:t xml:space="preserve">期满后由原服务单位移交至中标供应商管理）</w:t>
      </w:r>
      <w:r>
        <w:rPr>
          <w:rFonts w:hint="eastAsia" w:ascii="宋体" w:hAnsi="宋体" w:eastAsia="宋体" w:cs="Times New Roman"/>
          <w:sz w:val="24"/>
          <w:szCs w:val="24"/>
          <w:highlight w:val="none"/>
          <w:lang w:val="en-US" w:eastAsia="zh-CN"/>
        </w:rPr>
        <w:t xml:space="preserve">。</w:t>
      </w:r>
      <w:r>
        <w:rPr>
          <w:highlight w:val="none"/>
        </w:rPr>
      </w:r>
      <w:r/>
    </w:p>
    <w:p>
      <w:pPr>
        <w:pStyle w:val="1225"/>
        <w:ind w:firstLine="498"/>
        <w:spacing w:before="145" w:after="145" w:line="400" w:lineRule="exact"/>
        <w:rPr>
          <w:highlight w:val="none"/>
        </w:rPr>
      </w:pPr>
      <w:r>
        <w:rPr>
          <w:highlight w:val="none"/>
        </w:rPr>
      </w:r>
      <w:bookmarkStart w:id="13" w:name="_Toc38985264"/>
      <w:r>
        <w:rPr>
          <w:highlight w:val="none"/>
        </w:rPr>
      </w:r>
      <w:bookmarkStart w:id="14" w:name="_Toc35393622"/>
      <w:r>
        <w:rPr>
          <w:highlight w:val="none"/>
        </w:rPr>
      </w:r>
      <w:bookmarkStart w:id="15" w:name="_Toc28359080"/>
      <w:r>
        <w:rPr>
          <w:highlight w:val="none"/>
        </w:rPr>
      </w:r>
      <w:bookmarkStart w:id="16" w:name="_Toc35393791"/>
      <w:r>
        <w:rPr>
          <w:highlight w:val="none"/>
        </w:rPr>
      </w:r>
      <w:bookmarkStart w:id="17" w:name="_Toc28359003"/>
      <w:r>
        <w:rPr>
          <w:rFonts w:hint="eastAsia"/>
          <w:highlight w:val="none"/>
        </w:rPr>
        <w:t xml:space="preserve">二、申请人的资格要求：</w:t>
      </w:r>
      <w:bookmarkEnd w:id="13"/>
      <w:r>
        <w:rPr>
          <w:highlight w:val="none"/>
        </w:rPr>
      </w:r>
      <w:bookmarkEnd w:id="14"/>
      <w:r>
        <w:rPr>
          <w:highlight w:val="none"/>
        </w:rPr>
      </w:r>
      <w:bookmarkEnd w:id="15"/>
      <w:r>
        <w:rPr>
          <w:highlight w:val="none"/>
        </w:rPr>
      </w:r>
      <w:bookmarkEnd w:id="16"/>
      <w:r>
        <w:rPr>
          <w:highlight w:val="none"/>
        </w:rPr>
      </w:r>
      <w:bookmarkEnd w:id="17"/>
      <w:r>
        <w:rPr>
          <w:highlight w:val="none"/>
        </w:rPr>
      </w:r>
      <w:r/>
    </w:p>
    <w:p>
      <w:pPr>
        <w:ind w:firstLine="480"/>
        <w:keepLines w:val="0"/>
        <w:keepNext w:val="0"/>
        <w:pageBreakBefore w:val="0"/>
        <w:spacing w:line="360" w:lineRule="auto"/>
        <w:widowControl w:val="off"/>
        <w:rPr>
          <w:rFonts w:hint="eastAsia" w:ascii="宋体" w:hAnsi="宋体"/>
          <w:sz w:val="24"/>
          <w:szCs w:val="24"/>
          <w:highlight w:val="none"/>
        </w:rPr>
      </w:pPr>
      <w:r>
        <w:rPr>
          <w:highlight w:val="none"/>
        </w:rPr>
      </w:r>
      <w:bookmarkStart w:id="18" w:name="_Toc35393623"/>
      <w:r>
        <w:rPr>
          <w:highlight w:val="none"/>
        </w:rPr>
      </w:r>
      <w:bookmarkStart w:id="19" w:name="_Toc28359081"/>
      <w:r>
        <w:rPr>
          <w:highlight w:val="none"/>
        </w:rPr>
      </w:r>
      <w:bookmarkStart w:id="20" w:name="_Toc28359004"/>
      <w:r>
        <w:rPr>
          <w:highlight w:val="none"/>
        </w:rPr>
      </w:r>
      <w:bookmarkStart w:id="21" w:name="_Toc35393792"/>
      <w:r>
        <w:rPr>
          <w:highlight w:val="none"/>
        </w:rPr>
      </w:r>
      <w:bookmarkStart w:id="22"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highlight w:val="none"/>
        </w:rPr>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highlight w:val="none"/>
        </w:rPr>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w:t>
      </w:r>
      <w:r>
        <w:rPr>
          <w:highlight w:val="none"/>
        </w:rPr>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1.2上一年度的财务状况报告（成立不满一年无需提供）；</w:t>
      </w:r>
      <w:r>
        <w:rPr>
          <w:highlight w:val="none"/>
        </w:rPr>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rPr>
          <w:highlight w:val="none"/>
        </w:rPr>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rPr>
          <w:highlight w:val="none"/>
        </w:rPr>
      </w:r>
      <w:r/>
    </w:p>
    <w:p>
      <w:pPr>
        <w:ind w:firstLine="480"/>
        <w:keepLines w:val="0"/>
        <w:keepNext w:val="0"/>
        <w:pageBreakBefore w:val="0"/>
        <w:spacing w:line="360" w:lineRule="auto"/>
        <w:widowControl w:val="off"/>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none"/>
        </w:rPr>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3.落实政府采购政策需满足的资格要求：无</w:t>
      </w:r>
      <w:r>
        <w:rPr>
          <w:rFonts w:hint="eastAsia" w:ascii="宋体" w:hAnsi="宋体"/>
          <w:sz w:val="24"/>
          <w:szCs w:val="24"/>
          <w:highlight w:val="none"/>
          <w:lang w:eastAsia="zh-CN"/>
        </w:rPr>
        <w:t xml:space="preserve">。</w:t>
      </w:r>
      <w:r>
        <w:rPr>
          <w:highlight w:val="none"/>
        </w:rPr>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4.</w:t>
      </w:r>
      <w:r>
        <w:rPr>
          <w:rFonts w:hint="eastAsia" w:ascii="宋体" w:hAnsi="宋体"/>
          <w:color w:val="000000" w:themeColor="text1"/>
          <w:sz w:val="24"/>
          <w:szCs w:val="24"/>
          <w:highlight w:val="none"/>
          <w14:textFill>
            <w14:solidFill>
              <w14:schemeClr w14:val="tx1"/>
            </w14:solidFill>
          </w14:textFill>
        </w:rPr>
        <w:t xml:space="preserve">本项目不接受联合体投标。</w:t>
      </w:r>
      <w:r>
        <w:rPr>
          <w:highlight w:val="none"/>
        </w:rPr>
      </w:r>
      <w:r/>
    </w:p>
    <w:p>
      <w:pPr>
        <w:ind w:firstLine="480"/>
        <w:keepLines w:val="0"/>
        <w:keepNext w:val="0"/>
        <w:pageBreakBefore w:val="0"/>
        <w:spacing w:line="360" w:lineRule="auto"/>
        <w:widowControl w:val="off"/>
        <w:rPr>
          <w:rFonts w:hint="default" w:ascii="宋体" w:hAnsi="宋体" w:eastAsia="宋体"/>
          <w:sz w:val="24"/>
          <w:szCs w:val="24"/>
          <w:highlight w:val="none"/>
        </w:rPr>
      </w:pPr>
      <w:r>
        <w:rPr>
          <w:rFonts w:hint="eastAsia" w:ascii="宋体" w:hAnsi="宋体"/>
          <w:sz w:val="24"/>
          <w:szCs w:val="24"/>
          <w:highlight w:val="none"/>
        </w:rPr>
        <w:t xml:space="preserve">（二）本项目的特定资格要求</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无</w:t>
      </w:r>
      <w:r>
        <w:rPr>
          <w:highlight w:val="none"/>
        </w:rPr>
      </w:r>
      <w:r/>
    </w:p>
    <w:p>
      <w:pPr>
        <w:pStyle w:val="1225"/>
        <w:ind w:firstLine="498"/>
        <w:spacing w:before="145" w:after="145" w:line="400" w:lineRule="exact"/>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三、获取招标文件</w:t>
      </w:r>
      <w:r>
        <w:rPr>
          <w:highlight w:val="none"/>
        </w:rPr>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highlight w:val="none"/>
        </w:rPr>
      </w:r>
      <w:r/>
    </w:p>
    <w:p>
      <w:pPr>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r/>
    </w:p>
    <w:p>
      <w:pPr>
        <w:pStyle w:val="1225"/>
        <w:ind w:firstLine="498"/>
        <w:spacing w:before="145" w:after="145" w:line="400" w:lineRule="exact"/>
        <w:rPr>
          <w:rFonts w:hint="eastAsia" w:ascii="Times New Roman" w:hAnsi="Times New Roman" w:eastAsia="宋体" w:cs="Times New Roman"/>
          <w:highlight w:val="none"/>
        </w:rPr>
      </w:pPr>
      <w:r>
        <w:rPr>
          <w:highlight w:val="none"/>
        </w:rPr>
      </w:r>
      <w:bookmarkStart w:id="23" w:name="_Toc28359005"/>
      <w:r>
        <w:rPr>
          <w:highlight w:val="none"/>
        </w:rPr>
      </w:r>
      <w:bookmarkStart w:id="24" w:name="_Toc28359082"/>
      <w:r>
        <w:rPr>
          <w:highlight w:val="none"/>
        </w:rPr>
      </w:r>
      <w:bookmarkStart w:id="25" w:name="_Toc35393793"/>
      <w:r>
        <w:rPr>
          <w:highlight w:val="none"/>
        </w:rPr>
      </w:r>
      <w:bookmarkStart w:id="26" w:name="_Toc35393624"/>
      <w:r>
        <w:rPr>
          <w:highlight w:val="none"/>
        </w:rPr>
      </w:r>
      <w:bookmarkStart w:id="27" w:name="_Toc38985266"/>
      <w:r>
        <w:rPr>
          <w:rFonts w:hint="eastAsia" w:ascii="Times New Roman" w:hAnsi="Times New Roman" w:eastAsia="宋体" w:cs="Times New Roman"/>
          <w:highlight w:val="none"/>
        </w:rPr>
        <w:t xml:space="preserve">四、提交投标文件</w:t>
      </w:r>
      <w:bookmarkEnd w:id="23"/>
      <w:r>
        <w:rPr>
          <w:highlight w:val="none"/>
        </w:rPr>
      </w:r>
      <w:bookmarkEnd w:id="24"/>
      <w:r>
        <w:rPr>
          <w:rFonts w:hint="eastAsia" w:ascii="Times New Roman" w:hAnsi="Times New Roman" w:eastAsia="宋体" w:cs="Times New Roman"/>
          <w:highlight w:val="none"/>
        </w:rPr>
        <w:t xml:space="preserve">截止时间、开标时间和地点</w:t>
      </w:r>
      <w:bookmarkEnd w:id="25"/>
      <w:r>
        <w:rPr>
          <w:highlight w:val="none"/>
        </w:rPr>
      </w:r>
      <w:bookmarkEnd w:id="26"/>
      <w:r>
        <w:rPr>
          <w:highlight w:val="none"/>
        </w:rPr>
      </w:r>
      <w:bookmarkEnd w:id="27"/>
      <w:r>
        <w:rPr>
          <w:highlight w:val="none"/>
        </w:rPr>
      </w:r>
      <w:r/>
    </w:p>
    <w:p>
      <w:pPr>
        <w:ind w:firstLine="480"/>
        <w:spacing w:line="400" w:lineRule="exact"/>
        <w:rPr>
          <w:rFonts w:ascii="宋体" w:hAnsi="宋体"/>
          <w:bCs/>
          <w:sz w:val="24"/>
          <w:szCs w:val="24"/>
          <w:highlight w:val="none"/>
          <w:u w:val="single"/>
        </w:rPr>
      </w:pPr>
      <w:r>
        <w:rPr>
          <w:rFonts w:hint="eastAsia" w:ascii="宋体" w:hAnsi="宋体"/>
          <w:bCs/>
          <w:sz w:val="24"/>
          <w:szCs w:val="24"/>
          <w:highlight w:val="none"/>
          <w:u w:val="none"/>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olor w:val="000000"/>
          <w:sz w:val="24"/>
          <w:szCs w:val="24"/>
          <w:highlight w:val="none"/>
        </w:rPr>
        <w:t xml:space="preserve">20</w:t>
      </w:r>
      <w:r>
        <w:rPr>
          <w:rFonts w:hint="eastAsia" w:ascii="宋体" w:hAnsi="宋体"/>
          <w:color w:val="auto"/>
          <w:sz w:val="24"/>
          <w:szCs w:val="24"/>
          <w:highlight w:val="none"/>
        </w:rPr>
        <w:t xml:space="preserve">25年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rPr>
        <w:t xml:space="preserve">13日</w:t>
      </w: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点00分</w:t>
      </w:r>
      <w:r>
        <w:rPr>
          <w:rFonts w:hint="eastAsia" w:ascii="宋体" w:hAnsi="宋体"/>
          <w:bCs/>
          <w:color w:val="auto"/>
          <w:sz w:val="24"/>
          <w:szCs w:val="24"/>
          <w:highlight w:val="none"/>
        </w:rPr>
        <w:t xml:space="preserve">（北京时间</w:t>
      </w:r>
      <w:r>
        <w:rPr>
          <w:rFonts w:hint="eastAsia" w:ascii="宋体" w:hAnsi="宋体"/>
          <w:bCs/>
          <w:sz w:val="24"/>
          <w:szCs w:val="24"/>
          <w:highlight w:val="none"/>
        </w:rPr>
        <w:t xml:space="preserve">）</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rPr>
          <w:highlight w:val="none"/>
        </w:rPr>
      </w:r>
      <w:r/>
    </w:p>
    <w:p>
      <w:pPr>
        <w:pStyle w:val="1225"/>
        <w:ind w:firstLine="498"/>
        <w:spacing w:before="145" w:after="145" w:line="400" w:lineRule="exact"/>
        <w:rPr>
          <w:rFonts w:hint="eastAsia" w:ascii="Times New Roman" w:hAnsi="Times New Roman" w:eastAsia="宋体" w:cs="Times New Roman"/>
          <w:highlight w:val="none"/>
        </w:rPr>
      </w:pPr>
      <w:r>
        <w:rPr>
          <w:highlight w:val="none"/>
        </w:rPr>
      </w:r>
      <w:bookmarkStart w:id="28" w:name="_Toc38985267"/>
      <w:r>
        <w:rPr>
          <w:highlight w:val="none"/>
        </w:rPr>
      </w:r>
      <w:bookmarkStart w:id="29" w:name="_Toc35393794"/>
      <w:r>
        <w:rPr>
          <w:highlight w:val="none"/>
        </w:rPr>
      </w:r>
      <w:bookmarkStart w:id="30" w:name="_Toc35393625"/>
      <w:r>
        <w:rPr>
          <w:highlight w:val="none"/>
        </w:rPr>
      </w:r>
      <w:bookmarkStart w:id="31" w:name="_Toc28359007"/>
      <w:r>
        <w:rPr>
          <w:highlight w:val="none"/>
        </w:rPr>
      </w:r>
      <w:bookmarkStart w:id="32" w:name="_Toc28359084"/>
      <w:r>
        <w:rPr>
          <w:rFonts w:hint="eastAsia" w:ascii="Times New Roman" w:hAnsi="Times New Roman" w:eastAsia="宋体" w:cs="Times New Roman"/>
          <w:highlight w:val="none"/>
        </w:rPr>
        <w:t xml:space="preserve">五、公告期限</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highlight w:val="none"/>
        </w:rPr>
      </w:r>
      <w:r/>
    </w:p>
    <w:p>
      <w:pPr>
        <w:pStyle w:val="1225"/>
        <w:ind w:firstLine="498"/>
        <w:spacing w:before="145" w:after="145" w:line="400" w:lineRule="exact"/>
        <w:rPr>
          <w:rFonts w:hint="eastAsia" w:ascii="Times New Roman" w:hAnsi="Times New Roman" w:eastAsia="宋体" w:cs="Times New Roman"/>
          <w:highlight w:val="none"/>
        </w:rPr>
      </w:pPr>
      <w:r>
        <w:rPr>
          <w:highlight w:val="none"/>
        </w:rPr>
      </w:r>
      <w:bookmarkStart w:id="33" w:name="_Toc35393626"/>
      <w:r>
        <w:rPr>
          <w:highlight w:val="none"/>
        </w:rPr>
      </w:r>
      <w:bookmarkStart w:id="34" w:name="_Toc38985268"/>
      <w:r>
        <w:rPr>
          <w:highlight w:val="none"/>
        </w:rPr>
      </w:r>
      <w:bookmarkStart w:id="35" w:name="_Toc35393795"/>
      <w:r>
        <w:rPr>
          <w:rFonts w:hint="eastAsia" w:ascii="Times New Roman" w:hAnsi="Times New Roman" w:eastAsia="宋体" w:cs="Times New Roman"/>
          <w:highlight w:val="none"/>
        </w:rPr>
        <w:t xml:space="preserve">六、其他补充事宜</w:t>
      </w:r>
      <w:bookmarkEnd w:id="33"/>
      <w:r>
        <w:rPr>
          <w:highlight w:val="none"/>
        </w:rPr>
      </w:r>
      <w:bookmarkEnd w:id="34"/>
      <w:r>
        <w:rPr>
          <w:highlight w:val="none"/>
        </w:rPr>
      </w:r>
      <w:bookmarkEnd w:id="35"/>
      <w:r>
        <w:rPr>
          <w:highlight w:val="none"/>
        </w:rPr>
      </w:r>
      <w:r/>
    </w:p>
    <w:p>
      <w:pPr>
        <w:ind w:firstLine="480"/>
        <w:spacing w:line="40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lang w:eastAsia="zh-CN"/>
        </w:rPr>
        <w:t xml:space="preserve">。</w:t>
      </w:r>
      <w:r>
        <w:rPr>
          <w:highlight w:val="none"/>
        </w:rPr>
      </w:r>
      <w:r/>
    </w:p>
    <w:p>
      <w:pPr>
        <w:pStyle w:val="1225"/>
        <w:ind w:firstLine="498"/>
        <w:spacing w:before="145" w:after="145" w:line="400" w:lineRule="exact"/>
        <w:rPr>
          <w:highlight w:val="none"/>
        </w:rPr>
      </w:pPr>
      <w:r>
        <w:rPr>
          <w:highlight w:val="none"/>
        </w:rPr>
      </w:r>
      <w:bookmarkStart w:id="36" w:name="_Toc35393627"/>
      <w:r>
        <w:rPr>
          <w:highlight w:val="none"/>
        </w:rPr>
      </w:r>
      <w:bookmarkStart w:id="37" w:name="_Toc28359008"/>
      <w:r>
        <w:rPr>
          <w:highlight w:val="none"/>
        </w:rPr>
      </w:r>
      <w:bookmarkStart w:id="38" w:name="_Toc35393796"/>
      <w:r>
        <w:rPr>
          <w:highlight w:val="none"/>
        </w:rPr>
      </w:r>
      <w:bookmarkStart w:id="39" w:name="_Toc28359085"/>
      <w:r>
        <w:rPr>
          <w:highlight w:val="none"/>
        </w:rPr>
      </w:r>
      <w:bookmarkStart w:id="40" w:name="_Toc38985269"/>
      <w:r>
        <w:rPr>
          <w:rFonts w:hint="eastAsia"/>
          <w:highlight w:val="none"/>
        </w:rPr>
        <w:t xml:space="preserve">七、本次招标联系方式</w:t>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r/>
    </w:p>
    <w:p>
      <w:pPr>
        <w:ind w:left="0" w:firstLine="480"/>
        <w:jc w:val="left"/>
        <w:keepLines w:val="0"/>
        <w:keepNext w:val="0"/>
        <w:pageBreakBefore w:val="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rPr>
          <w:highlight w:val="none"/>
        </w:rPr>
      </w:r>
      <w:r/>
    </w:p>
    <w:p>
      <w:pPr>
        <w:ind w:left="0" w:firstLine="480"/>
        <w:jc w:val="left"/>
        <w:keepLines w:val="0"/>
        <w:keepNext w:val="0"/>
        <w:pageBreakBefore w:val="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称：</w:t>
      </w:r>
      <w:r>
        <w:rPr>
          <w:rFonts w:hint="eastAsia" w:ascii="宋体" w:hAnsi="宋体"/>
          <w:color w:val="000000" w:themeColor="text1"/>
          <w:sz w:val="24"/>
          <w:szCs w:val="24"/>
          <w:highlight w:val="none"/>
          <w:u w:val="single"/>
          <w:lang w:eastAsia="zh-CN"/>
          <w14:textFill>
            <w14:solidFill>
              <w14:schemeClr w14:val="tx1"/>
            </w14:solidFill>
          </w14:textFill>
        </w:rPr>
        <w:t xml:space="preserve">无锡商业职业技术学院</w:t>
      </w:r>
      <w:r>
        <w:rPr>
          <w:highlight w:val="none"/>
        </w:rPr>
      </w:r>
      <w:r/>
    </w:p>
    <w:p>
      <w:pPr>
        <w:ind w:left="0" w:firstLine="480"/>
        <w:jc w:val="left"/>
        <w:keepLines w:val="0"/>
        <w:keepNext w:val="0"/>
        <w:pageBreakBefore w:val="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址：</w:t>
      </w:r>
      <w:r>
        <w:rPr>
          <w:rFonts w:hint="eastAsia" w:ascii="宋体" w:hAnsi="宋体"/>
          <w:color w:val="000000" w:themeColor="text1"/>
          <w:sz w:val="24"/>
          <w:szCs w:val="24"/>
          <w:highlight w:val="none"/>
          <w:u w:val="single"/>
          <w:lang w:eastAsia="zh-CN"/>
          <w14:textFill>
            <w14:solidFill>
              <w14:schemeClr w14:val="tx1"/>
            </w14:solidFill>
          </w14:textFill>
        </w:rPr>
        <w:t xml:space="preserve">无锡市惠山区钱胡路809号</w:t>
      </w:r>
      <w:r>
        <w:rPr>
          <w:highlight w:val="none"/>
        </w:rPr>
      </w:r>
      <w:r/>
    </w:p>
    <w:p>
      <w:pPr>
        <w:ind w:left="0" w:firstLine="480"/>
        <w:jc w:val="left"/>
        <w:keepLines w:val="0"/>
        <w:keepNext w:val="0"/>
        <w:pageBreakBefore w:val="0"/>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周冰 </w:t>
      </w:r>
      <w:r>
        <w:rPr>
          <w:highlight w:val="none"/>
        </w:rPr>
      </w:r>
      <w:r/>
    </w:p>
    <w:p>
      <w:pPr>
        <w:ind w:left="0" w:firstLine="480"/>
        <w:jc w:val="left"/>
        <w:keepLines w:val="0"/>
        <w:keepNext w:val="0"/>
        <w:pageBreakBefore w:val="0"/>
        <w:spacing w:line="360" w:lineRule="auto"/>
        <w:rPr>
          <w:rFonts w:ascii="宋体" w:hAnsi="宋体"/>
          <w:sz w:val="24"/>
          <w:szCs w:val="24"/>
          <w:highlight w:val="none"/>
          <w:u w:val="single"/>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0510-85515843 </w:t>
      </w:r>
      <w:r>
        <w:rPr>
          <w:highlight w:val="none"/>
        </w:rPr>
      </w:r>
      <w:r/>
    </w:p>
    <w:p>
      <w:pPr>
        <w:ind w:left="0" w:firstLine="480"/>
        <w:jc w:val="left"/>
        <w:keepLines w:val="0"/>
        <w:keepNext w:val="0"/>
        <w:pageBreakBefore w:val="0"/>
        <w:spacing w:line="360" w:lineRule="auto"/>
        <w:rPr>
          <w:rFonts w:ascii="宋体" w:hAnsi="宋体"/>
          <w:color w:val="000000"/>
          <w:sz w:val="24"/>
          <w:szCs w:val="24"/>
          <w:highlight w:val="none"/>
        </w:rPr>
      </w:pPr>
      <w:r>
        <w:rPr>
          <w:highlight w:val="none"/>
        </w:rPr>
      </w:r>
      <w:bookmarkStart w:id="41" w:name="_Toc28359010"/>
      <w:r>
        <w:rPr>
          <w:highlight w:val="none"/>
        </w:rPr>
      </w:r>
      <w:bookmarkStart w:id="42" w:name="OLE_LINK4"/>
      <w:r>
        <w:rPr>
          <w:highlight w:val="none"/>
        </w:rPr>
      </w:r>
      <w:bookmarkStart w:id="43" w:name="_Toc28359087"/>
      <w:r>
        <w:rPr>
          <w:rFonts w:hint="eastAsia" w:ascii="宋体" w:hAnsi="宋体" w:cs="宋体"/>
          <w:color w:val="000000"/>
          <w:sz w:val="24"/>
          <w:szCs w:val="24"/>
          <w:highlight w:val="none"/>
        </w:rPr>
        <w:t xml:space="preserve">2.江苏省政府采购中心信息</w:t>
      </w:r>
      <w:bookmarkEnd w:id="41"/>
      <w:r/>
      <w:bookmarkEnd w:id="42"/>
      <w:r/>
      <w:bookmarkEnd w:id="43"/>
      <w:r>
        <w:rPr>
          <w:highlight w:val="none"/>
        </w:rPr>
      </w:r>
      <w:r/>
    </w:p>
    <w:p>
      <w:pPr>
        <w:ind w:firstLine="720"/>
        <w:spacing w:line="400" w:lineRule="exact"/>
        <w:rPr>
          <w:rFonts w:ascii="宋体" w:hAnsi="宋体"/>
          <w:sz w:val="24"/>
          <w:szCs w:val="24"/>
          <w:highlight w:val="none"/>
        </w:rPr>
      </w:pPr>
      <w:r>
        <w:rPr>
          <w:rFonts w:hint="eastAsia" w:ascii="宋体" w:hAnsi="宋体"/>
          <w:sz w:val="24"/>
          <w:szCs w:val="24"/>
          <w:highlight w:val="none"/>
        </w:rPr>
        <w:t xml:space="preserve">地　  址：  </w:t>
      </w:r>
      <w:r>
        <w:rPr>
          <w:rFonts w:hint="eastAsia" w:ascii="宋体" w:hAnsi="宋体"/>
          <w:sz w:val="24"/>
          <w:szCs w:val="24"/>
          <w:highlight w:val="none"/>
          <w:u w:val="single"/>
        </w:rPr>
        <w:t xml:space="preserve">南京市汉中门大街145号省政务中心二期3楼南区</w:t>
      </w:r>
      <w:r>
        <w:rPr>
          <w:highlight w:val="none"/>
        </w:rPr>
      </w:r>
      <w:r/>
    </w:p>
    <w:p>
      <w:pPr>
        <w:ind w:firstLine="720"/>
        <w:spacing w:line="400" w:lineRule="exact"/>
        <w:rPr>
          <w:rFonts w:ascii="宋体" w:hAnsi="宋体"/>
          <w:sz w:val="24"/>
          <w:szCs w:val="24"/>
          <w:highlight w:val="none"/>
        </w:rPr>
      </w:pPr>
      <w:r>
        <w:rPr>
          <w:rFonts w:hint="eastAsia" w:ascii="宋体" w:hAnsi="宋体"/>
          <w:sz w:val="24"/>
          <w:szCs w:val="24"/>
          <w:highlight w:val="none"/>
        </w:rPr>
        <w:t xml:space="preserve">联 系 人：  </w:t>
      </w:r>
      <w:r>
        <w:rPr>
          <w:rFonts w:hint="eastAsia" w:ascii="宋体" w:hAnsi="宋体"/>
          <w:sz w:val="24"/>
          <w:szCs w:val="24"/>
          <w:highlight w:val="none"/>
          <w:u w:val="single"/>
        </w:rPr>
        <w:t xml:space="preserve">     唐雪菲   徐晨义     </w:t>
      </w:r>
      <w:r>
        <w:rPr>
          <w:highlight w:val="none"/>
        </w:rPr>
      </w:r>
      <w:r/>
    </w:p>
    <w:p>
      <w:pPr>
        <w:ind w:firstLine="720"/>
        <w:spacing w:line="400" w:lineRule="exact"/>
        <w:rPr>
          <w:rFonts w:hint="eastAsia" w:ascii="宋体" w:hAnsi="宋体" w:cs="宋体"/>
          <w:color w:val="000000"/>
          <w:sz w:val="24"/>
          <w:szCs w:val="24"/>
          <w:highlight w:val="none"/>
        </w:rPr>
      </w:pPr>
      <w:r>
        <w:rPr>
          <w:rFonts w:hint="eastAsia" w:ascii="宋体" w:hAnsi="宋体"/>
          <w:sz w:val="24"/>
          <w:szCs w:val="24"/>
          <w:highlight w:val="none"/>
        </w:rPr>
        <w:t xml:space="preserve">联系方式：  </w:t>
      </w:r>
      <w:r>
        <w:rPr>
          <w:rFonts w:hint="eastAsia" w:ascii="宋体" w:hAnsi="宋体"/>
          <w:sz w:val="24"/>
          <w:szCs w:val="24"/>
          <w:highlight w:val="none"/>
          <w:u w:val="single"/>
        </w:rPr>
        <w:t xml:space="preserve">　　</w:t>
      </w:r>
      <w:r>
        <w:rPr>
          <w:rFonts w:ascii="宋体" w:hAnsi="宋体"/>
          <w:sz w:val="24"/>
          <w:szCs w:val="24"/>
          <w:highlight w:val="none"/>
          <w:u w:val="single"/>
        </w:rPr>
        <w:t xml:space="preserve">025-</w:t>
      </w:r>
      <w:r>
        <w:rPr>
          <w:rFonts w:hint="eastAsia" w:ascii="宋体" w:hAnsi="宋体"/>
          <w:sz w:val="24"/>
          <w:szCs w:val="24"/>
          <w:highlight w:val="none"/>
          <w:u w:val="single"/>
        </w:rPr>
        <w:t xml:space="preserve">83668562  </w:t>
      </w:r>
      <w:r>
        <w:rPr>
          <w:rFonts w:ascii="宋体" w:hAnsi="宋体"/>
          <w:sz w:val="24"/>
          <w:szCs w:val="24"/>
          <w:highlight w:val="none"/>
          <w:u w:val="single"/>
        </w:rPr>
        <w:t xml:space="preserve">83668521</w:t>
      </w:r>
      <w:r>
        <w:rPr>
          <w:rFonts w:hint="eastAsia" w:ascii="宋体" w:hAnsi="宋体"/>
          <w:sz w:val="24"/>
          <w:szCs w:val="24"/>
          <w:highlight w:val="none"/>
          <w:u w:val="single"/>
        </w:rPr>
        <w:t xml:space="preserve">　   </w:t>
      </w:r>
      <w:r>
        <w:rPr>
          <w:highlight w:val="none"/>
        </w:rPr>
      </w:r>
      <w:r/>
    </w:p>
    <w:p>
      <w:pPr>
        <w:pStyle w:val="1225"/>
        <w:ind w:firstLine="498"/>
        <w:spacing w:before="145" w:after="145" w:line="400" w:lineRule="exact"/>
        <w:rPr>
          <w:highlight w:val="none"/>
        </w:rPr>
      </w:pPr>
      <w:r>
        <w:rPr>
          <w:rFonts w:hint="eastAsia"/>
          <w:highlight w:val="none"/>
        </w:rPr>
        <w:t xml:space="preserve">八、其他</w:t>
      </w:r>
      <w:r>
        <w:rPr>
          <w:highlight w:val="none"/>
        </w:rPr>
      </w:r>
      <w:r/>
    </w:p>
    <w:p>
      <w:pPr>
        <w:ind w:firstLine="480"/>
        <w:keepLines w:val="0"/>
        <w:keepNext w:val="0"/>
        <w:pageBreakBefore w:val="0"/>
        <w:spacing w:line="360" w:lineRule="auto"/>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 根据省财政厅《关于更换全省政府采购交易系统C A数字证书和电子签章的通知》（苏财购〔2023〕101号），</w:t>
      </w:r>
      <w:r>
        <w:rPr>
          <w:rFonts w:hint="eastAsia" w:ascii="宋体" w:hAnsi="宋体" w:eastAsia="宋体" w:cs="宋体"/>
          <w:sz w:val="24"/>
          <w:szCs w:val="24"/>
          <w:highlight w:val="none"/>
        </w:rPr>
        <w:t xml:space="preserve">“苏采云”政府采购交易系统（以下简称苏采云系统）</w:t>
      </w:r>
      <w:r>
        <w:rPr>
          <w:rFonts w:hint="eastAsia" w:ascii="宋体" w:hAnsi="宋体" w:eastAsia="宋体" w:cs="宋体"/>
          <w:bCs/>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参与政府采购项目，需要更换CA数字证书和电子签章。具体办理指南和操作手册见链接：</w:t>
      </w:r>
      <w:r>
        <w:rPr>
          <w:rFonts w:hint="eastAsia" w:ascii="宋体" w:hAnsi="宋体" w:eastAsia="宋体" w:cs="宋体"/>
          <w:bCs/>
          <w:color w:val="auto"/>
          <w:sz w:val="24"/>
          <w:szCs w:val="24"/>
          <w:highlight w:val="none"/>
          <w:u w:val="none"/>
        </w:rPr>
        <w:t xml:space="preserve">http://www.ccgp-jiangsu.gov.cn/jiangsu/zlxz/ee/ee3a4bc5a3454aa2b0d9312230633ce9.html</w:t>
      </w:r>
      <w:r>
        <w:rPr>
          <w:rFonts w:hint="eastAsia" w:ascii="宋体" w:hAnsi="宋体" w:eastAsia="宋体" w:cs="宋体"/>
          <w:bCs/>
          <w:sz w:val="24"/>
          <w:szCs w:val="24"/>
          <w:highlight w:val="none"/>
        </w:rPr>
        <w:t xml:space="preserve">。</w:t>
      </w:r>
      <w:r>
        <w:rPr>
          <w:highlight w:val="none"/>
        </w:rPr>
      </w:r>
      <w:r/>
    </w:p>
    <w:p>
      <w:pPr>
        <w:ind w:firstLine="480"/>
        <w:keepLines w:val="0"/>
        <w:keepNext w:val="0"/>
        <w:pageBreakBefore w:val="0"/>
        <w:spacing w:line="36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eastAsia="宋体" w:cs="宋体"/>
          <w:bCs/>
          <w:color w:val="auto"/>
          <w:sz w:val="24"/>
          <w:szCs w:val="24"/>
          <w:highlight w:val="none"/>
        </w:rPr>
        <w:t xml:space="preserve">投标人也可前往“江苏政务服务网”（www.jszwfw.gov.cn），“一企来办”专栏下“政府采购”模块详细了解关于CA办理、标书制作、开标投标指引等事宜。</w:t>
      </w:r>
      <w:r>
        <w:rPr>
          <w:highlight w:val="none"/>
        </w:rPr>
      </w:r>
      <w:r/>
    </w:p>
    <w:p>
      <w:pPr>
        <w:ind w:firstLine="480"/>
        <w:keepLines w:val="0"/>
        <w:keepNext w:val="0"/>
        <w:pageBreakBefore w:val="0"/>
        <w:spacing w:line="36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如果“江苏政府采购网”（www.ccgp-jiangsu.gov.cn）信息与“江苏政务服务网”（www.jszwfw.gov.cn），“一企来办”专栏下“政府采购”模块中信息不一致，以“江苏政府采购网”信息为准。</w:t>
      </w:r>
      <w:r>
        <w:rPr>
          <w:highlight w:val="none"/>
        </w:rPr>
      </w:r>
      <w:r/>
    </w:p>
    <w:p>
      <w:pPr>
        <w:ind w:firstLine="480"/>
        <w:keepLines w:val="0"/>
        <w:keepNext w:val="0"/>
        <w:pageBreakBefore w:val="0"/>
        <w:spacing w:line="360" w:lineRule="auto"/>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 有关本次招标的事项若存在变动或修改，敬请及时关注江苏省政府采购中心在“江苏政府采购网”发布的更正公告。</w:t>
      </w:r>
      <w:r>
        <w:rPr>
          <w:highlight w:val="none"/>
        </w:rPr>
      </w:r>
      <w:r/>
    </w:p>
    <w:p>
      <w:pPr>
        <w:ind w:firstLine="480"/>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eastAsia="宋体" w:cs="宋体"/>
          <w:bCs/>
          <w:sz w:val="24"/>
          <w:szCs w:val="24"/>
          <w:highlight w:val="none"/>
        </w:rPr>
        <w:t xml:space="preserve">3. 本次招标不收取投标保证金。</w:t>
      </w:r>
      <w:r>
        <w:rPr>
          <w:highlight w:val="none"/>
        </w:rPr>
      </w:r>
      <w:r/>
    </w:p>
    <w:p>
      <w:pPr>
        <w:ind w:right="8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bookmarkEnd w:id="0"/>
      <w:r/>
      <w:bookmarkEnd w:id="1"/>
      <w:r/>
      <w:bookmarkEnd w:id="2"/>
      <w:r/>
      <w:bookmarkEnd w:id="3"/>
      <w:r/>
      <w:bookmarkEnd w:id="4"/>
      <w:r>
        <w:rPr>
          <w:highlight w:val="none"/>
        </w:rPr>
      </w:r>
      <w:r/>
    </w:p>
    <w:p>
      <w:pPr>
        <w:ind w:right="840"/>
        <w:rPr>
          <w:rFonts w:hint="eastAsia" w:ascii="宋体" w:hAnsi="宋体"/>
          <w:sz w:val="24"/>
          <w:szCs w:val="24"/>
          <w:highlight w:val="none"/>
        </w:rPr>
      </w:pPr>
      <w:r>
        <w:rPr>
          <w:highlight w:val="none"/>
        </w:rPr>
      </w:r>
      <w:bookmarkStart w:id="44" w:name="_Hlt16619350"/>
      <w:r>
        <w:rPr>
          <w:highlight w:val="none"/>
        </w:rPr>
      </w:r>
      <w:bookmarkStart w:id="45" w:name="_Toc20823346"/>
      <w:r>
        <w:rPr>
          <w:highlight w:val="none"/>
        </w:rPr>
      </w:r>
      <w:bookmarkStart w:id="46" w:name="_Toc16938590"/>
      <w:r>
        <w:rPr>
          <w:highlight w:val="none"/>
        </w:rPr>
      </w:r>
      <w:bookmarkStart w:id="47" w:name="_Toc120614244"/>
      <w:r>
        <w:rPr>
          <w:highlight w:val="none"/>
        </w:rPr>
      </w:r>
      <w:bookmarkStart w:id="48" w:name="_Toc462564139"/>
      <w:r>
        <w:rPr>
          <w:highlight w:val="none"/>
        </w:rPr>
      </w:r>
      <w:bookmarkStart w:id="49" w:name="_Toc479757211"/>
      <w:r>
        <w:rPr>
          <w:highlight w:val="none"/>
        </w:rPr>
      </w:r>
      <w:r/>
    </w:p>
    <w:p>
      <w:pPr>
        <w:pStyle w:val="926"/>
        <w:ind w:firstLine="2429"/>
        <w:jc w:val="both"/>
        <w:spacing w:line="400" w:lineRule="exact"/>
        <w:rPr>
          <w:rFonts w:hint="eastAsia" w:ascii="黑体" w:eastAsia="黑体"/>
          <w:b w:val="0"/>
          <w:bCs w:val="0"/>
          <w:highlight w:val="none"/>
        </w:rPr>
      </w:pPr>
      <w:r>
        <w:rPr>
          <w:highlight w:val="none"/>
        </w:rPr>
      </w:r>
      <w:bookmarkStart w:id="50" w:name="_Toc120614211"/>
      <w:r>
        <w:rPr>
          <w:rFonts w:hint="eastAsia" w:ascii="黑体" w:eastAsia="黑体"/>
          <w:highlight w:val="none"/>
        </w:rPr>
        <w:t xml:space="preserve">第二章  </w:t>
      </w:r>
      <w:bookmarkEnd w:id="50"/>
      <w:r>
        <w:rPr>
          <w:highlight w:val="none"/>
        </w:rPr>
      </w:r>
      <w:bookmarkStart w:id="51" w:name="_Toc120614213"/>
      <w:r>
        <w:rPr>
          <w:highlight w:val="none"/>
        </w:rPr>
      </w:r>
      <w:bookmarkStart w:id="52" w:name="_Toc20823274"/>
      <w:r>
        <w:rPr>
          <w:highlight w:val="none"/>
        </w:rPr>
      </w:r>
      <w:bookmarkStart w:id="53" w:name="_Toc513029202"/>
      <w:r>
        <w:rPr>
          <w:highlight w:val="none"/>
        </w:rPr>
      </w:r>
      <w:bookmarkStart w:id="54" w:name="_Toc16938518"/>
      <w:r>
        <w:rPr>
          <w:rFonts w:hint="eastAsia" w:ascii="黑体" w:eastAsia="黑体"/>
          <w:highlight w:val="none"/>
        </w:rPr>
        <w:t xml:space="preserve">投标人须知</w:t>
      </w:r>
      <w:bookmarkEnd w:id="51"/>
      <w:r>
        <w:rPr>
          <w:highlight w:val="none"/>
        </w:rPr>
      </w:r>
      <w:bookmarkEnd w:id="52"/>
      <w:r>
        <w:rPr>
          <w:highlight w:val="none"/>
        </w:rPr>
      </w:r>
      <w:bookmarkEnd w:id="53"/>
      <w:r>
        <w:rPr>
          <w:highlight w:val="none"/>
        </w:rPr>
      </w:r>
      <w:bookmarkEnd w:id="54"/>
      <w:r>
        <w:rPr>
          <w:highlight w:val="none"/>
        </w:rPr>
      </w:r>
      <w:r/>
    </w:p>
    <w:p>
      <w:pPr>
        <w:pStyle w:val="927"/>
        <w:ind w:firstLine="498"/>
        <w:spacing w:before="145" w:after="145" w:line="400" w:lineRule="exact"/>
        <w:rPr>
          <w:rFonts w:hint="eastAsia"/>
          <w:highlight w:val="none"/>
        </w:rPr>
      </w:pPr>
      <w:r>
        <w:rPr>
          <w:highlight w:val="none"/>
        </w:rPr>
      </w:r>
      <w:bookmarkStart w:id="55" w:name="_Toc120614214"/>
      <w:r>
        <w:rPr>
          <w:highlight w:val="none"/>
        </w:rPr>
      </w:r>
      <w:bookmarkStart w:id="56" w:name="_Toc20823275"/>
      <w:r>
        <w:rPr>
          <w:highlight w:val="none"/>
        </w:rPr>
      </w:r>
      <w:bookmarkStart w:id="57" w:name="_Toc16938519"/>
      <w:r>
        <w:rPr>
          <w:highlight w:val="none"/>
        </w:rPr>
      </w:r>
      <w:bookmarkStart w:id="58" w:name="_Toc513029203"/>
      <w:r>
        <w:rPr>
          <w:rFonts w:hint="eastAsia"/>
          <w:highlight w:val="none"/>
        </w:rPr>
        <w:t xml:space="preserve">一、总则</w:t>
      </w:r>
      <w:bookmarkEnd w:id="55"/>
      <w:r>
        <w:rPr>
          <w:highlight w:val="none"/>
        </w:rPr>
      </w:r>
      <w:bookmarkEnd w:id="56"/>
      <w:r>
        <w:rPr>
          <w:highlight w:val="none"/>
        </w:rPr>
      </w:r>
      <w:bookmarkEnd w:id="57"/>
      <w:r>
        <w:rPr>
          <w:highlight w:val="none"/>
        </w:rPr>
      </w:r>
      <w:bookmarkEnd w:id="58"/>
      <w:r>
        <w:rPr>
          <w:highlight w:val="none"/>
        </w:rPr>
      </w:r>
      <w:r/>
    </w:p>
    <w:p>
      <w:pPr>
        <w:pStyle w:val="928"/>
        <w:ind w:firstLine="420"/>
        <w:spacing w:before="0" w:after="0" w:line="400" w:lineRule="exact"/>
        <w:rPr>
          <w:rFonts w:hint="eastAsia"/>
          <w:b w:val="0"/>
          <w:bCs w:val="0"/>
          <w:highlight w:val="none"/>
        </w:rPr>
      </w:pPr>
      <w:r>
        <w:rPr>
          <w:highlight w:val="none"/>
        </w:rPr>
      </w:r>
      <w:bookmarkStart w:id="59" w:name="_Hlt16619475"/>
      <w:r>
        <w:rPr>
          <w:highlight w:val="none"/>
        </w:rPr>
      </w:r>
      <w:bookmarkEnd w:id="59"/>
      <w:r>
        <w:rPr>
          <w:highlight w:val="none"/>
        </w:rPr>
      </w:r>
      <w:bookmarkStart w:id="60" w:name="_Toc458694821"/>
      <w:r>
        <w:rPr>
          <w:highlight w:val="none"/>
        </w:rPr>
      </w:r>
      <w:bookmarkStart w:id="61" w:name="_Toc20823276"/>
      <w:r>
        <w:rPr>
          <w:highlight w:val="none"/>
        </w:rPr>
      </w:r>
      <w:bookmarkStart w:id="62" w:name="_Toc513029204"/>
      <w:r>
        <w:rPr>
          <w:highlight w:val="none"/>
        </w:rPr>
      </w:r>
      <w:bookmarkStart w:id="63" w:name="_Toc16938520"/>
      <w:r>
        <w:rPr>
          <w:rFonts w:hint="eastAsia"/>
          <w:b w:val="0"/>
          <w:bCs w:val="0"/>
          <w:highlight w:val="none"/>
        </w:rPr>
        <w:t xml:space="preserve">1</w:t>
      </w:r>
      <w:bookmarkEnd w:id="60"/>
      <w:r>
        <w:rPr>
          <w:rFonts w:hint="eastAsia"/>
          <w:b w:val="0"/>
          <w:bCs w:val="0"/>
          <w:highlight w:val="none"/>
        </w:rPr>
        <w:t xml:space="preserve">、招标方式</w:t>
      </w:r>
      <w:bookmarkEnd w:id="61"/>
      <w:r>
        <w:rPr>
          <w:highlight w:val="none"/>
        </w:rPr>
      </w:r>
      <w:bookmarkEnd w:id="62"/>
      <w:r>
        <w:rPr>
          <w:highlight w:val="none"/>
        </w:rPr>
      </w:r>
      <w:bookmarkEnd w:id="63"/>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highlight w:val="none"/>
        </w:rPr>
      </w:r>
      <w:r/>
    </w:p>
    <w:p>
      <w:pPr>
        <w:pStyle w:val="928"/>
        <w:ind w:firstLine="420"/>
        <w:spacing w:before="0" w:after="0" w:line="400" w:lineRule="exact"/>
        <w:rPr>
          <w:rFonts w:hint="eastAsia"/>
          <w:b w:val="0"/>
          <w:bCs w:val="0"/>
          <w:highlight w:val="none"/>
        </w:rPr>
      </w:pPr>
      <w:r>
        <w:rPr>
          <w:highlight w:val="none"/>
        </w:rPr>
      </w:r>
      <w:bookmarkStart w:id="64" w:name="_Toc16938521"/>
      <w:r>
        <w:rPr>
          <w:highlight w:val="none"/>
        </w:rPr>
      </w:r>
      <w:bookmarkStart w:id="65" w:name="_Toc20823277"/>
      <w:r>
        <w:rPr>
          <w:highlight w:val="none"/>
        </w:rPr>
      </w:r>
      <w:bookmarkStart w:id="66" w:name="_Toc513029205"/>
      <w:r>
        <w:rPr>
          <w:rFonts w:hint="eastAsia"/>
          <w:b w:val="0"/>
          <w:bCs w:val="0"/>
          <w:highlight w:val="none"/>
        </w:rPr>
        <w:t xml:space="preserve">2、合格的投标人</w:t>
      </w:r>
      <w:bookmarkEnd w:id="64"/>
      <w:r>
        <w:rPr>
          <w:highlight w:val="none"/>
        </w:rPr>
      </w:r>
      <w:bookmarkEnd w:id="65"/>
      <w:r>
        <w:rPr>
          <w:highlight w:val="none"/>
        </w:rPr>
      </w:r>
      <w:bookmarkEnd w:id="66"/>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满足本文件实质性要求的规定。</w:t>
      </w:r>
      <w:r>
        <w:rPr>
          <w:highlight w:val="none"/>
        </w:rPr>
      </w:r>
      <w:r/>
    </w:p>
    <w:p>
      <w:pPr>
        <w:pStyle w:val="928"/>
        <w:ind w:firstLine="420"/>
        <w:spacing w:before="0" w:after="0" w:line="400" w:lineRule="exact"/>
        <w:rPr>
          <w:rFonts w:hint="eastAsia"/>
          <w:b w:val="0"/>
          <w:bCs w:val="0"/>
          <w:highlight w:val="none"/>
        </w:rPr>
      </w:pPr>
      <w:r>
        <w:rPr>
          <w:highlight w:val="none"/>
        </w:rPr>
      </w:r>
      <w:bookmarkStart w:id="67" w:name="_Toc513029206"/>
      <w:r>
        <w:rPr>
          <w:highlight w:val="none"/>
        </w:rPr>
      </w:r>
      <w:bookmarkStart w:id="68" w:name="_Toc20823278"/>
      <w:r>
        <w:rPr>
          <w:highlight w:val="none"/>
        </w:rPr>
      </w:r>
      <w:bookmarkStart w:id="69" w:name="_Toc16938522"/>
      <w:r>
        <w:rPr>
          <w:rFonts w:hint="eastAsia"/>
          <w:b w:val="0"/>
          <w:bCs w:val="0"/>
          <w:highlight w:val="none"/>
        </w:rPr>
        <w:t xml:space="preserve">3、适用法律</w:t>
      </w:r>
      <w:bookmarkEnd w:id="67"/>
      <w:r>
        <w:rPr>
          <w:highlight w:val="none"/>
        </w:rPr>
      </w:r>
      <w:bookmarkEnd w:id="68"/>
      <w:r>
        <w:rPr>
          <w:highlight w:val="none"/>
        </w:rPr>
      </w:r>
      <w:bookmarkEnd w:id="69"/>
      <w:r>
        <w:rPr>
          <w:highlight w:val="none"/>
        </w:rPr>
      </w:r>
      <w:r/>
    </w:p>
    <w:p>
      <w:pPr>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highlight w:val="none"/>
        </w:rPr>
      </w:r>
      <w:r/>
    </w:p>
    <w:p>
      <w:pPr>
        <w:pStyle w:val="928"/>
        <w:ind w:firstLine="420"/>
        <w:spacing w:before="0" w:after="0" w:line="400" w:lineRule="exact"/>
        <w:rPr>
          <w:rFonts w:hint="eastAsia"/>
          <w:b w:val="0"/>
          <w:bCs w:val="0"/>
          <w:highlight w:val="none"/>
        </w:rPr>
      </w:pPr>
      <w:r>
        <w:rPr>
          <w:highlight w:val="none"/>
        </w:rPr>
      </w:r>
      <w:bookmarkStart w:id="70" w:name="_Toc16938523"/>
      <w:r>
        <w:rPr>
          <w:highlight w:val="none"/>
        </w:rPr>
      </w:r>
      <w:bookmarkStart w:id="71" w:name="_Toc20823279"/>
      <w:r>
        <w:rPr>
          <w:highlight w:val="none"/>
        </w:rPr>
      </w:r>
      <w:bookmarkStart w:id="72" w:name="_Toc513029207"/>
      <w:r>
        <w:rPr>
          <w:highlight w:val="none"/>
        </w:rPr>
      </w:r>
      <w:bookmarkStart w:id="73" w:name="_Toc462564067"/>
      <w:r>
        <w:rPr>
          <w:rFonts w:hint="eastAsia"/>
          <w:b w:val="0"/>
          <w:bCs w:val="0"/>
          <w:highlight w:val="none"/>
        </w:rPr>
        <w:t xml:space="preserve">4、投标费用</w:t>
      </w:r>
      <w:bookmarkEnd w:id="70"/>
      <w:r>
        <w:rPr>
          <w:highlight w:val="none"/>
        </w:rPr>
      </w:r>
      <w:bookmarkEnd w:id="71"/>
      <w:r>
        <w:rPr>
          <w:highlight w:val="none"/>
        </w:rPr>
      </w:r>
      <w:bookmarkEnd w:id="72"/>
      <w:r>
        <w:rPr>
          <w:highlight w:val="none"/>
        </w:rPr>
      </w:r>
      <w:bookmarkEnd w:id="73"/>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highlight w:val="none"/>
        </w:rPr>
      </w:r>
      <w:r/>
    </w:p>
    <w:p>
      <w:pPr>
        <w:pStyle w:val="928"/>
        <w:ind w:firstLine="602"/>
        <w:spacing w:before="0" w:after="0" w:line="40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highlight w:val="none"/>
        </w:rPr>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highlight w:val="none"/>
        </w:rPr>
      </w:r>
      <w:r/>
    </w:p>
    <w:p>
      <w:pPr>
        <w:pStyle w:val="927"/>
        <w:ind w:firstLine="321"/>
        <w:spacing w:before="145" w:after="145" w:line="400" w:lineRule="exact"/>
        <w:rPr>
          <w:rFonts w:hint="eastAsia"/>
          <w:highlight w:val="none"/>
        </w:rPr>
      </w:pPr>
      <w:r>
        <w:rPr>
          <w:highlight w:val="none"/>
        </w:rPr>
      </w:r>
      <w:bookmarkStart w:id="74" w:name="_Toc20823281"/>
      <w:r>
        <w:rPr>
          <w:highlight w:val="none"/>
        </w:rPr>
      </w:r>
      <w:bookmarkStart w:id="75" w:name="_Toc513029209"/>
      <w:r>
        <w:rPr>
          <w:highlight w:val="none"/>
        </w:rPr>
      </w:r>
      <w:bookmarkStart w:id="76" w:name="_Toc16938525"/>
      <w:r>
        <w:rPr>
          <w:highlight w:val="none"/>
        </w:rPr>
      </w:r>
      <w:bookmarkStart w:id="77" w:name="_Toc120614215"/>
      <w:r>
        <w:rPr>
          <w:rFonts w:hint="eastAsia"/>
          <w:highlight w:val="none"/>
        </w:rPr>
        <w:t xml:space="preserve">二、招标文件</w:t>
      </w:r>
      <w:bookmarkEnd w:id="74"/>
      <w:r>
        <w:rPr>
          <w:highlight w:val="none"/>
        </w:rPr>
      </w:r>
      <w:bookmarkEnd w:id="75"/>
      <w:r>
        <w:rPr>
          <w:highlight w:val="none"/>
        </w:rPr>
      </w:r>
      <w:bookmarkEnd w:id="76"/>
      <w:r>
        <w:rPr>
          <w:highlight w:val="none"/>
        </w:rPr>
      </w:r>
      <w:bookmarkEnd w:id="77"/>
      <w:r>
        <w:rPr>
          <w:highlight w:val="none"/>
        </w:rPr>
      </w:r>
      <w:r/>
    </w:p>
    <w:p>
      <w:pPr>
        <w:pStyle w:val="928"/>
        <w:ind w:firstLine="420"/>
        <w:spacing w:before="0" w:after="0" w:line="400" w:lineRule="exact"/>
        <w:rPr>
          <w:rFonts w:hint="eastAsia"/>
          <w:b w:val="0"/>
          <w:bCs w:val="0"/>
          <w:highlight w:val="none"/>
        </w:rPr>
      </w:pPr>
      <w:r>
        <w:rPr>
          <w:highlight w:val="none"/>
        </w:rPr>
      </w:r>
      <w:bookmarkStart w:id="78" w:name="_Toc16938526"/>
      <w:r>
        <w:rPr>
          <w:highlight w:val="none"/>
        </w:rPr>
      </w:r>
      <w:bookmarkStart w:id="79" w:name="_Toc513029210"/>
      <w:r>
        <w:rPr>
          <w:highlight w:val="none"/>
        </w:rPr>
      </w:r>
      <w:bookmarkStart w:id="80" w:name="_Toc20823282"/>
      <w:r>
        <w:rPr>
          <w:rFonts w:hint="eastAsia"/>
          <w:b w:val="0"/>
          <w:bCs w:val="0"/>
          <w:highlight w:val="none"/>
        </w:rPr>
        <w:t xml:space="preserve">6、招标文件构成</w:t>
      </w:r>
      <w:bookmarkEnd w:id="78"/>
      <w:r>
        <w:rPr>
          <w:highlight w:val="none"/>
        </w:rPr>
      </w:r>
      <w:bookmarkEnd w:id="79"/>
      <w:r>
        <w:rPr>
          <w:highlight w:val="none"/>
        </w:rPr>
      </w:r>
      <w:bookmarkEnd w:id="80"/>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928"/>
        <w:ind w:firstLine="560"/>
        <w:spacing w:before="0" w:after="0" w:line="400" w:lineRule="exact"/>
        <w:rPr>
          <w:rFonts w:hint="eastAsia"/>
          <w:b w:val="0"/>
          <w:bCs w:val="0"/>
          <w:highlight w:val="none"/>
        </w:rPr>
      </w:pPr>
      <w:r>
        <w:rPr>
          <w:highlight w:val="none"/>
        </w:rPr>
      </w:r>
      <w:bookmarkStart w:id="81" w:name="_Toc513029212"/>
      <w:r>
        <w:rPr>
          <w:highlight w:val="none"/>
        </w:rPr>
      </w:r>
      <w:bookmarkStart w:id="82" w:name="_Toc16938528"/>
      <w:r>
        <w:rPr>
          <w:highlight w:val="none"/>
        </w:rPr>
      </w:r>
      <w:bookmarkStart w:id="83" w:name="_Toc20823284"/>
      <w:r>
        <w:rPr>
          <w:highlight w:val="none"/>
        </w:rPr>
      </w:r>
      <w:bookmarkStart w:id="84" w:name="_Toc462564071"/>
      <w:r>
        <w:rPr>
          <w:b w:val="0"/>
          <w:bCs w:val="0"/>
          <w:highlight w:val="none"/>
        </w:rPr>
        <w:t xml:space="preserve">7</w:t>
      </w:r>
      <w:r>
        <w:rPr>
          <w:rFonts w:hint="eastAsia"/>
          <w:b w:val="0"/>
          <w:bCs w:val="0"/>
          <w:highlight w:val="none"/>
        </w:rPr>
        <w:t xml:space="preserve">、招标文件的修改</w:t>
      </w:r>
      <w:bookmarkEnd w:id="81"/>
      <w:r>
        <w:rPr>
          <w:highlight w:val="none"/>
        </w:rPr>
      </w:r>
      <w:bookmarkEnd w:id="82"/>
      <w:r>
        <w:rPr>
          <w:highlight w:val="none"/>
        </w:rPr>
      </w:r>
      <w:bookmarkEnd w:id="83"/>
      <w:r>
        <w:rPr>
          <w:highlight w:val="none"/>
        </w:rPr>
      </w:r>
      <w:bookmarkEnd w:id="84"/>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rPr>
          <w:highlight w:val="none"/>
        </w:rPr>
      </w:r>
      <w:r/>
    </w:p>
    <w:p>
      <w:pPr>
        <w:ind w:firstLine="480"/>
        <w:spacing w:line="400" w:lineRule="exact"/>
        <w:rPr>
          <w:rFonts w:hint="eastAsia" w:ascii="宋体" w:hAnsi="Arial"/>
          <w:sz w:val="28"/>
          <w:highlight w:val="none"/>
        </w:rPr>
      </w:pPr>
      <w:r>
        <w:rPr>
          <w:rFonts w:hint="eastAsia" w:ascii="宋体" w:hAnsi="宋体"/>
          <w:bCs/>
          <w:sz w:val="24"/>
          <w:highlight w:val="none"/>
        </w:rPr>
        <w:t xml:space="preserve">7.2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7.3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highlight w:val="none"/>
        </w:rPr>
      </w:r>
      <w:r/>
    </w:p>
    <w:p>
      <w:pPr>
        <w:pStyle w:val="927"/>
        <w:ind w:firstLine="482"/>
        <w:spacing w:before="145" w:after="145" w:line="400" w:lineRule="exact"/>
        <w:rPr>
          <w:rFonts w:hint="eastAsia"/>
          <w:highlight w:val="none"/>
        </w:rPr>
      </w:pPr>
      <w:r>
        <w:rPr>
          <w:highlight w:val="none"/>
        </w:rPr>
      </w:r>
      <w:bookmarkStart w:id="85" w:name="_Toc20823285"/>
      <w:r>
        <w:rPr>
          <w:highlight w:val="none"/>
        </w:rPr>
      </w:r>
      <w:bookmarkStart w:id="86" w:name="_Toc462564072"/>
      <w:r>
        <w:rPr>
          <w:highlight w:val="none"/>
        </w:rPr>
      </w:r>
      <w:bookmarkStart w:id="87" w:name="_Toc16938529"/>
      <w:r>
        <w:rPr>
          <w:highlight w:val="none"/>
        </w:rPr>
      </w:r>
      <w:bookmarkStart w:id="88" w:name="_Toc120614216"/>
      <w:r>
        <w:rPr>
          <w:highlight w:val="none"/>
        </w:rPr>
      </w:r>
      <w:bookmarkStart w:id="89" w:name="_Toc513029213"/>
      <w:r>
        <w:rPr>
          <w:rFonts w:hint="eastAsia"/>
          <w:highlight w:val="none"/>
        </w:rPr>
        <w:t xml:space="preserve">三、投标文件的编制</w:t>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r/>
    </w:p>
    <w:p>
      <w:pPr>
        <w:pStyle w:val="928"/>
        <w:ind w:firstLine="560"/>
        <w:spacing w:before="0" w:after="0" w:line="400" w:lineRule="exact"/>
        <w:rPr>
          <w:rFonts w:hint="eastAsia"/>
          <w:bCs w:val="0"/>
          <w:highlight w:val="none"/>
        </w:rPr>
      </w:pPr>
      <w:r>
        <w:rPr>
          <w:highlight w:val="none"/>
        </w:rPr>
      </w:r>
      <w:bookmarkStart w:id="90" w:name="_Toc462564073"/>
      <w:r>
        <w:rPr>
          <w:highlight w:val="none"/>
        </w:rPr>
      </w:r>
      <w:bookmarkStart w:id="91" w:name="_Toc16938530"/>
      <w:r>
        <w:rPr>
          <w:highlight w:val="none"/>
        </w:rPr>
      </w:r>
      <w:bookmarkStart w:id="92" w:name="_Toc513029214"/>
      <w:r>
        <w:rPr>
          <w:highlight w:val="none"/>
        </w:rPr>
      </w:r>
      <w:bookmarkStart w:id="93" w:name="_Toc20823286"/>
      <w:r>
        <w:rPr>
          <w:b w:val="0"/>
          <w:bCs w:val="0"/>
          <w:highlight w:val="none"/>
        </w:rPr>
        <w:t xml:space="preserve">8</w:t>
      </w:r>
      <w:r>
        <w:rPr>
          <w:rFonts w:hint="eastAsia"/>
          <w:b w:val="0"/>
          <w:bCs w:val="0"/>
          <w:highlight w:val="none"/>
        </w:rPr>
        <w:t xml:space="preserve">、投标文件的语言及度量衡单位</w:t>
      </w:r>
      <w:bookmarkEnd w:id="90"/>
      <w:r>
        <w:rPr>
          <w:highlight w:val="none"/>
        </w:rPr>
      </w:r>
      <w:bookmarkEnd w:id="91"/>
      <w:r>
        <w:rPr>
          <w:highlight w:val="none"/>
        </w:rPr>
      </w:r>
      <w:bookmarkEnd w:id="92"/>
      <w:r>
        <w:rPr>
          <w:highlight w:val="none"/>
        </w:rPr>
      </w:r>
      <w:bookmarkEnd w:id="93"/>
      <w:r>
        <w:rPr>
          <w:highlight w:val="none"/>
        </w:rPr>
      </w:r>
      <w:r/>
    </w:p>
    <w:p>
      <w:pPr>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highlight w:val="none"/>
        </w:rPr>
      </w:r>
      <w:r/>
    </w:p>
    <w:p>
      <w:pPr>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rPr>
          <w:highlight w:val="none"/>
        </w:rPr>
      </w:r>
      <w:r/>
    </w:p>
    <w:p>
      <w:pPr>
        <w:pStyle w:val="928"/>
        <w:ind w:firstLine="420"/>
        <w:spacing w:before="0" w:after="0" w:line="400" w:lineRule="exact"/>
        <w:rPr>
          <w:rFonts w:hint="eastAsia"/>
          <w:b w:val="0"/>
          <w:bCs w:val="0"/>
          <w:highlight w:val="none"/>
        </w:rPr>
      </w:pPr>
      <w:r>
        <w:rPr>
          <w:highlight w:val="none"/>
        </w:rPr>
      </w:r>
      <w:bookmarkStart w:id="94" w:name="_Toc20823287"/>
      <w:r>
        <w:rPr>
          <w:highlight w:val="none"/>
        </w:rPr>
      </w:r>
      <w:bookmarkStart w:id="95" w:name="_Toc513029215"/>
      <w:r>
        <w:rPr>
          <w:highlight w:val="none"/>
        </w:rPr>
      </w:r>
      <w:bookmarkStart w:id="96" w:name="_Toc462564074"/>
      <w:r>
        <w:rPr>
          <w:highlight w:val="none"/>
        </w:rPr>
      </w:r>
      <w:bookmarkStart w:id="97" w:name="_Toc16938531"/>
      <w:r>
        <w:rPr>
          <w:b w:val="0"/>
          <w:bCs w:val="0"/>
          <w:highlight w:val="none"/>
        </w:rPr>
        <w:t xml:space="preserve">9</w:t>
      </w:r>
      <w:r>
        <w:rPr>
          <w:rFonts w:hint="eastAsia"/>
          <w:b w:val="0"/>
          <w:bCs w:val="0"/>
          <w:highlight w:val="none"/>
        </w:rPr>
        <w:t xml:space="preserve">、投标文件构成</w:t>
      </w:r>
      <w:bookmarkEnd w:id="94"/>
      <w:r>
        <w:rPr>
          <w:highlight w:val="none"/>
        </w:rPr>
      </w:r>
      <w:bookmarkEnd w:id="95"/>
      <w:r>
        <w:rPr>
          <w:highlight w:val="none"/>
        </w:rPr>
      </w:r>
      <w:bookmarkEnd w:id="96"/>
      <w:r>
        <w:rPr>
          <w:highlight w:val="none"/>
        </w:rPr>
      </w:r>
      <w:bookmarkEnd w:id="97"/>
      <w:r>
        <w:rPr>
          <w:highlight w:val="none"/>
        </w:rPr>
      </w:r>
      <w:r/>
    </w:p>
    <w:p>
      <w:pPr>
        <w:ind w:firstLine="480"/>
        <w:spacing w:line="400" w:lineRule="exact"/>
        <w:rPr>
          <w:rFonts w:hint="eastAsia" w:ascii="宋体" w:hAnsi="宋体"/>
          <w:sz w:val="24"/>
          <w:highlight w:val="none"/>
        </w:rPr>
      </w:pPr>
      <w:r>
        <w:rPr>
          <w:rFonts w:ascii="宋体" w:hAnsi="宋体"/>
          <w:bCs/>
          <w:sz w:val="24"/>
          <w:highlight w:val="none"/>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highlight w:val="none"/>
        </w:rPr>
        <w:t xml:space="preserve">、投标分项报价表、技术要求响应及偏离表、商务要求响应及偏离表、其他证明文件、投标函、开标一览表等部分。</w:t>
      </w:r>
      <w:r>
        <w:rPr>
          <w:highlight w:val="none"/>
        </w:rPr>
      </w:r>
      <w:r/>
    </w:p>
    <w:p>
      <w:pPr>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highlight w:val="none"/>
        </w:rPr>
      </w:r>
      <w:r/>
    </w:p>
    <w:p>
      <w:pPr>
        <w:pStyle w:val="928"/>
        <w:ind w:firstLine="420"/>
        <w:spacing w:before="0" w:after="0" w:line="400" w:lineRule="exact"/>
        <w:rPr>
          <w:rFonts w:hint="eastAsia"/>
          <w:b w:val="0"/>
          <w:bCs w:val="0"/>
          <w:highlight w:val="none"/>
        </w:rPr>
      </w:pPr>
      <w:r>
        <w:rPr>
          <w:highlight w:val="none"/>
        </w:rPr>
      </w:r>
      <w:bookmarkStart w:id="98" w:name="_Hlt26670360"/>
      <w:r>
        <w:rPr>
          <w:highlight w:val="none"/>
        </w:rPr>
      </w:r>
      <w:bookmarkEnd w:id="98"/>
      <w:r>
        <w:rPr>
          <w:highlight w:val="none"/>
        </w:rPr>
      </w:r>
      <w:bookmarkStart w:id="99" w:name="_Hlt26668975"/>
      <w:r>
        <w:rPr>
          <w:highlight w:val="none"/>
        </w:rPr>
      </w:r>
      <w:bookmarkEnd w:id="99"/>
      <w:r>
        <w:rPr>
          <w:highlight w:val="none"/>
        </w:rPr>
      </w:r>
      <w:bookmarkStart w:id="100" w:name="_Hlt26954838"/>
      <w:r>
        <w:rPr>
          <w:highlight w:val="none"/>
        </w:rPr>
      </w:r>
      <w:bookmarkEnd w:id="100"/>
      <w:r>
        <w:rPr>
          <w:highlight w:val="none"/>
        </w:rPr>
      </w:r>
      <w:bookmarkStart w:id="101" w:name="_Toc513029219"/>
      <w:r>
        <w:rPr>
          <w:highlight w:val="none"/>
        </w:rPr>
      </w:r>
      <w:bookmarkStart w:id="102" w:name="_Toc14577357"/>
      <w:r>
        <w:rPr>
          <w:highlight w:val="none"/>
        </w:rPr>
      </w:r>
      <w:bookmarkStart w:id="103" w:name="_Toc49090509"/>
      <w:r>
        <w:rPr>
          <w:highlight w:val="none"/>
        </w:rPr>
      </w:r>
      <w:bookmarkStart w:id="104" w:name="_Toc49090507"/>
      <w:r>
        <w:rPr>
          <w:highlight w:val="none"/>
        </w:rPr>
      </w:r>
      <w:bookmarkStart w:id="105" w:name="_Toc513029216"/>
      <w:r>
        <w:rPr>
          <w:highlight w:val="none"/>
        </w:rPr>
      </w:r>
      <w:bookmarkStart w:id="106" w:name="_Toc14577354"/>
      <w:r>
        <w:rPr>
          <w:rFonts w:hint="eastAsia"/>
          <w:b w:val="0"/>
          <w:bCs w:val="0"/>
          <w:highlight w:val="none"/>
        </w:rPr>
        <w:t xml:space="preserve">1</w:t>
      </w:r>
      <w:r>
        <w:rPr>
          <w:b w:val="0"/>
          <w:bCs w:val="0"/>
          <w:highlight w:val="none"/>
        </w:rPr>
        <w:t xml:space="preserve">0</w:t>
      </w:r>
      <w:r>
        <w:rPr>
          <w:rFonts w:hint="eastAsia"/>
          <w:b w:val="0"/>
          <w:bCs w:val="0"/>
          <w:highlight w:val="none"/>
        </w:rPr>
        <w:t xml:space="preserve">、证明投标人及投标标的符合招标文件规定的文件</w:t>
      </w:r>
      <w:bookmarkEnd w:id="101"/>
      <w:r>
        <w:rPr>
          <w:highlight w:val="none"/>
        </w:rPr>
      </w:r>
      <w:bookmarkEnd w:id="102"/>
      <w:r>
        <w:rPr>
          <w:highlight w:val="none"/>
        </w:rPr>
      </w:r>
      <w:bookmarkEnd w:id="103"/>
      <w:r>
        <w:rPr>
          <w:highlight w:val="none"/>
        </w:rPr>
      </w:r>
      <w:bookmarkEnd w:id="104"/>
      <w:r/>
      <w:bookmarkEnd w:id="105"/>
      <w:r/>
      <w:bookmarkEnd w:id="106"/>
      <w:r>
        <w:rPr>
          <w:highlight w:val="none"/>
        </w:rPr>
      </w:r>
      <w:r/>
    </w:p>
    <w:p>
      <w:pPr>
        <w:spacing w:line="400" w:lineRule="exact"/>
        <w:rPr>
          <w:rFonts w:hint="eastAsia" w:ascii="宋体" w:hAnsi="宋体"/>
          <w:sz w:val="24"/>
          <w:szCs w:val="24"/>
          <w:highlight w:val="none"/>
        </w:rPr>
      </w:pPr>
      <w:r>
        <w:rPr>
          <w:highlight w:val="none"/>
        </w:rPr>
      </w:r>
      <w:bookmarkStart w:id="107" w:name="_Toc14577355"/>
      <w:r>
        <w:rPr>
          <w:highlight w:val="none"/>
        </w:rPr>
      </w:r>
      <w:bookmarkStart w:id="108" w:name="_Toc49090508"/>
      <w:r>
        <w:rPr>
          <w:rFonts w:hint="eastAsia" w:ascii="宋体" w:hAnsi="宋体"/>
          <w:sz w:val="24"/>
          <w:szCs w:val="24"/>
          <w:highlight w:val="none"/>
        </w:rPr>
        <w:t xml:space="preserve">    1</w:t>
      </w:r>
      <w:r>
        <w:rPr>
          <w:rFonts w:ascii="宋体" w:hAnsi="宋体"/>
          <w:sz w:val="24"/>
          <w:szCs w:val="24"/>
          <w:highlight w:val="none"/>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1</w:t>
      </w:r>
      <w:r>
        <w:rPr>
          <w:rFonts w:hint="eastAsia"/>
          <w:b w:val="0"/>
          <w:bCs w:val="0"/>
          <w:highlight w:val="none"/>
        </w:rPr>
        <w:t xml:space="preserve">、投标分项报价</w:t>
      </w:r>
      <w:bookmarkEnd w:id="107"/>
      <w:r>
        <w:rPr>
          <w:highlight w:val="none"/>
        </w:rPr>
      </w:r>
      <w:bookmarkStart w:id="109" w:name="_Hlt26670373"/>
      <w:r>
        <w:rPr>
          <w:highlight w:val="none"/>
        </w:rPr>
      </w:r>
      <w:bookmarkEnd w:id="109"/>
      <w:r>
        <w:rPr>
          <w:rFonts w:hint="eastAsia"/>
          <w:b w:val="0"/>
          <w:bCs w:val="0"/>
          <w:highlight w:val="none"/>
        </w:rPr>
        <w:t xml:space="preserve">表</w:t>
      </w:r>
      <w:bookmarkEnd w:id="108"/>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10" w:name="_Hlt26954840"/>
      <w:r>
        <w:rPr>
          <w:highlight w:val="none"/>
        </w:rPr>
      </w:r>
      <w:bookmarkEnd w:id="110"/>
      <w:r>
        <w:rPr>
          <w:rFonts w:hint="eastAsia" w:ascii="宋体" w:hAnsi="宋体"/>
          <w:sz w:val="24"/>
          <w:highlight w:val="none"/>
        </w:rPr>
        <w:t xml:space="preserve">标人按照招标文件规定格式填报投标分项报价表</w:t>
      </w:r>
      <w:bookmarkStart w:id="111" w:name="_Hlt26670399"/>
      <w:r>
        <w:rPr>
          <w:highlight w:val="none"/>
        </w:rPr>
      </w:r>
      <w:bookmarkEnd w:id="111"/>
      <w:r>
        <w:rPr>
          <w:rFonts w:hint="eastAsia" w:ascii="宋体" w:hAnsi="宋体"/>
          <w:sz w:val="24"/>
          <w:highlight w:val="none"/>
        </w:rPr>
        <w:t xml:space="preserve">。</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highlight w:val="none"/>
        </w:rPr>
      </w:r>
      <w:r/>
    </w:p>
    <w:p>
      <w:pPr>
        <w:pStyle w:val="928"/>
        <w:ind w:firstLine="420"/>
        <w:spacing w:before="0" w:after="0" w:line="400" w:lineRule="exact"/>
        <w:rPr>
          <w:rFonts w:hint="eastAsia"/>
          <w:b w:val="0"/>
          <w:bCs w:val="0"/>
          <w:highlight w:val="none"/>
        </w:rPr>
      </w:pPr>
      <w:r>
        <w:rPr>
          <w:highlight w:val="none"/>
        </w:rPr>
      </w:r>
      <w:bookmarkStart w:id="112" w:name="_Hlt26954731"/>
      <w:r>
        <w:rPr>
          <w:highlight w:val="none"/>
        </w:rPr>
      </w:r>
      <w:bookmarkEnd w:id="112"/>
      <w:r>
        <w:rPr>
          <w:highlight w:val="none"/>
        </w:rPr>
      </w:r>
      <w:bookmarkStart w:id="113" w:name="_Hlt26954844"/>
      <w:r>
        <w:rPr>
          <w:highlight w:val="none"/>
        </w:rPr>
      </w:r>
      <w:bookmarkEnd w:id="113"/>
      <w:r>
        <w:rPr>
          <w:highlight w:val="none"/>
        </w:rPr>
      </w:r>
      <w:bookmarkStart w:id="114" w:name="_Hlt26954842"/>
      <w:r>
        <w:rPr>
          <w:highlight w:val="none"/>
        </w:rPr>
      </w:r>
      <w:bookmarkEnd w:id="114"/>
      <w:r>
        <w:rPr>
          <w:highlight w:val="none"/>
        </w:rPr>
      </w:r>
      <w:bookmarkStart w:id="115" w:name="_Hlt26670403"/>
      <w:r>
        <w:rPr>
          <w:highlight w:val="none"/>
        </w:rPr>
      </w:r>
      <w:bookmarkEnd w:id="115"/>
      <w:r>
        <w:rPr>
          <w:highlight w:val="none"/>
        </w:rPr>
      </w:r>
      <w:bookmarkStart w:id="116" w:name="_Hlt26670482"/>
      <w:r>
        <w:rPr>
          <w:highlight w:val="none"/>
        </w:rPr>
      </w:r>
      <w:bookmarkEnd w:id="116"/>
      <w:r>
        <w:rPr>
          <w:highlight w:val="none"/>
        </w:rPr>
      </w:r>
      <w:bookmarkStart w:id="117" w:name="_Hlt26954848"/>
      <w:r>
        <w:rPr>
          <w:highlight w:val="none"/>
        </w:rPr>
      </w:r>
      <w:bookmarkEnd w:id="117"/>
      <w:r>
        <w:rPr>
          <w:highlight w:val="none"/>
        </w:rPr>
      </w:r>
      <w:bookmarkStart w:id="118" w:name="_Hlt26670486"/>
      <w:r>
        <w:rPr>
          <w:highlight w:val="none"/>
        </w:rPr>
      </w:r>
      <w:bookmarkEnd w:id="118"/>
      <w:r>
        <w:rPr>
          <w:highlight w:val="none"/>
        </w:rPr>
      </w:r>
      <w:bookmarkStart w:id="119" w:name="_Hlt26668983"/>
      <w:r>
        <w:rPr>
          <w:highlight w:val="none"/>
        </w:rPr>
      </w:r>
      <w:bookmarkEnd w:id="119"/>
      <w:r>
        <w:rPr>
          <w:highlight w:val="none"/>
        </w:rPr>
      </w:r>
      <w:bookmarkStart w:id="120" w:name="_Hlt26954846"/>
      <w:r>
        <w:rPr>
          <w:highlight w:val="none"/>
        </w:rPr>
      </w:r>
      <w:bookmarkEnd w:id="120"/>
      <w:r>
        <w:rPr>
          <w:highlight w:val="none"/>
        </w:rPr>
      </w:r>
      <w:bookmarkStart w:id="121" w:name="_Hlt26670425"/>
      <w:r>
        <w:rPr>
          <w:highlight w:val="none"/>
        </w:rPr>
      </w:r>
      <w:bookmarkEnd w:id="121"/>
      <w:r>
        <w:rPr>
          <w:rFonts w:hint="eastAsia"/>
          <w:b w:val="0"/>
          <w:bCs w:val="0"/>
          <w:highlight w:val="none"/>
        </w:rPr>
        <w:t xml:space="preserve">1</w:t>
      </w:r>
      <w:r>
        <w:rPr>
          <w:b w:val="0"/>
          <w:bCs w:val="0"/>
          <w:highlight w:val="none"/>
        </w:rPr>
        <w:t xml:space="preserve">2</w:t>
      </w:r>
      <w:r>
        <w:rPr>
          <w:rFonts w:hint="eastAsia"/>
          <w:b w:val="0"/>
          <w:bCs w:val="0"/>
          <w:highlight w:val="none"/>
        </w:rPr>
        <w:t xml:space="preserve">、技术要求响应及偏离表、商务要求响应及偏离表</w:t>
      </w:r>
      <w:r>
        <w:rPr>
          <w:highlight w:val="none"/>
        </w:rPr>
      </w:r>
      <w:r/>
    </w:p>
    <w:p>
      <w:pPr>
        <w:ind w:firstLine="480"/>
        <w:spacing w:line="400" w:lineRule="exact"/>
        <w:rPr>
          <w:rFonts w:hint="eastAsia" w:ascii="宋体" w:hAnsi="Arial" w:cs="宋体"/>
          <w:sz w:val="24"/>
          <w:highlight w:val="none"/>
        </w:rPr>
      </w:pPr>
      <w:r>
        <w:rPr>
          <w:rFonts w:ascii="宋体" w:hAnsi="Arial" w:cs="宋体"/>
          <w:bCs/>
          <w:sz w:val="24"/>
          <w:highlight w:val="none"/>
          <w:lang w:val="zh-CN"/>
        </w:rPr>
        <w:t xml:space="preserve">12.1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highlight w:val="none"/>
        </w:rPr>
      </w:r>
      <w:r/>
    </w:p>
    <w:p>
      <w:pPr>
        <w:ind w:firstLine="480"/>
        <w:spacing w:line="400" w:lineRule="exact"/>
        <w:rPr>
          <w:rFonts w:hint="eastAsia" w:ascii="宋体" w:hAnsi="Arial" w:cs="宋体"/>
          <w:sz w:val="24"/>
          <w:highlight w:val="none"/>
        </w:rPr>
      </w:pPr>
      <w:r>
        <w:rPr>
          <w:highlight w:val="none"/>
        </w:rPr>
      </w:r>
      <w:bookmarkStart w:id="122" w:name="_Toc49090510"/>
      <w:r>
        <w:rPr>
          <w:highlight w:val="none"/>
        </w:rPr>
      </w:r>
      <w:bookmarkStart w:id="123" w:name="_Toc14577359"/>
      <w:r>
        <w:rPr>
          <w:rFonts w:hint="eastAsia" w:ascii="宋体" w:hAnsi="Arial" w:cs="宋体"/>
          <w:sz w:val="24"/>
          <w:highlight w:val="none"/>
          <w:lang w:val="zh-CN"/>
        </w:rPr>
        <w:t xml:space="preserve">1</w:t>
      </w:r>
      <w:r>
        <w:rPr>
          <w:rFonts w:ascii="宋体" w:hAnsi="Arial" w:cs="宋体"/>
          <w:sz w:val="24"/>
          <w:highlight w:val="none"/>
          <w:lang w:val="zh-CN"/>
        </w:rPr>
        <w:t xml:space="preserve">2</w:t>
      </w:r>
      <w:r>
        <w:rPr>
          <w:rFonts w:hint="eastAsia" w:ascii="宋体" w:hAnsi="Arial" w:cs="宋体"/>
          <w:sz w:val="24"/>
          <w:highlight w:val="none"/>
          <w:lang w:val="zh-CN"/>
        </w:rPr>
        <w:t xml:space="preserve">.2 投标人需按照招标文件要求，在投标文件中提供与技术要求和商务要求相关的证明材料。</w:t>
      </w:r>
      <w:r>
        <w:rPr>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3</w:t>
      </w:r>
      <w:r>
        <w:rPr>
          <w:rFonts w:hint="eastAsia"/>
          <w:b w:val="0"/>
          <w:bCs w:val="0"/>
          <w:highlight w:val="none"/>
        </w:rPr>
        <w:t xml:space="preserve">、投标函和开标一览表</w:t>
      </w:r>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highlight w:val="none"/>
        </w:rPr>
      </w:r>
      <w:r/>
    </w:p>
    <w:p>
      <w:pPr>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bookmarkEnd w:id="122"/>
      <w:r/>
      <w:bookmarkEnd w:id="123"/>
      <w:r>
        <w:rPr>
          <w:highlight w:val="none"/>
        </w:rPr>
      </w:r>
      <w:r/>
    </w:p>
    <w:p>
      <w:pPr>
        <w:pStyle w:val="928"/>
        <w:ind w:firstLine="420"/>
        <w:spacing w:before="0" w:after="0" w:line="400" w:lineRule="exact"/>
        <w:rPr>
          <w:rFonts w:hint="eastAsia"/>
          <w:b w:val="0"/>
          <w:bCs w:val="0"/>
          <w:highlight w:val="none"/>
        </w:rPr>
      </w:pPr>
      <w:r>
        <w:rPr>
          <w:highlight w:val="none"/>
        </w:rPr>
      </w:r>
      <w:bookmarkStart w:id="124" w:name="_Hlt26954850"/>
      <w:r>
        <w:rPr>
          <w:highlight w:val="none"/>
        </w:rPr>
      </w:r>
      <w:bookmarkEnd w:id="124"/>
      <w:r>
        <w:rPr>
          <w:highlight w:val="none"/>
        </w:rPr>
      </w:r>
      <w:bookmarkStart w:id="125" w:name="_Hlt26954734"/>
      <w:r>
        <w:rPr>
          <w:highlight w:val="none"/>
        </w:rPr>
      </w:r>
      <w:bookmarkEnd w:id="125"/>
      <w:r>
        <w:rPr>
          <w:highlight w:val="none"/>
        </w:rPr>
      </w:r>
      <w:bookmarkStart w:id="126" w:name="_Hlt26670489"/>
      <w:r>
        <w:rPr>
          <w:highlight w:val="none"/>
        </w:rPr>
      </w:r>
      <w:bookmarkEnd w:id="126"/>
      <w:r>
        <w:rPr>
          <w:highlight w:val="none"/>
        </w:rPr>
      </w:r>
      <w:bookmarkStart w:id="127" w:name="_Toc49090511"/>
      <w:r>
        <w:rPr>
          <w:highlight w:val="none"/>
        </w:rPr>
      </w:r>
      <w:bookmarkStart w:id="128" w:name="_Toc14577360"/>
      <w:r>
        <w:rPr>
          <w:rFonts w:hint="eastAsia"/>
          <w:b w:val="0"/>
          <w:bCs w:val="0"/>
          <w:highlight w:val="none"/>
        </w:rPr>
        <w:t xml:space="preserve">1</w:t>
      </w:r>
      <w:r>
        <w:rPr>
          <w:b w:val="0"/>
          <w:bCs w:val="0"/>
          <w:highlight w:val="none"/>
        </w:rPr>
        <w:t xml:space="preserve">4</w:t>
      </w:r>
      <w:r>
        <w:rPr>
          <w:rFonts w:hint="eastAsia"/>
          <w:b w:val="0"/>
          <w:bCs w:val="0"/>
          <w:highlight w:val="none"/>
        </w:rPr>
        <w:t xml:space="preserve">、投标有效期</w:t>
      </w:r>
      <w:bookmarkEnd w:id="127"/>
      <w:r>
        <w:rPr>
          <w:highlight w:val="none"/>
        </w:rPr>
      </w:r>
      <w:bookmarkEnd w:id="128"/>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5</w:t>
      </w:r>
      <w:r>
        <w:rPr>
          <w:rFonts w:hint="eastAsia"/>
          <w:b w:val="0"/>
          <w:bCs w:val="0"/>
          <w:highlight w:val="none"/>
        </w:rPr>
        <w:t xml:space="preserve">、投标有效期的延长</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highlight w:val="none"/>
        </w:rPr>
      </w:r>
      <w:r/>
    </w:p>
    <w:p>
      <w:pPr>
        <w:pStyle w:val="927"/>
        <w:ind w:firstLine="482"/>
        <w:spacing w:before="145" w:after="145" w:line="400" w:lineRule="exact"/>
        <w:rPr>
          <w:rFonts w:hint="eastAsia"/>
          <w:highlight w:val="none"/>
        </w:rPr>
      </w:pPr>
      <w:r>
        <w:rPr>
          <w:highlight w:val="none"/>
        </w:rPr>
      </w:r>
      <w:bookmarkStart w:id="129" w:name="_Hlt26954852"/>
      <w:r>
        <w:rPr>
          <w:highlight w:val="none"/>
        </w:rPr>
      </w:r>
      <w:bookmarkEnd w:id="129"/>
      <w:r>
        <w:rPr>
          <w:highlight w:val="none"/>
        </w:rPr>
      </w:r>
      <w:bookmarkStart w:id="130" w:name="_Hlt26954739"/>
      <w:r>
        <w:rPr>
          <w:highlight w:val="none"/>
        </w:rPr>
      </w:r>
      <w:bookmarkEnd w:id="130"/>
      <w:r>
        <w:rPr>
          <w:highlight w:val="none"/>
        </w:rPr>
      </w:r>
      <w:bookmarkStart w:id="131" w:name="_Toc513029224"/>
      <w:r>
        <w:rPr>
          <w:highlight w:val="none"/>
        </w:rPr>
      </w:r>
      <w:bookmarkStart w:id="132" w:name="_Toc16938540"/>
      <w:r>
        <w:rPr>
          <w:highlight w:val="none"/>
        </w:rPr>
      </w:r>
      <w:bookmarkStart w:id="133" w:name="_Toc120614217"/>
      <w:r>
        <w:rPr>
          <w:highlight w:val="none"/>
        </w:rPr>
      </w:r>
      <w:bookmarkStart w:id="134" w:name="_Toc20823296"/>
      <w:r>
        <w:rPr>
          <w:rFonts w:hint="eastAsia"/>
          <w:highlight w:val="none"/>
        </w:rPr>
        <w:t xml:space="preserve">四、投标文件的递交</w:t>
      </w:r>
      <w:bookmarkEnd w:id="131"/>
      <w:r>
        <w:rPr>
          <w:highlight w:val="none"/>
        </w:rPr>
      </w:r>
      <w:bookmarkEnd w:id="132"/>
      <w:r>
        <w:rPr>
          <w:highlight w:val="none"/>
        </w:rPr>
      </w:r>
      <w:bookmarkEnd w:id="133"/>
      <w:r>
        <w:rPr>
          <w:highlight w:val="none"/>
        </w:rPr>
      </w:r>
      <w:bookmarkEnd w:id="134"/>
      <w:r>
        <w:rPr>
          <w:highlight w:val="none"/>
        </w:rPr>
      </w:r>
      <w:r/>
    </w:p>
    <w:p>
      <w:pPr>
        <w:pStyle w:val="928"/>
        <w:ind w:firstLine="560"/>
        <w:spacing w:before="0" w:after="0" w:line="400" w:lineRule="exact"/>
        <w:rPr>
          <w:rFonts w:hint="eastAsia" w:ascii="黑体"/>
          <w:b w:val="0"/>
          <w:bCs w:val="0"/>
          <w:highlight w:val="none"/>
        </w:rPr>
      </w:pPr>
      <w:r>
        <w:rPr>
          <w:highlight w:val="none"/>
        </w:rPr>
      </w:r>
      <w:bookmarkStart w:id="135" w:name="_Toc16938541"/>
      <w:r>
        <w:rPr>
          <w:highlight w:val="none"/>
        </w:rPr>
      </w:r>
      <w:bookmarkStart w:id="136" w:name="_Toc20823297"/>
      <w:r>
        <w:rPr>
          <w:highlight w:val="none"/>
        </w:rPr>
      </w:r>
      <w:bookmarkStart w:id="137" w:name="_Toc462564084"/>
      <w:r>
        <w:rPr>
          <w:highlight w:val="none"/>
        </w:rPr>
      </w:r>
      <w:bookmarkStart w:id="138" w:name="_Toc513029225"/>
      <w:r>
        <w:rPr>
          <w:rFonts w:hint="eastAsia"/>
          <w:b w:val="0"/>
          <w:bCs w:val="0"/>
          <w:highlight w:val="none"/>
        </w:rPr>
        <w:t xml:space="preserve">1</w:t>
      </w:r>
      <w:r>
        <w:rPr>
          <w:b w:val="0"/>
          <w:bCs w:val="0"/>
          <w:highlight w:val="none"/>
        </w:rPr>
        <w:t xml:space="preserve">6</w:t>
      </w:r>
      <w:r>
        <w:rPr>
          <w:rFonts w:hint="eastAsia"/>
          <w:b w:val="0"/>
          <w:bCs w:val="0"/>
          <w:highlight w:val="none"/>
        </w:rPr>
        <w:t xml:space="preserve">、</w:t>
      </w:r>
      <w:r>
        <w:rPr>
          <w:rFonts w:hint="eastAsia" w:ascii="黑体"/>
          <w:b w:val="0"/>
          <w:bCs w:val="0"/>
          <w:highlight w:val="none"/>
        </w:rPr>
        <w:t xml:space="preserve">投标文件</w:t>
      </w:r>
      <w:bookmarkEnd w:id="135"/>
      <w:r>
        <w:rPr>
          <w:highlight w:val="none"/>
        </w:rPr>
      </w:r>
      <w:bookmarkEnd w:id="136"/>
      <w:r>
        <w:rPr>
          <w:highlight w:val="none"/>
        </w:rPr>
      </w:r>
      <w:bookmarkEnd w:id="137"/>
      <w:r>
        <w:rPr>
          <w:highlight w:val="none"/>
        </w:rPr>
      </w:r>
      <w:bookmarkEnd w:id="138"/>
      <w:r>
        <w:rPr>
          <w:rFonts w:hint="eastAsia" w:ascii="黑体"/>
          <w:b w:val="0"/>
          <w:bCs w:val="0"/>
          <w:highlight w:val="none"/>
        </w:rPr>
        <w:t xml:space="preserve">的递交</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highlight w:val="none"/>
        </w:rPr>
      </w:r>
      <w:r/>
    </w:p>
    <w:p>
      <w:pPr>
        <w:pStyle w:val="1013"/>
        <w:ind w:left="525"/>
        <w:spacing w:line="4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9" w:name="_Toc16938542"/>
      <w:r>
        <w:rPr>
          <w:highlight w:val="none"/>
        </w:rPr>
      </w:r>
      <w:bookmarkStart w:id="140" w:name="_Toc513029226"/>
      <w:r>
        <w:rPr>
          <w:highlight w:val="none"/>
        </w:rPr>
      </w:r>
      <w:bookmarkStart w:id="141" w:name="_Toc20823298"/>
      <w:r>
        <w:rPr>
          <w:highlight w:val="none"/>
        </w:rPr>
      </w:r>
      <w:r/>
    </w:p>
    <w:p>
      <w:pPr>
        <w:pStyle w:val="928"/>
        <w:ind w:firstLine="420"/>
        <w:spacing w:line="400" w:lineRule="exact"/>
        <w:rPr>
          <w:rFonts w:hint="eastAsia"/>
          <w:b w:val="0"/>
          <w:highlight w:val="none"/>
        </w:rPr>
      </w:pPr>
      <w:r>
        <w:rPr>
          <w:rFonts w:hint="eastAsia"/>
          <w:b w:val="0"/>
          <w:highlight w:val="none"/>
        </w:rPr>
        <w:t xml:space="preserve">1</w:t>
      </w:r>
      <w:r>
        <w:rPr>
          <w:b w:val="0"/>
          <w:highlight w:val="none"/>
        </w:rPr>
        <w:t xml:space="preserve">7</w:t>
      </w:r>
      <w:r>
        <w:rPr>
          <w:rFonts w:hint="eastAsia"/>
          <w:b w:val="0"/>
          <w:highlight w:val="none"/>
        </w:rPr>
        <w:t xml:space="preserve">、投标截止</w:t>
      </w:r>
      <w:bookmarkEnd w:id="139"/>
      <w:r>
        <w:rPr>
          <w:highlight w:val="none"/>
        </w:rPr>
      </w:r>
      <w:bookmarkEnd w:id="140"/>
      <w:r>
        <w:rPr>
          <w:highlight w:val="none"/>
        </w:rPr>
      </w:r>
      <w:bookmarkEnd w:id="141"/>
      <w:r>
        <w:rPr>
          <w:rFonts w:hint="eastAsia"/>
          <w:b w:val="0"/>
          <w:highlight w:val="none"/>
        </w:rPr>
        <w:t xml:space="preserve">时间</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投标人上传电子投标文件的时间不得迟于招标公告中规定的投标截止时间。</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投标人应充分考虑到网络环境、网络带宽等风险因素，如因投标人自身原因造成的电子投标文件上传不成功的按照本招标文件第二章第25.1.2条规定做无效投标处理。</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17.2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highlight w:val="none"/>
        </w:rPr>
      </w:r>
      <w:r/>
    </w:p>
    <w:p>
      <w:pPr>
        <w:pStyle w:val="928"/>
        <w:ind w:firstLine="420"/>
        <w:spacing w:before="0" w:after="0" w:line="400" w:lineRule="exact"/>
        <w:rPr>
          <w:rFonts w:hint="eastAsia"/>
          <w:b w:val="0"/>
          <w:bCs w:val="0"/>
          <w:highlight w:val="none"/>
        </w:rPr>
      </w:pPr>
      <w:r>
        <w:rPr>
          <w:highlight w:val="none"/>
        </w:rPr>
      </w:r>
      <w:bookmarkStart w:id="142" w:name="_Toc513029227"/>
      <w:r>
        <w:rPr>
          <w:highlight w:val="none"/>
        </w:rPr>
      </w:r>
      <w:bookmarkStart w:id="143" w:name="_Toc20823299"/>
      <w:r>
        <w:rPr>
          <w:highlight w:val="none"/>
        </w:rPr>
      </w:r>
      <w:bookmarkStart w:id="144" w:name="_Toc16938543"/>
      <w:r>
        <w:rPr>
          <w:rFonts w:hint="eastAsia"/>
          <w:b w:val="0"/>
          <w:bCs w:val="0"/>
          <w:highlight w:val="none"/>
        </w:rPr>
        <w:t xml:space="preserve">1</w:t>
      </w:r>
      <w:r>
        <w:rPr>
          <w:b w:val="0"/>
          <w:bCs w:val="0"/>
          <w:highlight w:val="none"/>
        </w:rPr>
        <w:t xml:space="preserve">8</w:t>
      </w:r>
      <w:r>
        <w:rPr>
          <w:rFonts w:hint="eastAsia"/>
          <w:b w:val="0"/>
          <w:bCs w:val="0"/>
          <w:highlight w:val="none"/>
        </w:rPr>
        <w:t xml:space="preserve">、投标文件</w:t>
      </w:r>
      <w:bookmarkEnd w:id="142"/>
      <w:r>
        <w:rPr>
          <w:highlight w:val="none"/>
        </w:rPr>
      </w:r>
      <w:bookmarkEnd w:id="143"/>
      <w:r>
        <w:rPr>
          <w:highlight w:val="none"/>
        </w:rPr>
      </w:r>
      <w:bookmarkEnd w:id="144"/>
      <w:r>
        <w:rPr>
          <w:rFonts w:hint="eastAsia"/>
          <w:b w:val="0"/>
          <w:bCs w:val="0"/>
          <w:highlight w:val="none"/>
        </w:rPr>
        <w:t xml:space="preserve">的拒收</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highlight w:val="none"/>
        </w:rPr>
      </w:r>
      <w:r/>
    </w:p>
    <w:p>
      <w:pPr>
        <w:pStyle w:val="928"/>
        <w:ind w:firstLine="420"/>
        <w:spacing w:before="0" w:after="0" w:line="400" w:lineRule="exact"/>
        <w:rPr>
          <w:rFonts w:hint="eastAsia"/>
          <w:b w:val="0"/>
          <w:bCs w:val="0"/>
          <w:highlight w:val="none"/>
        </w:rPr>
      </w:pPr>
      <w:r>
        <w:rPr>
          <w:highlight w:val="none"/>
        </w:rPr>
      </w:r>
      <w:bookmarkStart w:id="145" w:name="_Toc513029228"/>
      <w:r>
        <w:rPr>
          <w:highlight w:val="none"/>
        </w:rPr>
      </w:r>
      <w:bookmarkStart w:id="146" w:name="_Toc20823300"/>
      <w:r>
        <w:rPr>
          <w:highlight w:val="none"/>
        </w:rPr>
      </w:r>
      <w:bookmarkStart w:id="147" w:name="_Toc16938544"/>
      <w:r>
        <w:rPr>
          <w:b w:val="0"/>
          <w:bCs w:val="0"/>
          <w:highlight w:val="none"/>
        </w:rPr>
        <w:t xml:space="preserve">19</w:t>
      </w:r>
      <w:r>
        <w:rPr>
          <w:rFonts w:hint="eastAsia"/>
          <w:b w:val="0"/>
          <w:bCs w:val="0"/>
          <w:highlight w:val="none"/>
        </w:rPr>
        <w:t xml:space="preserve">、投标文件的撤回和修改</w:t>
      </w:r>
      <w:bookmarkEnd w:id="145"/>
      <w:r>
        <w:rPr>
          <w:highlight w:val="none"/>
        </w:rPr>
      </w:r>
      <w:bookmarkEnd w:id="146"/>
      <w:r>
        <w:rPr>
          <w:highlight w:val="none"/>
        </w:rPr>
      </w:r>
      <w:bookmarkEnd w:id="147"/>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19.1 投标文件的撤回</w:t>
      </w:r>
      <w:r>
        <w:rPr>
          <w:highlight w:val="none"/>
        </w:rPr>
      </w:r>
      <w:r/>
    </w:p>
    <w:p>
      <w:pPr>
        <w:ind w:firstLine="480"/>
        <w:spacing w:line="400" w:lineRule="exact"/>
        <w:rPr>
          <w:rFonts w:hint="eastAsia" w:ascii="宋体" w:hAnsi="宋体"/>
          <w:sz w:val="24"/>
          <w:highlight w:val="none"/>
        </w:rPr>
      </w:pPr>
      <w:r>
        <w:rPr>
          <w:rFonts w:ascii="宋体" w:hAnsi="宋体"/>
          <w:sz w:val="24"/>
          <w:highlight w:val="none"/>
        </w:rPr>
        <w:t xml:space="preserve">19</w:t>
      </w:r>
      <w:r>
        <w:rPr>
          <w:rFonts w:hint="eastAsia" w:ascii="宋体" w:hAnsi="宋体"/>
          <w:sz w:val="24"/>
          <w:highlight w:val="none"/>
        </w:rPr>
        <w:t xml:space="preserve">.1.1 电子投标文件的撤回</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19</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19.2 投标文件的修改</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19.2.1投标人可在投标截止时间前，对其电子投标文件进行修改，具体操作方法见《操作手册》。</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19.2.2</w:t>
      </w:r>
      <w:r>
        <w:rPr>
          <w:rFonts w:hint="eastAsia" w:ascii="宋体" w:hAnsi="宋体"/>
          <w:bCs/>
          <w:sz w:val="24"/>
          <w:highlight w:val="none"/>
        </w:rPr>
        <w:t xml:space="preserve"> 在投标截止时间之后，投标人不得对其电子投标文件作任何修改。</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19.3</w:t>
      </w:r>
      <w:r>
        <w:rPr>
          <w:rFonts w:hint="eastAsia" w:ascii="宋体" w:hAnsi="宋体"/>
          <w:bCs/>
          <w:sz w:val="24"/>
          <w:highlight w:val="none"/>
        </w:rPr>
        <w:t xml:space="preserve"> 在投标截止时间至招标文件中规定的投标有效期满之间的这段时间内，投标人不得撤回其投标。</w:t>
      </w:r>
      <w:r>
        <w:rPr>
          <w:highlight w:val="none"/>
        </w:rPr>
      </w:r>
      <w:r/>
    </w:p>
    <w:p>
      <w:pPr>
        <w:pStyle w:val="927"/>
        <w:ind w:firstLine="482"/>
        <w:spacing w:before="145" w:after="145" w:line="400" w:lineRule="exact"/>
        <w:rPr>
          <w:rFonts w:hint="eastAsia"/>
          <w:highlight w:val="none"/>
        </w:rPr>
      </w:pPr>
      <w:r>
        <w:rPr>
          <w:highlight w:val="none"/>
        </w:rPr>
      </w:r>
      <w:bookmarkStart w:id="148" w:name="_Toc513029229"/>
      <w:r>
        <w:rPr>
          <w:highlight w:val="none"/>
        </w:rPr>
      </w:r>
      <w:bookmarkStart w:id="149" w:name="_Toc16938545"/>
      <w:r>
        <w:rPr>
          <w:highlight w:val="none"/>
        </w:rPr>
      </w:r>
      <w:bookmarkStart w:id="150" w:name="_Toc20823301"/>
      <w:r>
        <w:rPr>
          <w:highlight w:val="none"/>
        </w:rPr>
      </w:r>
      <w:bookmarkStart w:id="151" w:name="_Toc120614218"/>
      <w:r>
        <w:rPr>
          <w:rFonts w:hint="eastAsia"/>
          <w:highlight w:val="none"/>
        </w:rPr>
        <w:t xml:space="preserve">五、开标与评标</w:t>
      </w:r>
      <w:bookmarkEnd w:id="148"/>
      <w:r>
        <w:rPr>
          <w:highlight w:val="none"/>
        </w:rPr>
      </w:r>
      <w:bookmarkEnd w:id="149"/>
      <w:r>
        <w:rPr>
          <w:highlight w:val="none"/>
        </w:rPr>
      </w:r>
      <w:bookmarkEnd w:id="150"/>
      <w:r>
        <w:rPr>
          <w:highlight w:val="none"/>
        </w:rPr>
      </w:r>
      <w:bookmarkEnd w:id="151"/>
      <w:r>
        <w:rPr>
          <w:highlight w:val="none"/>
        </w:rPr>
      </w:r>
      <w:r/>
    </w:p>
    <w:p>
      <w:pPr>
        <w:pStyle w:val="928"/>
        <w:ind w:firstLine="420"/>
        <w:spacing w:before="0" w:after="0" w:line="400" w:lineRule="exact"/>
        <w:rPr>
          <w:rFonts w:hint="eastAsia"/>
          <w:b w:val="0"/>
          <w:bCs w:val="0"/>
          <w:highlight w:val="none"/>
        </w:rPr>
      </w:pPr>
      <w:r>
        <w:rPr>
          <w:highlight w:val="none"/>
        </w:rPr>
      </w:r>
      <w:bookmarkStart w:id="152" w:name="_Toc16938546"/>
      <w:r>
        <w:rPr>
          <w:highlight w:val="none"/>
        </w:rPr>
      </w:r>
      <w:bookmarkStart w:id="153" w:name="_Toc513029230"/>
      <w:r>
        <w:rPr>
          <w:highlight w:val="none"/>
        </w:rPr>
      </w:r>
      <w:bookmarkStart w:id="154" w:name="_Toc20823302"/>
      <w:r>
        <w:rPr>
          <w:rFonts w:hint="eastAsia"/>
          <w:b w:val="0"/>
          <w:bCs w:val="0"/>
          <w:highlight w:val="none"/>
        </w:rPr>
        <w:t xml:space="preserve">2</w:t>
      </w:r>
      <w:r>
        <w:rPr>
          <w:b w:val="0"/>
          <w:bCs w:val="0"/>
          <w:highlight w:val="none"/>
        </w:rPr>
        <w:t xml:space="preserve">0</w:t>
      </w:r>
      <w:r>
        <w:rPr>
          <w:rFonts w:hint="eastAsia"/>
          <w:b w:val="0"/>
          <w:bCs w:val="0"/>
          <w:highlight w:val="none"/>
        </w:rPr>
        <w:t xml:space="preserve">、开标</w:t>
      </w:r>
      <w:bookmarkEnd w:id="152"/>
      <w:r>
        <w:rPr>
          <w:highlight w:val="none"/>
        </w:rPr>
      </w:r>
      <w:bookmarkEnd w:id="153"/>
      <w:r>
        <w:rPr>
          <w:highlight w:val="none"/>
        </w:rPr>
      </w:r>
      <w:bookmarkEnd w:id="154"/>
      <w:r>
        <w:rPr>
          <w:highlight w:val="none"/>
        </w:rPr>
      </w:r>
      <w:r/>
    </w:p>
    <w:p>
      <w:pPr>
        <w:ind w:firstLine="480"/>
        <w:spacing w:line="400" w:lineRule="exact"/>
        <w:rPr>
          <w:rFonts w:hint="eastAsia"/>
          <w:highlight w:val="none"/>
        </w:rPr>
      </w:pPr>
      <w:r>
        <w:rPr>
          <w:rFonts w:hint="eastAsia" w:ascii="宋体" w:hAnsi="宋体"/>
          <w:sz w:val="24"/>
          <w:highlight w:val="none"/>
        </w:rPr>
        <w:t xml:space="preserve">20.1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highlight w:val="none"/>
        </w:rPr>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20.2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highlight w:val="none"/>
        </w:rPr>
      </w:r>
      <w:r/>
    </w:p>
    <w:p>
      <w:pPr>
        <w:ind w:firstLine="480"/>
        <w:spacing w:line="400" w:lineRule="exact"/>
        <w:rPr>
          <w:rFonts w:hint="eastAsia" w:ascii="宋体" w:hAnsi="宋体"/>
          <w:sz w:val="24"/>
          <w:szCs w:val="24"/>
          <w:highlight w:val="none"/>
        </w:rPr>
      </w:pPr>
      <w:r>
        <w:rPr>
          <w:rFonts w:hint="eastAsia" w:ascii="宋体" w:hAnsi="宋体"/>
          <w:bCs/>
          <w:sz w:val="24"/>
          <w:highlight w:val="none"/>
        </w:rPr>
        <w:t xml:space="preserve">20.3投标人在开标过程中涉及到的投标文件解密、开标结果确认等工作，应按照《操作手册》规定执行。</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20.4投标人如果对开标过程和开标记录有疑义，应当根据《操作手册》规定提出，如苏采云系统中《开标记录表》宣布后5分钟内未提出的，视同认可开标结果。</w:t>
      </w:r>
      <w:r>
        <w:rPr>
          <w:highlight w:val="none"/>
        </w:rPr>
      </w:r>
      <w:r/>
    </w:p>
    <w:p>
      <w:pPr>
        <w:pStyle w:val="928"/>
        <w:ind w:firstLine="420"/>
        <w:spacing w:before="0" w:after="0" w:line="400" w:lineRule="exact"/>
        <w:rPr>
          <w:rFonts w:hint="eastAsia"/>
          <w:b w:val="0"/>
          <w:bCs w:val="0"/>
          <w:highlight w:val="none"/>
        </w:rPr>
      </w:pPr>
      <w:r>
        <w:rPr>
          <w:highlight w:val="none"/>
        </w:rPr>
      </w:r>
      <w:bookmarkStart w:id="155" w:name="_Toc20823303"/>
      <w:r>
        <w:rPr>
          <w:highlight w:val="none"/>
        </w:rPr>
      </w:r>
      <w:bookmarkStart w:id="156" w:name="_Toc513029231"/>
      <w:r>
        <w:rPr>
          <w:highlight w:val="none"/>
        </w:rPr>
      </w:r>
      <w:bookmarkStart w:id="157" w:name="_Toc16938547"/>
      <w:r>
        <w:rPr>
          <w:rFonts w:hint="eastAsia"/>
          <w:b w:val="0"/>
          <w:bCs w:val="0"/>
          <w:highlight w:val="none"/>
        </w:rPr>
        <w:t xml:space="preserve">2</w:t>
      </w:r>
      <w:r>
        <w:rPr>
          <w:b w:val="0"/>
          <w:bCs w:val="0"/>
          <w:highlight w:val="none"/>
        </w:rPr>
        <w:t xml:space="preserve">1</w:t>
      </w:r>
      <w:r>
        <w:rPr>
          <w:rFonts w:hint="eastAsia"/>
          <w:b w:val="0"/>
          <w:bCs w:val="0"/>
          <w:highlight w:val="none"/>
        </w:rPr>
        <w:t xml:space="preserve">、评标委员会</w:t>
      </w:r>
      <w:r>
        <w:rPr>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highlight w:val="none"/>
        </w:rPr>
      </w:r>
      <w:r/>
    </w:p>
    <w:p>
      <w:pPr>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.2 评委会由采购人代表和有关技术、经济等方面的专家组成，且人员构成符合政府采购有关规定。</w:t>
      </w:r>
      <w:r>
        <w:rPr>
          <w:highlight w:val="none"/>
        </w:rPr>
      </w:r>
      <w:r/>
    </w:p>
    <w:p>
      <w:pPr>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.3评委会独立工作，负责评审所有投标文件并确定中标</w:t>
      </w:r>
      <w:r>
        <w:rPr>
          <w:rFonts w:hint="eastAsia" w:ascii="宋体" w:hAnsi="宋体"/>
          <w:sz w:val="24"/>
          <w:szCs w:val="24"/>
          <w:highlight w:val="none"/>
          <w:lang w:val="en-US" w:eastAsia="zh-CN"/>
        </w:rPr>
        <w:t xml:space="preserve">候</w:t>
      </w:r>
      <w:r>
        <w:rPr>
          <w:rFonts w:hint="eastAsia" w:ascii="宋体" w:hAnsi="宋体"/>
          <w:sz w:val="24"/>
          <w:szCs w:val="24"/>
          <w:highlight w:val="none"/>
        </w:rPr>
        <w:t xml:space="preserve">选人。</w:t>
      </w:r>
      <w:r>
        <w:rPr>
          <w:highlight w:val="none"/>
        </w:rPr>
      </w:r>
      <w:r/>
    </w:p>
    <w:p>
      <w:pPr>
        <w:pStyle w:val="928"/>
        <w:ind w:firstLine="420"/>
        <w:spacing w:before="0" w:after="0" w:line="400" w:lineRule="exact"/>
        <w:rPr>
          <w:rFonts w:hint="eastAsia" w:ascii="黑体"/>
          <w:b w:val="0"/>
          <w:bCs w:val="0"/>
          <w:highlight w:val="none"/>
        </w:rPr>
      </w:pPr>
      <w:r>
        <w:rPr>
          <w:rFonts w:hint="eastAsia" w:ascii="黑体"/>
          <w:b w:val="0"/>
          <w:bCs w:val="0"/>
          <w:highlight w:val="none"/>
        </w:rPr>
        <w:t xml:space="preserve">2</w:t>
      </w:r>
      <w:r>
        <w:rPr>
          <w:rFonts w:ascii="黑体"/>
          <w:b w:val="0"/>
          <w:bCs w:val="0"/>
          <w:highlight w:val="none"/>
        </w:rPr>
        <w:t xml:space="preserve">2</w:t>
      </w:r>
      <w:r>
        <w:rPr>
          <w:rFonts w:hint="eastAsia" w:ascii="黑体"/>
          <w:b w:val="0"/>
          <w:bCs w:val="0"/>
          <w:highlight w:val="none"/>
        </w:rPr>
        <w:t xml:space="preserve">、评标过程的保密与公正</w:t>
      </w:r>
      <w:bookmarkEnd w:id="155"/>
      <w:r/>
      <w:bookmarkEnd w:id="156"/>
      <w:r/>
      <w:bookmarkEnd w:id="157"/>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22.1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highlight w:val="none"/>
        </w:rPr>
        <w:t xml:space="preserve">22.2</w:t>
      </w:r>
      <w:r>
        <w:rPr>
          <w:rFonts w:hint="eastAsia" w:ascii="宋体" w:hAnsi="宋体"/>
          <w:sz w:val="24"/>
          <w:szCs w:val="24"/>
          <w:highlight w:val="none"/>
        </w:rPr>
        <w:t xml:space="preserve">在评标过程中，投标人不得以任何行为影响评标过程，否则其投标文件将被作为无效投标文件。</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22.4 采用综合评分法的项目，未中标的投标人可于中标结果公告期限届满之日起通过苏采云系统查看自己的评审得分及排序情况。</w:t>
      </w:r>
      <w:r>
        <w:rPr>
          <w:highlight w:val="none"/>
        </w:rPr>
      </w:r>
      <w:r/>
    </w:p>
    <w:p>
      <w:pPr>
        <w:pStyle w:val="928"/>
        <w:ind w:firstLine="420"/>
        <w:spacing w:before="0" w:after="0" w:line="400" w:lineRule="exact"/>
        <w:rPr>
          <w:rFonts w:hint="eastAsia"/>
          <w:b w:val="0"/>
          <w:bCs w:val="0"/>
          <w:highlight w:val="none"/>
        </w:rPr>
      </w:pPr>
      <w:r>
        <w:rPr>
          <w:highlight w:val="none"/>
        </w:rPr>
      </w:r>
      <w:bookmarkStart w:id="158" w:name="_Toc16938548"/>
      <w:r>
        <w:rPr>
          <w:highlight w:val="none"/>
        </w:rPr>
      </w:r>
      <w:bookmarkStart w:id="159" w:name="_Toc513029232"/>
      <w:r>
        <w:rPr>
          <w:highlight w:val="none"/>
        </w:rPr>
      </w:r>
      <w:bookmarkStart w:id="160" w:name="_Toc20823304"/>
      <w:r>
        <w:rPr>
          <w:rFonts w:hint="eastAsia"/>
          <w:b w:val="0"/>
          <w:bCs w:val="0"/>
          <w:highlight w:val="none"/>
        </w:rPr>
        <w:t xml:space="preserve">2</w:t>
      </w:r>
      <w:r>
        <w:rPr>
          <w:b w:val="0"/>
          <w:bCs w:val="0"/>
          <w:highlight w:val="none"/>
        </w:rPr>
        <w:t xml:space="preserve">3</w:t>
      </w:r>
      <w:r>
        <w:rPr>
          <w:rFonts w:hint="eastAsia"/>
          <w:b w:val="0"/>
          <w:bCs w:val="0"/>
          <w:highlight w:val="none"/>
        </w:rPr>
        <w:t xml:space="preserve">、投标文件的澄清</w:t>
      </w:r>
      <w:bookmarkEnd w:id="158"/>
      <w:r>
        <w:rPr>
          <w:highlight w:val="none"/>
        </w:rPr>
      </w:r>
      <w:bookmarkEnd w:id="159"/>
      <w:r>
        <w:rPr>
          <w:highlight w:val="none"/>
        </w:rPr>
      </w:r>
      <w:bookmarkEnd w:id="160"/>
      <w:r>
        <w:rPr>
          <w:highlight w:val="none"/>
        </w:rPr>
      </w:r>
      <w:r/>
    </w:p>
    <w:p>
      <w:pPr>
        <w:ind w:firstLine="480"/>
        <w:spacing w:line="400" w:lineRule="exact"/>
        <w:rPr>
          <w:rFonts w:ascii="宋体" w:hAnsi="宋体"/>
          <w:sz w:val="24"/>
          <w:szCs w:val="24"/>
          <w:highlight w:val="none"/>
        </w:rPr>
      </w:pPr>
      <w:r>
        <w:rPr>
          <w:rFonts w:ascii="宋体" w:hAnsi="宋体"/>
          <w:sz w:val="24"/>
          <w:szCs w:val="24"/>
          <w:highlight w:val="none"/>
        </w:rPr>
        <w:t xml:space="preserve">23.1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    23.3 接到评委会澄清、说明和补正要求的投标人如未按规定做出澄清、说明和补正，其风险由投标人自行承担。</w:t>
      </w:r>
      <w:r>
        <w:rPr>
          <w:highlight w:val="none"/>
        </w:rPr>
      </w:r>
      <w:r/>
    </w:p>
    <w:p>
      <w:pPr>
        <w:pStyle w:val="928"/>
        <w:ind w:firstLine="420"/>
        <w:spacing w:before="0" w:after="0" w:line="400" w:lineRule="exact"/>
        <w:rPr>
          <w:rFonts w:hint="eastAsia"/>
          <w:b w:val="0"/>
          <w:bCs w:val="0"/>
          <w:highlight w:val="none"/>
        </w:rPr>
      </w:pPr>
      <w:r>
        <w:rPr>
          <w:highlight w:val="none"/>
        </w:rPr>
      </w:r>
      <w:bookmarkStart w:id="161" w:name="_Toc16938549"/>
      <w:r>
        <w:rPr>
          <w:highlight w:val="none"/>
        </w:rPr>
      </w:r>
      <w:bookmarkStart w:id="162" w:name="_Toc513029233"/>
      <w:r>
        <w:rPr>
          <w:highlight w:val="none"/>
        </w:rPr>
      </w:r>
      <w:bookmarkStart w:id="163" w:name="_Toc20823305"/>
      <w:r>
        <w:rPr>
          <w:rFonts w:hint="eastAsia"/>
          <w:b w:val="0"/>
          <w:bCs w:val="0"/>
          <w:highlight w:val="none"/>
        </w:rPr>
        <w:t xml:space="preserve">2</w:t>
      </w:r>
      <w:r>
        <w:rPr>
          <w:b w:val="0"/>
          <w:bCs w:val="0"/>
          <w:highlight w:val="none"/>
        </w:rPr>
        <w:t xml:space="preserve">4</w:t>
      </w:r>
      <w:r>
        <w:rPr>
          <w:rFonts w:hint="eastAsia"/>
          <w:b w:val="0"/>
          <w:bCs w:val="0"/>
          <w:highlight w:val="none"/>
        </w:rPr>
        <w:t xml:space="preserve">、对投标文件的初审</w:t>
      </w:r>
      <w:bookmarkEnd w:id="161"/>
      <w:r>
        <w:rPr>
          <w:highlight w:val="none"/>
        </w:rPr>
      </w:r>
      <w:bookmarkEnd w:id="162"/>
      <w:r>
        <w:rPr>
          <w:highlight w:val="none"/>
        </w:rPr>
      </w:r>
      <w:bookmarkEnd w:id="163"/>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24.1</w:t>
      </w:r>
      <w:r>
        <w:rPr>
          <w:rFonts w:hint="eastAsia" w:ascii="宋体" w:hAnsi="宋体"/>
          <w:bCs/>
          <w:sz w:val="24"/>
          <w:highlight w:val="none"/>
        </w:rPr>
        <w:t xml:space="preserve">投标文件初审分为资格审查和符合性审查。</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24.1.1 资格审查：依据法律法规和招标文件的规定，由采购人对投标文件中的资格证明文件进行审查。资格审查的结论，采购人以书面形式向评委会进行反馈。</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24.1.2 符合性审查：依据招标文件的规定，由评委会从投标文件的有效性、完整性和对招标文件的响应程度进行审查，以确定是否对招标文件的实质性要求作出响应。</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24.</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r/>
    </w:p>
    <w:p>
      <w:pPr>
        <w:ind w:firstLine="480"/>
        <w:spacing w:line="400" w:lineRule="exact"/>
        <w:rPr>
          <w:rFonts w:ascii="宋体" w:hAnsi="宋体"/>
          <w:sz w:val="24"/>
          <w:highlight w:val="none"/>
        </w:rPr>
      </w:pPr>
      <w:r>
        <w:rPr>
          <w:rFonts w:hint="eastAsia" w:ascii="宋体" w:hAnsi="宋体"/>
          <w:sz w:val="24"/>
          <w:highlight w:val="none"/>
        </w:rPr>
        <w:t xml:space="preserve">24.3如果投标文件实质上没有响应招标文件的要求，评委会将予以拒绝，投标人不得通过修改或撤销不</w:t>
      </w:r>
      <w:r>
        <w:rPr>
          <w:rFonts w:hint="eastAsia" w:ascii="宋体" w:hAnsi="宋体"/>
          <w:sz w:val="24"/>
          <w:highlight w:val="none"/>
          <w:lang w:val="en-US" w:eastAsia="zh-CN"/>
        </w:rPr>
        <w:t xml:space="preserve">符</w:t>
      </w:r>
      <w:r>
        <w:rPr>
          <w:rFonts w:hint="eastAsia" w:ascii="宋体" w:hAnsi="宋体"/>
          <w:sz w:val="24"/>
          <w:highlight w:val="none"/>
        </w:rPr>
        <w:t xml:space="preserve">合要求的偏离或保留而使其投标成为实质性响应的投标。</w:t>
      </w:r>
      <w:r>
        <w:rPr>
          <w:highlight w:val="none"/>
        </w:rPr>
      </w:r>
      <w:r/>
    </w:p>
    <w:p>
      <w:pPr>
        <w:ind w:firstLine="480"/>
        <w:spacing w:line="400" w:lineRule="exact"/>
        <w:rPr>
          <w:rFonts w:hint="eastAsia"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highlight w:val="none"/>
        </w:rPr>
      </w:r>
      <w:r/>
    </w:p>
    <w:p>
      <w:pPr>
        <w:ind w:firstLine="480"/>
        <w:spacing w:line="4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highlight w:val="none"/>
        </w:rPr>
      </w:r>
      <w:r/>
    </w:p>
    <w:p>
      <w:pPr>
        <w:ind w:firstLine="480"/>
        <w:spacing w:line="4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highlight w:val="none"/>
        </w:rPr>
      </w:r>
      <w:r/>
    </w:p>
    <w:p>
      <w:pPr>
        <w:ind w:firstLine="480"/>
        <w:spacing w:line="4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highlight w:val="none"/>
        </w:rPr>
      </w:r>
      <w:r/>
    </w:p>
    <w:p>
      <w:pPr>
        <w:ind w:firstLine="480"/>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24.5 </w:t>
      </w:r>
      <w:r>
        <w:rPr>
          <w:rFonts w:hint="eastAsia" w:asciiTheme="minorEastAsia" w:hAnsiTheme="minorEastAsia" w:eastAsiaTheme="minorEastAsia" w:cstheme="minorEastAsia"/>
          <w:bCs/>
          <w:color w:val="auto"/>
          <w:sz w:val="24"/>
          <w:szCs w:val="24"/>
          <w:highlight w:val="none"/>
        </w:rPr>
        <w:t xml:space="preserve">评委会将按上述修正错误的方法调整投标文件中的投标报价，并通过</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4"/>
          <w:highlight w:val="none"/>
        </w:rPr>
        <w:t xml:space="preserve">告知投标人，调整后的价格应对投标人具有约束力。如果投标人不接受修正后的价格，则其投标将被拒绝。</w:t>
      </w:r>
      <w:r>
        <w:rPr>
          <w:highlight w:val="none"/>
        </w:rPr>
      </w:r>
      <w:r/>
    </w:p>
    <w:p>
      <w:pPr>
        <w:ind w:firstLine="420"/>
        <w:spacing w:line="400" w:lineRule="exact"/>
        <w:rPr>
          <w:rFonts w:hint="eastAsia" w:asciiTheme="minorEastAsia" w:hAnsiTheme="minorEastAsia" w:eastAsiaTheme="minorEastAsia" w:cstheme="minorEastAsia"/>
          <w:color w:val="auto"/>
          <w:sz w:val="24"/>
          <w:szCs w:val="24"/>
          <w:highlight w:val="none"/>
        </w:rPr>
      </w:pPr>
      <w:r>
        <w:rPr>
          <w:highlight w:val="none"/>
        </w:rPr>
      </w:r>
      <w:bookmarkStart w:id="164" w:name="_Toc513029234"/>
      <w:r>
        <w:rPr>
          <w:highlight w:val="none"/>
        </w:rPr>
      </w:r>
      <w:bookmarkStart w:id="165" w:name="_Toc16938550"/>
      <w:r>
        <w:rPr>
          <w:highlight w:val="none"/>
        </w:rPr>
      </w:r>
      <w:bookmarkStart w:id="166" w:name="_Toc20823306"/>
      <w:r>
        <w:rPr>
          <w:rFonts w:hint="eastAsia" w:asciiTheme="minorEastAsia" w:hAnsiTheme="minorEastAsia" w:eastAsiaTheme="minorEastAsia" w:cstheme="minorEastAsia"/>
          <w:color w:val="auto"/>
          <w:sz w:val="24"/>
          <w:szCs w:val="24"/>
          <w:highlight w:val="none"/>
        </w:rPr>
        <w:t xml:space="preserve">24.6投标人在开、评标全过程中应保持通讯畅通，及时登录苏采云系统查阅、答复相关信息，并安排专人与采购中心及评标委员会联系。</w:t>
      </w:r>
      <w:r>
        <w:rPr>
          <w:highlight w:val="none"/>
        </w:rPr>
      </w:r>
      <w:r/>
    </w:p>
    <w:p>
      <w:pPr>
        <w:ind w:firstLine="42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24.7 异常低价投标审查</w:t>
      </w:r>
      <w:r>
        <w:rPr>
          <w:highlight w:val="none"/>
        </w:rPr>
      </w:r>
      <w:r/>
    </w:p>
    <w:p>
      <w:pPr>
        <w:ind w:firstLine="42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24.7.1 评标过程中出现下列情形之一的，评标委员会应当启动异常低价投标审查程序：</w:t>
      </w:r>
      <w:r>
        <w:rPr>
          <w:highlight w:val="none"/>
        </w:rPr>
      </w:r>
      <w:r/>
    </w:p>
    <w:p>
      <w:pPr>
        <w:ind w:firstLine="42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（1）投标报价低于采购项目预算50%的，即投标报价＜采购项目预算×50%；</w:t>
      </w:r>
      <w:r>
        <w:rPr>
          <w:highlight w:val="none"/>
        </w:rPr>
      </w:r>
      <w:r/>
    </w:p>
    <w:p>
      <w:pPr>
        <w:ind w:firstLine="42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（2）投标报价低于采购项目最高限价45%的，即投标报价＜采购项目最高限价×45%；</w:t>
      </w:r>
      <w:r>
        <w:rPr>
          <w:highlight w:val="none"/>
        </w:rPr>
      </w:r>
      <w:r/>
    </w:p>
    <w:p>
      <w:pPr>
        <w:ind w:firstLine="42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（3）评标委员会认定的供应商报价过低、有可能影响产品质量或者不能诚信履约的其他情形。</w:t>
      </w:r>
      <w:r>
        <w:rPr>
          <w:highlight w:val="none"/>
        </w:rPr>
      </w:r>
      <w:r/>
    </w:p>
    <w:p>
      <w:pPr>
        <w:ind w:firstLine="42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highlight w:val="none"/>
        </w:rPr>
      </w:r>
      <w:r/>
    </w:p>
    <w:p>
      <w:pPr>
        <w:pStyle w:val="928"/>
        <w:ind w:firstLine="420"/>
        <w:spacing w:before="0" w:after="0" w:line="400" w:lineRule="exact"/>
        <w:rPr>
          <w:rFonts w:hint="eastAsia"/>
          <w:b w:val="0"/>
          <w:bCs w:val="0"/>
          <w:highlight w:val="none"/>
        </w:rPr>
      </w:pPr>
      <w:r>
        <w:rPr>
          <w:rFonts w:hint="eastAsia"/>
          <w:b w:val="0"/>
          <w:bCs w:val="0"/>
          <w:highlight w:val="none"/>
        </w:rPr>
        <w:t xml:space="preserve">2</w:t>
      </w:r>
      <w:r>
        <w:rPr>
          <w:b w:val="0"/>
          <w:bCs w:val="0"/>
          <w:highlight w:val="none"/>
        </w:rPr>
        <w:t xml:space="preserve">5</w:t>
      </w:r>
      <w:r>
        <w:rPr>
          <w:rFonts w:hint="eastAsia"/>
          <w:b w:val="0"/>
          <w:bCs w:val="0"/>
          <w:highlight w:val="none"/>
        </w:rPr>
        <w:t xml:space="preserve">、</w:t>
      </w:r>
      <w:bookmarkEnd w:id="164"/>
      <w:r>
        <w:rPr>
          <w:highlight w:val="none"/>
        </w:rPr>
      </w:r>
      <w:bookmarkEnd w:id="165"/>
      <w:r>
        <w:rPr>
          <w:highlight w:val="none"/>
        </w:rPr>
      </w:r>
      <w:bookmarkEnd w:id="166"/>
      <w:r>
        <w:rPr>
          <w:rFonts w:hint="eastAsia"/>
          <w:b w:val="0"/>
          <w:bCs w:val="0"/>
          <w:highlight w:val="none"/>
        </w:rPr>
        <w:t xml:space="preserve">无效投标条款和废标条款</w:t>
      </w:r>
      <w:r>
        <w:rPr>
          <w:highlight w:val="none"/>
        </w:rPr>
      </w:r>
      <w:r/>
    </w:p>
    <w:p>
      <w:pPr>
        <w:ind w:left="479"/>
        <w:spacing w:line="400" w:lineRule="exact"/>
        <w:rPr>
          <w:rFonts w:hint="eastAsia" w:ascii="宋体" w:hAnsi="宋体"/>
          <w:bCs/>
          <w:sz w:val="24"/>
          <w:highlight w:val="none"/>
        </w:rPr>
      </w:pPr>
      <w:r>
        <w:rPr>
          <w:highlight w:val="none"/>
        </w:rPr>
      </w:r>
      <w:bookmarkStart w:id="167" w:name="_Toc20823307"/>
      <w:r>
        <w:rPr>
          <w:highlight w:val="none"/>
        </w:rPr>
      </w:r>
      <w:bookmarkStart w:id="168" w:name="_Toc513029235"/>
      <w:r>
        <w:rPr>
          <w:highlight w:val="none"/>
        </w:rPr>
      </w:r>
      <w:bookmarkStart w:id="169" w:name="_Toc16938551"/>
      <w:r>
        <w:rPr>
          <w:rFonts w:hint="eastAsia" w:ascii="宋体" w:hAnsi="宋体"/>
          <w:bCs/>
          <w:sz w:val="24"/>
          <w:highlight w:val="none"/>
        </w:rPr>
        <w:t xml:space="preserve">25.1无效投标条款</w:t>
      </w:r>
      <w:r>
        <w:rPr>
          <w:highlight w:val="none"/>
        </w:rPr>
      </w:r>
      <w:r/>
    </w:p>
    <w:p>
      <w:pPr>
        <w:ind w:firstLine="480"/>
        <w:spacing w:line="400" w:lineRule="exact"/>
        <w:rPr>
          <w:rFonts w:hint="eastAsia" w:ascii="宋体" w:hAnsi="宋体"/>
          <w:bCs/>
          <w:sz w:val="24"/>
          <w:szCs w:val="24"/>
          <w:highlight w:val="none"/>
        </w:rPr>
      </w:pPr>
      <w:r>
        <w:rPr>
          <w:rFonts w:hint="eastAsia" w:ascii="宋体" w:hAnsi="宋体"/>
          <w:bCs/>
          <w:sz w:val="24"/>
          <w:highlight w:val="none"/>
        </w:rPr>
        <w:t xml:space="preserve">25.</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25.1.2 投标人未按照招标文件要求上传电子投标文件的。</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25.1.3 投标人同一</w:t>
      </w:r>
      <w:r>
        <w:rPr>
          <w:rFonts w:ascii="宋体" w:hAnsi="宋体"/>
          <w:bCs/>
          <w:sz w:val="24"/>
          <w:highlight w:val="none"/>
        </w:rPr>
        <w:t xml:space="preserve">采购包</w:t>
      </w:r>
      <w:r>
        <w:rPr>
          <w:rFonts w:hint="eastAsia" w:ascii="宋体" w:hAnsi="宋体"/>
          <w:bCs/>
          <w:sz w:val="24"/>
          <w:highlight w:val="none"/>
        </w:rPr>
        <w:t xml:space="preserve">提交两个（含两个）以上不同的投标报价的。</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25.1.4投标人不具备招标文件中规定资格要求的。</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25.1.5投标人的报价超过了采购预算或最高限价的。</w:t>
      </w:r>
      <w:r>
        <w:rPr>
          <w:highlight w:val="none"/>
        </w:rPr>
      </w:r>
      <w:r/>
    </w:p>
    <w:p>
      <w:pPr>
        <w:ind w:firstLine="480"/>
        <w:spacing w:line="400" w:lineRule="exact"/>
        <w:rPr>
          <w:rFonts w:hint="eastAsia" w:ascii="宋体" w:hAnsi="宋体"/>
          <w:bCs/>
          <w:i/>
          <w:sz w:val="24"/>
          <w:highlight w:val="none"/>
          <w:u w:val="single"/>
        </w:rPr>
      </w:pPr>
      <w:r>
        <w:rPr>
          <w:rFonts w:hint="eastAsia" w:ascii="宋体" w:hAnsi="宋体"/>
          <w:bCs/>
          <w:sz w:val="24"/>
          <w:highlight w:val="none"/>
        </w:rPr>
        <w:t xml:space="preserve">25.1.6未通过符合性审查的。</w:t>
      </w:r>
      <w:r>
        <w:rPr>
          <w:highlight w:val="none"/>
        </w:rPr>
      </w:r>
      <w:r/>
    </w:p>
    <w:p>
      <w:pPr>
        <w:ind w:firstLine="360"/>
        <w:spacing w:line="400" w:lineRule="exact"/>
        <w:rPr>
          <w:rFonts w:hint="eastAsia" w:ascii="宋体" w:hAnsi="宋体"/>
          <w:bCs/>
          <w:i/>
          <w:sz w:val="24"/>
          <w:highlight w:val="none"/>
          <w:u w:val="single"/>
        </w:rPr>
      </w:pPr>
      <w:r>
        <w:rPr>
          <w:rFonts w:hint="eastAsia" w:ascii="宋体" w:hAnsi="宋体"/>
          <w:bCs/>
          <w:sz w:val="24"/>
          <w:highlight w:val="none"/>
        </w:rPr>
        <w:t xml:space="preserve"> 25.1.7不符合招标文件中规定的实质性要求的</w:t>
      </w:r>
      <w:r>
        <w:rPr>
          <w:rFonts w:hint="eastAsia" w:ascii="宋体" w:hAnsi="宋体"/>
          <w:b/>
          <w:bCs/>
          <w:sz w:val="24"/>
          <w:highlight w:val="none"/>
        </w:rPr>
        <w:t xml:space="preserve">（本招标文件中</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或加*号条款为实质性要求）</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25.1.9 投标文件含有采购人不能接受的附加条件的。</w:t>
      </w:r>
      <w:r>
        <w:rPr>
          <w:highlight w:val="none"/>
        </w:rPr>
      </w:r>
      <w:r/>
    </w:p>
    <w:p>
      <w:pPr>
        <w:ind w:firstLine="480"/>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25.1.10评标委员会按照本招标文件规定对投标人进行异常低价投标审查后，认为投标人不能证明其报价合理性的。</w:t>
      </w:r>
      <w:r>
        <w:rPr>
          <w:highlight w:val="none"/>
        </w:rPr>
      </w:r>
      <w:r/>
    </w:p>
    <w:p>
      <w:pPr>
        <w:ind w:firstLine="480"/>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25.1.11 投标文件未按照招标文件要求加盖CA电子公章的。</w:t>
      </w:r>
      <w:r>
        <w:rPr>
          <w:highlight w:val="none"/>
        </w:rPr>
      </w:r>
      <w:r/>
    </w:p>
    <w:p>
      <w:pPr>
        <w:ind w:firstLine="480"/>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25.1.12其他法律、法规及本招标文件规定的属无效投标的情形。</w:t>
      </w:r>
      <w:r>
        <w:rPr>
          <w:highlight w:val="none"/>
        </w:rPr>
      </w:r>
      <w:r/>
    </w:p>
    <w:p>
      <w:pPr>
        <w:ind w:left="479"/>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25.2废标条款</w:t>
      </w:r>
      <w:r>
        <w:rPr>
          <w:highlight w:val="none"/>
        </w:rPr>
      </w:r>
      <w:r/>
    </w:p>
    <w:p>
      <w:pPr>
        <w:ind w:left="479"/>
        <w:spacing w:line="400" w:lineRule="exact"/>
        <w:rPr>
          <w:rFonts w:hint="eastAsia" w:ascii="宋体" w:hAnsi="宋体"/>
          <w:bCs/>
          <w:sz w:val="24"/>
          <w:highlight w:val="none"/>
        </w:rPr>
      </w:pPr>
      <w:r>
        <w:rPr>
          <w:rFonts w:hint="eastAsia" w:asciiTheme="minorEastAsia" w:hAnsiTheme="minorEastAsia" w:eastAsiaTheme="minorEastAsia" w:cstheme="minorEastAsia"/>
          <w:bCs/>
          <w:color w:val="auto"/>
          <w:sz w:val="24"/>
          <w:szCs w:val="24"/>
          <w:highlight w:val="none"/>
        </w:rPr>
        <w:t xml:space="preserve">25.2.1符合专业条件的供应商或者对招标文件作实质响应的供应商不</w:t>
      </w:r>
      <w:r>
        <w:rPr>
          <w:rFonts w:hint="eastAsia" w:ascii="宋体" w:hAnsi="宋体"/>
          <w:bCs/>
          <w:sz w:val="24"/>
          <w:highlight w:val="none"/>
        </w:rPr>
        <w:t xml:space="preserve">足三家的。25.2.2出现影响采购公正的违法、违规行为的。</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25.2.3因重大变故，采购任务取消的。</w:t>
      </w:r>
      <w:r>
        <w:rPr>
          <w:highlight w:val="none"/>
        </w:rPr>
      </w:r>
      <w:r/>
    </w:p>
    <w:p>
      <w:pPr>
        <w:ind w:left="479"/>
        <w:spacing w:line="400" w:lineRule="exact"/>
        <w:rPr>
          <w:rFonts w:ascii="宋体" w:hAnsi="宋体"/>
          <w:bCs/>
          <w:sz w:val="24"/>
          <w:highlight w:val="none"/>
        </w:rPr>
      </w:pPr>
      <w:r>
        <w:rPr>
          <w:rFonts w:hint="eastAsia" w:ascii="宋体" w:hAnsi="宋体"/>
          <w:bCs/>
          <w:sz w:val="24"/>
          <w:highlight w:val="none"/>
        </w:rPr>
        <w:t xml:space="preserve">25.2.4评标委员会认定招标文件存在歧义、重大缺陷导致评审工作无法进行。</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25.2.5 因</w:t>
      </w:r>
      <w:r>
        <w:rPr>
          <w:rFonts w:hint="eastAsia" w:ascii="宋体" w:hAnsi="宋体"/>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highlight w:val="none"/>
        </w:rPr>
      </w:r>
      <w:r/>
    </w:p>
    <w:p>
      <w:pPr>
        <w:ind w:left="479"/>
        <w:spacing w:line="400" w:lineRule="exact"/>
        <w:rPr>
          <w:rFonts w:hint="eastAsia" w:ascii="宋体" w:hAnsi="宋体"/>
          <w:bCs/>
          <w:sz w:val="24"/>
          <w:highlight w:val="none"/>
        </w:rPr>
      </w:pPr>
      <w:r>
        <w:rPr>
          <w:rFonts w:hint="eastAsia" w:ascii="宋体" w:hAnsi="宋体"/>
          <w:bCs/>
          <w:sz w:val="24"/>
          <w:highlight w:val="none"/>
        </w:rPr>
        <w:t xml:space="preserve">25.3 投标截止时间结束后参加投标的供应商不足三家的处理：</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25.3.1如出现投标截止时间结束后参加投标的供应商或者在评标期间对招标文件做出实质响应的供应商不足三家情况，按政府采购相关规定执行。</w:t>
      </w:r>
      <w:r>
        <w:rPr>
          <w:highlight w:val="none"/>
        </w:rPr>
      </w:r>
      <w:r/>
    </w:p>
    <w:p>
      <w:pPr>
        <w:pStyle w:val="927"/>
        <w:ind w:firstLine="482"/>
        <w:spacing w:before="145" w:after="145" w:line="400" w:lineRule="exact"/>
        <w:rPr>
          <w:rFonts w:hint="eastAsia"/>
          <w:highlight w:val="none"/>
        </w:rPr>
      </w:pPr>
      <w:r>
        <w:rPr>
          <w:highlight w:val="none"/>
        </w:rPr>
      </w:r>
      <w:bookmarkStart w:id="170" w:name="_Toc120614219"/>
      <w:r>
        <w:rPr>
          <w:rFonts w:hint="eastAsia"/>
          <w:highlight w:val="none"/>
        </w:rPr>
        <w:t xml:space="preserve">六、</w:t>
      </w:r>
      <w:bookmarkEnd w:id="167"/>
      <w:r>
        <w:rPr>
          <w:highlight w:val="none"/>
        </w:rPr>
      </w:r>
      <w:bookmarkEnd w:id="168"/>
      <w:r>
        <w:rPr>
          <w:highlight w:val="none"/>
        </w:rPr>
      </w:r>
      <w:bookmarkEnd w:id="169"/>
      <w:r>
        <w:rPr>
          <w:rFonts w:hint="eastAsia"/>
          <w:highlight w:val="none"/>
        </w:rPr>
        <w:t xml:space="preserve">定标</w:t>
      </w:r>
      <w:bookmarkEnd w:id="170"/>
      <w:r>
        <w:rPr>
          <w:highlight w:val="none"/>
        </w:rPr>
      </w:r>
      <w:r/>
    </w:p>
    <w:p>
      <w:pPr>
        <w:pStyle w:val="928"/>
        <w:ind w:firstLine="600"/>
        <w:spacing w:before="0" w:after="0" w:line="400" w:lineRule="exact"/>
        <w:rPr>
          <w:rFonts w:hint="eastAsia" w:ascii="黑体" w:hAnsi="宋体" w:cs="Times New Roman"/>
          <w:b w:val="0"/>
          <w:sz w:val="30"/>
          <w:szCs w:val="30"/>
          <w:highlight w:val="none"/>
        </w:rPr>
      </w:pPr>
      <w:r>
        <w:rPr>
          <w:highlight w:val="none"/>
        </w:rPr>
      </w:r>
      <w:bookmarkStart w:id="171" w:name="_Toc513029238"/>
      <w:r>
        <w:rPr>
          <w:highlight w:val="none"/>
        </w:rPr>
      </w:r>
      <w:bookmarkStart w:id="172" w:name="_Toc16938554"/>
      <w:r>
        <w:rPr>
          <w:highlight w:val="none"/>
        </w:rPr>
      </w:r>
      <w:bookmarkStart w:id="173" w:name="_Toc20823310"/>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6</w:t>
      </w:r>
      <w:r>
        <w:rPr>
          <w:rFonts w:hint="eastAsia" w:ascii="黑体" w:hAnsi="宋体" w:cs="Times New Roman"/>
          <w:b w:val="0"/>
          <w:sz w:val="30"/>
          <w:szCs w:val="30"/>
          <w:highlight w:val="none"/>
        </w:rPr>
        <w:t xml:space="preserve">、</w:t>
      </w:r>
      <w:bookmarkEnd w:id="171"/>
      <w:r>
        <w:rPr>
          <w:rFonts w:hint="eastAsia" w:ascii="黑体" w:hAnsi="宋体" w:cs="Times New Roman"/>
          <w:b w:val="0"/>
          <w:sz w:val="30"/>
          <w:szCs w:val="30"/>
          <w:highlight w:val="none"/>
        </w:rPr>
        <w:t xml:space="preserve">确定</w:t>
      </w:r>
      <w:bookmarkEnd w:id="172"/>
      <w:r>
        <w:rPr>
          <w:highlight w:val="none"/>
        </w:rPr>
      </w:r>
      <w:bookmarkEnd w:id="173"/>
      <w:r>
        <w:rPr>
          <w:rFonts w:hint="eastAsia" w:ascii="黑体" w:hAnsi="宋体" w:cs="Times New Roman"/>
          <w:b w:val="0"/>
          <w:sz w:val="30"/>
          <w:szCs w:val="30"/>
          <w:highlight w:val="none"/>
        </w:rPr>
        <w:t xml:space="preserve">中标单位</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26.1中标候选人的选取原则和数量见招标文件第五章规定。 </w:t>
      </w:r>
      <w:r>
        <w:rPr>
          <w:highlight w:val="none"/>
        </w:rPr>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26.2 采购人应根据评委会推荐的中标候选人确定中标供应商。</w:t>
      </w:r>
      <w:r>
        <w:rPr>
          <w:highlight w:val="none"/>
        </w:rPr>
      </w:r>
      <w:r/>
    </w:p>
    <w:p>
      <w:pPr>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26.3 </w:t>
      </w:r>
      <w:r>
        <w:rPr>
          <w:rFonts w:hint="eastAsia" w:ascii="宋体" w:hAnsi="宋体"/>
          <w:sz w:val="24"/>
          <w:szCs w:val="24"/>
          <w:highlight w:val="none"/>
        </w:rPr>
        <w:t xml:space="preserve">采购中心将在“江苏政府采购网”发布中标公告，公告期限为1个工作日。</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  若有充分证据证明，中标供应商出现下列情况之一的，一经查实，将被取消中标资格：</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26.4.1提供虚假材料谋取中标的。</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26.4.2向采购人、采购中心行贿或者提供其他不正当利益的。</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26.4.3属于本文件规定的无效条件，但在评标过程中又未被评委会发现的。</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26.4.4与采购人或者其他供应商恶意串通的。</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26.4.5采取不正当手段诋毁、排挤其他供应商的。</w:t>
      </w:r>
      <w:r>
        <w:rPr>
          <w:highlight w:val="none"/>
        </w:rPr>
      </w:r>
      <w:r/>
    </w:p>
    <w:p>
      <w:pPr>
        <w:ind w:firstLine="480"/>
        <w:spacing w:line="400" w:lineRule="exact"/>
        <w:rPr>
          <w:rFonts w:ascii="宋体" w:hAnsi="宋体"/>
          <w:sz w:val="24"/>
          <w:szCs w:val="24"/>
          <w:highlight w:val="none"/>
        </w:rPr>
      </w:pPr>
      <w:r>
        <w:rPr>
          <w:highlight w:val="none"/>
        </w:rPr>
      </w:r>
      <w:bookmarkStart w:id="174" w:name="_Toc200451960"/>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.5.1不同投标人的投标文件由同一单位或者个人编制。</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.5.2不同投标人委托同一单位或者个人办理投标事宜。</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.5.3 不同投标人的投标文件载明的项目管理成员或者联系人员为同一人。</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.5.4不同投标人的投标文件异常一致或者投标报价呈规律性差异。</w:t>
      </w:r>
      <w:r>
        <w:rPr>
          <w:highlight w:val="none"/>
        </w:rPr>
      </w:r>
      <w:r/>
    </w:p>
    <w:p>
      <w:pPr>
        <w:pStyle w:val="92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7</w:t>
      </w:r>
      <w:r>
        <w:rPr>
          <w:rFonts w:hint="eastAsia" w:ascii="黑体" w:hAnsi="宋体" w:cs="Times New Roman"/>
          <w:b w:val="0"/>
          <w:sz w:val="30"/>
          <w:szCs w:val="30"/>
          <w:highlight w:val="none"/>
        </w:rPr>
        <w:t xml:space="preserve">、质疑处理</w:t>
      </w:r>
      <w:bookmarkEnd w:id="174"/>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highlight w:val="none"/>
        </w:rPr>
        <w:t xml:space="preserve">7</w:t>
      </w:r>
      <w:r>
        <w:rPr>
          <w:rFonts w:hint="eastAsia" w:ascii="宋体" w:hAnsi="宋体"/>
          <w:sz w:val="24"/>
          <w:szCs w:val="24"/>
          <w:highlight w:val="none"/>
        </w:rPr>
        <w:t xml:space="preserve">.4条款的规定向采购中心或采购人提出质疑。上述应知其权益受到损害之日，是指：</w:t>
      </w:r>
      <w:r>
        <w:rPr>
          <w:highlight w:val="none"/>
        </w:rPr>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highlight w:val="none"/>
        </w:rPr>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highlight w:val="none"/>
        </w:rPr>
      </w:r>
      <w:r/>
    </w:p>
    <w:p>
      <w:pPr>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rPr>
          <w:highlight w:val="none"/>
        </w:rPr>
      </w:r>
      <w:r/>
    </w:p>
    <w:p>
      <w:pPr>
        <w:ind w:firstLine="480"/>
        <w:spacing w:line="40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firstLine="480"/>
        <w:spacing w:line="400" w:lineRule="exact"/>
        <w:rPr>
          <w:rFonts w:hint="eastAsia" w:ascii="宋体" w:hAnsi="宋体"/>
          <w:b/>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采购中心及采购人只接收以纸质原件形式送达的质疑,建议供应商尽量通过邮寄方式提交质疑（采购人和采购中心不接受无快递运单号的快递）。</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.5 以下情形的质疑不予受理</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27.5.1 内容不符合《政府采购质疑和投诉办法》第十二条规定的质疑。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27.5.2 超出政府采购法定期限的质疑。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27.5.3 以传真、电子邮件等方式递交的非原件形式的质疑。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27.5.4 未参加投标活动的供应商或在投标活动中自身权益未受到损害的供应商所提出的质疑。</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27.5.5供应商组成联合体参加投标，联合体中任何一方或多方未按要求签字、盖章、加盖公章的质疑。</w:t>
      </w:r>
      <w:r>
        <w:rPr>
          <w:highlight w:val="none"/>
        </w:rPr>
      </w:r>
      <w:r/>
    </w:p>
    <w:p>
      <w:pPr>
        <w:ind w:firstLine="468"/>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92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8</w:t>
      </w:r>
      <w:r>
        <w:rPr>
          <w:rFonts w:hint="eastAsia" w:ascii="黑体" w:hAnsi="宋体" w:cs="Times New Roman"/>
          <w:b w:val="0"/>
          <w:sz w:val="30"/>
          <w:szCs w:val="30"/>
          <w:highlight w:val="none"/>
        </w:rPr>
        <w:t xml:space="preserve">、中标通知书</w:t>
      </w:r>
      <w:r>
        <w:rPr>
          <w:highlight w:val="none"/>
        </w:rPr>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pStyle w:val="927"/>
        <w:spacing w:before="145" w:after="145" w:line="400" w:lineRule="exact"/>
        <w:rPr>
          <w:rFonts w:hint="eastAsia"/>
          <w:highlight w:val="none"/>
        </w:rPr>
      </w:pPr>
      <w:r>
        <w:rPr>
          <w:highlight w:val="none"/>
        </w:rPr>
      </w:r>
      <w:bookmarkStart w:id="175" w:name="_Toc120614220"/>
      <w:r>
        <w:rPr>
          <w:highlight w:val="none"/>
        </w:rPr>
      </w:r>
      <w:bookmarkStart w:id="176" w:name="_Toc513029236"/>
      <w:r>
        <w:rPr>
          <w:highlight w:val="none"/>
        </w:rPr>
      </w:r>
      <w:bookmarkStart w:id="177" w:name="_Toc16938552"/>
      <w:r>
        <w:rPr>
          <w:highlight w:val="none"/>
        </w:rPr>
      </w:r>
      <w:bookmarkStart w:id="178" w:name="_Toc20823308"/>
      <w:r>
        <w:rPr>
          <w:rFonts w:hint="eastAsia"/>
          <w:highlight w:val="none"/>
        </w:rPr>
        <w:t xml:space="preserve">七、授予合同</w:t>
      </w:r>
      <w:bookmarkEnd w:id="175"/>
      <w:r>
        <w:rPr>
          <w:highlight w:val="none"/>
        </w:rPr>
      </w:r>
      <w:bookmarkEnd w:id="176"/>
      <w:r/>
      <w:bookmarkEnd w:id="177"/>
      <w:r/>
      <w:bookmarkEnd w:id="178"/>
      <w:r>
        <w:rPr>
          <w:highlight w:val="none"/>
        </w:rPr>
      </w:r>
      <w:r/>
    </w:p>
    <w:p>
      <w:pPr>
        <w:pStyle w:val="928"/>
        <w:ind w:firstLine="600"/>
        <w:spacing w:before="0" w:after="0" w:line="400" w:lineRule="exact"/>
        <w:rPr>
          <w:rFonts w:hint="eastAsia" w:ascii="黑体" w:hAnsi="宋体" w:cs="Times New Roman"/>
          <w:b w:val="0"/>
          <w:sz w:val="30"/>
          <w:szCs w:val="30"/>
          <w:highlight w:val="none"/>
        </w:rPr>
      </w:pPr>
      <w:r>
        <w:rPr>
          <w:highlight w:val="none"/>
        </w:rPr>
      </w:r>
      <w:bookmarkStart w:id="179" w:name="_Toc16938553"/>
      <w:r>
        <w:rPr>
          <w:highlight w:val="none"/>
        </w:rPr>
      </w:r>
      <w:bookmarkStart w:id="180" w:name="_Toc513029237"/>
      <w:r>
        <w:rPr>
          <w:highlight w:val="none"/>
        </w:rPr>
      </w:r>
      <w:bookmarkStart w:id="181" w:name="_Toc20823309"/>
      <w:r>
        <w:rPr>
          <w:rFonts w:ascii="黑体" w:hAnsi="宋体" w:cs="Times New Roman"/>
          <w:b w:val="0"/>
          <w:sz w:val="30"/>
          <w:szCs w:val="30"/>
          <w:highlight w:val="none"/>
        </w:rPr>
        <w:t xml:space="preserve">29</w:t>
      </w:r>
      <w:r>
        <w:rPr>
          <w:rFonts w:hint="eastAsia" w:ascii="黑体" w:hAnsi="宋体" w:cs="Times New Roman"/>
          <w:b w:val="0"/>
          <w:sz w:val="30"/>
          <w:szCs w:val="30"/>
          <w:highlight w:val="none"/>
        </w:rPr>
        <w:t xml:space="preserve">、签订合同</w:t>
      </w:r>
      <w:r>
        <w:rPr>
          <w:highlight w:val="none"/>
        </w:rPr>
      </w:r>
      <w:r/>
    </w:p>
    <w:p>
      <w:pPr>
        <w:ind w:firstLine="600"/>
        <w:spacing w:line="400" w:lineRule="exact"/>
        <w:rPr>
          <w:rFonts w:hint="eastAsia" w:ascii="宋体" w:hAnsi="宋体"/>
          <w:sz w:val="24"/>
          <w:szCs w:val="24"/>
          <w:highlight w:val="none"/>
        </w:rPr>
      </w:pPr>
      <w:r>
        <w:rPr>
          <w:rFonts w:hint="eastAsia" w:ascii="宋体" w:hAnsi="宋体"/>
          <w:bCs/>
          <w:sz w:val="24"/>
          <w:szCs w:val="24"/>
          <w:highlight w:val="none"/>
        </w:rPr>
        <w:t xml:space="preserve">29.</w:t>
      </w:r>
      <w:r>
        <w:rPr>
          <w:rFonts w:hint="eastAsia" w:ascii="宋体" w:hAnsi="宋体"/>
          <w:sz w:val="24"/>
          <w:szCs w:val="24"/>
          <w:highlight w:val="none"/>
        </w:rPr>
        <w:t xml:space="preserve">l中标供应商应当在中标通知书发出之日起三十日内，按照招标文件确定的事项与采购人签订政府采购合同。</w:t>
      </w:r>
      <w:r>
        <w:rPr>
          <w:highlight w:val="none"/>
        </w:rPr>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招标文件、中标供应商的投标文件及招标过程中有关澄清、承诺文件均应作为合同附件。</w:t>
      </w:r>
      <w:r>
        <w:rPr>
          <w:highlight w:val="none"/>
        </w:rPr>
      </w:r>
      <w:r/>
    </w:p>
    <w:p>
      <w:pPr>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r/>
    </w:p>
    <w:p>
      <w:pPr>
        <w:pStyle w:val="92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0</w:t>
      </w:r>
      <w:r>
        <w:rPr>
          <w:rFonts w:hint="eastAsia" w:ascii="黑体" w:hAnsi="宋体" w:cs="Times New Roman"/>
          <w:b w:val="0"/>
          <w:sz w:val="30"/>
          <w:szCs w:val="30"/>
          <w:highlight w:val="none"/>
        </w:rPr>
        <w:t xml:space="preserve">、服务（包含与服务相关的货物）的追加</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9"/>
      <w:r/>
      <w:bookmarkEnd w:id="180"/>
      <w:r/>
      <w:bookmarkEnd w:id="181"/>
      <w:r>
        <w:rPr>
          <w:highlight w:val="none"/>
        </w:rPr>
      </w:r>
      <w:r/>
    </w:p>
    <w:p>
      <w:pPr>
        <w:pStyle w:val="928"/>
        <w:ind w:firstLine="600"/>
        <w:spacing w:before="0" w:after="0" w:line="400" w:lineRule="exact"/>
        <w:rPr>
          <w:rFonts w:ascii="黑体" w:hAnsi="宋体" w:cs="Times New Roman"/>
          <w:b w:val="0"/>
          <w:sz w:val="30"/>
          <w:szCs w:val="30"/>
          <w:highlight w:val="none"/>
        </w:rPr>
      </w:pPr>
      <w:r>
        <w:rPr>
          <w:highlight w:val="none"/>
        </w:rPr>
      </w:r>
      <w:bookmarkStart w:id="182" w:name="_Toc479757207"/>
      <w:r>
        <w:rPr>
          <w:highlight w:val="none"/>
        </w:rPr>
      </w:r>
      <w:bookmarkStart w:id="183" w:name="_Toc120614221"/>
      <w:r>
        <w:rPr>
          <w:highlight w:val="none"/>
        </w:rPr>
      </w:r>
      <w:bookmarkStart w:id="184" w:name="_Toc513029242"/>
      <w:r>
        <w:rPr>
          <w:highlight w:val="none"/>
        </w:rPr>
      </w:r>
      <w:bookmarkStart w:id="185" w:name="_Toc16938558"/>
      <w:r>
        <w:rPr>
          <w:highlight w:val="none"/>
        </w:rPr>
      </w:r>
      <w:bookmarkStart w:id="186" w:name="_Toc20823314"/>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1</w:t>
      </w:r>
      <w:r>
        <w:rPr>
          <w:rFonts w:hint="eastAsia" w:ascii="黑体" w:hAnsi="宋体" w:cs="Times New Roman"/>
          <w:b w:val="0"/>
          <w:sz w:val="30"/>
          <w:szCs w:val="30"/>
          <w:highlight w:val="none"/>
        </w:rPr>
        <w:t xml:space="preserve">、政府采购履约资金扶持政策</w:t>
      </w:r>
      <w:r>
        <w:rPr>
          <w:highlight w:val="none"/>
        </w:rPr>
      </w:r>
      <w:r/>
    </w:p>
    <w:p>
      <w:pPr>
        <w:pStyle w:val="936"/>
        <w:spacing w:line="400" w:lineRule="exact"/>
        <w:rPr>
          <w:rFonts w:hint="eastAsia" w:ascii="宋体" w:hAnsi="宋体"/>
          <w:bCs/>
          <w:sz w:val="24"/>
          <w:highlight w:val="none"/>
        </w:rPr>
      </w:pPr>
      <w:r>
        <w:rPr>
          <w:rFonts w:hint="eastAsia" w:ascii="宋体" w:hAnsi="宋体"/>
          <w:bCs/>
          <w:sz w:val="24"/>
          <w:highlight w:val="none"/>
        </w:rPr>
        <w:t xml:space="preserve">中标供应商可凭政府采购合同办理融资贷款，详情请见江苏政府采购网“政采贷”专栏。</w:t>
      </w:r>
      <w:r>
        <w:rPr>
          <w:highlight w:val="none"/>
        </w:rPr>
      </w:r>
      <w:r/>
    </w:p>
    <w:p>
      <w:pPr>
        <w:pStyle w:val="936"/>
        <w:spacing w:line="400" w:lineRule="exact"/>
        <w:rPr>
          <w:rFonts w:hint="eastAsia" w:ascii="宋体" w:hAnsi="宋体"/>
          <w:bCs/>
          <w:sz w:val="24"/>
          <w:highlight w:val="none"/>
        </w:rPr>
      </w:pPr>
      <w:r>
        <w:rPr>
          <w:rFonts w:hint="eastAsia" w:ascii="宋体" w:hAnsi="宋体"/>
          <w:bCs/>
          <w:sz w:val="24"/>
          <w:highlight w:val="none"/>
        </w:rPr>
      </w:r>
      <w:r>
        <w:rPr>
          <w:highlight w:val="none"/>
        </w:rPr>
      </w:r>
      <w:r/>
    </w:p>
    <w:p>
      <w:pPr>
        <w:pStyle w:val="936"/>
        <w:spacing w:line="400" w:lineRule="exact"/>
        <w:rPr>
          <w:rFonts w:hint="eastAsia" w:ascii="宋体" w:hAnsi="宋体"/>
          <w:bCs/>
          <w:sz w:val="24"/>
          <w:highlight w:val="none"/>
        </w:rPr>
      </w:pPr>
      <w:r>
        <w:rPr>
          <w:rFonts w:hint="eastAsia" w:ascii="宋体" w:hAnsi="宋体"/>
          <w:bCs/>
          <w:sz w:val="24"/>
          <w:highlight w:val="none"/>
        </w:rPr>
      </w:r>
      <w:r>
        <w:rPr>
          <w:highlight w:val="none"/>
        </w:rPr>
      </w:r>
      <w:r/>
    </w:p>
    <w:p>
      <w:pPr>
        <w:pStyle w:val="936"/>
        <w:spacing w:line="40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5"/>
        <w:jc w:val="center"/>
        <w:rPr>
          <w:rFonts w:hint="eastAsia" w:ascii="黑体" w:eastAsia="黑体"/>
          <w:bCs/>
          <w:sz w:val="44"/>
          <w:highlight w:val="none"/>
        </w:rPr>
      </w:pPr>
      <w:r>
        <w:rPr>
          <w:rFonts w:hint="eastAsia" w:ascii="黑体" w:eastAsia="黑体"/>
          <w:bCs/>
          <w:sz w:val="44"/>
          <w:highlight w:val="none"/>
        </w:rPr>
        <w:t xml:space="preserve">第三章  合同</w:t>
      </w:r>
      <w:bookmarkEnd w:id="182"/>
      <w:r>
        <w:rPr>
          <w:highlight w:val="none"/>
        </w:rPr>
      </w:r>
      <w:bookmarkEnd w:id="183"/>
      <w:r>
        <w:rPr>
          <w:highlight w:val="none"/>
        </w:rPr>
      </w:r>
      <w:bookmarkEnd w:id="184"/>
      <w:r>
        <w:rPr>
          <w:highlight w:val="none"/>
        </w:rPr>
      </w:r>
      <w:bookmarkEnd w:id="185"/>
      <w:r>
        <w:rPr>
          <w:highlight w:val="none"/>
        </w:rPr>
      </w:r>
      <w:bookmarkEnd w:id="186"/>
      <w:r>
        <w:rPr>
          <w:rFonts w:hint="eastAsia" w:ascii="黑体" w:eastAsia="黑体"/>
          <w:bCs/>
          <w:sz w:val="44"/>
          <w:highlight w:val="none"/>
        </w:rPr>
        <w:t xml:space="preserve">文本</w:t>
      </w:r>
      <w:r>
        <w:rPr>
          <w:highlight w:val="none"/>
        </w:rPr>
      </w:r>
      <w:r/>
    </w:p>
    <w:p>
      <w:pPr>
        <w:jc w:val="center"/>
        <w:spacing w:before="145" w:after="145"/>
        <w:rPr>
          <w:rFonts w:hint="eastAsia" w:ascii="宋体" w:hAnsi="宋体"/>
          <w:b/>
          <w:sz w:val="30"/>
          <w:highlight w:val="none"/>
        </w:rPr>
        <w:outlineLvl w:val="0"/>
      </w:pPr>
      <w:r>
        <w:rPr>
          <w:highlight w:val="none"/>
        </w:rPr>
      </w:r>
      <w:bookmarkStart w:id="187" w:name="_Toc513029243"/>
      <w:r>
        <w:rPr>
          <w:highlight w:val="none"/>
        </w:rPr>
      </w:r>
      <w:bookmarkStart w:id="188" w:name="_Toc16938559"/>
      <w:r>
        <w:rPr>
          <w:highlight w:val="none"/>
        </w:rPr>
      </w:r>
      <w:bookmarkStart w:id="189" w:name="_Toc20823315"/>
      <w:r>
        <w:rPr>
          <w:highlight w:val="none"/>
        </w:rPr>
      </w:r>
      <w:r/>
    </w:p>
    <w:p>
      <w:pPr>
        <w:jc w:val="center"/>
        <w:spacing w:before="145" w:after="145"/>
        <w:rPr>
          <w:rFonts w:ascii="宋体" w:hAnsi="宋体"/>
          <w:b/>
          <w:bCs/>
          <w:sz w:val="30"/>
          <w:szCs w:val="20"/>
          <w:highlight w:val="none"/>
        </w:rPr>
        <w:outlineLvl w:val="0"/>
      </w:pPr>
      <w:r>
        <w:rPr>
          <w:rFonts w:hint="eastAsia" w:ascii="宋体" w:hAnsi="宋体"/>
          <w:b/>
          <w:sz w:val="30"/>
          <w:highlight w:val="none"/>
        </w:rPr>
        <w:t xml:space="preserve">江苏省政府采购合同（服务）（合同编号）</w:t>
      </w:r>
      <w:r>
        <w:rPr>
          <w:highlight w:val="none"/>
        </w:rPr>
      </w: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highlight w:val="none"/>
        </w:rPr>
      </w:r>
      <w:r/>
    </w:p>
    <w:p>
      <w:pPr>
        <w:spacing w:before="120" w:after="120"/>
        <w:rPr>
          <w:rFonts w:ascii="宋体" w:hAnsi="宋体" w:cs="Courier New"/>
          <w:color w:val="ff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ff0000"/>
          <w:sz w:val="24"/>
          <w:szCs w:val="24"/>
          <w:highlight w:val="none"/>
        </w:rPr>
        <w:t xml:space="preserve"> </w:t>
      </w:r>
      <w:r>
        <w:rPr>
          <w:highlight w:val="none"/>
        </w:rPr>
      </w:r>
      <w:r/>
    </w:p>
    <w:p>
      <w:pPr>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采购包号：*</w:t>
      </w:r>
      <w:r>
        <w:rPr>
          <w:rFonts w:ascii="宋体" w:hAnsi="宋体" w:cs="Courier New"/>
          <w:sz w:val="24"/>
          <w:szCs w:val="24"/>
          <w:highlight w:val="none"/>
        </w:rPr>
        <w:t xml:space="preserve">****</w:t>
      </w:r>
      <w:r>
        <w:rPr>
          <w:highlight w:val="none"/>
        </w:rPr>
      </w:r>
      <w:r/>
    </w:p>
    <w:p>
      <w:pPr>
        <w:pStyle w:val="949"/>
        <w:spacing w:before="120" w:after="120"/>
        <w:rPr>
          <w:rFonts w:hAnsi="宋体"/>
          <w:sz w:val="24"/>
          <w:szCs w:val="24"/>
          <w:highlight w:val="none"/>
        </w:rPr>
      </w:pPr>
      <w:r>
        <w:rPr>
          <w:rFonts w:hAnsi="宋体"/>
          <w:sz w:val="24"/>
          <w:szCs w:val="24"/>
          <w:highlight w:val="none"/>
        </w:rPr>
        <w:t xml:space="preserve">甲方：（买方</w:t>
      </w:r>
      <w:r>
        <w:rPr>
          <w:rFonts w:hint="eastAsia" w:hAnsi="宋体"/>
          <w:sz w:val="24"/>
          <w:szCs w:val="24"/>
          <w:highlight w:val="none"/>
        </w:rPr>
        <w:t xml:space="preserve">/采购人</w:t>
      </w:r>
      <w:r>
        <w:rPr>
          <w:rFonts w:hAnsi="宋体"/>
          <w:sz w:val="24"/>
          <w:szCs w:val="24"/>
          <w:highlight w:val="none"/>
        </w:rPr>
        <w:t xml:space="preserve">）_________</w:t>
      </w:r>
      <w:r>
        <w:rPr>
          <w:highlight w:val="none"/>
        </w:rPr>
      </w:r>
      <w:r/>
    </w:p>
    <w:p>
      <w:pPr>
        <w:pStyle w:val="949"/>
        <w:spacing w:before="120" w:after="120"/>
        <w:rPr>
          <w:rFonts w:hint="eastAsia" w:hAnsi="宋体"/>
          <w:sz w:val="24"/>
          <w:szCs w:val="24"/>
          <w:highlight w:val="none"/>
        </w:rPr>
      </w:pPr>
      <w:r>
        <w:rPr>
          <w:rFonts w:hAnsi="宋体"/>
          <w:sz w:val="24"/>
          <w:szCs w:val="24"/>
          <w:highlight w:val="none"/>
        </w:rPr>
        <w:t xml:space="preserve">乙方：（卖方</w:t>
      </w:r>
      <w:r>
        <w:rPr>
          <w:rFonts w:hint="eastAsia" w:hAnsi="宋体"/>
          <w:sz w:val="24"/>
          <w:szCs w:val="24"/>
          <w:highlight w:val="none"/>
        </w:rPr>
        <w:t xml:space="preserve">/中标</w:t>
      </w:r>
      <w:r>
        <w:rPr>
          <w:rFonts w:hAnsi="宋体"/>
          <w:sz w:val="24"/>
          <w:szCs w:val="24"/>
          <w:highlight w:val="none"/>
        </w:rPr>
        <w:t xml:space="preserve">供应商）_________</w:t>
      </w:r>
      <w:r>
        <w:rPr>
          <w:highlight w:val="none"/>
        </w:rPr>
      </w:r>
      <w:r/>
    </w:p>
    <w:p>
      <w:pPr>
        <w:pStyle w:val="949"/>
        <w:spacing w:before="120" w:after="120"/>
        <w:rPr>
          <w:rFonts w:hAnsi="宋体"/>
          <w:b/>
          <w:sz w:val="24"/>
          <w:szCs w:val="24"/>
          <w:highlight w:val="none"/>
        </w:rPr>
      </w:pPr>
      <w:r>
        <w:rPr>
          <w:rFonts w:hAnsi="宋体"/>
          <w:b/>
          <w:sz w:val="24"/>
          <w:szCs w:val="24"/>
          <w:highlight w:val="none"/>
        </w:rPr>
        <w:t xml:space="preserve">   </w:t>
      </w:r>
      <w:r>
        <w:rPr>
          <w:rFonts w:hAnsi="宋体"/>
          <w:sz w:val="24"/>
          <w:szCs w:val="24"/>
          <w:highlight w:val="none"/>
        </w:rPr>
        <w:t xml:space="preserve">甲、乙双方根据</w:t>
      </w:r>
      <w:r>
        <w:rPr>
          <w:rFonts w:hint="eastAsia" w:hAnsi="宋体"/>
          <w:sz w:val="24"/>
          <w:szCs w:val="24"/>
          <w:highlight w:val="none"/>
        </w:rPr>
        <w:t xml:space="preserve">江苏省政府采购中心</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rPr>
          <w:highlight w:val="none"/>
        </w:rPr>
      </w:r>
      <w:r/>
    </w:p>
    <w:p>
      <w:pPr>
        <w:pStyle w:val="949"/>
        <w:spacing w:before="120" w:after="120"/>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rPr>
          <w:highlight w:val="none"/>
        </w:rPr>
      </w:r>
      <w:r/>
    </w:p>
    <w:p>
      <w:pPr>
        <w:pStyle w:val="949"/>
        <w:spacing w:before="120" w:after="120"/>
        <w:rPr>
          <w:rFonts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rPr>
          <w:highlight w:val="none"/>
        </w:rPr>
      </w:r>
      <w:r/>
    </w:p>
    <w:p>
      <w:pPr>
        <w:pStyle w:val="949"/>
        <w:spacing w:before="120" w:after="120"/>
        <w:rPr>
          <w:rFonts w:hint="eastAsia"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rPr>
          <w:highlight w:val="none"/>
        </w:rPr>
      </w:r>
      <w:r/>
    </w:p>
    <w:p>
      <w:pPr>
        <w:pStyle w:val="949"/>
        <w:spacing w:before="120" w:after="120"/>
        <w:rPr>
          <w:rFonts w:hint="eastAsia" w:hAnsi="宋体"/>
          <w:sz w:val="24"/>
          <w:szCs w:val="24"/>
          <w:highlight w:val="none"/>
        </w:rPr>
      </w:pPr>
      <w:r>
        <w:rPr>
          <w:rFonts w:hint="eastAsia" w:hAnsi="宋体"/>
          <w:sz w:val="24"/>
          <w:szCs w:val="24"/>
          <w:highlight w:val="none"/>
        </w:rPr>
        <w:t xml:space="preserve">1.3 标的数量（规模）：</w:t>
      </w:r>
      <w:r>
        <w:rPr>
          <w:highlight w:val="none"/>
        </w:rPr>
      </w:r>
      <w:r/>
    </w:p>
    <w:p>
      <w:pPr>
        <w:pStyle w:val="949"/>
        <w:spacing w:before="120" w:after="120"/>
        <w:rPr>
          <w:rFonts w:hint="eastAsia" w:hAnsi="宋体"/>
          <w:sz w:val="24"/>
          <w:szCs w:val="24"/>
          <w:highlight w:val="none"/>
        </w:rPr>
      </w:pPr>
      <w:r>
        <w:rPr>
          <w:rFonts w:hint="eastAsia" w:hAnsi="宋体"/>
          <w:sz w:val="24"/>
          <w:szCs w:val="24"/>
          <w:highlight w:val="none"/>
        </w:rPr>
        <w:t xml:space="preserve">1.4 履行时间（期限）：</w:t>
      </w:r>
      <w:r>
        <w:rPr>
          <w:highlight w:val="none"/>
        </w:rPr>
      </w:r>
      <w:r/>
    </w:p>
    <w:p>
      <w:pPr>
        <w:pStyle w:val="949"/>
        <w:spacing w:before="120" w:after="120"/>
        <w:rPr>
          <w:rFonts w:hAnsi="宋体"/>
          <w:sz w:val="24"/>
          <w:szCs w:val="24"/>
          <w:highlight w:val="none"/>
        </w:rPr>
      </w:pPr>
      <w:r>
        <w:rPr>
          <w:rFonts w:hint="eastAsia" w:hAnsi="宋体"/>
          <w:sz w:val="24"/>
          <w:szCs w:val="24"/>
          <w:highlight w:val="none"/>
        </w:rPr>
        <w:t xml:space="preserve">1.5 履行地点：</w:t>
      </w:r>
      <w:r>
        <w:rPr>
          <w:highlight w:val="none"/>
        </w:rPr>
      </w:r>
      <w:r/>
    </w:p>
    <w:p>
      <w:pPr>
        <w:pStyle w:val="949"/>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w:t>
      </w:r>
      <w:r>
        <w:rPr>
          <w:rFonts w:hAnsi="宋体"/>
          <w:sz w:val="24"/>
          <w:szCs w:val="24"/>
          <w:highlight w:val="none"/>
        </w:rPr>
        <w:t xml:space="preserve"> </w:t>
      </w:r>
      <w:r>
        <w:rPr>
          <w:rFonts w:hint="eastAsia" w:hAnsi="宋体"/>
          <w:sz w:val="24"/>
          <w:szCs w:val="24"/>
          <w:highlight w:val="none"/>
        </w:rPr>
        <w:t xml:space="preserve">履行方式：</w:t>
      </w:r>
      <w:r>
        <w:rPr>
          <w:highlight w:val="none"/>
        </w:rPr>
      </w:r>
      <w:r/>
    </w:p>
    <w:p>
      <w:pPr>
        <w:pStyle w:val="949"/>
        <w:spacing w:before="120" w:after="120"/>
        <w:rPr>
          <w:rFonts w:hint="default" w:hAnsi="宋体" w:eastAsia="宋体"/>
          <w:sz w:val="24"/>
          <w:szCs w:val="24"/>
          <w:highlight w:val="none"/>
        </w:rPr>
      </w:pPr>
      <w:r>
        <w:rPr>
          <w:rFonts w:hint="eastAsia" w:hAnsi="宋体"/>
          <w:sz w:val="24"/>
          <w:szCs w:val="24"/>
          <w:highlight w:val="none"/>
          <w:lang w:val="en-US" w:eastAsia="zh-CN"/>
        </w:rPr>
        <w:t xml:space="preserve">1.7质量保证：建立质量管理体系并有效运行，物业管理服务能够接受质量审核；物业管理服务逐步达到接受创优评审条件；各项承诺指标及所采取的措施详见“招标文件”；其他物业管理服务质量要求按无锡市有关标准执行。</w:t>
      </w:r>
      <w:r>
        <w:rPr>
          <w:highlight w:val="none"/>
        </w:rPr>
      </w:r>
      <w:r/>
    </w:p>
    <w:p>
      <w:pPr>
        <w:pStyle w:val="949"/>
        <w:spacing w:before="120" w:after="120"/>
        <w:rPr>
          <w:rFonts w:hAnsi="宋体"/>
          <w:b/>
          <w:sz w:val="24"/>
          <w:szCs w:val="24"/>
          <w:highlight w:val="none"/>
        </w:rPr>
      </w:pPr>
      <w:r>
        <w:rPr>
          <w:rFonts w:hAnsi="宋体"/>
          <w:b/>
          <w:sz w:val="24"/>
          <w:szCs w:val="24"/>
          <w:highlight w:val="none"/>
        </w:rPr>
        <w:t xml:space="preserve">二、合同金额</w:t>
      </w:r>
      <w:r>
        <w:rPr>
          <w:highlight w:val="none"/>
        </w:rPr>
      </w:r>
      <w:r/>
    </w:p>
    <w:p>
      <w:pPr>
        <w:pStyle w:val="949"/>
        <w:ind w:left="410" w:hanging="410"/>
        <w:spacing w:before="120" w:after="120"/>
        <w:rPr>
          <w:rFonts w:hAnsi="宋体"/>
          <w:sz w:val="24"/>
          <w:szCs w:val="24"/>
          <w:highlight w:val="none"/>
        </w:rPr>
      </w:pPr>
      <w:r>
        <w:rPr>
          <w:rFonts w:hAnsi="宋体"/>
          <w:sz w:val="24"/>
          <w:szCs w:val="24"/>
          <w:highlight w:val="none"/>
        </w:rPr>
        <w:t xml:space="preserve">2.1 本合同金额为（大写）：________</w:t>
      </w:r>
      <w:r>
        <w:rPr>
          <w:rFonts w:hint="eastAsia" w:hAnsi="宋体"/>
          <w:sz w:val="24"/>
          <w:szCs w:val="24"/>
          <w:highlight w:val="none"/>
        </w:rPr>
        <w:t xml:space="preserve">圆</w:t>
      </w:r>
      <w:r>
        <w:rPr>
          <w:rFonts w:hAnsi="宋体"/>
          <w:sz w:val="24"/>
          <w:szCs w:val="24"/>
          <w:highlight w:val="none"/>
        </w:rPr>
        <w:t xml:space="preserve">（________元）人民币</w:t>
      </w:r>
      <w:r>
        <w:rPr>
          <w:rFonts w:hint="eastAsia" w:hAnsi="宋体"/>
          <w:sz w:val="24"/>
          <w:szCs w:val="24"/>
          <w:highlight w:val="none"/>
        </w:rPr>
        <w:t xml:space="preserve">或其他币种</w:t>
      </w:r>
      <w:r>
        <w:rPr>
          <w:rFonts w:hAnsi="宋体"/>
          <w:sz w:val="24"/>
          <w:szCs w:val="24"/>
          <w:highlight w:val="none"/>
        </w:rPr>
        <w:t xml:space="preserve">。</w:t>
      </w:r>
      <w:r>
        <w:rPr>
          <w:highlight w:val="none"/>
        </w:rPr>
      </w:r>
      <w:r/>
    </w:p>
    <w:p>
      <w:pPr>
        <w:pStyle w:val="949"/>
        <w:spacing w:before="120" w:after="120"/>
        <w:rPr>
          <w:rFonts w:hAnsi="宋体"/>
          <w:b/>
          <w:sz w:val="24"/>
          <w:szCs w:val="24"/>
          <w:highlight w:val="none"/>
        </w:rPr>
      </w:pPr>
      <w:r>
        <w:rPr>
          <w:rFonts w:hAnsi="宋体"/>
          <w:b/>
          <w:sz w:val="24"/>
          <w:szCs w:val="24"/>
          <w:highlight w:val="none"/>
        </w:rPr>
        <w:t xml:space="preserve">三、技术资料</w:t>
      </w:r>
      <w:r>
        <w:rPr>
          <w:highlight w:val="none"/>
        </w:rPr>
      </w:r>
      <w:r/>
    </w:p>
    <w:p>
      <w:pPr>
        <w:pStyle w:val="949"/>
        <w:ind w:left="410" w:hanging="410"/>
        <w:spacing w:before="120" w:after="120"/>
        <w:rPr>
          <w:rFonts w:hint="eastAsia" w:hAnsi="宋体"/>
          <w:sz w:val="24"/>
          <w:szCs w:val="24"/>
          <w:highlight w:val="none"/>
        </w:rPr>
      </w:pPr>
      <w:r>
        <w:rPr>
          <w:rFonts w:hAnsi="宋体"/>
          <w:sz w:val="24"/>
          <w:szCs w:val="24"/>
          <w:highlight w:val="none"/>
        </w:rPr>
        <w:t xml:space="preserve">3.1乙方应按招标文件规定的时间向甲方提供服务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rPr>
          <w:highlight w:val="none"/>
        </w:rPr>
      </w:r>
      <w:r/>
    </w:p>
    <w:p>
      <w:pPr>
        <w:pStyle w:val="949"/>
        <w:ind w:left="410" w:hanging="410"/>
        <w:spacing w:before="120" w:after="120"/>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949"/>
        <w:ind w:left="412" w:hanging="412"/>
        <w:spacing w:before="120" w:after="120"/>
        <w:rPr>
          <w:rFonts w:hAnsi="宋体"/>
          <w:b/>
          <w:sz w:val="24"/>
          <w:szCs w:val="24"/>
          <w:highlight w:val="none"/>
        </w:rPr>
      </w:pPr>
      <w:r>
        <w:rPr>
          <w:rFonts w:hAnsi="宋体"/>
          <w:b/>
          <w:sz w:val="24"/>
          <w:szCs w:val="24"/>
          <w:highlight w:val="none"/>
        </w:rPr>
        <w:t xml:space="preserve">四、知识产权</w:t>
      </w:r>
      <w:r>
        <w:rPr>
          <w:highlight w:val="none"/>
        </w:rPr>
      </w:r>
      <w:r/>
    </w:p>
    <w:p>
      <w:pPr>
        <w:pStyle w:val="949"/>
        <w:ind w:left="408" w:hanging="408"/>
        <w:spacing w:before="120" w:after="120"/>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r/>
    </w:p>
    <w:p>
      <w:pPr>
        <w:pStyle w:val="949"/>
        <w:spacing w:before="120" w:after="120"/>
        <w:rPr>
          <w:rFonts w:hAnsi="宋体"/>
          <w:sz w:val="24"/>
          <w:szCs w:val="24"/>
          <w:highlight w:val="none"/>
          <w:u w:val="single"/>
        </w:rPr>
      </w:pPr>
      <w:r>
        <w:rPr>
          <w:rFonts w:hAnsi="宋体"/>
          <w:b/>
          <w:sz w:val="24"/>
          <w:szCs w:val="24"/>
          <w:highlight w:val="none"/>
        </w:rPr>
        <w:t xml:space="preserve">五、产权担保</w:t>
      </w:r>
      <w:r>
        <w:rPr>
          <w:highlight w:val="none"/>
        </w:rPr>
      </w:r>
      <w:r/>
    </w:p>
    <w:p>
      <w:pPr>
        <w:pStyle w:val="949"/>
        <w:ind w:left="408" w:hanging="408"/>
        <w:spacing w:before="120" w:after="120"/>
        <w:rPr>
          <w:rFonts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rPr>
          <w:highlight w:val="none"/>
        </w:rPr>
      </w:r>
      <w:r/>
    </w:p>
    <w:p>
      <w:pPr>
        <w:pStyle w:val="949"/>
        <w:ind w:left="410" w:hanging="410"/>
        <w:spacing w:before="120" w:after="120"/>
        <w:rPr>
          <w:rFonts w:hAnsi="宋体"/>
          <w:b/>
          <w:sz w:val="24"/>
          <w:szCs w:val="24"/>
          <w:highlight w:val="none"/>
        </w:rPr>
      </w:pPr>
      <w:r>
        <w:rPr>
          <w:rFonts w:hAnsi="宋体"/>
          <w:b/>
          <w:sz w:val="24"/>
          <w:szCs w:val="24"/>
          <w:highlight w:val="none"/>
        </w:rPr>
        <w:t xml:space="preserve">六、履约保证金</w:t>
      </w:r>
      <w:r>
        <w:rPr>
          <w:highlight w:val="none"/>
        </w:rPr>
      </w:r>
      <w:r/>
    </w:p>
    <w:p>
      <w:pPr>
        <w:pStyle w:val="949"/>
        <w:ind w:left="408" w:hanging="408"/>
        <w:spacing w:before="120" w:after="120"/>
        <w:rPr>
          <w:rFonts w:hint="eastAsia" w:hAnsi="宋体" w:eastAsia="宋体"/>
          <w:sz w:val="24"/>
          <w:szCs w:val="24"/>
          <w:highlight w:val="none"/>
        </w:rPr>
      </w:pPr>
      <w:r>
        <w:rPr>
          <w:rFonts w:hAnsi="宋体"/>
          <w:sz w:val="24"/>
          <w:szCs w:val="24"/>
          <w:highlight w:val="none"/>
        </w:rPr>
        <w:t xml:space="preserve">6.1 </w:t>
      </w:r>
      <w:r>
        <w:rPr>
          <w:rFonts w:hint="eastAsia" w:ascii="宋体" w:hAnsi="宋体"/>
          <w:bCs/>
          <w:color w:val="auto"/>
          <w:sz w:val="24"/>
          <w:szCs w:val="24"/>
          <w:highlight w:val="none"/>
          <w:u w:val="single"/>
        </w:rPr>
        <w:t xml:space="preserve">合同签订后15个工作日内</w:t>
      </w:r>
      <w:r>
        <w:rPr>
          <w:rFonts w:hint="eastAsia" w:hAnsi="宋体"/>
          <w:bCs/>
          <w:color w:val="auto"/>
          <w:sz w:val="24"/>
          <w:szCs w:val="24"/>
          <w:highlight w:val="none"/>
          <w:u w:val="single"/>
          <w:lang w:eastAsia="zh-CN"/>
        </w:rPr>
        <w:t xml:space="preserve">，</w:t>
      </w:r>
      <w:r>
        <w:rPr>
          <w:rFonts w:hAnsi="宋体"/>
          <w:sz w:val="24"/>
          <w:szCs w:val="24"/>
          <w:highlight w:val="none"/>
        </w:rPr>
        <w:t xml:space="preserve">乙方交纳人民币_</w:t>
      </w:r>
      <w:r>
        <w:rPr>
          <w:rFonts w:hint="eastAsia" w:hAnsi="宋体"/>
          <w:sz w:val="24"/>
          <w:szCs w:val="24"/>
          <w:highlight w:val="none"/>
        </w:rPr>
        <w:t xml:space="preserve">30万元</w:t>
      </w:r>
      <w:r>
        <w:rPr>
          <w:rFonts w:hAnsi="宋体"/>
          <w:sz w:val="24"/>
          <w:szCs w:val="24"/>
          <w:highlight w:val="none"/>
        </w:rPr>
        <w:t xml:space="preserve">_元作为本合同的履约保证金。</w:t>
      </w:r>
      <w:r>
        <w:rPr>
          <w:rFonts w:hint="eastAsia" w:hAnsi="宋体"/>
          <w:sz w:val="24"/>
          <w:szCs w:val="24"/>
          <w:highlight w:val="none"/>
        </w:rPr>
        <w:t xml:space="preserve">（不得超过合同金额的10%）</w:t>
      </w:r>
      <w:r>
        <w:rPr>
          <w:rFonts w:hint="eastAsia" w:ascii="宋体" w:hAnsi="宋体" w:cs="宋体"/>
          <w:color w:val="auto"/>
          <w:sz w:val="24"/>
          <w:highlight w:val="none"/>
        </w:rPr>
        <w:t xml:space="preserve">缴纳形式：</w:t>
      </w:r>
      <w:r>
        <w:rPr>
          <w:rFonts w:hint="eastAsia" w:ascii="宋体" w:hAnsi="宋体"/>
          <w:bCs/>
          <w:color w:val="auto"/>
          <w:sz w:val="24"/>
          <w:szCs w:val="24"/>
          <w:highlight w:val="none"/>
          <w:u w:val="single"/>
        </w:rPr>
        <w:t xml:space="preserve">支票、汇票、本票、见索即付的银行保函</w:t>
      </w:r>
      <w:r>
        <w:rPr>
          <w:rFonts w:hint="eastAsia" w:hAnsi="宋体"/>
          <w:bCs/>
          <w:color w:val="auto"/>
          <w:sz w:val="24"/>
          <w:szCs w:val="24"/>
          <w:highlight w:val="none"/>
          <w:u w:val="single"/>
          <w:lang w:eastAsia="zh-CN"/>
        </w:rPr>
        <w:t xml:space="preserve">。</w:t>
      </w:r>
      <w:r>
        <w:rPr>
          <w:highlight w:val="none"/>
        </w:rPr>
      </w:r>
      <w:r/>
    </w:p>
    <w:p>
      <w:pPr>
        <w:pStyle w:val="949"/>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rPr>
          <w:highlight w:val="none"/>
        </w:rPr>
      </w:r>
      <w:r/>
    </w:p>
    <w:p>
      <w:pPr>
        <w:pStyle w:val="949"/>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rFonts w:hint="eastAsia" w:ascii="宋体" w:hAnsi="宋体"/>
          <w:bCs/>
          <w:color w:val="auto"/>
          <w:sz w:val="24"/>
          <w:szCs w:val="24"/>
          <w:highlight w:val="none"/>
          <w:u w:val="single"/>
        </w:rPr>
        <w:t xml:space="preserve">按缴纳方式原路退回</w:t>
      </w:r>
      <w:r>
        <w:rPr>
          <w:highlight w:val="none"/>
        </w:rPr>
      </w:r>
      <w:r/>
    </w:p>
    <w:p>
      <w:pPr>
        <w:pStyle w:val="949"/>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rFonts w:hint="eastAsia" w:ascii="宋体" w:hAnsi="宋体"/>
          <w:bCs/>
          <w:color w:val="auto"/>
          <w:sz w:val="24"/>
          <w:szCs w:val="24"/>
          <w:highlight w:val="none"/>
          <w:u w:val="single"/>
        </w:rPr>
        <w:t xml:space="preserve">合同三年服务履约完成后</w:t>
      </w:r>
      <w:r>
        <w:rPr>
          <w:highlight w:val="none"/>
        </w:rPr>
      </w:r>
      <w:r/>
    </w:p>
    <w:p>
      <w:pPr>
        <w:pStyle w:val="949"/>
        <w:ind w:left="408" w:hanging="408"/>
        <w:spacing w:before="120" w:after="120"/>
        <w:rPr>
          <w:rFonts w:hint="default" w:hAnsi="宋体" w:eastAsia="宋体"/>
          <w:sz w:val="24"/>
          <w:szCs w:val="24"/>
          <w:highlight w:val="none"/>
        </w:rPr>
      </w:pPr>
      <w:r>
        <w:rPr>
          <w:rFonts w:hint="eastAsia" w:hAnsi="宋体"/>
          <w:sz w:val="24"/>
          <w:szCs w:val="24"/>
          <w:highlight w:val="none"/>
        </w:rPr>
        <w:t xml:space="preserve">6.2.3履约保证金退还条件：</w:t>
      </w:r>
      <w:r>
        <w:rPr>
          <w:rFonts w:hint="eastAsia" w:ascii="宋体" w:hAnsi="宋体"/>
          <w:bCs/>
          <w:color w:val="auto"/>
          <w:sz w:val="24"/>
          <w:szCs w:val="24"/>
          <w:highlight w:val="none"/>
          <w:u w:val="single"/>
        </w:rPr>
        <w:t xml:space="preserve">合同三年服务履约完成后</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无其他违约情形</w:t>
      </w:r>
      <w:r>
        <w:rPr>
          <w:highlight w:val="none"/>
        </w:rPr>
      </w:r>
      <w:r/>
    </w:p>
    <w:p>
      <w:pPr>
        <w:pStyle w:val="949"/>
        <w:ind w:left="408" w:hanging="408"/>
        <w:spacing w:before="120" w:after="120"/>
        <w:rPr>
          <w:rFonts w:hAnsi="宋体"/>
          <w:sz w:val="24"/>
          <w:szCs w:val="24"/>
          <w:highlight w:val="none"/>
        </w:rPr>
      </w:pPr>
      <w:r>
        <w:rPr>
          <w:rFonts w:hint="eastAsia" w:hAnsi="宋体"/>
          <w:sz w:val="24"/>
          <w:szCs w:val="24"/>
          <w:highlight w:val="none"/>
        </w:rPr>
        <w:t xml:space="preserve">6.2.4履约保证金不予退还的情形：</w:t>
      </w:r>
      <w:r>
        <w:rPr>
          <w:rFonts w:hint="eastAsia" w:ascii="宋体" w:hAnsi="宋体"/>
          <w:bCs/>
          <w:color w:val="auto"/>
          <w:sz w:val="24"/>
          <w:szCs w:val="24"/>
          <w:highlight w:val="none"/>
          <w:u w:val="single"/>
        </w:rPr>
        <w:t xml:space="preserve">详见违约责任</w:t>
      </w:r>
      <w:r>
        <w:rPr>
          <w:highlight w:val="none"/>
        </w:rPr>
      </w:r>
      <w:r/>
    </w:p>
    <w:p>
      <w:pPr>
        <w:spacing w:before="120" w:after="120"/>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rPr>
          <w:highlight w:val="none"/>
        </w:rPr>
      </w:r>
      <w:r/>
    </w:p>
    <w:p>
      <w:pPr>
        <w:spacing w:before="145" w:after="145"/>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rPr>
          <w:highlight w:val="none"/>
        </w:rPr>
      </w:r>
      <w:r/>
    </w:p>
    <w:p>
      <w:pPr>
        <w:spacing w:before="145" w:after="145"/>
        <w:rPr>
          <w:rFonts w:hint="eastAsia" w:ascii="宋体" w:hAnsi="宋体"/>
          <w:sz w:val="24"/>
          <w:szCs w:val="24"/>
          <w:highlight w:val="none"/>
        </w:rPr>
      </w:pPr>
      <w:r>
        <w:rPr>
          <w:rFonts w:hint="eastAsia" w:ascii="宋体" w:hAnsi="宋体"/>
          <w:sz w:val="24"/>
          <w:szCs w:val="24"/>
          <w:highlight w:val="none"/>
        </w:rPr>
        <w:t xml:space="preserve">7.2乙方不得将合同标的分包给他人履行。</w:t>
      </w:r>
      <w:r>
        <w:rPr>
          <w:highlight w:val="none"/>
        </w:rPr>
      </w:r>
      <w:r/>
    </w:p>
    <w:p>
      <w:pPr>
        <w:spacing w:before="145" w:after="145"/>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rPr>
          <w:highlight w:val="none"/>
        </w:rPr>
      </w:r>
      <w:r/>
    </w:p>
    <w:p>
      <w:pPr>
        <w:pStyle w:val="949"/>
        <w:spacing w:before="120" w:after="120"/>
        <w:rPr>
          <w:rFonts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rPr>
          <w:highlight w:val="none"/>
        </w:rPr>
      </w:r>
      <w:r/>
    </w:p>
    <w:p>
      <w:pPr>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合同款项的支付方式及进度安排</w:t>
      </w:r>
      <w:r>
        <w:rPr>
          <w:highlight w:val="none"/>
        </w:rPr>
      </w:r>
      <w:r/>
    </w:p>
    <w:p>
      <w:pPr>
        <w:ind w:firstLine="480"/>
        <w:spacing w:before="145" w:after="145" w:line="360" w:lineRule="auto"/>
        <w:rPr>
          <w:rFonts w:hint="eastAsia" w:ascii="宋体" w:hAnsi="宋体" w:cs="Times New Roman"/>
          <w:sz w:val="24"/>
          <w:szCs w:val="24"/>
          <w:highlight w:val="none"/>
        </w:rPr>
      </w:pPr>
      <w:r>
        <w:rPr>
          <w:rFonts w:hint="eastAsia" w:ascii="宋体" w:hAnsi="宋体" w:cs="Times New Roman"/>
          <w:sz w:val="24"/>
          <w:szCs w:val="24"/>
          <w:highlight w:val="none"/>
        </w:rPr>
        <w:t xml:space="preserve">服务费用</w:t>
      </w:r>
      <w:r>
        <w:rPr>
          <w:rFonts w:hint="eastAsia" w:ascii="宋体" w:hAnsi="宋体" w:cs="Times New Roman"/>
          <w:sz w:val="24"/>
          <w:szCs w:val="24"/>
          <w:highlight w:val="none"/>
          <w:lang w:val="en-US" w:eastAsia="zh-CN"/>
        </w:rPr>
        <w:t xml:space="preserve">每三个月</w:t>
      </w:r>
      <w:r>
        <w:rPr>
          <w:rFonts w:hint="eastAsia" w:ascii="宋体" w:hAnsi="宋体" w:cs="Times New Roman"/>
          <w:sz w:val="24"/>
          <w:szCs w:val="24"/>
          <w:highlight w:val="none"/>
        </w:rPr>
        <w:t xml:space="preserve">支付</w:t>
      </w:r>
      <w:r>
        <w:rPr>
          <w:rFonts w:hint="eastAsia" w:ascii="宋体" w:hAnsi="宋体" w:cs="Times New Roman"/>
          <w:sz w:val="24"/>
          <w:szCs w:val="24"/>
          <w:highlight w:val="none"/>
          <w:lang w:val="en-US" w:eastAsia="zh-CN"/>
        </w:rPr>
        <w:t xml:space="preserve">一次</w:t>
      </w:r>
      <w:r>
        <w:rPr>
          <w:rFonts w:hint="eastAsia" w:ascii="宋体" w:hAnsi="宋体" w:cs="Times New Roman"/>
          <w:sz w:val="24"/>
          <w:szCs w:val="24"/>
          <w:highlight w:val="none"/>
        </w:rPr>
        <w:t xml:space="preserve">，</w:t>
      </w:r>
      <w:r>
        <w:rPr>
          <w:rFonts w:hint="eastAsia" w:ascii="宋体" w:hAnsi="宋体" w:cs="Times New Roman"/>
          <w:sz w:val="24"/>
          <w:szCs w:val="24"/>
          <w:highlight w:val="none"/>
          <w:lang w:val="en-US" w:eastAsia="zh-CN"/>
        </w:rPr>
        <w:t xml:space="preserve">付款周期（</w:t>
      </w:r>
      <w:r>
        <w:rPr>
          <w:rFonts w:hint="eastAsia" w:ascii="宋体" w:hAnsi="宋体" w:cs="Times New Roman"/>
          <w:sz w:val="24"/>
          <w:szCs w:val="24"/>
          <w:highlight w:val="none"/>
        </w:rPr>
        <w:t xml:space="preserve">三个月</w:t>
      </w:r>
      <w:r>
        <w:rPr>
          <w:rFonts w:hint="eastAsia" w:ascii="宋体" w:hAnsi="宋体" w:cs="Times New Roman"/>
          <w:sz w:val="24"/>
          <w:szCs w:val="24"/>
          <w:highlight w:val="none"/>
          <w:lang w:val="en-US" w:eastAsia="zh-CN"/>
        </w:rPr>
        <w:t xml:space="preserve">）内的</w:t>
      </w:r>
      <w:r>
        <w:rPr>
          <w:rFonts w:hint="eastAsia" w:ascii="宋体" w:hAnsi="宋体" w:cs="Times New Roman"/>
          <w:sz w:val="24"/>
          <w:szCs w:val="24"/>
          <w:highlight w:val="none"/>
        </w:rPr>
        <w:t xml:space="preserve">测评平均分达到90分及以上，学校全额支付</w:t>
      </w:r>
      <w:r>
        <w:rPr>
          <w:rFonts w:hint="eastAsia" w:ascii="宋体" w:hAnsi="宋体" w:cs="Times New Roman"/>
          <w:sz w:val="24"/>
          <w:szCs w:val="24"/>
          <w:highlight w:val="none"/>
          <w:lang w:val="en-US" w:eastAsia="zh-CN"/>
        </w:rPr>
        <w:t xml:space="preserve">该期（三个月）服务</w:t>
      </w:r>
      <w:r>
        <w:rPr>
          <w:rFonts w:hint="eastAsia" w:ascii="宋体" w:hAnsi="宋体" w:cs="Times New Roman"/>
          <w:sz w:val="24"/>
          <w:szCs w:val="24"/>
          <w:highlight w:val="none"/>
        </w:rPr>
        <w:t xml:space="preserve">费用；低于90分的，每低一分扣除</w:t>
      </w:r>
      <w:r>
        <w:rPr>
          <w:rFonts w:hint="eastAsia" w:ascii="宋体" w:hAnsi="宋体" w:cs="Times New Roman"/>
          <w:sz w:val="24"/>
          <w:szCs w:val="24"/>
          <w:highlight w:val="none"/>
          <w:lang w:val="en-US" w:eastAsia="zh-CN"/>
        </w:rPr>
        <w:t xml:space="preserve">该期服务费</w:t>
      </w:r>
      <w:r>
        <w:rPr>
          <w:rFonts w:hint="eastAsia" w:ascii="宋体" w:hAnsi="宋体" w:cs="Times New Roman"/>
          <w:sz w:val="24"/>
          <w:szCs w:val="24"/>
          <w:highlight w:val="none"/>
        </w:rPr>
        <w:t xml:space="preserve">的1%。为加强学生劳动教育，如校方将部分场馆（如教学楼教室内部）保洁工作委托相关劳动班级承担。具体费用支付规则如下：如实施该方案，将明确学生承担的工作量并测算对应费用，在合同金额中予以核减，核减费用转为“学生劳动奖励经费”；如不实施，则相关保洁工作及费用支付仍按合同约定全部支付给物业公司。</w:t>
      </w:r>
      <w:r>
        <w:rPr>
          <w:highlight w:val="none"/>
        </w:rPr>
      </w:r>
      <w:r/>
    </w:p>
    <w:p>
      <w:pPr>
        <w:spacing w:before="145" w:after="145"/>
        <w:rPr>
          <w:rFonts w:ascii="宋体" w:hAnsi="宋体" w:eastAsia="仿宋_GB2312"/>
          <w:b/>
          <w:sz w:val="24"/>
          <w:szCs w:val="24"/>
          <w:highlight w:val="none"/>
        </w:rPr>
      </w:pPr>
      <w:r>
        <w:rPr>
          <w:rFonts w:hint="eastAsia" w:ascii="宋体" w:hAnsi="宋体"/>
          <w:b/>
          <w:sz w:val="24"/>
          <w:szCs w:val="24"/>
          <w:highlight w:val="none"/>
        </w:rPr>
        <w:t xml:space="preserve">九、税费</w:t>
      </w:r>
      <w:r>
        <w:rPr>
          <w:highlight w:val="none"/>
        </w:rPr>
      </w:r>
      <w:r/>
    </w:p>
    <w:p>
      <w:pPr>
        <w:spacing w:before="145" w:after="145"/>
        <w:rPr>
          <w:rFonts w:ascii="宋体" w:hAnsi="宋体" w:eastAsia="仿宋_GB2312"/>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本合同执行中相关的一切税费均由乙方负担。</w:t>
      </w:r>
      <w:r>
        <w:rPr>
          <w:highlight w:val="none"/>
        </w:rPr>
      </w:r>
      <w:r/>
    </w:p>
    <w:p>
      <w:pPr>
        <w:pStyle w:val="94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项目</w:t>
      </w:r>
      <w:r>
        <w:rPr>
          <w:rFonts w:hAnsi="宋体"/>
          <w:b/>
          <w:sz w:val="24"/>
          <w:szCs w:val="24"/>
          <w:highlight w:val="none"/>
        </w:rPr>
        <w:t xml:space="preserve">验收</w:t>
      </w:r>
      <w:r>
        <w:rPr>
          <w:highlight w:val="none"/>
        </w:rPr>
      </w:r>
      <w:r/>
    </w:p>
    <w:p>
      <w:pPr>
        <w:pStyle w:val="949"/>
        <w:ind w:left="480" w:hanging="480"/>
        <w:spacing w:before="120" w:after="120"/>
        <w:rPr>
          <w:rFonts w:hint="eastAsia" w:hAnsi="宋体"/>
          <w:sz w:val="24"/>
          <w:szCs w:val="24"/>
          <w:highlight w:val="none"/>
        </w:rPr>
      </w:pPr>
      <w:r>
        <w:rPr>
          <w:rFonts w:hint="eastAsia" w:hAnsi="宋体"/>
          <w:sz w:val="24"/>
          <w:szCs w:val="24"/>
          <w:highlight w:val="none"/>
        </w:rPr>
        <w:t xml:space="preserve">10.1 甲方依法组织履约验收工作。</w:t>
      </w:r>
      <w:r>
        <w:rPr>
          <w:highlight w:val="none"/>
        </w:rPr>
      </w:r>
      <w:r/>
    </w:p>
    <w:p>
      <w:pPr>
        <w:pStyle w:val="949"/>
        <w:ind w:left="480" w:hanging="480"/>
        <w:spacing w:before="120" w:after="120"/>
        <w:rPr>
          <w:rFonts w:hint="eastAsia" w:hAnsi="宋体"/>
          <w:sz w:val="24"/>
          <w:szCs w:val="24"/>
          <w:highlight w:val="none"/>
        </w:rPr>
      </w:pPr>
      <w:r>
        <w:rPr>
          <w:rFonts w:hint="eastAsia" w:hAnsi="宋体"/>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949"/>
        <w:ind w:left="480" w:hanging="480"/>
        <w:spacing w:before="120" w:after="120"/>
        <w:rPr>
          <w:rFonts w:hint="eastAsia" w:hAnsi="宋体"/>
          <w:sz w:val="24"/>
          <w:szCs w:val="24"/>
          <w:highlight w:val="none"/>
        </w:rPr>
      </w:pPr>
      <w:r>
        <w:rPr>
          <w:rFonts w:hint="eastAsia" w:hAnsi="宋体"/>
          <w:sz w:val="24"/>
          <w:szCs w:val="24"/>
          <w:highlight w:val="none"/>
        </w:rPr>
        <w:t xml:space="preserve">10.3 对于实际使用人和甲方分离的项目，甲方邀请实际使用人参与验收。</w:t>
      </w:r>
      <w:r>
        <w:rPr>
          <w:highlight w:val="none"/>
        </w:rPr>
      </w:r>
      <w:r/>
    </w:p>
    <w:p>
      <w:pPr>
        <w:pStyle w:val="949"/>
        <w:ind w:left="480" w:hanging="480"/>
        <w:spacing w:before="120" w:after="120"/>
        <w:rPr>
          <w:rFonts w:hint="eastAsia" w:hAnsi="宋体"/>
          <w:sz w:val="24"/>
          <w:szCs w:val="24"/>
          <w:highlight w:val="none"/>
        </w:rPr>
      </w:pPr>
      <w:r>
        <w:rPr>
          <w:rFonts w:hint="eastAsia" w:hAnsi="宋体"/>
          <w:sz w:val="24"/>
          <w:szCs w:val="24"/>
          <w:highlight w:val="none"/>
        </w:rPr>
        <w:t xml:space="preserve">10.4 如有必要，甲方邀请参加本项目的其他供应商或第三方专业机构及专家参与验收，相关意见将作为验收书的参考资料。</w:t>
      </w:r>
      <w:r>
        <w:rPr>
          <w:highlight w:val="none"/>
        </w:rPr>
      </w:r>
      <w:r/>
    </w:p>
    <w:p>
      <w:pPr>
        <w:pStyle w:val="949"/>
        <w:ind w:left="480" w:hanging="480"/>
        <w:spacing w:before="120" w:after="120"/>
        <w:rPr>
          <w:rFonts w:hint="eastAsia" w:hAnsi="宋体"/>
          <w:sz w:val="24"/>
          <w:szCs w:val="24"/>
          <w:highlight w:val="none"/>
        </w:rPr>
      </w:pPr>
      <w:r>
        <w:rPr>
          <w:rFonts w:hint="eastAsia" w:hAnsi="宋体"/>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949"/>
        <w:ind w:left="480" w:hanging="480"/>
        <w:spacing w:before="120" w:after="120"/>
        <w:rPr>
          <w:rFonts w:hint="eastAsia" w:hAnsi="宋体"/>
          <w:sz w:val="24"/>
          <w:szCs w:val="24"/>
          <w:highlight w:val="none"/>
        </w:rPr>
      </w:pPr>
      <w:r>
        <w:rPr>
          <w:rFonts w:hint="eastAsia" w:hAnsi="宋体"/>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sz w:val="24"/>
          <w:szCs w:val="24"/>
          <w:highlight w:val="none"/>
          <w:lang w:eastAsia="zh-CN"/>
        </w:rPr>
        <w:t xml:space="preserve">中华人民共和国民法典</w:t>
      </w:r>
      <w:r>
        <w:rPr>
          <w:rFonts w:hint="eastAsia" w:hAnsi="宋体"/>
          <w:sz w:val="24"/>
          <w:szCs w:val="24"/>
          <w:highlight w:val="none"/>
        </w:rPr>
        <w:t xml:space="preserve">》。乙方在履约过程中有政府采购法律法规规定的违法违规情形的,甲方将及时报告本级财政部门。</w:t>
      </w:r>
      <w:r>
        <w:rPr>
          <w:highlight w:val="none"/>
        </w:rPr>
      </w:r>
      <w:r/>
    </w:p>
    <w:p>
      <w:pPr>
        <w:pStyle w:val="94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、违约责任</w:t>
      </w:r>
      <w:r>
        <w:rPr>
          <w:highlight w:val="none"/>
        </w:rPr>
      </w:r>
      <w:r/>
    </w:p>
    <w:p>
      <w:pPr>
        <w:pStyle w:val="949"/>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无正当理由，违反本合同有关规定，使</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未能完成规定管理目标的，</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有权要求</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在一定期限内解决，逾期未解决，造成</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经济损失的，由</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向</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偿付合同总价5%的违约金</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 或依照法律程序解除部分或全部合同。</w:t>
      </w:r>
      <w:r>
        <w:rPr>
          <w:highlight w:val="none"/>
        </w:rPr>
      </w:r>
      <w:r/>
    </w:p>
    <w:p>
      <w:pPr>
        <w:pStyle w:val="949"/>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无正当理由，违反本合同有关规定，未能达到规定管理目标及质量保证的，</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有权要求</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限期整改，逾期未整改，造成</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经济损失的，</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有权扣留</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全部履约保证金（如有），同时</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应向</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支付合同总价5%的违约金，</w:t>
      </w:r>
      <w:r>
        <w:rPr>
          <w:rFonts w:ascii="宋体" w:hAnsi="宋体" w:cs="宋体"/>
          <w:color w:val="auto"/>
          <w:sz w:val="24"/>
          <w:highlight w:val="none"/>
        </w:rPr>
        <w:t xml:space="preserve">违约金不足以弥补</w:t>
      </w:r>
      <w:r>
        <w:rPr>
          <w:rFonts w:hint="eastAsia" w:ascii="宋体" w:hAnsi="宋体" w:cs="宋体"/>
          <w:color w:val="auto"/>
          <w:sz w:val="24"/>
          <w:highlight w:val="none"/>
          <w:lang w:eastAsia="zh-CN"/>
        </w:rPr>
        <w:t xml:space="preserve">甲方</w:t>
      </w:r>
      <w:r>
        <w:rPr>
          <w:rFonts w:ascii="宋体" w:hAnsi="宋体" w:cs="宋体"/>
          <w:color w:val="auto"/>
          <w:sz w:val="24"/>
          <w:highlight w:val="none"/>
        </w:rPr>
        <w:t xml:space="preserve">损失的，</w:t>
      </w:r>
      <w:r>
        <w:rPr>
          <w:rFonts w:hint="eastAsia" w:ascii="宋体" w:hAnsi="宋体" w:cs="宋体"/>
          <w:color w:val="auto"/>
          <w:sz w:val="24"/>
          <w:highlight w:val="none"/>
          <w:lang w:eastAsia="zh-CN"/>
        </w:rPr>
        <w:t xml:space="preserve">甲方</w:t>
      </w:r>
      <w:r>
        <w:rPr>
          <w:rFonts w:ascii="宋体" w:hAnsi="宋体" w:cs="宋体"/>
          <w:color w:val="auto"/>
          <w:sz w:val="24"/>
          <w:highlight w:val="none"/>
        </w:rPr>
        <w:t xml:space="preserve">有权向其继续追偿。</w:t>
      </w:r>
      <w:r>
        <w:rPr>
          <w:highlight w:val="none"/>
        </w:rPr>
      </w:r>
      <w:r/>
    </w:p>
    <w:p>
      <w:pPr>
        <w:pStyle w:val="949"/>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无正当理由，违反本合同有关规定，擅自收费或擅自提高收费标准的，对擅自收费部分或超出标准的部分，</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有权要求</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双倍返还；造成</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经济损失的，</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应给予</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经济赔偿。</w:t>
      </w:r>
      <w:r>
        <w:rPr>
          <w:rFonts w:hAnsi="宋体"/>
          <w:color w:val="auto"/>
          <w:sz w:val="24"/>
          <w:szCs w:val="24"/>
          <w:highlight w:val="none"/>
        </w:rPr>
        <w:t xml:space="preserve"> </w:t>
      </w:r>
      <w:r>
        <w:rPr>
          <w:highlight w:val="none"/>
        </w:rPr>
      </w:r>
      <w:r/>
    </w:p>
    <w:p>
      <w:pPr>
        <w:pStyle w:val="949"/>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在承担上述</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款一项或多项违约责任后，仍应继续履行合同规定的义务（解除合同的除外）。</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未能及时追究</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的任何一项违约责任并不表明</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放弃追究</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该项或其他违约责任。</w:t>
      </w:r>
      <w:r>
        <w:rPr>
          <w:highlight w:val="none"/>
        </w:rPr>
      </w:r>
      <w:r/>
    </w:p>
    <w:p>
      <w:pPr>
        <w:pStyle w:val="949"/>
        <w:ind w:left="410" w:hanging="410"/>
        <w:spacing w:before="120" w:after="120"/>
        <w:rPr>
          <w:rFonts w:hint="default"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1</w:t>
      </w:r>
      <w:r>
        <w:rPr>
          <w:rFonts w:hint="default" w:ascii="宋体" w:hAnsi="宋体" w:eastAsia="宋体" w:cs="Courier New"/>
          <w:color w:val="auto"/>
          <w:sz w:val="24"/>
          <w:szCs w:val="24"/>
          <w:highlight w:val="none"/>
        </w:rPr>
        <w:t xml:space="preserve">1</w:t>
      </w:r>
      <w:r>
        <w:rPr>
          <w:rFonts w:ascii="宋体" w:hAnsi="宋体" w:eastAsia="宋体" w:cs="Courier New"/>
          <w:color w:val="auto"/>
          <w:sz w:val="24"/>
          <w:szCs w:val="24"/>
          <w:highlight w:val="none"/>
        </w:rPr>
        <w:t xml:space="preserve">.</w:t>
      </w:r>
      <w:r>
        <w:rPr>
          <w:rFonts w:hint="default" w:ascii="宋体" w:hAnsi="宋体" w:eastAsia="宋体" w:cs="Courier New"/>
          <w:color w:val="auto"/>
          <w:sz w:val="24"/>
          <w:szCs w:val="24"/>
          <w:highlight w:val="none"/>
          <w:lang w:val="en-US" w:eastAsia="zh-CN"/>
        </w:rPr>
        <w:t xml:space="preserve">5</w:t>
      </w:r>
      <w:r>
        <w:rPr>
          <w:rFonts w:ascii="宋体" w:hAnsi="宋体" w:eastAsia="宋体" w:cs="Courier New"/>
          <w:color w:val="auto"/>
          <w:sz w:val="24"/>
          <w:szCs w:val="24"/>
          <w:highlight w:val="none"/>
        </w:rPr>
        <w:t xml:space="preserve"> </w:t>
      </w:r>
      <w:r>
        <w:rPr>
          <w:rFonts w:hint="eastAsia" w:ascii="宋体" w:hAnsi="宋体" w:eastAsia="宋体" w:cs="Courier New"/>
          <w:color w:val="auto"/>
          <w:sz w:val="24"/>
          <w:szCs w:val="24"/>
          <w:highlight w:val="none"/>
          <w:lang w:eastAsia="zh-CN"/>
        </w:rPr>
        <w:t xml:space="preserve">乙方</w:t>
      </w:r>
      <w:r>
        <w:rPr>
          <w:rFonts w:ascii="宋体" w:hAnsi="宋体" w:eastAsia="宋体" w:cs="Courier New"/>
          <w:color w:val="auto"/>
          <w:sz w:val="24"/>
          <w:szCs w:val="24"/>
          <w:highlight w:val="none"/>
        </w:rPr>
        <w:t xml:space="preserve">违约致使合同无法继续履行或</w:t>
      </w:r>
      <w:r>
        <w:rPr>
          <w:rFonts w:hint="eastAsia" w:ascii="宋体" w:hAnsi="宋体" w:eastAsia="宋体" w:cs="Courier New"/>
          <w:color w:val="auto"/>
          <w:sz w:val="24"/>
          <w:szCs w:val="24"/>
          <w:highlight w:val="none"/>
          <w:lang w:eastAsia="zh-CN"/>
        </w:rPr>
        <w:t xml:space="preserve">甲方</w:t>
      </w:r>
      <w:r>
        <w:rPr>
          <w:rFonts w:ascii="宋体" w:hAnsi="宋体" w:eastAsia="宋体" w:cs="Courier New"/>
          <w:color w:val="auto"/>
          <w:sz w:val="24"/>
          <w:szCs w:val="24"/>
          <w:highlight w:val="none"/>
        </w:rPr>
        <w:t xml:space="preserve">依法依约终止</w:t>
      </w:r>
      <w:r>
        <w:rPr>
          <w:rFonts w:hint="default" w:ascii="宋体" w:hAnsi="宋体" w:eastAsia="宋体" w:cs="Courier New"/>
          <w:color w:val="auto"/>
          <w:sz w:val="24"/>
          <w:szCs w:val="24"/>
          <w:highlight w:val="none"/>
        </w:rPr>
        <w:t xml:space="preserve">或解除</w:t>
      </w:r>
      <w:r>
        <w:rPr>
          <w:rFonts w:ascii="宋体" w:hAnsi="宋体" w:eastAsia="宋体" w:cs="Courier New"/>
          <w:color w:val="auto"/>
          <w:sz w:val="24"/>
          <w:szCs w:val="24"/>
          <w:highlight w:val="none"/>
        </w:rPr>
        <w:t xml:space="preserve">合同</w:t>
      </w:r>
      <w:r>
        <w:rPr>
          <w:rFonts w:hint="default" w:ascii="宋体" w:hAnsi="宋体" w:eastAsia="宋体" w:cs="Courier New"/>
          <w:color w:val="auto"/>
          <w:sz w:val="24"/>
          <w:szCs w:val="24"/>
          <w:highlight w:val="none"/>
        </w:rPr>
        <w:t xml:space="preserve">的</w:t>
      </w:r>
      <w:r>
        <w:rPr>
          <w:rFonts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lang w:eastAsia="zh-CN"/>
        </w:rPr>
        <w:t xml:space="preserve">乙方</w:t>
      </w:r>
      <w:r>
        <w:rPr>
          <w:rFonts w:hint="default" w:ascii="宋体" w:hAnsi="宋体" w:eastAsia="宋体" w:cs="Courier New"/>
          <w:color w:val="auto"/>
          <w:sz w:val="24"/>
          <w:szCs w:val="24"/>
          <w:highlight w:val="none"/>
        </w:rPr>
        <w:t xml:space="preserve">须</w:t>
      </w:r>
      <w:r>
        <w:rPr>
          <w:rFonts w:ascii="宋体" w:hAnsi="宋体" w:eastAsia="宋体" w:cs="Courier New"/>
          <w:color w:val="auto"/>
          <w:sz w:val="24"/>
          <w:szCs w:val="24"/>
          <w:highlight w:val="none"/>
        </w:rPr>
        <w:t xml:space="preserve">按照合同总金额</w:t>
      </w:r>
      <w:r>
        <w:rPr>
          <w:rFonts w:hint="default" w:ascii="宋体" w:hAnsi="宋体" w:eastAsia="宋体" w:cs="Courier New"/>
          <w:color w:val="auto"/>
          <w:sz w:val="24"/>
          <w:szCs w:val="24"/>
          <w:highlight w:val="none"/>
        </w:rPr>
        <w:t xml:space="preserve">10%标准</w:t>
      </w:r>
      <w:r>
        <w:rPr>
          <w:rFonts w:ascii="宋体" w:hAnsi="宋体" w:eastAsia="宋体" w:cs="Courier New"/>
          <w:color w:val="auto"/>
          <w:sz w:val="24"/>
          <w:szCs w:val="24"/>
          <w:highlight w:val="none"/>
        </w:rPr>
        <w:t xml:space="preserve">向</w:t>
      </w:r>
      <w:r>
        <w:rPr>
          <w:rFonts w:hint="eastAsia" w:ascii="宋体" w:hAnsi="宋体" w:eastAsia="宋体" w:cs="Courier New"/>
          <w:color w:val="auto"/>
          <w:sz w:val="24"/>
          <w:szCs w:val="24"/>
          <w:highlight w:val="none"/>
          <w:lang w:eastAsia="zh-CN"/>
        </w:rPr>
        <w:t xml:space="preserve">甲方</w:t>
      </w:r>
      <w:r>
        <w:rPr>
          <w:rFonts w:ascii="宋体" w:hAnsi="宋体" w:eastAsia="宋体" w:cs="Courier New"/>
          <w:color w:val="auto"/>
          <w:sz w:val="24"/>
          <w:szCs w:val="24"/>
          <w:highlight w:val="none"/>
        </w:rPr>
        <w:t xml:space="preserve">支付违约金，违约金不足以弥补实际损失的，</w:t>
      </w:r>
      <w:r>
        <w:rPr>
          <w:rFonts w:hint="eastAsia" w:ascii="宋体" w:hAnsi="宋体" w:eastAsia="宋体" w:cs="Courier New"/>
          <w:color w:val="auto"/>
          <w:sz w:val="24"/>
          <w:szCs w:val="24"/>
          <w:highlight w:val="none"/>
          <w:lang w:eastAsia="zh-CN"/>
        </w:rPr>
        <w:t xml:space="preserve">甲方</w:t>
      </w:r>
      <w:r>
        <w:rPr>
          <w:rFonts w:ascii="宋体" w:hAnsi="宋体" w:eastAsia="宋体" w:cs="Courier New"/>
          <w:color w:val="auto"/>
          <w:sz w:val="24"/>
          <w:szCs w:val="24"/>
          <w:highlight w:val="none"/>
        </w:rPr>
        <w:t xml:space="preserve">有权向其继续追偿。</w:t>
      </w:r>
      <w:r>
        <w:rPr>
          <w:highlight w:val="none"/>
        </w:rPr>
      </w:r>
      <w:r/>
    </w:p>
    <w:p>
      <w:pPr>
        <w:pStyle w:val="949"/>
        <w:ind w:left="410" w:hanging="410"/>
        <w:spacing w:before="120" w:after="120"/>
        <w:rPr>
          <w:rFonts w:hint="default"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1</w:t>
      </w:r>
      <w:r>
        <w:rPr>
          <w:rFonts w:hint="default" w:ascii="宋体" w:hAnsi="宋体" w:eastAsia="宋体" w:cs="Courier New"/>
          <w:color w:val="000000" w:themeColor="text1"/>
          <w:sz w:val="24"/>
          <w:szCs w:val="24"/>
          <w:highlight w:val="none"/>
          <w14:textFill>
            <w14:solidFill>
              <w14:schemeClr w14:val="tx1"/>
            </w14:solidFill>
          </w14:textFill>
        </w:rPr>
        <w:t xml:space="preserve">1</w:t>
      </w:r>
      <w:r>
        <w:rPr>
          <w:rFonts w:ascii="宋体" w:hAnsi="宋体" w:eastAsia="宋体" w:cs="Courier New"/>
          <w:color w:val="000000" w:themeColor="text1"/>
          <w:sz w:val="24"/>
          <w:szCs w:val="24"/>
          <w:highlight w:val="none"/>
          <w14:textFill>
            <w14:solidFill>
              <w14:schemeClr w14:val="tx1"/>
            </w14:solidFill>
          </w14:textFill>
        </w:rPr>
        <w:t xml:space="preserve">.</w:t>
      </w:r>
      <w:r>
        <w:rPr>
          <w:rFonts w:hint="default" w:ascii="宋体" w:hAnsi="宋体" w:eastAsia="宋体" w:cs="Courier New"/>
          <w:color w:val="000000" w:themeColor="text1"/>
          <w:sz w:val="24"/>
          <w:szCs w:val="24"/>
          <w:highlight w:val="none"/>
          <w:lang w:val="en-US" w:eastAsia="zh-CN"/>
          <w14:textFill>
            <w14:solidFill>
              <w14:schemeClr w14:val="tx1"/>
            </w14:solidFill>
          </w14:textFill>
        </w:rPr>
        <w:t xml:space="preserve">6</w:t>
      </w:r>
      <w:r>
        <w:rPr>
          <w:rFonts w:ascii="宋体" w:hAnsi="宋体" w:eastAsia="宋体" w:cs="Courier New"/>
          <w:color w:val="000000" w:themeColor="text1"/>
          <w:sz w:val="24"/>
          <w:szCs w:val="24"/>
          <w:highlight w:val="none"/>
          <w14:textFill>
            <w14:solidFill>
              <w14:schemeClr w14:val="tx1"/>
            </w14:solidFill>
          </w14:textFill>
        </w:rPr>
        <w:t xml:space="preserve"> </w:t>
      </w:r>
      <w:r>
        <w:rPr>
          <w:rFonts w:hint="default" w:ascii="宋体" w:hAnsi="宋体" w:eastAsia="宋体" w:cs="Courier New"/>
          <w:color w:val="000000" w:themeColor="text1"/>
          <w:sz w:val="24"/>
          <w:szCs w:val="24"/>
          <w:highlight w:val="none"/>
          <w14:textFill>
            <w14:solidFill>
              <w14:schemeClr w14:val="tx1"/>
            </w14:solidFill>
          </w14:textFill>
        </w:rPr>
        <w:t xml:space="preserve">守约方</w:t>
      </w:r>
      <w:r>
        <w:rPr>
          <w:rFonts w:ascii="宋体" w:hAnsi="宋体" w:eastAsia="宋体" w:cs="Courier New"/>
          <w:color w:val="000000" w:themeColor="text1"/>
          <w:sz w:val="24"/>
          <w:szCs w:val="24"/>
          <w:highlight w:val="none"/>
          <w14:textFill>
            <w14:solidFill>
              <w14:schemeClr w14:val="tx1"/>
            </w14:solidFill>
          </w14:textFill>
        </w:rPr>
        <w:t xml:space="preserve">通过司法程序维护自身</w:t>
      </w:r>
      <w:r>
        <w:rPr>
          <w:rFonts w:hint="default" w:ascii="宋体" w:hAnsi="宋体" w:eastAsia="宋体" w:cs="Courier New"/>
          <w:color w:val="000000" w:themeColor="text1"/>
          <w:sz w:val="24"/>
          <w:szCs w:val="24"/>
          <w:highlight w:val="none"/>
          <w14:textFill>
            <w14:solidFill>
              <w14:schemeClr w14:val="tx1"/>
            </w14:solidFill>
          </w14:textFill>
        </w:rPr>
        <w:t xml:space="preserve">合法权益的</w:t>
      </w:r>
      <w:r>
        <w:rPr>
          <w:rFonts w:ascii="宋体" w:hAnsi="宋体" w:eastAsia="宋体" w:cs="Courier New"/>
          <w:color w:val="000000" w:themeColor="text1"/>
          <w:sz w:val="24"/>
          <w:szCs w:val="24"/>
          <w:highlight w:val="none"/>
          <w14:textFill>
            <w14:solidFill>
              <w14:schemeClr w14:val="tx1"/>
            </w14:solidFill>
          </w14:textFill>
        </w:rPr>
        <w:t xml:space="preserve">，违约方须承担守约方因此支付的诉讼费、律师费、保</w:t>
      </w:r>
      <w:r>
        <w:rPr>
          <w:rFonts w:hint="default" w:ascii="宋体" w:hAnsi="宋体" w:eastAsia="宋体" w:cs="Courier New"/>
          <w:color w:val="000000" w:themeColor="text1"/>
          <w:sz w:val="24"/>
          <w:szCs w:val="24"/>
          <w:highlight w:val="none"/>
          <w14:textFill>
            <w14:solidFill>
              <w14:schemeClr w14:val="tx1"/>
            </w14:solidFill>
          </w14:textFill>
        </w:rPr>
        <w:t xml:space="preserve">函</w:t>
      </w:r>
      <w:r>
        <w:rPr>
          <w:rFonts w:ascii="宋体" w:hAnsi="宋体" w:eastAsia="宋体" w:cs="Courier New"/>
          <w:color w:val="000000" w:themeColor="text1"/>
          <w:sz w:val="24"/>
          <w:szCs w:val="24"/>
          <w:highlight w:val="none"/>
          <w14:textFill>
            <w14:solidFill>
              <w14:schemeClr w14:val="tx1"/>
            </w14:solidFill>
          </w14:textFill>
        </w:rPr>
        <w:t xml:space="preserve">费等相关费用。</w:t>
      </w:r>
      <w:r>
        <w:rPr>
          <w:highlight w:val="none"/>
        </w:rPr>
      </w:r>
      <w:r/>
    </w:p>
    <w:p>
      <w:pPr>
        <w:pStyle w:val="949"/>
        <w:spacing w:before="120" w:after="120"/>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lang w:val="en-US" w:eastAsia="zh-CN"/>
          <w14:textFill>
            <w14:solidFill>
              <w14:schemeClr w14:val="tx1"/>
            </w14:solidFill>
          </w14:textFill>
        </w:rPr>
        <w:t xml:space="preserve">十二、双方权利义务</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12.1</w:t>
      </w:r>
      <w:r>
        <w:rPr>
          <w:rFonts w:hint="eastAsia" w:ascii="宋体" w:hAnsi="宋体" w:cs="宋体"/>
          <w:color w:val="000000"/>
          <w:sz w:val="24"/>
          <w:highlight w:val="none"/>
        </w:rPr>
        <w:t xml:space="preserve">需方权利义务：</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1、代表和维护产权人及使用人的合法权益；</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2、不得干涉供方依法或依本合同规定内容所进行的管理活动；</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3、负责处理非供方原因而产生的各种纠纷；</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4、审定供方撰写的物业管理服务管理制度；</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5、检查监督供方管理工作的实施及制度的执行情况；</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6、审定供方提出的物业管理服务年度计划及财务预决算；</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7、在物业管理公司管理期间，采购人免费提供物业管理办公用房若干，提供给物业管理公司使用，产权归业主所有；</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8、提供供方进行物业管理服务所必须的水、电供应；</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9、协助供方做好物业服务管理工作；</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10、法规、政策规定由需方承担的其他责任。</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12.2</w:t>
      </w:r>
      <w:r>
        <w:rPr>
          <w:rFonts w:hint="eastAsia" w:ascii="宋体" w:hAnsi="宋体" w:cs="宋体"/>
          <w:color w:val="000000"/>
          <w:sz w:val="24"/>
          <w:highlight w:val="none"/>
        </w:rPr>
        <w:t xml:space="preserve">供方权利义务：</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1、根据有关法律、法规、本合同的规定及本物业的实际情况，制定物业服务管理制度及管理方案、年度管理计划、资金使用计划及决算报告等工作目标；</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2、定期向需方公布物业服务管理费用收支账目；</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3、在本物业管理区域内设立专门机构负责本物业的日常物业管理工作，并委派有岗位资质的人员履行本合同；</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4、负责所有日常物业材料、用品及易耗品的更新；</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5、自主开展物业管理活动，但不得侵害需方、物业使用人及他人的合法权益，不得利用提供物业管理服务的便利获取不当利益；</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6、根据有关法律、法规的规定和本合同的规定，向需方收取物业服务费用，通过合法有效方式解决拖欠物业服务费的问题；</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7、建立、保存物业管理账目，及时向需方公告本管理区域内的重大物业服务事项；</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8、合同终止时，向需方移交全部物业管理用房、档案资料和注明应属需方所有的其他资产和物资（含开办费），并办理交接手续；</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9、法规、政策规定由供方承担的其他责任。</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12.3</w:t>
      </w:r>
      <w:r>
        <w:rPr>
          <w:rFonts w:hint="eastAsia" w:ascii="宋体" w:hAnsi="宋体" w:cs="宋体"/>
          <w:color w:val="000000"/>
          <w:sz w:val="24"/>
          <w:highlight w:val="none"/>
        </w:rPr>
        <w:t xml:space="preserve">在管理过程中，因下列因素所致的损害，不论其为直接或间接，均构成对供方的免责事由，供方均不负赔偿之责：</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1、天灾、地震等不可抗力的事由所致的损害；</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2、暴动、持械抢劫、破坏、爆炸、火灾、刑事犯罪等违法行为等事由所致的损害，但因供方故意或过失所致，不在此限；</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3、因本合同标的物本身固有瑕疵所致的损害；</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4、因需方或第三者之故意、过失所致的损害；</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5、因需方或物业使用人专有部分的火灾、盗窃等所致的损害。</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6、因供方书面建议需方改善或改进物业管理措施，而需方未采纳所致的损害；</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7、因需方或物业使用人指挥调派供方工作人员所致的损害；</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8、本合同标的物之共用部分（含共用部位、共用设备设施）自然或人为的任何损坏。但因供方故意或重大过失所致的，不在此限；</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9、除上述各款外，</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不可归责于供方之事由的。</w:t>
      </w:r>
      <w:r>
        <w:rPr>
          <w:highlight w:val="none"/>
        </w:rPr>
      </w:r>
      <w:r/>
    </w:p>
    <w:p>
      <w:pPr>
        <w:pStyle w:val="949"/>
        <w:spacing w:before="120" w:after="120"/>
        <w:rPr>
          <w:rFonts w:hint="default" w:hAnsi="宋体"/>
          <w:b/>
          <w:color w:val="000000" w:themeColor="text1"/>
          <w:sz w:val="24"/>
          <w:szCs w:val="24"/>
          <w:highlight w:val="none"/>
          <w14:textFill>
            <w14:solidFill>
              <w14:schemeClr w14:val="tx1"/>
            </w14:solidFill>
          </w14:textFill>
        </w:rPr>
      </w:pPr>
      <w:r>
        <w:rPr>
          <w:rFonts w:hint="eastAsia" w:ascii="宋体" w:hAnsi="宋体" w:cs="宋体"/>
          <w:color w:val="000000"/>
          <w:sz w:val="24"/>
          <w:highlight w:val="none"/>
        </w:rPr>
        <w:t xml:space="preserve">四、为维护公众、需方及物业使用人的合法利益，在不可预见情况下，如发生煤气泄露、漏电、火灾、水管破裂、救助人命、协助公安机关执行任务等情况，供方因采取紧急避险措施造成财产损失的，按有关法律规定处理。</w:t>
      </w:r>
      <w:r>
        <w:rPr>
          <w:highlight w:val="none"/>
        </w:rPr>
      </w:r>
      <w:r/>
    </w:p>
    <w:p>
      <w:pPr>
        <w:pStyle w:val="949"/>
        <w:spacing w:before="120" w:after="120"/>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lang w:val="en-US" w:eastAsia="zh-CN"/>
          <w14:textFill>
            <w14:solidFill>
              <w14:schemeClr w14:val="tx1"/>
            </w14:solidFill>
          </w14:textFill>
        </w:rPr>
        <w:t xml:space="preserve">三</w:t>
      </w:r>
      <w:r>
        <w:rPr>
          <w:rFonts w:hAnsi="宋体"/>
          <w:b/>
          <w:color w:val="000000" w:themeColor="text1"/>
          <w:sz w:val="24"/>
          <w:szCs w:val="24"/>
          <w:highlight w:val="none"/>
          <w14:textFill>
            <w14:solidFill>
              <w14:schemeClr w14:val="tx1"/>
            </w14:solidFill>
          </w14:textFill>
        </w:rPr>
        <w:t xml:space="preserve">、不可抗力事件处理</w:t>
      </w:r>
      <w:r>
        <w:rPr>
          <w:highlight w:val="none"/>
        </w:rPr>
      </w:r>
      <w:r/>
    </w:p>
    <w:p>
      <w:pPr>
        <w:pStyle w:val="949"/>
        <w:ind w:left="480" w:hanging="480"/>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期相同。</w:t>
      </w:r>
      <w:r>
        <w:rPr>
          <w:highlight w:val="none"/>
        </w:rPr>
      </w:r>
      <w:r/>
    </w:p>
    <w:p>
      <w:pPr>
        <w:pStyle w:val="949"/>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.2 不可抗力事件发生后，应立即通知对方，并寄送有关权威机构出具的证明。</w:t>
      </w:r>
      <w:r>
        <w:rPr>
          <w:highlight w:val="none"/>
        </w:rPr>
      </w:r>
      <w:r/>
    </w:p>
    <w:p>
      <w:pPr>
        <w:pStyle w:val="949"/>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rPr>
          <w:highlight w:val="none"/>
        </w:rPr>
      </w:r>
      <w:r/>
    </w:p>
    <w:p>
      <w:pPr>
        <w:pStyle w:val="949"/>
        <w:spacing w:before="120" w:after="120"/>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lang w:val="en-US" w:eastAsia="zh-CN"/>
          <w14:textFill>
            <w14:solidFill>
              <w14:schemeClr w14:val="tx1"/>
            </w14:solidFill>
          </w14:textFill>
        </w:rPr>
        <w:t xml:space="preserve">四</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解决争议的方法</w:t>
      </w:r>
      <w:r>
        <w:rPr>
          <w:highlight w:val="none"/>
        </w:rPr>
      </w:r>
      <w:r/>
    </w:p>
    <w:p>
      <w:pPr>
        <w:pStyle w:val="949"/>
        <w:spacing w:before="120" w:after="12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4</w:t>
      </w:r>
      <w:r>
        <w:rPr>
          <w:rFonts w:hint="eastAsia" w:hAnsi="宋体"/>
          <w:color w:val="000000" w:themeColor="text1"/>
          <w:sz w:val="24"/>
          <w:szCs w:val="24"/>
          <w:highlight w:val="none"/>
          <w14:textFill>
            <w14:solidFill>
              <w14:schemeClr w14:val="tx1"/>
            </w14:solidFill>
          </w14:textFill>
        </w:rPr>
        <w:t xml:space="preserve">.1双方在签订、履行合同中所发生的一切争议，应通过友好协商解决。如协商不成，由甲方住所地人民法院管辖。</w:t>
      </w:r>
      <w:r>
        <w:rPr>
          <w:highlight w:val="none"/>
        </w:rPr>
      </w:r>
      <w:r/>
    </w:p>
    <w:p>
      <w:pPr>
        <w:pStyle w:val="949"/>
        <w:spacing w:before="120" w:after="120"/>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lang w:val="en-US" w:eastAsia="zh-CN"/>
          <w14:textFill>
            <w14:solidFill>
              <w14:schemeClr w14:val="tx1"/>
            </w14:solidFill>
          </w14:textFill>
        </w:rPr>
        <w:t xml:space="preserve">五</w:t>
      </w:r>
      <w:r>
        <w:rPr>
          <w:rFonts w:hAnsi="宋体"/>
          <w:b/>
          <w:color w:val="000000" w:themeColor="text1"/>
          <w:sz w:val="24"/>
          <w:szCs w:val="24"/>
          <w:highlight w:val="none"/>
          <w14:textFill>
            <w14:solidFill>
              <w14:schemeClr w14:val="tx1"/>
            </w14:solidFill>
          </w14:textFill>
        </w:rPr>
        <w:t xml:space="preserve">、合同生效及其它</w:t>
      </w:r>
      <w:r>
        <w:rPr>
          <w:highlight w:val="none"/>
        </w:rPr>
      </w:r>
      <w:r/>
    </w:p>
    <w:p>
      <w:pPr>
        <w:pStyle w:val="949"/>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5</w:t>
      </w:r>
      <w:r>
        <w:rPr>
          <w:rFonts w:hAnsi="宋体"/>
          <w:color w:val="000000" w:themeColor="text1"/>
          <w:sz w:val="24"/>
          <w:szCs w:val="24"/>
          <w:highlight w:val="none"/>
          <w14:textFill>
            <w14:solidFill>
              <w14:schemeClr w14:val="tx1"/>
            </w14:solidFill>
          </w14:textFill>
        </w:rPr>
        <w:t xml:space="preserve">.1 合同经双方法定代表人或授权委托代</w:t>
      </w:r>
      <w:r>
        <w:rPr>
          <w:rFonts w:hint="eastAsia" w:hAnsi="宋体"/>
          <w:color w:val="000000" w:themeColor="text1"/>
          <w:sz w:val="24"/>
          <w:szCs w:val="24"/>
          <w:highlight w:val="none"/>
          <w14:textFill>
            <w14:solidFill>
              <w14:schemeClr w14:val="tx1"/>
            </w14:solidFill>
          </w14:textFill>
        </w:rPr>
        <w:t xml:space="preserve">表</w:t>
      </w:r>
      <w:r>
        <w:rPr>
          <w:rFonts w:hAnsi="宋体"/>
          <w:color w:val="000000" w:themeColor="text1"/>
          <w:sz w:val="24"/>
          <w:szCs w:val="24"/>
          <w:highlight w:val="none"/>
          <w14:textFill>
            <w14:solidFill>
              <w14:schemeClr w14:val="tx1"/>
            </w14:solidFill>
          </w14:textFill>
        </w:rPr>
        <w:t xml:space="preserve">人签字并加盖单位公章后生效。</w:t>
      </w:r>
      <w:r>
        <w:rPr>
          <w:highlight w:val="none"/>
        </w:rPr>
      </w:r>
      <w:r/>
    </w:p>
    <w:p>
      <w:pPr>
        <w:ind w:firstLine="480"/>
        <w:spacing w:line="400" w:lineRule="exact"/>
        <w:rPr>
          <w:rFonts w:ascii="宋体" w:hAnsi="宋体" w:cs="宋体"/>
          <w:color w:val="000000"/>
          <w:sz w:val="24"/>
          <w:highlight w:val="none"/>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5</w:t>
      </w:r>
      <w:r>
        <w:rPr>
          <w:rFonts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sz w:val="24"/>
          <w:highlight w:val="none"/>
        </w:rPr>
        <w:t xml:space="preserve">合同在执行过程中出现的未尽事宜，双方在不违背本合同和招标文件的原则下协商解决，协商结果以书面形式签订补充协议，且补充协议与本合同具有同等效力。</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15.3</w:t>
      </w:r>
      <w:r>
        <w:rPr>
          <w:rFonts w:hint="eastAsia" w:ascii="宋体" w:hAnsi="宋体" w:cs="宋体"/>
          <w:color w:val="000000"/>
          <w:sz w:val="24"/>
          <w:highlight w:val="none"/>
        </w:rPr>
        <w:t xml:space="preserve">合同中未有约定的按照有关的法律法规以及国家行业标准或技术文件规定予以解决。</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15.4</w:t>
      </w:r>
      <w:r>
        <w:rPr>
          <w:rFonts w:hint="eastAsia" w:ascii="宋体" w:hAnsi="宋体" w:cs="宋体"/>
          <w:color w:val="000000"/>
          <w:sz w:val="24"/>
          <w:highlight w:val="none"/>
        </w:rPr>
        <w:t xml:space="preserve">供需双方确认：对本合同条款及后果均已知悉，一致确认不存在欺诈、胁迫、乘人之危、重大误解、显失公平等任何可能导致合同无效或被撤销的情形。</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15.5</w:t>
      </w:r>
      <w:r>
        <w:rPr>
          <w:rFonts w:hint="eastAsia" w:ascii="宋体" w:hAnsi="宋体" w:cs="宋体"/>
          <w:color w:val="000000"/>
          <w:sz w:val="24"/>
          <w:highlight w:val="none"/>
        </w:rPr>
        <w:t xml:space="preserve">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方式处理：</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（1）向无锡仲裁委员会申请仲裁。</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（2）向需方所在地法院提起诉讼。</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15.6</w:t>
      </w:r>
      <w:r>
        <w:rPr>
          <w:rFonts w:hint="eastAsia" w:ascii="宋体" w:hAnsi="宋体" w:cs="宋体"/>
          <w:color w:val="000000"/>
          <w:sz w:val="24"/>
          <w:highlight w:val="none"/>
        </w:rPr>
        <w:t xml:space="preserve">本合同终止时，供方应移交物业管理权，撤出本物业，协助需方做好物业服务的交接和善后工作，移交或配合需方移交管理用房和物业管理的全部档案资料等。</w:t>
      </w:r>
      <w:r>
        <w:rPr>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15.7</w:t>
      </w:r>
      <w:r>
        <w:rPr>
          <w:rFonts w:hint="eastAsia" w:ascii="宋体" w:hAnsi="宋体" w:cs="宋体"/>
          <w:color w:val="000000"/>
          <w:sz w:val="24"/>
          <w:highlight w:val="none"/>
        </w:rPr>
        <w:t xml:space="preserve">本物业管理合同终止后，在新的物业管理企业接管本物业前，除需方要求供方提前撤离外，新老物业管理公司的交接过渡期最长为1个月，在此期间供方应提供过渡期物业管理服务，过渡期物业管理服务标准和服务费标准不变，由供方收取；1个月过渡期满，即完成交接、撤离。否则，需方有权进行任何处置，一切后果由供方承担。</w:t>
      </w:r>
      <w:r>
        <w:rPr>
          <w:highlight w:val="none"/>
        </w:rPr>
      </w:r>
      <w:r/>
    </w:p>
    <w:p>
      <w:pPr>
        <w:pStyle w:val="949"/>
        <w:ind w:left="480" w:hanging="480"/>
        <w:spacing w:before="120" w:after="120"/>
        <w:rPr>
          <w:rFonts w:hAnsi="宋体"/>
          <w:sz w:val="24"/>
          <w:szCs w:val="24"/>
          <w:highlight w:val="none"/>
        </w:rPr>
      </w:pP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lang w:val="en-US" w:eastAsia="zh-CN"/>
          <w14:textFill>
            <w14:solidFill>
              <w14:schemeClr w14:val="tx1"/>
            </w14:solidFill>
          </w14:textFill>
        </w:rPr>
        <w:t xml:space="preserve">5</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lang w:val="en-US" w:eastAsia="zh-CN"/>
          <w14:textFill>
            <w14:solidFill>
              <w14:schemeClr w14:val="tx1"/>
            </w14:solidFill>
          </w14:textFill>
        </w:rPr>
        <w:t xml:space="preserve">8</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lang w:val="en-US" w:eastAsia="zh-CN"/>
          <w14:textFill>
            <w14:solidFill>
              <w14:schemeClr w14:val="tx1"/>
            </w14:solidFill>
          </w14:textFill>
        </w:rPr>
        <w:t xml:space="preserve">五</w:t>
      </w:r>
      <w:r>
        <w:rPr>
          <w:rFonts w:hAnsi="宋体"/>
          <w:color w:val="000000" w:themeColor="text1"/>
          <w:sz w:val="24"/>
          <w:szCs w:val="24"/>
          <w:highlight w:val="none"/>
          <w14:textFill>
            <w14:solidFill>
              <w14:schemeClr w14:val="tx1"/>
            </w14:solidFill>
          </w14:textFill>
        </w:rPr>
        <w:t xml:space="preserve">份，具有同等法律效力，甲</w:t>
      </w:r>
      <w:r>
        <w:rPr>
          <w:rFonts w:hint="eastAsia" w:hAnsi="宋体"/>
          <w:color w:val="000000" w:themeColor="text1"/>
          <w:sz w:val="24"/>
          <w:szCs w:val="24"/>
          <w:highlight w:val="none"/>
          <w14:textFill>
            <w14:solidFill>
              <w14:schemeClr w14:val="tx1"/>
            </w14:solidFill>
          </w14:textFill>
        </w:rPr>
        <w:t xml:space="preserve">方</w:t>
      </w:r>
      <w:r>
        <w:rPr>
          <w:rFonts w:hint="eastAsia" w:hAnsi="宋体"/>
          <w:color w:val="000000" w:themeColor="text1"/>
          <w:sz w:val="24"/>
          <w:szCs w:val="24"/>
          <w:highlight w:val="none"/>
          <w:lang w:val="en-US" w:eastAsia="zh-CN"/>
          <w14:textFill>
            <w14:solidFill>
              <w14:schemeClr w14:val="tx1"/>
            </w14:solidFill>
          </w14:textFill>
        </w:rPr>
        <w:t xml:space="preserve">执三份</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乙方执</w:t>
      </w:r>
      <w:r>
        <w:rPr>
          <w:rFonts w:hint="eastAsia" w:hAnsi="宋体"/>
          <w:color w:val="000000" w:themeColor="text1"/>
          <w:sz w:val="24"/>
          <w:szCs w:val="24"/>
          <w:highlight w:val="none"/>
          <w:lang w:val="en-US" w:eastAsia="zh-CN"/>
          <w14:textFill>
            <w14:solidFill>
              <w14:schemeClr w14:val="tx1"/>
            </w14:solidFill>
          </w14:textFill>
        </w:rPr>
        <w:t xml:space="preserve">两</w:t>
      </w:r>
      <w:r>
        <w:rPr>
          <w:rFonts w:hAnsi="宋体"/>
          <w:color w:val="000000" w:themeColor="text1"/>
          <w:sz w:val="24"/>
          <w:szCs w:val="24"/>
          <w:highlight w:val="none"/>
          <w14:textFill>
            <w14:solidFill>
              <w14:schemeClr w14:val="tx1"/>
            </w14:solidFill>
          </w14:textFill>
        </w:rPr>
        <w:t xml:space="preserve">份。</w:t>
      </w:r>
      <w:r>
        <w:rPr>
          <w:rFonts w:hint="eastAsia" w:ascii="宋体" w:hAnsi="宋体" w:cs="宋体"/>
          <w:color w:val="000000"/>
          <w:sz w:val="24"/>
          <w:highlight w:val="none"/>
        </w:rPr>
        <w:t xml:space="preserve">招标文件、投标文件、合同条款及中标通知书，供方在投标、评标过程中所作其它有关承诺、声明、书面澄清等均为合同不可分割的部分，与主合同具有同等法律效力。</w:t>
      </w:r>
      <w:r>
        <w:rPr>
          <w:rFonts w:hAnsi="宋体"/>
          <w:sz w:val="24"/>
          <w:szCs w:val="24"/>
          <w:highlight w:val="none"/>
        </w:rPr>
        <w:t xml:space="preserve">。</w:t>
      </w:r>
      <w:r>
        <w:rPr>
          <w:highlight w:val="none"/>
        </w:rPr>
      </w:r>
      <w:r/>
    </w:p>
    <w:p>
      <w:pPr>
        <w:pStyle w:val="949"/>
        <w:ind w:left="480" w:hanging="480"/>
        <w:spacing w:before="120" w:after="120" w:line="0" w:lineRule="atLeast"/>
        <w:rPr>
          <w:rFonts w:hAnsi="宋体"/>
          <w:sz w:val="24"/>
          <w:szCs w:val="24"/>
          <w:highlight w:val="none"/>
        </w:rPr>
      </w:pPr>
      <w:r>
        <w:rPr>
          <w:rFonts w:hAnsi="宋体"/>
          <w:sz w:val="24"/>
          <w:szCs w:val="24"/>
          <w:highlight w:val="none"/>
        </w:rPr>
        <w:t xml:space="preserve">  甲方：                        乙方： </w:t>
      </w:r>
      <w:r>
        <w:rPr>
          <w:highlight w:val="none"/>
        </w:rPr>
      </w:r>
      <w:r/>
    </w:p>
    <w:p>
      <w:pPr>
        <w:pStyle w:val="949"/>
        <w:spacing w:before="120" w:after="120" w:line="0" w:lineRule="atLeast"/>
        <w:rPr>
          <w:rFonts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rPr>
          <w:highlight w:val="none"/>
        </w:rPr>
      </w:r>
      <w:r/>
    </w:p>
    <w:p>
      <w:pPr>
        <w:pStyle w:val="949"/>
        <w:spacing w:before="120" w:after="120" w:line="0" w:lineRule="atLeast"/>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rPr>
          <w:highlight w:val="none"/>
        </w:rPr>
      </w:r>
      <w:r/>
    </w:p>
    <w:p>
      <w:pPr>
        <w:pStyle w:val="949"/>
        <w:ind w:firstLine="240"/>
        <w:spacing w:before="120" w:after="120" w:line="0" w:lineRule="atLeast"/>
        <w:rPr>
          <w:rFonts w:hint="eastAsia"/>
          <w:highlight w:val="none"/>
        </w:rPr>
      </w:pPr>
      <w:r>
        <w:rPr>
          <w:rFonts w:hint="eastAsia" w:hAnsi="宋体"/>
          <w:sz w:val="24"/>
          <w:szCs w:val="24"/>
          <w:highlight w:val="none"/>
        </w:rPr>
        <w:t xml:space="preserve">联系电话：                    联系电话：          </w:t>
      </w:r>
      <w:r>
        <w:rPr>
          <w:highlight w:val="none"/>
        </w:rPr>
      </w:r>
      <w:r/>
    </w:p>
    <w:p>
      <w:pPr>
        <w:pStyle w:val="949"/>
        <w:jc w:val="center"/>
        <w:spacing w:before="120" w:after="120" w:line="0" w:lineRule="atLeast"/>
        <w:rPr>
          <w:highlight w:val="none"/>
        </w:rPr>
      </w:pPr>
      <w:r>
        <w:rPr>
          <w:rFonts w:hint="eastAsia"/>
          <w:highlight w:val="none"/>
        </w:rPr>
        <w:t xml:space="preserve">                                         </w:t>
      </w:r>
      <w:r>
        <w:rPr>
          <w:highlight w:val="none"/>
        </w:rPr>
      </w:r>
      <w:r/>
    </w:p>
    <w:p>
      <w:pPr>
        <w:pStyle w:val="949"/>
        <w:jc w:val="right"/>
        <w:spacing w:before="120" w:after="120" w:line="0" w:lineRule="atLeast"/>
        <w:rPr>
          <w:sz w:val="24"/>
          <w:szCs w:val="24"/>
          <w:highlight w:val="none"/>
        </w:rPr>
      </w:pPr>
      <w:r>
        <w:rPr>
          <w:rFonts w:hint="eastAsia"/>
          <w:sz w:val="24"/>
          <w:szCs w:val="24"/>
          <w:highlight w:val="none"/>
        </w:rPr>
        <w:t xml:space="preserve"> </w:t>
      </w:r>
      <w:r>
        <w:rPr>
          <w:highlight w:val="none"/>
        </w:rPr>
      </w:r>
      <w:r/>
    </w:p>
    <w:p>
      <w:pPr>
        <w:jc w:val="center"/>
        <w:rPr>
          <w:rFonts w:hAnsi="宋体"/>
          <w:color w:val="000000" w:themeColor="text1"/>
          <w:sz w:val="24"/>
          <w:szCs w:val="24"/>
          <w:highlight w:val="none"/>
          <w14:textFill>
            <w14:solidFill>
              <w14:schemeClr w14:val="tx1"/>
            </w14:solidFill>
          </w14:textFill>
        </w:rPr>
      </w:pPr>
      <w:r>
        <w:rPr>
          <w:sz w:val="24"/>
          <w:szCs w:val="24"/>
          <w:highlight w:val="none"/>
        </w:rPr>
        <w:t xml:space="preserve">签订日期：      年  </w:t>
      </w:r>
      <w:r>
        <w:rPr>
          <w:rFonts w:hint="eastAsia"/>
          <w:sz w:val="24"/>
          <w:szCs w:val="24"/>
          <w:highlight w:val="none"/>
        </w:rPr>
        <w:t xml:space="preserve">  </w:t>
      </w:r>
      <w:r>
        <w:rPr>
          <w:sz w:val="24"/>
          <w:szCs w:val="24"/>
          <w:highlight w:val="none"/>
        </w:rPr>
        <w:t xml:space="preserve">月  </w:t>
      </w:r>
      <w:r>
        <w:rPr>
          <w:rFonts w:hint="eastAsia"/>
          <w:sz w:val="24"/>
          <w:szCs w:val="24"/>
          <w:highlight w:val="none"/>
        </w:rPr>
        <w:t xml:space="preserve"> </w:t>
      </w:r>
      <w:r>
        <w:rPr>
          <w:sz w:val="24"/>
          <w:szCs w:val="24"/>
          <w:highlight w:val="none"/>
        </w:rPr>
        <w:t xml:space="preserve">日</w:t>
      </w:r>
      <w:bookmarkEnd w:id="187"/>
      <w:r>
        <w:rPr>
          <w:highlight w:val="none"/>
        </w:rPr>
      </w:r>
      <w:bookmarkEnd w:id="188"/>
      <w:r>
        <w:rPr>
          <w:highlight w:val="none"/>
        </w:rPr>
      </w:r>
      <w:bookmarkEnd w:id="189"/>
      <w:r>
        <w:rPr>
          <w:highlight w:val="none"/>
        </w:rPr>
      </w:r>
      <w:bookmarkStart w:id="190" w:name="_Hlt16619369"/>
      <w:r>
        <w:rPr>
          <w:highlight w:val="none"/>
        </w:rPr>
      </w:r>
      <w:bookmarkEnd w:id="190"/>
      <w:r>
        <w:rPr>
          <w:rFonts w:ascii="黑体" w:eastAsia="黑体"/>
          <w:bCs/>
          <w:sz w:val="44"/>
          <w:highlight w:val="none"/>
        </w:rPr>
        <w:br w:type="page" w:clear="all"/>
      </w:r>
      <w:r>
        <w:rPr>
          <w:rFonts w:hint="eastAsia" w:ascii="黑体" w:eastAsia="黑体"/>
          <w:bCs/>
          <w:color w:val="000000" w:themeColor="text1"/>
          <w:sz w:val="44"/>
          <w:highlight w:val="none"/>
          <w14:textFill>
            <w14:solidFill>
              <w14:schemeClr w14:val="tx1"/>
            </w14:solidFill>
          </w14:textFill>
        </w:rPr>
        <w:t xml:space="preserve">第</w:t>
      </w:r>
      <w:bookmarkEnd w:id="44"/>
      <w:r>
        <w:rPr>
          <w:rFonts w:hint="eastAsia" w:ascii="黑体" w:eastAsia="黑体"/>
          <w:bCs/>
          <w:color w:val="000000" w:themeColor="text1"/>
          <w:sz w:val="44"/>
          <w:highlight w:val="none"/>
          <w14:textFill>
            <w14:solidFill>
              <w14:schemeClr w14:val="tx1"/>
            </w14:solidFill>
          </w14:textFill>
        </w:rPr>
        <w:t xml:space="preserve">四章 采购需求</w:t>
      </w:r>
      <w:bookmarkEnd w:id="45"/>
      <w:r>
        <w:rPr>
          <w:highlight w:val="none"/>
        </w:rPr>
      </w:r>
      <w:bookmarkEnd w:id="46"/>
      <w:r>
        <w:rPr>
          <w:highlight w:val="none"/>
        </w:rPr>
      </w:r>
      <w:bookmarkEnd w:id="47"/>
      <w:r>
        <w:rPr>
          <w:highlight w:val="none"/>
        </w:rPr>
      </w:r>
      <w:r/>
    </w:p>
    <w:p>
      <w:pPr>
        <w:ind w:firstLine="480"/>
        <w:jc w:val="left"/>
        <w:spacing w:line="360" w:lineRule="auto"/>
        <w:rPr>
          <w:rFonts w:hint="eastAsia" w:ascii="仿宋_GB2312" w:hAnsi="仿宋_GB2312" w:eastAsia="仿宋_GB2312" w:cs="仿宋_GB2312"/>
          <w:color w:val="000000" w:themeColor="text1"/>
          <w:sz w:val="24"/>
          <w:szCs w:val="24"/>
          <w:highlight w:val="none"/>
          <w14:textFill>
            <w14:solidFill>
              <w14:schemeClr w14:val="tx1"/>
            </w14:solidFill>
          </w14:textFill>
        </w:rPr>
      </w:pPr>
      <w:r>
        <w:rPr>
          <w:highlight w:val="none"/>
        </w:rPr>
      </w:r>
      <w:bookmarkStart w:id="191" w:name="_Toc49090575"/>
      <w:r>
        <w:rPr>
          <w:highlight w:val="none"/>
        </w:rPr>
      </w:r>
      <w:bookmarkStart w:id="192" w:name="_Toc26554093"/>
      <w:r>
        <w:rPr>
          <w:highlight w:val="none"/>
        </w:rPr>
      </w:r>
      <w:r/>
    </w:p>
    <w:p>
      <w:pPr>
        <w:ind w:firstLine="482"/>
        <w:spacing w:line="276" w:lineRule="auto"/>
        <w:widowControl/>
        <w:rPr>
          <w:rFonts w:hint="eastAsia" w:ascii="宋体" w:hAnsi="宋体" w:eastAsia="宋体" w:cs="宋体"/>
          <w:b/>
          <w:i/>
          <w:iCs/>
          <w:color w:val="000000"/>
          <w:sz w:val="24"/>
          <w:szCs w:val="22"/>
          <w:highlight w:val="none"/>
          <w:u w:val="single"/>
        </w:rPr>
      </w:pPr>
      <w:r>
        <w:rPr>
          <w:rFonts w:hint="eastAsia" w:ascii="宋体" w:hAnsi="宋体" w:cs="宋体"/>
          <w:b/>
          <w:i/>
          <w:iCs/>
          <w:color w:val="000000"/>
          <w:sz w:val="24"/>
          <w:szCs w:val="22"/>
          <w:highlight w:val="none"/>
          <w:u w:val="single"/>
          <w:lang w:val="en-US" w:eastAsia="zh-CN"/>
        </w:rPr>
        <w:t xml:space="preserve">注：本招标文件中所有斜体下划线部分为实质性条款，如不满足，则为无效投标。</w:t>
      </w:r>
      <w:r>
        <w:rPr>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highlight w:val="none"/>
        </w:rPr>
      </w:r>
      <w:r/>
    </w:p>
    <w:tbl>
      <w:tblPr>
        <w:tblStyle w:val="9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rPr>
                <w:highlight w:val="none"/>
              </w:rPr>
            </w:r>
            <w:r/>
          </w:p>
        </w:tc>
        <w:tc>
          <w:tcPr>
            <w:tcW w:w="54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329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highlight w:val="none"/>
              </w:rPr>
            </w:r>
            <w:r/>
          </w:p>
        </w:tc>
        <w:tc>
          <w:tcPr>
            <w:tcW w:w="285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highlight w:val="none"/>
              </w:rPr>
            </w:r>
            <w:r/>
          </w:p>
        </w:tc>
      </w:tr>
      <w:tr>
        <w:trPr>
          <w:cantSplit/>
          <w:jc w:val="center"/>
          <w:trHeight w:val="291"/>
        </w:trPr>
        <w:tc>
          <w:tcPr>
            <w:tcW w:w="545"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545"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highlight w:val="none"/>
              </w:rPr>
            </w:r>
            <w:r/>
          </w:p>
        </w:tc>
        <w:tc>
          <w:tcPr>
            <w:tcW w:w="3291" w:type="dxa"/>
            <w:vAlign w:val="top"/>
            <w:textDirection w:val="lrTb"/>
            <w:noWrap w:val="false"/>
          </w:tcPr>
          <w:p>
            <w:pPr>
              <w:jc w:val="left"/>
              <w:spacing w:line="0" w:lineRule="atLeast"/>
              <w:tabs>
                <w:tab w:val="left" w:pos="2020" w:leader="none"/>
              </w:tabs>
              <w:rPr>
                <w:rFonts w:ascii="宋体" w:hAnsi="宋体"/>
                <w:sz w:val="24"/>
                <w:szCs w:val="24"/>
                <w:highlight w:val="none"/>
              </w:rPr>
            </w:pPr>
            <w:r>
              <w:rPr>
                <w:rFonts w:hint="eastAsia" w:ascii="宋体" w:hAnsi="宋体"/>
                <w:sz w:val="24"/>
                <w:szCs w:val="24"/>
                <w:highlight w:val="none"/>
              </w:rPr>
              <w:t xml:space="preserve">2025—2028年校园综合物业服务项目</w:t>
            </w:r>
            <w:r>
              <w:rPr>
                <w:rFonts w:ascii="宋体" w:hAnsi="宋体"/>
                <w:sz w:val="24"/>
                <w:szCs w:val="24"/>
                <w:highlight w:val="none"/>
              </w:rPr>
              <w:tab/>
            </w:r>
            <w:r>
              <w:rPr>
                <w:highlight w:val="none"/>
              </w:rPr>
            </w:r>
            <w:r/>
          </w:p>
        </w:tc>
        <w:tc>
          <w:tcPr>
            <w:tcW w:w="2852" w:type="dxa"/>
            <w:vAlign w:val="top"/>
            <w:textDirection w:val="lrTb"/>
            <w:noWrap w:val="false"/>
          </w:tcPr>
          <w:p>
            <w:pPr>
              <w:jc w:val="center"/>
              <w:spacing w:line="0" w:lineRule="atLeast"/>
              <w:rPr>
                <w:rFonts w:hint="eastAsia" w:ascii="宋体" w:hAnsi="宋体" w:eastAsia="宋体"/>
                <w:sz w:val="24"/>
                <w:szCs w:val="24"/>
                <w:highlight w:val="none"/>
              </w:rPr>
            </w:pPr>
            <w:r>
              <w:rPr>
                <w:rFonts w:hint="eastAsia" w:ascii="宋体" w:hAnsi="宋体"/>
                <w:sz w:val="24"/>
                <w:szCs w:val="24"/>
                <w:highlight w:val="none"/>
                <w:lang w:val="en-US" w:eastAsia="zh-CN"/>
              </w:rPr>
              <w:t xml:space="preserve">物业服务</w:t>
            </w:r>
            <w:r>
              <w:rPr>
                <w:highlight w:val="none"/>
              </w:rPr>
            </w:r>
            <w:r/>
          </w:p>
        </w:tc>
      </w:tr>
    </w:tbl>
    <w:p>
      <w:pPr>
        <w:ind w:firstLine="540"/>
        <w:spacing w:line="360" w:lineRule="auto"/>
        <w:tabs>
          <w:tab w:val="left" w:pos="525" w:leader="none"/>
          <w:tab w:val="left" w:pos="1050" w:leader="none"/>
        </w:tabs>
        <w:rPr>
          <w:rFonts w:ascii="宋体" w:hAnsi="宋体"/>
          <w:b/>
          <w:color w:val="000000"/>
          <w:sz w:val="28"/>
          <w:szCs w:val="28"/>
          <w:highlight w:val="none"/>
        </w:rPr>
      </w:pPr>
      <w:r>
        <w:rPr>
          <w:rFonts w:hint="eastAsia" w:ascii="宋体" w:hAnsi="宋体"/>
          <w:b/>
          <w:color w:val="000000"/>
          <w:sz w:val="28"/>
          <w:szCs w:val="28"/>
          <w:highlight w:val="none"/>
        </w:rPr>
        <w:t xml:space="preserve">二、项目概况</w:t>
      </w:r>
      <w:r>
        <w:rPr>
          <w:highlight w:val="none"/>
        </w:rPr>
      </w:r>
      <w:r/>
    </w:p>
    <w:p>
      <w:pPr>
        <w:ind w:firstLine="463"/>
        <w:spacing w:line="360" w:lineRule="auto"/>
        <w:tabs>
          <w:tab w:val="left" w:pos="525" w:leader="none"/>
          <w:tab w:val="left" w:pos="1050"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（一）学校基本信息</w:t>
      </w:r>
      <w:r>
        <w:rPr>
          <w:highlight w:val="none"/>
        </w:rPr>
      </w:r>
      <w:r/>
    </w:p>
    <w:p>
      <w:pPr>
        <w:ind w:firstLine="429"/>
        <w:spacing w:line="360" w:lineRule="auto"/>
        <w:tabs>
          <w:tab w:val="left" w:pos="-21" w:leader="none"/>
        </w:tabs>
        <w:rPr>
          <w:rFonts w:ascii="宋体" w:hAnsi="宋体" w:cs="宋体"/>
          <w:color w:val="000000"/>
          <w:sz w:val="24"/>
          <w:szCs w:val="22"/>
          <w:highlight w:val="none"/>
        </w:rPr>
      </w:pPr>
      <w:r>
        <w:rPr>
          <w:rFonts w:hint="eastAsia" w:ascii="宋体" w:hAnsi="宋体" w:cs="宋体"/>
          <w:color w:val="000000"/>
          <w:sz w:val="24"/>
          <w:szCs w:val="22"/>
          <w:highlight w:val="none"/>
        </w:rPr>
        <w:t xml:space="preserve">无锡商业职业技术学院为省属公办全日制普通高等学校。位于无锡市钱胡路809号，占地面积1200余亩，建筑面积近29万平方米，地下管网约44公里，在校师生15000余人。</w:t>
      </w:r>
      <w:r>
        <w:rPr>
          <w:highlight w:val="none"/>
        </w:rPr>
      </w:r>
      <w:r/>
    </w:p>
    <w:p>
      <w:pPr>
        <w:numPr>
          <w:ilvl w:val="0"/>
          <w:numId w:val="5"/>
        </w:numPr>
        <w:ind w:firstLine="463"/>
        <w:spacing w:line="360" w:lineRule="auto"/>
        <w:tabs>
          <w:tab w:val="left" w:pos="525" w:leader="none"/>
          <w:tab w:val="left" w:pos="1050" w:leader="none"/>
        </w:tabs>
        <w:rPr>
          <w:rFonts w:ascii="宋体" w:hAnsi="宋体"/>
          <w:b/>
          <w:bCs/>
          <w:color w:val="000000"/>
          <w:sz w:val="24"/>
          <w:szCs w:val="24"/>
          <w:highlight w:val="none"/>
        </w:rPr>
      </w:pPr>
      <w:r>
        <w:rPr>
          <w:highlight w:val="none"/>
        </w:rPr>
      </w:r>
      <w:bookmarkStart w:id="193" w:name="OLE_LINK6"/>
      <w:r>
        <w:rPr>
          <w:rFonts w:hint="eastAsia" w:ascii="宋体" w:hAnsi="宋体"/>
          <w:b/>
          <w:bCs/>
          <w:color w:val="000000"/>
          <w:sz w:val="24"/>
          <w:szCs w:val="24"/>
          <w:highlight w:val="none"/>
        </w:rPr>
        <w:t xml:space="preserve">物业</w:t>
      </w:r>
      <w:bookmarkEnd w:id="193"/>
      <w:r>
        <w:rPr>
          <w:rFonts w:hint="eastAsia" w:ascii="宋体" w:hAnsi="宋体"/>
          <w:b/>
          <w:bCs/>
          <w:color w:val="000000"/>
          <w:sz w:val="24"/>
          <w:szCs w:val="24"/>
          <w:highlight w:val="none"/>
        </w:rPr>
        <w:t xml:space="preserve">服务范围</w:t>
      </w:r>
      <w:r>
        <w:rPr>
          <w:highlight w:val="none"/>
        </w:rPr>
      </w:r>
      <w:r/>
    </w:p>
    <w:p>
      <w:pPr>
        <w:ind w:firstLine="460"/>
        <w:spacing w:line="360" w:lineRule="auto"/>
        <w:tabs>
          <w:tab w:val="left" w:pos="525" w:leader="none"/>
          <w:tab w:val="left" w:pos="1050" w:leader="none"/>
        </w:tabs>
        <w:rPr>
          <w:rFonts w:ascii="宋体" w:hAnsi="宋体"/>
          <w:color w:val="000000"/>
          <w:sz w:val="24"/>
          <w:szCs w:val="24"/>
          <w:highlight w:val="none"/>
        </w:rPr>
      </w:pPr>
      <w:r>
        <w:rPr>
          <w:rFonts w:ascii="宋体" w:hAnsi="宋体"/>
          <w:color w:val="000000"/>
          <w:sz w:val="24"/>
          <w:szCs w:val="24"/>
          <w:highlight w:val="none"/>
        </w:rPr>
        <w:t xml:space="preserve">校园综合物业</w:t>
      </w:r>
      <w:r>
        <w:rPr>
          <w:rFonts w:hint="eastAsia" w:ascii="宋体" w:hAnsi="宋体"/>
          <w:color w:val="000000"/>
          <w:sz w:val="24"/>
          <w:szCs w:val="24"/>
          <w:highlight w:val="none"/>
        </w:rPr>
        <w:t xml:space="preserve">主要</w:t>
      </w:r>
      <w:r>
        <w:rPr>
          <w:rFonts w:ascii="宋体" w:hAnsi="宋体"/>
          <w:color w:val="000000"/>
          <w:sz w:val="24"/>
          <w:szCs w:val="24"/>
          <w:highlight w:val="none"/>
        </w:rPr>
        <w:t xml:space="preserve">为</w:t>
      </w:r>
      <w:r>
        <w:rPr>
          <w:rFonts w:ascii="宋体" w:hAnsi="宋体"/>
          <w:b/>
          <w:bCs/>
          <w:color w:val="000000"/>
          <w:sz w:val="24"/>
          <w:szCs w:val="24"/>
          <w:highlight w:val="none"/>
        </w:rPr>
        <w:t xml:space="preserve">场馆物业</w:t>
      </w:r>
      <w:r>
        <w:rPr>
          <w:rFonts w:ascii="宋体" w:hAnsi="宋体"/>
          <w:color w:val="000000"/>
          <w:sz w:val="24"/>
          <w:szCs w:val="24"/>
          <w:highlight w:val="none"/>
        </w:rPr>
        <w:t xml:space="preserve">与</w:t>
      </w:r>
      <w:r>
        <w:rPr>
          <w:rFonts w:ascii="宋体" w:hAnsi="宋体"/>
          <w:b/>
          <w:bCs/>
          <w:color w:val="000000"/>
          <w:sz w:val="24"/>
          <w:szCs w:val="24"/>
          <w:highlight w:val="none"/>
        </w:rPr>
        <w:t xml:space="preserve">环境绿化物业</w:t>
      </w:r>
      <w:r>
        <w:rPr>
          <w:rFonts w:ascii="宋体" w:hAnsi="宋体"/>
          <w:color w:val="000000"/>
          <w:sz w:val="24"/>
          <w:szCs w:val="24"/>
          <w:highlight w:val="none"/>
        </w:rPr>
        <w:t xml:space="preserve">两大板块</w:t>
      </w:r>
      <w:r>
        <w:rPr>
          <w:rFonts w:hint="eastAsia" w:ascii="宋体" w:hAnsi="宋体"/>
          <w:color w:val="000000"/>
          <w:sz w:val="24"/>
          <w:szCs w:val="24"/>
          <w:highlight w:val="none"/>
        </w:rPr>
        <w:t xml:space="preserve">。</w:t>
      </w:r>
      <w:r>
        <w:rPr>
          <w:highlight w:val="none"/>
        </w:rPr>
      </w:r>
      <w:r/>
    </w:p>
    <w:p>
      <w:pPr>
        <w:ind w:firstLine="463"/>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场馆物业</w:t>
      </w:r>
      <w:r>
        <w:rPr>
          <w:rFonts w:ascii="宋体" w:hAnsi="宋体"/>
          <w:color w:val="000000"/>
          <w:sz w:val="24"/>
          <w:szCs w:val="24"/>
          <w:highlight w:val="none"/>
        </w:rPr>
        <w:t xml:space="preserve">：含学生宿舍、教学楼、体育馆、图书馆、行政楼、实训楼、创业园、</w:t>
      </w:r>
      <w:r>
        <w:rPr>
          <w:rFonts w:hint="eastAsia" w:ascii="宋体" w:hAnsi="宋体"/>
          <w:color w:val="000000"/>
          <w:sz w:val="24"/>
          <w:szCs w:val="24"/>
          <w:highlight w:val="none"/>
        </w:rPr>
        <w:t xml:space="preserve">商贸楼、</w:t>
      </w:r>
      <w:r>
        <w:rPr>
          <w:rFonts w:ascii="宋体" w:hAnsi="宋体"/>
          <w:color w:val="000000"/>
          <w:sz w:val="24"/>
          <w:szCs w:val="24"/>
          <w:highlight w:val="none"/>
        </w:rPr>
        <w:t xml:space="preserve">青年教工公寓、各类值班室等</w:t>
      </w:r>
      <w:r>
        <w:rPr>
          <w:rFonts w:hint="eastAsia" w:ascii="宋体" w:hAnsi="宋体"/>
          <w:color w:val="000000"/>
          <w:sz w:val="24"/>
          <w:szCs w:val="24"/>
          <w:highlight w:val="none"/>
        </w:rPr>
        <w:t xml:space="preserve">所有</w:t>
      </w:r>
      <w:r>
        <w:rPr>
          <w:rFonts w:ascii="宋体" w:hAnsi="宋体"/>
          <w:color w:val="000000"/>
          <w:sz w:val="24"/>
          <w:szCs w:val="24"/>
          <w:highlight w:val="none"/>
        </w:rPr>
        <w:t xml:space="preserve">楼宇的管理服务。</w:t>
      </w:r>
      <w:r>
        <w:rPr>
          <w:highlight w:val="none"/>
        </w:rPr>
      </w:r>
      <w:r/>
    </w:p>
    <w:p>
      <w:pPr>
        <w:ind w:firstLine="463"/>
        <w:spacing w:line="360" w:lineRule="auto"/>
        <w:tabs>
          <w:tab w:val="left" w:pos="525" w:leader="none"/>
          <w:tab w:val="left" w:pos="1050" w:leader="none"/>
        </w:tabs>
        <w:rPr>
          <w:rFonts w:ascii="宋体" w:hAnsi="宋体"/>
          <w:color w:val="000000"/>
          <w:sz w:val="24"/>
          <w:szCs w:val="24"/>
          <w:highlight w:val="none"/>
        </w:rPr>
      </w:pPr>
      <w:r>
        <w:rPr>
          <w:rFonts w:hint="eastAsia" w:ascii="宋体" w:hAnsi="宋体"/>
          <w:b/>
          <w:bCs/>
          <w:color w:val="000000"/>
          <w:sz w:val="24"/>
          <w:szCs w:val="24"/>
          <w:highlight w:val="none"/>
        </w:rPr>
        <w:t xml:space="preserve">2.</w:t>
      </w:r>
      <w:r>
        <w:rPr>
          <w:rFonts w:ascii="宋体" w:hAnsi="宋体"/>
          <w:b/>
          <w:bCs/>
          <w:color w:val="000000"/>
          <w:sz w:val="24"/>
          <w:szCs w:val="24"/>
          <w:highlight w:val="none"/>
        </w:rPr>
        <w:t xml:space="preserve">环境绿化物业</w:t>
      </w:r>
      <w:r>
        <w:rPr>
          <w:rFonts w:ascii="宋体" w:hAnsi="宋体"/>
          <w:color w:val="000000"/>
          <w:sz w:val="24"/>
          <w:szCs w:val="24"/>
          <w:highlight w:val="none"/>
        </w:rPr>
        <w:t xml:space="preserve">：含建筑外</w:t>
      </w:r>
      <w:r>
        <w:rPr>
          <w:rFonts w:hint="eastAsia" w:ascii="宋体" w:hAnsi="宋体"/>
          <w:color w:val="000000"/>
          <w:sz w:val="24"/>
          <w:szCs w:val="24"/>
          <w:highlight w:val="none"/>
        </w:rPr>
        <w:t xml:space="preserve">所有</w:t>
      </w:r>
      <w:r>
        <w:rPr>
          <w:rFonts w:ascii="宋体" w:hAnsi="宋体"/>
          <w:color w:val="000000"/>
          <w:sz w:val="24"/>
          <w:szCs w:val="24"/>
          <w:highlight w:val="none"/>
        </w:rPr>
        <w:t xml:space="preserve">公共区域（道路、广场、田径场、篮球场、人工湖、防洪沟</w:t>
      </w:r>
      <w:r>
        <w:rPr>
          <w:rFonts w:hint="eastAsia" w:ascii="宋体" w:hAnsi="宋体"/>
          <w:color w:val="000000"/>
          <w:sz w:val="24"/>
          <w:szCs w:val="24"/>
          <w:highlight w:val="none"/>
        </w:rPr>
        <w:t xml:space="preserve">、中转站、窨井</w:t>
      </w:r>
      <w:r>
        <w:rPr>
          <w:rFonts w:ascii="宋体" w:hAnsi="宋体"/>
          <w:color w:val="000000"/>
          <w:sz w:val="24"/>
          <w:szCs w:val="24"/>
          <w:highlight w:val="none"/>
        </w:rPr>
        <w:t xml:space="preserve">等）的卫生保洁；校园</w:t>
      </w:r>
      <w:r>
        <w:rPr>
          <w:rFonts w:hint="eastAsia" w:ascii="宋体" w:hAnsi="宋体"/>
          <w:color w:val="000000"/>
          <w:sz w:val="24"/>
          <w:szCs w:val="24"/>
          <w:highlight w:val="none"/>
        </w:rPr>
        <w:t xml:space="preserve">所有</w:t>
      </w:r>
      <w:r>
        <w:rPr>
          <w:rFonts w:ascii="宋体" w:hAnsi="宋体"/>
          <w:color w:val="000000"/>
          <w:sz w:val="24"/>
          <w:szCs w:val="24"/>
          <w:highlight w:val="none"/>
        </w:rPr>
        <w:t xml:space="preserve">绿化（含苗圃、</w:t>
      </w:r>
      <w:r>
        <w:rPr>
          <w:rFonts w:hint="eastAsia" w:ascii="宋体" w:hAnsi="宋体"/>
          <w:color w:val="000000"/>
          <w:sz w:val="24"/>
          <w:szCs w:val="24"/>
          <w:highlight w:val="none"/>
        </w:rPr>
        <w:t xml:space="preserve">紫园、</w:t>
      </w:r>
      <w:r>
        <w:rPr>
          <w:rFonts w:ascii="宋体" w:hAnsi="宋体"/>
          <w:color w:val="000000"/>
          <w:sz w:val="24"/>
          <w:szCs w:val="24"/>
          <w:highlight w:val="none"/>
        </w:rPr>
        <w:t xml:space="preserve">成蹊园茶场）的养护；</w:t>
      </w:r>
      <w:r>
        <w:rPr>
          <w:rFonts w:hint="eastAsia" w:ascii="宋体" w:hAnsi="宋体"/>
          <w:color w:val="000000"/>
          <w:sz w:val="24"/>
          <w:szCs w:val="24"/>
          <w:highlight w:val="none"/>
        </w:rPr>
        <w:t xml:space="preserve">所有</w:t>
      </w:r>
      <w:r>
        <w:rPr>
          <w:rFonts w:ascii="宋体" w:hAnsi="宋体"/>
          <w:color w:val="000000"/>
          <w:sz w:val="24"/>
          <w:szCs w:val="24"/>
          <w:highlight w:val="none"/>
        </w:rPr>
        <w:t xml:space="preserve">地下管网（窖井、化粪池、排水管道等）的清淤、疏通及检修。</w:t>
      </w:r>
      <w:r>
        <w:rPr>
          <w:highlight w:val="none"/>
        </w:rPr>
      </w:r>
      <w:r/>
    </w:p>
    <w:p>
      <w:pPr>
        <w:ind w:firstLine="463"/>
        <w:spacing w:line="360" w:lineRule="auto"/>
        <w:tabs>
          <w:tab w:val="left" w:pos="525" w:leader="none"/>
          <w:tab w:val="left" w:pos="1050" w:leader="none"/>
        </w:tabs>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投标公司要求</w:t>
      </w:r>
      <w:r>
        <w:rPr>
          <w:highlight w:val="none"/>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、投标人从事过同类非住宅物业</w:t>
      </w:r>
      <w:r>
        <w:rPr>
          <w:rFonts w:hint="eastAsia" w:ascii="宋体" w:hAnsi="宋体"/>
          <w:color w:val="000000" w:themeColor="text1"/>
          <w:sz w:val="24"/>
          <w:highlight w:val="none"/>
          <w:lang w:val="en-US" w:eastAsia="zh-CN"/>
          <w14:textFill>
            <w14:solidFill>
              <w14:schemeClr w14:val="tx1"/>
            </w14:solidFill>
          </w14:textFill>
        </w:rPr>
        <w:t xml:space="preserve">工作</w:t>
      </w:r>
      <w:r>
        <w:rPr>
          <w:rFonts w:hint="eastAsia" w:ascii="宋体" w:hAnsi="宋体"/>
          <w:color w:val="000000" w:themeColor="text1"/>
          <w:sz w:val="24"/>
          <w:highlight w:val="none"/>
          <w14:textFill>
            <w14:solidFill>
              <w14:schemeClr w14:val="tx1"/>
            </w14:solidFill>
          </w14:textFill>
        </w:rPr>
        <w:t xml:space="preserve">，具有相关业绩</w:t>
      </w:r>
      <w:r>
        <w:rPr>
          <w:rFonts w:hint="eastAsia" w:ascii="宋体" w:hAnsi="宋体"/>
          <w:color w:val="000000" w:themeColor="text1"/>
          <w:sz w:val="24"/>
          <w:highlight w:val="none"/>
          <w:lang w:eastAsia="zh-CN"/>
          <w14:textFill>
            <w14:solidFill>
              <w14:schemeClr w14:val="tx1"/>
            </w14:solidFill>
          </w14:textFill>
        </w:rPr>
        <w:t xml:space="preserve">，</w:t>
      </w:r>
      <w:bookmarkStart w:id="206" w:name="_GoBack"/>
      <w:r>
        <w:rPr>
          <w:highlight w:val="none"/>
        </w:rPr>
      </w:r>
      <w:bookmarkEnd w:id="206"/>
      <w:r>
        <w:rPr>
          <w:rFonts w:hint="eastAsia" w:ascii="宋体" w:hAnsi="宋体"/>
          <w:sz w:val="24"/>
          <w:szCs w:val="24"/>
          <w:highlight w:val="none"/>
        </w:rPr>
        <w:t xml:space="preserve">物业服务范围</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①保洁、②宿舍/楼宇管理、③绿化</w:t>
      </w:r>
      <w:r>
        <w:rPr>
          <w:rFonts w:hint="eastAsia" w:ascii="宋体" w:hAnsi="宋体"/>
          <w:sz w:val="24"/>
          <w:szCs w:val="24"/>
          <w:highlight w:val="none"/>
          <w:lang w:eastAsia="zh-CN"/>
        </w:rPr>
        <w:t xml:space="preserve">）</w:t>
      </w:r>
      <w:r>
        <w:rPr>
          <w:rFonts w:hint="eastAsia" w:ascii="宋体" w:hAnsi="宋体"/>
          <w:color w:val="000000" w:themeColor="text1"/>
          <w:sz w:val="24"/>
          <w:highlight w:val="none"/>
          <w14:textFill>
            <w14:solidFill>
              <w14:schemeClr w14:val="tx1"/>
            </w14:solidFill>
          </w14:textFill>
        </w:rPr>
        <w:t xml:space="preserve">。</w:t>
      </w:r>
      <w:r>
        <w:rPr>
          <w:highlight w:val="none"/>
        </w:rPr>
      </w:r>
      <w:r/>
    </w:p>
    <w:p>
      <w:pPr>
        <w:ind w:firstLine="480"/>
        <w:jc w:val="left"/>
        <w:spacing w:line="360" w:lineRule="auto"/>
        <w:rPr>
          <w:rFonts w:hint="default" w:ascii="宋体" w:hAnsi="宋体" w:eastAsia="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sz w:val="24"/>
          <w:szCs w:val="24"/>
          <w:highlight w:val="none"/>
        </w:rPr>
        <w:t xml:space="preserve">具有ISO9000系列质量管理体系认证证书（有效期内）、ISO14000系列环境管理体系认证证书（有效期内）、</w:t>
      </w:r>
      <w:r>
        <w:rPr>
          <w:rFonts w:hint="eastAsia" w:ascii="宋体" w:hAnsi="宋体"/>
          <w:sz w:val="24"/>
          <w:szCs w:val="24"/>
          <w:highlight w:val="none"/>
        </w:rPr>
        <w:t xml:space="preserve">ISO45001职业健康安全管理体系</w:t>
      </w:r>
      <w:r>
        <w:rPr>
          <w:rFonts w:hint="eastAsia" w:ascii="宋体" w:hAnsi="宋体"/>
          <w:sz w:val="24"/>
          <w:szCs w:val="24"/>
          <w:highlight w:val="none"/>
        </w:rPr>
        <w:t xml:space="preserve">认证</w:t>
      </w:r>
      <w:r>
        <w:rPr>
          <w:rFonts w:hint="eastAsia" w:ascii="宋体" w:hAnsi="宋体"/>
          <w:sz w:val="24"/>
          <w:szCs w:val="24"/>
          <w:highlight w:val="none"/>
        </w:rPr>
        <w:t xml:space="preserve">证书</w:t>
      </w:r>
      <w:r>
        <w:rPr>
          <w:rFonts w:hint="eastAsia" w:ascii="宋体" w:hAnsi="宋体"/>
          <w:sz w:val="24"/>
          <w:szCs w:val="24"/>
          <w:highlight w:val="none"/>
        </w:rPr>
        <w:t xml:space="preserve">（有效期内）</w:t>
      </w:r>
      <w:r>
        <w:rPr>
          <w:rFonts w:hint="eastAsia" w:ascii="宋体" w:hAnsi="宋体"/>
          <w:color w:val="000000" w:themeColor="text1"/>
          <w:sz w:val="24"/>
          <w:highlight w:val="none"/>
          <w14:textFill>
            <w14:solidFill>
              <w14:schemeClr w14:val="tx1"/>
            </w14:solidFill>
          </w14:textFill>
        </w:rPr>
        <w:t xml:space="preserve">。</w:t>
      </w:r>
      <w:r>
        <w:rPr>
          <w:highlight w:val="none"/>
        </w:rPr>
      </w:r>
      <w:r/>
    </w:p>
    <w:p>
      <w:pPr>
        <w:ind w:firstLine="540"/>
        <w:spacing w:line="360" w:lineRule="auto"/>
        <w:tabs>
          <w:tab w:val="left" w:pos="525" w:leader="none"/>
          <w:tab w:val="left" w:pos="1050" w:leader="none"/>
        </w:tabs>
        <w:rPr>
          <w:rFonts w:ascii="宋体" w:hAnsi="宋体"/>
          <w:b/>
          <w:color w:val="000000"/>
          <w:sz w:val="28"/>
          <w:szCs w:val="28"/>
          <w:highlight w:val="none"/>
        </w:rPr>
      </w:pPr>
      <w:r>
        <w:rPr>
          <w:rFonts w:ascii="宋体" w:hAnsi="宋体"/>
          <w:b/>
          <w:color w:val="000000"/>
          <w:sz w:val="28"/>
          <w:szCs w:val="28"/>
          <w:highlight w:val="none"/>
        </w:rPr>
        <w:t xml:space="preserve">三、人员与设备配置要求</w:t>
      </w:r>
      <w:r>
        <w:rPr>
          <w:highlight w:val="none"/>
        </w:rPr>
      </w:r>
      <w:r/>
    </w:p>
    <w:p>
      <w:pPr>
        <w:ind w:firstLine="463"/>
        <w:spacing w:line="360" w:lineRule="auto"/>
        <w:tabs>
          <w:tab w:val="left" w:pos="525" w:leader="none"/>
          <w:tab w:val="left" w:pos="1050" w:leader="none"/>
        </w:tabs>
        <w:rPr>
          <w:rFonts w:ascii="宋体" w:hAnsi="宋体"/>
          <w:b/>
          <w:bCs/>
          <w:color w:val="000000"/>
          <w:sz w:val="24"/>
          <w:szCs w:val="24"/>
          <w:highlight w:val="none"/>
        </w:rPr>
      </w:pPr>
      <w:r>
        <w:rPr>
          <w:rFonts w:ascii="宋体" w:hAnsi="宋体"/>
          <w:b/>
          <w:bCs/>
          <w:color w:val="000000"/>
          <w:sz w:val="24"/>
          <w:szCs w:val="24"/>
          <w:highlight w:val="none"/>
        </w:rPr>
        <w:t xml:space="preserve">（一）人员配置标准</w:t>
      </w:r>
      <w:r>
        <w:rPr>
          <w:highlight w:val="none"/>
        </w:rPr>
      </w:r>
      <w:r/>
    </w:p>
    <w:p>
      <w:pPr>
        <w:ind w:firstLine="463"/>
        <w:spacing w:line="360" w:lineRule="auto"/>
        <w:tabs>
          <w:tab w:val="left" w:pos="525" w:leader="none"/>
          <w:tab w:val="left" w:pos="1050"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1按服务区域配置（总数156人）</w:t>
      </w:r>
      <w:r>
        <w:rPr>
          <w:highlight w:val="none"/>
        </w:rPr>
      </w:r>
      <w:r/>
    </w:p>
    <w:tbl>
      <w:tblPr>
        <w:tblStyle w:val="935"/>
        <w:tblW w:w="894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518"/>
        <w:gridCol w:w="1054"/>
        <w:gridCol w:w="1061"/>
        <w:gridCol w:w="4470"/>
      </w:tblGrid>
      <w:tr>
        <w:trPr>
          <w:trHeight w:val="409"/>
        </w:trPr>
        <w:tc>
          <w:tcPr>
            <w:tcW w:w="845" w:type="dxa"/>
            <w:vAlign w:val="center"/>
            <w:vMerge w:val="restart"/>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lang w:val="zh-CN"/>
              </w:rPr>
              <w:t xml:space="preserve">序号</w:t>
            </w:r>
            <w:r>
              <w:rPr>
                <w:highlight w:val="none"/>
              </w:rPr>
            </w:r>
            <w:r/>
          </w:p>
        </w:tc>
        <w:tc>
          <w:tcPr>
            <w:tcW w:w="1518" w:type="dxa"/>
            <w:vAlign w:val="center"/>
            <w:vMerge w:val="restart"/>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lang w:val="zh-CN"/>
              </w:rPr>
              <w:t xml:space="preserve">项目</w:t>
            </w:r>
            <w:r>
              <w:rPr>
                <w:highlight w:val="none"/>
              </w:rPr>
            </w:r>
            <w:r/>
          </w:p>
        </w:tc>
        <w:tc>
          <w:tcPr>
            <w:tcW w:w="1054" w:type="dxa"/>
            <w:vAlign w:val="center"/>
            <w:vMerge w:val="restart"/>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lang w:val="zh-CN"/>
              </w:rPr>
              <w:t xml:space="preserve">面积（㎡）</w:t>
            </w:r>
            <w:r>
              <w:rPr>
                <w:highlight w:val="none"/>
              </w:rPr>
            </w:r>
            <w:r/>
          </w:p>
        </w:tc>
        <w:tc>
          <w:tcPr>
            <w:tcW w:w="1061" w:type="dxa"/>
            <w:vAlign w:val="center"/>
            <w:vMerge w:val="restart"/>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lang w:val="zh-CN"/>
              </w:rPr>
              <w:t xml:space="preserve">人员配备</w:t>
            </w:r>
            <w:r>
              <w:rPr>
                <w:highlight w:val="none"/>
              </w:rPr>
            </w:r>
            <w:r/>
          </w:p>
        </w:tc>
        <w:tc>
          <w:tcPr>
            <w:tcW w:w="4470" w:type="dxa"/>
            <w:vAlign w:val="center"/>
            <w:vMerge w:val="restart"/>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rPr>
              <w:t xml:space="preserve">岗位说明</w:t>
            </w:r>
            <w:r>
              <w:rPr>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驻校经理</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shd w:val="clear" w:color="auto" w:fill="f9fafb"/>
              </w:rPr>
              <w:t xml:space="preserve">—</w:t>
            </w:r>
            <w:r>
              <w:rPr>
                <w:rFonts w:hint="eastAsia" w:ascii="宋体" w:hAnsi="宋体" w:cs="宋体"/>
                <w:sz w:val="24"/>
                <w:szCs w:val="24"/>
                <w:highlight w:val="none"/>
              </w:rPr>
              <w:t xml:space="preserve">　</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w:t>
            </w:r>
            <w:r>
              <w:rPr>
                <w:highlight w:val="none"/>
              </w:rPr>
            </w:r>
            <w:r/>
          </w:p>
        </w:tc>
        <w:tc>
          <w:tcPr>
            <w:tcW w:w="4470"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正</w:t>
            </w:r>
            <w:r>
              <w:rPr>
                <w:rFonts w:hint="eastAsia" w:ascii="宋体" w:hAnsi="宋体" w:cs="宋体"/>
                <w:sz w:val="24"/>
                <w:szCs w:val="24"/>
                <w:highlight w:val="none"/>
                <w:lang w:val="en-US" w:eastAsia="zh-CN"/>
              </w:rPr>
              <w:t xml:space="preserve">经理1人，</w:t>
            </w:r>
            <w:r>
              <w:rPr>
                <w:rFonts w:hint="eastAsia" w:ascii="宋体" w:hAnsi="宋体" w:cs="宋体"/>
                <w:sz w:val="24"/>
                <w:szCs w:val="24"/>
                <w:highlight w:val="none"/>
                <w:lang w:eastAsia="zh-CN"/>
              </w:rPr>
              <w:t xml:space="preserve">具有物业管理师（员）职业技能等级证书三级或以上职业技能等级证书（</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），具有中级及以上职称，具有本科及以上学历（</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highlight w:val="none"/>
              </w:rPr>
            </w:r>
            <w:r/>
          </w:p>
          <w:p>
            <w:pPr>
              <w:jc w:val="left"/>
              <w:spacing w:line="400" w:lineRule="exact"/>
              <w:rPr>
                <w:rFonts w:hint="default" w:ascii="宋体" w:hAnsi="宋体" w:cs="宋体"/>
                <w:sz w:val="24"/>
                <w:szCs w:val="24"/>
                <w:highlight w:val="none"/>
              </w:rPr>
            </w:pPr>
            <w:r>
              <w:rPr>
                <w:rFonts w:hint="default" w:ascii="宋体" w:hAnsi="宋体" w:cs="宋体"/>
                <w:sz w:val="24"/>
                <w:szCs w:val="24"/>
                <w:highlight w:val="none"/>
                <w:lang w:val="en-US" w:eastAsia="zh-CN"/>
              </w:rPr>
              <w:t xml:space="preserve">驻校正副经理2人中，持有具备四级/中级及以上消防设施操作员证或建（构）筑物消防员证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w:t>
            </w:r>
            <w:r>
              <w:rPr>
                <w:highlight w:val="none"/>
              </w:rPr>
            </w:r>
            <w:r/>
          </w:p>
        </w:tc>
      </w:tr>
      <w:tr>
        <w:trPr>
          <w:trHeight w:val="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项目组主管</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shd w:val="clear" w:color="auto" w:fill="f9fafb"/>
              </w:rPr>
              <w:t xml:space="preserve">—</w:t>
            </w:r>
            <w:r>
              <w:rPr>
                <w:rFonts w:hint="eastAsia" w:ascii="宋体" w:hAnsi="宋体" w:cs="宋体"/>
                <w:sz w:val="24"/>
                <w:szCs w:val="24"/>
                <w:highlight w:val="none"/>
              </w:rPr>
              <w:t xml:space="preserve">　</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7</w:t>
            </w:r>
            <w:r>
              <w:rPr>
                <w:highlight w:val="none"/>
              </w:rPr>
            </w:r>
            <w:r/>
          </w:p>
        </w:tc>
        <w:tc>
          <w:tcPr>
            <w:tcW w:w="4470"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综合组1人；场馆组1人；维修组1人；宿舍组1人；设备组1人；环境组1人；绿化组1人</w:t>
            </w:r>
            <w:r>
              <w:rPr>
                <w:highlight w:val="none"/>
              </w:rPr>
            </w:r>
            <w:r/>
          </w:p>
        </w:tc>
      </w:tr>
      <w:tr>
        <w:trPr>
          <w:trHeight w:val="558"/>
        </w:trPr>
        <w:tc>
          <w:tcPr>
            <w:shd w:val="clear" w:color="auto" w:fill="auto"/>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3</w:t>
            </w:r>
            <w:r>
              <w:rPr>
                <w:highlight w:val="none"/>
              </w:rPr>
            </w:r>
            <w:r/>
          </w:p>
        </w:tc>
        <w:tc>
          <w:tcPr>
            <w:shd w:val="clear" w:color="auto" w:fill="auto"/>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行政楼</w:t>
            </w:r>
            <w:r>
              <w:rPr>
                <w:highlight w:val="none"/>
              </w:rPr>
            </w:r>
            <w:r/>
          </w:p>
        </w:tc>
        <w:tc>
          <w:tcPr>
            <w:shd w:val="clear" w:color="auto" w:fill="auto"/>
            <w:tcW w:w="1054" w:type="dxa"/>
            <w:vAlign w:val="center"/>
            <w:textDirection w:val="lrTb"/>
            <w:noWrap w:val="false"/>
          </w:tcPr>
          <w:p>
            <w:pPr>
              <w:jc w:val="center"/>
              <w:spacing w:line="400" w:lineRule="exact"/>
              <w:rPr>
                <w:rFonts w:ascii="宋体" w:hAnsi="宋体" w:cs="宋体"/>
                <w:b/>
                <w:bCs/>
                <w:sz w:val="24"/>
                <w:szCs w:val="24"/>
                <w:highlight w:val="none"/>
              </w:rPr>
            </w:pPr>
            <w:r>
              <w:rPr>
                <w:rFonts w:hint="eastAsia" w:ascii="宋体" w:hAnsi="宋体" w:cs="宋体"/>
                <w:sz w:val="24"/>
                <w:szCs w:val="24"/>
                <w:highlight w:val="none"/>
              </w:rPr>
              <w:t xml:space="preserve">8206</w:t>
            </w:r>
            <w:r>
              <w:rPr>
                <w:highlight w:val="none"/>
              </w:rPr>
            </w:r>
            <w:r/>
          </w:p>
        </w:tc>
        <w:tc>
          <w:tcPr>
            <w:shd w:val="clear" w:color="000000" w:fill="ffffff"/>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4</w:t>
            </w:r>
            <w:r>
              <w:rPr>
                <w:highlight w:val="none"/>
              </w:rPr>
            </w:r>
            <w:r/>
          </w:p>
        </w:tc>
        <w:tc>
          <w:tcPr>
            <w:tcW w:w="4470"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3名保洁（1、2楼、附楼楼梯公共区域1人，3楼、5楼1人，4楼会议室、部分办公室、卫生间、过道1人）（其中：至少有一个45周岁以下的女性负责会议）、前台1人（女性，45</w:t>
            </w:r>
            <w:r>
              <w:rPr>
                <w:rFonts w:hint="eastAsia" w:ascii="宋体" w:hAnsi="宋体"/>
                <w:bCs/>
                <w:sz w:val="24"/>
                <w:szCs w:val="24"/>
                <w:highlight w:val="none"/>
              </w:rPr>
              <w:t xml:space="preserve">周岁</w:t>
            </w:r>
            <w:r>
              <w:rPr>
                <w:rFonts w:hint="eastAsia" w:ascii="宋体" w:hAnsi="宋体" w:cs="宋体"/>
                <w:sz w:val="24"/>
                <w:szCs w:val="24"/>
                <w:highlight w:val="none"/>
              </w:rPr>
              <w:t xml:space="preserve">及以下）</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highlight w:val="none"/>
              </w:rPr>
            </w:r>
            <w:r/>
          </w:p>
        </w:tc>
      </w:tr>
      <w:tr>
        <w:trPr>
          <w:trHeight w:val="940"/>
        </w:trPr>
        <w:tc>
          <w:tcPr>
            <w:shd w:val="clear" w:color="auto" w:fill="auto"/>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4</w:t>
            </w:r>
            <w:r>
              <w:rPr>
                <w:highlight w:val="none"/>
              </w:rPr>
            </w:r>
            <w:r/>
          </w:p>
        </w:tc>
        <w:tc>
          <w:tcPr>
            <w:shd w:val="clear" w:color="auto" w:fill="auto"/>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图书馆（含田径场）</w:t>
            </w:r>
            <w:r>
              <w:rPr>
                <w:highlight w:val="none"/>
              </w:rPr>
            </w:r>
            <w:r/>
          </w:p>
        </w:tc>
        <w:tc>
          <w:tcPr>
            <w:shd w:val="clear" w:color="auto" w:fill="auto"/>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32985+3430</w:t>
            </w:r>
            <w:r>
              <w:rPr>
                <w:highlight w:val="none"/>
              </w:rPr>
            </w:r>
            <w:r/>
          </w:p>
        </w:tc>
        <w:tc>
          <w:tcPr>
            <w:shd w:val="clear" w:color="000000" w:fill="ffffff"/>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7</w:t>
            </w:r>
            <w:r>
              <w:rPr>
                <w:highlight w:val="none"/>
              </w:rPr>
            </w:r>
            <w:r/>
          </w:p>
        </w:tc>
        <w:tc>
          <w:tcPr>
            <w:tcW w:w="4470" w:type="dxa"/>
            <w:vAlign w:val="center"/>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保洁人员要求：</w:t>
            </w:r>
            <w:r>
              <w:rPr>
                <w:highlight w:val="none"/>
              </w:rPr>
            </w:r>
            <w:r/>
          </w:p>
          <w:p>
            <w:pPr>
              <w:spacing w:line="40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1、4楼、多功能厅2人（其中：女性，45周岁及以下不少于1人负责会议），3、5楼1人，6楼（公共机房）1人，7、8、9楼和校史馆2人，2楼（报告厅）1人（女性，45周岁及以下负责会议）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highlight w:val="none"/>
              </w:rPr>
            </w:r>
            <w:r/>
          </w:p>
        </w:tc>
      </w:tr>
      <w:tr>
        <w:trPr>
          <w:trHeight w:val="970"/>
        </w:trPr>
        <w:tc>
          <w:tcPr>
            <w:shd w:val="clear" w:color="auto" w:fill="auto"/>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5</w:t>
            </w:r>
            <w:r>
              <w:rPr>
                <w:highlight w:val="none"/>
              </w:rPr>
            </w:r>
            <w:r/>
          </w:p>
        </w:tc>
        <w:tc>
          <w:tcPr>
            <w:shd w:val="clear" w:color="auto" w:fill="auto"/>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体育馆</w:t>
            </w:r>
            <w:r>
              <w:rPr>
                <w:highlight w:val="none"/>
              </w:rPr>
            </w:r>
            <w:r/>
          </w:p>
        </w:tc>
        <w:tc>
          <w:tcPr>
            <w:shd w:val="clear" w:color="auto" w:fill="auto"/>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15560</w:t>
            </w:r>
            <w:r>
              <w:rPr>
                <w:highlight w:val="none"/>
              </w:rPr>
            </w:r>
            <w:r/>
          </w:p>
        </w:tc>
        <w:tc>
          <w:tcPr>
            <w:shd w:val="clear" w:color="000000" w:fill="ffffff"/>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5</w:t>
            </w:r>
            <w:r>
              <w:rPr>
                <w:highlight w:val="none"/>
              </w:rPr>
            </w:r>
            <w:r/>
          </w:p>
        </w:tc>
        <w:tc>
          <w:tcPr>
            <w:tcW w:w="4470" w:type="dxa"/>
            <w:vAlign w:val="center"/>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保洁人员要求：</w:t>
            </w:r>
            <w:r>
              <w:rPr>
                <w:highlight w:val="none"/>
              </w:rPr>
            </w:r>
            <w:r/>
          </w:p>
          <w:p>
            <w:pPr>
              <w:spacing w:line="40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篮球馆和大厅东1人；大厅（南）、2楼平台、过道1人；附楼、1、4楼1人，2、3楼2人</w:t>
            </w:r>
            <w:r>
              <w:rPr>
                <w:rFonts w:hint="eastAsia" w:ascii="宋体" w:hAnsi="宋体" w:cs="宋体"/>
                <w:sz w:val="24"/>
                <w:szCs w:val="24"/>
                <w:highlight w:val="none"/>
                <w:lang w:eastAsia="zh-CN"/>
              </w:rPr>
              <w:t xml:space="preserve">。</w:t>
            </w:r>
            <w:r>
              <w:rPr>
                <w:highlight w:val="none"/>
              </w:rPr>
            </w:r>
            <w:r/>
          </w:p>
        </w:tc>
      </w:tr>
      <w:tr>
        <w:trPr>
          <w:trHeight w:val="670"/>
        </w:trPr>
        <w:tc>
          <w:tcPr>
            <w:shd w:val="clear" w:color="auto" w:fill="auto"/>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6</w:t>
            </w:r>
            <w:r>
              <w:rPr>
                <w:highlight w:val="none"/>
              </w:rPr>
            </w:r>
            <w:r/>
          </w:p>
        </w:tc>
        <w:tc>
          <w:tcPr>
            <w:shd w:val="clear" w:color="auto" w:fill="auto"/>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教学一</w:t>
            </w:r>
            <w:r>
              <w:rPr>
                <w:highlight w:val="none"/>
              </w:rPr>
            </w:r>
            <w:r/>
          </w:p>
        </w:tc>
        <w:tc>
          <w:tcPr>
            <w:shd w:val="clear" w:color="auto" w:fill="auto"/>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7098</w:t>
            </w:r>
            <w:r>
              <w:rPr>
                <w:highlight w:val="none"/>
              </w:rPr>
            </w:r>
            <w:r/>
          </w:p>
        </w:tc>
        <w:tc>
          <w:tcPr>
            <w:shd w:val="clear" w:color="000000" w:fill="ffffff"/>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4</w:t>
            </w:r>
            <w:r>
              <w:rPr>
                <w:highlight w:val="none"/>
              </w:rPr>
            </w:r>
            <w:r/>
          </w:p>
        </w:tc>
        <w:tc>
          <w:tcPr>
            <w:tcW w:w="4470" w:type="dxa"/>
            <w:vAlign w:val="center"/>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保洁人员要求：</w:t>
            </w:r>
            <w:r>
              <w:rPr>
                <w:highlight w:val="none"/>
              </w:rPr>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室内2人，公共区域2人</w:t>
            </w:r>
            <w:r>
              <w:rPr>
                <w:highlight w:val="none"/>
              </w:rPr>
            </w:r>
            <w:r/>
          </w:p>
        </w:tc>
      </w:tr>
      <w:tr>
        <w:trPr>
          <w:trHeight w:val="595"/>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7</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教学二</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20193</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5</w:t>
            </w:r>
            <w:r>
              <w:rPr>
                <w:highlight w:val="none"/>
              </w:rPr>
            </w:r>
            <w:r/>
          </w:p>
        </w:tc>
        <w:tc>
          <w:tcPr>
            <w:tcW w:w="4470" w:type="dxa"/>
            <w:vAlign w:val="center"/>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保洁人员要求：</w:t>
            </w:r>
            <w:r>
              <w:rPr>
                <w:highlight w:val="none"/>
              </w:rPr>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室内2人，公共区域3人</w:t>
            </w:r>
            <w:r>
              <w:rPr>
                <w:highlight w:val="none"/>
              </w:rPr>
            </w:r>
            <w:r/>
          </w:p>
        </w:tc>
      </w:tr>
      <w:tr>
        <w:trPr>
          <w:trHeight w:val="559"/>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8</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教学三</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16513</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6</w:t>
            </w:r>
            <w:r>
              <w:rPr>
                <w:highlight w:val="none"/>
              </w:rPr>
            </w:r>
            <w:r/>
          </w:p>
        </w:tc>
        <w:tc>
          <w:tcPr>
            <w:tcW w:w="4470" w:type="dxa"/>
            <w:vAlign w:val="center"/>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保洁人员要求：</w:t>
            </w:r>
            <w:r>
              <w:rPr>
                <w:highlight w:val="none"/>
              </w:rPr>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室内2人，公共区域4人</w:t>
            </w:r>
            <w:r>
              <w:rPr>
                <w:highlight w:val="none"/>
              </w:rPr>
            </w:r>
            <w:r/>
          </w:p>
        </w:tc>
      </w:tr>
      <w:tr>
        <w:trPr>
          <w:trHeight w:val="620"/>
        </w:trPr>
        <w:tc>
          <w:tcPr>
            <w:tcW w:w="845" w:type="dxa"/>
            <w:vAlign w:val="center"/>
            <w:textDirection w:val="lrTb"/>
            <w:noWrap w:val="false"/>
          </w:tcPr>
          <w:p>
            <w:pPr>
              <w:jc w:val="center"/>
              <w:spacing w:line="400" w:lineRule="exact"/>
              <w:rPr>
                <w:rFonts w:ascii="宋体" w:hAnsi="宋体" w:cs="宋体"/>
                <w:sz w:val="24"/>
                <w:szCs w:val="24"/>
                <w:highlight w:val="none"/>
              </w:rPr>
            </w:pPr>
            <w:r>
              <w:rPr>
                <w:highlight w:val="none"/>
              </w:rPr>
            </w:r>
            <w:bookmarkStart w:id="194" w:name="OLE_LINK3"/>
            <w:r>
              <w:rPr>
                <w:highlight w:val="none"/>
              </w:rPr>
            </w:r>
            <w:bookmarkStart w:id="195" w:name="OLE_LINK5"/>
            <w:r>
              <w:rPr>
                <w:highlight w:val="none"/>
              </w:rPr>
            </w:r>
            <w:bookmarkStart w:id="196" w:name="_Hlk200956798"/>
            <w:r>
              <w:rPr>
                <w:rFonts w:hint="eastAsia" w:ascii="宋体" w:hAnsi="宋体" w:cs="宋体"/>
                <w:sz w:val="24"/>
                <w:szCs w:val="24"/>
                <w:highlight w:val="none"/>
              </w:rPr>
              <w:t xml:space="preserve">9</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实训一</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20712</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5</w:t>
            </w:r>
            <w:r>
              <w:rPr>
                <w:highlight w:val="none"/>
              </w:rPr>
            </w:r>
            <w:r/>
          </w:p>
        </w:tc>
        <w:tc>
          <w:tcPr>
            <w:tcW w:w="4470" w:type="dxa"/>
            <w:vAlign w:val="center"/>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保洁人员要求：</w:t>
            </w:r>
            <w:r>
              <w:rPr>
                <w:highlight w:val="none"/>
              </w:rPr>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A楼2人，B楼2人，C楼1人</w:t>
            </w:r>
            <w:r>
              <w:rPr>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10</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实训二</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8328</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4470"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2027年起移交给乙方管理（目前甲方负责管理）</w:t>
            </w:r>
            <w:bookmarkEnd w:id="194"/>
            <w:r/>
            <w:bookmarkEnd w:id="195"/>
            <w:r/>
            <w:bookmarkEnd w:id="196"/>
            <w:r>
              <w:rPr>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11</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实训三</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6791</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3</w:t>
            </w:r>
            <w:r>
              <w:rPr>
                <w:highlight w:val="none"/>
              </w:rPr>
            </w:r>
            <w:r/>
          </w:p>
        </w:tc>
        <w:tc>
          <w:tcPr>
            <w:tcW w:w="4470"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含实训用餐厨垃圾清运</w:t>
            </w:r>
            <w:r>
              <w:rPr>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12</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创业园A</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2820</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4470"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按照校方要求开展工作</w:t>
            </w:r>
            <w:r>
              <w:rPr>
                <w:highlight w:val="none"/>
              </w:rPr>
            </w:r>
            <w:r/>
          </w:p>
        </w:tc>
      </w:tr>
      <w:tr>
        <w:trPr>
          <w:trHeight w:val="68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13</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创业园B\C\D</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1825</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4470"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按照校方要求开展工作</w:t>
            </w:r>
            <w:r>
              <w:rPr>
                <w:highlight w:val="none"/>
              </w:rPr>
            </w:r>
            <w:r/>
          </w:p>
        </w:tc>
      </w:tr>
      <w:tr>
        <w:trPr>
          <w:trHeight w:val="66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14</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各类值班室</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shd w:val="clear" w:color="auto" w:fill="f9fafb"/>
              </w:rPr>
              <w:t xml:space="preserve">—</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4470"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color w:val="000000"/>
                <w:sz w:val="24"/>
                <w:szCs w:val="24"/>
                <w:highlight w:val="none"/>
              </w:rPr>
              <w:t xml:space="preserve">负责值班人员入住登记管理、房间保洁、床上用品换洗、公共区域保洁</w:t>
            </w:r>
            <w:r>
              <w:rPr>
                <w:highlight w:val="none"/>
              </w:rPr>
            </w:r>
            <w:r/>
          </w:p>
        </w:tc>
      </w:tr>
      <w:tr>
        <w:trPr>
          <w:trHeight w:val="66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15</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青年教工公寓1号楼（北）</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2915</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4470"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按照校方要求开展工作</w:t>
            </w:r>
            <w:r>
              <w:rPr>
                <w:highlight w:val="none"/>
              </w:rPr>
            </w:r>
            <w:r/>
          </w:p>
        </w:tc>
      </w:tr>
      <w:tr>
        <w:trPr>
          <w:trHeight w:val="66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16</w:t>
            </w:r>
            <w:r>
              <w:rPr>
                <w:highlight w:val="none"/>
              </w:rPr>
            </w:r>
            <w:r/>
          </w:p>
        </w:tc>
        <w:tc>
          <w:tcPr>
            <w:tcW w:w="1518"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青年教工公寓1号楼（南）</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2508</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4470"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按照校方要求开展工作</w:t>
            </w:r>
            <w:r>
              <w:rPr>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17</w:t>
            </w:r>
            <w:r>
              <w:rPr>
                <w:highlight w:val="none"/>
              </w:rPr>
            </w:r>
            <w:r/>
          </w:p>
        </w:tc>
        <w:tc>
          <w:tcPr>
            <w:tcW w:w="1518"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学生宿舍垃圾外运</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shd w:val="clear" w:color="auto" w:fill="f9fafb"/>
              </w:rPr>
              <w:t xml:space="preserve">—</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w:t>
            </w:r>
            <w:r>
              <w:rPr>
                <w:highlight w:val="none"/>
              </w:rPr>
            </w:r>
            <w:r/>
          </w:p>
        </w:tc>
        <w:tc>
          <w:tcPr>
            <w:tcW w:w="4470"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按照校方要求将垃圾清运至校内指定地点</w:t>
            </w:r>
            <w:r>
              <w:rPr>
                <w:highlight w:val="none"/>
              </w:rPr>
            </w:r>
            <w:r/>
          </w:p>
        </w:tc>
      </w:tr>
      <w:tr>
        <w:trPr>
          <w:trHeight w:val="363"/>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18</w:t>
            </w:r>
            <w:r>
              <w:rPr>
                <w:highlight w:val="none"/>
              </w:rPr>
            </w:r>
            <w:r/>
          </w:p>
        </w:tc>
        <w:tc>
          <w:tcPr>
            <w:tcW w:w="1518" w:type="dxa"/>
            <w:vAlign w:val="center"/>
            <w:textDirection w:val="lrTb"/>
            <w:noWrap/>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学宿1</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7627</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9</w:t>
            </w:r>
            <w:r>
              <w:rPr>
                <w:highlight w:val="none"/>
              </w:rPr>
            </w:r>
            <w:r/>
          </w:p>
        </w:tc>
        <w:tc>
          <w:tcPr>
            <w:tcW w:w="4470" w:type="dxa"/>
            <w:vAlign w:val="center"/>
            <w:vMerge w:val="restart"/>
            <w:textDirection w:val="lrTb"/>
            <w:noWrap w:val="false"/>
          </w:tcPr>
          <w:p>
            <w:pPr>
              <w:spacing w:line="400" w:lineRule="exact"/>
              <w:rPr>
                <w:rFonts w:hint="eastAsia" w:ascii="宋体" w:hAnsi="宋体" w:eastAsia="宋体" w:cs="宋体"/>
                <w:sz w:val="24"/>
                <w:szCs w:val="24"/>
                <w:highlight w:val="none"/>
              </w:rPr>
            </w:pPr>
            <w:r>
              <w:rPr>
                <w:highlight w:val="none"/>
              </w:rPr>
            </w:r>
            <w:bookmarkStart w:id="197" w:name="OLE_LINK11"/>
            <w:r>
              <w:rPr>
                <w:rFonts w:hint="eastAsia" w:ascii="宋体" w:hAnsi="宋体" w:cs="宋体"/>
                <w:sz w:val="24"/>
                <w:szCs w:val="24"/>
                <w:highlight w:val="none"/>
              </w:rPr>
              <w:t xml:space="preserve">按照校方要求开展工作</w:t>
            </w:r>
            <w:r>
              <w:rPr>
                <w:rFonts w:hint="eastAsia" w:ascii="宋体" w:hAnsi="宋体" w:cs="宋体"/>
                <w:sz w:val="24"/>
                <w:szCs w:val="24"/>
                <w:highlight w:val="none"/>
                <w:lang w:eastAsia="zh-CN"/>
              </w:rPr>
              <w:t xml:space="preserve">。</w:t>
            </w:r>
            <w:bookmarkEnd w:id="197"/>
            <w:r>
              <w:rPr>
                <w:highlight w:val="none"/>
              </w:rPr>
            </w:r>
            <w:r/>
          </w:p>
          <w:p>
            <w:pPr>
              <w:spacing w:line="400" w:lineRule="exact"/>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19</w:t>
            </w:r>
            <w:r>
              <w:rPr>
                <w:highlight w:val="none"/>
              </w:rPr>
            </w:r>
            <w:r/>
          </w:p>
        </w:tc>
        <w:tc>
          <w:tcPr>
            <w:tcW w:w="1518" w:type="dxa"/>
            <w:vAlign w:val="center"/>
            <w:textDirection w:val="lrTb"/>
            <w:noWrap/>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学宿2</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13185</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6</w:t>
            </w:r>
            <w:r>
              <w:rPr>
                <w:highlight w:val="none"/>
              </w:rPr>
            </w:r>
            <w:r/>
          </w:p>
        </w:tc>
        <w:tc>
          <w:tcPr>
            <w:tcW w:w="4470" w:type="dxa"/>
            <w:vAlign w:val="center"/>
            <w:vMerge w:val="continue"/>
            <w:textDirection w:val="lrTb"/>
            <w:noWrap w:val="false"/>
          </w:tcPr>
          <w:p>
            <w:pPr>
              <w:spacing w:line="400" w:lineRule="exact"/>
              <w:rPr>
                <w:rFonts w:ascii="宋体" w:hAnsi="宋体" w:cs="宋体"/>
                <w:sz w:val="24"/>
                <w:szCs w:val="24"/>
                <w:highlight w:val="none"/>
              </w:rPr>
            </w:pPr>
            <w:r>
              <w:rPr>
                <w:rFonts w:ascii="宋体" w:hAnsi="宋体" w:cs="宋体"/>
                <w:sz w:val="24"/>
                <w:szCs w:val="24"/>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20</w:t>
            </w:r>
            <w:r>
              <w:rPr>
                <w:highlight w:val="none"/>
              </w:rPr>
            </w:r>
            <w:r/>
          </w:p>
        </w:tc>
        <w:tc>
          <w:tcPr>
            <w:tcW w:w="1518" w:type="dxa"/>
            <w:vAlign w:val="center"/>
            <w:textDirection w:val="lrTb"/>
            <w:noWrap/>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学宿3</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12556</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6</w:t>
            </w:r>
            <w:r>
              <w:rPr>
                <w:highlight w:val="none"/>
              </w:rPr>
            </w:r>
            <w:r/>
          </w:p>
        </w:tc>
        <w:tc>
          <w:tcPr>
            <w:tcW w:w="4470" w:type="dxa"/>
            <w:vAlign w:val="center"/>
            <w:vMerge w:val="continue"/>
            <w:textDirection w:val="lrTb"/>
            <w:noWrap w:val="false"/>
          </w:tcPr>
          <w:p>
            <w:pPr>
              <w:spacing w:line="400" w:lineRule="exact"/>
              <w:rPr>
                <w:rFonts w:ascii="宋体" w:hAnsi="宋体" w:cs="宋体"/>
                <w:sz w:val="24"/>
                <w:szCs w:val="24"/>
                <w:highlight w:val="none"/>
              </w:rPr>
            </w:pPr>
            <w:r>
              <w:rPr>
                <w:rFonts w:ascii="宋体" w:hAnsi="宋体" w:cs="宋体"/>
                <w:sz w:val="24"/>
                <w:szCs w:val="24"/>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21</w:t>
            </w:r>
            <w:r>
              <w:rPr>
                <w:highlight w:val="none"/>
              </w:rPr>
            </w:r>
            <w:r/>
          </w:p>
        </w:tc>
        <w:tc>
          <w:tcPr>
            <w:tcW w:w="1518" w:type="dxa"/>
            <w:vAlign w:val="center"/>
            <w:textDirection w:val="lrTb"/>
            <w:noWrap/>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学宿4</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12556</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6</w:t>
            </w:r>
            <w:r>
              <w:rPr>
                <w:highlight w:val="none"/>
              </w:rPr>
            </w:r>
            <w:r/>
          </w:p>
        </w:tc>
        <w:tc>
          <w:tcPr>
            <w:tcW w:w="4470" w:type="dxa"/>
            <w:vAlign w:val="center"/>
            <w:vMerge w:val="continue"/>
            <w:textDirection w:val="lrTb"/>
            <w:noWrap w:val="false"/>
          </w:tcPr>
          <w:p>
            <w:pPr>
              <w:spacing w:line="400" w:lineRule="exact"/>
              <w:rPr>
                <w:rFonts w:ascii="宋体" w:hAnsi="宋体" w:cs="宋体"/>
                <w:sz w:val="24"/>
                <w:szCs w:val="24"/>
                <w:highlight w:val="none"/>
              </w:rPr>
            </w:pPr>
            <w:r>
              <w:rPr>
                <w:rFonts w:ascii="宋体" w:hAnsi="宋体" w:cs="宋体"/>
                <w:sz w:val="24"/>
                <w:szCs w:val="24"/>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22</w:t>
            </w:r>
            <w:r>
              <w:rPr>
                <w:highlight w:val="none"/>
              </w:rPr>
            </w:r>
            <w:r/>
          </w:p>
        </w:tc>
        <w:tc>
          <w:tcPr>
            <w:tcW w:w="1518" w:type="dxa"/>
            <w:vAlign w:val="center"/>
            <w:textDirection w:val="lrTb"/>
            <w:noWrap/>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学宿5</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12556</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6</w:t>
            </w:r>
            <w:r>
              <w:rPr>
                <w:highlight w:val="none"/>
              </w:rPr>
            </w:r>
            <w:r/>
          </w:p>
        </w:tc>
        <w:tc>
          <w:tcPr>
            <w:tcW w:w="4470" w:type="dxa"/>
            <w:vAlign w:val="center"/>
            <w:vMerge w:val="continue"/>
            <w:textDirection w:val="lrTb"/>
            <w:noWrap w:val="false"/>
          </w:tcPr>
          <w:p>
            <w:pPr>
              <w:spacing w:line="400" w:lineRule="exact"/>
              <w:rPr>
                <w:rFonts w:ascii="宋体" w:hAnsi="宋体" w:cs="宋体"/>
                <w:sz w:val="24"/>
                <w:szCs w:val="24"/>
                <w:highlight w:val="none"/>
              </w:rPr>
            </w:pPr>
            <w:r>
              <w:rPr>
                <w:rFonts w:ascii="宋体" w:hAnsi="宋体" w:cs="宋体"/>
                <w:sz w:val="24"/>
                <w:szCs w:val="24"/>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23</w:t>
            </w:r>
            <w:r>
              <w:rPr>
                <w:highlight w:val="none"/>
              </w:rPr>
            </w:r>
            <w:r/>
          </w:p>
        </w:tc>
        <w:tc>
          <w:tcPr>
            <w:tcW w:w="1518" w:type="dxa"/>
            <w:vAlign w:val="center"/>
            <w:textDirection w:val="lrTb"/>
            <w:noWrap/>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学宿6</w:t>
            </w:r>
            <w:r>
              <w:rPr>
                <w:highlight w:val="none"/>
              </w:rPr>
            </w:r>
            <w:r/>
          </w:p>
        </w:tc>
        <w:tc>
          <w:tcPr>
            <w:tcW w:w="1054"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15014</w:t>
            </w:r>
            <w:r>
              <w:rPr>
                <w:highlight w:val="none"/>
              </w:rPr>
            </w:r>
            <w:r/>
          </w:p>
        </w:tc>
        <w:tc>
          <w:tcPr>
            <w:tcW w:w="1061" w:type="dxa"/>
            <w:vAlign w:val="center"/>
            <w:textDirection w:val="lrTb"/>
            <w:noWrap w:val="false"/>
          </w:tcPr>
          <w:p>
            <w:pPr>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6</w:t>
            </w:r>
            <w:r>
              <w:rPr>
                <w:highlight w:val="none"/>
              </w:rPr>
            </w:r>
            <w:r/>
          </w:p>
        </w:tc>
        <w:tc>
          <w:tcPr>
            <w:tcW w:w="4470" w:type="dxa"/>
            <w:vAlign w:val="center"/>
            <w:vMerge w:val="continue"/>
            <w:textDirection w:val="lrTb"/>
            <w:noWrap w:val="false"/>
          </w:tcPr>
          <w:p>
            <w:pPr>
              <w:spacing w:line="400" w:lineRule="exact"/>
              <w:rPr>
                <w:rFonts w:ascii="宋体" w:hAnsi="宋体" w:cs="宋体"/>
                <w:sz w:val="24"/>
                <w:szCs w:val="24"/>
                <w:highlight w:val="none"/>
              </w:rPr>
            </w:pPr>
            <w:r>
              <w:rPr>
                <w:rFonts w:ascii="宋体" w:hAnsi="宋体" w:cs="宋体"/>
                <w:sz w:val="24"/>
                <w:szCs w:val="24"/>
                <w:highlight w:val="none"/>
              </w:rPr>
            </w:r>
            <w:r/>
          </w:p>
        </w:tc>
      </w:tr>
      <w:tr>
        <w:trPr>
          <w:trHeight w:val="331"/>
        </w:trPr>
        <w:tc>
          <w:tcPr>
            <w:tcW w:w="8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rPr>
                <w:highlight w:val="none"/>
              </w:rPr>
            </w:r>
            <w:r/>
          </w:p>
        </w:tc>
        <w:tc>
          <w:tcPr>
            <w:tcW w:w="1518" w:type="dxa"/>
            <w:vAlign w:val="center"/>
            <w:textDirection w:val="lrTb"/>
            <w:noWrap/>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学宿7</w:t>
            </w:r>
            <w:r>
              <w:rPr>
                <w:highlight w:val="none"/>
              </w:rPr>
            </w:r>
            <w:r/>
          </w:p>
        </w:tc>
        <w:tc>
          <w:tcPr>
            <w:tcW w:w="1054" w:type="dxa"/>
            <w:vAlign w:val="bottom"/>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11202</w:t>
            </w:r>
            <w:r>
              <w:rPr>
                <w:highlight w:val="none"/>
              </w:rPr>
            </w:r>
            <w:r/>
          </w:p>
        </w:tc>
        <w:tc>
          <w:tcPr>
            <w:tcW w:w="1061"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highlight w:val="none"/>
              </w:rPr>
            </w:r>
            <w:r/>
          </w:p>
        </w:tc>
        <w:tc>
          <w:tcPr>
            <w:tcW w:w="4470" w:type="dxa"/>
            <w:vAlign w:val="bottom"/>
            <w:vMerge w:val="continue"/>
            <w:textDirection w:val="lrTb"/>
            <w:noWrap/>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121"/>
        </w:trPr>
        <w:tc>
          <w:tcPr>
            <w:tcW w:w="8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w:t>
            </w:r>
            <w:r>
              <w:rPr>
                <w:highlight w:val="none"/>
              </w:rPr>
            </w:r>
            <w:r/>
          </w:p>
        </w:tc>
        <w:tc>
          <w:tcPr>
            <w:tcW w:w="1518" w:type="dxa"/>
            <w:vAlign w:val="center"/>
            <w:textDirection w:val="lrTb"/>
            <w:noWrap/>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学宿8</w:t>
            </w:r>
            <w:r>
              <w:rPr>
                <w:highlight w:val="none"/>
              </w:rPr>
            </w:r>
            <w:r/>
          </w:p>
        </w:tc>
        <w:tc>
          <w:tcPr>
            <w:tcW w:w="1054" w:type="dxa"/>
            <w:vAlign w:val="bottom"/>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16000</w:t>
            </w:r>
            <w:r>
              <w:rPr>
                <w:highlight w:val="none"/>
              </w:rPr>
            </w:r>
            <w:r/>
          </w:p>
        </w:tc>
        <w:tc>
          <w:tcPr>
            <w:tcW w:w="1061"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highlight w:val="none"/>
              </w:rPr>
            </w:r>
            <w:r/>
          </w:p>
        </w:tc>
        <w:tc>
          <w:tcPr>
            <w:tcW w:w="4470" w:type="dxa"/>
            <w:vAlign w:val="bottom"/>
            <w:vMerge w:val="continue"/>
            <w:textDirection w:val="lrTb"/>
            <w:noWrap/>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w:t>
            </w:r>
            <w:r>
              <w:rPr>
                <w:highlight w:val="none"/>
              </w:rPr>
            </w:r>
            <w:r/>
          </w:p>
        </w:tc>
        <w:tc>
          <w:tcPr>
            <w:tcW w:w="1518" w:type="dxa"/>
            <w:vAlign w:val="center"/>
            <w:textDirection w:val="lrTb"/>
            <w:noWrap/>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留学生公寓</w:t>
            </w:r>
            <w:r>
              <w:rPr>
                <w:highlight w:val="none"/>
              </w:rPr>
            </w:r>
            <w:r/>
          </w:p>
        </w:tc>
        <w:tc>
          <w:tcPr>
            <w:tcW w:w="1054"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1407</w:t>
            </w:r>
            <w:r>
              <w:rPr>
                <w:highlight w:val="none"/>
              </w:rPr>
            </w:r>
            <w:r/>
          </w:p>
        </w:tc>
        <w:tc>
          <w:tcPr>
            <w:tcW w:w="106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highlight w:val="none"/>
              </w:rPr>
            </w:r>
            <w:r/>
          </w:p>
        </w:tc>
        <w:tc>
          <w:tcPr>
            <w:tcW w:w="4470" w:type="dxa"/>
            <w:vAlign w:val="bottom"/>
            <w:vMerge w:val="continue"/>
            <w:textDirection w:val="lrTb"/>
            <w:noWrap/>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0"/>
        </w:trPr>
        <w:tc>
          <w:tcPr>
            <w:tcW w:w="8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w:t>
            </w:r>
            <w:r>
              <w:rPr>
                <w:highlight w:val="none"/>
              </w:rPr>
            </w:r>
            <w:r/>
          </w:p>
        </w:tc>
        <w:tc>
          <w:tcPr>
            <w:tcW w:w="1518" w:type="dxa"/>
            <w:vAlign w:val="center"/>
            <w:textDirection w:val="lrTb"/>
            <w:noWrap/>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维修工</w:t>
            </w:r>
            <w:r>
              <w:rPr>
                <w:highlight w:val="none"/>
              </w:rPr>
            </w:r>
            <w:r/>
          </w:p>
        </w:tc>
        <w:tc>
          <w:tcPr>
            <w:tcW w:w="1054"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shd w:val="clear" w:color="auto" w:fill="f9fafb"/>
              </w:rPr>
              <w:t xml:space="preserve">—</w:t>
            </w:r>
            <w:r>
              <w:rPr>
                <w:highlight w:val="none"/>
              </w:rPr>
            </w:r>
            <w:r/>
          </w:p>
        </w:tc>
        <w:tc>
          <w:tcPr>
            <w:tcW w:w="1061" w:type="dxa"/>
            <w:vAlign w:val="center"/>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rPr>
                <w:highlight w:val="none"/>
              </w:rPr>
            </w:r>
            <w:r/>
          </w:p>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highlight w:val="none"/>
              </w:rPr>
            </w:r>
            <w:r/>
          </w:p>
        </w:tc>
        <w:tc>
          <w:tcPr>
            <w:tcW w:w="4470" w:type="dxa"/>
            <w:vAlign w:val="bottom"/>
            <w:textDirection w:val="lrTb"/>
            <w:noWrap/>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夜间及节假日时间，每天至少安排2人值班。（水电工、泥木工各1人）。</w:t>
            </w:r>
            <w:r>
              <w:rPr>
                <w:highlight w:val="none"/>
              </w:rPr>
            </w:r>
            <w:r/>
          </w:p>
        </w:tc>
      </w:tr>
      <w:tr>
        <w:trPr>
          <w:trHeight w:val="900"/>
        </w:trPr>
        <w:tc>
          <w:tcPr>
            <w:tcW w:w="8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w:t>
            </w:r>
            <w:r>
              <w:rPr>
                <w:highlight w:val="none"/>
              </w:rPr>
            </w:r>
            <w:r/>
          </w:p>
        </w:tc>
        <w:tc>
          <w:tcPr>
            <w:tcW w:w="1518"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变电所</w:t>
            </w:r>
            <w:r>
              <w:rPr>
                <w:highlight w:val="none"/>
              </w:rPr>
            </w:r>
            <w:r/>
          </w:p>
        </w:tc>
        <w:tc>
          <w:tcPr>
            <w:tcW w:w="1054"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shd w:val="clear" w:color="auto" w:fill="f9fafb"/>
              </w:rPr>
              <w:t xml:space="preserve">—</w:t>
            </w:r>
            <w:r>
              <w:rPr>
                <w:highlight w:val="none"/>
              </w:rPr>
            </w:r>
            <w:r/>
          </w:p>
        </w:tc>
        <w:tc>
          <w:tcPr>
            <w:tcW w:w="106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highlight w:val="none"/>
              </w:rPr>
            </w:r>
            <w:r/>
          </w:p>
        </w:tc>
        <w:tc>
          <w:tcPr>
            <w:tcW w:w="4470" w:type="dxa"/>
            <w:textDirection w:val="lrTb"/>
            <w:noWrap/>
          </w:tcPr>
          <w:p>
            <w:pPr>
              <w:numPr>
                <w:ilvl w:val="-1"/>
                <w:numId w:val="0"/>
              </w:numPr>
              <w:ind w:firstLine="0"/>
              <w:spacing w:line="360" w:lineRule="auto"/>
              <w:tabs>
                <w:tab w:val="left" w:pos="-2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35KV变电所1个，10KV变电所4个，10KV箱变4个，每2小时巡视记录1次；400V低压配电间151个，每天巡视记录1次。</w:t>
            </w:r>
            <w:r>
              <w:rPr>
                <w:highlight w:val="none"/>
              </w:rPr>
            </w:r>
            <w:r/>
          </w:p>
        </w:tc>
      </w:tr>
      <w:tr>
        <w:trPr>
          <w:trHeight w:val="610"/>
        </w:trPr>
        <w:tc>
          <w:tcPr>
            <w:tcW w:w="8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w:t>
            </w:r>
            <w:r>
              <w:rPr>
                <w:highlight w:val="none"/>
              </w:rPr>
            </w:r>
            <w:r/>
          </w:p>
        </w:tc>
        <w:tc>
          <w:tcPr>
            <w:tcW w:w="1518"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外环境保洁员</w:t>
            </w:r>
            <w:r>
              <w:rPr>
                <w:highlight w:val="none"/>
              </w:rPr>
            </w:r>
            <w:r/>
          </w:p>
        </w:tc>
        <w:tc>
          <w:tcPr>
            <w:tcW w:w="1054"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128552</w:t>
            </w:r>
            <w:r>
              <w:rPr>
                <w:highlight w:val="none"/>
              </w:rPr>
            </w:r>
            <w:r/>
          </w:p>
        </w:tc>
        <w:tc>
          <w:tcPr>
            <w:tcW w:w="106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highlight w:val="none"/>
              </w:rPr>
            </w:r>
            <w:r/>
          </w:p>
        </w:tc>
        <w:tc>
          <w:tcPr>
            <w:tcW w:w="4470" w:type="dxa"/>
            <w:textDirection w:val="lrTb"/>
            <w:noWrap/>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道路、广场卫生保洁，垃圾中转站清理，除“四害”及卫生消毒，人工湖坡地垃圾清理，乱张贴现象清理，防洪沟、窖井清理，排污排水管道疏通。</w:t>
            </w:r>
            <w:r>
              <w:rPr>
                <w:highlight w:val="none"/>
              </w:rPr>
            </w:r>
            <w:r/>
          </w:p>
        </w:tc>
      </w:tr>
      <w:tr>
        <w:trPr>
          <w:trHeight w:val="562"/>
        </w:trPr>
        <w:tc>
          <w:tcPr>
            <w:tcW w:w="8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w:t>
            </w:r>
            <w:r>
              <w:rPr>
                <w:highlight w:val="none"/>
              </w:rPr>
            </w:r>
            <w:r/>
          </w:p>
        </w:tc>
        <w:tc>
          <w:tcPr>
            <w:tcW w:w="1518"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常规绿化维护</w:t>
            </w:r>
            <w:r>
              <w:rPr>
                <w:highlight w:val="none"/>
              </w:rPr>
            </w:r>
            <w:r/>
          </w:p>
        </w:tc>
        <w:tc>
          <w:tcPr>
            <w:tcW w:w="1054"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279709</w:t>
            </w:r>
            <w:r>
              <w:rPr>
                <w:highlight w:val="none"/>
              </w:rPr>
            </w:r>
            <w:r/>
          </w:p>
        </w:tc>
        <w:tc>
          <w:tcPr>
            <w:tcW w:w="106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rPr>
                <w:highlight w:val="none"/>
              </w:rPr>
            </w:r>
            <w:r/>
          </w:p>
        </w:tc>
        <w:tc>
          <w:tcPr>
            <w:tcW w:w="4470" w:type="dxa"/>
            <w:vAlign w:val="center"/>
            <w:textDirection w:val="lrTb"/>
            <w:noWrap/>
          </w:tcPr>
          <w:p>
            <w:pPr>
              <w:numPr>
                <w:ilvl w:val="-1"/>
                <w:numId w:val="0"/>
              </w:numPr>
              <w:ind w:firstLine="0"/>
              <w:spacing w:line="360" w:lineRule="auto"/>
              <w:tabs>
                <w:tab w:val="left" w:pos="-2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auto"/>
                <w:sz w:val="24"/>
                <w:szCs w:val="24"/>
                <w:highlight w:val="none"/>
              </w:rPr>
              <w:t xml:space="preserve">绿化移植与造景，养护与修剪整形，病虫害防护，防风防汛等。</w:t>
            </w:r>
            <w:r>
              <w:rPr>
                <w:highlight w:val="none"/>
              </w:rPr>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rPr>
                <w:highlight w:val="none"/>
              </w:rPr>
            </w:r>
            <w:r/>
          </w:p>
        </w:tc>
      </w:tr>
      <w:tr>
        <w:trPr>
          <w:trHeight w:val="556"/>
        </w:trPr>
        <w:tc>
          <w:tcPr>
            <w:tcW w:w="8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w:t>
            </w:r>
            <w:r>
              <w:rPr>
                <w:highlight w:val="none"/>
              </w:rPr>
            </w:r>
            <w:r/>
          </w:p>
        </w:tc>
        <w:tc>
          <w:tcPr>
            <w:tcW w:w="1518"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苗圃专业维护</w:t>
            </w:r>
            <w:r>
              <w:rPr>
                <w:highlight w:val="none"/>
              </w:rPr>
            </w:r>
            <w:r/>
          </w:p>
        </w:tc>
        <w:tc>
          <w:tcPr>
            <w:tcW w:w="1054"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35186</w:t>
            </w:r>
            <w:r>
              <w:rPr>
                <w:highlight w:val="none"/>
              </w:rPr>
            </w:r>
            <w:r/>
          </w:p>
        </w:tc>
        <w:tc>
          <w:tcPr>
            <w:tcW w:w="106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highlight w:val="none"/>
              </w:rPr>
            </w:r>
            <w:r/>
          </w:p>
        </w:tc>
        <w:tc>
          <w:tcPr>
            <w:tcW w:w="4470" w:type="dxa"/>
            <w:vAlign w:val="center"/>
            <w:textDirection w:val="lrTb"/>
            <w:noWrap/>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树木修剪、施肥、除草等。</w:t>
            </w:r>
            <w:r>
              <w:rPr>
                <w:highlight w:val="none"/>
              </w:rPr>
            </w:r>
            <w:r/>
          </w:p>
        </w:tc>
      </w:tr>
      <w:tr>
        <w:trPr>
          <w:trHeight w:val="90"/>
        </w:trPr>
        <w:tc>
          <w:tcPr>
            <w:tcW w:w="8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rPr>
                <w:highlight w:val="none"/>
              </w:rPr>
            </w:r>
            <w:r/>
          </w:p>
        </w:tc>
        <w:tc>
          <w:tcPr>
            <w:tcW w:w="1518" w:type="dxa"/>
            <w:vAlign w:val="center"/>
            <w:textDirection w:val="lrTb"/>
            <w:noWrap w:val="false"/>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成蹊园茶场专业绿化工</w:t>
            </w:r>
            <w:r>
              <w:rPr>
                <w:highlight w:val="none"/>
              </w:rPr>
            </w:r>
            <w:r/>
          </w:p>
        </w:tc>
        <w:tc>
          <w:tcPr>
            <w:tcW w:w="1054"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约12000</w:t>
            </w:r>
            <w:r>
              <w:rPr>
                <w:highlight w:val="none"/>
              </w:rPr>
            </w:r>
            <w:r/>
          </w:p>
        </w:tc>
        <w:tc>
          <w:tcPr>
            <w:tcW w:w="106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highlight w:val="none"/>
              </w:rPr>
            </w:r>
            <w:r/>
          </w:p>
        </w:tc>
        <w:tc>
          <w:tcPr>
            <w:tcW w:w="4470" w:type="dxa"/>
            <w:vAlign w:val="center"/>
            <w:textDirection w:val="lrTb"/>
            <w:noWrap/>
          </w:tcPr>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修剪、施肥、除虫、卫生保洁等。</w:t>
            </w:r>
            <w:r>
              <w:rPr>
                <w:highlight w:val="none"/>
              </w:rPr>
            </w:r>
            <w:r/>
          </w:p>
        </w:tc>
      </w:tr>
      <w:tr>
        <w:trPr>
          <w:trHeight w:val="555"/>
        </w:trPr>
        <w:tc>
          <w:tcPr>
            <w:gridSpan w:val="3"/>
            <w:tcW w:w="3417" w:type="dxa"/>
            <w:vAlign w:val="center"/>
            <w:textDirection w:val="lrTb"/>
            <w:noWrap w:val="false"/>
          </w:tcPr>
          <w:p>
            <w:pPr>
              <w:jc w:val="center"/>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小计</w:t>
            </w:r>
            <w:r>
              <w:rPr>
                <w:highlight w:val="none"/>
              </w:rPr>
            </w:r>
            <w:r/>
          </w:p>
        </w:tc>
        <w:tc>
          <w:tcPr>
            <w:tcW w:w="1061" w:type="dxa"/>
            <w:vAlign w:val="center"/>
            <w:textDirection w:val="lrTb"/>
            <w:noWrap w:val="false"/>
          </w:tcPr>
          <w:p>
            <w:pPr>
              <w:jc w:val="center"/>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156</w:t>
            </w:r>
            <w:r>
              <w:rPr>
                <w:highlight w:val="none"/>
              </w:rPr>
            </w:r>
            <w:r/>
          </w:p>
        </w:tc>
        <w:tc>
          <w:tcPr>
            <w:tcW w:w="4470" w:type="dxa"/>
            <w:vAlign w:val="center"/>
            <w:textDirection w:val="lrTb"/>
            <w:noWrap w:val="false"/>
          </w:tcPr>
          <w:p>
            <w:pPr>
              <w:jc w:val="center"/>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r>
              <w:rPr>
                <w:highlight w:val="none"/>
              </w:rPr>
            </w:r>
            <w:r/>
          </w:p>
        </w:tc>
      </w:tr>
    </w:tbl>
    <w:p>
      <w:pPr>
        <w:numPr>
          <w:ilvl w:val="255"/>
          <w:numId w:val="0"/>
        </w:numPr>
        <w:ind w:firstLine="480"/>
        <w:spacing w:line="360" w:lineRule="auto"/>
        <w:widowControl/>
        <w:rPr>
          <w:rFonts w:ascii="宋体" w:hAnsi="宋体"/>
          <w:b/>
          <w:bCs/>
          <w:color w:val="auto"/>
          <w:sz w:val="24"/>
          <w:szCs w:val="24"/>
          <w:highlight w:val="none"/>
        </w:rPr>
      </w:pPr>
      <w:r>
        <w:rPr>
          <w:rFonts w:hint="eastAsia" w:ascii="宋体" w:hAnsi="宋体"/>
          <w:b w:val="0"/>
          <w:bCs w:val="0"/>
          <w:color w:val="auto"/>
          <w:sz w:val="24"/>
          <w:szCs w:val="24"/>
          <w:highlight w:val="none"/>
        </w:rPr>
        <w:t xml:space="preserve">除评分细则要求外，本项目服务人员详细</w:t>
      </w:r>
      <w:r>
        <w:rPr>
          <w:rFonts w:hint="eastAsia" w:ascii="宋体" w:hAnsi="宋体"/>
          <w:b w:val="0"/>
          <w:bCs w:val="0"/>
          <w:color w:val="auto"/>
          <w:sz w:val="24"/>
          <w:szCs w:val="24"/>
          <w:highlight w:val="none"/>
          <w:lang w:eastAsia="zh-CN"/>
        </w:rPr>
        <w:t xml:space="preserve">名单</w:t>
      </w:r>
      <w:r>
        <w:rPr>
          <w:rFonts w:hint="eastAsia" w:ascii="宋体" w:hAnsi="宋体"/>
          <w:b w:val="0"/>
          <w:bCs w:val="0"/>
          <w:color w:val="auto"/>
          <w:sz w:val="24"/>
          <w:szCs w:val="24"/>
          <w:highlight w:val="none"/>
        </w:rPr>
        <w:t xml:space="preserve">在投标时无需提供（但需求中明确要求提供的人员及证书除外），</w:t>
      </w:r>
      <w:r>
        <w:rPr>
          <w:rFonts w:hint="eastAsia" w:ascii="宋体" w:hAnsi="宋体"/>
          <w:b/>
          <w:bCs/>
          <w:i/>
          <w:iCs/>
          <w:color w:val="auto"/>
          <w:sz w:val="24"/>
          <w:szCs w:val="24"/>
          <w:highlight w:val="none"/>
          <w:u w:val="single"/>
        </w:rPr>
        <w:t xml:space="preserve">合同签订时由中标单位按照采购文件要求、投标文件承诺向采购人提交全体服务人员相关信息，并作为合同生效和履约的条件。中标后供应商实际配备的服务人员能力、资质要求应不低于采购文件要求、不低于投标承诺；如服务期间需要更换相关人员，需满足前述标准且经采购人同意后方可更换。（提供承诺函加盖公章原件）</w:t>
      </w:r>
      <w:r>
        <w:rPr>
          <w:rFonts w:hint="eastAsia" w:ascii="宋体" w:hAnsi="宋体"/>
          <w:b/>
          <w:bCs/>
          <w:i/>
          <w:iCs/>
          <w:color w:val="auto"/>
          <w:sz w:val="24"/>
          <w:szCs w:val="24"/>
          <w:highlight w:val="none"/>
          <w:u w:val="single"/>
        </w:rPr>
      </w:r>
      <w:r/>
    </w:p>
    <w:p>
      <w:pPr>
        <w:numPr>
          <w:ilvl w:val="0"/>
          <w:numId w:val="6"/>
        </w:num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人员资质要求</w:t>
      </w:r>
      <w:r>
        <w:rPr>
          <w:highlight w:val="none"/>
        </w:rPr>
      </w:r>
      <w:r/>
    </w:p>
    <w:tbl>
      <w:tblPr>
        <w:tblStyle w:val="935"/>
        <w:tblW w:w="93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325"/>
        <w:gridCol w:w="825"/>
        <w:gridCol w:w="2019"/>
        <w:gridCol w:w="3194"/>
        <w:gridCol w:w="1002"/>
      </w:tblGrid>
      <w:tr>
        <w:trPr>
          <w:trHeight w:val="1343" w:hRule="exact"/>
        </w:trPr>
        <w:tc>
          <w:tcPr>
            <w:gridSpan w:val="2"/>
            <w:tcW w:w="2266"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人员类别</w:t>
            </w:r>
            <w:r>
              <w:rPr>
                <w:highlight w:val="none"/>
              </w:rPr>
            </w:r>
            <w:r/>
          </w:p>
        </w:tc>
        <w:tc>
          <w:tcPr>
            <w:tcW w:w="825"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人员</w:t>
            </w:r>
            <w:r>
              <w:rPr>
                <w:highlight w:val="none"/>
              </w:rPr>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数量</w:t>
            </w:r>
            <w:r>
              <w:rPr>
                <w:highlight w:val="none"/>
              </w:rPr>
            </w:r>
            <w:r/>
          </w:p>
        </w:tc>
        <w:tc>
          <w:tcPr>
            <w:tcW w:w="2019"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年龄要求</w:t>
            </w:r>
            <w:r>
              <w:rPr>
                <w:highlight w:val="none"/>
              </w:rPr>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（初聘时周岁）</w:t>
            </w:r>
            <w:r>
              <w:rPr>
                <w:highlight w:val="none"/>
              </w:rPr>
            </w:r>
            <w:r/>
          </w:p>
        </w:tc>
        <w:tc>
          <w:tcPr>
            <w:tcW w:w="3194"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持证要求</w:t>
            </w:r>
            <w:r>
              <w:rPr>
                <w:highlight w:val="none"/>
              </w:rPr>
            </w:r>
            <w:r/>
          </w:p>
        </w:tc>
        <w:tc>
          <w:tcPr>
            <w:tcW w:w="1002"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备注</w:t>
            </w:r>
            <w:r>
              <w:rPr>
                <w:highlight w:val="none"/>
              </w:rPr>
            </w:r>
            <w:r/>
          </w:p>
        </w:tc>
      </w:tr>
      <w:tr>
        <w:trPr>
          <w:trHeight w:val="4269" w:hRule="exact"/>
        </w:trPr>
        <w:tc>
          <w:tcPr>
            <w:gridSpan w:val="2"/>
            <w:tcW w:w="22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驻校经理</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周岁以下</w:t>
            </w:r>
            <w:r>
              <w:rPr>
                <w:highlight w:val="none"/>
              </w:rPr>
            </w:r>
            <w:r/>
          </w:p>
        </w:tc>
        <w:tc>
          <w:tcPr>
            <w:tcW w:w="3194"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正</w:t>
            </w:r>
            <w:r>
              <w:rPr>
                <w:rFonts w:hint="eastAsia" w:ascii="宋体" w:hAnsi="宋体" w:cs="宋体"/>
                <w:sz w:val="24"/>
                <w:szCs w:val="24"/>
                <w:highlight w:val="none"/>
                <w:lang w:val="en-US" w:eastAsia="zh-CN"/>
              </w:rPr>
              <w:t xml:space="preserve">经理1人，</w:t>
            </w:r>
            <w:r>
              <w:rPr>
                <w:rFonts w:hint="eastAsia" w:ascii="宋体" w:hAnsi="宋体" w:cs="宋体"/>
                <w:sz w:val="24"/>
                <w:szCs w:val="24"/>
                <w:highlight w:val="none"/>
                <w:lang w:eastAsia="zh-CN"/>
              </w:rPr>
              <w:t xml:space="preserve">具有物业管理师（员）职业技能等级证书三级或以上职业技能等级证书（</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），具有中级及以上职称，具有本科及以上学历（</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highlight w:val="none"/>
              </w:rPr>
            </w:r>
            <w:r/>
          </w:p>
          <w:p>
            <w:pPr>
              <w:rPr>
                <w:rFonts w:ascii="宋体" w:hAnsi="宋体"/>
                <w:color w:val="auto"/>
                <w:sz w:val="24"/>
                <w:szCs w:val="24"/>
                <w:highlight w:val="none"/>
              </w:rPr>
            </w:pPr>
            <w:r>
              <w:rPr>
                <w:rFonts w:hint="default" w:ascii="宋体" w:hAnsi="宋体" w:cs="宋体"/>
                <w:sz w:val="24"/>
                <w:szCs w:val="24"/>
                <w:highlight w:val="none"/>
                <w:lang w:val="en-US" w:eastAsia="zh-CN"/>
              </w:rPr>
              <w:t xml:space="preserve">驻校正副经理2人中，持有具备四级/中级及以上消防设施操作员证或建（构）筑物消防员证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w:t>
            </w:r>
            <w:r>
              <w:rPr>
                <w:highlight w:val="none"/>
              </w:rPr>
            </w:r>
            <w:r/>
          </w:p>
        </w:tc>
        <w:tc>
          <w:tcPr>
            <w:tcW w:w="1002" w:type="dxa"/>
            <w:vAlign w:val="center"/>
            <w:vMerge w:val="restart"/>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rPr>
                <w:highlight w:val="none"/>
              </w:rPr>
            </w:r>
            <w:r/>
          </w:p>
        </w:tc>
      </w:tr>
      <w:tr>
        <w:trPr>
          <w:trHeight w:val="1458" w:hRule="exact"/>
        </w:trPr>
        <w:tc>
          <w:tcPr>
            <w:tcW w:w="9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综合组</w:t>
            </w:r>
            <w:r>
              <w:rPr>
                <w:highlight w:val="none"/>
              </w:rPr>
            </w:r>
            <w:r/>
          </w:p>
        </w:tc>
        <w:tc>
          <w:tcPr>
            <w:tcW w:w="13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组长</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57</w:t>
            </w:r>
            <w:r>
              <w:rPr>
                <w:rFonts w:hint="eastAsia" w:ascii="宋体" w:hAnsi="宋体"/>
                <w:bCs/>
                <w:color w:val="auto"/>
                <w:sz w:val="24"/>
                <w:szCs w:val="24"/>
                <w:highlight w:val="none"/>
              </w:rPr>
              <w:t xml:space="preserve">周岁</w:t>
            </w:r>
            <w:r>
              <w:rPr>
                <w:rFonts w:hint="eastAsia" w:ascii="宋体" w:hAnsi="宋体"/>
                <w:color w:val="auto"/>
                <w:sz w:val="24"/>
                <w:szCs w:val="24"/>
                <w:highlight w:val="none"/>
              </w:rPr>
              <w:t xml:space="preserve">及以下</w:t>
            </w:r>
            <w:r>
              <w:rPr>
                <w:highlight w:val="none"/>
              </w:rPr>
            </w:r>
            <w:r/>
          </w:p>
        </w:tc>
        <w:tc>
          <w:tcPr>
            <w:tcW w:w="3194" w:type="dxa"/>
            <w:vAlign w:val="center"/>
            <w:textDirection w:val="lrTb"/>
            <w:noWrap w:val="false"/>
          </w:tcPr>
          <w:p>
            <w:pPr>
              <w:rPr>
                <w:rFonts w:ascii="宋体" w:hAnsi="宋体"/>
                <w:color w:val="auto"/>
                <w:sz w:val="24"/>
                <w:szCs w:val="24"/>
                <w:highlight w:val="none"/>
              </w:rPr>
            </w:pPr>
            <w:r>
              <w:rPr>
                <w:rFonts w:hint="eastAsia" w:ascii="宋体" w:hAnsi="宋体"/>
                <w:color w:val="000000"/>
                <w:sz w:val="24"/>
                <w:szCs w:val="24"/>
                <w:highlight w:val="none"/>
              </w:rPr>
              <w:t xml:space="preserve">具备物业管理师（员）职业技能等级证书三级或以上职业技能等级证书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highlight w:val="none"/>
              </w:rPr>
            </w:r>
            <w:r/>
          </w:p>
        </w:tc>
        <w:tc>
          <w:tcPr>
            <w:tcW w:w="100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1487" w:hRule="exact"/>
        </w:trPr>
        <w:tc>
          <w:tcPr>
            <w:tcW w:w="941"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场馆组</w:t>
            </w:r>
            <w:r>
              <w:rPr>
                <w:highlight w:val="none"/>
              </w:rPr>
            </w:r>
            <w:r/>
          </w:p>
        </w:tc>
        <w:tc>
          <w:tcPr>
            <w:tcW w:w="13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组长</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57</w:t>
            </w:r>
            <w:r>
              <w:rPr>
                <w:rFonts w:hint="eastAsia" w:ascii="宋体" w:hAnsi="宋体"/>
                <w:bCs/>
                <w:color w:val="auto"/>
                <w:sz w:val="24"/>
                <w:szCs w:val="24"/>
                <w:highlight w:val="none"/>
              </w:rPr>
              <w:t xml:space="preserve">周岁</w:t>
            </w:r>
            <w:r>
              <w:rPr>
                <w:rFonts w:hint="eastAsia" w:ascii="宋体" w:hAnsi="宋体"/>
                <w:color w:val="auto"/>
                <w:sz w:val="24"/>
                <w:szCs w:val="24"/>
                <w:highlight w:val="none"/>
              </w:rPr>
              <w:t xml:space="preserve">及以下</w:t>
            </w:r>
            <w:r>
              <w:rPr>
                <w:highlight w:val="none"/>
              </w:rPr>
            </w:r>
            <w:r/>
          </w:p>
        </w:tc>
        <w:tc>
          <w:tcPr>
            <w:tcW w:w="3194" w:type="dxa"/>
            <w:vAlign w:val="center"/>
            <w:textDirection w:val="lrTb"/>
            <w:noWrap w:val="false"/>
          </w:tcPr>
          <w:p>
            <w:pPr>
              <w:rPr>
                <w:rFonts w:ascii="宋体" w:hAnsi="宋体"/>
                <w:color w:val="auto"/>
                <w:sz w:val="24"/>
                <w:szCs w:val="24"/>
                <w:highlight w:val="none"/>
              </w:rPr>
            </w:pPr>
            <w:r>
              <w:rPr>
                <w:rFonts w:hint="eastAsia" w:ascii="宋体" w:hAnsi="宋体"/>
                <w:color w:val="000000"/>
                <w:sz w:val="24"/>
                <w:szCs w:val="24"/>
                <w:highlight w:val="none"/>
              </w:rPr>
              <w:t xml:space="preserve">具备物业管理师（员）职业技能等级证书三级或以上职业技能等级证书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highlight w:val="none"/>
              </w:rPr>
            </w:r>
            <w:r/>
          </w:p>
        </w:tc>
        <w:tc>
          <w:tcPr>
            <w:tcW w:w="100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1704" w:hRule="exact"/>
        </w:trPr>
        <w:tc>
          <w:tcPr>
            <w:tcW w:w="941"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保洁员等</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42</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57周岁及以下；部分要求45周岁以下（会议服务）</w:t>
            </w:r>
            <w:r>
              <w:rPr>
                <w:highlight w:val="none"/>
              </w:rPr>
            </w:r>
            <w:r/>
          </w:p>
        </w:tc>
        <w:tc>
          <w:tcPr>
            <w:tcW w:w="3194"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100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1528" w:hRule="exact"/>
        </w:trPr>
        <w:tc>
          <w:tcPr>
            <w:tcW w:w="941"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维修组</w:t>
            </w:r>
            <w:r>
              <w:rPr>
                <w:highlight w:val="none"/>
              </w:rPr>
            </w:r>
            <w:r/>
          </w:p>
        </w:tc>
        <w:tc>
          <w:tcPr>
            <w:tcW w:w="13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组长</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55</w:t>
            </w:r>
            <w:r>
              <w:rPr>
                <w:rFonts w:hint="eastAsia" w:ascii="宋体" w:hAnsi="宋体"/>
                <w:bCs/>
                <w:color w:val="auto"/>
                <w:sz w:val="24"/>
                <w:szCs w:val="24"/>
                <w:highlight w:val="none"/>
              </w:rPr>
              <w:t xml:space="preserve">周岁</w:t>
            </w:r>
            <w:r>
              <w:rPr>
                <w:rFonts w:hint="eastAsia" w:ascii="宋体" w:hAnsi="宋体"/>
                <w:color w:val="auto"/>
                <w:sz w:val="24"/>
                <w:szCs w:val="24"/>
                <w:highlight w:val="none"/>
              </w:rPr>
              <w:t xml:space="preserve">及以下</w:t>
            </w:r>
            <w:r>
              <w:rPr>
                <w:highlight w:val="none"/>
              </w:rPr>
            </w:r>
            <w:r/>
          </w:p>
        </w:tc>
        <w:tc>
          <w:tcPr>
            <w:tcW w:w="3194" w:type="dxa"/>
            <w:vAlign w:val="center"/>
            <w:textDirection w:val="lrTb"/>
            <w:noWrap w:val="false"/>
          </w:tcPr>
          <w:p>
            <w:pPr>
              <w:rPr>
                <w:rFonts w:hint="eastAsia" w:ascii="宋体" w:hAnsi="宋体"/>
                <w:i/>
                <w:iCs/>
                <w:color w:val="auto"/>
                <w:sz w:val="24"/>
                <w:szCs w:val="24"/>
                <w:highlight w:val="none"/>
                <w:u w:val="single"/>
              </w:rPr>
            </w:pPr>
            <w:r>
              <w:rPr>
                <w:rFonts w:hint="eastAsia" w:ascii="宋体" w:hAnsi="宋体"/>
                <w:i/>
                <w:iCs/>
                <w:color w:val="auto"/>
                <w:sz w:val="24"/>
                <w:szCs w:val="24"/>
                <w:highlight w:val="none"/>
                <w:u w:val="single"/>
              </w:rPr>
              <w:t xml:space="preserve">低压电工证（投标时提供证书</w:t>
            </w:r>
            <w:r>
              <w:rPr>
                <w:rFonts w:hint="eastAsia" w:ascii="宋体" w:hAnsi="宋体"/>
                <w:i/>
                <w:iCs/>
                <w:color w:val="auto"/>
                <w:sz w:val="24"/>
                <w:szCs w:val="24"/>
                <w:highlight w:val="none"/>
                <w:u w:val="single"/>
                <w:lang w:eastAsia="zh-CN"/>
              </w:rPr>
              <w:t xml:space="preserve">复印件或扫描件</w:t>
            </w:r>
            <w:r>
              <w:rPr>
                <w:rFonts w:hint="eastAsia" w:ascii="宋体" w:hAnsi="宋体"/>
                <w:i/>
                <w:iCs/>
                <w:color w:val="auto"/>
                <w:sz w:val="24"/>
                <w:szCs w:val="24"/>
                <w:highlight w:val="none"/>
                <w:u w:val="single"/>
              </w:rPr>
              <w:t xml:space="preserve">）</w:t>
            </w:r>
            <w:r>
              <w:rPr>
                <w:highlight w:val="none"/>
              </w:rPr>
            </w:r>
            <w:r/>
          </w:p>
          <w:p>
            <w:pPr>
              <w:rPr>
                <w:rFonts w:hint="default" w:ascii="宋体" w:hAnsi="宋体" w:eastAsia="宋体"/>
                <w:i/>
                <w:iCs/>
                <w:color w:val="auto"/>
                <w:sz w:val="24"/>
                <w:szCs w:val="24"/>
                <w:highlight w:val="none"/>
                <w:u w:val="single"/>
              </w:rPr>
            </w:pPr>
            <w:r>
              <w:rPr>
                <w:rFonts w:hint="eastAsia" w:ascii="宋体" w:hAnsi="宋体"/>
                <w:i w:val="0"/>
                <w:iCs w:val="0"/>
                <w:color w:val="auto"/>
                <w:sz w:val="24"/>
                <w:szCs w:val="24"/>
                <w:highlight w:val="none"/>
                <w:u w:val="none"/>
                <w:lang w:val="en-US" w:eastAsia="zh-CN"/>
              </w:rPr>
              <w:t xml:space="preserve">同时具备特种作业操作证书（高压电工作业）</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highlight w:val="none"/>
              </w:rPr>
            </w:r>
            <w:r/>
          </w:p>
        </w:tc>
        <w:tc>
          <w:tcPr>
            <w:tcW w:w="100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1648" w:hRule="exact"/>
        </w:trPr>
        <w:tc>
          <w:tcPr>
            <w:tcW w:w="941"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综合维修工</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10</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57</w:t>
            </w:r>
            <w:r>
              <w:rPr>
                <w:rFonts w:hint="eastAsia" w:ascii="宋体" w:hAnsi="宋体"/>
                <w:bCs/>
                <w:color w:val="auto"/>
                <w:sz w:val="24"/>
                <w:szCs w:val="24"/>
                <w:highlight w:val="none"/>
              </w:rPr>
              <w:t xml:space="preserve">周岁</w:t>
            </w:r>
            <w:r>
              <w:rPr>
                <w:rFonts w:hint="eastAsia" w:ascii="宋体" w:hAnsi="宋体"/>
                <w:color w:val="auto"/>
                <w:sz w:val="24"/>
                <w:szCs w:val="24"/>
                <w:highlight w:val="none"/>
              </w:rPr>
              <w:t xml:space="preserve">及以下</w:t>
            </w:r>
            <w:r>
              <w:rPr>
                <w:highlight w:val="none"/>
              </w:rPr>
            </w:r>
            <w:r/>
          </w:p>
        </w:tc>
        <w:tc>
          <w:tcPr>
            <w:tcW w:w="3194" w:type="dxa"/>
            <w:vAlign w:val="center"/>
            <w:textDirection w:val="lrTb"/>
            <w:noWrap w:val="false"/>
          </w:tcPr>
          <w:p>
            <w:pPr>
              <w:rPr>
                <w:rFonts w:ascii="宋体" w:hAnsi="宋体"/>
                <w:color w:val="auto"/>
                <w:sz w:val="24"/>
                <w:szCs w:val="24"/>
                <w:highlight w:val="none"/>
              </w:rPr>
            </w:pPr>
            <w:r>
              <w:rPr>
                <w:rFonts w:hint="eastAsia" w:ascii="宋体" w:hAnsi="宋体"/>
                <w:i w:val="0"/>
                <w:iCs w:val="0"/>
                <w:color w:val="auto"/>
                <w:sz w:val="24"/>
                <w:szCs w:val="24"/>
                <w:highlight w:val="none"/>
                <w:u w:val="none"/>
              </w:rPr>
              <w:t xml:space="preserve">拟派维修工符合国家对相关维修工作必须具备的岗位证书或技能要求</w:t>
            </w:r>
            <w:r>
              <w:rPr>
                <w:highlight w:val="none"/>
              </w:rPr>
            </w:r>
            <w:r/>
          </w:p>
        </w:tc>
        <w:tc>
          <w:tcPr>
            <w:tcW w:w="100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2190" w:hRule="exact"/>
        </w:trPr>
        <w:tc>
          <w:tcPr>
            <w:tcW w:w="941"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设备组</w:t>
            </w:r>
            <w:r>
              <w:rPr>
                <w:highlight w:val="none"/>
              </w:rPr>
            </w:r>
            <w:r/>
          </w:p>
        </w:tc>
        <w:tc>
          <w:tcPr>
            <w:tcW w:w="13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组长</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55</w:t>
            </w:r>
            <w:r>
              <w:rPr>
                <w:rFonts w:hint="eastAsia" w:ascii="宋体" w:hAnsi="宋体"/>
                <w:bCs/>
                <w:color w:val="auto"/>
                <w:sz w:val="24"/>
                <w:szCs w:val="24"/>
                <w:highlight w:val="none"/>
              </w:rPr>
              <w:t xml:space="preserve">周岁</w:t>
            </w:r>
            <w:r>
              <w:rPr>
                <w:rFonts w:hint="eastAsia" w:ascii="宋体" w:hAnsi="宋体"/>
                <w:color w:val="auto"/>
                <w:sz w:val="24"/>
                <w:szCs w:val="24"/>
                <w:highlight w:val="none"/>
              </w:rPr>
              <w:t xml:space="preserve">及以下</w:t>
            </w:r>
            <w:r>
              <w:rPr>
                <w:highlight w:val="none"/>
              </w:rPr>
            </w:r>
            <w:r/>
          </w:p>
        </w:tc>
        <w:tc>
          <w:tcPr>
            <w:tcW w:w="3194" w:type="dxa"/>
            <w:vAlign w:val="center"/>
            <w:textDirection w:val="lrTb"/>
            <w:noWrap w:val="false"/>
          </w:tcPr>
          <w:p>
            <w:pPr>
              <w:pStyle w:val="941"/>
              <w:rPr>
                <w:rFonts w:ascii="Segoe UI" w:hAnsi="Segoe UI" w:eastAsia="Segoe UI" w:cs="Segoe UI"/>
                <w:b/>
                <w:bCs/>
                <w:color w:val="auto"/>
                <w:sz w:val="24"/>
                <w:szCs w:val="24"/>
                <w:highlight w:val="none"/>
                <w:shd w:val="clear" w:color="auto" w:fill="ffffff"/>
              </w:rPr>
            </w:pPr>
            <w:r>
              <w:rPr>
                <w:rFonts w:hint="eastAsia" w:ascii="宋体" w:hAnsi="宋体"/>
                <w:i/>
                <w:iCs/>
                <w:color w:val="auto"/>
                <w:sz w:val="24"/>
                <w:szCs w:val="24"/>
                <w:highlight w:val="none"/>
                <w:u w:val="single"/>
              </w:rPr>
              <w:t xml:space="preserve">具有3年以上工作经验，且具有或承诺中标后配置（高压电工证和3.5万伏</w:t>
            </w:r>
            <w:r>
              <w:rPr>
                <w:rFonts w:ascii="宋体" w:hAnsi="宋体"/>
                <w:i/>
                <w:iCs/>
                <w:color w:val="auto"/>
                <w:sz w:val="24"/>
                <w:szCs w:val="24"/>
                <w:highlight w:val="none"/>
                <w:u w:val="single"/>
              </w:rPr>
              <w:t xml:space="preserve">《调度运行值班合格证书》</w:t>
            </w:r>
            <w:r>
              <w:rPr>
                <w:rFonts w:hint="eastAsia" w:ascii="宋体" w:hAnsi="宋体"/>
                <w:i/>
                <w:iCs/>
                <w:color w:val="auto"/>
                <w:sz w:val="24"/>
                <w:szCs w:val="24"/>
                <w:highlight w:val="none"/>
                <w:u w:val="single"/>
              </w:rPr>
              <w:t xml:space="preserve">）（投标时提供证书</w:t>
            </w:r>
            <w:r>
              <w:rPr>
                <w:rFonts w:hint="eastAsia" w:ascii="宋体" w:hAnsi="宋体"/>
                <w:i/>
                <w:iCs/>
                <w:color w:val="auto"/>
                <w:sz w:val="24"/>
                <w:szCs w:val="24"/>
                <w:highlight w:val="none"/>
                <w:u w:val="single"/>
                <w:lang w:eastAsia="zh-CN"/>
              </w:rPr>
              <w:t xml:space="preserve">复印件或扫描件</w:t>
            </w:r>
            <w:r>
              <w:rPr>
                <w:rFonts w:hint="eastAsia" w:ascii="宋体" w:hAnsi="宋体"/>
                <w:i/>
                <w:iCs/>
                <w:color w:val="auto"/>
                <w:sz w:val="24"/>
                <w:szCs w:val="24"/>
                <w:highlight w:val="none"/>
                <w:u w:val="single"/>
              </w:rPr>
              <w:t xml:space="preserve">或对应承诺书）</w:t>
            </w:r>
            <w:r>
              <w:rPr>
                <w:highlight w:val="none"/>
              </w:rPr>
            </w:r>
            <w:r/>
          </w:p>
        </w:tc>
        <w:tc>
          <w:tcPr>
            <w:tcW w:w="100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2762" w:hRule="exact"/>
        </w:trPr>
        <w:tc>
          <w:tcPr>
            <w:tcW w:w="941"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管理员</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57</w:t>
            </w:r>
            <w:r>
              <w:rPr>
                <w:rFonts w:hint="eastAsia" w:ascii="宋体" w:hAnsi="宋体"/>
                <w:bCs/>
                <w:color w:val="auto"/>
                <w:sz w:val="24"/>
                <w:szCs w:val="24"/>
                <w:highlight w:val="none"/>
              </w:rPr>
              <w:t xml:space="preserve">周岁</w:t>
            </w:r>
            <w:r>
              <w:rPr>
                <w:rFonts w:hint="eastAsia" w:ascii="宋体" w:hAnsi="宋体"/>
                <w:color w:val="auto"/>
                <w:sz w:val="24"/>
                <w:szCs w:val="24"/>
                <w:highlight w:val="none"/>
              </w:rPr>
              <w:t xml:space="preserve">及以下</w:t>
            </w:r>
            <w:r>
              <w:rPr>
                <w:highlight w:val="none"/>
              </w:rPr>
            </w:r>
            <w:r/>
          </w:p>
        </w:tc>
        <w:tc>
          <w:tcPr>
            <w:tcW w:w="3194" w:type="dxa"/>
            <w:vAlign w:val="center"/>
            <w:textDirection w:val="lrTb"/>
            <w:noWrap w:val="false"/>
          </w:tcPr>
          <w:p>
            <w:pPr>
              <w:rPr>
                <w:rFonts w:ascii="宋体" w:hAnsi="宋体"/>
                <w:color w:val="auto"/>
                <w:sz w:val="24"/>
                <w:szCs w:val="24"/>
                <w:highlight w:val="none"/>
              </w:rPr>
            </w:pPr>
            <w:r>
              <w:rPr>
                <w:rFonts w:hint="eastAsia" w:ascii="宋体" w:hAnsi="宋体" w:eastAsia="宋体" w:cs="Times New Roman"/>
                <w:i/>
                <w:iCs/>
                <w:color w:val="auto"/>
                <w:sz w:val="24"/>
                <w:szCs w:val="24"/>
                <w:highlight w:val="none"/>
                <w:u w:val="single"/>
              </w:rPr>
              <w:t xml:space="preserve">具有或承诺中标后配置（不少于3人拥有3.5万伏《调度运行值班合格证书》，不少于1人拥有电梯安全管理和作业人员证）（提供证书复印件）</w:t>
            </w:r>
            <w:r>
              <w:rPr>
                <w:highlight w:val="none"/>
              </w:rPr>
            </w:r>
            <w:r/>
          </w:p>
        </w:tc>
        <w:tc>
          <w:tcPr>
            <w:tcW w:w="100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1355" w:hRule="exact"/>
        </w:trPr>
        <w:tc>
          <w:tcPr>
            <w:tcW w:w="941"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宿舍组</w:t>
            </w:r>
            <w:r>
              <w:rPr>
                <w:highlight w:val="none"/>
              </w:rPr>
            </w:r>
            <w:r/>
          </w:p>
        </w:tc>
        <w:tc>
          <w:tcPr>
            <w:tcW w:w="13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组长</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55</w:t>
            </w:r>
            <w:r>
              <w:rPr>
                <w:rFonts w:hint="eastAsia" w:ascii="宋体" w:hAnsi="宋体"/>
                <w:bCs/>
                <w:color w:val="auto"/>
                <w:sz w:val="24"/>
                <w:szCs w:val="24"/>
                <w:highlight w:val="none"/>
              </w:rPr>
              <w:t xml:space="preserve">周岁</w:t>
            </w:r>
            <w:r>
              <w:rPr>
                <w:rFonts w:hint="eastAsia" w:ascii="宋体" w:hAnsi="宋体"/>
                <w:color w:val="auto"/>
                <w:sz w:val="24"/>
                <w:szCs w:val="24"/>
                <w:highlight w:val="none"/>
              </w:rPr>
              <w:t xml:space="preserve">及以下</w:t>
            </w:r>
            <w:r>
              <w:rPr>
                <w:highlight w:val="none"/>
              </w:rPr>
            </w:r>
            <w:r/>
          </w:p>
        </w:tc>
        <w:tc>
          <w:tcPr>
            <w:tcW w:w="3194" w:type="dxa"/>
            <w:vAlign w:val="center"/>
            <w:textDirection w:val="lrTb"/>
            <w:noWrap w:val="false"/>
          </w:tcPr>
          <w:p>
            <w:pPr>
              <w:rPr>
                <w:rFonts w:ascii="宋体" w:hAnsi="宋体"/>
                <w:color w:val="auto"/>
                <w:sz w:val="24"/>
                <w:szCs w:val="24"/>
                <w:highlight w:val="none"/>
              </w:rPr>
            </w:pPr>
            <w:r>
              <w:rPr>
                <w:rFonts w:hint="eastAsia" w:ascii="宋体" w:hAnsi="宋体"/>
                <w:color w:val="000000"/>
                <w:sz w:val="24"/>
                <w:szCs w:val="24"/>
                <w:highlight w:val="none"/>
              </w:rPr>
              <w:t xml:space="preserve">具备物业管理师（员）职业技能等级证书三级或以上职业技能等级证书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highlight w:val="none"/>
              </w:rPr>
            </w:r>
            <w:r/>
          </w:p>
        </w:tc>
        <w:tc>
          <w:tcPr>
            <w:tcW w:w="100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910" w:hRule="exact"/>
        </w:trPr>
        <w:tc>
          <w:tcPr>
            <w:tcW w:w="941"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管理员+保洁员</w:t>
            </w:r>
            <w:r>
              <w:rPr>
                <w:highlight w:val="none"/>
              </w:rPr>
            </w:r>
            <w:r/>
          </w:p>
        </w:tc>
        <w:tc>
          <w:tcPr>
            <w:tcW w:w="82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57</w:t>
            </w:r>
            <w:r>
              <w:rPr>
                <w:highlight w:val="none"/>
              </w:rPr>
            </w:r>
            <w:r/>
          </w:p>
        </w:tc>
        <w:tc>
          <w:tcPr>
            <w:tcW w:w="2019"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57</w:t>
            </w:r>
            <w:r>
              <w:rPr>
                <w:rFonts w:hint="eastAsia" w:ascii="宋体" w:hAnsi="宋体"/>
                <w:bCs/>
                <w:color w:val="auto"/>
                <w:sz w:val="24"/>
                <w:szCs w:val="24"/>
                <w:highlight w:val="none"/>
              </w:rPr>
              <w:t xml:space="preserve">周岁</w:t>
            </w:r>
            <w:r>
              <w:rPr>
                <w:rFonts w:hint="eastAsia" w:ascii="宋体" w:hAnsi="宋体"/>
                <w:color w:val="auto"/>
                <w:sz w:val="24"/>
                <w:szCs w:val="24"/>
                <w:highlight w:val="none"/>
              </w:rPr>
              <w:t xml:space="preserve">及以下</w:t>
            </w:r>
            <w:r>
              <w:rPr>
                <w:highlight w:val="none"/>
              </w:rPr>
            </w:r>
            <w:r/>
          </w:p>
        </w:tc>
        <w:tc>
          <w:tcPr>
            <w:tcW w:w="3194" w:type="dxa"/>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rPr>
                <w:highlight w:val="none"/>
              </w:rPr>
            </w:r>
            <w:r/>
          </w:p>
        </w:tc>
        <w:tc>
          <w:tcPr>
            <w:tcW w:w="1002" w:type="dxa"/>
            <w:vAlign w:val="center"/>
            <w:vMerge w:val="continue"/>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r>
        <w:trPr>
          <w:trHeight w:val="832" w:hRule="exact"/>
        </w:trPr>
        <w:tc>
          <w:tcPr>
            <w:tcW w:w="94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垃圾清运员</w:t>
            </w:r>
            <w:r>
              <w:rPr>
                <w:highlight w:val="none"/>
              </w:rPr>
            </w:r>
            <w:r/>
          </w:p>
        </w:tc>
        <w:tc>
          <w:tcPr>
            <w:tcW w:w="8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w:t>
            </w:r>
            <w:r>
              <w:rPr>
                <w:highlight w:val="none"/>
              </w:rPr>
            </w:r>
            <w:r/>
          </w:p>
        </w:tc>
        <w:tc>
          <w:tcPr>
            <w:tcW w:w="2019"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57</w:t>
            </w:r>
            <w:r>
              <w:rPr>
                <w:rFonts w:hint="eastAsia" w:ascii="宋体" w:hAnsi="宋体"/>
                <w:bCs/>
                <w:sz w:val="24"/>
                <w:szCs w:val="24"/>
                <w:highlight w:val="none"/>
              </w:rPr>
              <w:t xml:space="preserve">周岁</w:t>
            </w:r>
            <w:r>
              <w:rPr>
                <w:rFonts w:hint="eastAsia" w:ascii="宋体" w:hAnsi="宋体"/>
                <w:sz w:val="24"/>
                <w:szCs w:val="24"/>
                <w:highlight w:val="none"/>
              </w:rPr>
              <w:t xml:space="preserve">及以下</w:t>
            </w:r>
            <w:r>
              <w:rPr>
                <w:highlight w:val="none"/>
              </w:rPr>
            </w:r>
            <w:r/>
          </w:p>
        </w:tc>
        <w:tc>
          <w:tcPr>
            <w:tcW w:w="3194" w:type="dxa"/>
            <w:vAlign w:val="center"/>
            <w:textDirection w:val="lrTb"/>
            <w:noWrap w:val="false"/>
          </w:tcPr>
          <w:p>
            <w:pPr>
              <w:rPr>
                <w:rFonts w:ascii="宋体" w:hAnsi="宋体"/>
                <w:sz w:val="24"/>
                <w:szCs w:val="24"/>
                <w:highlight w:val="none"/>
              </w:rPr>
            </w:pPr>
            <w:r>
              <w:rPr>
                <w:rFonts w:ascii="宋体" w:hAnsi="宋体"/>
                <w:sz w:val="24"/>
                <w:szCs w:val="24"/>
                <w:highlight w:val="none"/>
              </w:rPr>
            </w:r>
            <w:r>
              <w:rPr>
                <w:highlight w:val="none"/>
              </w:rPr>
            </w:r>
            <w:r/>
          </w:p>
        </w:tc>
        <w:tc>
          <w:tcPr>
            <w:tcW w:w="1002" w:type="dxa"/>
            <w:vAlign w:val="center"/>
            <w:vMerge w:val="continue"/>
            <w:textDirection w:val="lrTb"/>
            <w:noWrap w:val="false"/>
          </w:tcPr>
          <w:p>
            <w:pPr>
              <w:rPr>
                <w:rFonts w:ascii="宋体" w:hAnsi="宋体"/>
                <w:sz w:val="24"/>
                <w:szCs w:val="24"/>
                <w:highlight w:val="none"/>
              </w:rPr>
            </w:pPr>
            <w:r>
              <w:rPr>
                <w:rFonts w:ascii="宋体" w:hAnsi="宋体"/>
                <w:sz w:val="24"/>
                <w:szCs w:val="24"/>
                <w:highlight w:val="none"/>
              </w:rPr>
            </w:r>
            <w:r/>
          </w:p>
        </w:tc>
      </w:tr>
      <w:tr>
        <w:trPr>
          <w:trHeight w:val="567" w:hRule="exact"/>
        </w:trPr>
        <w:tc>
          <w:tcPr>
            <w:tcW w:w="941" w:type="dxa"/>
            <w:vAlign w:val="center"/>
            <w:vMerge w:val="restart"/>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环境组</w:t>
            </w:r>
            <w:r>
              <w:rPr>
                <w:highlight w:val="none"/>
              </w:rPr>
            </w:r>
            <w:r/>
          </w:p>
        </w:tc>
        <w:tc>
          <w:tcPr>
            <w:tcW w:w="13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组长</w:t>
            </w:r>
            <w:r>
              <w:rPr>
                <w:highlight w:val="none"/>
              </w:rPr>
            </w:r>
            <w:r/>
          </w:p>
        </w:tc>
        <w:tc>
          <w:tcPr>
            <w:tcW w:w="8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rPr>
                <w:highlight w:val="none"/>
              </w:rPr>
            </w:r>
            <w:r/>
          </w:p>
        </w:tc>
        <w:tc>
          <w:tcPr>
            <w:tcW w:w="2019"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55</w:t>
            </w:r>
            <w:r>
              <w:rPr>
                <w:rFonts w:hint="eastAsia" w:ascii="宋体" w:hAnsi="宋体"/>
                <w:bCs/>
                <w:sz w:val="24"/>
                <w:szCs w:val="24"/>
                <w:highlight w:val="none"/>
              </w:rPr>
              <w:t xml:space="preserve">周岁</w:t>
            </w:r>
            <w:r>
              <w:rPr>
                <w:rFonts w:hint="eastAsia" w:ascii="宋体" w:hAnsi="宋体"/>
                <w:sz w:val="24"/>
                <w:szCs w:val="24"/>
                <w:highlight w:val="none"/>
              </w:rPr>
              <w:t xml:space="preserve">及以下</w:t>
            </w:r>
            <w:r>
              <w:rPr>
                <w:highlight w:val="none"/>
              </w:rPr>
            </w:r>
            <w:r/>
          </w:p>
        </w:tc>
        <w:tc>
          <w:tcPr>
            <w:tcW w:w="3194" w:type="dxa"/>
            <w:vAlign w:val="center"/>
            <w:textDirection w:val="lrTb"/>
            <w:noWrap w:val="false"/>
          </w:tcPr>
          <w:p>
            <w:pPr>
              <w:rPr>
                <w:rFonts w:ascii="宋体" w:hAnsi="宋体"/>
                <w:sz w:val="24"/>
                <w:szCs w:val="24"/>
                <w:highlight w:val="none"/>
              </w:rPr>
            </w:pPr>
            <w:r>
              <w:rPr>
                <w:rFonts w:ascii="宋体" w:hAnsi="宋体"/>
                <w:sz w:val="24"/>
                <w:szCs w:val="24"/>
                <w:highlight w:val="none"/>
              </w:rPr>
            </w:r>
            <w:r>
              <w:rPr>
                <w:highlight w:val="none"/>
              </w:rPr>
            </w:r>
            <w:r/>
          </w:p>
        </w:tc>
        <w:tc>
          <w:tcPr>
            <w:tcW w:w="100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兼保洁员</w:t>
            </w:r>
            <w:r>
              <w:rPr>
                <w:highlight w:val="none"/>
              </w:rPr>
            </w:r>
            <w:r/>
          </w:p>
        </w:tc>
      </w:tr>
      <w:tr>
        <w:trPr>
          <w:trHeight w:val="567" w:hRule="exact"/>
        </w:trPr>
        <w:tc>
          <w:tcPr>
            <w:tcW w:w="94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保洁员</w:t>
            </w:r>
            <w:r>
              <w:rPr>
                <w:highlight w:val="none"/>
              </w:rPr>
            </w:r>
            <w:r/>
          </w:p>
        </w:tc>
        <w:tc>
          <w:tcPr>
            <w:tcW w:w="8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13</w:t>
            </w:r>
            <w:r>
              <w:rPr>
                <w:highlight w:val="none"/>
              </w:rPr>
            </w:r>
            <w:r/>
          </w:p>
        </w:tc>
        <w:tc>
          <w:tcPr>
            <w:tcW w:w="2019"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57</w:t>
            </w:r>
            <w:r>
              <w:rPr>
                <w:rFonts w:hint="eastAsia" w:ascii="宋体" w:hAnsi="宋体"/>
                <w:bCs/>
                <w:sz w:val="24"/>
                <w:szCs w:val="24"/>
                <w:highlight w:val="none"/>
              </w:rPr>
              <w:t xml:space="preserve">周岁</w:t>
            </w:r>
            <w:r>
              <w:rPr>
                <w:rFonts w:hint="eastAsia" w:ascii="宋体" w:hAnsi="宋体"/>
                <w:sz w:val="24"/>
                <w:szCs w:val="24"/>
                <w:highlight w:val="none"/>
              </w:rPr>
              <w:t xml:space="preserve">及以下</w:t>
            </w:r>
            <w:r>
              <w:rPr>
                <w:highlight w:val="none"/>
              </w:rPr>
            </w:r>
            <w:r/>
          </w:p>
        </w:tc>
        <w:tc>
          <w:tcPr>
            <w:tcW w:w="3194" w:type="dxa"/>
            <w:vAlign w:val="center"/>
            <w:textDirection w:val="lrTb"/>
            <w:noWrap w:val="false"/>
          </w:tcPr>
          <w:p>
            <w:pPr>
              <w:rPr>
                <w:rFonts w:ascii="宋体" w:hAnsi="宋体"/>
                <w:sz w:val="24"/>
                <w:szCs w:val="24"/>
                <w:highlight w:val="none"/>
              </w:rPr>
            </w:pPr>
            <w:r>
              <w:rPr>
                <w:rFonts w:ascii="宋体" w:hAnsi="宋体"/>
                <w:sz w:val="24"/>
                <w:szCs w:val="24"/>
                <w:highlight w:val="none"/>
              </w:rPr>
            </w:r>
            <w:r>
              <w:rPr>
                <w:highlight w:val="none"/>
              </w:rPr>
            </w:r>
            <w:r/>
          </w:p>
        </w:tc>
        <w:tc>
          <w:tcPr>
            <w:tcW w:w="100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r/>
          </w:p>
        </w:tc>
      </w:tr>
      <w:tr>
        <w:trPr>
          <w:trHeight w:val="1687" w:hRule="exact"/>
        </w:trPr>
        <w:tc>
          <w:tcPr>
            <w:tcW w:w="941" w:type="dxa"/>
            <w:vAlign w:val="center"/>
            <w:vMerge w:val="restart"/>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绿化组</w:t>
            </w:r>
            <w:r>
              <w:rPr>
                <w:highlight w:val="none"/>
              </w:rPr>
            </w:r>
            <w:r/>
          </w:p>
        </w:tc>
        <w:tc>
          <w:tcPr>
            <w:tcW w:w="13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组长</w:t>
            </w:r>
            <w:r>
              <w:rPr>
                <w:highlight w:val="none"/>
              </w:rPr>
            </w:r>
            <w:r/>
          </w:p>
        </w:tc>
        <w:tc>
          <w:tcPr>
            <w:tcW w:w="8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rPr>
                <w:highlight w:val="none"/>
              </w:rPr>
            </w:r>
            <w:r/>
          </w:p>
        </w:tc>
        <w:tc>
          <w:tcPr>
            <w:tcW w:w="2019"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55</w:t>
            </w:r>
            <w:r>
              <w:rPr>
                <w:rFonts w:hint="eastAsia" w:ascii="宋体" w:hAnsi="宋体"/>
                <w:bCs/>
                <w:sz w:val="24"/>
                <w:szCs w:val="24"/>
                <w:highlight w:val="none"/>
              </w:rPr>
              <w:t xml:space="preserve">周岁</w:t>
            </w:r>
            <w:r>
              <w:rPr>
                <w:rFonts w:hint="eastAsia" w:ascii="宋体" w:hAnsi="宋体"/>
                <w:sz w:val="24"/>
                <w:szCs w:val="24"/>
                <w:highlight w:val="none"/>
              </w:rPr>
              <w:t xml:space="preserve">及以下</w:t>
            </w:r>
            <w:r>
              <w:rPr>
                <w:highlight w:val="none"/>
              </w:rPr>
            </w:r>
            <w:r/>
          </w:p>
        </w:tc>
        <w:tc>
          <w:tcPr>
            <w:tcW w:w="3194" w:type="dxa"/>
            <w:vAlign w:val="center"/>
            <w:textDirection w:val="lrTb"/>
            <w:noWrap w:val="false"/>
          </w:tcPr>
          <w:p>
            <w:pPr>
              <w:rPr>
                <w:rFonts w:ascii="宋体" w:hAnsi="宋体"/>
                <w:sz w:val="24"/>
                <w:szCs w:val="24"/>
                <w:highlight w:val="none"/>
              </w:rPr>
            </w:pPr>
            <w:r>
              <w:rPr>
                <w:rFonts w:hint="eastAsia" w:ascii="宋体" w:hAnsi="宋体"/>
                <w:color w:val="000000"/>
                <w:sz w:val="24"/>
                <w:szCs w:val="24"/>
                <w:highlight w:val="none"/>
              </w:rPr>
              <w:t xml:space="preserve">具备四级/中级及以上园林绿化工职业技能等级证书或园林（或园艺或绿化或同类）专业中级及以上职称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highlight w:val="none"/>
              </w:rPr>
            </w:r>
            <w:r/>
          </w:p>
        </w:tc>
        <w:tc>
          <w:tcPr>
            <w:tcW w:w="100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兼绿化养护员</w:t>
            </w:r>
            <w:r>
              <w:rPr>
                <w:highlight w:val="none"/>
              </w:rPr>
            </w:r>
            <w:r/>
          </w:p>
        </w:tc>
      </w:tr>
      <w:tr>
        <w:trPr>
          <w:trHeight w:val="877" w:hRule="exact"/>
        </w:trPr>
        <w:tc>
          <w:tcPr>
            <w:tcW w:w="94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常规绿化维护</w:t>
            </w:r>
            <w:r>
              <w:rPr>
                <w:highlight w:val="none"/>
              </w:rPr>
            </w:r>
            <w:r/>
          </w:p>
        </w:tc>
        <w:tc>
          <w:tcPr>
            <w:tcW w:w="8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11</w:t>
            </w:r>
            <w:r>
              <w:rPr>
                <w:highlight w:val="none"/>
              </w:rPr>
            </w:r>
            <w:r/>
          </w:p>
        </w:tc>
        <w:tc>
          <w:tcPr>
            <w:tcW w:w="2019"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57</w:t>
            </w:r>
            <w:r>
              <w:rPr>
                <w:rFonts w:hint="eastAsia" w:ascii="宋体" w:hAnsi="宋体"/>
                <w:bCs/>
                <w:sz w:val="24"/>
                <w:szCs w:val="24"/>
                <w:highlight w:val="none"/>
              </w:rPr>
              <w:t xml:space="preserve">周岁</w:t>
            </w:r>
            <w:r>
              <w:rPr>
                <w:rFonts w:hint="eastAsia" w:ascii="宋体" w:hAnsi="宋体"/>
                <w:sz w:val="24"/>
                <w:szCs w:val="24"/>
                <w:highlight w:val="none"/>
              </w:rPr>
              <w:t xml:space="preserve">及以下</w:t>
            </w:r>
            <w:r>
              <w:rPr>
                <w:highlight w:val="none"/>
              </w:rPr>
            </w:r>
            <w:r/>
          </w:p>
        </w:tc>
        <w:tc>
          <w:tcPr>
            <w:tcW w:w="3194" w:type="dxa"/>
            <w:vAlign w:val="center"/>
            <w:textDirection w:val="lrTb"/>
            <w:noWrap w:val="false"/>
          </w:tcPr>
          <w:p>
            <w:pPr>
              <w:rPr>
                <w:rFonts w:ascii="宋体" w:hAnsi="宋体"/>
                <w:sz w:val="24"/>
                <w:szCs w:val="24"/>
                <w:highlight w:val="none"/>
              </w:rPr>
            </w:pPr>
            <w:r>
              <w:rPr>
                <w:rFonts w:ascii="宋体" w:hAnsi="宋体"/>
                <w:sz w:val="24"/>
                <w:szCs w:val="24"/>
                <w:highlight w:val="none"/>
              </w:rPr>
            </w:r>
            <w:r>
              <w:rPr>
                <w:highlight w:val="none"/>
              </w:rPr>
            </w:r>
            <w:r/>
          </w:p>
        </w:tc>
        <w:tc>
          <w:tcPr>
            <w:tcW w:w="100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r/>
          </w:p>
        </w:tc>
      </w:tr>
      <w:tr>
        <w:trPr>
          <w:trHeight w:val="1332" w:hRule="exact"/>
        </w:trPr>
        <w:tc>
          <w:tcPr>
            <w:tcW w:w="94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苗圃专业维护</w:t>
            </w:r>
            <w:r>
              <w:rPr>
                <w:highlight w:val="none"/>
              </w:rPr>
            </w:r>
            <w:r/>
          </w:p>
        </w:tc>
        <w:tc>
          <w:tcPr>
            <w:tcW w:w="8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w:t>
            </w:r>
            <w:r>
              <w:rPr>
                <w:highlight w:val="none"/>
              </w:rPr>
            </w:r>
            <w:r/>
          </w:p>
        </w:tc>
        <w:tc>
          <w:tcPr>
            <w:tcW w:w="2019"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57</w:t>
            </w:r>
            <w:r>
              <w:rPr>
                <w:rFonts w:hint="eastAsia" w:ascii="宋体" w:hAnsi="宋体"/>
                <w:bCs/>
                <w:sz w:val="24"/>
                <w:szCs w:val="24"/>
                <w:highlight w:val="none"/>
              </w:rPr>
              <w:t xml:space="preserve">周岁</w:t>
            </w:r>
            <w:r>
              <w:rPr>
                <w:rFonts w:hint="eastAsia" w:ascii="宋体" w:hAnsi="宋体"/>
                <w:sz w:val="24"/>
                <w:szCs w:val="24"/>
                <w:highlight w:val="none"/>
              </w:rPr>
              <w:t xml:space="preserve">及以下</w:t>
            </w:r>
            <w:r>
              <w:rPr>
                <w:highlight w:val="none"/>
              </w:rPr>
            </w:r>
            <w:r/>
          </w:p>
        </w:tc>
        <w:tc>
          <w:tcPr>
            <w:tcW w:w="3194" w:type="dxa"/>
            <w:vAlign w:val="center"/>
            <w:textDirection w:val="lrTb"/>
            <w:noWrap w:val="false"/>
          </w:tcPr>
          <w:p>
            <w:pPr>
              <w:rPr>
                <w:rFonts w:ascii="宋体" w:hAnsi="宋体"/>
                <w:sz w:val="24"/>
                <w:szCs w:val="24"/>
                <w:highlight w:val="none"/>
              </w:rPr>
            </w:pPr>
            <w:r>
              <w:rPr>
                <w:rFonts w:ascii="宋体" w:hAnsi="宋体"/>
                <w:sz w:val="24"/>
                <w:szCs w:val="24"/>
                <w:highlight w:val="none"/>
              </w:rPr>
            </w:r>
            <w:r>
              <w:rPr>
                <w:highlight w:val="none"/>
              </w:rPr>
            </w:r>
            <w:r/>
          </w:p>
        </w:tc>
        <w:tc>
          <w:tcPr>
            <w:tcW w:w="100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紫园、梅园、桃李园等</w:t>
            </w:r>
            <w:r>
              <w:rPr>
                <w:highlight w:val="none"/>
              </w:rPr>
            </w:r>
            <w:r/>
          </w:p>
        </w:tc>
      </w:tr>
      <w:tr>
        <w:trPr>
          <w:trHeight w:val="1411" w:hRule="exact"/>
        </w:trPr>
        <w:tc>
          <w:tcPr>
            <w:tcW w:w="941" w:type="dxa"/>
            <w:vAlign w:val="center"/>
            <w:vMerge w:val="continue"/>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成蹊园茶场专业绿化工</w:t>
            </w:r>
            <w:r>
              <w:rPr>
                <w:highlight w:val="none"/>
              </w:rPr>
            </w:r>
            <w:r/>
          </w:p>
        </w:tc>
        <w:tc>
          <w:tcPr>
            <w:tcW w:w="8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w:t>
            </w:r>
            <w:r>
              <w:rPr>
                <w:highlight w:val="none"/>
              </w:rPr>
            </w:r>
            <w:r/>
          </w:p>
        </w:tc>
        <w:tc>
          <w:tcPr>
            <w:tcW w:w="2019"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57</w:t>
            </w:r>
            <w:r>
              <w:rPr>
                <w:rFonts w:hint="eastAsia" w:ascii="宋体" w:hAnsi="宋体"/>
                <w:bCs/>
                <w:sz w:val="24"/>
                <w:szCs w:val="24"/>
                <w:highlight w:val="none"/>
              </w:rPr>
              <w:t xml:space="preserve">周岁</w:t>
            </w:r>
            <w:r>
              <w:rPr>
                <w:rFonts w:hint="eastAsia" w:ascii="宋体" w:hAnsi="宋体"/>
                <w:sz w:val="24"/>
                <w:szCs w:val="24"/>
                <w:highlight w:val="none"/>
              </w:rPr>
              <w:t xml:space="preserve">及以下</w:t>
            </w:r>
            <w:r>
              <w:rPr>
                <w:highlight w:val="none"/>
              </w:rPr>
            </w:r>
            <w:r/>
          </w:p>
        </w:tc>
        <w:tc>
          <w:tcPr>
            <w:tcW w:w="3194" w:type="dxa"/>
            <w:vAlign w:val="center"/>
            <w:textDirection w:val="lrTb"/>
            <w:noWrap w:val="false"/>
          </w:tcPr>
          <w:p>
            <w:pPr>
              <w:rPr>
                <w:rFonts w:ascii="宋体" w:hAnsi="宋体"/>
                <w:sz w:val="24"/>
                <w:szCs w:val="24"/>
                <w:highlight w:val="none"/>
              </w:rPr>
            </w:pPr>
            <w:r>
              <w:rPr>
                <w:rFonts w:ascii="宋体" w:hAnsi="宋体"/>
                <w:sz w:val="24"/>
                <w:szCs w:val="24"/>
                <w:highlight w:val="none"/>
              </w:rPr>
            </w:r>
            <w:r>
              <w:rPr>
                <w:highlight w:val="none"/>
              </w:rPr>
            </w:r>
            <w:r/>
          </w:p>
        </w:tc>
        <w:tc>
          <w:tcPr>
            <w:tcW w:w="100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r/>
          </w:p>
        </w:tc>
      </w:tr>
      <w:tr>
        <w:trPr>
          <w:trHeight w:val="2006" w:hRule="exact"/>
        </w:trPr>
        <w:tc>
          <w:tcPr>
            <w:tcW w:w="941"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r/>
          </w:p>
        </w:tc>
        <w:tc>
          <w:tcPr>
            <w:tcW w:w="1325"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r/>
          </w:p>
        </w:tc>
        <w:tc>
          <w:tcPr>
            <w:tcW w:w="82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156</w:t>
            </w:r>
            <w:r>
              <w:rPr>
                <w:highlight w:val="none"/>
              </w:rPr>
            </w:r>
            <w:r/>
          </w:p>
        </w:tc>
        <w:tc>
          <w:tcPr>
            <w:gridSpan w:val="3"/>
            <w:tcW w:w="6215" w:type="dxa"/>
            <w:vAlign w:val="center"/>
            <w:textDirection w:val="lrTb"/>
            <w:noWrap w:val="false"/>
          </w:tcPr>
          <w:p>
            <w:pPr>
              <w:rPr>
                <w:rFonts w:hint="eastAsia" w:ascii="宋体"/>
                <w:b/>
                <w:bCs/>
                <w:i/>
                <w:iCs/>
                <w:color w:val="auto"/>
                <w:sz w:val="24"/>
                <w:highlight w:val="none"/>
                <w:u w:val="single"/>
              </w:rPr>
            </w:pPr>
            <w:r>
              <w:rPr>
                <w:rFonts w:hint="eastAsia" w:ascii="宋体"/>
                <w:b/>
                <w:bCs/>
                <w:i/>
                <w:iCs/>
                <w:color w:val="000000" w:themeColor="text1"/>
                <w:sz w:val="24"/>
                <w:highlight w:val="none"/>
                <w:u w:val="single"/>
                <w14:textFill>
                  <w14:solidFill>
                    <w14:schemeClr w14:val="tx1"/>
                  </w14:solidFill>
                </w14:textFill>
              </w:rPr>
              <w:t xml:space="preserve">岗位人员不少于</w:t>
            </w:r>
            <w:r>
              <w:rPr>
                <w:rFonts w:hint="eastAsia" w:ascii="宋体"/>
                <w:b/>
                <w:bCs/>
                <w:i/>
                <w:iCs/>
                <w:color w:val="000000" w:themeColor="text1"/>
                <w:sz w:val="24"/>
                <w:highlight w:val="none"/>
                <w:u w:val="single"/>
                <w:lang w:val="en-US" w:eastAsia="zh-CN"/>
                <w14:textFill>
                  <w14:solidFill>
                    <w14:schemeClr w14:val="tx1"/>
                  </w14:solidFill>
                </w14:textFill>
              </w:rPr>
              <w:t xml:space="preserve">156</w:t>
            </w:r>
            <w:r>
              <w:rPr>
                <w:rFonts w:hint="eastAsia" w:ascii="宋体"/>
                <w:b/>
                <w:bCs/>
                <w:i/>
                <w:iCs/>
                <w:color w:val="000000" w:themeColor="text1"/>
                <w:sz w:val="24"/>
                <w:highlight w:val="none"/>
                <w:u w:val="single"/>
                <w14:textFill>
                  <w14:solidFill>
                    <w14:schemeClr w14:val="tx1"/>
                  </w14:solidFill>
                </w14:textFill>
              </w:rPr>
              <w:t xml:space="preserve">人（不满足将不能通过符合性审查）</w:t>
            </w:r>
            <w:r>
              <w:rPr>
                <w:highlight w:val="none"/>
              </w:rPr>
            </w:r>
            <w:r/>
          </w:p>
          <w:p>
            <w:pPr>
              <w:rPr>
                <w:rFonts w:ascii="宋体" w:hAnsi="宋体"/>
                <w:sz w:val="24"/>
                <w:szCs w:val="24"/>
                <w:highlight w:val="none"/>
              </w:rPr>
            </w:pPr>
            <w:r>
              <w:rPr>
                <w:rFonts w:hint="eastAsia" w:ascii="宋体"/>
                <w:b/>
                <w:bCs/>
                <w:i/>
                <w:iCs/>
                <w:color w:val="auto"/>
                <w:sz w:val="24"/>
                <w:highlight w:val="none"/>
                <w:u w:val="single"/>
              </w:rPr>
              <w:t xml:space="preserve">允许配置按国家规定可不缴纳社保的人员不超过项目总配置人数的  </w:t>
            </w:r>
            <w:r>
              <w:rPr>
                <w:rFonts w:hint="eastAsia" w:ascii="宋体"/>
                <w:b/>
                <w:bCs/>
                <w:i/>
                <w:iCs/>
                <w:color w:val="auto"/>
                <w:sz w:val="24"/>
                <w:highlight w:val="none"/>
                <w:u w:val="single"/>
                <w:lang w:val="en-US" w:eastAsia="zh-CN"/>
              </w:rPr>
              <w:t xml:space="preserve">45</w:t>
            </w:r>
            <w:r>
              <w:rPr>
                <w:rFonts w:hint="eastAsia" w:ascii="宋体"/>
                <w:b/>
                <w:bCs/>
                <w:i/>
                <w:iCs/>
                <w:color w:val="auto"/>
                <w:sz w:val="24"/>
                <w:highlight w:val="none"/>
                <w:u w:val="single"/>
              </w:rPr>
              <w:t xml:space="preserve"> %（即</w:t>
            </w:r>
            <w:r>
              <w:rPr>
                <w:rFonts w:hint="eastAsia" w:ascii="宋体"/>
                <w:b/>
                <w:bCs/>
                <w:i/>
                <w:iCs/>
                <w:color w:val="auto"/>
                <w:sz w:val="24"/>
                <w:highlight w:val="none"/>
                <w:u w:val="single"/>
                <w:lang w:val="en-US" w:eastAsia="zh-CN"/>
              </w:rPr>
              <w:t xml:space="preserve">70</w:t>
            </w:r>
            <w:r>
              <w:rPr>
                <w:rFonts w:hint="eastAsia" w:ascii="宋体"/>
                <w:b/>
                <w:bCs/>
                <w:i/>
                <w:iCs/>
                <w:color w:val="auto"/>
                <w:sz w:val="24"/>
                <w:highlight w:val="none"/>
                <w:u w:val="single"/>
              </w:rPr>
              <w:t xml:space="preserve">人）</w:t>
            </w:r>
            <w:r>
              <w:rPr>
                <w:highlight w:val="none"/>
              </w:rPr>
            </w:r>
            <w:r/>
          </w:p>
        </w:tc>
      </w:tr>
    </w:tbl>
    <w:p>
      <w:pPr>
        <w:numPr>
          <w:ilvl w:val="0"/>
          <w:numId w:val="6"/>
        </w:numPr>
        <w:ind w:firstLine="482"/>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人员通用要求</w:t>
      </w:r>
      <w:r>
        <w:rPr>
          <w:highlight w:val="none"/>
        </w:rPr>
      </w:r>
      <w:r/>
    </w:p>
    <w:p>
      <w:pPr>
        <w:ind w:firstLine="429"/>
        <w:spacing w:line="360" w:lineRule="auto"/>
        <w:tabs>
          <w:tab w:val="left" w:pos="-21" w:leader="none"/>
        </w:tabs>
        <w:rPr>
          <w:rFonts w:ascii="宋体" w:hAnsi="宋体" w:cs="宋体"/>
          <w:color w:val="000000"/>
          <w:sz w:val="24"/>
          <w:szCs w:val="22"/>
          <w:highlight w:val="none"/>
        </w:rPr>
      </w:pPr>
      <w:r>
        <w:rPr>
          <w:rFonts w:hint="eastAsia" w:ascii="宋体" w:hAnsi="宋体" w:cs="宋体"/>
          <w:color w:val="000000"/>
          <w:sz w:val="24"/>
          <w:szCs w:val="22"/>
          <w:highlight w:val="none"/>
        </w:rPr>
        <w:t xml:space="preserve">（1）具有良好的职业道德，无不良记录（以公安机关不良记录为依据）；身体健康，年龄、精神状况等应符合国家用工要求和本次招标明确的用工要求。</w:t>
      </w:r>
      <w:r>
        <w:rPr>
          <w:highlight w:val="none"/>
        </w:rPr>
      </w:r>
      <w:r/>
    </w:p>
    <w:p>
      <w:pPr>
        <w:ind w:firstLine="429"/>
        <w:spacing w:line="360" w:lineRule="auto"/>
        <w:tabs>
          <w:tab w:val="left" w:pos="-21" w:leader="none"/>
        </w:tabs>
        <w:rPr>
          <w:rFonts w:ascii="宋体" w:hAnsi="宋体" w:cs="宋体"/>
          <w:color w:val="000000"/>
          <w:sz w:val="24"/>
          <w:szCs w:val="22"/>
          <w:highlight w:val="none"/>
        </w:rPr>
      </w:pPr>
      <w:r>
        <w:rPr>
          <w:rFonts w:hint="eastAsia" w:ascii="宋体" w:hAnsi="宋体" w:cs="宋体"/>
          <w:color w:val="000000"/>
          <w:sz w:val="24"/>
          <w:szCs w:val="22"/>
          <w:highlight w:val="none"/>
        </w:rPr>
        <w:t xml:space="preserve">（2）进驻学校后，针对实际情况物业服务企业应对所有上岗人员进行岗前培训，合格后方可上岗。</w:t>
      </w:r>
      <w:r>
        <w:rPr>
          <w:highlight w:val="none"/>
        </w:rPr>
      </w:r>
      <w:r/>
    </w:p>
    <w:p>
      <w:pPr>
        <w:ind w:firstLine="429"/>
        <w:spacing w:line="360" w:lineRule="auto"/>
        <w:tabs>
          <w:tab w:val="left" w:pos="-21" w:leader="none"/>
        </w:tabs>
        <w:rPr>
          <w:rFonts w:ascii="宋体" w:hAnsi="宋体" w:cs="宋体"/>
          <w:color w:val="000000"/>
          <w:sz w:val="24"/>
          <w:szCs w:val="22"/>
          <w:highlight w:val="none"/>
        </w:rPr>
      </w:pPr>
      <w:r>
        <w:rPr>
          <w:rFonts w:hint="eastAsia" w:ascii="宋体" w:hAnsi="宋体" w:cs="宋体"/>
          <w:color w:val="000000"/>
          <w:sz w:val="24"/>
          <w:szCs w:val="22"/>
          <w:highlight w:val="none"/>
        </w:rPr>
        <w:t xml:space="preserve">（3）统一着装，佩戴明显标志，仪容仪表整洁，服务主动热情；窗口服务人员使用普通话。</w:t>
      </w:r>
      <w:r>
        <w:rPr>
          <w:highlight w:val="none"/>
        </w:rPr>
      </w:r>
      <w:r/>
    </w:p>
    <w:p>
      <w:pPr>
        <w:ind w:firstLine="429"/>
        <w:spacing w:line="360" w:lineRule="auto"/>
        <w:tabs>
          <w:tab w:val="left" w:pos="-21" w:leader="none"/>
        </w:tabs>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（4）楼宇服务人员应熟悉并掌握职责管辖范围内人员、物品情况，如实做好登记。</w:t>
      </w:r>
      <w:r>
        <w:rPr>
          <w:highlight w:val="none"/>
        </w:rPr>
      </w:r>
      <w:r/>
    </w:p>
    <w:p>
      <w:pPr>
        <w:numPr>
          <w:ilvl w:val="0"/>
          <w:numId w:val="5"/>
        </w:numPr>
        <w:ind w:firstLine="463"/>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设备配置要求</w:t>
      </w:r>
      <w:r>
        <w:rPr>
          <w:highlight w:val="none"/>
        </w:rPr>
      </w:r>
      <w:r/>
    </w:p>
    <w:tbl>
      <w:tblPr>
        <w:tblStyle w:val="9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188"/>
        <w:gridCol w:w="3525"/>
        <w:gridCol w:w="3899"/>
      </w:tblGrid>
      <w:tr>
        <w:trPr>
          <w:jc w:val="center"/>
          <w:tblHeader/>
        </w:trPr>
        <w:tc>
          <w:tcPr>
            <w:tcMar>
              <w:left w:w="270" w:type="dxa"/>
              <w:top w:w="180" w:type="dxa"/>
              <w:right w:w="270" w:type="dxa"/>
              <w:bottom w:w="180" w:type="dxa"/>
            </w:tcMar>
            <w:tcW w:w="0" w:type="auto"/>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服务区域</w:t>
            </w:r>
            <w:r>
              <w:rPr>
                <w:highlight w:val="none"/>
              </w:rPr>
            </w:r>
            <w:r/>
          </w:p>
        </w:tc>
        <w:tc>
          <w:tcPr>
            <w:tcMar>
              <w:left w:w="270" w:type="dxa"/>
              <w:top w:w="180" w:type="dxa"/>
              <w:right w:w="270" w:type="dxa"/>
              <w:bottom w:w="180" w:type="dxa"/>
            </w:tcMar>
            <w:tcW w:w="0" w:type="auto"/>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必备设备</w:t>
            </w:r>
            <w:r>
              <w:rPr>
                <w:highlight w:val="none"/>
              </w:rPr>
            </w:r>
            <w:r/>
          </w:p>
        </w:tc>
        <w:tc>
          <w:tcPr>
            <w:tcMar>
              <w:left w:w="270" w:type="dxa"/>
              <w:top w:w="180" w:type="dxa"/>
              <w:right w:w="270" w:type="dxa"/>
              <w:bottom w:w="180" w:type="dxa"/>
            </w:tcMar>
            <w:tcW w:w="0" w:type="auto"/>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技术参数</w:t>
            </w:r>
            <w:r>
              <w:rPr>
                <w:highlight w:val="none"/>
              </w:rPr>
            </w:r>
            <w:r/>
          </w:p>
        </w:tc>
      </w:tr>
      <w:tr>
        <w:trPr>
          <w:jc w:val="center"/>
        </w:trPr>
        <w:tc>
          <w:tcPr>
            <w:tcMar>
              <w:left w:w="270" w:type="dxa"/>
              <w:top w:w="180" w:type="dxa"/>
              <w:right w:w="270" w:type="dxa"/>
              <w:bottom w:w="180" w:type="dxa"/>
            </w:tcMar>
            <w:tcW w:w="0" w:type="auto"/>
            <w:vAlign w:val="center"/>
            <w:vMerge w:val="restart"/>
            <w:textDirection w:val="lrTb"/>
            <w:noWrap w:val="false"/>
          </w:tcPr>
          <w:p>
            <w:pPr>
              <w:jc w:val="center"/>
              <w:widowControl/>
              <w:rPr>
                <w:highlight w:val="none"/>
              </w:rPr>
            </w:pPr>
            <w:r>
              <w:rPr>
                <w:rFonts w:hint="eastAsia" w:ascii="宋体" w:hAnsi="宋体" w:cs="宋体"/>
                <w:sz w:val="24"/>
                <w:szCs w:val="24"/>
                <w:highlight w:val="none"/>
                <w:lang w:bidi="ar"/>
              </w:rPr>
              <w:t xml:space="preserve">场馆</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打磨机</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2 台，功率≥1500W</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电动喷雾器</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3 台，容量≥10L</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管道疏通设备</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1 台，最大疏通直径≥100mm</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洗地机</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3 台，吸水宽度≥500mm</w:t>
            </w:r>
            <w:r>
              <w:rPr>
                <w:highlight w:val="none"/>
              </w:rPr>
            </w:r>
            <w:r/>
          </w:p>
        </w:tc>
      </w:tr>
      <w:tr>
        <w:trPr>
          <w:jc w:val="center"/>
        </w:trPr>
        <w:tc>
          <w:tcPr>
            <w:tcMar>
              <w:left w:w="270" w:type="dxa"/>
              <w:top w:w="180" w:type="dxa"/>
              <w:right w:w="270" w:type="dxa"/>
              <w:bottom w:w="180" w:type="dxa"/>
            </w:tcMar>
            <w:tcW w:w="0" w:type="auto"/>
            <w:vAlign w:val="center"/>
            <w:vMerge w:val="restart"/>
            <w:textDirection w:val="lrTb"/>
            <w:noWrap w:val="false"/>
          </w:tcPr>
          <w:p>
            <w:pPr>
              <w:jc w:val="left"/>
              <w:widowControl/>
              <w:rPr>
                <w:highlight w:val="none"/>
              </w:rPr>
            </w:pPr>
            <w:r>
              <w:rPr>
                <w:rFonts w:ascii="宋体" w:hAnsi="宋体" w:cs="宋体"/>
                <w:sz w:val="24"/>
                <w:szCs w:val="24"/>
                <w:highlight w:val="none"/>
                <w:lang w:bidi="ar"/>
              </w:rPr>
              <w:t xml:space="preserve">外环境及绿化</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绿篱修剪机</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3 台，功率≥750W</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油锯</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3 台，导板长度≥40cm</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汽油机</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1 台，功率≥5.5HP</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打草机</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5 台，切割宽度≥40cm</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水车</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1 辆，水箱容量≥3m³</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扫地车</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1 辆，清扫宽度≥1.2m</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树木高空修剪车</w:t>
            </w:r>
            <w:r>
              <w:rPr>
                <w:rFonts w:hint="eastAsia" w:ascii="宋体" w:hAnsi="宋体" w:cs="宋体"/>
                <w:sz w:val="24"/>
                <w:szCs w:val="24"/>
                <w:highlight w:val="none"/>
                <w:lang w:bidi="ar"/>
              </w:rPr>
              <w:t xml:space="preserve">（可租赁）</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1 辆，最大作业高度≥10m</w:t>
            </w:r>
            <w:r>
              <w:rPr>
                <w:highlight w:val="none"/>
              </w:rPr>
            </w:r>
            <w:r/>
          </w:p>
        </w:tc>
      </w:tr>
      <w:tr>
        <w:trPr>
          <w:jc w:val="center"/>
        </w:trPr>
        <w:tc>
          <w:tcPr>
            <w:tcMar>
              <w:left w:w="270" w:type="dxa"/>
              <w:top w:w="180" w:type="dxa"/>
              <w:right w:w="270" w:type="dxa"/>
              <w:bottom w:w="180" w:type="dxa"/>
            </w:tcMar>
            <w:tcW w:w="0" w:type="auto"/>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草坪打孔机</w:t>
            </w:r>
            <w:r>
              <w:rPr>
                <w:highlight w:val="none"/>
              </w:rPr>
            </w:r>
            <w:r/>
          </w:p>
        </w:tc>
        <w:tc>
          <w:tcPr>
            <w:tcMar>
              <w:left w:w="270" w:type="dxa"/>
              <w:top w:w="180" w:type="dxa"/>
              <w:right w:w="270" w:type="dxa"/>
              <w:bottom w:w="180" w:type="dxa"/>
            </w:tcMar>
            <w:tcW w:w="0" w:type="auto"/>
            <w:vAlign w:val="center"/>
            <w:textDirection w:val="lrTb"/>
            <w:noWrap w:val="false"/>
          </w:tcPr>
          <w:p>
            <w:pPr>
              <w:jc w:val="left"/>
              <w:widowControl/>
              <w:rPr>
                <w:highlight w:val="none"/>
              </w:rPr>
            </w:pPr>
            <w:r>
              <w:rPr>
                <w:rFonts w:ascii="宋体" w:hAnsi="宋体" w:cs="宋体"/>
                <w:sz w:val="24"/>
                <w:szCs w:val="24"/>
                <w:highlight w:val="none"/>
                <w:lang w:bidi="ar"/>
              </w:rPr>
              <w:t xml:space="preserve">1 台，打孔深度≥10cm</w:t>
            </w:r>
            <w:r>
              <w:rPr>
                <w:highlight w:val="none"/>
              </w:rPr>
            </w:r>
            <w:r/>
          </w:p>
        </w:tc>
      </w:tr>
      <w:tr>
        <w:trPr>
          <w:jc w:val="center"/>
        </w:trPr>
        <w:tc>
          <w:tcPr>
            <w:gridSpan w:val="3"/>
            <w:tcMar>
              <w:left w:w="270" w:type="dxa"/>
              <w:top w:w="180" w:type="dxa"/>
              <w:right w:w="270" w:type="dxa"/>
              <w:bottom w:w="180" w:type="dxa"/>
            </w:tcMar>
            <w:tcW w:w="0" w:type="auto"/>
            <w:vAlign w:val="center"/>
            <w:textDirection w:val="lrTb"/>
            <w:noWrap w:val="false"/>
          </w:tcPr>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lang w:bidi="ar"/>
              </w:rPr>
              <w:t xml:space="preserve">上述设备可以是自有、租赁或承诺制，如为自有，投标时提供设备列表（格式自拟，标注设备品牌、使用年限，附设备购买发票）；如为租赁，租赁剩余有效期需涵盖项目服务周期，投标时提供设备租赁合同（需体现设备名称、设备品牌）；如为承诺制，投标时提供承诺书，格式自拟，内容需明确标明“在履约服务周期开始前，通过采购（或租赁）形式落实本项目要求的所有设备配置。”</w:t>
            </w:r>
            <w:r>
              <w:rPr>
                <w:highlight w:val="none"/>
              </w:rPr>
            </w:r>
            <w:r/>
          </w:p>
          <w:p>
            <w:pPr>
              <w:numPr>
                <w:ilvl w:val="-1"/>
                <w:numId w:val="0"/>
              </w:numPr>
              <w:ind w:firstLine="0"/>
              <w:spacing w:line="360" w:lineRule="auto"/>
              <w:tabs>
                <w:tab w:val="left" w:pos="-21" w:leader="none"/>
              </w:tabs>
              <w:rPr>
                <w:rFonts w:hint="eastAsia" w:ascii="宋体" w:hAnsi="宋体" w:cs="宋体"/>
                <w:i/>
                <w:iCs/>
                <w:sz w:val="24"/>
                <w:szCs w:val="24"/>
                <w:highlight w:val="none"/>
                <w:u w:val="single"/>
              </w:rPr>
            </w:pPr>
            <w:r>
              <w:rPr>
                <w:rFonts w:hint="eastAsia" w:ascii="宋体" w:hAnsi="宋体" w:cs="宋体"/>
                <w:i/>
                <w:iCs/>
                <w:sz w:val="24"/>
                <w:szCs w:val="24"/>
                <w:highlight w:val="none"/>
                <w:u w:val="single"/>
                <w:lang w:bidi="ar"/>
              </w:rPr>
            </w:r>
            <w:r>
              <w:rPr>
                <w:highlight w:val="none"/>
              </w:rPr>
            </w:r>
            <w:r/>
          </w:p>
        </w:tc>
      </w:tr>
    </w:tbl>
    <w:p>
      <w:pPr>
        <w:numPr>
          <w:ilvl w:val="0"/>
          <w:numId w:val="7"/>
        </w:numPr>
        <w:ind w:firstLine="540"/>
        <w:spacing w:line="360" w:lineRule="auto"/>
        <w:tabs>
          <w:tab w:val="left" w:pos="525" w:leader="none"/>
          <w:tab w:val="left" w:pos="1050" w:leader="none"/>
        </w:tabs>
        <w:rPr>
          <w:rFonts w:ascii="宋体" w:hAnsi="宋体"/>
          <w:b/>
          <w:color w:val="000000"/>
          <w:sz w:val="28"/>
          <w:szCs w:val="28"/>
          <w:highlight w:val="none"/>
        </w:rPr>
      </w:pPr>
      <w:r>
        <w:rPr>
          <w:rFonts w:ascii="宋体" w:hAnsi="宋体"/>
          <w:b/>
          <w:color w:val="000000"/>
          <w:sz w:val="28"/>
          <w:szCs w:val="28"/>
          <w:highlight w:val="none"/>
        </w:rPr>
        <w:t xml:space="preserve">服务标准与要求</w:t>
      </w:r>
      <w:r>
        <w:rPr>
          <w:highlight w:val="none"/>
        </w:rPr>
      </w:r>
      <w:r/>
    </w:p>
    <w:p>
      <w:pPr>
        <w:ind w:firstLine="480"/>
        <w:spacing w:line="360" w:lineRule="auto"/>
        <w:tabs>
          <w:tab w:val="left" w:pos="525" w:leader="none"/>
          <w:tab w:val="left" w:pos="1050" w:leader="none"/>
        </w:tabs>
        <w:rPr>
          <w:rFonts w:ascii="宋体" w:hAnsi="宋体"/>
          <w:bCs/>
          <w:iCs/>
          <w:sz w:val="24"/>
          <w:szCs w:val="24"/>
          <w:highlight w:val="none"/>
        </w:rPr>
      </w:pPr>
      <w:r>
        <w:rPr>
          <w:rFonts w:hint="eastAsia" w:ascii="宋体" w:hAnsi="宋体"/>
          <w:bCs/>
          <w:iCs/>
          <w:sz w:val="24"/>
          <w:szCs w:val="24"/>
          <w:highlight w:val="none"/>
        </w:rPr>
        <w:t xml:space="preserve">校园综合物业管理服务包括通用服务和专项服务（室内环境保洁服务、公共卫生间保洁服务、楼宇管理服务、室内日常管理与维修养护服务、室外日常管理与维修养护服务、变电所管理服务、宿舍管理服务、校园绿化服务、室外环境卫生保洁服务等），具体内容和规范如下：</w:t>
      </w:r>
      <w:r>
        <w:rPr>
          <w:highlight w:val="none"/>
        </w:rPr>
      </w:r>
      <w:r/>
    </w:p>
    <w:p>
      <w:pPr>
        <w:ind w:left="403"/>
        <w:spacing w:line="360" w:lineRule="auto"/>
        <w:widowControl/>
        <w:rPr>
          <w:rFonts w:ascii="宋体" w:hAnsi="宋体"/>
          <w:b/>
          <w:bCs/>
          <w:sz w:val="24"/>
          <w:szCs w:val="24"/>
          <w:highlight w:val="none"/>
        </w:rPr>
      </w:pPr>
      <w:r>
        <w:rPr>
          <w:rFonts w:ascii="宋体" w:hAnsi="宋体"/>
          <w:b/>
          <w:bCs/>
          <w:sz w:val="24"/>
          <w:szCs w:val="24"/>
          <w:highlight w:val="none"/>
        </w:rPr>
        <w:t xml:space="preserve">（一）通用服务规范</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sz w:val="24"/>
          <w:szCs w:val="22"/>
          <w:highlight w:val="none"/>
        </w:rPr>
      </w:pPr>
      <w:r>
        <w:rPr>
          <w:rFonts w:hint="eastAsia" w:ascii="宋体" w:hAnsi="宋体" w:cs="宋体"/>
          <w:color w:val="000000"/>
          <w:sz w:val="24"/>
          <w:szCs w:val="24"/>
          <w:highlight w:val="none"/>
        </w:rPr>
        <w:t xml:space="preserve">1.物业公司需在学校</w:t>
      </w:r>
      <w:r>
        <w:rPr>
          <w:rFonts w:ascii="宋体" w:hAnsi="宋体" w:cs="宋体"/>
          <w:color w:val="000000"/>
          <w:sz w:val="24"/>
          <w:szCs w:val="22"/>
          <w:highlight w:val="none"/>
        </w:rPr>
        <w:t xml:space="preserve">组建完整健全</w:t>
      </w:r>
      <w:r>
        <w:rPr>
          <w:rFonts w:hint="eastAsia" w:ascii="宋体" w:hAnsi="宋体" w:cs="宋体"/>
          <w:color w:val="000000"/>
          <w:sz w:val="24"/>
          <w:szCs w:val="22"/>
          <w:highlight w:val="none"/>
        </w:rPr>
        <w:t xml:space="preserve">的管理机构，做到</w:t>
      </w:r>
      <w:r>
        <w:rPr>
          <w:rFonts w:ascii="宋体" w:hAnsi="宋体" w:cs="宋体"/>
          <w:color w:val="000000"/>
          <w:sz w:val="24"/>
          <w:szCs w:val="22"/>
          <w:highlight w:val="none"/>
        </w:rPr>
        <w:t xml:space="preserve">管理规章制度健全，服务质量标准</w:t>
      </w:r>
      <w:r>
        <w:rPr>
          <w:rFonts w:hint="eastAsia" w:ascii="宋体" w:hAnsi="宋体" w:cs="宋体"/>
          <w:color w:val="000000"/>
          <w:sz w:val="24"/>
          <w:szCs w:val="22"/>
          <w:highlight w:val="none"/>
          <w:lang w:val="en-US" w:eastAsia="zh-CN"/>
        </w:rPr>
        <w:t xml:space="preserve">和质量管理体系</w:t>
      </w:r>
      <w:r>
        <w:rPr>
          <w:rFonts w:ascii="宋体" w:hAnsi="宋体" w:cs="宋体"/>
          <w:color w:val="000000"/>
          <w:sz w:val="24"/>
          <w:szCs w:val="22"/>
          <w:highlight w:val="none"/>
        </w:rPr>
        <w:t xml:space="preserve">完善，物业管理档案资料齐全</w:t>
      </w:r>
      <w:r>
        <w:rPr>
          <w:rFonts w:hint="eastAsia" w:ascii="宋体" w:hAnsi="宋体" w:cs="宋体"/>
          <w:color w:val="000000"/>
          <w:sz w:val="24"/>
          <w:szCs w:val="22"/>
          <w:highlight w:val="none"/>
        </w:rPr>
        <w:t xml:space="preserve">。有完善的内控系统，</w:t>
      </w:r>
      <w:r>
        <w:rPr>
          <w:rFonts w:ascii="宋体" w:hAnsi="宋体" w:cs="宋体"/>
          <w:color w:val="000000"/>
          <w:sz w:val="24"/>
          <w:szCs w:val="22"/>
          <w:highlight w:val="none"/>
        </w:rPr>
        <w:t xml:space="preserve">定期检查各业务部门工作计划落实情况</w:t>
      </w:r>
      <w:r>
        <w:rPr>
          <w:rFonts w:hint="eastAsia" w:ascii="宋体" w:hAnsi="宋体" w:cs="宋体"/>
          <w:color w:val="000000"/>
          <w:sz w:val="24"/>
          <w:szCs w:val="22"/>
          <w:highlight w:val="none"/>
        </w:rPr>
        <w:t xml:space="preserve">。</w:t>
      </w:r>
      <w:r>
        <w:rPr>
          <w:rFonts w:ascii="宋体" w:hAnsi="宋体" w:cs="宋体"/>
          <w:color w:val="000000"/>
          <w:sz w:val="24"/>
          <w:szCs w:val="22"/>
          <w:highlight w:val="none"/>
        </w:rPr>
        <w:t xml:space="preserve">贯彻落实学校各项任务</w:t>
      </w:r>
      <w:r>
        <w:rPr>
          <w:rFonts w:hint="eastAsia" w:ascii="宋体" w:hAnsi="宋体" w:cs="宋体"/>
          <w:color w:val="000000"/>
          <w:sz w:val="24"/>
          <w:szCs w:val="22"/>
          <w:highlight w:val="none"/>
        </w:rPr>
        <w:t xml:space="preserve">，严格遵守学校的有关规定。</w:t>
      </w:r>
      <w:r>
        <w:rPr>
          <w:highlight w:val="none"/>
        </w:rPr>
      </w:r>
      <w:r/>
    </w:p>
    <w:p>
      <w:pPr>
        <w:ind w:firstLine="429"/>
        <w:spacing w:line="360" w:lineRule="auto"/>
        <w:tabs>
          <w:tab w:val="left" w:pos="-21" w:leader="none"/>
        </w:tabs>
        <w:rPr>
          <w:rFonts w:hint="default" w:ascii="宋体" w:hAnsi="宋体" w:eastAsia="宋体" w:cs="宋体"/>
          <w:color w:val="000000"/>
          <w:sz w:val="24"/>
          <w:szCs w:val="22"/>
          <w:highlight w:val="none"/>
        </w:rPr>
      </w:pPr>
      <w:r>
        <w:rPr>
          <w:rFonts w:hint="eastAsia" w:ascii="宋体" w:hAnsi="宋体" w:cs="宋体"/>
          <w:color w:val="000000"/>
          <w:sz w:val="24"/>
          <w:szCs w:val="22"/>
          <w:highlight w:val="none"/>
        </w:rPr>
        <w:t xml:space="preserve">2.对校方提供的服务场所（值班室）布置规范，张贴“服务指南”，资料本、登记本齐全，配备满足服务需要的设备设施；在服务区域统一设计并张贴“服务公示牌”，公开咨询、保修、投诉等服务电话；物业服务方案、各岗位职责、工作流程及服务标准、内部管理制度等规章制度齐全，存放在值班室备查</w:t>
      </w:r>
      <w:r>
        <w:rPr>
          <w:rFonts w:hint="eastAsia" w:ascii="宋体" w:hAnsi="宋体" w:cs="宋体"/>
          <w:color w:val="000000"/>
          <w:sz w:val="24"/>
          <w:szCs w:val="22"/>
          <w:highlight w:val="none"/>
          <w:lang w:eastAsia="zh-CN"/>
        </w:rPr>
        <w:t xml:space="preserve">，</w:t>
      </w:r>
      <w:r>
        <w:rPr>
          <w:rFonts w:hint="eastAsia" w:ascii="宋体" w:hAnsi="宋体" w:cs="宋体"/>
          <w:color w:val="000000"/>
          <w:sz w:val="24"/>
          <w:szCs w:val="22"/>
          <w:highlight w:val="none"/>
          <w:lang w:val="en-US" w:eastAsia="zh-CN"/>
        </w:rPr>
        <w:t xml:space="preserve">具备完善的环境管理系统。</w:t>
      </w:r>
      <w:r>
        <w:rPr>
          <w:highlight w:val="none"/>
        </w:rPr>
      </w:r>
      <w:r/>
    </w:p>
    <w:p>
      <w:pPr>
        <w:ind w:firstLine="429"/>
        <w:spacing w:line="360" w:lineRule="auto"/>
        <w:tabs>
          <w:tab w:val="left" w:pos="-21" w:leader="none"/>
        </w:tabs>
        <w:rPr>
          <w:rFonts w:hint="default" w:ascii="宋体" w:hAnsi="宋体" w:eastAsia="宋体" w:cs="宋体"/>
          <w:b/>
          <w:bCs/>
          <w:color w:val="000000"/>
          <w:sz w:val="24"/>
          <w:szCs w:val="22"/>
          <w:highlight w:val="none"/>
        </w:rPr>
      </w:pPr>
      <w:r>
        <w:rPr>
          <w:rFonts w:hint="eastAsia" w:ascii="宋体" w:hAnsi="宋体" w:cs="宋体"/>
          <w:color w:val="000000"/>
          <w:sz w:val="24"/>
          <w:szCs w:val="22"/>
          <w:highlight w:val="none"/>
        </w:rPr>
        <w:t xml:space="preserve">3.定期组织员工培训，</w:t>
      </w:r>
      <w:r>
        <w:rPr>
          <w:rFonts w:hint="eastAsia" w:ascii="宋体" w:hAnsi="宋体" w:cs="宋体"/>
          <w:color w:val="000000"/>
          <w:sz w:val="24"/>
          <w:szCs w:val="22"/>
          <w:highlight w:val="none"/>
          <w:lang w:val="en-US" w:eastAsia="zh-CN"/>
        </w:rPr>
        <w:t xml:space="preserve">具备完善的职业安全健康管理体系，</w:t>
      </w:r>
      <w:r>
        <w:rPr>
          <w:rFonts w:hint="eastAsia" w:ascii="宋体" w:hAnsi="宋体" w:cs="宋体"/>
          <w:color w:val="000000"/>
          <w:sz w:val="24"/>
          <w:szCs w:val="22"/>
          <w:highlight w:val="none"/>
        </w:rPr>
        <w:t xml:space="preserve">特别是安全法制教育，负责给所聘员工投相应保险，在为学校服务期间，出现伤亡事故等各种意外，均由物业公司负责。</w:t>
      </w:r>
      <w:r>
        <w:rPr>
          <w:highlight w:val="none"/>
        </w:rPr>
      </w:r>
      <w:r/>
    </w:p>
    <w:p>
      <w:pPr>
        <w:ind w:firstLine="429"/>
        <w:spacing w:line="360" w:lineRule="auto"/>
        <w:tabs>
          <w:tab w:val="left" w:pos="-21" w:leader="none"/>
        </w:tabs>
        <w:rPr>
          <w:rFonts w:ascii="宋体" w:hAnsi="宋体" w:cs="宋体"/>
          <w:b/>
          <w:bCs/>
          <w:color w:val="000000"/>
          <w:sz w:val="24"/>
          <w:szCs w:val="22"/>
          <w:highlight w:val="none"/>
        </w:rPr>
      </w:pPr>
      <w:r>
        <w:rPr>
          <w:rFonts w:hint="eastAsia" w:ascii="宋体" w:hAnsi="宋体" w:cs="宋体"/>
          <w:color w:val="000000"/>
          <w:sz w:val="24"/>
          <w:szCs w:val="22"/>
          <w:highlight w:val="none"/>
        </w:rPr>
        <w:t xml:space="preserve">4.服务期限内综合物业管理服务费包括物业公司提供服务所需的人员工资、社保、加班、奖金福利（含投保费的全额工资）等人员支出；卫生清洁、消毒所用工具等材料费用；综合物业服务中产生的管理费用（包括但不仅限于电话费、办公耗材费、培训费等）；设备、工具、劳保购置及使用费用等；及综合物业服务所必要的其他费用。</w:t>
      </w:r>
      <w:r>
        <w:rPr>
          <w:highlight w:val="none"/>
        </w:rPr>
      </w:r>
      <w:r/>
    </w:p>
    <w:p>
      <w:pPr>
        <w:ind w:firstLine="429"/>
        <w:spacing w:line="360" w:lineRule="auto"/>
        <w:tabs>
          <w:tab w:val="left" w:pos="-21" w:leader="none"/>
        </w:tabs>
        <w:rPr>
          <w:rFonts w:hint="default" w:ascii="宋体" w:hAnsi="宋体" w:eastAsia="宋体" w:cs="宋体"/>
          <w:color w:val="000000"/>
          <w:sz w:val="24"/>
          <w:szCs w:val="22"/>
          <w:highlight w:val="none"/>
        </w:rPr>
      </w:pPr>
      <w:r>
        <w:rPr>
          <w:rFonts w:hint="eastAsia" w:ascii="宋体" w:hAnsi="宋体" w:cs="宋体"/>
          <w:color w:val="000000"/>
          <w:sz w:val="24"/>
          <w:szCs w:val="22"/>
          <w:highlight w:val="none"/>
        </w:rPr>
        <w:t xml:space="preserve">5.物业公司要节约用水、电，节能指标、物业管理制度、用人计划及实际用人情况须报校方，校方对物业公司进行审查、监督、实施目标考核；</w:t>
      </w:r>
      <w:r>
        <w:rPr>
          <w:highlight w:val="none"/>
        </w:rPr>
      </w:r>
      <w:r/>
    </w:p>
    <w:p>
      <w:pPr>
        <w:pStyle w:val="1230"/>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6.物业公司须确保学校新生接待、毕业生离校、学校运动会、学校承接的各类考试、大型活动及临时性应急保障工作顺利开展。</w:t>
      </w:r>
      <w:r>
        <w:rPr>
          <w:highlight w:val="none"/>
        </w:rPr>
      </w:r>
      <w:r/>
    </w:p>
    <w:p>
      <w:pPr>
        <w:pStyle w:val="1230"/>
        <w:ind w:firstLine="480"/>
        <w:spacing w:line="360" w:lineRule="auto"/>
        <w:rPr>
          <w:rFonts w:hint="eastAsia" w:ascii="Segoe UI" w:hAnsi="Segoe UI" w:eastAsia="宋体" w:cs="Segoe UI"/>
          <w:sz w:val="24"/>
          <w:szCs w:val="24"/>
          <w:highlight w:val="none"/>
          <w:shd w:val="clear" w:color="auto" w:fill="ffffff"/>
        </w:rPr>
      </w:pPr>
      <w:r>
        <w:rPr>
          <w:rFonts w:hint="eastAsia" w:ascii="宋体" w:hAnsi="宋体" w:cs="宋体"/>
          <w:color w:val="000000"/>
          <w:sz w:val="24"/>
          <w:szCs w:val="24"/>
          <w:highlight w:val="none"/>
        </w:rPr>
        <w:t xml:space="preserve">7.</w:t>
      </w:r>
      <w:r>
        <w:rPr>
          <w:rFonts w:ascii="Segoe UI" w:hAnsi="Segoe UI" w:eastAsia="Segoe UI" w:cs="Segoe UI"/>
          <w:sz w:val="24"/>
          <w:szCs w:val="24"/>
          <w:highlight w:val="none"/>
          <w:shd w:val="clear" w:color="auto" w:fill="ffffff"/>
        </w:rPr>
        <w:t xml:space="preserve">建立</w:t>
      </w:r>
      <w:r>
        <w:rPr>
          <w:rFonts w:ascii="宋体" w:hAnsi="宋体" w:cs="宋体"/>
          <w:color w:val="000000"/>
          <w:sz w:val="24"/>
          <w:szCs w:val="22"/>
          <w:highlight w:val="none"/>
        </w:rPr>
        <w:t xml:space="preserve">公共突发事件的处理机制和应急预案</w:t>
      </w:r>
      <w:r>
        <w:rPr>
          <w:rFonts w:ascii="Segoe UI" w:hAnsi="Segoe UI" w:eastAsia="Segoe UI" w:cs="Segoe UI"/>
          <w:sz w:val="24"/>
          <w:szCs w:val="24"/>
          <w:highlight w:val="none"/>
          <w:shd w:val="clear" w:color="auto" w:fill="ffffff"/>
        </w:rPr>
        <w:t xml:space="preserve">，每学期组织 </w:t>
      </w:r>
      <w:r>
        <w:rPr>
          <w:rFonts w:hint="eastAsia" w:ascii="Segoe UI" w:hAnsi="Segoe UI" w:cs="Segoe UI"/>
          <w:sz w:val="24"/>
          <w:szCs w:val="24"/>
          <w:highlight w:val="none"/>
          <w:shd w:val="clear" w:color="auto" w:fill="ffffff"/>
        </w:rPr>
        <w:t xml:space="preserve">不少于</w:t>
      </w:r>
      <w:r>
        <w:rPr>
          <w:rFonts w:ascii="Segoe UI" w:hAnsi="Segoe UI" w:eastAsia="Segoe UI" w:cs="Segoe UI"/>
          <w:sz w:val="24"/>
          <w:szCs w:val="24"/>
          <w:highlight w:val="none"/>
          <w:shd w:val="clear" w:color="auto" w:fill="ffffff"/>
        </w:rPr>
        <w:t xml:space="preserve">1 次演练</w:t>
      </w:r>
      <w:r>
        <w:rPr>
          <w:rFonts w:hint="eastAsia" w:ascii="Segoe UI" w:hAnsi="Segoe UI" w:cs="Segoe UI"/>
          <w:sz w:val="24"/>
          <w:szCs w:val="24"/>
          <w:highlight w:val="none"/>
          <w:shd w:val="clear" w:color="auto" w:fill="ffffff"/>
        </w:rPr>
        <w:t xml:space="preserve">。</w:t>
      </w:r>
      <w:r>
        <w:rPr>
          <w:highlight w:val="none"/>
        </w:rPr>
      </w:r>
      <w:r/>
    </w:p>
    <w:p>
      <w:pPr>
        <w:ind w:firstLine="429"/>
        <w:spacing w:line="360" w:lineRule="auto"/>
        <w:tabs>
          <w:tab w:val="left" w:pos="-21" w:leader="none"/>
        </w:tabs>
        <w:rPr>
          <w:rFonts w:ascii="宋体" w:hAnsi="宋体" w:cs="宋体"/>
          <w:color w:val="000000"/>
          <w:sz w:val="24"/>
          <w:szCs w:val="22"/>
          <w:highlight w:val="none"/>
        </w:rPr>
      </w:pPr>
      <w:r>
        <w:rPr>
          <w:rFonts w:hint="eastAsia" w:ascii="宋体" w:hAnsi="宋体" w:cs="宋体"/>
          <w:color w:val="000000"/>
          <w:sz w:val="24"/>
          <w:szCs w:val="22"/>
          <w:highlight w:val="none"/>
        </w:rPr>
        <w:t xml:space="preserve">8.检查考核结果由双方签字确认。若对检查考核结果有异议，双方可复查确定考核结果。如果检查考核事实情况清楚，结果正确，物业公司方仍不签字，三日后校方可单方面签字确认，结果有效。</w:t>
      </w:r>
      <w:r>
        <w:rPr>
          <w:highlight w:val="none"/>
        </w:rPr>
      </w:r>
      <w:r/>
    </w:p>
    <w:p>
      <w:pPr>
        <w:ind w:firstLine="429"/>
        <w:spacing w:line="360" w:lineRule="auto"/>
        <w:tabs>
          <w:tab w:val="left" w:pos="-21" w:leader="none"/>
        </w:tabs>
        <w:rPr>
          <w:rFonts w:hint="eastAsia" w:ascii="宋体" w:hAnsi="宋体" w:eastAsia="宋体" w:cs="宋体"/>
          <w:color w:val="000000"/>
          <w:sz w:val="24"/>
          <w:szCs w:val="22"/>
          <w:highlight w:val="none"/>
        </w:rPr>
      </w:pPr>
      <w:r>
        <w:rPr>
          <w:rFonts w:hint="eastAsia" w:ascii="宋体" w:hAnsi="宋体" w:cs="宋体"/>
          <w:color w:val="000000"/>
          <w:sz w:val="24"/>
          <w:szCs w:val="22"/>
          <w:highlight w:val="none"/>
        </w:rPr>
        <w:t xml:space="preserve">9.有较完善的物业服务档案制度，</w:t>
      </w:r>
      <w:r>
        <w:rPr>
          <w:rFonts w:hint="eastAsia" w:ascii="宋体" w:hAnsi="宋体" w:cs="宋体"/>
          <w:color w:val="000000"/>
          <w:sz w:val="24"/>
          <w:szCs w:val="22"/>
          <w:highlight w:val="none"/>
          <w:lang w:val="en-US" w:eastAsia="zh-CN"/>
        </w:rPr>
        <w:t xml:space="preserve">档案内容</w:t>
      </w:r>
      <w:r>
        <w:rPr>
          <w:rFonts w:hint="eastAsia" w:ascii="宋体" w:hAnsi="宋体" w:cs="宋体"/>
          <w:color w:val="000000"/>
          <w:sz w:val="24"/>
          <w:szCs w:val="22"/>
          <w:highlight w:val="none"/>
        </w:rPr>
        <w:t xml:space="preserve">包括：技术档案，如物业维修档案、物业仪器资料档案等；日常管理档案，如用人档案、应急事件处理档案、安全管理档案及各部门运行档案等。服务期满所有档案交接给校方</w:t>
      </w:r>
      <w:r>
        <w:rPr>
          <w:rFonts w:hint="eastAsia" w:ascii="宋体" w:hAnsi="宋体" w:cs="宋体"/>
          <w:color w:val="000000"/>
          <w:sz w:val="24"/>
          <w:szCs w:val="22"/>
          <w:highlight w:val="none"/>
          <w:lang w:eastAsia="zh-CN"/>
        </w:rPr>
        <w:t xml:space="preserve">。</w:t>
      </w:r>
      <w:r>
        <w:rPr>
          <w:highlight w:val="none"/>
        </w:rPr>
      </w:r>
      <w:r/>
    </w:p>
    <w:p>
      <w:pPr>
        <w:ind w:firstLine="429"/>
        <w:spacing w:line="360" w:lineRule="auto"/>
        <w:tabs>
          <w:tab w:val="left" w:pos="-21" w:leader="none"/>
        </w:tabs>
        <w:rPr>
          <w:rFonts w:ascii="宋体" w:hAnsi="宋体" w:cs="宋体"/>
          <w:color w:val="000000"/>
          <w:sz w:val="24"/>
          <w:szCs w:val="22"/>
          <w:highlight w:val="none"/>
        </w:rPr>
      </w:pPr>
      <w:r>
        <w:rPr>
          <w:rFonts w:hint="eastAsia" w:ascii="宋体" w:hAnsi="宋体" w:cs="宋体"/>
          <w:color w:val="000000"/>
          <w:sz w:val="24"/>
          <w:szCs w:val="22"/>
          <w:highlight w:val="none"/>
        </w:rPr>
        <w:t xml:space="preserve">10.物业公司需接受委托管理公共教室桌椅、宿舍家具等资产类公共设施设备。进场后 15 日内核对校方固定资产台账，建立电子档案（含数量、状态、位置）。日常巡检维护，确保完好率≥99%，每学期联合盘点。人为或管理不当导致损坏，按校方标准赔偿。资产变动须书面报备，服务期满按台账完整移交，缺损部分照价补偿。</w:t>
      </w:r>
      <w:r>
        <w:rPr>
          <w:highlight w:val="none"/>
        </w:rPr>
      </w:r>
      <w:r/>
    </w:p>
    <w:p>
      <w:pPr>
        <w:ind w:firstLine="480"/>
        <w:spacing w:line="360" w:lineRule="auto"/>
        <w:tabs>
          <w:tab w:val="left" w:pos="709"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11每学期联合教务、学工等部门至少进行一次物业管理服务满意率调查，促进管理服务工作的改进和提高；物业管理服务满意率不低于90%。</w:t>
      </w:r>
      <w:r>
        <w:rPr>
          <w:highlight w:val="none"/>
        </w:rPr>
      </w:r>
      <w:r/>
    </w:p>
    <w:p>
      <w:pPr>
        <w:ind w:firstLine="431"/>
        <w:spacing w:line="360" w:lineRule="auto"/>
        <w:tabs>
          <w:tab w:val="left" w:pos="-21" w:leader="none"/>
        </w:tabs>
        <w:rPr>
          <w:rFonts w:ascii="宋体" w:hAnsi="宋体" w:cs="宋体"/>
          <w:b/>
          <w:bCs/>
          <w:color w:val="000000"/>
          <w:sz w:val="24"/>
          <w:szCs w:val="22"/>
          <w:highlight w:val="none"/>
        </w:rPr>
      </w:pPr>
      <w:r>
        <w:rPr>
          <w:rFonts w:ascii="宋体" w:hAnsi="宋体"/>
          <w:b/>
          <w:bCs/>
          <w:sz w:val="24"/>
          <w:szCs w:val="24"/>
          <w:highlight w:val="none"/>
        </w:rPr>
        <w:t xml:space="preserve">（二）专项服务</w:t>
      </w:r>
      <w:r>
        <w:rPr>
          <w:rFonts w:hint="eastAsia" w:ascii="宋体" w:hAnsi="宋体"/>
          <w:b/>
          <w:bCs/>
          <w:sz w:val="24"/>
          <w:szCs w:val="24"/>
          <w:highlight w:val="none"/>
        </w:rPr>
        <w:t xml:space="preserve">规范</w:t>
      </w:r>
      <w:r>
        <w:rPr>
          <w:rFonts w:hint="eastAsia" w:ascii="宋体" w:hAnsi="宋体" w:cs="宋体"/>
          <w:b/>
          <w:bCs/>
          <w:color w:val="000000"/>
          <w:sz w:val="24"/>
          <w:szCs w:val="22"/>
          <w:highlight w:val="none"/>
        </w:rPr>
        <w:t xml:space="preserve">（有关项目的作业频率和服务质量标准见附件）</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1.室内环境保洁的服务规范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1.1按照双方约定，根据材质对地面进行定期护理，保持地面有光泽；</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1.2所有楼宇地面、楼梯、台阶、公共通道、平台、屋顶、电梯间等公共区域保持清洁，楼宇内场所无乱堆乱放物品；</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1.3教室内课桌摆放整齐，保持清洁；</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1.4门、窗、玻璃保持洁净明亮；</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1.5栏杆、扶手保持洁净，表面光泽；</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1.6墙面、顶棚保持干净，无乱涂乱画，无脏污，无积灰；</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1.7烟感器、指示灯、消火栓、消防箱、灭火器、报警器、监控探头、电扇、电视机等设施保持表面干净，无灰尘，无污渍；</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1.8教师休息室、茶水间保持整洁，无杂物；</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1.9公共开水房、活动室（体育馆3楼）、体育场馆保持整洁，无杂物；</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1.10公共照明灯具、开关、插座等无污迹，保持正常照明；</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1.11保持垃圾桶表面洁净，周围无散落垃圾，无污迹，无异味，做到日产日清；</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1.12电梯轿厢内地面、内壁、门槽、顶部保持干净；</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1.13电梯轿厢内电话、监控探头、显示屏等设备设施清洁并保持运行正常；</w:t>
      </w:r>
      <w:r>
        <w:rPr>
          <w:highlight w:val="none"/>
        </w:rPr>
      </w:r>
      <w:r/>
    </w:p>
    <w:p>
      <w:pPr>
        <w:ind w:firstLine="480"/>
        <w:spacing w:line="360" w:lineRule="auto"/>
        <w:tabs>
          <w:tab w:val="left" w:pos="709" w:leader="none"/>
          <w:tab w:val="left" w:pos="735" w:leader="none"/>
          <w:tab w:val="left" w:pos="945" w:leader="none"/>
          <w:tab w:val="left" w:pos="6169"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1.14电梯操作面板干净，无污迹；</w:t>
      </w:r>
      <w:r>
        <w:tab/>
      </w:r>
      <w:r/>
    </w:p>
    <w:p>
      <w:pPr>
        <w:ind w:firstLine="480"/>
        <w:spacing w:line="360" w:lineRule="auto"/>
        <w:tabs>
          <w:tab w:val="left" w:pos="709" w:leader="none"/>
          <w:tab w:val="left" w:pos="735" w:leader="none"/>
          <w:tab w:val="left" w:pos="945" w:leader="none"/>
        </w:tabs>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1.15定期进行环境消杀，做好卫生防疫；</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消杀人员</w:t>
      </w:r>
      <w:r>
        <w:rPr>
          <w:rFonts w:hint="eastAsia" w:ascii="宋体" w:hAnsi="宋体"/>
          <w:bCs/>
          <w:color w:val="000000"/>
          <w:sz w:val="24"/>
          <w:szCs w:val="24"/>
          <w:highlight w:val="none"/>
          <w:lang w:val="en-US" w:eastAsia="zh-CN"/>
        </w:rPr>
        <w:t xml:space="preserve">持有</w:t>
      </w:r>
      <w:r>
        <w:rPr>
          <w:rFonts w:hint="eastAsia" w:ascii="宋体" w:hAnsi="宋体"/>
          <w:bCs/>
          <w:color w:val="000000"/>
          <w:sz w:val="24"/>
          <w:szCs w:val="24"/>
          <w:highlight w:val="none"/>
          <w:lang w:val="en-US" w:eastAsia="zh-CN"/>
        </w:rPr>
        <w:t xml:space="preserve">《有害生物防制员职业技能等级证书》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提供证书复印件</w:t>
      </w:r>
      <w:r>
        <w:rPr>
          <w:rFonts w:hint="eastAsia" w:ascii="宋体" w:hAnsi="宋体" w:cs="宋体"/>
          <w:sz w:val="24"/>
          <w:szCs w:val="24"/>
          <w:highlight w:val="none"/>
          <w:lang w:eastAsia="zh-CN"/>
        </w:rPr>
        <w:t xml:space="preserve">）</w:t>
      </w:r>
      <w:r>
        <w:rPr>
          <w:rFonts w:hint="eastAsia" w:ascii="宋体" w:hAnsi="宋体"/>
          <w:bCs/>
          <w:color w:val="000000"/>
          <w:sz w:val="24"/>
          <w:szCs w:val="24"/>
          <w:highlight w:val="none"/>
          <w:lang w:eastAsia="zh-CN"/>
        </w:rPr>
        <w:t xml:space="preserve">）</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1.16劳动工具保持清洁，分类摆放整齐。</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2.公共卫生间保洁的服务规范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2.1教学楼、办公楼等人流量较大场合的卫生间应及时清扫，保持整洁；</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2.2地面保持干燥、整洁，无积水，无污渍，无杂物；</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2.3镜面、台面、水龙头、洗手池、拖把池等保持清洁；</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2.4墙面、天花板、换气扇整洁，无污垢；</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2.5卫生洁具洁净，光亮，无尿碱、污垢；</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2.6垃圾桶、纸篓清理及时，无异味，外壁清洁。</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3.楼宇管理的服务规范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3.1根据合同约定，做好相关楼宇开门、清楼、锁门、送电、关电等工作，满足使用要求；</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3.2协助学校维护教学、生活秩序，对不符合相关规定的行为及时制止；</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3.3协助学校做好行政楼人员进入的登记，禁止推销等无关人员进入各服务楼宇；</w:t>
      </w:r>
      <w:r>
        <w:rPr>
          <w:highlight w:val="none"/>
        </w:rPr>
      </w:r>
      <w:r/>
    </w:p>
    <w:p>
      <w:pPr>
        <w:ind w:firstLine="480"/>
        <w:spacing w:line="360" w:lineRule="auto"/>
        <w:tabs>
          <w:tab w:val="left" w:pos="709" w:leader="none"/>
          <w:tab w:val="left" w:pos="735" w:leader="none"/>
          <w:tab w:val="left" w:pos="945" w:leader="none"/>
        </w:tabs>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3.4定期查看楼房内用电、用水情况，查验消防</w:t>
      </w:r>
      <w:r>
        <w:rPr>
          <w:rFonts w:hint="eastAsia"/>
          <w:highlight w:val="none"/>
        </w:rPr>
        <w:t xml:space="preserve">设</w:t>
      </w:r>
      <w:r>
        <w:rPr>
          <w:rFonts w:hint="eastAsia" w:ascii="宋体" w:hAnsi="宋体"/>
          <w:bCs/>
          <w:color w:val="000000"/>
          <w:sz w:val="24"/>
          <w:szCs w:val="24"/>
          <w:highlight w:val="none"/>
        </w:rPr>
        <w:t xml:space="preserve">施，排除安全隐患；</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服务人员需具备持有具备四级/中级及以上消防设施操作员证或建（构）筑物消防员证</w:t>
      </w:r>
      <w:r>
        <w:rPr>
          <w:rFonts w:hint="eastAsia" w:ascii="宋体" w:hAnsi="宋体"/>
          <w:bCs/>
          <w:color w:val="000000"/>
          <w:sz w:val="24"/>
          <w:szCs w:val="24"/>
          <w:highlight w:val="none"/>
          <w:lang w:eastAsia="zh-CN"/>
        </w:rPr>
        <w:t xml:space="preserve">）</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3.5对损坏公物和违反有关规定的行为进行劝阻、制止，并报学校相关部门；</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3.6对楼宇内的设施设备标识进行维护，清洁；</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3.7每天安排晚间值班1人，负责所有楼宇的巡查管理，并做好记录；</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3.8定期对场馆内的消防设施进行检查，并做好记录。</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4.室内日常管理与维修养护（包工不包料）的服务规范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4.1提供24小时报修电话，登记报修记录；维修人员维修应持派工单，挂牌上岗。</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4.2对服务区域建筑物外墙面、楼梯间、洗手间、走廊通道、门厅、设备房、各类照明灯具、电扇等（不限于所列项目）进行日常维修保养；</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4.3急修15分钟内到达现场，先进行应急处置，然后制定维修方案，及时维修，记录完整齐全；</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4.4维修用品的领用记录齐全；</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4.5保持房屋及附属设施正常使用功能，排水管道畅通，门窗开关灵活，无破损，家具完好；室内地面无损坏，采用积极措施延长房屋使用寿命；</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4.6 制定设施设备维修保养计划，重点设备要建立维修保养档案；</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4.7检查服务区域内开关、照明、水龙头、配电设备、门窗、家具、电扇等，及时修复损坏物件；</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4.8定期对楼宇排水管进行检查和维修，定期对水泵、管道进行除锈油漆；</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4.9地面、墙面、水池等建筑物的小修小补（房屋大修或结构修理由采购方承担，投标方应该注意房屋情况及时与采购方沟通，发现房屋问题及时通报，以得到迅速修理）</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4.10如遇供水单位限水、停水，应按规定时间通知相关使用人。</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4.11 </w:t>
      </w:r>
      <w:r>
        <w:rPr>
          <w:rFonts w:hint="eastAsia" w:ascii="宋体" w:hAnsi="宋体"/>
          <w:bCs/>
          <w:sz w:val="24"/>
          <w:szCs w:val="24"/>
          <w:highlight w:val="none"/>
        </w:rPr>
        <w:t xml:space="preserve">单项或单件维修材料低于</w:t>
      </w:r>
      <w:r>
        <w:rPr>
          <w:rFonts w:hint="eastAsia" w:ascii="宋体" w:hAnsi="宋体"/>
          <w:bCs/>
          <w:color w:val="000000"/>
          <w:sz w:val="24"/>
          <w:szCs w:val="24"/>
          <w:highlight w:val="none"/>
        </w:rPr>
        <w:t xml:space="preserve">500元的</w:t>
      </w:r>
      <w:r>
        <w:rPr>
          <w:rFonts w:hint="eastAsia" w:ascii="宋体" w:hAnsi="宋体"/>
          <w:bCs/>
          <w:sz w:val="24"/>
          <w:szCs w:val="24"/>
          <w:highlight w:val="none"/>
        </w:rPr>
        <w:t xml:space="preserve">非房屋基建及配套设施类的小项目维修</w:t>
      </w:r>
      <w:r>
        <w:rPr>
          <w:rFonts w:hint="eastAsia" w:ascii="宋体" w:hAnsi="宋体"/>
          <w:bCs/>
          <w:color w:val="000000"/>
          <w:sz w:val="24"/>
          <w:szCs w:val="24"/>
          <w:highlight w:val="none"/>
        </w:rPr>
        <w:t xml:space="preserve">，由物业公司承担，超过500元的设备材料，由甲方采购、物业公司进行更换或维修。</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5.室外日常管理与维修养护（包工不包料）的服务规范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5.1维修人员维修应持派工单，挂牌上岗；</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5.2定期对公共照明系统检查维护；</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5.3保持路灯、操场等室外照明完好，定期检查（做好记录台账）和维修，确保完好率达到95%以上；</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5.4对楼宇周边公用设施（上下水管道、沟、渠、井盖等）进行维护保养；</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5.5定期对给排水系统进行维护，定期对污水处理系统全面维护保养，无明显异味和噪音；</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5.6急修15分钟内到达现场，制定维修方案，及时维修，记录完整齐全；</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5.7定期检查污水泵、排水泵、阀门等，排水系统畅通，各种管道阀门完好，仪表显示正确，无跑、冒、漏、滴现象；</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5.8定期对公共区域的道路进行检查，有小型破损及时进行修复。</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5.9 </w:t>
      </w:r>
      <w:r>
        <w:rPr>
          <w:rFonts w:hint="eastAsia" w:ascii="宋体" w:hAnsi="宋体"/>
          <w:bCs/>
          <w:sz w:val="24"/>
          <w:szCs w:val="24"/>
          <w:highlight w:val="none"/>
        </w:rPr>
        <w:t xml:space="preserve">单项或单件维修材料低于</w:t>
      </w:r>
      <w:r>
        <w:rPr>
          <w:rFonts w:hint="eastAsia" w:ascii="宋体" w:hAnsi="宋体"/>
          <w:bCs/>
          <w:color w:val="000000"/>
          <w:sz w:val="24"/>
          <w:szCs w:val="24"/>
          <w:highlight w:val="none"/>
        </w:rPr>
        <w:t xml:space="preserve">500元的</w:t>
      </w:r>
      <w:r>
        <w:rPr>
          <w:rFonts w:hint="eastAsia" w:ascii="宋体" w:hAnsi="宋体"/>
          <w:bCs/>
          <w:sz w:val="24"/>
          <w:szCs w:val="24"/>
          <w:highlight w:val="none"/>
        </w:rPr>
        <w:t xml:space="preserve">非房屋基建及配套设施类的小项目维修</w:t>
      </w:r>
      <w:r>
        <w:rPr>
          <w:rFonts w:hint="eastAsia" w:ascii="宋体" w:hAnsi="宋体"/>
          <w:bCs/>
          <w:color w:val="000000"/>
          <w:sz w:val="24"/>
          <w:szCs w:val="24"/>
          <w:highlight w:val="none"/>
        </w:rPr>
        <w:t xml:space="preserve">，由物业公司承担，超过500元的设备材料，由甲方采购、物业公司进行更换或维修。</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6.变电所管理的服务规范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6.1按照校方变电所及配电房管理制度相关要求开展工作（详见附件）。</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6.2整理和保管维护所需的图纸、说明书等基础资料；</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6.3建立健全电气设备档案及台账；</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6.4对变电站内的设备进行日常巡检、定期维护和预防性试验，并处理应急问题以确保设备的正常运行；</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6.5确保24小时有人值班，值班人数不少于2人；值班及应急抢修人员应具有《中华人民共和国特种作业操作证》准操项目为高压电工作业，其中值班人员每班必须有1名具有《调度系统运行值班合格证书》。以上证书必须合格有效。</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7.宿舍管理的服务规范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7.1熟知学校各项学生宿舍管理制度，认真履行值班员职责。实行24小时值班，要服从学生宿舍管理员（站长）监督，坚守工作岗位，不得擅离职守或做私活。</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7.2依据学校相关管理规定，办理学生入住接待、退房，来访登记、晚归登记、大件物品出入登记、备用钥匙使用登记和异性互访登记管理。</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7.3 按管理标准做好走廊、楼梯道、开水房、洗衣房、屋顶等公共区域的卫生保洁和各类雨水管道的疏通工作；每学期定期清洁宿舍内电扇、卫生间。</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7.4按管理标准做好学生宿舍的垃圾外运工作。</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7.5加强供电设施设备和学生宿舍内限电管理、大功率电器使用管理、报修登记处理。熟知智能控电系统的使用。</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7.6维护公共秩序，保障通道畅通。严禁自行车进入学生宿舍，大厅内的物品摆放整齐。</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7.7配合相关管理部门做好学生宿舍文化建设，协调学生宿舍内发生的矛盾纠纷，参与学生宿舍内务检查评比，维持良好的秩序和优美环境。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7.8协助后勤保障处及相关部门做好学生违规教育处理工作和学生宿舍的卫生、用电、用水等情况检查工作。对违反学校学生宿舍管理制度的人和事要敢抓敢管，不徇私情。</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7.9定期向学校报告学生宿舍管理情况，对学生违规违纪现象及时制止、规劝，并向学校相关部门报告。</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7.10值班人员要主动热情接待来客，严格登记手续。</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7.11要熟悉所在学生宿舍的学生住宿情况，发现可疑的人、事或可疑物品，要认真检查并及时向学校保卫处和后勤保障处报告。</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7.12按学生宿舍管理站规定时间开关大门，对晚间关门后进出的学生要检查学生证，并认真做好登记。夜间熄灯并关闭学生宿舍大门后，要上楼巡视检查有无学生违规行为或者安全隐患。加强夜间防火、防盗、防漏水巡查，并填写巡查记录，巡查人员及其主管人员应当在巡查记录上签名。</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7.13按学生宿舍管理站规定的时间送电、断电，尤其晚间全校统一进行用电控制。严禁学生进出各学生宿舍配电室。</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7.14严格管理学生宿舍的备用钥匙，做好钥匙使用情况登记。学生需要使用钥匙时由值班员查看学生证并做好记录。严禁学生私自取走钥匙开门。各学院检查学生宿舍时，凭学院开具的证明借用备用钥匙（必须2人以上），并做好登记。</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7.15学生宿舍的应急通道要每天进行开锁试验，确保门锁完好，并做好记录。</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7.16学生宿舍实行封闭式管理。外来人员进入须凭本人有效证件，值班员要同时做好登记、问询和检查记录等工作。严禁闲杂人员、小商、小贩入内，任何人不得在学生宿舍内兜售物品；学生不得随意进入异性学生宿舍，如确有需要，需经过学校相关部门工作人员批准；异性家长进入学生宿舍须由学生本人陪同并征得管理员（站长）同意，管理员（站长）要认真核对证件、办理登记手续；晚上8点以后，任何人员不得进入异性学生宿舍，紧急情况下除外。</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7.17学生需要搬运台式电脑、笔记本、皮箱等大件贵重物品时要凭学生证进行登记。</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7.18保持值班室清洁卫生。认真做好交班记录，对重要事情或处理的问题要和下一班交接清楚。</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7.19值班室不允许使用电炉子、热得快、电磁炉等大功率电器以及酒精炉、煤气罐等易燃易爆危险物品。值班室内不允许设置电视机。</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7.20听取学生和相关部门意见，不断改进工作。</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7.21每学期末进行一次防鼠灭鼠工作。</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7.22完成后勤保障处等交办的其他临时性紧急任务。</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ascii="宋体" w:hAnsi="宋体"/>
          <w:b/>
          <w:color w:val="000000"/>
          <w:sz w:val="24"/>
          <w:szCs w:val="24"/>
          <w:highlight w:val="none"/>
        </w:rPr>
        <w:t xml:space="preserve">8</w:t>
      </w:r>
      <w:r>
        <w:rPr>
          <w:rFonts w:hint="eastAsia" w:ascii="宋体" w:hAnsi="宋体"/>
          <w:b/>
          <w:color w:val="000000"/>
          <w:sz w:val="24"/>
          <w:szCs w:val="24"/>
          <w:highlight w:val="none"/>
        </w:rPr>
        <w:t xml:space="preserve">.校园绿化服务规范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8.1移补植绿化：根据校方基础设施和校园文化建设要求，完成绿化移植和绿化造景工作。对因生长不良造成的残缺花草、树木及时补植恢复，确保在能满足植物生长的条件下无黄土裸露，无明显沟缝。</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8.2植物补水：以绿地、乔灌木为主，根据天气情况进行浇水，保持植物良好长势，不出现枯萎等缺水现象。</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8.3植物施肥：每年至少进行两次集中施肥，要求施肥均匀、充足、适度，保证绿化植物强壮、枝叶茂盛。</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8.4除杂草松土：草坪等杂草及时清除，草坪上不允许有开花杂草，花木丛中不允许有高于花木的杂草。做好冬季树木松土、切边与冬季防冻刷白等工作。</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8.5修剪整形：根据具体情况或甲方要求，对树枝、草地、乔灌木和绿篱等进行修剪，确保草地高度一致，整齐美观，无疯长现象（所产生的垃圾自行处理）；乔灌木主枝分布均匀，通风透气，造型美观；绿篱整齐一致。</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8.6病虫害防治：随时关注病虫害情况并采取必要的防治措施，确保病株、虫害现象不成灾。</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8.7防风防汛：灾前积极预防，对树木加固，灾后及时清除倒树断枝、疏通道路，清理扶植。</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8.8硬质景观养护</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8.8.1硬质景观包括园路、花台、花架、亭廊、座椅、栏杆、标志牌箱等园林小品等设施。应保持完好无损，发现缺损应及时修补、更换。</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8.8.2随时保持绿地清洁、美观。亭、廊整洁，无驳落物和痕迹，无垃圾</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8.8.3花坛、护栏等设施，经常维护，无破损残缺。花盆花篮等园林装饰品完整、清洁，无破损、无丢失。</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8.8.4绿地内座椅、果屑箱、标志牌等公共设施经常擦洗，及时清除设施上的牛皮癣及乱涂乱画痕迹，园路、广场及时清运草屑、树枝、死树等施工残留物。</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8.8.5绿地内园路、小品等硬质铺装及构筑物按时保养维修，其中木（铁）质每年不少于1次油漆。绿地附属栏杆应保持完好、完整，每年油漆1次。</w:t>
      </w:r>
      <w:r>
        <w:rPr>
          <w:highlight w:val="none"/>
        </w:rPr>
      </w:r>
      <w:r/>
    </w:p>
    <w:p>
      <w:pPr>
        <w:numPr>
          <w:ilvl w:val="0"/>
          <w:numId w:val="8"/>
        </w:numPr>
        <w:ind w:firstLine="482"/>
        <w:spacing w:line="360" w:lineRule="auto"/>
        <w:tabs>
          <w:tab w:val="clear" w:pos="312" w:leader="none"/>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学校室外环境卫生保洁服务规范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9.1外环境保洁：按照学校作息时间，每天上班前完成各建筑楼宇门前广场和校园各主要道路的卫生保洁工作，随后完成其他保洁和巡回保洁。</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9.2乱张贴清理：每天抹擦路牌、宣传栏一次，发现乱张贴现象，随时清理。</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9.3人工湖坡地保洁：每天上午、下午绕人工湖坡地集中清理白色垃圾和杂物各一次，其他时间每两小时巡检保洁一次。景观池每学期清理换水一次。</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9.4田径场保洁：每天上班前集中对田径场主席台、公共厕所和田径场场内进行一次集中清扫，其他时间每两小时巡检保洁一次。遇学校举办各类活动，协助学校完成主席台布置工作，活动结束后立即完成卫生保洁。</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9.5垃圾中转站清理：每天上午、下午各集中进行一次垃圾清理，确保无散落垃圾、无污水、无明显污迹。</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9.6除“四害”：每年灭鼠、灭蟑2－4次；4－10月，每天垃圾场、厕所、垃圾桶周边喷药灭蚊、灭蝇。</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9.7卫生消毒：在春、秋传染性疾病高发季节、校园出现传染性疾病、疫情时，按照学校有关部门要求，配合做好公共区域卫生消毒工作。</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000000"/>
          <w:sz w:val="24"/>
          <w:szCs w:val="24"/>
          <w:highlight w:val="none"/>
        </w:rPr>
        <w:t xml:space="preserve">9.8防洪沟清理：与外环境卫生保洁同步，对防洪沟内杂草、泥土、石块等杂物进行及时清理。</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9.9窖井清理：每周至少对公共区域雨水井、路面集水井等各类窖井杂物集中进行一次清理，遇雨季则全天候巡检清理。井盖损坏或缺失的，应立即报修或更换。</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9.10管道疏通：每年至少对化粪池、隔油池周边排污管道和雨水管道集中进行两次清理，确保各类管道排污、排水通畅。</w:t>
      </w:r>
      <w:r>
        <w:rPr>
          <w:highlight w:val="none"/>
        </w:rPr>
      </w:r>
      <w:r/>
    </w:p>
    <w:p>
      <w:pPr>
        <w:ind w:firstLine="482"/>
        <w:spacing w:line="360" w:lineRule="auto"/>
        <w:tabs>
          <w:tab w:val="left" w:pos="709" w:leader="none"/>
          <w:tab w:val="left" w:pos="73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10.电梯管理的服务规范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10.1 按照监管部门要求配备具有《电梯安全管理和作业人员证》的安全管理人员。</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10.2 专人日常巡检，并完成监管部门规定的日常巡检资料。</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10.3 配合电梯维保单位及时处理各种日常电梯报修。</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10.4 配合电梯维保单位定期完成年检及监管部门要求的各项材料。</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10.5 妥善保存一梯一档资料，随时可以提供给监管部门检查。</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10.6 发生紧急情况时及时进行应急处理。</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10.7 电梯轿厢、层门、地坎、灯具、监控设备等部位日常保洁。</w:t>
      </w:r>
      <w:r>
        <w:rPr>
          <w:highlight w:val="none"/>
        </w:rPr>
      </w:r>
      <w:r/>
    </w:p>
    <w:p>
      <w:pPr>
        <w:ind w:firstLine="482"/>
        <w:spacing w:line="360" w:lineRule="auto"/>
        <w:tabs>
          <w:tab w:val="left" w:pos="709" w:leader="none"/>
          <w:tab w:val="left" w:pos="73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11.水泵房的服务规范</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11.1 每日派专人巡检水泵工作状态，台账记录完整。</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11.2 定期做好水泵房卫生清洁，管道除锈、油漆及泵内加注黄油等保养工作。</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11.3 发现水泵系统工作异常及时处理，确保供水正常。</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11.4 假期前后根据实际情况，动态调节泵房出水压力。</w:t>
      </w:r>
      <w:r>
        <w:rPr>
          <w:highlight w:val="none"/>
        </w:rPr>
      </w:r>
      <w:r/>
    </w:p>
    <w:p>
      <w:pPr>
        <w:ind w:firstLine="480"/>
        <w:spacing w:line="360" w:lineRule="auto"/>
        <w:tabs>
          <w:tab w:val="left" w:pos="709"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11.5 发生紧急情况时及时进行应急处理。</w:t>
      </w:r>
      <w:r>
        <w:rPr>
          <w:highlight w:val="none"/>
        </w:rPr>
      </w:r>
      <w:r/>
    </w:p>
    <w:p>
      <w:pPr>
        <w:ind w:firstLine="482"/>
        <w:spacing w:line="360" w:lineRule="auto"/>
        <w:tabs>
          <w:tab w:val="left" w:pos="709" w:leader="none"/>
          <w:tab w:val="left" w:pos="735" w:leader="none"/>
          <w:tab w:val="left" w:pos="94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服务方案</w:t>
      </w:r>
      <w:r>
        <w:rPr>
          <w:highlight w:val="none"/>
        </w:rPr>
      </w:r>
      <w:r/>
    </w:p>
    <w:p>
      <w:pPr>
        <w:ind w:firstLine="480"/>
        <w:spacing w:line="360" w:lineRule="auto"/>
        <w:tabs>
          <w:tab w:val="left" w:pos="709" w:leader="none"/>
          <w:tab w:val="left" w:pos="73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根据项目需求和特点，投标人需提供以下方案：</w:t>
      </w:r>
      <w:r>
        <w:rPr>
          <w:highlight w:val="non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项目组织方案：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 物业管理服务体系、管理规章制度、日常管理标准及措施</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方案包括①物业管理服务体系（包括但不限于综合管理、公共区域秩序维护、公共区域清洁、公用设施设备日常运行、保养、维修、绿化服务等）；②管理规章制度；③日常管理标准及措施。</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.2物业设备及耗材配置工作方案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制定物业设备及耗材配置工作方案，须重点说明相关物业设备及耗材配置的规格、数量、使用范围及频次等。</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cs="宋体"/>
          <w:color w:val="000000"/>
          <w:sz w:val="24"/>
          <w:szCs w:val="24"/>
          <w:highlight w:val="none"/>
          <w:lang w:val="en-US"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.3行政楼综合服务方案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制定行政楼综合服务方案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包括行政楼的服务人员配置，楼宇管理、综合管理的日常服务方案，校方会议时的服务方案，</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cs="宋体"/>
          <w:color w:val="000000"/>
          <w:sz w:val="24"/>
          <w:szCs w:val="24"/>
          <w:highlight w:val="none"/>
          <w:lang w:val="en-US"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.4图书馆（含田径场）综合服务方案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制定图书馆（含田径场）综合服务方案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包括图书馆的服务人员配置，楼宇管理、综合管理日常服务方案，营造温馨、整洁的学习环境和运动环境</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cs="宋体"/>
          <w:color w:val="000000"/>
          <w:sz w:val="24"/>
          <w:szCs w:val="24"/>
          <w:highlight w:val="none"/>
          <w:lang w:val="en-US"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.5学生宿舍综合服务方案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制定学生宿舍综合服务方案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包括但不限于托管区域内的新生入住服务、毕业学生退宿、住宿学生生活服务方案等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为学生营造安全、温馨、有序的宿舍居住环境</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cs="宋体"/>
          <w:color w:val="000000"/>
          <w:sz w:val="24"/>
          <w:szCs w:val="24"/>
          <w:highlight w:val="none"/>
          <w:lang w:val="en-US"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.6体育馆综合服务方案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制定体育馆综合服务方案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包括体育馆的服务人员配置，楼宇管理、综合管理日常服务方案等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cs="宋体"/>
          <w:color w:val="000000"/>
          <w:sz w:val="24"/>
          <w:szCs w:val="24"/>
          <w:highlight w:val="none"/>
          <w:lang w:val="en-US"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.7变电所服务方案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制定变电所综合服务方案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包括日常值守、巡检、定期维护、定期试验、应急处理等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要求</w:t>
      </w:r>
      <w:r>
        <w:rPr>
          <w:rFonts w:hint="eastAsia" w:ascii="宋体" w:hAnsi="宋体" w:cs="宋体"/>
          <w:color w:val="000000"/>
          <w:sz w:val="24"/>
          <w:szCs w:val="24"/>
          <w:highlight w:val="none"/>
          <w:lang w:val="en-US" w:eastAsia="zh-CN"/>
        </w:rPr>
        <w:t xml:space="preserve">符合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学校变电所及抵押配电间管理制度，</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cs="宋体"/>
          <w:color w:val="000000"/>
          <w:sz w:val="24"/>
          <w:szCs w:val="24"/>
          <w:highlight w:val="none"/>
          <w:lang w:val="en-US"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.8绿化服务方案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制定绿化服务方案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包括</w:t>
      </w:r>
      <w:r>
        <w:rPr>
          <w:rFonts w:hint="eastAsia" w:ascii="宋体" w:hAnsi="宋体"/>
          <w:color w:val="000000" w:themeColor="text1"/>
          <w:sz w:val="24"/>
          <w:szCs w:val="24"/>
          <w:highlight w:val="none"/>
          <w:lang w:eastAsia="zh-CN"/>
          <w14:textFill>
            <w14:solidFill>
              <w14:schemeClr w14:val="tx1"/>
            </w14:solidFill>
          </w14:textFill>
        </w:rPr>
        <w:t xml:space="preserve">环境绿化物业</w:t>
      </w:r>
      <w:r>
        <w:rPr>
          <w:rFonts w:hint="eastAsia" w:ascii="宋体" w:hAnsi="宋体"/>
          <w:color w:val="000000" w:themeColor="text1"/>
          <w:sz w:val="24"/>
          <w:szCs w:val="24"/>
          <w:highlight w:val="none"/>
          <w:lang w:val="en-US" w:eastAsia="zh-CN"/>
          <w14:textFill>
            <w14:solidFill>
              <w14:schemeClr w14:val="tx1"/>
            </w14:solidFill>
          </w14:textFill>
        </w:rPr>
        <w:t xml:space="preserve">包</w:t>
      </w:r>
      <w:r>
        <w:rPr>
          <w:rFonts w:hint="eastAsia" w:ascii="宋体" w:hAnsi="宋体"/>
          <w:color w:val="000000" w:themeColor="text1"/>
          <w:sz w:val="24"/>
          <w:szCs w:val="24"/>
          <w:highlight w:val="none"/>
          <w:lang w:eastAsia="zh-CN"/>
          <w14:textFill>
            <w14:solidFill>
              <w14:schemeClr w14:val="tx1"/>
            </w14:solidFill>
          </w14:textFill>
        </w:rPr>
        <w:t xml:space="preserve">含建筑外所有公共区域（道路、广场、田径场、篮球场、人工湖、防洪沟、中转站、窨井等）的卫生保洁；校园所有绿化（含苗圃、紫园、成蹊园茶场）的养护</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所有</w:t>
      </w:r>
      <w:r>
        <w:rPr>
          <w:rFonts w:ascii="宋体" w:hAnsi="宋体"/>
          <w:color w:val="000000"/>
          <w:sz w:val="24"/>
          <w:szCs w:val="24"/>
          <w:highlight w:val="none"/>
        </w:rPr>
        <w:t xml:space="preserve">地下管网（窖井、化粪池、排水管道等）的清淤、疏通及检修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.9保洁服务（含垃圾清运）方案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制定保洁服务方案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服务方案包括</w:t>
      </w:r>
      <w:r>
        <w:rPr>
          <w:rFonts w:hint="eastAsia" w:ascii="宋体" w:hAnsi="宋体" w:cs="宋体"/>
          <w:color w:val="auto"/>
          <w:sz w:val="24"/>
          <w:szCs w:val="24"/>
          <w:highlight w:val="none"/>
        </w:rPr>
        <w:t xml:space="preserve">道路、广场卫生保洁，垃圾中转站清理，除“四害”及卫生消毒，人工湖坡地垃圾清理，乱张贴现象清理，防洪沟、窖井清理，排污排水管道疏通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营造干净卫生的校园环境</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rPr>
          <w:highlight w:val="non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学校新生接待、毕业生离校、学校运动会、学校承接的各类考试、大型活动及临时性应急保障工作服务方案；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制定</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方案，涉及①</w:t>
      </w:r>
      <w:r>
        <w:rPr>
          <w:rFonts w:hint="eastAsia" w:ascii="宋体" w:hAnsi="宋体" w:eastAsia="宋体" w:cs="宋体"/>
          <w:color w:val="000000" w:themeColor="text1"/>
          <w:sz w:val="24"/>
          <w:szCs w:val="24"/>
          <w:highlight w:val="none"/>
          <w14:textFill>
            <w14:solidFill>
              <w14:schemeClr w14:val="tx1"/>
            </w14:solidFill>
          </w14:textFill>
        </w:rPr>
        <w:t xml:space="preserve">学校新生接待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毕业生离校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学校运动会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学校承接的各类考试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color w:val="000000" w:themeColor="text1"/>
          <w:sz w:val="24"/>
          <w:szCs w:val="24"/>
          <w:highlight w:val="none"/>
          <w14:textFill>
            <w14:solidFill>
              <w14:schemeClr w14:val="tx1"/>
            </w14:solidFill>
          </w14:textFill>
        </w:rPr>
        <w:t xml:space="preserve">大型活动及临时性应急保障工作服务方案，</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rPr>
          <w:highlight w:val="none"/>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特殊情况应急预案及措施：</w:t>
      </w:r>
      <w:r>
        <w:rPr>
          <w:rFonts w:hint="eastAsia" w:ascii="宋体" w:hAnsi="宋体" w:eastAsia="宋体" w:cs="宋体"/>
          <w:color w:val="000000" w:themeColor="text1"/>
          <w:sz w:val="24"/>
          <w:szCs w:val="24"/>
          <w:highlight w:val="none"/>
          <w14:textFill>
            <w14:solidFill>
              <w14:schemeClr w14:val="tx1"/>
            </w14:solidFill>
          </w14:textFill>
        </w:rPr>
        <w:t xml:space="preserve">方案包括物业管理服务中应对自然灾害、事故灾害、公共卫生安全事件等突发事件的应急预案及措施等方面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cs="宋体"/>
          <w:color w:val="000000"/>
          <w:sz w:val="24"/>
          <w:szCs w:val="24"/>
          <w:highlight w:val="none"/>
          <w:lang w:val="en-US" w:eastAsia="zh-CN"/>
        </w:rPr>
        <w:t xml:space="preserve">。</w:t>
      </w:r>
      <w:r>
        <w:rPr>
          <w:highlight w:val="none"/>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物业档案及制度管理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w:t>
      </w:r>
      <w:r>
        <w:rPr>
          <w:rFonts w:hint="eastAsia" w:ascii="宋体" w:hAnsi="宋体" w:eastAsia="宋体" w:cs="宋体"/>
          <w:color w:val="000000" w:themeColor="text1"/>
          <w:sz w:val="24"/>
          <w:szCs w:val="24"/>
          <w:highlight w:val="none"/>
          <w14:textFill>
            <w14:solidFill>
              <w14:schemeClr w14:val="tx1"/>
            </w14:solidFill>
          </w14:textFill>
        </w:rPr>
        <w:t xml:space="preserve">：档案资料内容、档案资料的安全措施、档案资料的保密管理、档案资料的移交管理等方面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cs="宋体"/>
          <w:color w:val="000000"/>
          <w:sz w:val="24"/>
          <w:szCs w:val="24"/>
          <w:highlight w:val="none"/>
          <w:lang w:val="en-US" w:eastAsia="zh-CN"/>
        </w:rPr>
        <w:t xml:space="preserve">。</w:t>
      </w:r>
      <w:r>
        <w:rPr>
          <w:highlight w:val="none"/>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正式接管前具体措施</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w:t>
      </w:r>
      <w:r>
        <w:rPr>
          <w:rFonts w:hint="eastAsia" w:ascii="宋体" w:hAnsi="宋体" w:eastAsia="宋体" w:cs="宋体"/>
          <w:color w:val="000000" w:themeColor="text1"/>
          <w:sz w:val="24"/>
          <w:szCs w:val="24"/>
          <w:highlight w:val="none"/>
          <w14:textFill>
            <w14:solidFill>
              <w14:schemeClr w14:val="tx1"/>
            </w14:solidFill>
          </w14:textFill>
        </w:rPr>
        <w:t xml:space="preserve">①进驻前期计划；②正式接管前具体措施。</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rPr>
          <w:highlight w:val="none"/>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节能管理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学校节能减排的方案及措施及文明建设的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（文明建设：如物业的文明服务，节假日协助业主单位做好形象布置，学校水电气运营维护等）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切实可行、内容明确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w:t>
      </w:r>
      <w:r>
        <w:rPr>
          <w:rFonts w:hint="eastAsia" w:ascii="宋体" w:hAnsi="宋体" w:cs="宋体"/>
          <w:color w:val="000000"/>
          <w:sz w:val="24"/>
          <w:szCs w:val="24"/>
          <w:highlight w:val="none"/>
          <w:lang w:val="en-US" w:eastAsia="zh-CN"/>
        </w:rPr>
        <w:t xml:space="preserve">。</w:t>
      </w:r>
      <w:r>
        <w:rPr>
          <w:highlight w:val="none"/>
        </w:rPr>
      </w:r>
      <w:r/>
    </w:p>
    <w:p>
      <w:pPr>
        <w:ind w:firstLine="480"/>
        <w:spacing w:line="360" w:lineRule="auto"/>
        <w:tabs>
          <w:tab w:val="left" w:pos="709" w:leader="none"/>
          <w:tab w:val="left" w:pos="735" w:leader="none"/>
          <w:tab w:val="left" w:pos="945" w:leader="none"/>
        </w:tabs>
        <w:rPr>
          <w:rFonts w:hint="default" w:ascii="宋体" w:hAnsi="宋体" w:cs="宋体"/>
          <w:bCs/>
          <w:color w:val="000000"/>
          <w:sz w:val="24"/>
          <w:szCs w:val="24"/>
          <w:highlight w:val="none"/>
        </w:rPr>
      </w:pPr>
      <w:r>
        <w:rPr>
          <w:rFonts w:hint="default" w:ascii="宋体" w:hAnsi="宋体" w:cs="宋体"/>
          <w:bCs/>
          <w:color w:val="000000"/>
          <w:sz w:val="24"/>
          <w:szCs w:val="24"/>
          <w:highlight w:val="none"/>
          <w:lang w:val="en-US" w:eastAsia="zh-CN"/>
        </w:rPr>
      </w:r>
      <w:r>
        <w:rPr>
          <w:highlight w:val="none"/>
        </w:rPr>
      </w:r>
      <w:r/>
    </w:p>
    <w:p>
      <w:pPr>
        <w:ind w:firstLine="540"/>
        <w:spacing w:line="360" w:lineRule="auto"/>
        <w:tabs>
          <w:tab w:val="left" w:pos="525" w:leader="none"/>
          <w:tab w:val="left" w:pos="1050" w:leader="none"/>
        </w:tabs>
        <w:rPr>
          <w:rFonts w:ascii="宋体" w:hAnsi="宋体"/>
          <w:b/>
          <w:color w:val="auto"/>
          <w:sz w:val="28"/>
          <w:szCs w:val="28"/>
          <w:highlight w:val="none"/>
        </w:rPr>
      </w:pPr>
      <w:r>
        <w:rPr>
          <w:rFonts w:ascii="宋体" w:hAnsi="宋体"/>
          <w:b/>
          <w:color w:val="auto"/>
          <w:sz w:val="28"/>
          <w:szCs w:val="28"/>
          <w:highlight w:val="none"/>
        </w:rPr>
        <w:t xml:space="preserve">五、考核与付款机制</w:t>
      </w:r>
      <w:r>
        <w:rPr>
          <w:highlight w:val="none"/>
        </w:rPr>
      </w:r>
      <w:r/>
    </w:p>
    <w:p>
      <w:pPr>
        <w:ind w:firstLine="431"/>
        <w:spacing w:line="360" w:lineRule="auto"/>
        <w:tabs>
          <w:tab w:val="left" w:pos="-21" w:leader="none"/>
        </w:tabs>
        <w:rPr>
          <w:rFonts w:ascii="宋体" w:hAnsi="宋体"/>
          <w:b/>
          <w:bCs/>
          <w:color w:val="auto"/>
          <w:sz w:val="24"/>
          <w:szCs w:val="24"/>
          <w:highlight w:val="none"/>
        </w:rPr>
      </w:pPr>
      <w:r>
        <w:rPr>
          <w:rFonts w:ascii="宋体" w:hAnsi="宋体"/>
          <w:b/>
          <w:bCs/>
          <w:color w:val="auto"/>
          <w:sz w:val="24"/>
          <w:szCs w:val="24"/>
          <w:highlight w:val="none"/>
        </w:rPr>
        <w:t xml:space="preserve">（一）考核办法</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1.考核周期</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每月测评1次</w:t>
      </w:r>
      <w:r>
        <w:rPr>
          <w:rFonts w:ascii="宋体" w:hAnsi="宋体"/>
          <w:bCs/>
          <w:color w:val="auto"/>
          <w:sz w:val="24"/>
          <w:szCs w:val="24"/>
          <w:highlight w:val="none"/>
        </w:rPr>
        <w:t xml:space="preserve">，采用百分制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95 分及以上为 “优秀”，90-94 分为 “合格”，90 分</w:t>
      </w:r>
      <w:r>
        <w:rPr>
          <w:rFonts w:hint="eastAsia" w:ascii="宋体" w:hAnsi="宋体"/>
          <w:bCs/>
          <w:color w:val="auto"/>
          <w:sz w:val="24"/>
          <w:szCs w:val="24"/>
          <w:highlight w:val="none"/>
        </w:rPr>
        <w:t xml:space="preserve">（不含）</w:t>
      </w:r>
      <w:r>
        <w:rPr>
          <w:rFonts w:ascii="宋体" w:hAnsi="宋体"/>
          <w:bCs/>
          <w:color w:val="auto"/>
          <w:sz w:val="24"/>
          <w:szCs w:val="24"/>
          <w:highlight w:val="none"/>
        </w:rPr>
        <w:t xml:space="preserve">以下为 “不合格”。</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2.满意度测评</w:t>
      </w:r>
      <w:r>
        <w:rPr>
          <w:rFonts w:ascii="宋体" w:hAnsi="宋体"/>
          <w:bCs/>
          <w:color w:val="auto"/>
          <w:sz w:val="24"/>
          <w:szCs w:val="24"/>
          <w:highlight w:val="none"/>
        </w:rPr>
        <w:t xml:space="preserve">：每学期开展</w:t>
      </w:r>
      <w:r>
        <w:rPr>
          <w:rFonts w:hint="eastAsia" w:ascii="宋体" w:hAnsi="宋体"/>
          <w:bCs/>
          <w:color w:val="auto"/>
          <w:sz w:val="24"/>
          <w:szCs w:val="24"/>
          <w:highlight w:val="none"/>
        </w:rPr>
        <w:t xml:space="preserve">一次</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师生</w:t>
      </w:r>
      <w:r>
        <w:rPr>
          <w:rFonts w:ascii="宋体" w:hAnsi="宋体"/>
          <w:bCs/>
          <w:color w:val="auto"/>
          <w:sz w:val="24"/>
          <w:szCs w:val="24"/>
          <w:highlight w:val="none"/>
        </w:rPr>
        <w:t xml:space="preserve">满意率≥90%（低于 85% 直接判定当月 “不合格”）。</w:t>
      </w:r>
      <w:r>
        <w:rPr>
          <w:highlight w:val="none"/>
        </w:rPr>
      </w:r>
      <w:r/>
    </w:p>
    <w:p>
      <w:pPr>
        <w:ind w:firstLine="431"/>
        <w:spacing w:line="360" w:lineRule="auto"/>
        <w:tabs>
          <w:tab w:val="left" w:pos="-21"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（二）付款方式</w:t>
      </w:r>
      <w:r>
        <w:rPr>
          <w:highlight w:val="none"/>
        </w:rPr>
      </w:r>
      <w:r/>
    </w:p>
    <w:p>
      <w:pPr>
        <w:ind w:firstLine="429"/>
        <w:spacing w:line="360" w:lineRule="auto"/>
        <w:tabs>
          <w:tab w:val="left" w:pos="-21" w:leader="none"/>
        </w:tabs>
        <w:rPr>
          <w:rFonts w:ascii="宋体" w:hAnsi="宋体" w:cs="宋体"/>
          <w:color w:val="auto"/>
          <w:sz w:val="24"/>
          <w:szCs w:val="22"/>
          <w:highlight w:val="none"/>
        </w:rPr>
      </w:pPr>
      <w:r>
        <w:rPr>
          <w:rFonts w:hint="eastAsia" w:ascii="宋体" w:hAnsi="宋体" w:cs="宋体"/>
          <w:color w:val="auto"/>
          <w:sz w:val="24"/>
          <w:highlight w:val="none"/>
        </w:rPr>
        <w:t xml:space="preserve">服务费用</w:t>
      </w:r>
      <w:r>
        <w:rPr>
          <w:rFonts w:hint="eastAsia" w:ascii="宋体" w:hAnsi="宋体" w:cs="宋体"/>
          <w:color w:val="auto"/>
          <w:sz w:val="24"/>
          <w:highlight w:val="none"/>
          <w:lang w:val="en-US" w:eastAsia="zh-CN"/>
        </w:rPr>
        <w:t xml:space="preserve">每三个月</w:t>
      </w:r>
      <w:r>
        <w:rPr>
          <w:rFonts w:hint="eastAsia" w:ascii="宋体" w:hAnsi="宋体" w:cs="宋体"/>
          <w:color w:val="auto"/>
          <w:sz w:val="24"/>
          <w:highlight w:val="none"/>
        </w:rPr>
        <w:t xml:space="preserve">支付</w:t>
      </w:r>
      <w:r>
        <w:rPr>
          <w:rFonts w:hint="eastAsia" w:ascii="宋体" w:hAnsi="宋体" w:cs="宋体"/>
          <w:color w:val="auto"/>
          <w:sz w:val="24"/>
          <w:highlight w:val="none"/>
          <w:lang w:val="en-US" w:eastAsia="zh-CN"/>
        </w:rPr>
        <w:t xml:space="preserve">一次</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付款周期（</w:t>
      </w:r>
      <w:r>
        <w:rPr>
          <w:rFonts w:hint="eastAsia" w:ascii="宋体" w:hAnsi="宋体" w:cs="宋体"/>
          <w:color w:val="auto"/>
          <w:sz w:val="24"/>
          <w:highlight w:val="none"/>
        </w:rPr>
        <w:t xml:space="preserve">三个月</w:t>
      </w:r>
      <w:r>
        <w:rPr>
          <w:rFonts w:hint="eastAsia" w:ascii="宋体" w:hAnsi="宋体" w:cs="宋体"/>
          <w:color w:val="auto"/>
          <w:sz w:val="24"/>
          <w:highlight w:val="none"/>
          <w:lang w:val="en-US" w:eastAsia="zh-CN"/>
        </w:rPr>
        <w:t xml:space="preserve">）内的</w:t>
      </w:r>
      <w:r>
        <w:rPr>
          <w:rFonts w:hint="eastAsia" w:ascii="宋体" w:hAnsi="宋体" w:cs="宋体"/>
          <w:color w:val="auto"/>
          <w:sz w:val="24"/>
          <w:highlight w:val="none"/>
        </w:rPr>
        <w:t xml:space="preserve">测评平均分达到90分及以上，学校全额支付</w:t>
      </w:r>
      <w:r>
        <w:rPr>
          <w:rFonts w:hint="eastAsia" w:ascii="宋体" w:hAnsi="宋体" w:cs="宋体"/>
          <w:color w:val="auto"/>
          <w:sz w:val="24"/>
          <w:highlight w:val="none"/>
          <w:lang w:val="en-US" w:eastAsia="zh-CN"/>
        </w:rPr>
        <w:t xml:space="preserve">该期（三个月）服务</w:t>
      </w:r>
      <w:r>
        <w:rPr>
          <w:rFonts w:hint="eastAsia" w:ascii="宋体" w:hAnsi="宋体" w:cs="宋体"/>
          <w:color w:val="auto"/>
          <w:sz w:val="24"/>
          <w:highlight w:val="none"/>
        </w:rPr>
        <w:t xml:space="preserve">费用；低于90分的，每低一分扣除</w:t>
      </w:r>
      <w:r>
        <w:rPr>
          <w:rFonts w:hint="eastAsia" w:ascii="宋体" w:hAnsi="宋体" w:cs="宋体"/>
          <w:color w:val="auto"/>
          <w:sz w:val="24"/>
          <w:highlight w:val="none"/>
          <w:lang w:val="en-US" w:eastAsia="zh-CN"/>
        </w:rPr>
        <w:t xml:space="preserve">该期服务费</w:t>
      </w:r>
      <w:r>
        <w:rPr>
          <w:rFonts w:hint="eastAsia" w:ascii="宋体" w:hAnsi="宋体" w:cs="宋体"/>
          <w:color w:val="auto"/>
          <w:sz w:val="24"/>
          <w:highlight w:val="none"/>
        </w:rPr>
        <w:t xml:space="preserve">的1%</w:t>
      </w:r>
      <w:r>
        <w:rPr>
          <w:rFonts w:hint="eastAsia" w:ascii="宋体" w:hAnsi="宋体"/>
          <w:color w:val="auto"/>
          <w:sz w:val="24"/>
          <w:szCs w:val="24"/>
          <w:highlight w:val="none"/>
        </w:rPr>
        <w:t xml:space="preserve">。</w:t>
      </w:r>
      <w:r>
        <w:rPr>
          <w:highlight w:val="none"/>
        </w:rPr>
      </w:r>
      <w:r/>
    </w:p>
    <w:p>
      <w:pPr>
        <w:ind w:firstLine="429"/>
        <w:spacing w:line="360" w:lineRule="auto"/>
        <w:tabs>
          <w:tab w:val="left" w:pos="-21" w:leader="none"/>
        </w:tabs>
        <w:rPr>
          <w:rFonts w:ascii="宋体" w:hAnsi="宋体"/>
          <w:color w:val="auto"/>
          <w:sz w:val="24"/>
          <w:szCs w:val="24"/>
          <w:highlight w:val="none"/>
        </w:rPr>
      </w:pPr>
      <w:r>
        <w:rPr>
          <w:rFonts w:hint="eastAsia" w:ascii="宋体" w:hAnsi="宋体"/>
          <w:color w:val="auto"/>
          <w:sz w:val="24"/>
          <w:szCs w:val="24"/>
          <w:highlight w:val="none"/>
        </w:rPr>
        <w:t xml:space="preserve">为加强学生劳动教育，如校方将部分场馆（如教学楼教室内部）保洁工作委托相关劳动班级承担。具体费用支付规则如下：如实施该方案，将明确学生承担的工作量并测算对应费用，在合同金额中予以核减，核减费用转为“学生劳动奖励经费”；如不实施，则相关保洁工作及费用支付仍按合同约定全部支付给物业公司。</w:t>
      </w:r>
      <w:r>
        <w:rPr>
          <w:highlight w:val="none"/>
        </w:rPr>
      </w:r>
      <w:r/>
    </w:p>
    <w:p>
      <w:pPr>
        <w:ind w:firstLine="431"/>
        <w:spacing w:line="360" w:lineRule="auto"/>
        <w:tabs>
          <w:tab w:val="left" w:pos="-21"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（三）退出机制</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物业公司在服务合同履行期间，学校按照日常管理监督，出现包括以下情形之一的，学校将中止合同，物业公司在合理期限内未整改到位，学校将解除合同，包括但不限于以下情形；</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1.连续三个月测评未达到合格等级的；</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2.物业公司在服务期间的人员数量、年龄、资质要求等配置未达到投标文件中的承诺，且一周内未整改到位；</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3.物业公司在服务期间发生劳资纠纷、员工意外伤害事故等未及时处理，给学校正常教育教学秩序产生严重影响；</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4.物业公司在服务期间发生安全生产事故，造成严重后果，未妥善处理；</w:t>
      </w:r>
      <w:r>
        <w:rPr>
          <w:highlight w:val="none"/>
        </w:rPr>
      </w:r>
      <w:r/>
    </w:p>
    <w:p>
      <w:pPr>
        <w:ind w:firstLine="480"/>
        <w:spacing w:line="360" w:lineRule="auto"/>
        <w:tabs>
          <w:tab w:val="left" w:pos="709" w:leader="none"/>
          <w:tab w:val="left" w:pos="735" w:leader="none"/>
          <w:tab w:val="left" w:pos="945" w:leader="none"/>
        </w:tabs>
        <w:rPr>
          <w:color w:val="auto"/>
          <w:sz w:val="24"/>
          <w:highlight w:val="none"/>
        </w:rPr>
      </w:pPr>
      <w:r>
        <w:rPr>
          <w:rFonts w:hint="eastAsia" w:ascii="宋体" w:hAnsi="宋体"/>
          <w:bCs/>
          <w:color w:val="auto"/>
          <w:sz w:val="24"/>
          <w:szCs w:val="24"/>
          <w:highlight w:val="none"/>
        </w:rPr>
        <w:t xml:space="preserve">5.物业公司</w:t>
      </w:r>
      <w:r>
        <w:rPr>
          <w:color w:val="auto"/>
          <w:sz w:val="24"/>
          <w:highlight w:val="none"/>
        </w:rPr>
        <w:t xml:space="preserve">不得将本</w:t>
      </w:r>
      <w:r>
        <w:rPr>
          <w:rFonts w:hint="eastAsia"/>
          <w:color w:val="auto"/>
          <w:sz w:val="24"/>
          <w:highlight w:val="none"/>
        </w:rPr>
        <w:t xml:space="preserve">合同</w:t>
      </w:r>
      <w:r>
        <w:rPr>
          <w:color w:val="auto"/>
          <w:sz w:val="24"/>
          <w:highlight w:val="none"/>
        </w:rPr>
        <w:t xml:space="preserve">转包给第三方。</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color w:val="auto"/>
          <w:sz w:val="24"/>
          <w:highlight w:val="none"/>
        </w:rPr>
        <w:t xml:space="preserve">6.</w:t>
      </w:r>
      <w:r>
        <w:rPr>
          <w:rFonts w:hint="eastAsia" w:ascii="宋体" w:hAnsi="宋体"/>
          <w:bCs/>
          <w:color w:val="auto"/>
          <w:sz w:val="24"/>
          <w:szCs w:val="24"/>
          <w:highlight w:val="none"/>
        </w:rPr>
        <w:t xml:space="preserve">法律法规规定的其他情形。</w:t>
      </w:r>
      <w:r>
        <w:rPr>
          <w:highlight w:val="none"/>
        </w:rPr>
      </w:r>
      <w:r/>
    </w:p>
    <w:p>
      <w:pPr>
        <w:ind w:firstLine="431"/>
        <w:spacing w:line="360" w:lineRule="auto"/>
        <w:tabs>
          <w:tab w:val="left" w:pos="-21"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六、服务周期与其他说明</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1.项目服务周期：</w:t>
      </w:r>
      <w:r>
        <w:rPr>
          <w:rFonts w:hint="eastAsia" w:ascii="宋体" w:hAnsi="宋体"/>
          <w:bCs/>
          <w:color w:val="auto"/>
          <w:sz w:val="24"/>
          <w:szCs w:val="24"/>
          <w:highlight w:val="none"/>
          <w:lang w:val="en-US" w:eastAsia="zh-CN"/>
        </w:rPr>
        <w:t xml:space="preserve">合同签订之日起三年。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环境绿化物业部分自2025年10月25日</w:t>
      </w:r>
      <w:r>
        <w:rPr>
          <w:rFonts w:hint="eastAsia" w:ascii="宋体" w:hAnsi="宋体"/>
          <w:bCs/>
          <w:color w:val="auto"/>
          <w:sz w:val="24"/>
          <w:szCs w:val="24"/>
          <w:highlight w:val="none"/>
          <w:lang w:val="en-US" w:eastAsia="zh-CN"/>
        </w:rPr>
        <w:t xml:space="preserve">期满后由原服务单位移交至中标供应商管理）</w:t>
      </w:r>
      <w:r>
        <w:rPr>
          <w:rFonts w:hint="eastAsia" w:ascii="宋体" w:hAnsi="宋体"/>
          <w:bCs/>
          <w:color w:val="auto"/>
          <w:sz w:val="24"/>
          <w:szCs w:val="24"/>
          <w:highlight w:val="none"/>
        </w:rPr>
        <w:t xml:space="preserve">。</w:t>
      </w:r>
      <w:r>
        <w:rPr>
          <w:highlight w:val="none"/>
        </w:rPr>
      </w:r>
      <w:r/>
    </w:p>
    <w:p>
      <w:pPr>
        <w:ind w:firstLine="480"/>
        <w:spacing w:line="360" w:lineRule="auto"/>
        <w:tabs>
          <w:tab w:val="left" w:pos="709" w:leader="none"/>
          <w:tab w:val="left" w:pos="735" w:leader="none"/>
          <w:tab w:val="left" w:pos="945" w:leader="none"/>
        </w:tabs>
        <w:rPr>
          <w:rFonts w:hint="default" w:ascii="宋体" w:hAnsi="宋体" w:eastAsia="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物业公司应采用信息系统或者信息平台等信息化手段进行日常管理，提高物业服务效率。</w:t>
      </w:r>
      <w:r>
        <w:rPr>
          <w:highlight w:val="none"/>
        </w:rPr>
      </w:r>
      <w:r/>
    </w:p>
    <w:p>
      <w:pPr>
        <w:ind w:firstLine="480"/>
        <w:spacing w:line="360" w:lineRule="auto"/>
        <w:tabs>
          <w:tab w:val="left" w:pos="709" w:leader="none"/>
          <w:tab w:val="left" w:pos="735" w:leader="none"/>
          <w:tab w:val="left" w:pos="945" w:leader="none"/>
        </w:tabs>
        <w:rPr>
          <w:rFonts w:ascii="宋体" w:hAnsi="宋体"/>
          <w:bCs/>
          <w:color w:val="auto"/>
          <w:sz w:val="24"/>
          <w:szCs w:val="24"/>
          <w:highlight w:val="none"/>
        </w:rPr>
      </w:pPr>
      <w:r>
        <w:rPr>
          <w:rFonts w:hint="eastAsia" w:ascii="宋体" w:hAnsi="宋体"/>
          <w:bCs/>
          <w:iCs/>
          <w:color w:val="auto"/>
          <w:sz w:val="24"/>
          <w:szCs w:val="24"/>
          <w:highlight w:val="none"/>
          <w:lang w:val="en-US" w:eastAsia="zh-CN"/>
        </w:rPr>
        <w:t xml:space="preserve">3.</w:t>
      </w:r>
      <w:r>
        <w:rPr>
          <w:rFonts w:hint="eastAsia" w:ascii="宋体" w:hAnsi="宋体"/>
          <w:bCs/>
          <w:iCs/>
          <w:color w:val="auto"/>
          <w:sz w:val="24"/>
          <w:szCs w:val="24"/>
          <w:highlight w:val="none"/>
        </w:rPr>
        <w:t xml:space="preserve">物业公司</w:t>
      </w:r>
      <w:r>
        <w:rPr>
          <w:rFonts w:hint="eastAsia" w:ascii="宋体" w:hAnsi="宋体"/>
          <w:bCs/>
          <w:color w:val="auto"/>
          <w:sz w:val="24"/>
          <w:szCs w:val="24"/>
          <w:highlight w:val="none"/>
        </w:rPr>
        <w:t xml:space="preserve">中标后，必须服从相关部门的管理。物业服务不得转包，如果发现转包，学校有权按法律程序进行处理，所产生的后果由物业公司负责。中标方如更换项目经理应提前一个星期向学校管理部门提出申请，所换项目经理条件不低于投标书中项目经理，经学校管理部门同意后，方可更换。</w:t>
      </w:r>
      <w:r>
        <w:rPr>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iCs/>
          <w:color w:val="auto"/>
          <w:sz w:val="24"/>
          <w:szCs w:val="24"/>
          <w:highlight w:val="none"/>
        </w:rPr>
        <w:t xml:space="preserve">物业公司应当按照国家相关法律法规，合理确定服务人员工资标准、工作时间等，应该自行为服务人员办理必需的保险，有关人员伤亡及第三者责任险均应当考虑在报价因素中。服务过程中的所有工伤、人员伤亡均由</w:t>
      </w:r>
      <w:r>
        <w:rPr>
          <w:rFonts w:hint="eastAsia" w:ascii="宋体" w:hAnsi="宋体"/>
          <w:bCs/>
          <w:color w:val="auto"/>
          <w:sz w:val="24"/>
          <w:szCs w:val="24"/>
          <w:highlight w:val="none"/>
        </w:rPr>
        <w:t xml:space="preserve">物业公司承担相应后果。</w:t>
      </w:r>
      <w:r>
        <w:rPr>
          <w:highlight w:val="none"/>
        </w:rPr>
      </w:r>
      <w:r/>
    </w:p>
    <w:p>
      <w:pPr>
        <w:ind w:firstLine="429"/>
        <w:spacing w:line="360" w:lineRule="auto"/>
        <w:tabs>
          <w:tab w:val="left" w:pos="-21" w:leader="none"/>
        </w:tabs>
        <w:rPr>
          <w:rFonts w:ascii="宋体" w:hAnsi="宋体" w:cs="宋体"/>
          <w:bCs/>
          <w:color w:val="auto"/>
          <w:sz w:val="24"/>
          <w:szCs w:val="22"/>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hint="eastAsia" w:ascii="宋体" w:hAnsi="宋体" w:cs="宋体"/>
          <w:bCs/>
          <w:color w:val="auto"/>
          <w:sz w:val="24"/>
          <w:szCs w:val="22"/>
          <w:highlight w:val="none"/>
        </w:rPr>
        <w:t xml:space="preserve">物业公司应严格遵守《中华人民共和国劳动合同法》以及相关法律法规，与员工签订劳动合同，劳动合同履行期间双方所产生的所有劳动纠纷、工伤、人身意外伤害等应严格按照法律程序进行调解、仲裁、诉讼，均与学校无关。解决过程中不得影响学校正常教育教学秩序，如对学校造成损害，学院保留法律追究的权利。</w:t>
      </w:r>
      <w:r>
        <w:rPr>
          <w:highlight w:val="none"/>
        </w:rPr>
      </w:r>
      <w:r/>
    </w:p>
    <w:p>
      <w:pPr>
        <w:ind w:firstLine="429"/>
        <w:spacing w:line="360" w:lineRule="auto"/>
        <w:tabs>
          <w:tab w:val="left" w:pos="-21"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val="en-US" w:eastAsia="zh-CN"/>
        </w:rPr>
        <w:t xml:space="preserve">6</w:t>
      </w:r>
      <w:r>
        <w:rPr>
          <w:rFonts w:hint="eastAsia" w:ascii="宋体" w:hAnsi="宋体" w:cs="宋体"/>
          <w:bCs/>
          <w:color w:val="auto"/>
          <w:sz w:val="24"/>
          <w:szCs w:val="22"/>
          <w:highlight w:val="none"/>
        </w:rPr>
        <w:t xml:space="preserve">.物业公司在服务合同履行期间应严格遵守《中华人民共和国安全生产法》以及相关法律法规、行业规范、学校安全生产管理等方面的规定，承担安全生产与管理的全部责任。</w:t>
      </w:r>
      <w:r>
        <w:rPr>
          <w:highlight w:val="none"/>
        </w:rPr>
      </w:r>
      <w:r/>
    </w:p>
    <w:p>
      <w:pPr>
        <w:ind w:firstLine="429"/>
        <w:spacing w:line="360" w:lineRule="auto"/>
        <w:tabs>
          <w:tab w:val="left" w:pos="-21"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综合物业管理中所涉及的人员制服、所有工具、办公用品及耗材、保洁耗材（包括且不限于清洁剂、卫生防疫用消毒灭杀剂、洗衣粉、毛巾、百洁布、推尘、扫把、簸箕、拖把、垃圾袋、杀虫剂等）、学宿3的智能门锁专业维护等相关费用包含在本项目预算中。</w:t>
      </w:r>
      <w:r>
        <w:rPr>
          <w:highlight w:val="none"/>
        </w:rPr>
      </w:r>
      <w:r/>
    </w:p>
    <w:p>
      <w:pPr>
        <w:ind w:firstLine="429"/>
        <w:spacing w:line="360" w:lineRule="auto"/>
        <w:tabs>
          <w:tab w:val="left" w:pos="-21"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.物业公司有义务对原学生宿舍更换的门锁及配套设备进行专业的维保及处置，如需要第三方进行宿舍门锁的维修和处置的，相关费用由物业公司承担，费用包含在本项目报价中。</w:t>
      </w:r>
      <w:r>
        <w:rPr>
          <w:highlight w:val="none"/>
        </w:rPr>
      </w:r>
      <w:r/>
    </w:p>
    <w:p>
      <w:pPr>
        <w:ind w:firstLine="429"/>
        <w:spacing w:line="360" w:lineRule="auto"/>
        <w:tabs>
          <w:tab w:val="left" w:pos="-21" w:leader="none"/>
        </w:tabs>
        <w:rPr>
          <w:rFonts w:ascii="宋体" w:hAnsi="宋体"/>
          <w:bCs/>
          <w:color w:val="000000"/>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.校内35KV和所有10KV变电所预防性试验及变电所用具年检费用包含在本项目报价中。物业服务人员的就餐、交通由物业公司自行解决。</w:t>
      </w:r>
      <w:r>
        <w:rPr>
          <w:rFonts w:hint="eastAsia" w:ascii="宋体" w:hAnsi="宋体"/>
          <w:bCs/>
          <w:iCs/>
          <w:color w:val="auto"/>
          <w:sz w:val="24"/>
          <w:szCs w:val="24"/>
          <w:highlight w:val="none"/>
        </w:rPr>
        <w:t xml:space="preserve">物业公司报价时应充分考虑服务期内所有可能影响到报价的因素（包括最低工</w:t>
      </w:r>
      <w:r>
        <w:rPr>
          <w:rFonts w:hint="eastAsia" w:ascii="宋体" w:hAnsi="宋体"/>
          <w:bCs/>
          <w:iCs/>
          <w:sz w:val="24"/>
          <w:szCs w:val="24"/>
          <w:highlight w:val="none"/>
        </w:rPr>
        <w:t xml:space="preserve">资标准及社保基数的政策性调整），一旦中标，总价包定，不予调整。如发生漏、缺、少项，都将被认为是物业公司的报价让利行为，损失自负。</w:t>
      </w:r>
      <w:r>
        <w:rPr>
          <w:highlight w:val="none"/>
        </w:rPr>
      </w:r>
      <w:r/>
    </w:p>
    <w:p>
      <w:pPr>
        <w:ind w:firstLine="480"/>
        <w:spacing w:line="360" w:lineRule="auto"/>
        <w:tabs>
          <w:tab w:val="left" w:pos="709"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.工作人员不在岗五天以上，未明显影响工作的，按比例核扣物业费，影响工作的加倍扣除物业费。（在当季度应付款中扣除）。</w:t>
      </w:r>
      <w:r>
        <w:rPr>
          <w:highlight w:val="none"/>
        </w:rPr>
      </w:r>
      <w:r/>
    </w:p>
    <w:p>
      <w:pPr>
        <w:ind w:firstLine="480"/>
        <w:spacing w:line="360" w:lineRule="auto"/>
        <w:tabs>
          <w:tab w:val="left" w:pos="709" w:leader="none"/>
          <w:tab w:val="left" w:pos="735" w:leader="none"/>
          <w:tab w:val="left" w:pos="945" w:leader="none"/>
        </w:tabs>
        <w:rPr>
          <w:rFonts w:hint="default" w:ascii="宋体" w:hAnsi="宋体" w:eastAsia="宋体"/>
          <w:bCs/>
          <w:color w:val="000000"/>
          <w:sz w:val="24"/>
          <w:szCs w:val="24"/>
          <w:highlight w:val="none"/>
        </w:rPr>
      </w:pPr>
      <w:r>
        <w:rPr>
          <w:rFonts w:hint="eastAsia" w:ascii="宋体" w:hAnsi="宋体"/>
          <w:bCs/>
          <w:color w:val="000000"/>
          <w:sz w:val="24"/>
          <w:szCs w:val="24"/>
          <w:highlight w:val="none"/>
          <w:lang w:val="en-US" w:eastAsia="zh-CN"/>
        </w:rPr>
        <w:t xml:space="preserve">11.物业公司需缴纳项目前期调研咨询费，按照壹万元支付给采购咨询单位。</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cs="宋体"/>
          <w:color w:val="000000"/>
          <w:sz w:val="24"/>
          <w:szCs w:val="22"/>
          <w:highlight w:val="none"/>
        </w:rPr>
        <w:t xml:space="preserve">校方不提供服务人员住宿，物业公司自行解决。</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.合同一年一签，考核合格后续签下一年合同。</w:t>
      </w:r>
      <w:r>
        <w:rPr>
          <w:highlight w:val="none"/>
        </w:rPr>
      </w:r>
      <w:r/>
    </w:p>
    <w:p>
      <w:pPr>
        <w:ind w:firstLine="480"/>
        <w:spacing w:line="360" w:lineRule="auto"/>
        <w:tabs>
          <w:tab w:val="left" w:pos="709"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.未尽事宜，在双方协议中进行明确。</w:t>
      </w:r>
      <w:r>
        <w:rPr>
          <w:highlight w:val="none"/>
        </w:rPr>
      </w:r>
      <w:r/>
    </w:p>
    <w:p>
      <w:pPr>
        <w:ind w:firstLine="431"/>
        <w:spacing w:line="360" w:lineRule="auto"/>
        <w:tabs>
          <w:tab w:val="left" w:pos="-21" w:leader="none"/>
        </w:tabs>
        <w:rPr>
          <w:rFonts w:ascii="宋体" w:hAnsi="宋体"/>
          <w:b/>
          <w:bCs/>
          <w:sz w:val="24"/>
          <w:szCs w:val="24"/>
          <w:highlight w:val="none"/>
        </w:rPr>
      </w:pPr>
      <w:r>
        <w:rPr>
          <w:rFonts w:hint="eastAsia" w:ascii="宋体" w:hAnsi="宋体"/>
          <w:b/>
          <w:bCs/>
          <w:sz w:val="24"/>
          <w:szCs w:val="24"/>
          <w:highlight w:val="none"/>
        </w:rPr>
        <w:t xml:space="preserve">附件</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附件1：《无锡商业职业技术学院综合物业服务质量考核表》</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ascii="宋体" w:hAnsi="宋体"/>
          <w:b/>
          <w:color w:val="000000"/>
          <w:sz w:val="24"/>
          <w:szCs w:val="24"/>
          <w:highlight w:val="none"/>
        </w:rPr>
        <w:t xml:space="preserve">附件 </w:t>
      </w: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：《物业管理作业频率及服务质量标准》</w:t>
      </w:r>
      <w:r>
        <w:rPr>
          <w:highlight w:val="none"/>
        </w:rPr>
      </w:r>
      <w:r/>
    </w:p>
    <w:p>
      <w:pPr>
        <w:ind w:firstLine="431"/>
        <w:spacing w:line="360" w:lineRule="auto"/>
        <w:tabs>
          <w:tab w:val="left" w:pos="-21" w:leader="none"/>
        </w:tabs>
        <w:rPr>
          <w:rFonts w:ascii="宋体" w:hAnsi="宋体"/>
          <w:b/>
          <w:bCs/>
          <w:sz w:val="24"/>
          <w:szCs w:val="24"/>
          <w:highlight w:val="none"/>
        </w:rPr>
      </w:pPr>
      <w:r>
        <w:rPr>
          <w:rFonts w:ascii="宋体" w:hAnsi="宋体"/>
          <w:b/>
          <w:bCs/>
          <w:sz w:val="24"/>
          <w:szCs w:val="24"/>
          <w:highlight w:val="none"/>
        </w:rPr>
        <w:t xml:space="preserve">附件 </w:t>
      </w:r>
      <w:r>
        <w:rPr>
          <w:rFonts w:hint="eastAsia" w:ascii="宋体" w:hAnsi="宋体"/>
          <w:b/>
          <w:bCs/>
          <w:sz w:val="24"/>
          <w:szCs w:val="24"/>
          <w:highlight w:val="none"/>
        </w:rPr>
        <w:t xml:space="preserve">3</w:t>
      </w:r>
      <w:r>
        <w:rPr>
          <w:rFonts w:ascii="宋体" w:hAnsi="宋体"/>
          <w:b/>
          <w:bCs/>
          <w:sz w:val="24"/>
          <w:szCs w:val="24"/>
          <w:highlight w:val="none"/>
        </w:rPr>
        <w:t xml:space="preserve">：《学生宿舍维修责任范围》</w:t>
      </w:r>
      <w:r>
        <w:rPr>
          <w:highlight w:val="none"/>
        </w:rPr>
      </w:r>
      <w:r/>
    </w:p>
    <w:p>
      <w:pPr>
        <w:ind w:firstLine="431"/>
        <w:spacing w:line="360" w:lineRule="auto"/>
        <w:tabs>
          <w:tab w:val="left" w:pos="-21" w:leader="none"/>
        </w:tabs>
        <w:rPr>
          <w:rFonts w:ascii="宋体" w:hAnsi="宋体"/>
          <w:b/>
          <w:bCs/>
          <w:sz w:val="24"/>
          <w:szCs w:val="24"/>
          <w:highlight w:val="none"/>
        </w:rPr>
      </w:pPr>
      <w:r>
        <w:rPr>
          <w:rFonts w:ascii="宋体" w:hAnsi="宋体"/>
          <w:b/>
          <w:bCs/>
          <w:sz w:val="24"/>
          <w:szCs w:val="24"/>
          <w:highlight w:val="none"/>
        </w:rPr>
        <w:t xml:space="preserve">附件 </w:t>
      </w:r>
      <w:r>
        <w:rPr>
          <w:rFonts w:hint="eastAsia" w:ascii="宋体" w:hAnsi="宋体"/>
          <w:b/>
          <w:bCs/>
          <w:sz w:val="24"/>
          <w:szCs w:val="24"/>
          <w:highlight w:val="none"/>
        </w:rPr>
        <w:t xml:space="preserve">4</w:t>
      </w:r>
      <w:r>
        <w:rPr>
          <w:rFonts w:ascii="宋体" w:hAnsi="宋体"/>
          <w:b/>
          <w:bCs/>
          <w:sz w:val="24"/>
          <w:szCs w:val="24"/>
          <w:highlight w:val="none"/>
        </w:rPr>
        <w:t xml:space="preserve">：《变电所及配电房管理制度》</w:t>
      </w:r>
      <w:r>
        <w:rPr>
          <w:highlight w:val="none"/>
        </w:rPr>
      </w:r>
      <w:r/>
    </w:p>
    <w:p>
      <w:pPr>
        <w:ind w:firstLine="431"/>
        <w:spacing w:line="360" w:lineRule="auto"/>
        <w:tabs>
          <w:tab w:val="left" w:pos="-21" w:leader="none"/>
        </w:tabs>
        <w:rPr>
          <w:rFonts w:ascii="宋体" w:hAnsi="宋体"/>
          <w:b/>
          <w:bCs/>
          <w:sz w:val="24"/>
          <w:szCs w:val="24"/>
          <w:highlight w:val="none"/>
        </w:rPr>
        <w:sectPr>
          <w:footerReference w:type="default" r:id="rId13"/>
          <w:footerReference w:type="first" r:id="rId14"/>
          <w:footnotePr/>
          <w:endnotePr/>
          <w:type w:val="nextPage"/>
          <w:pgSz w:w="11906" w:h="16838" w:orient="portrait"/>
          <w:pgMar w:top="1417" w:right="1417" w:bottom="1417" w:left="1417" w:header="851" w:footer="907" w:gutter="0"/>
          <w:pgNumType w:start="1"/>
          <w:cols w:num="1" w:sep="0" w:space="0" w:equalWidth="1"/>
          <w:docGrid w:linePitch="360"/>
          <w:titlePg/>
        </w:sectPr>
      </w:pPr>
      <w:r>
        <w:rPr>
          <w:rFonts w:ascii="宋体" w:hAnsi="宋体"/>
          <w:b/>
          <w:bCs/>
          <w:sz w:val="24"/>
          <w:szCs w:val="24"/>
          <w:highlight w:val="none"/>
        </w:rPr>
        <w:t xml:space="preserve">附件 </w:t>
      </w:r>
      <w:r>
        <w:rPr>
          <w:rFonts w:hint="eastAsia" w:ascii="宋体" w:hAnsi="宋体"/>
          <w:b/>
          <w:bCs/>
          <w:sz w:val="24"/>
          <w:szCs w:val="24"/>
          <w:highlight w:val="none"/>
        </w:rPr>
        <w:t xml:space="preserve">5</w:t>
      </w:r>
      <w:r>
        <w:rPr>
          <w:rFonts w:ascii="宋体" w:hAnsi="宋体"/>
          <w:b/>
          <w:bCs/>
          <w:sz w:val="24"/>
          <w:szCs w:val="24"/>
          <w:highlight w:val="none"/>
        </w:rPr>
        <w:t xml:space="preserve">：《低压配电间巡视检查制度》</w:t>
      </w:r>
      <w:r>
        <w:rPr>
          <w:highlight w:val="none"/>
        </w:rPr>
      </w:r>
      <w:r/>
    </w:p>
    <w:p>
      <w:pPr>
        <w:ind w:firstLine="482"/>
        <w:spacing w:line="360" w:lineRule="auto"/>
        <w:tabs>
          <w:tab w:val="left" w:pos="709" w:leader="none"/>
          <w:tab w:val="left" w:pos="735" w:leader="none"/>
          <w:tab w:val="left" w:pos="945" w:leader="none"/>
        </w:tabs>
        <w:rPr>
          <w:rFonts w:ascii="宋体" w:hAnsi="宋体"/>
          <w:b/>
          <w:color w:val="000000"/>
          <w:sz w:val="24"/>
          <w:szCs w:val="24"/>
          <w:highlight w:val="none"/>
        </w:rPr>
      </w:pPr>
      <w:r>
        <w:rPr>
          <w:rFonts w:hint="eastAsia" w:ascii="宋体" w:hAnsi="宋体"/>
          <w:b/>
          <w:color w:val="000000"/>
          <w:sz w:val="24"/>
          <w:szCs w:val="24"/>
          <w:highlight w:val="none"/>
        </w:rPr>
        <w:t xml:space="preserve">附件1：《无锡商业职业技术学院综合物业服务质量考核表》</w:t>
      </w:r>
      <w:r>
        <w:rPr>
          <w:highlight w:val="none"/>
        </w:rPr>
      </w:r>
      <w:r/>
    </w:p>
    <w:tbl>
      <w:tblPr>
        <w:tblStyle w:val="935"/>
        <w:tblW w:w="9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702"/>
        <w:gridCol w:w="1121"/>
        <w:gridCol w:w="1594"/>
        <w:gridCol w:w="2910"/>
        <w:gridCol w:w="795"/>
        <w:gridCol w:w="690"/>
        <w:gridCol w:w="645"/>
      </w:tblGrid>
      <w:tr>
        <w:trPr>
          <w:tblHeader/>
        </w:trPr>
        <w:tc>
          <w:tcPr>
            <w:gridSpan w:val="8"/>
            <w:tcMar>
              <w:left w:w="34" w:type="dxa"/>
              <w:top w:w="34" w:type="dxa"/>
              <w:right w:w="34" w:type="dxa"/>
              <w:bottom w:w="34" w:type="dxa"/>
            </w:tcMar>
            <w:tcW w:w="9017" w:type="dxa"/>
            <w:vAlign w:val="center"/>
            <w:textDirection w:val="lrTb"/>
            <w:noWrap w:val="false"/>
          </w:tcPr>
          <w:p>
            <w:pPr>
              <w:jc w:val="center"/>
              <w:rPr>
                <w:rFonts w:ascii="宋体" w:hAnsi="宋体" w:cs="宋体"/>
                <w:bCs/>
                <w:szCs w:val="24"/>
                <w:highlight w:val="none"/>
              </w:rPr>
            </w:pPr>
            <w:r>
              <w:rPr>
                <w:sz w:val="24"/>
                <w:szCs w:val="24"/>
                <w:highlight w:val="none"/>
              </w:rPr>
              <w:t xml:space="preserve">无锡商业职业技术学院校园综合物业质量考核表</w:t>
            </w:r>
            <w:r>
              <w:rPr>
                <w:sz w:val="24"/>
                <w:szCs w:val="24"/>
                <w:highlight w:val="none"/>
              </w:rPr>
              <w:br/>
            </w:r>
            <w:r>
              <w:rPr>
                <w:sz w:val="24"/>
                <w:szCs w:val="24"/>
                <w:highlight w:val="none"/>
              </w:rPr>
              <w:t xml:space="preserve">（相关考核内容和标准会根据实际情况进行动态调整）</w:t>
            </w:r>
            <w:r>
              <w:rPr>
                <w:highlight w:val="none"/>
              </w:rPr>
            </w:r>
            <w:r/>
          </w:p>
        </w:tc>
      </w:tr>
      <w:tr>
        <w:trPr>
          <w:tblHeader/>
        </w:trPr>
        <w:tc>
          <w:tcPr>
            <w:tcMar>
              <w:left w:w="34" w:type="dxa"/>
              <w:top w:w="34" w:type="dxa"/>
              <w:right w:w="34" w:type="dxa"/>
              <w:bottom w:w="34" w:type="dxa"/>
            </w:tcMar>
            <w:tcW w:w="560" w:type="dxa"/>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序号</w:t>
            </w:r>
            <w:r>
              <w:rPr>
                <w:highlight w:val="none"/>
              </w:rPr>
            </w:r>
            <w:r/>
          </w:p>
        </w:tc>
        <w:tc>
          <w:tcPr>
            <w:tcMar>
              <w:left w:w="34" w:type="dxa"/>
              <w:top w:w="34" w:type="dxa"/>
              <w:right w:w="34" w:type="dxa"/>
              <w:bottom w:w="34" w:type="dxa"/>
            </w:tcMar>
            <w:tcW w:w="702" w:type="dxa"/>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一级考核项目</w:t>
            </w:r>
            <w:r>
              <w:rPr>
                <w:highlight w:val="none"/>
              </w:rPr>
            </w:r>
            <w:r/>
          </w:p>
        </w:tc>
        <w:tc>
          <w:tcPr>
            <w:tcMar>
              <w:left w:w="34" w:type="dxa"/>
              <w:top w:w="34" w:type="dxa"/>
              <w:right w:w="34" w:type="dxa"/>
              <w:bottom w:w="34" w:type="dxa"/>
            </w:tcMar>
            <w:tcW w:w="1121" w:type="dxa"/>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二级考核内容</w:t>
            </w:r>
            <w:r>
              <w:rPr>
                <w:highlight w:val="none"/>
              </w:rPr>
            </w:r>
            <w:r/>
          </w:p>
        </w:tc>
        <w:tc>
          <w:tcPr>
            <w:tcMar>
              <w:left w:w="34" w:type="dxa"/>
              <w:top w:w="34" w:type="dxa"/>
              <w:right w:w="34" w:type="dxa"/>
              <w:bottom w:w="34" w:type="dxa"/>
            </w:tcMar>
            <w:tcW w:w="1594" w:type="dxa"/>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考核要点</w:t>
            </w:r>
            <w:r>
              <w:rPr>
                <w:highlight w:val="none"/>
              </w:rPr>
            </w:r>
            <w:r/>
          </w:p>
        </w:tc>
        <w:tc>
          <w:tcPr>
            <w:tcMar>
              <w:left w:w="34" w:type="dxa"/>
              <w:top w:w="34" w:type="dxa"/>
              <w:right w:w="34" w:type="dxa"/>
              <w:bottom w:w="34" w:type="dxa"/>
            </w:tcMar>
            <w:tcW w:w="2910" w:type="dxa"/>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质量标准</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标准分</w:t>
            </w:r>
            <w:r>
              <w:rPr>
                <w:highlight w:val="none"/>
              </w:rPr>
            </w:r>
            <w:r/>
          </w:p>
        </w:tc>
        <w:tc>
          <w:tcPr>
            <w:tcMar>
              <w:left w:w="34" w:type="dxa"/>
              <w:top w:w="34" w:type="dxa"/>
              <w:right w:w="34" w:type="dxa"/>
              <w:bottom w:w="34" w:type="dxa"/>
            </w:tcMar>
            <w:tcW w:w="690" w:type="dxa"/>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考核得分</w:t>
            </w:r>
            <w:r>
              <w:rPr>
                <w:highlight w:val="none"/>
              </w:rPr>
            </w:r>
            <w:r/>
          </w:p>
        </w:tc>
        <w:tc>
          <w:tcPr>
            <w:tcMar>
              <w:left w:w="34" w:type="dxa"/>
              <w:top w:w="34" w:type="dxa"/>
              <w:right w:w="34" w:type="dxa"/>
              <w:bottom w:w="34" w:type="dxa"/>
            </w:tcMar>
            <w:tcW w:w="645" w:type="dxa"/>
            <w:vAlign w:val="center"/>
            <w:textDirection w:val="lrTb"/>
            <w:noWrap w:val="false"/>
          </w:tcPr>
          <w:p>
            <w:pPr>
              <w:jc w:val="center"/>
              <w:widowControl/>
              <w:rPr>
                <w:b/>
                <w:bCs/>
                <w:highlight w:val="none"/>
              </w:rPr>
            </w:pPr>
            <w:r>
              <w:rPr>
                <w:rFonts w:ascii="宋体" w:hAnsi="宋体" w:cs="宋体"/>
                <w:b/>
                <w:bCs/>
                <w:sz w:val="24"/>
                <w:szCs w:val="24"/>
                <w:highlight w:val="none"/>
                <w:lang w:bidi="ar"/>
              </w:rPr>
              <w:t xml:space="preserve">备注</w:t>
            </w:r>
            <w:r>
              <w:rPr>
                <w:highlight w:val="none"/>
              </w:rPr>
            </w:r>
            <w:r/>
          </w:p>
        </w:tc>
      </w:tr>
      <w:tr>
        <w:trPr/>
        <w:tc>
          <w:tcPr>
            <w:tcMar>
              <w:left w:w="34" w:type="dxa"/>
              <w:top w:w="34" w:type="dxa"/>
              <w:right w:w="34" w:type="dxa"/>
              <w:bottom w:w="34" w:type="dxa"/>
            </w:tcMar>
            <w:tcW w:w="560" w:type="dxa"/>
            <w:vAlign w:val="center"/>
            <w:vMerge w:val="restart"/>
            <w:textDirection w:val="lrTb"/>
            <w:noWrap w:val="false"/>
          </w:tcPr>
          <w:p>
            <w:pPr>
              <w:jc w:val="center"/>
              <w:widowControl/>
              <w:rPr>
                <w:highlight w:val="none"/>
              </w:rPr>
            </w:pPr>
            <w:r>
              <w:rPr>
                <w:rFonts w:ascii="宋体" w:hAnsi="宋体" w:cs="宋体"/>
                <w:sz w:val="24"/>
                <w:szCs w:val="24"/>
                <w:highlight w:val="none"/>
                <w:lang w:bidi="ar"/>
              </w:rPr>
              <w:t xml:space="preserve">一</w:t>
            </w:r>
            <w:r>
              <w:rPr>
                <w:highlight w:val="none"/>
              </w:rPr>
            </w:r>
            <w:r/>
          </w:p>
        </w:tc>
        <w:tc>
          <w:tcPr>
            <w:tcMar>
              <w:left w:w="34" w:type="dxa"/>
              <w:top w:w="34" w:type="dxa"/>
              <w:right w:w="34" w:type="dxa"/>
              <w:bottom w:w="34" w:type="dxa"/>
            </w:tcMar>
            <w:tcW w:w="702" w:type="dxa"/>
            <w:vAlign w:val="center"/>
            <w:vMerge w:val="restart"/>
            <w:textDirection w:val="lrTb"/>
            <w:noWrap w:val="false"/>
          </w:tcPr>
          <w:p>
            <w:pPr>
              <w:jc w:val="left"/>
              <w:widowControl/>
              <w:rPr>
                <w:highlight w:val="none"/>
              </w:rPr>
            </w:pPr>
            <w:r>
              <w:rPr>
                <w:rFonts w:ascii="宋体" w:hAnsi="宋体" w:cs="宋体"/>
                <w:sz w:val="24"/>
                <w:szCs w:val="24"/>
                <w:highlight w:val="none"/>
                <w:lang w:bidi="ar"/>
              </w:rPr>
              <w:t xml:space="preserve">日常管理（10 分）</w:t>
            </w:r>
            <w:r>
              <w:rPr>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1.人员配置</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人员稳定性与到岗率</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人员足额配备，不缺勤、不随意脱岗，无频繁更换</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2.制度与档案</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规章执行与档案管理</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管理制度、岗位责任齐全，人事、维修等档案完整并按时备案</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3.人员规范</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服务行为与培训</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员工着装统一，文明礼貌，</w:t>
            </w:r>
            <w:r>
              <w:rPr>
                <w:rFonts w:hint="eastAsia" w:ascii="宋体" w:hAnsi="宋体" w:cs="宋体"/>
                <w:sz w:val="24"/>
                <w:szCs w:val="24"/>
                <w:highlight w:val="none"/>
                <w:lang w:bidi="ar"/>
              </w:rPr>
              <w:t xml:space="preserve">禁止工作期间饮酒和酒后上岗。</w:t>
            </w:r>
            <w:r>
              <w:rPr>
                <w:rFonts w:ascii="宋体" w:hAnsi="宋体" w:cs="宋体"/>
                <w:sz w:val="24"/>
                <w:szCs w:val="24"/>
                <w:highlight w:val="none"/>
                <w:lang w:bidi="ar"/>
              </w:rPr>
              <w:t xml:space="preserve">定期开展业务培训，无违规行为</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restart"/>
            <w:textDirection w:val="lrTb"/>
            <w:noWrap w:val="false"/>
          </w:tcPr>
          <w:p>
            <w:pPr>
              <w:jc w:val="center"/>
              <w:widowControl/>
              <w:rPr>
                <w:highlight w:val="none"/>
              </w:rPr>
            </w:pPr>
            <w:r>
              <w:rPr>
                <w:rFonts w:ascii="宋体" w:hAnsi="宋体" w:cs="宋体"/>
                <w:sz w:val="24"/>
                <w:szCs w:val="24"/>
                <w:highlight w:val="none"/>
                <w:lang w:bidi="ar"/>
              </w:rPr>
              <w:t xml:space="preserve">二</w:t>
            </w:r>
            <w:r>
              <w:rPr>
                <w:highlight w:val="none"/>
              </w:rPr>
            </w:r>
            <w:r/>
          </w:p>
        </w:tc>
        <w:tc>
          <w:tcPr>
            <w:tcMar>
              <w:left w:w="34" w:type="dxa"/>
              <w:top w:w="34" w:type="dxa"/>
              <w:right w:w="34" w:type="dxa"/>
              <w:bottom w:w="34" w:type="dxa"/>
            </w:tcMar>
            <w:tcW w:w="702" w:type="dxa"/>
            <w:vAlign w:val="center"/>
            <w:vMerge w:val="restart"/>
            <w:textDirection w:val="lrTb"/>
            <w:noWrap w:val="false"/>
          </w:tcPr>
          <w:p>
            <w:pPr>
              <w:jc w:val="left"/>
              <w:widowControl/>
              <w:rPr>
                <w:highlight w:val="none"/>
              </w:rPr>
            </w:pPr>
            <w:r>
              <w:rPr>
                <w:rFonts w:ascii="宋体" w:hAnsi="宋体" w:cs="宋体"/>
                <w:sz w:val="24"/>
                <w:szCs w:val="24"/>
                <w:highlight w:val="none"/>
                <w:lang w:bidi="ar"/>
              </w:rPr>
              <w:t xml:space="preserve">场馆服务（</w:t>
            </w:r>
            <w:r>
              <w:rPr>
                <w:rFonts w:hint="eastAsia" w:ascii="宋体" w:hAnsi="宋体" w:cs="宋体"/>
                <w:sz w:val="24"/>
                <w:szCs w:val="24"/>
                <w:highlight w:val="none"/>
                <w:lang w:bidi="ar"/>
              </w:rPr>
              <w:t xml:space="preserve">17</w:t>
            </w:r>
            <w:r>
              <w:rPr>
                <w:rFonts w:ascii="宋体" w:hAnsi="宋体" w:cs="宋体"/>
                <w:sz w:val="24"/>
                <w:szCs w:val="24"/>
                <w:highlight w:val="none"/>
                <w:lang w:bidi="ar"/>
              </w:rPr>
              <w:t xml:space="preserve"> 分）</w:t>
            </w:r>
            <w:r>
              <w:rPr>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1.场馆保洁</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公共区域与特殊场所清洁</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楼宇内地面、楼梯、电梯等无杂物、积尘；卫生间无异味，工具摆放有序；报告厅、会议室会议前后清扫到位</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5</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2.楼宇运营</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基础管理与安全</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按规定开关门、送断电，</w:t>
            </w:r>
            <w:r>
              <w:rPr>
                <w:rFonts w:hint="eastAsia" w:ascii="宋体" w:hAnsi="宋体" w:cs="宋体"/>
                <w:sz w:val="24"/>
                <w:szCs w:val="24"/>
                <w:highlight w:val="none"/>
                <w:lang w:bidi="ar"/>
              </w:rPr>
              <w:t xml:space="preserve">24小时</w:t>
            </w:r>
            <w:r>
              <w:rPr>
                <w:rFonts w:ascii="宋体" w:hAnsi="宋体" w:cs="宋体"/>
                <w:sz w:val="24"/>
                <w:szCs w:val="24"/>
                <w:highlight w:val="none"/>
                <w:lang w:bidi="ar"/>
              </w:rPr>
              <w:t xml:space="preserve">值班</w:t>
            </w:r>
            <w:r>
              <w:rPr>
                <w:rFonts w:hint="eastAsia" w:ascii="宋体" w:hAnsi="宋体" w:cs="宋体"/>
                <w:sz w:val="24"/>
                <w:szCs w:val="24"/>
                <w:highlight w:val="none"/>
                <w:lang w:bidi="ar"/>
              </w:rPr>
              <w:t xml:space="preserve">在岗</w:t>
            </w:r>
            <w:r>
              <w:rPr>
                <w:rFonts w:ascii="宋体" w:hAnsi="宋体" w:cs="宋体"/>
                <w:sz w:val="24"/>
                <w:szCs w:val="24"/>
                <w:highlight w:val="none"/>
                <w:lang w:bidi="ar"/>
              </w:rPr>
              <w:t xml:space="preserve">；巡回检查水电使用，及时制止违规行为</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3.变电所管理</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设施维护与应急</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日常巡检记录完整，严格交接班；定期维护设备，恶劣天气预防到位，应急处理及时</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highlight w:val="none"/>
                <w:lang w:bidi="ar"/>
              </w:rPr>
              <w:t xml:space="preserve">4.电梯管理</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highlight w:val="none"/>
                <w:lang w:bidi="ar"/>
              </w:rPr>
              <w:t xml:space="preserve">基础</w:t>
            </w:r>
            <w:r>
              <w:rPr>
                <w:rFonts w:ascii="宋体" w:hAnsi="宋体" w:cs="宋体"/>
                <w:sz w:val="24"/>
                <w:highlight w:val="none"/>
                <w:lang w:bidi="ar"/>
              </w:rPr>
              <w:t xml:space="preserve">管理与应急</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highlight w:val="none"/>
                <w:lang w:bidi="ar"/>
              </w:rPr>
              <w:t xml:space="preserve">按照监管</w:t>
            </w:r>
            <w:r>
              <w:rPr>
                <w:rFonts w:ascii="宋体" w:hAnsi="宋体" w:cs="宋体"/>
                <w:sz w:val="24"/>
                <w:highlight w:val="none"/>
                <w:lang w:bidi="ar"/>
              </w:rPr>
              <w:t xml:space="preserve">部门要求</w:t>
            </w:r>
            <w:r>
              <w:rPr>
                <w:rFonts w:hint="eastAsia" w:ascii="宋体" w:hAnsi="宋体" w:cs="宋体"/>
                <w:sz w:val="24"/>
                <w:highlight w:val="none"/>
                <w:lang w:bidi="ar"/>
              </w:rPr>
              <w:t xml:space="preserve">配备具有电梯安全</w:t>
            </w:r>
            <w:r>
              <w:rPr>
                <w:rFonts w:ascii="宋体" w:hAnsi="宋体" w:cs="宋体"/>
                <w:sz w:val="24"/>
                <w:highlight w:val="none"/>
                <w:lang w:bidi="ar"/>
              </w:rPr>
              <w:t xml:space="preserve">管理和作业人员证</w:t>
            </w:r>
            <w:r>
              <w:rPr>
                <w:rFonts w:hint="eastAsia" w:ascii="宋体" w:hAnsi="宋体" w:cs="宋体"/>
                <w:sz w:val="24"/>
                <w:highlight w:val="none"/>
                <w:lang w:bidi="ar"/>
              </w:rPr>
              <w:t xml:space="preserve">的</w:t>
            </w:r>
            <w:r>
              <w:rPr>
                <w:rFonts w:ascii="宋体" w:hAnsi="宋体" w:cs="宋体"/>
                <w:sz w:val="24"/>
                <w:highlight w:val="none"/>
                <w:lang w:bidi="ar"/>
              </w:rPr>
              <w:t xml:space="preserve">安全管理人员</w:t>
            </w:r>
            <w:r>
              <w:rPr>
                <w:rFonts w:hint="eastAsia" w:ascii="宋体" w:hAnsi="宋体" w:cs="宋体"/>
                <w:sz w:val="24"/>
                <w:highlight w:val="none"/>
                <w:lang w:bidi="ar"/>
              </w:rPr>
              <w:t xml:space="preserve">；日常</w:t>
            </w:r>
            <w:r>
              <w:rPr>
                <w:rFonts w:ascii="宋体" w:hAnsi="宋体" w:cs="宋体"/>
                <w:sz w:val="24"/>
                <w:highlight w:val="none"/>
                <w:lang w:bidi="ar"/>
              </w:rPr>
              <w:t xml:space="preserve">巡检</w:t>
            </w:r>
            <w:r>
              <w:rPr>
                <w:rFonts w:hint="eastAsia" w:ascii="宋体" w:hAnsi="宋体" w:cs="宋体"/>
                <w:sz w:val="24"/>
                <w:highlight w:val="none"/>
                <w:lang w:bidi="ar"/>
              </w:rPr>
              <w:t xml:space="preserve">及配合</w:t>
            </w:r>
            <w:r>
              <w:rPr>
                <w:rFonts w:ascii="宋体" w:hAnsi="宋体" w:cs="宋体"/>
                <w:sz w:val="24"/>
                <w:highlight w:val="none"/>
                <w:lang w:bidi="ar"/>
              </w:rPr>
              <w:t xml:space="preserve">电梯维保单位</w:t>
            </w:r>
            <w:r>
              <w:rPr>
                <w:rFonts w:hint="eastAsia" w:ascii="宋体" w:hAnsi="宋体" w:cs="宋体"/>
                <w:sz w:val="24"/>
                <w:highlight w:val="none"/>
                <w:lang w:bidi="ar"/>
              </w:rPr>
              <w:t xml:space="preserve">及时</w:t>
            </w:r>
            <w:r>
              <w:rPr>
                <w:rFonts w:ascii="宋体" w:hAnsi="宋体" w:cs="宋体"/>
                <w:sz w:val="24"/>
                <w:highlight w:val="none"/>
                <w:lang w:bidi="ar"/>
              </w:rPr>
              <w:t xml:space="preserve">处理</w:t>
            </w:r>
            <w:r>
              <w:rPr>
                <w:rFonts w:hint="eastAsia" w:ascii="宋体" w:hAnsi="宋体" w:cs="宋体"/>
                <w:sz w:val="24"/>
                <w:highlight w:val="none"/>
                <w:lang w:bidi="ar"/>
              </w:rPr>
              <w:t xml:space="preserve">各种电梯</w:t>
            </w:r>
            <w:r>
              <w:rPr>
                <w:rFonts w:ascii="宋体" w:hAnsi="宋体" w:cs="宋体"/>
                <w:sz w:val="24"/>
                <w:highlight w:val="none"/>
                <w:lang w:bidi="ar"/>
              </w:rPr>
              <w:t xml:space="preserve">故障</w:t>
            </w:r>
            <w:r>
              <w:rPr>
                <w:rFonts w:hint="eastAsia" w:ascii="宋体" w:hAnsi="宋体" w:cs="宋体"/>
                <w:sz w:val="24"/>
                <w:highlight w:val="none"/>
                <w:lang w:bidi="ar"/>
              </w:rPr>
              <w:t xml:space="preserve">；定期</w:t>
            </w:r>
            <w:r>
              <w:rPr>
                <w:rFonts w:ascii="宋体" w:hAnsi="宋体" w:cs="宋体"/>
                <w:sz w:val="24"/>
                <w:highlight w:val="none"/>
                <w:lang w:bidi="ar"/>
              </w:rPr>
              <w:t xml:space="preserve">完成</w:t>
            </w:r>
            <w:r>
              <w:rPr>
                <w:rFonts w:hint="eastAsia" w:ascii="宋体" w:hAnsi="宋体" w:cs="宋体"/>
                <w:sz w:val="24"/>
                <w:highlight w:val="none"/>
                <w:lang w:bidi="ar"/>
              </w:rPr>
              <w:t xml:space="preserve">监管部门</w:t>
            </w:r>
            <w:r>
              <w:rPr>
                <w:rFonts w:ascii="宋体" w:hAnsi="宋体" w:cs="宋体"/>
                <w:sz w:val="24"/>
                <w:highlight w:val="none"/>
                <w:lang w:bidi="ar"/>
              </w:rPr>
              <w:t xml:space="preserve">要求的相关</w:t>
            </w:r>
            <w:r>
              <w:rPr>
                <w:rFonts w:hint="eastAsia" w:ascii="宋体" w:hAnsi="宋体" w:cs="宋体"/>
                <w:sz w:val="24"/>
                <w:highlight w:val="none"/>
                <w:lang w:bidi="ar"/>
              </w:rPr>
              <w:t xml:space="preserve">材料；妥善</w:t>
            </w:r>
            <w:r>
              <w:rPr>
                <w:rFonts w:ascii="宋体" w:hAnsi="宋体" w:cs="宋体"/>
                <w:sz w:val="24"/>
                <w:highlight w:val="none"/>
                <w:lang w:bidi="ar"/>
              </w:rPr>
              <w:t xml:space="preserve">保存一梯一档资料</w:t>
            </w:r>
            <w:r>
              <w:rPr>
                <w:rFonts w:hint="eastAsia" w:ascii="宋体" w:hAnsi="宋体" w:cs="宋体"/>
                <w:sz w:val="24"/>
                <w:highlight w:val="none"/>
                <w:lang w:bidi="ar"/>
              </w:rPr>
              <w:t xml:space="preserve">；发生紧急情况应急处理及时。</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highlight w:val="none"/>
                <w:lang w:bidi="ar"/>
              </w:rPr>
              <w:t xml:space="preserve">5.泵房和水箱</w:t>
            </w:r>
            <w:r>
              <w:rPr>
                <w:rFonts w:ascii="宋体" w:hAnsi="宋体" w:cs="宋体"/>
                <w:sz w:val="24"/>
                <w:highlight w:val="none"/>
                <w:lang w:bidi="ar"/>
              </w:rPr>
              <w:t xml:space="preserve">管理</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rFonts w:ascii="宋体" w:hAnsi="宋体" w:cs="宋体"/>
                <w:sz w:val="24"/>
                <w:szCs w:val="24"/>
                <w:highlight w:val="none"/>
              </w:rPr>
            </w:pPr>
            <w:r>
              <w:rPr>
                <w:rFonts w:ascii="宋体" w:hAnsi="宋体" w:cs="宋体"/>
                <w:sz w:val="24"/>
                <w:highlight w:val="none"/>
                <w:lang w:bidi="ar"/>
              </w:rPr>
              <w:t xml:space="preserve">设施维护与应急</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highlight w:val="none"/>
                <w:lang w:bidi="ar"/>
              </w:rPr>
              <w:t xml:space="preserve">日常</w:t>
            </w:r>
            <w:r>
              <w:rPr>
                <w:rFonts w:ascii="宋体" w:hAnsi="宋体" w:cs="宋体"/>
                <w:sz w:val="24"/>
                <w:highlight w:val="none"/>
                <w:lang w:bidi="ar"/>
              </w:rPr>
              <w:t xml:space="preserve">巡检记录完整；</w:t>
            </w:r>
            <w:r>
              <w:rPr>
                <w:rFonts w:hint="eastAsia" w:ascii="宋体" w:hAnsi="宋体" w:cs="宋体"/>
                <w:sz w:val="24"/>
                <w:highlight w:val="none"/>
                <w:lang w:bidi="ar"/>
              </w:rPr>
              <w:t xml:space="preserve">定期</w:t>
            </w:r>
            <w:r>
              <w:rPr>
                <w:rFonts w:ascii="宋体" w:hAnsi="宋体" w:cs="宋体"/>
                <w:sz w:val="24"/>
                <w:highlight w:val="none"/>
                <w:lang w:bidi="ar"/>
              </w:rPr>
              <w:t xml:space="preserve">维护</w:t>
            </w:r>
            <w:r>
              <w:rPr>
                <w:rFonts w:hint="eastAsia" w:ascii="宋体" w:hAnsi="宋体" w:cs="宋体"/>
                <w:sz w:val="24"/>
                <w:highlight w:val="none"/>
                <w:lang w:bidi="ar"/>
              </w:rPr>
              <w:t xml:space="preserve">泵房和水箱设施</w:t>
            </w:r>
            <w:r>
              <w:rPr>
                <w:rFonts w:ascii="宋体" w:hAnsi="宋体" w:cs="宋体"/>
                <w:sz w:val="24"/>
                <w:highlight w:val="none"/>
                <w:lang w:bidi="ar"/>
              </w:rPr>
              <w:t xml:space="preserve">设备</w:t>
            </w:r>
            <w:r>
              <w:rPr>
                <w:rFonts w:hint="eastAsia" w:ascii="宋体" w:hAnsi="宋体" w:cs="宋体"/>
                <w:sz w:val="24"/>
                <w:highlight w:val="none"/>
                <w:lang w:bidi="ar"/>
              </w:rPr>
              <w:t xml:space="preserve">，发现异常</w:t>
            </w:r>
            <w:r>
              <w:rPr>
                <w:rFonts w:ascii="宋体" w:hAnsi="宋体" w:cs="宋体"/>
                <w:sz w:val="24"/>
                <w:highlight w:val="none"/>
                <w:lang w:bidi="ar"/>
              </w:rPr>
              <w:t xml:space="preserve">及时处理；假期前动态调节泵房出水压力</w:t>
            </w:r>
            <w:r>
              <w:rPr>
                <w:rFonts w:hint="eastAsia" w:ascii="宋体" w:hAnsi="宋体" w:cs="宋体"/>
                <w:sz w:val="24"/>
                <w:highlight w:val="none"/>
                <w:lang w:bidi="ar"/>
              </w:rPr>
              <w:t xml:space="preserve">；发生</w:t>
            </w:r>
            <w:r>
              <w:rPr>
                <w:rFonts w:ascii="宋体" w:hAnsi="宋体" w:cs="宋体"/>
                <w:sz w:val="24"/>
                <w:highlight w:val="none"/>
                <w:lang w:bidi="ar"/>
              </w:rPr>
              <w:t xml:space="preserve">故障应急处理</w:t>
            </w:r>
            <w:r>
              <w:rPr>
                <w:rFonts w:hint="eastAsia" w:ascii="宋体" w:hAnsi="宋体" w:cs="宋体"/>
                <w:sz w:val="24"/>
                <w:highlight w:val="none"/>
                <w:lang w:bidi="ar"/>
              </w:rPr>
              <w:t xml:space="preserve">及时</w:t>
            </w:r>
            <w:r>
              <w:rPr>
                <w:rFonts w:ascii="宋体" w:hAnsi="宋体" w:cs="宋体"/>
                <w:sz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vMerge w:val="restart"/>
            <w:textDirection w:val="lrTb"/>
            <w:noWrap w:val="false"/>
          </w:tcPr>
          <w:p>
            <w:pPr>
              <w:jc w:val="center"/>
              <w:widowControl/>
              <w:rPr>
                <w:highlight w:val="none"/>
              </w:rPr>
            </w:pPr>
            <w:r>
              <w:rPr>
                <w:rFonts w:ascii="宋体" w:hAnsi="宋体" w:cs="宋体"/>
                <w:sz w:val="24"/>
                <w:szCs w:val="24"/>
                <w:highlight w:val="none"/>
                <w:lang w:bidi="ar"/>
              </w:rPr>
              <w:t xml:space="preserve">三</w:t>
            </w:r>
            <w:r>
              <w:rPr>
                <w:highlight w:val="none"/>
              </w:rPr>
            </w:r>
            <w:r/>
          </w:p>
        </w:tc>
        <w:tc>
          <w:tcPr>
            <w:tcMar>
              <w:left w:w="34" w:type="dxa"/>
              <w:top w:w="34" w:type="dxa"/>
              <w:right w:w="34" w:type="dxa"/>
              <w:bottom w:w="34" w:type="dxa"/>
            </w:tcMar>
            <w:tcW w:w="702" w:type="dxa"/>
            <w:vAlign w:val="center"/>
            <w:vMerge w:val="restart"/>
            <w:textDirection w:val="lrTb"/>
            <w:noWrap w:val="false"/>
          </w:tcPr>
          <w:p>
            <w:pPr>
              <w:jc w:val="left"/>
              <w:widowControl/>
              <w:rPr>
                <w:highlight w:val="none"/>
              </w:rPr>
            </w:pPr>
            <w:r>
              <w:rPr>
                <w:rFonts w:ascii="宋体" w:hAnsi="宋体" w:cs="宋体"/>
                <w:sz w:val="24"/>
                <w:szCs w:val="24"/>
                <w:highlight w:val="none"/>
                <w:lang w:bidi="ar"/>
              </w:rPr>
              <w:t xml:space="preserve">环境卫生（</w:t>
            </w:r>
            <w:r>
              <w:rPr>
                <w:rFonts w:hint="eastAsia" w:ascii="宋体" w:hAnsi="宋体" w:cs="宋体"/>
                <w:sz w:val="24"/>
                <w:szCs w:val="24"/>
                <w:highlight w:val="none"/>
                <w:lang w:bidi="ar"/>
              </w:rPr>
              <w:t xml:space="preserve">15</w:t>
            </w:r>
            <w:r>
              <w:rPr>
                <w:rFonts w:ascii="宋体" w:hAnsi="宋体" w:cs="宋体"/>
                <w:sz w:val="24"/>
                <w:szCs w:val="24"/>
                <w:highlight w:val="none"/>
                <w:lang w:bidi="ar"/>
              </w:rPr>
              <w:t xml:space="preserve"> 分）</w:t>
            </w:r>
            <w:r>
              <w:rPr>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1.公共区域卫生</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外环境清洁度</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校园道路、广场无积水、垃圾、痰迹；田径场看台无杂物，大型活动后及时清扫</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2.重点区域保洁</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特殊区域维护</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垃圾中转站无散落垃圾、污水；人工湖坡地无白色垃圾（每日上下午各清理 1 次）</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3.排污管道管理</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管道通畅与设施完好</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防洪沟无杂草、石块；雨水井、化粪池等窖井排水畅通，井盖无损坏缺失</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4.除害与消毒</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防疫与环境保障</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按要求开展除 “四害”（每年灭鼠灭蟑 2-4 次，4-10 月每日喷药灭蚊蝇），公共区域卫生消毒到位</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restart"/>
            <w:textDirection w:val="lrTb"/>
            <w:noWrap w:val="false"/>
          </w:tcPr>
          <w:p>
            <w:pPr>
              <w:jc w:val="center"/>
              <w:widowControl/>
              <w:rPr>
                <w:highlight w:val="none"/>
              </w:rPr>
            </w:pPr>
            <w:r>
              <w:rPr>
                <w:rFonts w:ascii="宋体" w:hAnsi="宋体" w:cs="宋体"/>
                <w:sz w:val="24"/>
                <w:szCs w:val="24"/>
                <w:highlight w:val="none"/>
                <w:lang w:bidi="ar"/>
              </w:rPr>
              <w:t xml:space="preserve">四</w:t>
            </w:r>
            <w:r>
              <w:rPr>
                <w:highlight w:val="none"/>
              </w:rPr>
            </w:r>
            <w:r/>
          </w:p>
        </w:tc>
        <w:tc>
          <w:tcPr>
            <w:tcMar>
              <w:left w:w="34" w:type="dxa"/>
              <w:top w:w="34" w:type="dxa"/>
              <w:right w:w="34" w:type="dxa"/>
              <w:bottom w:w="34" w:type="dxa"/>
            </w:tcMar>
            <w:tcW w:w="702" w:type="dxa"/>
            <w:vAlign w:val="center"/>
            <w:vMerge w:val="restart"/>
            <w:textDirection w:val="lrTb"/>
            <w:noWrap w:val="false"/>
          </w:tcPr>
          <w:p>
            <w:pPr>
              <w:jc w:val="left"/>
              <w:widowControl/>
              <w:rPr>
                <w:highlight w:val="none"/>
              </w:rPr>
            </w:pPr>
            <w:r>
              <w:rPr>
                <w:rFonts w:ascii="宋体" w:hAnsi="宋体" w:cs="宋体"/>
                <w:sz w:val="24"/>
                <w:szCs w:val="24"/>
                <w:highlight w:val="none"/>
                <w:lang w:bidi="ar"/>
              </w:rPr>
              <w:t xml:space="preserve">绿化养护（</w:t>
            </w:r>
            <w:r>
              <w:rPr>
                <w:rFonts w:hint="eastAsia" w:ascii="宋体" w:hAnsi="宋体" w:cs="宋体"/>
                <w:sz w:val="24"/>
                <w:szCs w:val="24"/>
                <w:highlight w:val="none"/>
                <w:lang w:bidi="ar"/>
              </w:rPr>
              <w:t xml:space="preserve">15</w:t>
            </w:r>
            <w:r>
              <w:rPr>
                <w:rFonts w:ascii="宋体" w:hAnsi="宋体" w:cs="宋体"/>
                <w:sz w:val="24"/>
                <w:szCs w:val="24"/>
                <w:highlight w:val="none"/>
                <w:lang w:bidi="ar"/>
              </w:rPr>
              <w:t xml:space="preserve"> 分）</w:t>
            </w:r>
            <w:r>
              <w:rPr>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1.绿化移植与造景</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布局与覆盖率</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绿化移植与校园环境协调，无黄土裸露、明显沟缝；响应校方要求及时</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2.基础养护</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植物生长状态</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定期浇水（无枯萎）、施肥（每年至少 2 次）、除杂草（无高于花木的杂草）</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3.修剪与防护</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造型与病虫害防治</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草地、绿篱修剪整齐，乔灌木造型美观；病虫害及时防治，无成灾现象</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4.应急与硬质景观</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防风防汛与设施维护</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灾前加固树木，灾后及时清理倒树断枝；园路、座椅等硬质景观完好，木（铁）质设施每年至少油漆 1 次</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restart"/>
            <w:textDirection w:val="lrTb"/>
            <w:noWrap w:val="false"/>
          </w:tcPr>
          <w:p>
            <w:pPr>
              <w:jc w:val="center"/>
              <w:widowControl/>
              <w:rPr>
                <w:highlight w:val="none"/>
              </w:rPr>
            </w:pPr>
            <w:r>
              <w:rPr>
                <w:rFonts w:ascii="宋体" w:hAnsi="宋体" w:cs="宋体"/>
                <w:sz w:val="24"/>
                <w:szCs w:val="24"/>
                <w:highlight w:val="none"/>
                <w:lang w:bidi="ar"/>
              </w:rPr>
              <w:t xml:space="preserve">五</w:t>
            </w:r>
            <w:r>
              <w:rPr>
                <w:highlight w:val="none"/>
              </w:rPr>
            </w:r>
            <w:r/>
          </w:p>
        </w:tc>
        <w:tc>
          <w:tcPr>
            <w:tcMar>
              <w:left w:w="34" w:type="dxa"/>
              <w:top w:w="34" w:type="dxa"/>
              <w:right w:w="34" w:type="dxa"/>
              <w:bottom w:w="34" w:type="dxa"/>
            </w:tcMar>
            <w:tcW w:w="702" w:type="dxa"/>
            <w:vAlign w:val="center"/>
            <w:vMerge w:val="restart"/>
            <w:textDirection w:val="lrTb"/>
            <w:noWrap w:val="false"/>
          </w:tcPr>
          <w:p>
            <w:pPr>
              <w:jc w:val="left"/>
              <w:widowControl/>
              <w:rPr>
                <w:highlight w:val="none"/>
              </w:rPr>
            </w:pPr>
            <w:r>
              <w:rPr>
                <w:rFonts w:hint="eastAsia" w:ascii="宋体" w:hAnsi="宋体" w:cs="宋体"/>
                <w:sz w:val="24"/>
                <w:szCs w:val="24"/>
                <w:highlight w:val="none"/>
                <w:lang w:bidi="ar"/>
              </w:rPr>
              <w:t xml:space="preserve">物业</w:t>
            </w:r>
            <w:r>
              <w:rPr>
                <w:rFonts w:ascii="宋体" w:hAnsi="宋体" w:cs="宋体"/>
                <w:sz w:val="24"/>
                <w:szCs w:val="24"/>
                <w:highlight w:val="none"/>
                <w:lang w:bidi="ar"/>
              </w:rPr>
              <w:t xml:space="preserve">维修（10 分）</w:t>
            </w:r>
            <w:r>
              <w:rPr>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1.维修流程</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规范性与台账</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维修单据完整，持证上岗，建立维修制度及台账</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2.维修效率与质量</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响应及时性与效果</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急修</w:t>
            </w:r>
            <w:r>
              <w:rPr>
                <w:rFonts w:hint="eastAsia" w:ascii="宋体" w:hAnsi="宋体" w:cs="宋体"/>
                <w:sz w:val="24"/>
                <w:szCs w:val="24"/>
                <w:highlight w:val="none"/>
                <w:lang w:bidi="ar"/>
              </w:rPr>
              <w:t xml:space="preserve">15</w:t>
            </w:r>
            <w:r>
              <w:rPr>
                <w:rFonts w:ascii="宋体" w:hAnsi="宋体" w:cs="宋体"/>
                <w:sz w:val="24"/>
                <w:szCs w:val="24"/>
                <w:highlight w:val="none"/>
                <w:lang w:bidi="ar"/>
              </w:rPr>
              <w:t xml:space="preserve">分钟内到场</w:t>
            </w:r>
            <w:r>
              <w:rPr>
                <w:rFonts w:hint="eastAsia" w:ascii="宋体" w:hAnsi="宋体" w:cs="宋体"/>
                <w:sz w:val="24"/>
                <w:szCs w:val="24"/>
                <w:highlight w:val="none"/>
                <w:lang w:bidi="ar"/>
              </w:rPr>
              <w:t xml:space="preserve">应急处置完成，连续组织维修。</w:t>
            </w:r>
            <w:r>
              <w:rPr>
                <w:rFonts w:ascii="宋体" w:hAnsi="宋体" w:cs="宋体"/>
                <w:sz w:val="24"/>
                <w:szCs w:val="24"/>
                <w:highlight w:val="none"/>
                <w:lang w:bidi="ar"/>
              </w:rPr>
              <w:t xml:space="preserve">常规维修3日内处理，完成质量高；定期检查设备并主动发现问题</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6</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restart"/>
            <w:textDirection w:val="lrTb"/>
            <w:noWrap w:val="false"/>
          </w:tcPr>
          <w:p>
            <w:pPr>
              <w:jc w:val="center"/>
              <w:widowControl/>
              <w:rPr>
                <w:highlight w:val="none"/>
              </w:rPr>
            </w:pPr>
            <w:r>
              <w:rPr>
                <w:rFonts w:ascii="宋体" w:hAnsi="宋体" w:cs="宋体"/>
                <w:sz w:val="24"/>
                <w:szCs w:val="24"/>
                <w:highlight w:val="none"/>
                <w:lang w:bidi="ar"/>
              </w:rPr>
              <w:t xml:space="preserve">六</w:t>
            </w:r>
            <w:r>
              <w:rPr>
                <w:highlight w:val="none"/>
              </w:rPr>
            </w:r>
            <w:r/>
          </w:p>
        </w:tc>
        <w:tc>
          <w:tcPr>
            <w:tcMar>
              <w:left w:w="34" w:type="dxa"/>
              <w:top w:w="34" w:type="dxa"/>
              <w:right w:w="34" w:type="dxa"/>
              <w:bottom w:w="34" w:type="dxa"/>
            </w:tcMar>
            <w:tcW w:w="702" w:type="dxa"/>
            <w:vAlign w:val="center"/>
            <w:vMerge w:val="restart"/>
            <w:textDirection w:val="lrTb"/>
            <w:noWrap w:val="false"/>
          </w:tcPr>
          <w:p>
            <w:pPr>
              <w:jc w:val="left"/>
              <w:widowControl/>
              <w:rPr>
                <w:highlight w:val="none"/>
              </w:rPr>
            </w:pPr>
            <w:r>
              <w:rPr>
                <w:rFonts w:ascii="宋体" w:hAnsi="宋体" w:cs="宋体"/>
                <w:sz w:val="24"/>
                <w:szCs w:val="24"/>
                <w:highlight w:val="none"/>
                <w:lang w:bidi="ar"/>
              </w:rPr>
              <w:t xml:space="preserve">宿舍服务（15 分）</w:t>
            </w:r>
            <w:r>
              <w:rPr>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1.日常管理</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住宿服务与登记</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实行 24 小时值班，做好新生入住、毕业生退宿登记；配合开展宿舍文化建设</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2.安全巡查</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隐患排查与管控</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每日不定时巡查≥4 次，没收违章电器并记录；每</w:t>
            </w:r>
            <w:r>
              <w:rPr>
                <w:rFonts w:hint="eastAsia" w:ascii="宋体" w:hAnsi="宋体" w:cs="宋体"/>
                <w:sz w:val="24"/>
                <w:szCs w:val="24"/>
                <w:highlight w:val="none"/>
                <w:lang w:bidi="ar"/>
              </w:rPr>
              <w:t xml:space="preserve">周</w:t>
            </w:r>
            <w:r>
              <w:rPr>
                <w:rFonts w:ascii="宋体" w:hAnsi="宋体" w:cs="宋体"/>
                <w:sz w:val="24"/>
                <w:szCs w:val="24"/>
                <w:highlight w:val="none"/>
                <w:lang w:bidi="ar"/>
              </w:rPr>
              <w:t xml:space="preserve">走访所有宿舍；应急通道每日开锁试验</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5</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3.卫生保洁</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公共区域清洁</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走廊、楼梯、开水房等无杂物、污渍；每学期清洁宿舍内电扇、卫生间；垃圾日产日清</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4.维修响应</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宿舍设施维护</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门窗、水电等小型维修及时（报修后 20 分钟内到场），无跑冒滴漏现象</w:t>
            </w:r>
            <w:r>
              <w:rPr>
                <w:rFonts w:hint="eastAsia"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restart"/>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七</w:t>
            </w:r>
            <w:r>
              <w:rPr>
                <w:highlight w:val="none"/>
              </w:rPr>
            </w:r>
            <w:r/>
          </w:p>
        </w:tc>
        <w:tc>
          <w:tcPr>
            <w:tcMar>
              <w:left w:w="34" w:type="dxa"/>
              <w:top w:w="34" w:type="dxa"/>
              <w:right w:w="34" w:type="dxa"/>
              <w:bottom w:w="34" w:type="dxa"/>
            </w:tcMar>
            <w:tcW w:w="702" w:type="dxa"/>
            <w:vAlign w:val="center"/>
            <w:vMerge w:val="restart"/>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lang w:bidi="ar"/>
              </w:rPr>
              <w:t xml:space="preserve">节能管理（9分）</w:t>
            </w:r>
            <w:r>
              <w:rPr>
                <w:highlight w:val="none"/>
              </w:rPr>
            </w:r>
            <w:r/>
          </w:p>
        </w:tc>
        <w:tc>
          <w:tcPr>
            <w:tcMar>
              <w:left w:w="34" w:type="dxa"/>
              <w:top w:w="34" w:type="dxa"/>
              <w:right w:w="34" w:type="dxa"/>
              <w:bottom w:w="34" w:type="dxa"/>
            </w:tcMar>
            <w:tcW w:w="1121"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lang w:bidi="ar"/>
              </w:rPr>
              <w:t xml:space="preserve">1</w:t>
            </w:r>
            <w:r>
              <w:rPr>
                <w:rFonts w:ascii="宋体" w:hAnsi="宋体" w:cs="宋体"/>
                <w:sz w:val="24"/>
                <w:highlight w:val="none"/>
                <w:lang w:bidi="ar"/>
              </w:rPr>
              <w:t xml:space="preserve">.</w:t>
            </w:r>
            <w:r>
              <w:rPr>
                <w:rFonts w:hint="eastAsia" w:ascii="宋体" w:hAnsi="宋体" w:cs="宋体"/>
                <w:sz w:val="24"/>
                <w:highlight w:val="none"/>
                <w:lang w:bidi="ar"/>
              </w:rPr>
              <w:t xml:space="preserve">节电</w:t>
            </w:r>
            <w:r>
              <w:rPr>
                <w:rFonts w:ascii="宋体" w:hAnsi="宋体" w:cs="宋体"/>
                <w:sz w:val="24"/>
                <w:highlight w:val="none"/>
                <w:lang w:bidi="ar"/>
              </w:rPr>
              <w:t xml:space="preserve">管理</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lang w:bidi="ar"/>
              </w:rPr>
              <w:t xml:space="preserve">公共</w:t>
            </w:r>
            <w:r>
              <w:rPr>
                <w:rFonts w:ascii="宋体" w:hAnsi="宋体" w:cs="宋体"/>
                <w:sz w:val="24"/>
                <w:highlight w:val="none"/>
                <w:lang w:bidi="ar"/>
              </w:rPr>
              <w:t xml:space="preserve">区域用电管理</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lang w:bidi="ar"/>
              </w:rPr>
              <w:t xml:space="preserve">照明</w:t>
            </w:r>
            <w:r>
              <w:rPr>
                <w:rFonts w:ascii="宋体" w:hAnsi="宋体" w:cs="宋体"/>
                <w:sz w:val="24"/>
                <w:highlight w:val="none"/>
                <w:lang w:bidi="ar"/>
              </w:rPr>
              <w:t xml:space="preserve">和空调设备</w:t>
            </w:r>
            <w:r>
              <w:rPr>
                <w:rFonts w:hint="eastAsia" w:ascii="宋体" w:hAnsi="宋体" w:cs="宋体"/>
                <w:sz w:val="24"/>
                <w:highlight w:val="none"/>
                <w:lang w:bidi="ar"/>
              </w:rPr>
              <w:t xml:space="preserve">严格执行开关时间表；非必要时段及时关闭；夏季制冷、冬季制暖温度设定要符合国家及地方节能规定；</w:t>
            </w:r>
            <w:r>
              <w:rPr>
                <w:rFonts w:ascii="Segoe UI" w:hAnsi="Segoe UI" w:cs="Segoe UI"/>
                <w:color w:val="404040"/>
                <w:highlight w:val="none"/>
                <w:shd w:val="clear" w:color="auto" w:fill="ffffff"/>
              </w:rPr>
              <w:t xml:space="preserve">张贴节能宣传标识</w:t>
            </w:r>
            <w:r>
              <w:rPr>
                <w:rFonts w:hint="eastAsia" w:ascii="Segoe UI" w:hAnsi="Segoe UI" w:cs="Segoe UI"/>
                <w:color w:val="404040"/>
                <w:highlight w:val="none"/>
                <w:shd w:val="clear" w:color="auto" w:fill="ffffff"/>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widowControl/>
              <w:rPr>
                <w:rFonts w:ascii="宋体" w:hAnsi="宋体" w:cs="宋体"/>
                <w:sz w:val="24"/>
                <w:szCs w:val="24"/>
                <w:highlight w:val="none"/>
                <w:lang w:bidi="ar"/>
              </w:rPr>
            </w:pPr>
            <w:r>
              <w:rPr>
                <w:rFonts w:ascii="宋体" w:hAnsi="宋体" w:cs="宋体"/>
                <w:sz w:val="24"/>
                <w:szCs w:val="24"/>
                <w:highlight w:val="none"/>
                <w:lang w:bidi="ar"/>
              </w:rPr>
            </w:r>
            <w:r/>
          </w:p>
        </w:tc>
        <w:tc>
          <w:tcPr>
            <w:tcMar>
              <w:left w:w="34" w:type="dxa"/>
              <w:top w:w="34" w:type="dxa"/>
              <w:right w:w="34" w:type="dxa"/>
              <w:bottom w:w="34" w:type="dxa"/>
            </w:tcMar>
            <w:tcW w:w="702" w:type="dxa"/>
            <w:vAlign w:val="center"/>
            <w:vMerge w:val="continue"/>
            <w:textDirection w:val="lrTb"/>
            <w:noWrap w:val="false"/>
          </w:tcPr>
          <w:p>
            <w:pPr>
              <w:jc w:val="left"/>
              <w:widowControl/>
              <w:rPr>
                <w:rFonts w:ascii="宋体" w:hAnsi="宋体" w:cs="宋体"/>
                <w:sz w:val="24"/>
                <w:szCs w:val="24"/>
                <w:highlight w:val="none"/>
                <w:lang w:bidi="ar"/>
              </w:rPr>
            </w:pPr>
            <w:r>
              <w:rPr>
                <w:rFonts w:ascii="宋体" w:hAnsi="宋体" w:cs="宋体"/>
                <w:sz w:val="24"/>
                <w:szCs w:val="24"/>
                <w:highlight w:val="none"/>
                <w:lang w:bidi="ar"/>
              </w:rPr>
            </w:r>
            <w:r/>
          </w:p>
        </w:tc>
        <w:tc>
          <w:tcPr>
            <w:tcMar>
              <w:left w:w="34" w:type="dxa"/>
              <w:top w:w="34" w:type="dxa"/>
              <w:right w:w="34" w:type="dxa"/>
              <w:bottom w:w="34" w:type="dxa"/>
            </w:tcMar>
            <w:tcW w:w="1121"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lang w:bidi="ar"/>
              </w:rPr>
              <w:t xml:space="preserve">2.节水</w:t>
            </w:r>
            <w:r>
              <w:rPr>
                <w:rFonts w:ascii="宋体" w:hAnsi="宋体" w:cs="宋体"/>
                <w:sz w:val="24"/>
                <w:highlight w:val="none"/>
                <w:lang w:bidi="ar"/>
              </w:rPr>
              <w:t xml:space="preserve">管理</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lang w:bidi="ar"/>
              </w:rPr>
              <w:t xml:space="preserve">响应及时性与效果</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lang w:bidi="ar"/>
              </w:rPr>
              <w:t xml:space="preserve">不定期</w:t>
            </w:r>
            <w:r>
              <w:rPr>
                <w:rFonts w:ascii="宋体" w:hAnsi="宋体" w:cs="宋体"/>
                <w:sz w:val="24"/>
                <w:highlight w:val="none"/>
                <w:lang w:bidi="ar"/>
              </w:rPr>
              <w:t xml:space="preserve">进行校园巡查，发现明漏及时处理或上报；</w:t>
            </w:r>
            <w:r>
              <w:rPr>
                <w:rFonts w:hint="eastAsia" w:ascii="宋体" w:hAnsi="宋体" w:cs="宋体"/>
                <w:sz w:val="24"/>
                <w:highlight w:val="none"/>
                <w:lang w:bidi="ar"/>
              </w:rPr>
              <w:t xml:space="preserve">接到</w:t>
            </w:r>
            <w:r>
              <w:rPr>
                <w:rFonts w:ascii="宋体" w:hAnsi="宋体" w:cs="宋体"/>
                <w:sz w:val="24"/>
                <w:highlight w:val="none"/>
                <w:lang w:bidi="ar"/>
              </w:rPr>
              <w:t xml:space="preserve">校方漏水</w:t>
            </w:r>
            <w:r>
              <w:rPr>
                <w:rFonts w:hint="eastAsia" w:ascii="宋体" w:hAnsi="宋体" w:cs="宋体"/>
                <w:sz w:val="24"/>
                <w:highlight w:val="none"/>
                <w:lang w:bidi="ar"/>
              </w:rPr>
              <w:t xml:space="preserve">排查通报</w:t>
            </w:r>
            <w:r>
              <w:rPr>
                <w:rFonts w:ascii="宋体" w:hAnsi="宋体" w:cs="宋体"/>
                <w:sz w:val="24"/>
                <w:highlight w:val="none"/>
                <w:lang w:bidi="ar"/>
              </w:rPr>
              <w:t xml:space="preserve">要及时响应，并</w:t>
            </w:r>
            <w:r>
              <w:rPr>
                <w:rFonts w:hint="eastAsia" w:ascii="宋体" w:hAnsi="宋体" w:cs="宋体"/>
                <w:sz w:val="24"/>
                <w:highlight w:val="none"/>
                <w:lang w:bidi="ar"/>
              </w:rPr>
              <w:t xml:space="preserve">尽快</w:t>
            </w:r>
            <w:r>
              <w:rPr>
                <w:rFonts w:ascii="宋体" w:hAnsi="宋体" w:cs="宋体"/>
                <w:sz w:val="24"/>
                <w:highlight w:val="none"/>
                <w:lang w:bidi="ar"/>
              </w:rPr>
              <w:t xml:space="preserve">安排专人认真排查；</w:t>
            </w:r>
            <w:r>
              <w:rPr>
                <w:rFonts w:hint="eastAsia" w:ascii="宋体" w:hAnsi="宋体" w:cs="宋体"/>
                <w:sz w:val="24"/>
                <w:highlight w:val="none"/>
                <w:lang w:bidi="ar"/>
              </w:rPr>
              <w:t xml:space="preserve">假期</w:t>
            </w:r>
            <w:r>
              <w:rPr>
                <w:rFonts w:ascii="宋体" w:hAnsi="宋体" w:cs="宋体"/>
                <w:sz w:val="24"/>
                <w:highlight w:val="none"/>
                <w:lang w:bidi="ar"/>
              </w:rPr>
              <w:t xml:space="preserve">做好室内场馆</w:t>
            </w:r>
            <w:r>
              <w:rPr>
                <w:rFonts w:hint="eastAsia" w:ascii="宋体" w:hAnsi="宋体" w:cs="宋体"/>
                <w:sz w:val="24"/>
                <w:highlight w:val="none"/>
                <w:lang w:bidi="ar"/>
              </w:rPr>
              <w:t xml:space="preserve">设施</w:t>
            </w:r>
            <w:r>
              <w:rPr>
                <w:rFonts w:ascii="宋体" w:hAnsi="宋体" w:cs="宋体"/>
                <w:sz w:val="24"/>
                <w:highlight w:val="none"/>
                <w:lang w:bidi="ar"/>
              </w:rPr>
              <w:t xml:space="preserve">设备漏水排查工作</w:t>
            </w:r>
            <w:r>
              <w:rPr>
                <w:rFonts w:hint="eastAsia" w:ascii="宋体" w:hAnsi="宋体" w:cs="宋体"/>
                <w:sz w:val="24"/>
                <w:highlight w:val="none"/>
                <w:lang w:bidi="ar"/>
              </w:rPr>
              <w:t xml:space="preserve">并</w:t>
            </w:r>
            <w:r>
              <w:rPr>
                <w:rFonts w:ascii="宋体" w:hAnsi="宋体" w:cs="宋体"/>
                <w:sz w:val="24"/>
                <w:highlight w:val="none"/>
                <w:lang w:bidi="ar"/>
              </w:rPr>
              <w:t xml:space="preserve">关闭</w:t>
            </w:r>
            <w:r>
              <w:rPr>
                <w:rFonts w:hint="eastAsia" w:ascii="宋体" w:hAnsi="宋体" w:cs="宋体"/>
                <w:sz w:val="24"/>
                <w:highlight w:val="none"/>
                <w:lang w:bidi="ar"/>
              </w:rPr>
              <w:t xml:space="preserve">总水阀。</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widowControl/>
              <w:rPr>
                <w:rFonts w:ascii="宋体" w:hAnsi="宋体" w:cs="宋体"/>
                <w:sz w:val="24"/>
                <w:szCs w:val="24"/>
                <w:highlight w:val="none"/>
                <w:lang w:bidi="ar"/>
              </w:rPr>
            </w:pPr>
            <w:r>
              <w:rPr>
                <w:rFonts w:ascii="宋体" w:hAnsi="宋体" w:cs="宋体"/>
                <w:sz w:val="24"/>
                <w:szCs w:val="24"/>
                <w:highlight w:val="none"/>
                <w:lang w:bidi="ar"/>
              </w:rPr>
            </w:r>
            <w:r/>
          </w:p>
        </w:tc>
        <w:tc>
          <w:tcPr>
            <w:tcMar>
              <w:left w:w="34" w:type="dxa"/>
              <w:top w:w="34" w:type="dxa"/>
              <w:right w:w="34" w:type="dxa"/>
              <w:bottom w:w="34" w:type="dxa"/>
            </w:tcMar>
            <w:tcW w:w="702" w:type="dxa"/>
            <w:vAlign w:val="center"/>
            <w:vMerge w:val="continue"/>
            <w:textDirection w:val="lrTb"/>
            <w:noWrap w:val="false"/>
          </w:tcPr>
          <w:p>
            <w:pPr>
              <w:jc w:val="left"/>
              <w:widowControl/>
              <w:rPr>
                <w:rFonts w:ascii="宋体" w:hAnsi="宋体" w:cs="宋体"/>
                <w:sz w:val="24"/>
                <w:szCs w:val="24"/>
                <w:highlight w:val="none"/>
                <w:lang w:bidi="ar"/>
              </w:rPr>
            </w:pPr>
            <w:r>
              <w:rPr>
                <w:rFonts w:ascii="宋体" w:hAnsi="宋体" w:cs="宋体"/>
                <w:sz w:val="24"/>
                <w:szCs w:val="24"/>
                <w:highlight w:val="none"/>
                <w:lang w:bidi="ar"/>
              </w:rPr>
            </w:r>
            <w:r/>
          </w:p>
        </w:tc>
        <w:tc>
          <w:tcPr>
            <w:tcMar>
              <w:left w:w="34" w:type="dxa"/>
              <w:top w:w="34" w:type="dxa"/>
              <w:right w:w="34" w:type="dxa"/>
              <w:bottom w:w="34" w:type="dxa"/>
            </w:tcMar>
            <w:tcW w:w="1121"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lang w:bidi="ar"/>
              </w:rPr>
              <w:t xml:space="preserve">3.能耗控制</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lang w:bidi="ar"/>
              </w:rPr>
              <w:t xml:space="preserve">水电用能总量考核</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lang w:bidi="ar"/>
              </w:rPr>
              <w:t xml:space="preserve">通过能源管理平台监测全校用能情况。在用能设备和用能人数没大的变化前提下，学校总体用能能耗增长率不能超过全社会用能能耗增长率。</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3</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restart"/>
            <w:textDirection w:val="lrTb"/>
            <w:noWrap w:val="false"/>
          </w:tcPr>
          <w:p>
            <w:pPr>
              <w:jc w:val="center"/>
              <w:widowControl/>
              <w:rPr>
                <w:highlight w:val="none"/>
              </w:rPr>
            </w:pPr>
            <w:r>
              <w:rPr>
                <w:rFonts w:hint="eastAsia" w:ascii="宋体" w:hAnsi="宋体" w:cs="宋体"/>
                <w:sz w:val="24"/>
                <w:szCs w:val="24"/>
                <w:highlight w:val="none"/>
                <w:lang w:bidi="ar"/>
              </w:rPr>
              <w:t xml:space="preserve">八</w:t>
            </w:r>
            <w:r>
              <w:rPr>
                <w:highlight w:val="none"/>
              </w:rPr>
            </w:r>
            <w:r/>
          </w:p>
        </w:tc>
        <w:tc>
          <w:tcPr>
            <w:tcMar>
              <w:left w:w="34" w:type="dxa"/>
              <w:top w:w="34" w:type="dxa"/>
              <w:right w:w="34" w:type="dxa"/>
              <w:bottom w:w="34" w:type="dxa"/>
            </w:tcMar>
            <w:tcW w:w="702" w:type="dxa"/>
            <w:vAlign w:val="center"/>
            <w:vMerge w:val="restart"/>
            <w:textDirection w:val="lrTb"/>
            <w:noWrap w:val="false"/>
          </w:tcPr>
          <w:p>
            <w:pPr>
              <w:jc w:val="left"/>
              <w:widowControl/>
              <w:rPr>
                <w:highlight w:val="none"/>
              </w:rPr>
            </w:pPr>
            <w:r>
              <w:rPr>
                <w:rFonts w:ascii="宋体" w:hAnsi="宋体" w:cs="宋体"/>
                <w:sz w:val="24"/>
                <w:szCs w:val="24"/>
                <w:highlight w:val="none"/>
                <w:lang w:bidi="ar"/>
              </w:rPr>
              <w:t xml:space="preserve">综合测评（</w:t>
            </w:r>
            <w:r>
              <w:rPr>
                <w:rFonts w:hint="eastAsia" w:ascii="宋体" w:hAnsi="宋体" w:cs="宋体"/>
                <w:sz w:val="24"/>
                <w:szCs w:val="24"/>
                <w:highlight w:val="none"/>
                <w:lang w:bidi="ar"/>
              </w:rPr>
              <w:t xml:space="preserve">9</w:t>
            </w:r>
            <w:r>
              <w:rPr>
                <w:rFonts w:ascii="宋体" w:hAnsi="宋体" w:cs="宋体"/>
                <w:sz w:val="24"/>
                <w:szCs w:val="24"/>
                <w:highlight w:val="none"/>
                <w:lang w:bidi="ar"/>
              </w:rPr>
              <w:t xml:space="preserve"> 分）</w:t>
            </w:r>
            <w:r>
              <w:rPr>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1.配合与响应</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校方工作协同</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按时参加后勤例会，响应校方要求及时（24 小时内反馈）；突发事件处理到位</w:t>
            </w:r>
            <w:r>
              <w:rPr>
                <w:rFonts w:hint="eastAsia" w:ascii="宋体" w:hAnsi="宋体" w:cs="宋体"/>
                <w:sz w:val="24"/>
                <w:szCs w:val="24"/>
                <w:highlight w:val="none"/>
                <w:lang w:bidi="ar"/>
              </w:rPr>
              <w:t xml:space="preserve">；完成校方交派与综合物业相关的其他工作。</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ascii="宋体" w:hAnsi="宋体" w:cs="宋体"/>
                <w:sz w:val="24"/>
                <w:szCs w:val="24"/>
                <w:highlight w:val="none"/>
                <w:lang w:bidi="ar"/>
              </w:rPr>
              <w:t xml:space="preserve">4</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tcMar>
              <w:left w:w="34" w:type="dxa"/>
              <w:top w:w="34" w:type="dxa"/>
              <w:right w:w="34" w:type="dxa"/>
              <w:bottom w:w="34" w:type="dxa"/>
            </w:tcMar>
            <w:tcW w:w="560" w:type="dxa"/>
            <w:vAlign w:val="center"/>
            <w:vMerge w:val="continue"/>
            <w:textDirection w:val="lrTb"/>
            <w:noWrap w:val="false"/>
          </w:tcPr>
          <w:p>
            <w:pPr>
              <w:jc w:val="center"/>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702" w:type="dxa"/>
            <w:vAlign w:val="center"/>
            <w:vMerge w:val="continue"/>
            <w:textDirection w:val="lrTb"/>
            <w:noWrap w:val="false"/>
          </w:tcPr>
          <w:p>
            <w:pPr>
              <w:jc w:val="left"/>
              <w:rPr>
                <w:rFonts w:ascii="宋体"/>
                <w:sz w:val="24"/>
                <w:szCs w:val="24"/>
                <w:highlight w:val="none"/>
              </w:rPr>
            </w:pPr>
            <w:r>
              <w:rPr>
                <w:rFonts w:ascii="宋体"/>
                <w:sz w:val="24"/>
                <w:szCs w:val="24"/>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2.师生满意度</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服务认可度</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管理员履职认真，服务态度热情；师生满意度高，无有效投诉</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hint="eastAsia"/>
                <w:highlight w:val="none"/>
              </w:rPr>
              <w:t xml:space="preserve">5</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widowControl/>
              <w:rPr>
                <w:highlight w:val="none"/>
              </w:rPr>
            </w:pPr>
            <w:r>
              <w:rPr>
                <w:highlight w:val="none"/>
              </w:rPr>
            </w:r>
            <w:r>
              <w:rPr>
                <w:highlight w:val="none"/>
              </w:rPr>
            </w:r>
            <w:r/>
          </w:p>
        </w:tc>
      </w:tr>
      <w:tr>
        <w:trPr/>
        <w:tc>
          <w:tcPr>
            <w:tcMar>
              <w:left w:w="34" w:type="dxa"/>
              <w:top w:w="34" w:type="dxa"/>
              <w:right w:w="34" w:type="dxa"/>
              <w:bottom w:w="34" w:type="dxa"/>
            </w:tcMar>
            <w:tcW w:w="560"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合计</w:t>
            </w:r>
            <w:r>
              <w:rPr>
                <w:highlight w:val="none"/>
              </w:rPr>
            </w:r>
            <w:r/>
          </w:p>
        </w:tc>
        <w:tc>
          <w:tcPr>
            <w:tcMar>
              <w:left w:w="34" w:type="dxa"/>
              <w:top w:w="34" w:type="dxa"/>
              <w:right w:w="34" w:type="dxa"/>
              <w:bottom w:w="34" w:type="dxa"/>
            </w:tcMar>
            <w:tcW w:w="702"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1121"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1594"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2910" w:type="dxa"/>
            <w:vAlign w:val="center"/>
            <w:textDirection w:val="lrTb"/>
            <w:noWrap w:val="false"/>
          </w:tcPr>
          <w:p>
            <w:pPr>
              <w:jc w:val="left"/>
              <w:widowControl/>
              <w:rPr>
                <w:highlight w:val="none"/>
              </w:rPr>
            </w:pPr>
            <w:r>
              <w:rPr>
                <w:rFonts w:ascii="宋体" w:hAnsi="宋体" w:cs="宋体"/>
                <w:sz w:val="24"/>
                <w:szCs w:val="24"/>
                <w:highlight w:val="none"/>
                <w:lang w:bidi="ar"/>
              </w:rPr>
              <w:t xml:space="preserve">—</w:t>
            </w:r>
            <w:r>
              <w:rPr>
                <w:highlight w:val="none"/>
              </w:rPr>
            </w:r>
            <w:r/>
          </w:p>
        </w:tc>
        <w:tc>
          <w:tcPr>
            <w:tcMar>
              <w:left w:w="34" w:type="dxa"/>
              <w:top w:w="34" w:type="dxa"/>
              <w:right w:w="34" w:type="dxa"/>
              <w:bottom w:w="34" w:type="dxa"/>
            </w:tcMar>
            <w:tcW w:w="795" w:type="dxa"/>
            <w:vAlign w:val="center"/>
            <w:textDirection w:val="lrTb"/>
            <w:noWrap w:val="false"/>
          </w:tcPr>
          <w:p>
            <w:pPr>
              <w:jc w:val="center"/>
              <w:widowControl/>
              <w:rPr>
                <w:highlight w:val="none"/>
              </w:rPr>
            </w:pPr>
            <w:r>
              <w:rPr>
                <w:rFonts w:ascii="宋体" w:hAnsi="宋体" w:cs="宋体"/>
                <w:sz w:val="24"/>
                <w:szCs w:val="24"/>
                <w:highlight w:val="none"/>
                <w:lang w:bidi="ar"/>
              </w:rPr>
              <w:t xml:space="preserve">100</w:t>
            </w:r>
            <w:r>
              <w:rPr>
                <w:highlight w:val="none"/>
              </w:rPr>
            </w:r>
            <w:r/>
          </w:p>
        </w:tc>
        <w:tc>
          <w:tcPr>
            <w:tcMar>
              <w:left w:w="34" w:type="dxa"/>
              <w:top w:w="34" w:type="dxa"/>
              <w:right w:w="34" w:type="dxa"/>
              <w:bottom w:w="34" w:type="dxa"/>
            </w:tcMar>
            <w:tcW w:w="690"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c>
          <w:tcPr>
            <w:tcMar>
              <w:left w:w="34" w:type="dxa"/>
              <w:top w:w="34" w:type="dxa"/>
              <w:right w:w="34" w:type="dxa"/>
              <w:bottom w:w="34" w:type="dxa"/>
            </w:tcMar>
            <w:tcW w:w="645" w:type="dxa"/>
            <w:vAlign w:val="center"/>
            <w:textDirection w:val="lrTb"/>
            <w:noWrap w:val="false"/>
          </w:tcPr>
          <w:p>
            <w:pPr>
              <w:jc w:val="left"/>
              <w:rPr>
                <w:rFonts w:ascii="宋体"/>
                <w:sz w:val="24"/>
                <w:szCs w:val="24"/>
                <w:highlight w:val="none"/>
              </w:rPr>
            </w:pPr>
            <w:r>
              <w:rPr>
                <w:rFonts w:ascii="宋体"/>
                <w:sz w:val="24"/>
                <w:szCs w:val="24"/>
                <w:highlight w:val="none"/>
              </w:rPr>
            </w:r>
            <w:r>
              <w:rPr>
                <w:highlight w:val="none"/>
              </w:rPr>
            </w:r>
            <w:r/>
          </w:p>
        </w:tc>
      </w:tr>
      <w:tr>
        <w:trPr/>
        <w:tc>
          <w:tcPr>
            <w:gridSpan w:val="8"/>
            <w:tcMar>
              <w:left w:w="34" w:type="dxa"/>
              <w:top w:w="34" w:type="dxa"/>
              <w:right w:w="34" w:type="dxa"/>
              <w:bottom w:w="34" w:type="dxa"/>
            </w:tcMar>
            <w:tcW w:w="9017" w:type="dxa"/>
            <w:vAlign w:val="center"/>
            <w:textDirection w:val="lrTb"/>
            <w:noWrap w:val="false"/>
          </w:tcPr>
          <w:p>
            <w:pPr>
              <w:pStyle w:val="927"/>
              <w:keepNext w:val="0"/>
              <w:spacing w:before="0" w:after="0" w:line="360" w:lineRule="auto"/>
              <w:shd w:val="clear" w:color="auto" w:fill="f9fafb"/>
              <w:widowControl/>
              <w:rPr>
                <w:rFonts w:ascii="宋体" w:hAnsi="宋体" w:eastAsia="宋体" w:cs="宋体"/>
                <w:sz w:val="24"/>
                <w:szCs w:val="24"/>
                <w:highlight w:val="none"/>
              </w:rPr>
            </w:pPr>
            <w:r>
              <w:rPr>
                <w:rFonts w:ascii="宋体" w:hAnsi="宋体" w:eastAsia="宋体" w:cs="宋体"/>
                <w:sz w:val="24"/>
                <w:szCs w:val="24"/>
                <w:highlight w:val="none"/>
                <w:lang w:eastAsia="zh-CN" w:bidi="ar"/>
              </w:rPr>
              <w:t xml:space="preserve">说明：</w:t>
            </w:r>
            <w:r>
              <w:rPr>
                <w:highlight w:val="none"/>
              </w:rPr>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lang w:bidi="ar"/>
              </w:rPr>
              <w:t xml:space="preserve">1.</w:t>
            </w:r>
            <w:r>
              <w:rPr>
                <w:rFonts w:ascii="宋体" w:hAnsi="宋体" w:cs="宋体"/>
                <w:sz w:val="24"/>
                <w:szCs w:val="24"/>
                <w:highlight w:val="none"/>
                <w:lang w:bidi="ar"/>
              </w:rPr>
              <w:t xml:space="preserve">总分为 100 分，95 分及以上为优秀，90—94 分为合格，90 分以下为不合格；</w:t>
            </w:r>
            <w:r>
              <w:rPr>
                <w:highlight w:val="none"/>
              </w:rPr>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lang w:bidi="ar"/>
              </w:rPr>
              <w:t xml:space="preserve">2.</w:t>
            </w:r>
            <w:r>
              <w:rPr>
                <w:rFonts w:ascii="宋体" w:hAnsi="宋体" w:cs="宋体"/>
                <w:sz w:val="24"/>
                <w:szCs w:val="24"/>
                <w:highlight w:val="none"/>
                <w:lang w:bidi="ar"/>
              </w:rPr>
              <w:t xml:space="preserve">考核结果需双方签字确认，有异议可复查；事实清楚但服务单位不签字的，三日后校方单方确认有效；</w:t>
            </w:r>
            <w:r>
              <w:rPr>
                <w:highlight w:val="none"/>
              </w:rPr>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lang w:bidi="ar"/>
              </w:rPr>
              <w:t xml:space="preserve">3.</w:t>
            </w:r>
            <w:r>
              <w:rPr>
                <w:rFonts w:ascii="宋体" w:hAnsi="宋体" w:cs="宋体"/>
                <w:sz w:val="24"/>
                <w:szCs w:val="24"/>
                <w:highlight w:val="none"/>
                <w:lang w:bidi="ar"/>
              </w:rPr>
              <w:t xml:space="preserve">后勤保障处负责考核组织，发现问题需向服务单位提出整改要求，未整改到位按合同约定处理；</w:t>
            </w:r>
            <w:r>
              <w:rPr>
                <w:highlight w:val="none"/>
              </w:rPr>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lang w:bidi="ar"/>
              </w:rPr>
              <w:t xml:space="preserve">4.</w:t>
            </w:r>
            <w:r>
              <w:rPr>
                <w:rFonts w:ascii="宋体" w:hAnsi="宋体" w:cs="宋体"/>
                <w:sz w:val="24"/>
                <w:szCs w:val="24"/>
                <w:highlight w:val="none"/>
                <w:lang w:bidi="ar"/>
              </w:rPr>
              <w:t xml:space="preserve">因服务单位管理不善导致重大安全事故的，校方有权取消其托管资格。</w:t>
            </w:r>
            <w:r>
              <w:rPr>
                <w:highlight w:val="none"/>
              </w:rPr>
            </w:r>
            <w:r/>
          </w:p>
          <w:p>
            <w:pPr>
              <w:ind w:firstLine="480"/>
              <w:spacing w:line="360" w:lineRule="auto"/>
              <w:widowControl/>
              <w:rPr>
                <w:rFonts w:ascii="宋体"/>
                <w:sz w:val="24"/>
                <w:szCs w:val="24"/>
                <w:highlight w:val="none"/>
              </w:rPr>
            </w:pPr>
            <w:r>
              <w:rPr>
                <w:rFonts w:hint="eastAsia" w:ascii="宋体" w:hAnsi="宋体" w:cs="宋体"/>
                <w:sz w:val="24"/>
                <w:szCs w:val="24"/>
                <w:highlight w:val="none"/>
                <w:lang w:bidi="ar"/>
              </w:rPr>
              <w:t xml:space="preserve">5.考核细则在实施过程中遇到新问题、新情况，将及时进行商量、完善、补充。考核细则由无锡商业职业技术学院负责解释答疑。 </w:t>
            </w:r>
            <w:r>
              <w:rPr>
                <w:highlight w:val="none"/>
              </w:rPr>
            </w:r>
            <w:r/>
          </w:p>
        </w:tc>
      </w:tr>
    </w:tbl>
    <w:p>
      <w:pPr>
        <w:jc w:val="left"/>
        <w:widowControl/>
        <w:rPr>
          <w:rFonts w:ascii="宋体" w:hAnsi="宋体" w:cs="宋体"/>
          <w:sz w:val="24"/>
          <w:highlight w:val="none"/>
        </w:rPr>
      </w:pPr>
      <w:r>
        <w:rPr>
          <w:rFonts w:ascii="宋体" w:hAnsi="宋体" w:cs="宋体"/>
          <w:sz w:val="24"/>
          <w:highlight w:val="none"/>
        </w:rPr>
        <w:br w:type="page" w:clear="all"/>
      </w:r>
      <w:r>
        <w:rPr>
          <w:highlight w:val="none"/>
        </w:rPr>
      </w:r>
      <w:r/>
    </w:p>
    <w:p>
      <w:pPr>
        <w:spacing w:line="360" w:lineRule="auto"/>
        <w:tabs>
          <w:tab w:val="left" w:pos="-21" w:leader="none"/>
        </w:tabs>
        <w:rPr>
          <w:rFonts w:ascii="宋体" w:hAnsi="宋体" w:cs="宋体"/>
          <w:sz w:val="24"/>
          <w:highlight w:val="none"/>
        </w:rPr>
      </w:pPr>
      <w:r>
        <w:rPr>
          <w:rFonts w:hint="eastAsia" w:ascii="宋体" w:hAnsi="宋体" w:cs="宋体"/>
          <w:sz w:val="24"/>
          <w:highlight w:val="none"/>
        </w:rPr>
        <w:t xml:space="preserve">附件2：</w:t>
      </w:r>
      <w:r>
        <w:rPr>
          <w:highlight w:val="none"/>
        </w:rPr>
      </w:r>
      <w:r/>
    </w:p>
    <w:p>
      <w:pPr>
        <w:jc w:val="center"/>
        <w:spacing w:line="360" w:lineRule="auto"/>
        <w:tabs>
          <w:tab w:val="left" w:pos="-21" w:leader="none"/>
        </w:tabs>
        <w:rPr>
          <w:rFonts w:ascii="宋体" w:hAnsi="宋体" w:cs="宋体"/>
          <w:b/>
          <w:sz w:val="24"/>
          <w:highlight w:val="none"/>
        </w:rPr>
      </w:pPr>
      <w:r>
        <w:rPr>
          <w:rFonts w:hint="eastAsia" w:ascii="宋体" w:hAnsi="宋体" w:cs="宋体"/>
          <w:b/>
          <w:sz w:val="24"/>
          <w:highlight w:val="none"/>
        </w:rPr>
        <w:t xml:space="preserve">物业管理作业频率及服务质量标准</w:t>
      </w:r>
      <w:r>
        <w:rPr>
          <w:highlight w:val="none"/>
        </w:rPr>
      </w:r>
      <w:r/>
    </w:p>
    <w:p>
      <w:pPr>
        <w:spacing w:line="360" w:lineRule="auto"/>
        <w:tabs>
          <w:tab w:val="left" w:pos="-21" w:leader="none"/>
        </w:tabs>
        <w:rPr>
          <w:rFonts w:ascii="宋体" w:hAnsi="宋体" w:cs="宋体"/>
          <w:sz w:val="24"/>
          <w:highlight w:val="none"/>
        </w:rPr>
      </w:pPr>
      <w:r>
        <w:rPr>
          <w:rFonts w:hint="eastAsia" w:ascii="宋体" w:hAnsi="宋体" w:cs="宋体"/>
          <w:sz w:val="24"/>
          <w:highlight w:val="none"/>
        </w:rPr>
        <w:t xml:space="preserve">一、</w:t>
      </w:r>
      <w:r>
        <w:rPr>
          <w:rFonts w:ascii="宋体" w:hAnsi="宋体" w:cs="宋体"/>
          <w:sz w:val="24"/>
          <w:highlight w:val="none"/>
        </w:rPr>
        <w:t xml:space="preserve">教学楼、办公楼、图书馆、报告厅</w:t>
      </w:r>
      <w:r>
        <w:rPr>
          <w:rFonts w:hint="eastAsia" w:ascii="宋体" w:hAnsi="宋体" w:cs="宋体"/>
          <w:sz w:val="24"/>
          <w:highlight w:val="none"/>
        </w:rPr>
        <w:t xml:space="preserve">、创业园</w:t>
      </w:r>
      <w:r>
        <w:rPr>
          <w:rFonts w:ascii="宋体" w:hAnsi="宋体" w:cs="宋体"/>
          <w:sz w:val="24"/>
          <w:highlight w:val="none"/>
        </w:rPr>
        <w:t xml:space="preserve">等场馆保洁</w:t>
      </w:r>
      <w:r>
        <w:rPr>
          <w:highlight w:val="none"/>
        </w:rPr>
      </w:r>
      <w:r/>
    </w:p>
    <w:tbl>
      <w:tblPr>
        <w:tblStyle w:val="935"/>
        <w:tblW w:w="10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2268"/>
        <w:gridCol w:w="2977"/>
        <w:gridCol w:w="3827"/>
      </w:tblGrid>
      <w:tr>
        <w:trPr>
          <w:jc w:val="center"/>
          <w:trHeight w:val="435"/>
        </w:trPr>
        <w:tc>
          <w:tcPr>
            <w:tcW w:w="1135" w:type="dxa"/>
            <w:vAlign w:val="center"/>
            <w:textDirection w:val="lrTb"/>
            <w:noWrap w:val="false"/>
          </w:tcPr>
          <w:p>
            <w:pPr>
              <w:jc w:val="center"/>
              <w:tabs>
                <w:tab w:val="left" w:pos="-21" w:leader="none"/>
              </w:tabs>
              <w:rPr>
                <w:rFonts w:ascii="宋体" w:hAnsi="宋体" w:cs="宋体"/>
                <w:b/>
                <w:sz w:val="18"/>
                <w:szCs w:val="18"/>
                <w:highlight w:val="none"/>
              </w:rPr>
            </w:pPr>
            <w:r>
              <w:rPr>
                <w:rFonts w:ascii="宋体" w:hAnsi="宋体" w:cs="宋体"/>
                <w:b/>
                <w:sz w:val="18"/>
                <w:szCs w:val="18"/>
                <w:highlight w:val="none"/>
              </w:rPr>
              <w:t xml:space="preserve">项目</w:t>
            </w:r>
            <w:r>
              <w:rPr>
                <w:highlight w:val="none"/>
              </w:rPr>
            </w:r>
            <w:r/>
          </w:p>
        </w:tc>
        <w:tc>
          <w:tcPr>
            <w:tcW w:w="2268" w:type="dxa"/>
            <w:vAlign w:val="center"/>
            <w:textDirection w:val="lrTb"/>
            <w:noWrap w:val="false"/>
          </w:tcPr>
          <w:p>
            <w:pPr>
              <w:jc w:val="center"/>
              <w:tabs>
                <w:tab w:val="left" w:pos="-21" w:leader="none"/>
              </w:tabs>
              <w:rPr>
                <w:rFonts w:ascii="宋体" w:hAnsi="宋体" w:cs="宋体"/>
                <w:b/>
                <w:sz w:val="18"/>
                <w:szCs w:val="18"/>
                <w:highlight w:val="none"/>
              </w:rPr>
            </w:pPr>
            <w:r>
              <w:rPr>
                <w:rFonts w:ascii="宋体" w:hAnsi="宋体" w:cs="宋体"/>
                <w:b/>
                <w:sz w:val="18"/>
                <w:szCs w:val="18"/>
                <w:highlight w:val="none"/>
              </w:rPr>
              <w:t xml:space="preserve">保洁范围</w:t>
            </w:r>
            <w:r>
              <w:rPr>
                <w:highlight w:val="none"/>
              </w:rPr>
            </w:r>
            <w:r/>
          </w:p>
        </w:tc>
        <w:tc>
          <w:tcPr>
            <w:tcW w:w="2977" w:type="dxa"/>
            <w:vAlign w:val="center"/>
            <w:textDirection w:val="lrTb"/>
            <w:noWrap w:val="false"/>
          </w:tcPr>
          <w:p>
            <w:pPr>
              <w:jc w:val="center"/>
              <w:tabs>
                <w:tab w:val="left" w:pos="-21" w:leader="none"/>
              </w:tabs>
              <w:rPr>
                <w:rFonts w:ascii="宋体" w:hAnsi="宋体" w:cs="宋体"/>
                <w:b/>
                <w:sz w:val="18"/>
                <w:szCs w:val="18"/>
                <w:highlight w:val="none"/>
              </w:rPr>
            </w:pPr>
            <w:r>
              <w:rPr>
                <w:rFonts w:ascii="宋体" w:hAnsi="宋体" w:cs="宋体"/>
                <w:b/>
                <w:sz w:val="18"/>
                <w:szCs w:val="18"/>
                <w:highlight w:val="none"/>
              </w:rPr>
              <w:t xml:space="preserve">作业频率</w:t>
            </w:r>
            <w:r>
              <w:rPr>
                <w:highlight w:val="none"/>
              </w:rPr>
            </w:r>
            <w:r/>
          </w:p>
        </w:tc>
        <w:tc>
          <w:tcPr>
            <w:tcW w:w="3827" w:type="dxa"/>
            <w:vAlign w:val="center"/>
            <w:textDirection w:val="lrTb"/>
            <w:noWrap w:val="false"/>
          </w:tcPr>
          <w:p>
            <w:pPr>
              <w:jc w:val="center"/>
              <w:tabs>
                <w:tab w:val="left" w:pos="-21" w:leader="none"/>
              </w:tabs>
              <w:rPr>
                <w:rFonts w:ascii="宋体" w:hAnsi="宋体" w:cs="宋体"/>
                <w:b/>
                <w:sz w:val="18"/>
                <w:szCs w:val="18"/>
                <w:highlight w:val="none"/>
              </w:rPr>
            </w:pPr>
            <w:r>
              <w:rPr>
                <w:rFonts w:ascii="宋体" w:hAnsi="宋体" w:cs="宋体"/>
                <w:b/>
                <w:sz w:val="18"/>
                <w:szCs w:val="18"/>
                <w:highlight w:val="none"/>
              </w:rPr>
              <w:t xml:space="preserve">服务质量标准</w:t>
            </w:r>
            <w:r>
              <w:rPr>
                <w:highlight w:val="none"/>
              </w:rPr>
            </w:r>
            <w:r/>
          </w:p>
        </w:tc>
      </w:tr>
      <w:tr>
        <w:trPr>
          <w:jc w:val="center"/>
          <w:trHeight w:val="2539"/>
        </w:trPr>
        <w:tc>
          <w:tcPr>
            <w:tcW w:w="1135" w:type="dxa"/>
            <w:vAlign w:val="center"/>
            <w:vMerge w:val="restart"/>
            <w:textDirection w:val="lrTb"/>
            <w:noWrap w:val="false"/>
          </w:tcPr>
          <w:p>
            <w:pPr>
              <w:jc w:val="center"/>
              <w:spacing w:line="360" w:lineRule="auto"/>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教学楼</w:t>
            </w:r>
            <w:r>
              <w:rPr>
                <w:highlight w:val="none"/>
              </w:rPr>
            </w:r>
            <w:r/>
          </w:p>
        </w:tc>
        <w:tc>
          <w:tcPr>
            <w:tcW w:w="2268" w:type="dxa"/>
            <w:vAlign w:val="center"/>
            <w:textDirection w:val="lrTb"/>
            <w:noWrap w:val="false"/>
          </w:tcPr>
          <w:p>
            <w:pPr>
              <w:jc w:val="left"/>
              <w:tabs>
                <w:tab w:val="left" w:pos="-21" w:leader="none"/>
              </w:tabs>
              <w:rPr>
                <w:rFonts w:ascii="宋体" w:hAnsi="宋体" w:cs="宋体"/>
                <w:sz w:val="18"/>
                <w:szCs w:val="18"/>
                <w:highlight w:val="none"/>
              </w:rPr>
            </w:pPr>
            <w:r>
              <w:rPr>
                <w:rFonts w:ascii="宋体" w:hAnsi="宋体" w:cs="宋体"/>
                <w:sz w:val="18"/>
                <w:szCs w:val="18"/>
                <w:highlight w:val="none"/>
              </w:rPr>
              <w:t xml:space="preserve">1</w:t>
            </w:r>
            <w:r>
              <w:rPr>
                <w:rFonts w:hint="eastAsia" w:ascii="宋体" w:hAnsi="宋体" w:cs="宋体"/>
                <w:sz w:val="18"/>
                <w:szCs w:val="18"/>
                <w:highlight w:val="none"/>
              </w:rPr>
              <w:t xml:space="preserve">．</w:t>
            </w:r>
            <w:r>
              <w:rPr>
                <w:rFonts w:ascii="宋体" w:hAnsi="宋体" w:cs="宋体"/>
                <w:sz w:val="18"/>
                <w:szCs w:val="18"/>
                <w:highlight w:val="none"/>
              </w:rPr>
              <w:t xml:space="preserve">大厅：</w:t>
            </w:r>
            <w:r>
              <w:rPr>
                <w:highlight w:val="none"/>
              </w:rPr>
            </w:r>
            <w:r/>
          </w:p>
          <w:p>
            <w:pPr>
              <w:ind w:firstLine="322"/>
              <w:jc w:val="left"/>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地面、墙面、踢脚线、台阶、天棚、装饰门及门套、宣传窗、垃圾桶、消防设施灯具装饰柱、植物花盆</w:t>
            </w:r>
            <w:r>
              <w:rPr>
                <w:highlight w:val="none"/>
              </w:rPr>
            </w:r>
            <w:r/>
          </w:p>
        </w:tc>
        <w:tc>
          <w:tcPr>
            <w:tcW w:w="2977" w:type="dxa"/>
            <w:vAlign w:val="center"/>
            <w:textDirection w:val="lrTb"/>
            <w:noWrap w:val="false"/>
          </w:tcPr>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地面、台阶、宣传窗、垃圾桶、装饰柱、植物花盆等每天</w:t>
            </w:r>
            <w:r>
              <w:rPr>
                <w:rFonts w:hint="eastAsia" w:ascii="宋体" w:hAnsi="宋体" w:cs="宋体"/>
                <w:sz w:val="18"/>
                <w:szCs w:val="18"/>
                <w:highlight w:val="none"/>
              </w:rPr>
              <w:t xml:space="preserve">深度</w:t>
            </w:r>
            <w:r>
              <w:rPr>
                <w:rFonts w:ascii="宋体" w:hAnsi="宋体" w:cs="宋体"/>
                <w:sz w:val="18"/>
                <w:szCs w:val="18"/>
                <w:highlight w:val="none"/>
              </w:rPr>
              <w:t xml:space="preserve">保洁1次，</w:t>
            </w:r>
            <w:r>
              <w:rPr>
                <w:rFonts w:hint="eastAsia" w:ascii="宋体" w:hAnsi="宋体" w:cs="宋体"/>
                <w:sz w:val="18"/>
                <w:szCs w:val="18"/>
                <w:highlight w:val="none"/>
              </w:rPr>
              <w:t xml:space="preserve">其他时间</w:t>
            </w:r>
            <w:r>
              <w:rPr>
                <w:rFonts w:ascii="宋体" w:hAnsi="宋体" w:cs="宋体"/>
                <w:sz w:val="18"/>
                <w:szCs w:val="18"/>
                <w:highlight w:val="none"/>
              </w:rPr>
              <w:t xml:space="preserve">巡回保洁；</w:t>
            </w:r>
            <w:r>
              <w:rPr>
                <w:highlight w:val="none"/>
              </w:rPr>
            </w:r>
            <w:r/>
          </w:p>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装饰门及门套、踢脚线</w:t>
            </w:r>
            <w:r>
              <w:rPr>
                <w:rFonts w:hint="eastAsia" w:ascii="宋体" w:hAnsi="宋体" w:cs="宋体"/>
                <w:sz w:val="18"/>
                <w:szCs w:val="18"/>
                <w:highlight w:val="none"/>
              </w:rPr>
              <w:t xml:space="preserve">、</w:t>
            </w:r>
            <w:r>
              <w:rPr>
                <w:rFonts w:ascii="宋体" w:hAnsi="宋体" w:cs="宋体"/>
                <w:sz w:val="18"/>
                <w:szCs w:val="18"/>
                <w:highlight w:val="none"/>
              </w:rPr>
              <w:t xml:space="preserve">墙面、天棚、消防设施、灯具</w:t>
            </w:r>
            <w:r>
              <w:rPr>
                <w:rFonts w:hint="eastAsia" w:ascii="宋体" w:hAnsi="宋体" w:cs="宋体"/>
                <w:sz w:val="18"/>
                <w:szCs w:val="18"/>
                <w:highlight w:val="none"/>
              </w:rPr>
              <w:t xml:space="preserve">等设施</w:t>
            </w:r>
            <w:r>
              <w:rPr>
                <w:rFonts w:ascii="宋体" w:hAnsi="宋体" w:cs="宋体"/>
                <w:sz w:val="18"/>
                <w:szCs w:val="18"/>
                <w:highlight w:val="none"/>
              </w:rPr>
              <w:t xml:space="preserve">每周保洁1次</w:t>
            </w:r>
            <w:r>
              <w:rPr>
                <w:rFonts w:hint="eastAsia" w:ascii="宋体" w:hAnsi="宋体" w:cs="宋体"/>
                <w:sz w:val="18"/>
                <w:szCs w:val="18"/>
                <w:highlight w:val="none"/>
              </w:rPr>
              <w:t xml:space="preserve">；</w:t>
            </w:r>
            <w:r>
              <w:rPr>
                <w:highlight w:val="none"/>
              </w:rPr>
            </w:r>
            <w:r/>
          </w:p>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highlight w:val="none"/>
              </w:rPr>
            </w:r>
            <w:r/>
          </w:p>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4.垃圾日产日清，楼层垃圾每日收集2次。</w:t>
            </w:r>
            <w:r>
              <w:rPr>
                <w:highlight w:val="none"/>
              </w:rPr>
            </w:r>
            <w:r/>
          </w:p>
        </w:tc>
        <w:tc>
          <w:tcPr>
            <w:tcW w:w="3827" w:type="dxa"/>
            <w:vAlign w:val="center"/>
            <w:textDirection w:val="lrTb"/>
            <w:noWrap w:val="false"/>
          </w:tcPr>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，无擅自占用、乱贴乱画现象；</w:t>
            </w:r>
            <w:r>
              <w:rPr>
                <w:highlight w:val="none"/>
              </w:rPr>
            </w:r>
            <w:r/>
          </w:p>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植物花盆无积尘，无污渍</w:t>
            </w:r>
            <w:r>
              <w:rPr>
                <w:rFonts w:hint="eastAsia" w:ascii="宋体" w:hAnsi="宋体" w:cs="宋体"/>
                <w:sz w:val="18"/>
                <w:szCs w:val="18"/>
                <w:highlight w:val="none"/>
              </w:rPr>
              <w:t xml:space="preserve">；</w:t>
            </w:r>
            <w:r>
              <w:rPr>
                <w:highlight w:val="none"/>
              </w:rPr>
            </w:r>
            <w:r/>
          </w:p>
          <w:p>
            <w:pPr>
              <w:jc w:val="lef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6.室内垃圾箱保持清洁，清运及时，无外溢，无撒落。</w:t>
            </w:r>
            <w:r>
              <w:rPr>
                <w:highlight w:val="none"/>
              </w:rPr>
            </w:r>
            <w:r/>
          </w:p>
        </w:tc>
      </w:tr>
      <w:tr>
        <w:trPr>
          <w:jc w:val="center"/>
          <w:trHeight w:val="2406"/>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2</w:t>
            </w:r>
            <w:r>
              <w:rPr>
                <w:rFonts w:hint="eastAsia" w:ascii="宋体" w:hAnsi="宋体" w:cs="宋体"/>
                <w:sz w:val="18"/>
                <w:szCs w:val="18"/>
                <w:highlight w:val="none"/>
              </w:rPr>
              <w:t xml:space="preserve">．</w:t>
            </w:r>
            <w:r>
              <w:rPr>
                <w:rFonts w:ascii="宋体" w:hAnsi="宋体" w:cs="宋体"/>
                <w:sz w:val="18"/>
                <w:szCs w:val="18"/>
                <w:highlight w:val="none"/>
              </w:rPr>
              <w:t xml:space="preserve">楼道：</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地面、楼道梯级、扶手、墙面、踢脚线、配电箱、消防设备、楼道门、窗、灯具及开关、垃圾桶</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地面、台阶、宣传窗、垃圾桶、装饰柱、植物花盆等每天</w:t>
            </w:r>
            <w:r>
              <w:rPr>
                <w:rFonts w:hint="eastAsia" w:ascii="宋体" w:hAnsi="宋体" w:cs="宋体"/>
                <w:sz w:val="18"/>
                <w:szCs w:val="18"/>
                <w:highlight w:val="none"/>
              </w:rPr>
              <w:t xml:space="preserve">深度</w:t>
            </w:r>
            <w:r>
              <w:rPr>
                <w:rFonts w:ascii="宋体" w:hAnsi="宋体" w:cs="宋体"/>
                <w:sz w:val="18"/>
                <w:szCs w:val="18"/>
                <w:highlight w:val="none"/>
              </w:rPr>
              <w:t xml:space="preserve">保洁1次，</w:t>
            </w:r>
            <w:r>
              <w:rPr>
                <w:rFonts w:hint="eastAsia" w:ascii="宋体" w:hAnsi="宋体" w:cs="宋体"/>
                <w:sz w:val="18"/>
                <w:szCs w:val="18"/>
                <w:highlight w:val="none"/>
              </w:rPr>
              <w:t xml:space="preserve">其他时间</w:t>
            </w:r>
            <w:r>
              <w:rPr>
                <w:rFonts w:ascii="宋体" w:hAnsi="宋体" w:cs="宋体"/>
                <w:sz w:val="18"/>
                <w:szCs w:val="18"/>
                <w:highlight w:val="none"/>
              </w:rPr>
              <w:t xml:space="preserve">巡回保洁；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装饰门及门套、踢脚线</w:t>
            </w:r>
            <w:r>
              <w:rPr>
                <w:rFonts w:hint="eastAsia" w:ascii="宋体" w:hAnsi="宋体" w:cs="宋体"/>
                <w:sz w:val="18"/>
                <w:szCs w:val="18"/>
                <w:highlight w:val="none"/>
              </w:rPr>
              <w:t xml:space="preserve">、</w:t>
            </w:r>
            <w:r>
              <w:rPr>
                <w:rFonts w:ascii="宋体" w:hAnsi="宋体" w:cs="宋体"/>
                <w:sz w:val="18"/>
                <w:szCs w:val="18"/>
                <w:highlight w:val="none"/>
              </w:rPr>
              <w:t xml:space="preserve">墙面、天棚、消防设施、灯具</w:t>
            </w:r>
            <w:r>
              <w:rPr>
                <w:rFonts w:hint="eastAsia" w:ascii="宋体" w:hAnsi="宋体" w:cs="宋体"/>
                <w:sz w:val="18"/>
                <w:szCs w:val="18"/>
                <w:highlight w:val="none"/>
              </w:rPr>
              <w:t xml:space="preserve">等设施</w:t>
            </w:r>
            <w:r>
              <w:rPr>
                <w:rFonts w:ascii="宋体" w:hAnsi="宋体" w:cs="宋体"/>
                <w:sz w:val="18"/>
                <w:szCs w:val="18"/>
                <w:highlight w:val="none"/>
              </w:rPr>
              <w:t xml:space="preserve">每周保洁1次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，无擅自占用、乱贴乱画现象；</w:t>
            </w:r>
            <w:r>
              <w:rPr>
                <w:rFonts w:ascii="宋体" w:hAnsi="宋体" w:cs="宋体"/>
                <w:sz w:val="18"/>
                <w:szCs w:val="18"/>
                <w:highlight w:val="none"/>
              </w:rPr>
              <w:t xml:space="preserve">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窗台无积尘</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6.铁栏杆油漆完好，无脱皮，扶手护栏干净。</w:t>
            </w:r>
            <w:r>
              <w:rPr>
                <w:highlight w:val="none"/>
              </w:rPr>
            </w:r>
            <w:r/>
          </w:p>
        </w:tc>
      </w:tr>
      <w:tr>
        <w:trPr>
          <w:jc w:val="center"/>
          <w:trHeight w:val="2114"/>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3</w:t>
            </w:r>
            <w:r>
              <w:rPr>
                <w:rFonts w:hint="eastAsia" w:ascii="宋体" w:hAnsi="宋体" w:cs="宋体"/>
                <w:sz w:val="18"/>
                <w:szCs w:val="18"/>
                <w:highlight w:val="none"/>
              </w:rPr>
              <w:t xml:space="preserve">．</w:t>
            </w:r>
            <w:r>
              <w:rPr>
                <w:rFonts w:ascii="宋体" w:hAnsi="宋体" w:cs="宋体"/>
                <w:sz w:val="18"/>
                <w:szCs w:val="18"/>
                <w:highlight w:val="none"/>
              </w:rPr>
              <w:t xml:space="preserve">公共卫生间、开水房：</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地面、墙面、天棚、大小便器、垃圾篓、台面、镜子、门窗、灯具、排气扇、上下水管道、开水箱</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每天两次对卫生间全面保洁，且巡回每两小时保洁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天棚、灯具、窗玻璃排气扇每两周保洁1次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开水房每天保洁1次，开水箱每两月清洗1次；每天定时开放</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4.在卫生间明显位置公示每天保洁记录。</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卫生间无异味、厕坑便具洁净无黄渍、镜面、水盆、</w:t>
            </w:r>
            <w:r>
              <w:rPr>
                <w:rFonts w:hint="eastAsia" w:ascii="宋体" w:hAnsi="宋体" w:cs="宋体"/>
                <w:sz w:val="18"/>
                <w:szCs w:val="18"/>
                <w:highlight w:val="none"/>
              </w:rPr>
              <w:t xml:space="preserve">龙头、</w:t>
            </w:r>
            <w:r>
              <w:rPr>
                <w:rFonts w:ascii="宋体" w:hAnsi="宋体" w:cs="宋体"/>
                <w:sz w:val="18"/>
                <w:szCs w:val="18"/>
                <w:highlight w:val="none"/>
              </w:rPr>
              <w:t xml:space="preserve">台面无污点，光亮；纸篓随时清理；</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墙面、天棚、墙角、灯具无积尘、无蜘蛛网；</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地面无水渍、无污渍，无垃圾，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开水房达到卫生标准、安全可靠</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保洁工具与保洁用品要统一放在指定地点</w:t>
            </w:r>
            <w:r>
              <w:rPr>
                <w:rFonts w:hint="eastAsia" w:ascii="宋体" w:hAnsi="宋体" w:cs="宋体"/>
                <w:sz w:val="18"/>
                <w:szCs w:val="18"/>
                <w:highlight w:val="none"/>
              </w:rPr>
              <w:t xml:space="preserve">。</w:t>
            </w:r>
            <w:r>
              <w:rPr>
                <w:highlight w:val="none"/>
              </w:rPr>
            </w:r>
            <w:r/>
          </w:p>
        </w:tc>
      </w:tr>
      <w:tr>
        <w:trPr>
          <w:jc w:val="center"/>
          <w:trHeight w:val="1819"/>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4</w:t>
            </w:r>
            <w:r>
              <w:rPr>
                <w:rFonts w:hint="eastAsia" w:ascii="宋体" w:hAnsi="宋体" w:cs="宋体"/>
                <w:sz w:val="18"/>
                <w:szCs w:val="18"/>
                <w:highlight w:val="none"/>
              </w:rPr>
              <w:t xml:space="preserve">．</w:t>
            </w:r>
            <w:r>
              <w:rPr>
                <w:rFonts w:ascii="宋体" w:hAnsi="宋体" w:cs="宋体"/>
                <w:sz w:val="18"/>
                <w:szCs w:val="18"/>
                <w:highlight w:val="none"/>
              </w:rPr>
              <w:t xml:space="preserve">教室：</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桌椅、讲台，黑板、地面、踏步、窗台、窗玻璃、门楣、门套、墙面、墙角、天棚、灯具、</w:t>
            </w:r>
            <w:r>
              <w:rPr>
                <w:rFonts w:hint="eastAsia" w:ascii="宋体" w:hAnsi="宋体" w:cs="宋体"/>
                <w:sz w:val="18"/>
                <w:szCs w:val="18"/>
                <w:highlight w:val="none"/>
              </w:rPr>
              <w:t xml:space="preserve">电扇、</w:t>
            </w:r>
            <w:r>
              <w:rPr>
                <w:rFonts w:ascii="宋体" w:hAnsi="宋体" w:cs="宋体"/>
                <w:sz w:val="18"/>
                <w:szCs w:val="18"/>
                <w:highlight w:val="none"/>
              </w:rPr>
              <w:t xml:space="preserve">设备</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桌椅、讲台，黑板、地面、踏步、窗台、门楣、门套、墙面、墙角每日早、中、晚共3次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天棚、灯具、设备每周1次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窗玻璃每两周1次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4.电扇每学期清洁1次。</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桌椅、讲台，窗台、黑板、地面、踏步、门楣、门套、墙面、墙角无积尘，光亮；桌斗内无杂质；</w:t>
            </w:r>
            <w:r>
              <w:rPr>
                <w:rFonts w:hint="eastAsia" w:ascii="宋体" w:hAnsi="宋体" w:cs="宋体"/>
                <w:sz w:val="18"/>
                <w:szCs w:val="18"/>
                <w:highlight w:val="none"/>
              </w:rPr>
              <w:t xml:space="preserve">2.</w:t>
            </w:r>
            <w:r>
              <w:rPr>
                <w:rFonts w:ascii="宋体" w:hAnsi="宋体" w:cs="宋体"/>
                <w:sz w:val="18"/>
                <w:szCs w:val="18"/>
                <w:highlight w:val="none"/>
              </w:rPr>
              <w:t xml:space="preserve">黑板板面擦净，板槽内无粉末，黑板周围整洁；窗台无积尘，窗帘挂放整齐；室内无异味；</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捡拾物品及时上交</w:t>
            </w:r>
            <w:r>
              <w:rPr>
                <w:rFonts w:hint="eastAsia" w:ascii="宋体" w:hAnsi="宋体" w:cs="宋体"/>
                <w:sz w:val="18"/>
                <w:szCs w:val="18"/>
                <w:highlight w:val="none"/>
              </w:rPr>
              <w:t xml:space="preserve">教室</w:t>
            </w:r>
            <w:r>
              <w:rPr>
                <w:rFonts w:ascii="宋体" w:hAnsi="宋体" w:cs="宋体"/>
                <w:sz w:val="18"/>
                <w:szCs w:val="18"/>
                <w:highlight w:val="none"/>
              </w:rPr>
              <w:t xml:space="preserve">管</w:t>
            </w:r>
            <w:r>
              <w:rPr>
                <w:rFonts w:hint="eastAsia" w:ascii="宋体" w:hAnsi="宋体" w:cs="宋体"/>
                <w:sz w:val="18"/>
                <w:szCs w:val="18"/>
                <w:highlight w:val="none"/>
              </w:rPr>
              <w:t xml:space="preserve">理</w:t>
            </w:r>
            <w:r>
              <w:rPr>
                <w:rFonts w:ascii="宋体" w:hAnsi="宋体" w:cs="宋体"/>
                <w:sz w:val="18"/>
                <w:szCs w:val="18"/>
                <w:highlight w:val="none"/>
              </w:rPr>
              <w:t xml:space="preserve">员做失物招领，不私自处理。</w:t>
            </w:r>
            <w:r>
              <w:rPr>
                <w:highlight w:val="none"/>
              </w:rPr>
            </w:r>
            <w:r/>
          </w:p>
        </w:tc>
      </w:tr>
      <w:tr>
        <w:trPr>
          <w:jc w:val="center"/>
          <w:trHeight w:val="1703"/>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5</w:t>
            </w:r>
            <w:r>
              <w:rPr>
                <w:rFonts w:hint="eastAsia" w:ascii="宋体" w:hAnsi="宋体" w:cs="宋体"/>
                <w:sz w:val="18"/>
                <w:szCs w:val="18"/>
                <w:highlight w:val="none"/>
              </w:rPr>
              <w:t xml:space="preserve">．</w:t>
            </w:r>
            <w:r>
              <w:rPr>
                <w:rFonts w:ascii="宋体" w:hAnsi="宋体" w:cs="宋体"/>
                <w:sz w:val="18"/>
                <w:szCs w:val="18"/>
                <w:highlight w:val="none"/>
              </w:rPr>
              <w:t xml:space="preserve">电梯：</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电梯轿厢、电梯厅、电梯门及门套、指示板、厢壁、通风口、天花板、灯具、监控器探头</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电梯轿厢、电梯厅、电梯门及门套、指示板、厢壁、每天保洁1次，且每两小时巡回保洁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天花板、灯具、监控器探头每周1次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电梯轿厢内无积尘、无污渍、无粘贴物；灯具、指示板明亮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厢内地面干净、无垃圾杂物；不锈钢表面无手印、无积尘，无污渍、光亮；</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电梯门槽内无垃圾杂物</w:t>
            </w:r>
            <w:r>
              <w:rPr>
                <w:rFonts w:hint="eastAsia" w:ascii="宋体" w:hAnsi="宋体" w:cs="宋体"/>
                <w:sz w:val="18"/>
                <w:szCs w:val="18"/>
                <w:highlight w:val="none"/>
              </w:rPr>
              <w:t xml:space="preserve">。</w:t>
            </w:r>
            <w:r>
              <w:rPr>
                <w:highlight w:val="none"/>
              </w:rPr>
            </w:r>
            <w:r/>
          </w:p>
        </w:tc>
      </w:tr>
      <w:tr>
        <w:trPr>
          <w:jc w:val="center"/>
          <w:trHeight w:val="1397"/>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6．天台：</w:t>
            </w:r>
            <w:r>
              <w:rPr>
                <w:highlight w:val="none"/>
              </w:rPr>
            </w:r>
            <w:r/>
          </w:p>
          <w:p>
            <w:pPr>
              <w:ind w:firstLine="322"/>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屋顶、露天阳台、雨篷、落水管等</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1.每年2次（5月、11月）清除屋面垃圾；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2.每2周检查屋顶、天台、雨篷卫生情况，及时保洁；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3.每周检查落水管情况，及时检修。</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1.天台、屋顶、露天阳台、雨篷等无杂物、无垃圾；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2.排水管道畅通，檐沟、雨水口、落水管畅通。</w:t>
            </w:r>
            <w:r>
              <w:rPr>
                <w:highlight w:val="none"/>
              </w:rPr>
            </w:r>
            <w:r/>
          </w:p>
        </w:tc>
      </w:tr>
      <w:tr>
        <w:trPr>
          <w:jc w:val="center"/>
          <w:trHeight w:val="2967"/>
        </w:trPr>
        <w:tc>
          <w:tcPr>
            <w:tcW w:w="1135" w:type="dxa"/>
            <w:vAlign w:val="center"/>
            <w:vMerge w:val="restart"/>
            <w:textDirection w:val="lrTb"/>
            <w:noWrap w:val="false"/>
          </w:tcPr>
          <w:p>
            <w:pPr>
              <w:jc w:val="center"/>
              <w:tabs>
                <w:tab w:val="left" w:pos="-21" w:leader="none"/>
              </w:tabs>
              <w:rPr>
                <w:rFonts w:ascii="宋体" w:hAnsi="宋体" w:cs="宋体"/>
                <w:highlight w:val="none"/>
              </w:rPr>
            </w:pPr>
            <w:r>
              <w:rPr>
                <w:rFonts w:hint="eastAsia" w:ascii="宋体" w:hAnsi="宋体" w:cs="宋体"/>
                <w:highlight w:val="none"/>
              </w:rPr>
              <w:t xml:space="preserve">行政楼办公室</w:t>
            </w:r>
            <w:r>
              <w:rPr>
                <w:highlight w:val="none"/>
              </w:rPr>
            </w:r>
            <w:r/>
          </w:p>
          <w:p>
            <w:pPr>
              <w:jc w:val="center"/>
              <w:spacing w:line="360" w:lineRule="auto"/>
              <w:tabs>
                <w:tab w:val="left" w:pos="-21" w:leader="none"/>
              </w:tabs>
              <w:rPr>
                <w:rFonts w:ascii="宋体" w:hAnsi="宋体" w:cs="宋体"/>
                <w:sz w:val="18"/>
                <w:szCs w:val="18"/>
                <w:highlight w:val="none"/>
              </w:rPr>
            </w:pPr>
            <w:r>
              <w:rPr>
                <w:rFonts w:hint="eastAsia" w:ascii="宋体" w:hAnsi="宋体" w:cs="宋体"/>
                <w:highlight w:val="none"/>
              </w:rPr>
              <w:t xml:space="preserve">（其他楼宇办公室参照）</w:t>
            </w:r>
            <w:r>
              <w:rPr>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1</w:t>
            </w:r>
            <w:r>
              <w:rPr>
                <w:rFonts w:hint="eastAsia" w:ascii="宋体" w:hAnsi="宋体" w:cs="宋体"/>
                <w:sz w:val="18"/>
                <w:szCs w:val="18"/>
                <w:highlight w:val="none"/>
              </w:rPr>
              <w:t xml:space="preserve">．</w:t>
            </w:r>
            <w:r>
              <w:rPr>
                <w:rFonts w:ascii="宋体" w:hAnsi="宋体" w:cs="宋体"/>
                <w:sz w:val="18"/>
                <w:szCs w:val="18"/>
                <w:highlight w:val="none"/>
              </w:rPr>
              <w:t xml:space="preserve">大厅：</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地面、墙面、踢脚线、台阶、天棚、装饰门及门套、宣传窗、垃圾桶、消防设施灯具装饰柱、植物花盆</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地面、台阶、宣传窗、垃圾桶、装饰柱、植物花盆等每天保洁1次，且巡回保洁；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装饰门及门套、踢脚线</w:t>
            </w:r>
            <w:r>
              <w:rPr>
                <w:rFonts w:hint="eastAsia" w:ascii="宋体" w:hAnsi="宋体" w:cs="宋体"/>
                <w:sz w:val="18"/>
                <w:szCs w:val="18"/>
                <w:highlight w:val="none"/>
              </w:rPr>
              <w:t xml:space="preserve">、</w:t>
            </w:r>
            <w:r>
              <w:rPr>
                <w:rFonts w:ascii="宋体" w:hAnsi="宋体" w:cs="宋体"/>
                <w:sz w:val="18"/>
                <w:szCs w:val="18"/>
                <w:highlight w:val="none"/>
              </w:rPr>
              <w:t xml:space="preserve">墙面、天棚、消防设施、灯具</w:t>
            </w:r>
            <w:r>
              <w:rPr>
                <w:rFonts w:hint="eastAsia" w:ascii="宋体" w:hAnsi="宋体" w:cs="宋体"/>
                <w:sz w:val="18"/>
                <w:szCs w:val="18"/>
                <w:highlight w:val="none"/>
              </w:rPr>
              <w:t xml:space="preserve">等设施</w:t>
            </w:r>
            <w:r>
              <w:rPr>
                <w:rFonts w:ascii="宋体" w:hAnsi="宋体" w:cs="宋体"/>
                <w:sz w:val="18"/>
                <w:szCs w:val="18"/>
                <w:highlight w:val="none"/>
              </w:rPr>
              <w:t xml:space="preserve">每周保洁1次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4.垃圾日产日清，楼层垃圾每日收集2次。</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，无擅自占用、乱贴乱画现象；</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植物花盆无积尘，无污渍</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6.室内垃圾箱保持清洁，清运及时，无外溢，无撒落。</w:t>
            </w:r>
            <w:r>
              <w:rPr>
                <w:highlight w:val="none"/>
              </w:rPr>
            </w:r>
            <w:r/>
          </w:p>
        </w:tc>
      </w:tr>
      <w:tr>
        <w:trPr>
          <w:jc w:val="center"/>
          <w:trHeight w:val="2693"/>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2</w:t>
            </w:r>
            <w:r>
              <w:rPr>
                <w:rFonts w:hint="eastAsia" w:ascii="宋体" w:hAnsi="宋体" w:cs="宋体"/>
                <w:sz w:val="18"/>
                <w:szCs w:val="18"/>
                <w:highlight w:val="none"/>
              </w:rPr>
              <w:t xml:space="preserve">．</w:t>
            </w:r>
            <w:r>
              <w:rPr>
                <w:rFonts w:ascii="宋体" w:hAnsi="宋体" w:cs="宋体"/>
                <w:sz w:val="18"/>
                <w:szCs w:val="18"/>
                <w:highlight w:val="none"/>
              </w:rPr>
              <w:t xml:space="preserve">楼道：</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 地面、楼道梯级、扶手、墙面、踢脚线、配电箱、消防设备、楼道门、窗、灯具及开关、垃圾桶</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地面、台阶、宣传窗、垃圾桶、装饰柱、植物花盆等每天保洁1次，且巡回保洁；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装饰门及门套、踢脚线</w:t>
            </w:r>
            <w:r>
              <w:rPr>
                <w:rFonts w:hint="eastAsia" w:ascii="宋体" w:hAnsi="宋体" w:cs="宋体"/>
                <w:sz w:val="18"/>
                <w:szCs w:val="18"/>
                <w:highlight w:val="none"/>
              </w:rPr>
              <w:t xml:space="preserve">、</w:t>
            </w:r>
            <w:r>
              <w:rPr>
                <w:rFonts w:ascii="宋体" w:hAnsi="宋体" w:cs="宋体"/>
                <w:sz w:val="18"/>
                <w:szCs w:val="18"/>
                <w:highlight w:val="none"/>
              </w:rPr>
              <w:t xml:space="preserve">墙面、天棚、消防设施、灯具</w:t>
            </w:r>
            <w:r>
              <w:rPr>
                <w:rFonts w:hint="eastAsia" w:ascii="宋体" w:hAnsi="宋体" w:cs="宋体"/>
                <w:sz w:val="18"/>
                <w:szCs w:val="18"/>
                <w:highlight w:val="none"/>
              </w:rPr>
              <w:t xml:space="preserve">等设施</w:t>
            </w:r>
            <w:r>
              <w:rPr>
                <w:rFonts w:ascii="宋体" w:hAnsi="宋体" w:cs="宋体"/>
                <w:sz w:val="18"/>
                <w:szCs w:val="18"/>
                <w:highlight w:val="none"/>
              </w:rPr>
              <w:t xml:space="preserve">每周保洁1次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，无擅自占用、乱贴乱画现象；</w:t>
            </w:r>
            <w:r>
              <w:rPr>
                <w:rFonts w:ascii="宋体" w:hAnsi="宋体" w:cs="宋体"/>
                <w:sz w:val="18"/>
                <w:szCs w:val="18"/>
                <w:highlight w:val="none"/>
              </w:rPr>
              <w:t xml:space="preserve">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窗台无积尘</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6.铁栏杆油漆完好，无脱皮，扶手护栏干净。</w:t>
            </w:r>
            <w:r>
              <w:rPr>
                <w:highlight w:val="none"/>
              </w:rPr>
            </w:r>
            <w:r/>
          </w:p>
        </w:tc>
      </w:tr>
      <w:tr>
        <w:trPr>
          <w:jc w:val="center"/>
          <w:trHeight w:val="2673"/>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3</w:t>
            </w:r>
            <w:r>
              <w:rPr>
                <w:rFonts w:hint="eastAsia" w:ascii="宋体" w:hAnsi="宋体" w:cs="宋体"/>
                <w:sz w:val="18"/>
                <w:szCs w:val="18"/>
                <w:highlight w:val="none"/>
              </w:rPr>
              <w:t xml:space="preserve">．</w:t>
            </w:r>
            <w:r>
              <w:rPr>
                <w:rFonts w:ascii="宋体" w:hAnsi="宋体" w:cs="宋体"/>
                <w:sz w:val="18"/>
                <w:szCs w:val="18"/>
                <w:highlight w:val="none"/>
              </w:rPr>
              <w:t xml:space="preserve">公共卫生间、开水房：</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地面、墙面、天棚、踢脚线、大小便器、垃圾篓、洗手盆、台面、镜子、门窗标牌、灯具、排气扇、上下水管道、水龙头、开水箱</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每天两次对卫生间全面保洁，且巡回每两小时保洁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天棚、灯具、窗玻璃排气扇每两周保洁1次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开水房每天保洁1次，开水箱每两月清洗1次；每天定时开放</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4.在卫生间明显位置公示每天保洁记录。</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排气扇</w:t>
            </w:r>
            <w:r>
              <w:rPr>
                <w:rFonts w:hint="eastAsia" w:ascii="宋体" w:hAnsi="宋体" w:cs="宋体"/>
                <w:sz w:val="18"/>
                <w:szCs w:val="18"/>
                <w:highlight w:val="none"/>
              </w:rPr>
              <w:t xml:space="preserve">每月清洁一次。</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卫生间无异味、厕坑便具洁净无黄渍、镜面、水盆、台面无污点，光亮；纸篓随时清理；</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墙面、天棚、墙角、灯具无积尘、蜘蛛网，光亮；</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地面无水渍、无污渍，无垃圾，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开水房达到卫生标准、安全可靠</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5.用品齐全，卫生纸、洗手液等更换及时；</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w:t>
            </w:r>
            <w:r>
              <w:rPr>
                <w:rFonts w:ascii="宋体" w:hAnsi="宋体" w:cs="宋体"/>
                <w:sz w:val="18"/>
                <w:szCs w:val="18"/>
                <w:highlight w:val="none"/>
              </w:rPr>
              <w:t xml:space="preserve">保洁工具与保洁用品要统一放在指定地点</w:t>
            </w:r>
            <w:r>
              <w:rPr>
                <w:rFonts w:hint="eastAsia" w:ascii="宋体" w:hAnsi="宋体" w:cs="宋体"/>
                <w:sz w:val="18"/>
                <w:szCs w:val="18"/>
                <w:highlight w:val="none"/>
              </w:rPr>
              <w:t xml:space="preserve">。</w:t>
            </w:r>
            <w:r>
              <w:rPr>
                <w:highlight w:val="none"/>
              </w:rPr>
            </w:r>
            <w:r/>
          </w:p>
        </w:tc>
      </w:tr>
      <w:tr>
        <w:trPr>
          <w:jc w:val="center"/>
          <w:trHeight w:val="1983"/>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4</w:t>
            </w:r>
            <w:r>
              <w:rPr>
                <w:rFonts w:hint="eastAsia" w:ascii="宋体" w:hAnsi="宋体" w:cs="宋体"/>
                <w:sz w:val="18"/>
                <w:szCs w:val="18"/>
                <w:highlight w:val="none"/>
              </w:rPr>
              <w:t xml:space="preserve">．</w:t>
            </w:r>
            <w:r>
              <w:rPr>
                <w:rFonts w:ascii="宋体" w:hAnsi="宋体" w:cs="宋体"/>
                <w:sz w:val="18"/>
                <w:szCs w:val="18"/>
                <w:highlight w:val="none"/>
              </w:rPr>
              <w:t xml:space="preserve">会议室、接待室：</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桌椅、地面、窗台、窗玻璃、门楣、门套、墙面、墙角、天棚、灯具、茶具设备</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会议桌椅、地面、窗台、门楣、门套、墙面、墙角三日1次；会议结束</w:t>
            </w:r>
            <w:r>
              <w:rPr>
                <w:rFonts w:hint="eastAsia" w:ascii="宋体" w:hAnsi="宋体" w:cs="宋体"/>
                <w:sz w:val="18"/>
                <w:szCs w:val="18"/>
                <w:highlight w:val="none"/>
              </w:rPr>
              <w:t xml:space="preserve">立即</w:t>
            </w:r>
            <w:r>
              <w:rPr>
                <w:rFonts w:ascii="宋体" w:hAnsi="宋体" w:cs="宋体"/>
                <w:sz w:val="18"/>
                <w:szCs w:val="18"/>
                <w:highlight w:val="none"/>
              </w:rPr>
              <w:t xml:space="preserve">清理</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天棚、灯具、设备每周1次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窗玻璃每两</w:t>
            </w:r>
            <w:r>
              <w:rPr>
                <w:rFonts w:hint="eastAsia" w:ascii="宋体" w:hAnsi="宋体" w:cs="宋体"/>
                <w:sz w:val="18"/>
                <w:szCs w:val="18"/>
                <w:highlight w:val="none"/>
              </w:rPr>
              <w:t xml:space="preserve">周</w:t>
            </w:r>
            <w:r>
              <w:rPr>
                <w:rFonts w:ascii="宋体" w:hAnsi="宋体" w:cs="宋体"/>
                <w:sz w:val="18"/>
                <w:szCs w:val="18"/>
                <w:highlight w:val="none"/>
              </w:rPr>
              <w:t xml:space="preserve">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茶具每次消毒</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地毯两月消毒1次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会议桌椅、窗台、地面、门楣、门套、墙面、墙角无积尘，光亮；</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窗帘挂放整齐；室内无异味；</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茶具消毒达到卫生标准</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地毯清洁卫生。</w:t>
            </w:r>
            <w:r>
              <w:rPr>
                <w:highlight w:val="none"/>
              </w:rPr>
            </w:r>
            <w:r/>
          </w:p>
        </w:tc>
      </w:tr>
      <w:tr>
        <w:trPr>
          <w:jc w:val="center"/>
          <w:trHeight w:val="1828"/>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5</w:t>
            </w:r>
            <w:r>
              <w:rPr>
                <w:rFonts w:hint="eastAsia" w:ascii="宋体" w:hAnsi="宋体" w:cs="宋体"/>
                <w:sz w:val="18"/>
                <w:szCs w:val="18"/>
                <w:highlight w:val="none"/>
              </w:rPr>
              <w:t xml:space="preserve">．</w:t>
            </w:r>
            <w:r>
              <w:rPr>
                <w:rFonts w:ascii="宋体" w:hAnsi="宋体" w:cs="宋体"/>
                <w:sz w:val="18"/>
                <w:szCs w:val="18"/>
                <w:highlight w:val="none"/>
              </w:rPr>
              <w:t xml:space="preserve">电梯：</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电梯轿厢、电梯厅、电梯门及门套、指示板、厢壁、通风口、天花板、灯具、监控器探头</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电梯轿厢、电梯厅、电梯门及门套、指示板、厢壁、每天保洁1次，且每两小时巡回保洁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天花板、灯具、监控器探头每周1次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3.每天更换地毯。</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电梯轿厢内无积尘、无污渍、无粘贴物；灯具、指示板明亮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厢内地面干净、无垃圾杂物；不锈钢表面无手印、无积尘，无污渍、光亮；</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电梯门槽内无垃圾杂物</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4.发现电梯故障，第一时间报修。</w:t>
            </w:r>
            <w:r>
              <w:rPr>
                <w:highlight w:val="none"/>
              </w:rPr>
            </w:r>
            <w:r/>
          </w:p>
        </w:tc>
      </w:tr>
      <w:tr>
        <w:trPr>
          <w:jc w:val="center"/>
          <w:trHeight w:val="1556"/>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6．天台：</w:t>
            </w:r>
            <w:r>
              <w:rPr>
                <w:highlight w:val="none"/>
              </w:rPr>
            </w:r>
            <w:r/>
          </w:p>
          <w:p>
            <w:pPr>
              <w:ind w:firstLine="322"/>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屋顶、露天阳台、雨篷、落水管等</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1.每年2次（5月、11月）清除屋面垃圾；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2.每2周检查屋顶、天台、雨篷卫生情况，及时保洁；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3.每周检查落水管情况，及时检修。</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1.天台、屋顶、露天阳台、雨篷等无杂物、无垃圾；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2.排水管道畅通，檐沟、雨水口、落水管畅通。</w:t>
            </w:r>
            <w:r>
              <w:rPr>
                <w:highlight w:val="none"/>
              </w:rPr>
            </w:r>
            <w:r/>
          </w:p>
        </w:tc>
      </w:tr>
      <w:tr>
        <w:trPr>
          <w:jc w:val="center"/>
          <w:trHeight w:val="3251"/>
        </w:trPr>
        <w:tc>
          <w:tcPr>
            <w:tcW w:w="1135" w:type="dxa"/>
            <w:vAlign w:val="center"/>
            <w:vMerge w:val="restart"/>
            <w:textDirection w:val="lrTb"/>
            <w:noWrap w:val="false"/>
          </w:tcPr>
          <w:p>
            <w:pPr>
              <w:jc w:val="center"/>
              <w:spacing w:line="360" w:lineRule="auto"/>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图书馆</w:t>
            </w:r>
            <w:r>
              <w:rPr>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1</w:t>
            </w:r>
            <w:r>
              <w:rPr>
                <w:rFonts w:hint="eastAsia" w:ascii="宋体" w:hAnsi="宋体" w:cs="宋体"/>
                <w:sz w:val="18"/>
                <w:szCs w:val="18"/>
                <w:highlight w:val="none"/>
              </w:rPr>
              <w:t xml:space="preserve">．</w:t>
            </w:r>
            <w:r>
              <w:rPr>
                <w:rFonts w:ascii="宋体" w:hAnsi="宋体" w:cs="宋体"/>
                <w:sz w:val="18"/>
                <w:szCs w:val="18"/>
                <w:highlight w:val="none"/>
              </w:rPr>
              <w:t xml:space="preserve">大厅：</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地面、墙面、踢脚线、台阶、天棚、装饰门及门套、宣传窗、垃圾桶、消防设施灯具装饰柱、植物花盆</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地面、台阶、宣传窗、垃圾桶、装饰柱、植物花盆等每天保洁1次，且巡回保洁；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装饰门及门套、踢脚线</w:t>
            </w:r>
            <w:r>
              <w:rPr>
                <w:rFonts w:hint="eastAsia" w:ascii="宋体" w:hAnsi="宋体" w:cs="宋体"/>
                <w:sz w:val="18"/>
                <w:szCs w:val="18"/>
                <w:highlight w:val="none"/>
              </w:rPr>
              <w:t xml:space="preserve">、</w:t>
            </w:r>
            <w:r>
              <w:rPr>
                <w:rFonts w:ascii="宋体" w:hAnsi="宋体" w:cs="宋体"/>
                <w:sz w:val="18"/>
                <w:szCs w:val="18"/>
                <w:highlight w:val="none"/>
              </w:rPr>
              <w:t xml:space="preserve">墙面、天棚、消防设施、灯具</w:t>
            </w:r>
            <w:r>
              <w:rPr>
                <w:rFonts w:hint="eastAsia" w:ascii="宋体" w:hAnsi="宋体" w:cs="宋体"/>
                <w:sz w:val="18"/>
                <w:szCs w:val="18"/>
                <w:highlight w:val="none"/>
              </w:rPr>
              <w:t xml:space="preserve">等设施</w:t>
            </w:r>
            <w:r>
              <w:rPr>
                <w:rFonts w:ascii="宋体" w:hAnsi="宋体" w:cs="宋体"/>
                <w:sz w:val="18"/>
                <w:szCs w:val="18"/>
                <w:highlight w:val="none"/>
              </w:rPr>
              <w:t xml:space="preserve">每周保洁1次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4.垃圾日产日清，楼层垃圾每日收集2次；</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5.有重要活动时，垃圾随时收集、清理。</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，无擅自占用、乱贴乱画现象；</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植物花盆无积尘，无污渍</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6.室内垃圾箱保持清洁，清运及时，无外溢，无撒落。</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r>
            <w:r>
              <w:rPr>
                <w:highlight w:val="none"/>
              </w:rPr>
            </w:r>
            <w:r/>
          </w:p>
        </w:tc>
      </w:tr>
      <w:tr>
        <w:trPr>
          <w:jc w:val="center"/>
          <w:trHeight w:val="2403"/>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2</w:t>
            </w:r>
            <w:r>
              <w:rPr>
                <w:rFonts w:hint="eastAsia" w:ascii="宋体" w:hAnsi="宋体" w:cs="宋体"/>
                <w:sz w:val="18"/>
                <w:szCs w:val="18"/>
                <w:highlight w:val="none"/>
              </w:rPr>
              <w:t xml:space="preserve">．</w:t>
            </w:r>
            <w:r>
              <w:rPr>
                <w:rFonts w:ascii="宋体" w:hAnsi="宋体" w:cs="宋体"/>
                <w:sz w:val="18"/>
                <w:szCs w:val="18"/>
                <w:highlight w:val="none"/>
              </w:rPr>
              <w:t xml:space="preserve">楼道：</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地面、楼道梯级、扶手、墙面、踢脚线、配电箱、消防设备、楼道门、窗、灯具及开关、垃圾桶</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地面、台阶、宣传窗、垃圾桶、装饰柱、植物花盆等每天保洁1次，且巡回保洁；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装饰门及门套、踢脚线</w:t>
            </w:r>
            <w:r>
              <w:rPr>
                <w:rFonts w:hint="eastAsia" w:ascii="宋体" w:hAnsi="宋体" w:cs="宋体"/>
                <w:sz w:val="18"/>
                <w:szCs w:val="18"/>
                <w:highlight w:val="none"/>
              </w:rPr>
              <w:t xml:space="preserve">、</w:t>
            </w:r>
            <w:r>
              <w:rPr>
                <w:rFonts w:ascii="宋体" w:hAnsi="宋体" w:cs="宋体"/>
                <w:sz w:val="18"/>
                <w:szCs w:val="18"/>
                <w:highlight w:val="none"/>
              </w:rPr>
              <w:t xml:space="preserve">墙面、天棚、消防设施、灯具</w:t>
            </w:r>
            <w:r>
              <w:rPr>
                <w:rFonts w:hint="eastAsia" w:ascii="宋体" w:hAnsi="宋体" w:cs="宋体"/>
                <w:sz w:val="18"/>
                <w:szCs w:val="18"/>
                <w:highlight w:val="none"/>
              </w:rPr>
              <w:t xml:space="preserve">等设施</w:t>
            </w:r>
            <w:r>
              <w:rPr>
                <w:rFonts w:ascii="宋体" w:hAnsi="宋体" w:cs="宋体"/>
                <w:sz w:val="18"/>
                <w:szCs w:val="18"/>
                <w:highlight w:val="none"/>
              </w:rPr>
              <w:t xml:space="preserve">每周保洁1次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，无擅自占用、乱贴乱画现象；</w:t>
            </w:r>
            <w:r>
              <w:rPr>
                <w:rFonts w:ascii="宋体" w:hAnsi="宋体" w:cs="宋体"/>
                <w:sz w:val="18"/>
                <w:szCs w:val="18"/>
                <w:highlight w:val="none"/>
              </w:rPr>
              <w:t xml:space="preserve">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w:t>
            </w:r>
            <w:r>
              <w:rPr>
                <w:rFonts w:hint="eastAsia" w:ascii="宋体" w:hAnsi="宋体" w:cs="宋体"/>
                <w:sz w:val="18"/>
                <w:szCs w:val="18"/>
                <w:highlight w:val="none"/>
              </w:rPr>
              <w:t xml:space="preserve">5.</w:t>
            </w:r>
            <w:r>
              <w:rPr>
                <w:rFonts w:ascii="宋体" w:hAnsi="宋体" w:cs="宋体"/>
                <w:sz w:val="18"/>
                <w:szCs w:val="18"/>
                <w:highlight w:val="none"/>
              </w:rPr>
              <w:t xml:space="preserve">玻璃上无手印，无积尘，无污渍、明亮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w:t>
            </w:r>
            <w:r>
              <w:rPr>
                <w:rFonts w:ascii="宋体" w:hAnsi="宋体" w:cs="宋体"/>
                <w:sz w:val="18"/>
                <w:szCs w:val="18"/>
                <w:highlight w:val="none"/>
              </w:rPr>
              <w:t xml:space="preserve">窗台无积尘</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7.铁栏杆油漆完好，无脱皮，扶手护栏干净。</w:t>
            </w:r>
            <w:r>
              <w:rPr>
                <w:highlight w:val="none"/>
              </w:rPr>
            </w:r>
            <w:r/>
          </w:p>
        </w:tc>
      </w:tr>
      <w:tr>
        <w:trPr>
          <w:jc w:val="center"/>
          <w:trHeight w:val="2679"/>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3</w:t>
            </w:r>
            <w:r>
              <w:rPr>
                <w:rFonts w:hint="eastAsia" w:ascii="宋体" w:hAnsi="宋体" w:cs="宋体"/>
                <w:sz w:val="18"/>
                <w:szCs w:val="18"/>
                <w:highlight w:val="none"/>
              </w:rPr>
              <w:t xml:space="preserve">．</w:t>
            </w:r>
            <w:r>
              <w:rPr>
                <w:rFonts w:ascii="宋体" w:hAnsi="宋体" w:cs="宋体"/>
                <w:sz w:val="18"/>
                <w:szCs w:val="18"/>
                <w:highlight w:val="none"/>
              </w:rPr>
              <w:t xml:space="preserve">公共卫生间、开水房：</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地面、墙面、天棚、踢脚线、大小便器、垃圾篓、洗手盆、台面、镜子、门窗标牌、灯具、排气扇、上下水管道、水龙头、开水箱</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每天两次对卫生间全面保洁，且巡回每两小时保洁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天棚、灯具、窗玻璃排气扇每两周保洁1次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开水房每天保洁1次，开水箱每两月清洗1次；全天开放</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排气扇</w:t>
            </w:r>
            <w:r>
              <w:rPr>
                <w:rFonts w:hint="eastAsia" w:ascii="宋体" w:hAnsi="宋体" w:cs="宋体"/>
                <w:sz w:val="18"/>
                <w:szCs w:val="18"/>
                <w:highlight w:val="none"/>
              </w:rPr>
              <w:t xml:space="preserve">每月清洁一次；</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5.在卫生间明显位置公示每天保洁记录。</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卫生间无异味、厕坑便具洁净无黄渍、镜面、水盆、台面无污点，光亮；纸篓随时清理；</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墙面、天棚、墙角、灯具无积尘、蜘蛛网，光亮；</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地面无水渍、无污渍，无垃圾，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开水房达到卫生标准、安全可靠</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保洁工具与保洁用品要统一放在指定地点</w:t>
            </w:r>
            <w:r>
              <w:rPr>
                <w:rFonts w:hint="eastAsia" w:ascii="宋体" w:hAnsi="宋体" w:cs="宋体"/>
                <w:sz w:val="18"/>
                <w:szCs w:val="18"/>
                <w:highlight w:val="none"/>
              </w:rPr>
              <w:t xml:space="preserve">。</w:t>
            </w:r>
            <w:r>
              <w:rPr>
                <w:highlight w:val="none"/>
              </w:rPr>
            </w:r>
            <w:r/>
          </w:p>
        </w:tc>
      </w:tr>
      <w:tr>
        <w:trPr>
          <w:jc w:val="center"/>
          <w:trHeight w:val="1825"/>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4</w:t>
            </w:r>
            <w:r>
              <w:rPr>
                <w:rFonts w:hint="eastAsia" w:ascii="宋体" w:hAnsi="宋体" w:cs="宋体"/>
                <w:sz w:val="18"/>
                <w:szCs w:val="18"/>
                <w:highlight w:val="none"/>
              </w:rPr>
              <w:t xml:space="preserve">．</w:t>
            </w:r>
            <w:r>
              <w:rPr>
                <w:rFonts w:ascii="宋体" w:hAnsi="宋体" w:cs="宋体"/>
                <w:sz w:val="18"/>
                <w:szCs w:val="18"/>
                <w:highlight w:val="none"/>
              </w:rPr>
              <w:t xml:space="preserve">会议室、接待室：</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桌椅、地面、窗台、窗玻璃、门楣、门套、墙面、墙角、天棚、灯具、茶具设备</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会议桌椅、地面、窗台、门楣、门套、墙面、墙角三日1次；会议结束</w:t>
            </w:r>
            <w:r>
              <w:rPr>
                <w:rFonts w:hint="eastAsia" w:ascii="宋体" w:hAnsi="宋体" w:cs="宋体"/>
                <w:sz w:val="18"/>
                <w:szCs w:val="18"/>
                <w:highlight w:val="none"/>
              </w:rPr>
              <w:t xml:space="preserve">立即</w:t>
            </w:r>
            <w:r>
              <w:rPr>
                <w:rFonts w:ascii="宋体" w:hAnsi="宋体" w:cs="宋体"/>
                <w:sz w:val="18"/>
                <w:szCs w:val="18"/>
                <w:highlight w:val="none"/>
              </w:rPr>
              <w:t xml:space="preserve">清理</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天棚、灯具、设备每周1次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窗玻璃每两</w:t>
            </w:r>
            <w:r>
              <w:rPr>
                <w:rFonts w:hint="eastAsia" w:ascii="宋体" w:hAnsi="宋体" w:cs="宋体"/>
                <w:sz w:val="18"/>
                <w:szCs w:val="18"/>
                <w:highlight w:val="none"/>
              </w:rPr>
              <w:t xml:space="preserve">周</w:t>
            </w:r>
            <w:r>
              <w:rPr>
                <w:rFonts w:ascii="宋体" w:hAnsi="宋体" w:cs="宋体"/>
                <w:sz w:val="18"/>
                <w:szCs w:val="18"/>
                <w:highlight w:val="none"/>
              </w:rPr>
              <w:t xml:space="preserve">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会议桌椅、窗台、地面、门楣、门套、墙面、墙角无积尘、无污渍，光亮；会议桌椅摆放整齐</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窗帘挂放整齐；室内无异味；</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窗玻璃无积尘、无污渍，明亮</w:t>
            </w:r>
            <w:r>
              <w:rPr>
                <w:rFonts w:hint="eastAsia" w:ascii="宋体" w:hAnsi="宋体" w:cs="宋体"/>
                <w:sz w:val="18"/>
                <w:szCs w:val="18"/>
                <w:highlight w:val="none"/>
              </w:rPr>
              <w:t xml:space="preserve">。</w:t>
            </w:r>
            <w:r>
              <w:rPr>
                <w:highlight w:val="none"/>
              </w:rPr>
            </w:r>
            <w:r/>
          </w:p>
        </w:tc>
      </w:tr>
      <w:tr>
        <w:trPr>
          <w:jc w:val="center"/>
          <w:trHeight w:val="1974"/>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电梯：</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电梯轿厢、电梯厅、电梯门及门套、指示板、厢壁、通风口、天花板、灯具、监控器探头</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电梯轿厢、电梯厅、电梯门及门套、指示板、厢壁、每天保洁1次，且每两小时巡回保洁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天花板、灯具、监控器探头每周1次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电梯轿厢内无积尘、无污渍、无粘贴物；灯具、指示板明亮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厢内地面干净、无垃圾杂物；不锈钢表面无手印、无积尘，无污渍、光亮；</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电梯门槽内无垃圾杂物</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4.发现电梯故障，第一时间报修。</w:t>
            </w:r>
            <w:r>
              <w:rPr>
                <w:highlight w:val="none"/>
              </w:rPr>
            </w:r>
            <w:r/>
          </w:p>
        </w:tc>
      </w:tr>
      <w:tr>
        <w:trPr>
          <w:jc w:val="center"/>
          <w:trHeight w:val="1558"/>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6．天台：</w:t>
            </w:r>
            <w:r>
              <w:rPr>
                <w:highlight w:val="none"/>
              </w:rPr>
            </w:r>
            <w:r/>
          </w:p>
          <w:p>
            <w:pPr>
              <w:ind w:firstLine="322"/>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屋顶、露天阳台、雨篷、落水管等</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1.每年2次（5月、11月）清除屋面垃圾；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2.每2周检查屋顶、天台、雨篷卫生情况，及时保洁；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3.每周检查落水管情况，及时检修。</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1.天台、屋顶、露天阳台、雨篷等无杂物、无垃圾；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2.排水管道畅通，檐沟、雨水口、落水管畅通。</w:t>
            </w:r>
            <w:r>
              <w:rPr>
                <w:highlight w:val="none"/>
              </w:rPr>
            </w:r>
            <w:r/>
          </w:p>
        </w:tc>
      </w:tr>
      <w:tr>
        <w:trPr>
          <w:jc w:val="center"/>
          <w:trHeight w:val="1691"/>
        </w:trPr>
        <w:tc>
          <w:tcPr>
            <w:tcW w:w="1135" w:type="dxa"/>
            <w:vAlign w:val="center"/>
            <w:vMerge w:val="restart"/>
            <w:textDirection w:val="lrTb"/>
            <w:noWrap w:val="false"/>
          </w:tcPr>
          <w:p>
            <w:pPr>
              <w:jc w:val="center"/>
              <w:spacing w:line="360" w:lineRule="auto"/>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报告厅、多功能厅</w:t>
            </w:r>
            <w:r>
              <w:rPr>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1</w:t>
            </w:r>
            <w:r>
              <w:rPr>
                <w:rFonts w:hint="eastAsia" w:ascii="宋体" w:hAnsi="宋体" w:cs="宋体"/>
                <w:sz w:val="18"/>
                <w:szCs w:val="18"/>
                <w:highlight w:val="none"/>
              </w:rPr>
              <w:t xml:space="preserve">．</w:t>
            </w:r>
            <w:r>
              <w:rPr>
                <w:rFonts w:ascii="宋体" w:hAnsi="宋体" w:cs="宋体"/>
                <w:sz w:val="18"/>
                <w:szCs w:val="18"/>
                <w:highlight w:val="none"/>
              </w:rPr>
              <w:t xml:space="preserve">舞台：</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台面、侧台、地面、墙面、景杆、灯杆、各道幕布、灯光音响设备及构架、常用道具</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使用准备时台面、侧台、地面、墙面、灯光音响设备构架、幕布、常用道具全面保洁1次；用后及时地面保洁并整理道具等；平时每月保洁1次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景杆、灯杆、各道幕布、灯光音响设备配合专业人员每年保洁3次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演出时整体舞台清洁明亮效果好，地面、墙面无积尘、无污渍</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景杆、灯杆、各道幕布、灯光音响设备表面无积尘、无污渍</w:t>
            </w:r>
            <w:r>
              <w:rPr>
                <w:rFonts w:hint="eastAsia" w:ascii="宋体" w:hAnsi="宋体" w:cs="宋体"/>
                <w:sz w:val="18"/>
                <w:szCs w:val="18"/>
                <w:highlight w:val="none"/>
              </w:rPr>
              <w:t xml:space="preserve">。</w:t>
            </w:r>
            <w:r>
              <w:rPr>
                <w:highlight w:val="none"/>
              </w:rPr>
            </w:r>
            <w:r/>
          </w:p>
        </w:tc>
      </w:tr>
      <w:tr>
        <w:trPr>
          <w:jc w:val="center"/>
          <w:trHeight w:val="1275"/>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2</w:t>
            </w:r>
            <w:r>
              <w:rPr>
                <w:rFonts w:hint="eastAsia" w:ascii="宋体" w:hAnsi="宋体" w:cs="宋体"/>
                <w:sz w:val="18"/>
                <w:szCs w:val="18"/>
                <w:highlight w:val="none"/>
              </w:rPr>
              <w:t xml:space="preserve">．</w:t>
            </w:r>
            <w:r>
              <w:rPr>
                <w:rFonts w:ascii="宋体" w:hAnsi="宋体" w:cs="宋体"/>
                <w:sz w:val="18"/>
                <w:szCs w:val="18"/>
                <w:highlight w:val="none"/>
              </w:rPr>
              <w:t xml:space="preserve">道具室</w:t>
            </w:r>
            <w:r>
              <w:rPr>
                <w:rFonts w:hint="eastAsia" w:ascii="宋体" w:hAnsi="宋体" w:cs="宋体"/>
                <w:sz w:val="18"/>
                <w:szCs w:val="18"/>
                <w:highlight w:val="none"/>
              </w:rPr>
              <w:t xml:space="preserve">（</w:t>
            </w:r>
            <w:r>
              <w:rPr>
                <w:rFonts w:ascii="宋体" w:hAnsi="宋体" w:cs="宋体"/>
                <w:sz w:val="18"/>
                <w:szCs w:val="18"/>
                <w:highlight w:val="none"/>
              </w:rPr>
              <w:t xml:space="preserve">化妆室</w:t>
            </w:r>
            <w:r>
              <w:rPr>
                <w:rFonts w:hint="eastAsia" w:ascii="宋体" w:hAnsi="宋体" w:cs="宋体"/>
                <w:sz w:val="18"/>
                <w:szCs w:val="18"/>
                <w:highlight w:val="none"/>
              </w:rPr>
              <w:t xml:space="preserve">）</w:t>
            </w:r>
            <w:r>
              <w:rPr>
                <w:rFonts w:ascii="宋体" w:hAnsi="宋体" w:cs="宋体"/>
                <w:sz w:val="18"/>
                <w:szCs w:val="18"/>
                <w:highlight w:val="none"/>
              </w:rPr>
              <w:t xml:space="preserve">：</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化妆台、座椅、地面、窗台、窗玻璃、门楣、门套、墙面、墙角、天棚、灯具、水池、上下水管道</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使用准备时化妆台、座椅、地面、窗台、窗玻璃、门楣、门套、墙面、墙角、天棚、灯具、水池、上下水管道全面保洁1次；用后及时保洁并整理器具等；平时每月保洁1次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化妆台、座椅、地面、窗台、窗玻璃、门楣、门套、墙面、墙角、天棚、灯具、水池、上下水管道无积尘、无污渍；窗玻璃、镜子清洁、明亮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道具表面无积尘、无污渍，摆放整齐</w:t>
            </w:r>
            <w:r>
              <w:rPr>
                <w:rFonts w:hint="eastAsia" w:ascii="宋体" w:hAnsi="宋体" w:cs="宋体"/>
                <w:sz w:val="18"/>
                <w:szCs w:val="18"/>
                <w:highlight w:val="none"/>
              </w:rPr>
              <w:t xml:space="preserve">。</w:t>
            </w:r>
            <w:r>
              <w:rPr>
                <w:highlight w:val="none"/>
              </w:rPr>
            </w:r>
            <w:r/>
          </w:p>
        </w:tc>
      </w:tr>
      <w:tr>
        <w:trPr>
          <w:jc w:val="center"/>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3</w:t>
            </w:r>
            <w:r>
              <w:rPr>
                <w:rFonts w:hint="eastAsia" w:ascii="宋体" w:hAnsi="宋体" w:cs="宋体"/>
                <w:sz w:val="18"/>
                <w:szCs w:val="18"/>
                <w:highlight w:val="none"/>
              </w:rPr>
              <w:t xml:space="preserve">．</w:t>
            </w:r>
            <w:r>
              <w:rPr>
                <w:rFonts w:ascii="宋体" w:hAnsi="宋体" w:cs="宋体"/>
                <w:sz w:val="18"/>
                <w:szCs w:val="18"/>
                <w:highlight w:val="none"/>
              </w:rPr>
              <w:t xml:space="preserve">设备控制室：</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控制台、座椅、地面、窗门、门套、墙面、墙角、天棚、灯具、机柜</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使用准备时配合专业人员全面清理保洁1次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控制台、座椅、地面、窗台、窗玻璃、门楣、门套、墙面、墙角、天棚、灯具、机柜无积尘、无污渍</w:t>
            </w:r>
            <w:r>
              <w:rPr>
                <w:rFonts w:hint="eastAsia" w:ascii="宋体" w:hAnsi="宋体" w:cs="宋体"/>
                <w:sz w:val="18"/>
                <w:szCs w:val="18"/>
                <w:highlight w:val="none"/>
              </w:rPr>
              <w:t xml:space="preserve">。</w:t>
            </w:r>
            <w:r>
              <w:rPr>
                <w:highlight w:val="none"/>
              </w:rPr>
            </w:r>
            <w:r/>
          </w:p>
        </w:tc>
      </w:tr>
      <w:tr>
        <w:trPr>
          <w:jc w:val="center"/>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4</w:t>
            </w:r>
            <w:r>
              <w:rPr>
                <w:rFonts w:hint="eastAsia" w:ascii="宋体" w:hAnsi="宋体" w:cs="宋体"/>
                <w:sz w:val="18"/>
                <w:szCs w:val="18"/>
                <w:highlight w:val="none"/>
              </w:rPr>
              <w:t xml:space="preserve">．</w:t>
            </w:r>
            <w:r>
              <w:rPr>
                <w:rFonts w:ascii="宋体" w:hAnsi="宋体" w:cs="宋体"/>
                <w:sz w:val="18"/>
                <w:szCs w:val="18"/>
                <w:highlight w:val="none"/>
              </w:rPr>
              <w:t xml:space="preserve">观众</w:t>
            </w:r>
            <w:r>
              <w:rPr>
                <w:rFonts w:hint="eastAsia" w:ascii="宋体" w:hAnsi="宋体" w:cs="宋体"/>
                <w:sz w:val="18"/>
                <w:szCs w:val="18"/>
                <w:highlight w:val="none"/>
              </w:rPr>
              <w:t xml:space="preserve">席</w:t>
            </w:r>
            <w:r>
              <w:rPr>
                <w:rFonts w:ascii="宋体" w:hAnsi="宋体" w:cs="宋体"/>
                <w:sz w:val="18"/>
                <w:szCs w:val="18"/>
                <w:highlight w:val="none"/>
              </w:rPr>
              <w:t xml:space="preserve">：</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座椅、指示标牌、地面、门楣、门套、墙面、墙角</w:t>
            </w:r>
            <w:r>
              <w:rPr>
                <w:rFonts w:hint="eastAsia" w:ascii="宋体" w:hAnsi="宋体" w:cs="宋体"/>
                <w:sz w:val="18"/>
                <w:szCs w:val="18"/>
                <w:highlight w:val="none"/>
              </w:rPr>
              <w:t xml:space="preserve">、空调</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使用准备时全面清理保洁1次；用后及时地面保洁并整理</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平时每月保洁1次；</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座套1年清洗1次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4.空调滤网每学期清洗一次。</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座椅（座套）、地面、门楣、门套、墙面、墙角无积尘、无污渍</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室内空气质量好</w:t>
            </w:r>
            <w:r>
              <w:rPr>
                <w:rFonts w:hint="eastAsia" w:ascii="宋体" w:hAnsi="宋体" w:cs="宋体"/>
                <w:sz w:val="18"/>
                <w:szCs w:val="18"/>
                <w:highlight w:val="none"/>
              </w:rPr>
              <w:t xml:space="preserve">，无异味。</w:t>
            </w:r>
            <w:r>
              <w:rPr>
                <w:highlight w:val="none"/>
              </w:rPr>
            </w:r>
            <w:r/>
          </w:p>
        </w:tc>
      </w:tr>
      <w:tr>
        <w:trPr>
          <w:jc w:val="center"/>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5</w:t>
            </w:r>
            <w:r>
              <w:rPr>
                <w:rFonts w:hint="eastAsia" w:ascii="宋体" w:hAnsi="宋体" w:cs="宋体"/>
                <w:sz w:val="18"/>
                <w:szCs w:val="18"/>
                <w:highlight w:val="none"/>
              </w:rPr>
              <w:t xml:space="preserve">．</w:t>
            </w:r>
            <w:r>
              <w:rPr>
                <w:rFonts w:ascii="宋体" w:hAnsi="宋体" w:cs="宋体"/>
                <w:sz w:val="18"/>
                <w:szCs w:val="18"/>
                <w:highlight w:val="none"/>
              </w:rPr>
              <w:t xml:space="preserve">大厅：</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地面、墙面、踢脚线、台阶、天棚、装饰门及门套、宣传窗、垃圾桶、消防设施灯具装饰柱、植物花盆</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地面、台阶、宣传窗、垃圾桶、装饰柱、植物花盆等每天保洁1次，且巡回保洁；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装饰门及门套、踢脚线</w:t>
            </w:r>
            <w:r>
              <w:rPr>
                <w:rFonts w:hint="eastAsia" w:ascii="宋体" w:hAnsi="宋体" w:cs="宋体"/>
                <w:sz w:val="18"/>
                <w:szCs w:val="18"/>
                <w:highlight w:val="none"/>
              </w:rPr>
              <w:t xml:space="preserve">、</w:t>
            </w:r>
            <w:r>
              <w:rPr>
                <w:rFonts w:ascii="宋体" w:hAnsi="宋体" w:cs="宋体"/>
                <w:sz w:val="18"/>
                <w:szCs w:val="18"/>
                <w:highlight w:val="none"/>
              </w:rPr>
              <w:t xml:space="preserve">墙面、天棚、消防设施、灯具</w:t>
            </w:r>
            <w:r>
              <w:rPr>
                <w:rFonts w:hint="eastAsia" w:ascii="宋体" w:hAnsi="宋体" w:cs="宋体"/>
                <w:sz w:val="18"/>
                <w:szCs w:val="18"/>
                <w:highlight w:val="none"/>
              </w:rPr>
              <w:t xml:space="preserve">等设施</w:t>
            </w:r>
            <w:r>
              <w:rPr>
                <w:rFonts w:ascii="宋体" w:hAnsi="宋体" w:cs="宋体"/>
                <w:sz w:val="18"/>
                <w:szCs w:val="18"/>
                <w:highlight w:val="none"/>
              </w:rPr>
              <w:t xml:space="preserve">每周保洁1次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4.垃圾日产日清，楼层垃圾每日收集2次。</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，无擅自占用、乱贴乱画现象；</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植物花盆无积尘，无污渍</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6.室内垃圾箱保持清洁，清运及时，无外溢，无撒落。</w:t>
            </w:r>
            <w:r>
              <w:rPr>
                <w:highlight w:val="none"/>
              </w:rPr>
            </w:r>
            <w:r/>
          </w:p>
        </w:tc>
      </w:tr>
      <w:tr>
        <w:trPr>
          <w:jc w:val="center"/>
        </w:trPr>
        <w:tc>
          <w:tcPr>
            <w:tcW w:w="1135" w:type="dxa"/>
            <w:vAlign w:val="center"/>
            <w:vMerge w:val="restart"/>
            <w:textDirection w:val="lrTb"/>
            <w:noWrap w:val="false"/>
          </w:tcPr>
          <w:p>
            <w:pPr>
              <w:jc w:val="center"/>
              <w:spacing w:line="360" w:lineRule="auto"/>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体育馆、室外田径场</w:t>
            </w:r>
            <w:r>
              <w:rPr>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1</w:t>
            </w:r>
            <w:r>
              <w:rPr>
                <w:rFonts w:hint="eastAsia" w:ascii="宋体" w:hAnsi="宋体" w:cs="宋体"/>
                <w:sz w:val="18"/>
                <w:szCs w:val="18"/>
                <w:highlight w:val="none"/>
              </w:rPr>
              <w:t xml:space="preserve">．</w:t>
            </w:r>
            <w:r>
              <w:rPr>
                <w:rFonts w:ascii="宋体" w:hAnsi="宋体" w:cs="宋体"/>
                <w:sz w:val="18"/>
                <w:szCs w:val="18"/>
                <w:highlight w:val="none"/>
              </w:rPr>
              <w:t xml:space="preserve">大厅、楼道：</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地面、墙面、踢脚线、台阶、天棚、装饰门及门套、宣传窗、垃圾桶、消防设施、配电箱、灯具装饰柱、植物花盆</w:t>
            </w:r>
            <w:r>
              <w:rPr>
                <w:highlight w:val="none"/>
              </w:rPr>
            </w:r>
            <w:r/>
          </w:p>
        </w:tc>
        <w:tc>
          <w:tcPr>
            <w:tcW w:w="2977" w:type="dxa"/>
            <w:vAlign w:val="center"/>
            <w:textDirection w:val="lrTb"/>
            <w:noWrap w:val="false"/>
          </w:tcPr>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地面、台阶、宣传窗、垃圾桶、装饰柱、植物花盆等每天保洁1次，且巡回保洁；</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装饰门及门套、踢脚线</w:t>
            </w:r>
            <w:r>
              <w:rPr>
                <w:rFonts w:hint="eastAsia" w:ascii="宋体" w:hAnsi="宋体" w:cs="宋体"/>
                <w:sz w:val="18"/>
                <w:szCs w:val="18"/>
                <w:highlight w:val="none"/>
              </w:rPr>
              <w:t xml:space="preserve">、</w:t>
            </w:r>
            <w:r>
              <w:rPr>
                <w:rFonts w:ascii="宋体" w:hAnsi="宋体" w:cs="宋体"/>
                <w:sz w:val="18"/>
                <w:szCs w:val="18"/>
                <w:highlight w:val="none"/>
              </w:rPr>
              <w:t xml:space="preserve">墙面、天棚、消防设施、灯具</w:t>
            </w:r>
            <w:r>
              <w:rPr>
                <w:rFonts w:hint="eastAsia" w:ascii="宋体" w:hAnsi="宋体" w:cs="宋体"/>
                <w:sz w:val="18"/>
                <w:szCs w:val="18"/>
                <w:highlight w:val="none"/>
              </w:rPr>
              <w:t xml:space="preserve">等设施</w:t>
            </w:r>
            <w:r>
              <w:rPr>
                <w:rFonts w:ascii="宋体" w:hAnsi="宋体" w:cs="宋体"/>
                <w:sz w:val="18"/>
                <w:szCs w:val="18"/>
                <w:highlight w:val="none"/>
              </w:rPr>
              <w:t xml:space="preserve">每周保洁1次</w:t>
            </w:r>
            <w:r>
              <w:rPr>
                <w:rFonts w:hint="eastAsia" w:ascii="宋体" w:hAnsi="宋体" w:cs="宋体"/>
                <w:sz w:val="18"/>
                <w:szCs w:val="18"/>
                <w:highlight w:val="none"/>
              </w:rPr>
              <w:t xml:space="preserve">；</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4.垃圾日产日清，楼层垃圾每日收集2次。</w:t>
            </w:r>
            <w:r>
              <w:rPr>
                <w:highlight w:val="none"/>
              </w:rPr>
            </w:r>
            <w:r/>
          </w:p>
        </w:tc>
        <w:tc>
          <w:tcPr>
            <w:tcW w:w="3827" w:type="dxa"/>
            <w:vAlign w:val="center"/>
            <w:textDirection w:val="lrTb"/>
            <w:noWrap w:val="false"/>
          </w:tcPr>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，无擅自占用、乱贴乱画现象；</w:t>
            </w:r>
            <w:r>
              <w:rPr>
                <w:rFonts w:ascii="宋体" w:hAnsi="宋体" w:cs="宋体"/>
                <w:sz w:val="18"/>
                <w:szCs w:val="18"/>
                <w:highlight w:val="none"/>
              </w:rPr>
              <w:t xml:space="preserve"> </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植物花盆无积尘，无污渍</w:t>
            </w:r>
            <w:r>
              <w:rPr>
                <w:rFonts w:hint="eastAsia" w:ascii="宋体" w:hAnsi="宋体" w:cs="宋体"/>
                <w:sz w:val="18"/>
                <w:szCs w:val="18"/>
                <w:highlight w:val="none"/>
              </w:rPr>
              <w:t xml:space="preserve">；</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6.室内垃圾箱保持清洁，清运及时，无外溢，无撒落；</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7.铁栏杆油漆完好，无脱皮，扶手护栏干净。</w:t>
            </w:r>
            <w:r>
              <w:rPr>
                <w:highlight w:val="none"/>
              </w:rPr>
            </w:r>
            <w:r/>
          </w:p>
        </w:tc>
      </w:tr>
      <w:tr>
        <w:trPr>
          <w:jc w:val="center"/>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2</w:t>
            </w:r>
            <w:r>
              <w:rPr>
                <w:rFonts w:hint="eastAsia" w:ascii="宋体" w:hAnsi="宋体" w:cs="宋体"/>
                <w:sz w:val="18"/>
                <w:szCs w:val="18"/>
                <w:highlight w:val="none"/>
              </w:rPr>
              <w:t xml:space="preserve">．</w:t>
            </w:r>
            <w:r>
              <w:rPr>
                <w:rFonts w:ascii="宋体" w:hAnsi="宋体" w:cs="宋体"/>
                <w:sz w:val="18"/>
                <w:szCs w:val="18"/>
                <w:highlight w:val="none"/>
              </w:rPr>
              <w:t xml:space="preserve">公共卫生间：</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 地面、墙面、天棚、踢脚线、大小便器、垃圾篓、洗手盆、台面、镜子、门窗标牌、灯具、排气扇、上下水管道、水龙头</w:t>
            </w:r>
            <w:r>
              <w:rPr>
                <w:highlight w:val="none"/>
              </w:rPr>
            </w:r>
            <w:r/>
          </w:p>
        </w:tc>
        <w:tc>
          <w:tcPr>
            <w:tcW w:w="2977" w:type="dxa"/>
            <w:vAlign w:val="center"/>
            <w:textDirection w:val="lrTb"/>
            <w:noWrap w:val="false"/>
          </w:tcPr>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大型体育馆每周1次对卫生间全面保洁，用时巡回每两小时保洁</w:t>
            </w:r>
            <w:r>
              <w:rPr>
                <w:rFonts w:hint="eastAsia" w:ascii="宋体" w:hAnsi="宋体" w:cs="宋体"/>
                <w:sz w:val="18"/>
                <w:szCs w:val="18"/>
                <w:highlight w:val="none"/>
              </w:rPr>
              <w:t xml:space="preserve">；</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教育用风雨操场每天1次对卫生间全面保洁，巡回每两小时保洁</w:t>
            </w:r>
            <w:r>
              <w:rPr>
                <w:rFonts w:hint="eastAsia" w:ascii="宋体" w:hAnsi="宋体" w:cs="宋体"/>
                <w:sz w:val="18"/>
                <w:szCs w:val="18"/>
                <w:highlight w:val="none"/>
              </w:rPr>
              <w:t xml:space="preserve">；</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天棚、灯具、窗玻璃排气扇每周保洁1次</w:t>
            </w:r>
            <w:r>
              <w:rPr>
                <w:rFonts w:hint="eastAsia" w:ascii="宋体" w:hAnsi="宋体" w:cs="宋体"/>
                <w:sz w:val="18"/>
                <w:szCs w:val="18"/>
                <w:highlight w:val="none"/>
              </w:rPr>
              <w:t xml:space="preserve">；</w:t>
            </w:r>
            <w:r>
              <w:rPr>
                <w:highlight w:val="none"/>
              </w:rPr>
            </w:r>
            <w:r/>
          </w:p>
          <w:p>
            <w:pPr>
              <w:spacing w:line="200" w:lineRule="exact"/>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4.垃圾日产日清，楼层垃圾每日收集2次。</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卫生间无异味、厕坑便具洁净无黄渍、镜面、水盆、台面无污点，光亮；纸篓随时清理；</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墙面、天棚、墙角、灯具无积尘、蜘蛛网，光亮；</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地面无水渍、无污渍，无垃圾</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保洁工具与保洁用品要统一放在指定地点</w:t>
            </w:r>
            <w:r>
              <w:rPr>
                <w:rFonts w:hint="eastAsia" w:ascii="宋体" w:hAnsi="宋体" w:cs="宋体"/>
                <w:sz w:val="18"/>
                <w:szCs w:val="18"/>
                <w:highlight w:val="none"/>
              </w:rPr>
              <w:t xml:space="preserve">。</w:t>
            </w:r>
            <w:r>
              <w:rPr>
                <w:highlight w:val="none"/>
              </w:rPr>
            </w:r>
            <w:r/>
          </w:p>
        </w:tc>
      </w:tr>
      <w:tr>
        <w:trPr>
          <w:jc w:val="center"/>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3</w:t>
            </w:r>
            <w:r>
              <w:rPr>
                <w:rFonts w:hint="eastAsia" w:ascii="宋体" w:hAnsi="宋体" w:cs="宋体"/>
                <w:sz w:val="18"/>
                <w:szCs w:val="18"/>
                <w:highlight w:val="none"/>
              </w:rPr>
              <w:t xml:space="preserve">．</w:t>
            </w:r>
            <w:r>
              <w:rPr>
                <w:rFonts w:ascii="宋体" w:hAnsi="宋体" w:cs="宋体"/>
                <w:sz w:val="18"/>
                <w:szCs w:val="18"/>
                <w:highlight w:val="none"/>
              </w:rPr>
              <w:t xml:space="preserve">观众席：</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座椅、指示牌、地面、门楣、门套、墙面、墙角</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使用准备时全面清理保洁1次；用后及时地面保洁并整理</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平时每月保洁1次；座套1年清洗1次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座椅（座套）、地面、门楣、门套、墙面、墙角无积尘、无污渍</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室内空气质量好</w:t>
            </w:r>
            <w:r>
              <w:rPr>
                <w:rFonts w:hint="eastAsia" w:ascii="宋体" w:hAnsi="宋体" w:cs="宋体"/>
                <w:sz w:val="18"/>
                <w:szCs w:val="18"/>
                <w:highlight w:val="none"/>
              </w:rPr>
              <w:t xml:space="preserve">，无异味。</w:t>
            </w:r>
            <w:r>
              <w:rPr>
                <w:highlight w:val="none"/>
              </w:rPr>
            </w:r>
            <w:r/>
          </w:p>
        </w:tc>
      </w:tr>
      <w:tr>
        <w:trPr>
          <w:jc w:val="center"/>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4</w:t>
            </w:r>
            <w:r>
              <w:rPr>
                <w:rFonts w:hint="eastAsia" w:ascii="宋体" w:hAnsi="宋体" w:cs="宋体"/>
                <w:sz w:val="18"/>
                <w:szCs w:val="18"/>
                <w:highlight w:val="none"/>
              </w:rPr>
              <w:t xml:space="preserve">．</w:t>
            </w:r>
            <w:r>
              <w:rPr>
                <w:rFonts w:ascii="宋体" w:hAnsi="宋体" w:cs="宋体"/>
                <w:sz w:val="18"/>
                <w:szCs w:val="18"/>
                <w:highlight w:val="none"/>
              </w:rPr>
              <w:t xml:space="preserve">各类球场：</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地面、墙面、踢脚线、天棚、装饰门及门套、宣传窗、垃圾桶、消防设施、配电箱、灯具、体育器具</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地面、垃圾桶、装饰门及门套、踢脚线等每天全面保洁1次，巡回保洁；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墙面、宣传窗、天棚、消防设施、配电箱、灯具每</w:t>
            </w:r>
            <w:r>
              <w:rPr>
                <w:rFonts w:hint="eastAsia" w:ascii="宋体" w:hAnsi="宋体" w:cs="宋体"/>
                <w:sz w:val="18"/>
                <w:szCs w:val="18"/>
                <w:highlight w:val="none"/>
              </w:rPr>
              <w:t xml:space="preserve">周</w:t>
            </w:r>
            <w:r>
              <w:rPr>
                <w:rFonts w:ascii="宋体" w:hAnsi="宋体" w:cs="宋体"/>
                <w:sz w:val="18"/>
                <w:szCs w:val="18"/>
                <w:highlight w:val="none"/>
              </w:rPr>
              <w:t xml:space="preserve">保洁1次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5.铁栏杆油漆完好，无脱皮，扶手护栏干净。</w:t>
            </w:r>
            <w:r>
              <w:rPr>
                <w:highlight w:val="none"/>
              </w:rPr>
            </w:r>
            <w:r/>
          </w:p>
        </w:tc>
      </w:tr>
      <w:tr>
        <w:trPr>
          <w:jc w:val="center"/>
        </w:trPr>
        <w:tc>
          <w:tcPr>
            <w:tcW w:w="1135" w:type="dxa"/>
            <w:vMerge w:val="continue"/>
            <w:textDirection w:val="lrTb"/>
            <w:noWrap w:val="false"/>
          </w:tcPr>
          <w:p>
            <w:pP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电梯：</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电梯轿厢、电梯厅、电梯门及门套、指示板、厢壁、通风口、天花板、灯具、监控器探头</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电梯轿厢、电梯厅、电梯门及门套、指示板、厢壁、每天保洁1次，且每两小时巡回保洁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天花板、灯具、监控器探头每周1次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电梯轿厢内无积尘、无污渍、无粘贴物；灯具、指示板明亮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厢内地面干净、无垃圾杂物；不锈钢表面无手印、无积尘，无污渍、光亮；</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电梯门槽内无垃圾杂物</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4.发现电梯故障，第一时间报修。</w:t>
            </w:r>
            <w:r>
              <w:rPr>
                <w:highlight w:val="none"/>
              </w:rPr>
            </w:r>
            <w:r/>
          </w:p>
        </w:tc>
      </w:tr>
      <w:tr>
        <w:trPr>
          <w:jc w:val="center"/>
          <w:trHeight w:val="1975"/>
        </w:trPr>
        <w:tc>
          <w:tcPr>
            <w:tcW w:w="1135"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校史馆（艺术厅）</w:t>
            </w:r>
            <w:r>
              <w:rPr>
                <w:highlight w:val="none"/>
              </w:rPr>
            </w:r>
            <w:r/>
          </w:p>
        </w:tc>
        <w:tc>
          <w:tcPr>
            <w:tcW w:w="2268" w:type="dxa"/>
            <w:vAlign w:val="center"/>
            <w:textDirection w:val="lrTb"/>
            <w:noWrap w:val="false"/>
          </w:tcPr>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地面、窗台、窗玻璃、门楣、门套、墙面、墙角、天棚、展览台（柜）、展板、镜框、灯具</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开放期间每天全面保洁1次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闭馆期间地面、窗台、窗（柜）玻璃、门楣、门套、墙面、墙角、天棚展览台（柜）、展板、镜框每周保洁1次；</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灯具每月保洁1次</w:t>
            </w:r>
            <w:r>
              <w:rPr>
                <w:rFonts w:hint="eastAsia" w:ascii="宋体" w:hAnsi="宋体" w:cs="宋体"/>
                <w:sz w:val="18"/>
                <w:szCs w:val="18"/>
                <w:highlight w:val="none"/>
              </w:rPr>
              <w:t xml:space="preserve">。</w:t>
            </w:r>
            <w:r>
              <w:rPr>
                <w:rFonts w:ascii="宋体" w:hAnsi="宋体" w:cs="宋体"/>
                <w:sz w:val="18"/>
                <w:szCs w:val="18"/>
                <w:highlight w:val="none"/>
              </w:rPr>
              <w:t xml:space="preserve"> </w:t>
            </w:r>
            <w:r>
              <w:rPr>
                <w:highlight w:val="none"/>
              </w:rPr>
            </w:r>
            <w:r/>
          </w:p>
        </w:tc>
        <w:tc>
          <w:tcPr>
            <w:tcW w:w="3827" w:type="dxa"/>
            <w:vAlign w:val="center"/>
            <w:textDirection w:val="lrTb"/>
            <w:noWrap w:val="false"/>
          </w:tcPr>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地面、窗台、窗玻璃、门楣、门套、墙面、展览台（柜）、展板、镜框、无积尘、无污渍，室内空气良好，整体清洁整齐，明亮，展览作品无积尘、无污渍</w:t>
            </w:r>
            <w:r>
              <w:rPr>
                <w:rFonts w:hint="eastAsia" w:ascii="宋体" w:hAnsi="宋体" w:cs="宋体"/>
                <w:sz w:val="18"/>
                <w:szCs w:val="18"/>
                <w:highlight w:val="none"/>
              </w:rPr>
              <w:t xml:space="preserve">。</w:t>
            </w:r>
            <w:r>
              <w:rPr>
                <w:highlight w:val="none"/>
              </w:rPr>
            </w:r>
            <w:r/>
          </w:p>
        </w:tc>
      </w:tr>
      <w:tr>
        <w:trPr>
          <w:jc w:val="center"/>
          <w:trHeight w:val="2540"/>
        </w:trPr>
        <w:tc>
          <w:tcPr>
            <w:tcW w:w="1135" w:type="dxa"/>
            <w:vAlign w:val="center"/>
            <w:vMerge w:val="restart"/>
            <w:textDirection w:val="lrTb"/>
            <w:noWrap w:val="false"/>
          </w:tcPr>
          <w:p>
            <w:pPr>
              <w:jc w:val="center"/>
              <w:spacing w:line="360" w:lineRule="auto"/>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实训楼</w:t>
            </w:r>
            <w:r>
              <w:rPr>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1</w:t>
            </w:r>
            <w:r>
              <w:rPr>
                <w:rFonts w:hint="eastAsia" w:ascii="宋体" w:hAnsi="宋体" w:cs="宋体"/>
                <w:sz w:val="18"/>
                <w:szCs w:val="18"/>
                <w:highlight w:val="none"/>
              </w:rPr>
              <w:t xml:space="preserve">．</w:t>
            </w:r>
            <w:r>
              <w:rPr>
                <w:rFonts w:ascii="宋体" w:hAnsi="宋体" w:cs="宋体"/>
                <w:sz w:val="18"/>
                <w:szCs w:val="18"/>
                <w:highlight w:val="none"/>
              </w:rPr>
              <w:t xml:space="preserve">大厅：</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地面、墙面、踢脚线、台阶、天棚、装饰门及门套、宣传窗、垃圾桶、消防设施灯具装饰柱、植物花盆</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w:t>
            </w:r>
            <w:r>
              <w:rPr>
                <w:rFonts w:hint="eastAsia" w:ascii="宋体" w:hAnsi="宋体" w:cs="宋体"/>
                <w:sz w:val="18"/>
                <w:szCs w:val="18"/>
                <w:highlight w:val="none"/>
              </w:rPr>
              <w:t xml:space="preserve">三餐必拖；</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台阶、宣传窗、垃圾桶、装饰柱、</w:t>
            </w:r>
            <w:r>
              <w:rPr>
                <w:rFonts w:hint="eastAsia" w:ascii="宋体" w:hAnsi="宋体" w:cs="宋体"/>
                <w:sz w:val="18"/>
                <w:szCs w:val="18"/>
                <w:highlight w:val="none"/>
              </w:rPr>
              <w:t xml:space="preserve">电视机、</w:t>
            </w:r>
            <w:r>
              <w:rPr>
                <w:rFonts w:ascii="宋体" w:hAnsi="宋体" w:cs="宋体"/>
                <w:sz w:val="18"/>
                <w:szCs w:val="18"/>
                <w:highlight w:val="none"/>
              </w:rPr>
              <w:t xml:space="preserve">植物花盆等每天保洁1次，且巡回保洁；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装饰门及门套、踢脚线</w:t>
            </w:r>
            <w:r>
              <w:rPr>
                <w:rFonts w:hint="eastAsia" w:ascii="宋体" w:hAnsi="宋体" w:cs="宋体"/>
                <w:sz w:val="18"/>
                <w:szCs w:val="18"/>
                <w:highlight w:val="none"/>
              </w:rPr>
              <w:t xml:space="preserve">、</w:t>
            </w:r>
            <w:r>
              <w:rPr>
                <w:rFonts w:ascii="宋体" w:hAnsi="宋体" w:cs="宋体"/>
                <w:sz w:val="18"/>
                <w:szCs w:val="18"/>
                <w:highlight w:val="none"/>
              </w:rPr>
              <w:t xml:space="preserve">墙面、天棚、消防设施、灯具</w:t>
            </w:r>
            <w:r>
              <w:rPr>
                <w:rFonts w:hint="eastAsia" w:ascii="宋体" w:hAnsi="宋体" w:cs="宋体"/>
                <w:sz w:val="18"/>
                <w:szCs w:val="18"/>
                <w:highlight w:val="none"/>
              </w:rPr>
              <w:t xml:space="preserve">等设施</w:t>
            </w:r>
            <w:r>
              <w:rPr>
                <w:rFonts w:ascii="宋体" w:hAnsi="宋体" w:cs="宋体"/>
                <w:sz w:val="18"/>
                <w:szCs w:val="18"/>
                <w:highlight w:val="none"/>
              </w:rPr>
              <w:t xml:space="preserve">每周保洁1次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rFonts w:ascii="宋体" w:hAnsi="宋体" w:cs="宋体"/>
                <w:sz w:val="18"/>
                <w:szCs w:val="18"/>
                <w:highlight w:val="none"/>
              </w:rPr>
              <w:t xml:space="preserve"> </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，无擅自占用、乱贴乱画现象；</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植物花盆无积尘，无污渍</w:t>
            </w:r>
            <w:r>
              <w:rPr>
                <w:rFonts w:hint="eastAsia" w:ascii="宋体" w:hAnsi="宋体" w:cs="宋体"/>
                <w:sz w:val="18"/>
                <w:szCs w:val="18"/>
                <w:highlight w:val="none"/>
              </w:rPr>
              <w:t xml:space="preserve">。</w:t>
            </w:r>
            <w:r>
              <w:rPr>
                <w:highlight w:val="none"/>
              </w:rPr>
            </w:r>
            <w:r/>
          </w:p>
        </w:tc>
      </w:tr>
      <w:tr>
        <w:trPr>
          <w:jc w:val="center"/>
          <w:trHeight w:val="2251"/>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2</w:t>
            </w:r>
            <w:r>
              <w:rPr>
                <w:rFonts w:hint="eastAsia" w:ascii="宋体" w:hAnsi="宋体" w:cs="宋体"/>
                <w:sz w:val="18"/>
                <w:szCs w:val="18"/>
                <w:highlight w:val="none"/>
              </w:rPr>
              <w:t xml:space="preserve">．</w:t>
            </w:r>
            <w:r>
              <w:rPr>
                <w:rFonts w:ascii="宋体" w:hAnsi="宋体" w:cs="宋体"/>
                <w:sz w:val="18"/>
                <w:szCs w:val="18"/>
                <w:highlight w:val="none"/>
              </w:rPr>
              <w:t xml:space="preserve">楼道：</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地面、楼道梯级、扶手、墙面、踢脚线、配电箱、消防设备、楼道门、窗、灯具及开关、垃圾桶</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地面、楼梯、扶手、墙面、垃圾桶等每天保洁1次且巡回保洁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踢脚线、配电箱、消防设备、楼道门、窗、灯具及开关每周保洁1次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地砖或水磨石地面每月彻底刷洗1次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地面无水渍、无污渍，无垃圾，无积尘，光亮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墙面灰尘、无污渍，光亮，墙角无蜘蛛网</w:t>
            </w:r>
            <w:r>
              <w:rPr>
                <w:rFonts w:hint="eastAsia" w:ascii="宋体" w:hAnsi="宋体" w:cs="宋体"/>
                <w:sz w:val="18"/>
                <w:szCs w:val="18"/>
                <w:highlight w:val="none"/>
              </w:rPr>
              <w:t xml:space="preserve">；</w:t>
            </w:r>
            <w:r>
              <w:rPr>
                <w:rFonts w:ascii="宋体" w:hAnsi="宋体" w:cs="宋体"/>
                <w:sz w:val="18"/>
                <w:szCs w:val="18"/>
                <w:highlight w:val="none"/>
              </w:rPr>
              <w:t xml:space="preserve">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公共设施表面无积尘、无污渍、光亮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不锈钢表面无手印，无积尘，无污渍、光亮；玻璃上无手印，无积尘，无污渍、明亮</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窗台无积尘</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6.铁栏杆油漆完好，无脱皮，扶手护栏干净。</w:t>
            </w:r>
            <w:r>
              <w:rPr>
                <w:highlight w:val="none"/>
              </w:rPr>
            </w:r>
            <w:r/>
          </w:p>
        </w:tc>
      </w:tr>
      <w:tr>
        <w:trPr>
          <w:jc w:val="center"/>
          <w:trHeight w:val="2270"/>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ascii="宋体" w:hAnsi="宋体" w:cs="宋体"/>
                <w:sz w:val="18"/>
                <w:szCs w:val="18"/>
                <w:highlight w:val="none"/>
              </w:rPr>
              <w:t xml:space="preserve">3</w:t>
            </w:r>
            <w:r>
              <w:rPr>
                <w:rFonts w:hint="eastAsia" w:ascii="宋体" w:hAnsi="宋体" w:cs="宋体"/>
                <w:sz w:val="18"/>
                <w:szCs w:val="18"/>
                <w:highlight w:val="none"/>
              </w:rPr>
              <w:t xml:space="preserve">．</w:t>
            </w:r>
            <w:r>
              <w:rPr>
                <w:rFonts w:ascii="宋体" w:hAnsi="宋体" w:cs="宋体"/>
                <w:sz w:val="18"/>
                <w:szCs w:val="18"/>
                <w:highlight w:val="none"/>
              </w:rPr>
              <w:t xml:space="preserve">公共卫生间、开水房：</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地面、墙面、天棚、大小便器、垃圾篓、台面、镜子、门窗、灯具、排气扇、上下水管道、开水箱</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每天两次对卫生间全面保洁，且巡回每两小时保洁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天棚、灯具、窗玻璃排气扇每两周保洁1次</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开水房每天保洁1次，开水箱每两月清洗1次；每天定时开放</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排气扇</w:t>
            </w:r>
            <w:r>
              <w:rPr>
                <w:rFonts w:hint="eastAsia" w:ascii="宋体" w:hAnsi="宋体" w:cs="宋体"/>
                <w:sz w:val="18"/>
                <w:szCs w:val="18"/>
                <w:highlight w:val="none"/>
              </w:rPr>
              <w:t xml:space="preserve">每月清洁一次。</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卫生间无异味、厕坑便具洁净无黄渍、镜面、水盆、台面无污点，光亮；纸篓随时清理；</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墙面、天棚、墙角、灯具无积尘、无蜘蛛网；</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地面无水渍、无污渍，无垃圾，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开水房达到卫生标准、安全可靠</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t xml:space="preserve">保洁工具与保洁用品要统一放在指定地点</w:t>
            </w:r>
            <w:r>
              <w:rPr>
                <w:rFonts w:hint="eastAsia" w:ascii="宋体" w:hAnsi="宋体" w:cs="宋体"/>
                <w:sz w:val="18"/>
                <w:szCs w:val="18"/>
                <w:highlight w:val="none"/>
              </w:rPr>
              <w:t xml:space="preserve">。</w:t>
            </w:r>
            <w:r>
              <w:rPr>
                <w:highlight w:val="none"/>
              </w:rPr>
            </w:r>
            <w:r/>
          </w:p>
        </w:tc>
      </w:tr>
      <w:tr>
        <w:trPr>
          <w:jc w:val="center"/>
          <w:trHeight w:val="2118"/>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w:t>
            </w:r>
            <w:r>
              <w:rPr>
                <w:rFonts w:ascii="宋体" w:hAnsi="宋体" w:cs="宋体"/>
                <w:sz w:val="18"/>
                <w:szCs w:val="18"/>
                <w:highlight w:val="none"/>
              </w:rPr>
              <w:t xml:space="preserve">电梯：</w:t>
            </w:r>
            <w:r>
              <w:rPr>
                <w:highlight w:val="none"/>
              </w:rPr>
            </w:r>
            <w:r/>
          </w:p>
          <w:p>
            <w:pPr>
              <w:ind w:firstLine="322"/>
              <w:tabs>
                <w:tab w:val="left" w:pos="-21" w:leader="none"/>
              </w:tabs>
              <w:rPr>
                <w:rFonts w:ascii="宋体" w:hAnsi="宋体" w:cs="宋体"/>
                <w:sz w:val="18"/>
                <w:szCs w:val="18"/>
                <w:highlight w:val="none"/>
              </w:rPr>
            </w:pPr>
            <w:r>
              <w:rPr>
                <w:rFonts w:ascii="宋体" w:hAnsi="宋体" w:cs="宋体"/>
                <w:sz w:val="18"/>
                <w:szCs w:val="18"/>
                <w:highlight w:val="none"/>
              </w:rPr>
              <w:t xml:space="preserve">电梯轿厢、电梯厅、电梯门及门套、指示板、厢壁、通风口、天花板、灯具、监控器探头</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电梯轿厢、电梯厅、电梯门及门套、指示板、厢壁、每天保洁1次，且每两小时巡回保洁</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天花板、灯具、监控器探头每周1次</w:t>
            </w:r>
            <w:r>
              <w:rPr>
                <w:rFonts w:hint="eastAsia" w:ascii="宋体" w:hAnsi="宋体" w:cs="宋体"/>
                <w:sz w:val="18"/>
                <w:szCs w:val="18"/>
                <w:highlight w:val="none"/>
              </w:rPr>
              <w:t xml:space="preserve">。</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w:t>
            </w:r>
            <w:r>
              <w:rPr>
                <w:rFonts w:ascii="宋体" w:hAnsi="宋体" w:cs="宋体"/>
                <w:sz w:val="18"/>
                <w:szCs w:val="18"/>
                <w:highlight w:val="none"/>
              </w:rPr>
              <w:t xml:space="preserve">电梯轿厢内无积尘、无污渍、无粘贴物；灯具、指示板明亮 ；</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w:t>
            </w:r>
            <w:r>
              <w:rPr>
                <w:rFonts w:ascii="宋体" w:hAnsi="宋体" w:cs="宋体"/>
                <w:sz w:val="18"/>
                <w:szCs w:val="18"/>
                <w:highlight w:val="none"/>
              </w:rPr>
              <w:t xml:space="preserve">厢内地面干净、无垃圾杂物；不锈钢表面无手印、无积尘，无污渍、光亮；</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t xml:space="preserve">电梯门槽内无垃圾杂物</w:t>
            </w:r>
            <w:r>
              <w:rPr>
                <w:rFonts w:hint="eastAsia" w:ascii="宋体" w:hAnsi="宋体" w:cs="宋体"/>
                <w:sz w:val="18"/>
                <w:szCs w:val="18"/>
                <w:highlight w:val="none"/>
              </w:rPr>
              <w:t xml:space="preserve">；</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4.电梯发生故障，第一时间报修。</w:t>
            </w:r>
            <w:r>
              <w:rPr>
                <w:highlight w:val="none"/>
              </w:rPr>
            </w:r>
            <w:r/>
          </w:p>
        </w:tc>
      </w:tr>
      <w:tr>
        <w:trPr>
          <w:jc w:val="center"/>
          <w:trHeight w:val="1681"/>
        </w:trPr>
        <w:tc>
          <w:tcPr>
            <w:tcW w:w="1135" w:type="dxa"/>
            <w:vAlign w:val="center"/>
            <w:vMerge w:val="continue"/>
            <w:textDirection w:val="lrTb"/>
            <w:noWrap w:val="false"/>
          </w:tcPr>
          <w:p>
            <w:pPr>
              <w:jc w:val="center"/>
              <w:spacing w:line="360" w:lineRule="auto"/>
              <w:tabs>
                <w:tab w:val="left" w:pos="-21" w:leader="none"/>
              </w:tabs>
              <w:rPr>
                <w:rFonts w:ascii="宋体" w:hAnsi="宋体" w:cs="宋体"/>
                <w:sz w:val="18"/>
                <w:szCs w:val="18"/>
                <w:highlight w:val="none"/>
              </w:rPr>
            </w:pPr>
            <w:r>
              <w:rPr>
                <w:rFonts w:ascii="宋体" w:hAnsi="宋体" w:cs="宋体"/>
                <w:sz w:val="18"/>
                <w:szCs w:val="18"/>
                <w:highlight w:val="none"/>
              </w:rPr>
            </w:r>
            <w:r/>
          </w:p>
        </w:tc>
        <w:tc>
          <w:tcPr>
            <w:tcW w:w="2268"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5．天台：</w:t>
            </w:r>
            <w:r>
              <w:rPr>
                <w:highlight w:val="none"/>
              </w:rPr>
            </w:r>
            <w:r/>
          </w:p>
          <w:p>
            <w:pPr>
              <w:ind w:firstLine="322"/>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屋顶、露天阳台、雨篷、落水管等</w:t>
            </w:r>
            <w:r>
              <w:rPr>
                <w:highlight w:val="none"/>
              </w:rPr>
            </w:r>
            <w:r/>
          </w:p>
        </w:tc>
        <w:tc>
          <w:tcPr>
            <w:tcW w:w="297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1.每年2次（5月、11月）清除屋面垃圾；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2.每2周检查屋顶、天台、雨篷卫生情况，及时保洁；</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3.每周检查落水管情况，及时检修。</w:t>
            </w:r>
            <w:r>
              <w:rPr>
                <w:highlight w:val="none"/>
              </w:rPr>
            </w:r>
            <w:r/>
          </w:p>
        </w:tc>
        <w:tc>
          <w:tcPr>
            <w:tcW w:w="3827" w:type="dxa"/>
            <w:vAlign w:val="center"/>
            <w:textDirection w:val="lrTb"/>
            <w:noWrap w:val="false"/>
          </w:tcPr>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1.天台、屋顶、露天阳台、雨篷等无杂物、无垃圾；</w:t>
            </w:r>
            <w:r>
              <w:rPr>
                <w:highlight w:val="none"/>
              </w:rPr>
            </w:r>
            <w:r/>
          </w:p>
          <w:p>
            <w:pPr>
              <w:tabs>
                <w:tab w:val="left" w:pos="-21" w:leader="none"/>
              </w:tabs>
              <w:rPr>
                <w:rFonts w:ascii="宋体" w:hAnsi="宋体" w:cs="宋体"/>
                <w:sz w:val="18"/>
                <w:szCs w:val="18"/>
                <w:highlight w:val="none"/>
              </w:rPr>
            </w:pPr>
            <w:r>
              <w:rPr>
                <w:rFonts w:hint="eastAsia" w:ascii="宋体" w:hAnsi="宋体" w:cs="宋体"/>
                <w:sz w:val="18"/>
                <w:szCs w:val="18"/>
                <w:highlight w:val="none"/>
              </w:rPr>
              <w:t xml:space="preserve">2.排水管道畅通，檐沟、雨水口、落水管畅通。</w:t>
            </w:r>
            <w:r>
              <w:rPr>
                <w:highlight w:val="none"/>
              </w:rPr>
            </w:r>
            <w:r/>
          </w:p>
        </w:tc>
      </w:tr>
    </w:tbl>
    <w:p>
      <w:pPr>
        <w:spacing w:line="360" w:lineRule="auto"/>
        <w:tabs>
          <w:tab w:val="left" w:pos="-21" w:leader="none"/>
        </w:tabs>
        <w:rPr>
          <w:rFonts w:ascii="宋体" w:hAnsi="宋体" w:cs="宋体"/>
          <w:sz w:val="24"/>
          <w:highlight w:val="none"/>
        </w:rPr>
      </w:pPr>
      <w:r>
        <w:rPr>
          <w:rFonts w:ascii="宋体" w:hAnsi="宋体" w:cs="宋体"/>
          <w:sz w:val="24"/>
          <w:highlight w:val="none"/>
        </w:rPr>
      </w:r>
      <w:r>
        <w:rPr>
          <w:highlight w:val="none"/>
        </w:rPr>
      </w:r>
      <w:r/>
    </w:p>
    <w:p>
      <w:pPr>
        <w:spacing w:line="360" w:lineRule="auto"/>
        <w:tabs>
          <w:tab w:val="left" w:pos="-21" w:leader="none"/>
        </w:tabs>
        <w:rPr>
          <w:rFonts w:ascii="宋体" w:hAnsi="宋体" w:cs="宋体"/>
          <w:sz w:val="24"/>
          <w:highlight w:val="none"/>
        </w:rPr>
      </w:pPr>
      <w:r>
        <w:rPr>
          <w:rFonts w:hint="eastAsia" w:ascii="宋体" w:hAnsi="宋体" w:cs="宋体"/>
          <w:sz w:val="24"/>
          <w:highlight w:val="none"/>
        </w:rPr>
        <w:t xml:space="preserve">二</w:t>
      </w:r>
      <w:r>
        <w:rPr>
          <w:rFonts w:ascii="宋体" w:hAnsi="宋体" w:cs="宋体"/>
          <w:sz w:val="24"/>
          <w:highlight w:val="none"/>
        </w:rPr>
        <w:t xml:space="preserve">、教学楼、</w:t>
      </w:r>
      <w:r>
        <w:rPr>
          <w:rFonts w:hint="eastAsia" w:ascii="宋体" w:hAnsi="宋体" w:cs="宋体"/>
          <w:sz w:val="24"/>
          <w:highlight w:val="none"/>
        </w:rPr>
        <w:t xml:space="preserve">行政</w:t>
      </w:r>
      <w:r>
        <w:rPr>
          <w:rFonts w:ascii="宋体" w:hAnsi="宋体" w:cs="宋体"/>
          <w:sz w:val="24"/>
          <w:highlight w:val="none"/>
        </w:rPr>
        <w:t xml:space="preserve">楼</w:t>
      </w:r>
      <w:r>
        <w:rPr>
          <w:rFonts w:hint="eastAsia" w:ascii="宋体" w:hAnsi="宋体" w:cs="宋体"/>
          <w:sz w:val="24"/>
          <w:highlight w:val="none"/>
        </w:rPr>
        <w:t xml:space="preserve">、图书馆</w:t>
      </w:r>
      <w:r>
        <w:rPr>
          <w:rFonts w:ascii="宋体" w:hAnsi="宋体" w:cs="宋体"/>
          <w:sz w:val="24"/>
          <w:highlight w:val="none"/>
        </w:rPr>
        <w:t xml:space="preserve">等楼堂馆所综合管理</w:t>
      </w:r>
      <w:r>
        <w:rPr>
          <w:highlight w:val="none"/>
        </w:rPr>
      </w:r>
      <w:r/>
    </w:p>
    <w:tbl>
      <w:tblPr>
        <w:tblStyle w:val="935"/>
        <w:tblW w:w="8975"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1949"/>
        <w:gridCol w:w="7026"/>
      </w:tblGrid>
      <w:tr>
        <w:trPr>
          <w:jc w:val="center"/>
          <w:tblCellSpacing w:w="0" w:type="dxa"/>
          <w:trHeight w:val="502"/>
        </w:trPr>
        <w:tc>
          <w:tcPr>
            <w:tcW w:w="1949" w:type="dxa"/>
            <w:vAlign w:val="center"/>
            <w:textDirection w:val="lrTb"/>
            <w:noWrap w:val="false"/>
          </w:tcPr>
          <w:p>
            <w:pPr>
              <w:jc w:val="center"/>
              <w:tabs>
                <w:tab w:val="left" w:pos="-21" w:leader="none"/>
              </w:tabs>
              <w:rPr>
                <w:rFonts w:ascii="宋体" w:hAnsi="宋体" w:cs="宋体"/>
                <w:highlight w:val="none"/>
              </w:rPr>
            </w:pPr>
            <w:r>
              <w:rPr>
                <w:rFonts w:ascii="宋体" w:hAnsi="宋体" w:cs="宋体"/>
                <w:highlight w:val="none"/>
              </w:rPr>
              <w:t xml:space="preserve">项目</w:t>
            </w:r>
            <w:r>
              <w:rPr>
                <w:highlight w:val="none"/>
              </w:rPr>
            </w:r>
            <w:r/>
          </w:p>
        </w:tc>
        <w:tc>
          <w:tcPr>
            <w:tcW w:w="7026" w:type="dxa"/>
            <w:vAlign w:val="center"/>
            <w:textDirection w:val="lrTb"/>
            <w:noWrap w:val="false"/>
          </w:tcPr>
          <w:p>
            <w:pPr>
              <w:jc w:val="center"/>
              <w:tabs>
                <w:tab w:val="left" w:pos="-21" w:leader="none"/>
              </w:tabs>
              <w:rPr>
                <w:rFonts w:ascii="宋体" w:hAnsi="宋体" w:cs="宋体"/>
                <w:highlight w:val="none"/>
              </w:rPr>
            </w:pPr>
            <w:r>
              <w:rPr>
                <w:rFonts w:ascii="宋体" w:hAnsi="宋体" w:cs="宋体"/>
                <w:highlight w:val="none"/>
              </w:rPr>
              <w:t xml:space="preserve">服务质量标准</w:t>
            </w:r>
            <w:r>
              <w:rPr>
                <w:highlight w:val="none"/>
              </w:rPr>
            </w:r>
            <w:r/>
          </w:p>
        </w:tc>
      </w:tr>
      <w:tr>
        <w:trPr>
          <w:jc w:val="center"/>
          <w:tblCellSpacing w:w="0" w:type="dxa"/>
        </w:trPr>
        <w:tc>
          <w:tcPr>
            <w:tcW w:w="1949" w:type="dxa"/>
            <w:vAlign w:val="center"/>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教学楼</w:t>
            </w:r>
            <w:r>
              <w:rPr>
                <w:highlight w:val="none"/>
              </w:rPr>
            </w:r>
            <w:r/>
          </w:p>
        </w:tc>
        <w:tc>
          <w:tcPr>
            <w:tcW w:w="7026" w:type="dxa"/>
            <w:vAlign w:val="center"/>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1、使用文明用语，微笑服务，服务整改合格率100%；</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2、定期检查安全、卫生及设备完好状况，合格率95%以上，发现问题及时报修，并做好记录；</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3、根据课程安排，提前检查教室准备工作，为师生提供方便、舒适的上课环境；</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4</w:t>
            </w:r>
            <w:r>
              <w:rPr>
                <w:rFonts w:ascii="宋体" w:hAnsi="宋体" w:cs="宋体"/>
                <w:highlight w:val="none"/>
              </w:rPr>
              <w:t xml:space="preserve">、熟悉本楼宇情况，包括：教室、座位、卫生间数量，公共区域面积，上课老师的特征及其教学安排等；具备处理应急突发事件的能力；</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5</w:t>
            </w:r>
            <w:r>
              <w:rPr>
                <w:rFonts w:ascii="宋体" w:hAnsi="宋体" w:cs="宋体"/>
                <w:highlight w:val="none"/>
              </w:rPr>
              <w:t xml:space="preserve">、按学校要求</w:t>
            </w:r>
            <w:r>
              <w:rPr>
                <w:rFonts w:hint="eastAsia" w:ascii="宋体" w:hAnsi="宋体" w:cs="宋体"/>
                <w:highlight w:val="none"/>
              </w:rPr>
              <w:t xml:space="preserve">做好教室的开门、关门、送电、关电工作；</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6、例行检查水电使用情况，及时关闭无人灯和长流水。</w:t>
            </w:r>
            <w:r>
              <w:rPr>
                <w:highlight w:val="none"/>
              </w:rPr>
            </w:r>
            <w:r/>
          </w:p>
        </w:tc>
      </w:tr>
      <w:tr>
        <w:trPr>
          <w:jc w:val="center"/>
          <w:tblCellSpacing w:w="0" w:type="dxa"/>
        </w:trPr>
        <w:tc>
          <w:tcPr>
            <w:tcW w:w="1949" w:type="dxa"/>
            <w:vAlign w:val="center"/>
            <w:textDirection w:val="lrTb"/>
            <w:noWrap w:val="false"/>
          </w:tcPr>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行政</w:t>
            </w:r>
            <w:r>
              <w:rPr>
                <w:rFonts w:ascii="宋体" w:hAnsi="宋体" w:cs="宋体"/>
                <w:highlight w:val="none"/>
              </w:rPr>
              <w:t xml:space="preserve">楼</w:t>
            </w:r>
            <w:r>
              <w:rPr>
                <w:highlight w:val="none"/>
              </w:rPr>
            </w:r>
            <w:r/>
          </w:p>
        </w:tc>
        <w:tc>
          <w:tcPr>
            <w:tcW w:w="7026" w:type="dxa"/>
            <w:vAlign w:val="center"/>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1、使用文明用语，微笑服务，服务整改合格率100%；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2、定期检查安全、卫生、设备完好状况，合格率95%以上，并按要求及时记录；</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3、挂牌服务，礼貌待客；向导咨询，有求必应；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4、熟悉本楼宇情况，包括：办公单位及其方位，卫生间数量，公共区域面积，办公人员的特征及工作时间等；具备处理应急突发事件的能力；</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外来人员出入登记规范，禁止无关人员进入行政楼；</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6、发现</w:t>
            </w:r>
            <w:r>
              <w:rPr>
                <w:rFonts w:ascii="宋体" w:hAnsi="宋体" w:cs="宋体"/>
                <w:highlight w:val="none"/>
              </w:rPr>
              <w:t xml:space="preserve">设施设备出现故障，及时上报维修</w:t>
            </w:r>
            <w:r>
              <w:rPr>
                <w:rFonts w:hint="eastAsia" w:ascii="宋体" w:hAnsi="宋体" w:cs="宋体"/>
                <w:highlight w:val="none"/>
              </w:rPr>
              <w:t xml:space="preserve">；</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7、根据要求做好开门、关门、送电、关电工作。</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8、做好便民服务工作；</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9、与业务部门沟通联系，及时处理投诉。</w:t>
            </w:r>
            <w:r>
              <w:rPr>
                <w:highlight w:val="none"/>
              </w:rPr>
            </w:r>
            <w:r/>
          </w:p>
        </w:tc>
      </w:tr>
      <w:tr>
        <w:trPr>
          <w:jc w:val="center"/>
          <w:tblCellSpacing w:w="0" w:type="dxa"/>
        </w:trPr>
        <w:tc>
          <w:tcPr>
            <w:tcW w:w="1949" w:type="dxa"/>
            <w:vAlign w:val="center"/>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图书馆</w:t>
            </w:r>
            <w:r>
              <w:rPr>
                <w:highlight w:val="none"/>
              </w:rPr>
            </w:r>
            <w:r/>
          </w:p>
        </w:tc>
        <w:tc>
          <w:tcPr>
            <w:tcW w:w="7026" w:type="dxa"/>
            <w:vAlign w:val="center"/>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1、使用文明用语，微笑服务，服务整改合格率100%；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2、定期检查安全、卫生、设备完好状况，合格率95%以上，并按要求及时记录；</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3、熟悉本馆情况，包括：分区情况及其方位，卫生间数量，公共区域面积，管理人员的特征及工作时间等；具备处理应急突发事件的能力；</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发现</w:t>
            </w:r>
            <w:r>
              <w:rPr>
                <w:rFonts w:ascii="宋体" w:hAnsi="宋体" w:cs="宋体"/>
                <w:highlight w:val="none"/>
              </w:rPr>
              <w:t xml:space="preserve">设施设备出现故障，及时上报维修</w:t>
            </w:r>
            <w:r>
              <w:rPr>
                <w:rFonts w:hint="eastAsia" w:ascii="宋体" w:hAnsi="宋体" w:cs="宋体"/>
                <w:highlight w:val="none"/>
              </w:rPr>
              <w:t xml:space="preserve">；</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5、根据要求做好开门、关门、送电、关电工作。</w:t>
            </w:r>
            <w:r>
              <w:rPr>
                <w:highlight w:val="none"/>
              </w:rPr>
            </w:r>
            <w:r/>
          </w:p>
        </w:tc>
      </w:tr>
    </w:tbl>
    <w:p>
      <w:pPr>
        <w:spacing w:line="360" w:lineRule="auto"/>
        <w:tabs>
          <w:tab w:val="left" w:pos="-21" w:leader="none"/>
        </w:tabs>
        <w:rPr>
          <w:rFonts w:ascii="宋体" w:hAnsi="宋体" w:cs="宋体"/>
          <w:sz w:val="24"/>
          <w:highlight w:val="none"/>
        </w:rPr>
      </w:pPr>
      <w:r>
        <w:rPr>
          <w:rFonts w:ascii="宋体" w:hAnsi="宋体" w:cs="宋体"/>
          <w:sz w:val="24"/>
          <w:highlight w:val="none"/>
        </w:rPr>
      </w:r>
      <w:r>
        <w:rPr>
          <w:highlight w:val="none"/>
        </w:rPr>
      </w:r>
      <w:r/>
    </w:p>
    <w:p>
      <w:pPr>
        <w:ind w:firstLine="429"/>
        <w:spacing w:line="360" w:lineRule="auto"/>
        <w:tabs>
          <w:tab w:val="left" w:pos="-21" w:leader="none"/>
        </w:tabs>
        <w:rPr>
          <w:rFonts w:ascii="宋体" w:hAnsi="宋体" w:cs="宋体"/>
          <w:sz w:val="24"/>
          <w:highlight w:val="none"/>
        </w:rPr>
      </w:pPr>
      <w:r>
        <w:rPr>
          <w:rFonts w:hint="eastAsia" w:ascii="宋体" w:hAnsi="宋体" w:cs="宋体"/>
          <w:sz w:val="24"/>
          <w:highlight w:val="none"/>
        </w:rPr>
        <w:t xml:space="preserve">三、</w:t>
      </w:r>
      <w:r>
        <w:rPr>
          <w:rFonts w:ascii="宋体" w:hAnsi="宋体" w:cs="宋体"/>
          <w:sz w:val="24"/>
          <w:highlight w:val="none"/>
        </w:rPr>
        <w:t xml:space="preserve">设施设备小</w:t>
      </w:r>
      <w:r>
        <w:rPr>
          <w:rFonts w:hint="eastAsia" w:ascii="宋体" w:hAnsi="宋体" w:cs="宋体"/>
          <w:sz w:val="24"/>
          <w:highlight w:val="none"/>
        </w:rPr>
        <w:t xml:space="preserve">型维修养护</w:t>
      </w:r>
      <w:r>
        <w:rPr>
          <w:highlight w:val="none"/>
        </w:rPr>
      </w:r>
      <w:r/>
    </w:p>
    <w:tbl>
      <w:tblPr>
        <w:tblStyle w:val="935"/>
        <w:tblW w:w="9108"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1417"/>
        <w:gridCol w:w="7691"/>
      </w:tblGrid>
      <w:tr>
        <w:trPr>
          <w:jc w:val="center"/>
          <w:tblCellSpacing w:w="0" w:type="dxa"/>
          <w:trHeight w:val="654"/>
          <w:tblHeader/>
        </w:trPr>
        <w:tc>
          <w:tcPr>
            <w:tcW w:w="1417" w:type="dxa"/>
            <w:vAlign w:val="center"/>
            <w:textDirection w:val="lrTb"/>
            <w:noWrap w:val="false"/>
          </w:tcPr>
          <w:p>
            <w:pPr>
              <w:jc w:val="center"/>
              <w:tabs>
                <w:tab w:val="left" w:pos="-21" w:leader="none"/>
              </w:tabs>
              <w:rPr>
                <w:rFonts w:ascii="宋体" w:hAnsi="宋体" w:cs="宋体"/>
                <w:highlight w:val="none"/>
              </w:rPr>
            </w:pPr>
            <w:r>
              <w:rPr>
                <w:rFonts w:ascii="宋体" w:hAnsi="宋体" w:cs="宋体"/>
                <w:highlight w:val="none"/>
              </w:rPr>
              <w:t xml:space="preserve">服务内容</w:t>
            </w:r>
            <w:r>
              <w:rPr>
                <w:highlight w:val="none"/>
              </w:rPr>
            </w:r>
            <w:r/>
          </w:p>
        </w:tc>
        <w:tc>
          <w:tcPr>
            <w:tcW w:w="7691" w:type="dxa"/>
            <w:vAlign w:val="center"/>
            <w:textDirection w:val="lrTb"/>
            <w:noWrap w:val="false"/>
          </w:tcPr>
          <w:p>
            <w:pPr>
              <w:jc w:val="center"/>
              <w:tabs>
                <w:tab w:val="left" w:pos="-21" w:leader="none"/>
              </w:tabs>
              <w:rPr>
                <w:rFonts w:ascii="宋体" w:hAnsi="宋体" w:cs="宋体"/>
                <w:highlight w:val="none"/>
              </w:rPr>
            </w:pPr>
            <w:r>
              <w:rPr>
                <w:rFonts w:ascii="宋体" w:hAnsi="宋体" w:cs="宋体"/>
                <w:highlight w:val="none"/>
              </w:rPr>
              <w:t xml:space="preserve">服务</w:t>
            </w:r>
            <w:r>
              <w:rPr>
                <w:rFonts w:hint="eastAsia" w:ascii="宋体" w:hAnsi="宋体" w:cs="宋体"/>
                <w:highlight w:val="none"/>
              </w:rPr>
              <w:t xml:space="preserve">质量</w:t>
            </w:r>
            <w:r>
              <w:rPr>
                <w:rFonts w:ascii="宋体" w:hAnsi="宋体" w:cs="宋体"/>
                <w:highlight w:val="none"/>
              </w:rPr>
              <w:t xml:space="preserve">标准</w:t>
            </w:r>
            <w:r>
              <w:rPr>
                <w:highlight w:val="none"/>
              </w:rPr>
            </w:r>
            <w:r/>
          </w:p>
        </w:tc>
      </w:tr>
      <w:tr>
        <w:trPr>
          <w:jc w:val="center"/>
          <w:tblCellSpacing w:w="0" w:type="dxa"/>
        </w:trPr>
        <w:tc>
          <w:tcPr>
            <w:tcW w:w="1417" w:type="dxa"/>
            <w:vAlign w:val="center"/>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屋面、</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地面、</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顶棚、</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室内外抹灰、</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门窗、</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玻璃、</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上下水、</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电气线路及设施、</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卫生设备、</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垃圾道等</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r>
            <w:r>
              <w:rPr>
                <w:highlight w:val="none"/>
              </w:rPr>
            </w:r>
            <w:r/>
          </w:p>
        </w:tc>
        <w:tc>
          <w:tcPr>
            <w:tcW w:w="7691" w:type="dxa"/>
            <w:vAlign w:val="center"/>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一、房屋土建及设备小修标准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时限要求：急迫性小修项目包括：楼房厕浴间排污管道堵塞；室内给水系统小修、换管；烟道堵塞等。自接到报修之时起</w:t>
            </w:r>
            <w:r>
              <w:rPr>
                <w:rFonts w:hint="eastAsia" w:ascii="宋体" w:hAnsi="宋体" w:cs="宋体"/>
                <w:highlight w:val="none"/>
              </w:rPr>
              <w:t xml:space="preserve">15分钟</w:t>
            </w:r>
            <w:r>
              <w:rPr>
                <w:rFonts w:ascii="宋体" w:hAnsi="宋体" w:cs="宋体"/>
                <w:highlight w:val="none"/>
              </w:rPr>
              <w:t xml:space="preserve">到达现场。除急迫性小修之外的零修项目为维护性小修：自接到报修之日起，三日之内处理或预约修复日期。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室内地面、散水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普通水泥楼面和地面起砂空鼓、影响使用，楼面或地面的块料面层松动的、散水严重破损影响其功能的，应修补；木楼板损坏、松动、残缺的，应修复，如磨损过薄影响安全的，可局部拆换；质量标准：普通水泥楼面地面及散维修后应平整、光滑、接槎平顺；木质楼地面维修后应牢固、平整、拼缝严密。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2、</w:t>
            </w:r>
            <w:r>
              <w:rPr>
                <w:rFonts w:ascii="宋体" w:hAnsi="宋体" w:cs="宋体"/>
                <w:highlight w:val="none"/>
              </w:rPr>
              <w:t xml:space="preserve">室内墙面及顶棚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内墙及踢脚线抹灰空鼓、剥落的应修补；顶棚抹灰空鼓、剥落的应修补；质量标准：修缮后的内墙面及顶棚应恢复原有使用功能，抹面应接槎平整、不开裂、不空鼓、不起泡、不翘边，面层与基层结合牢固。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3、</w:t>
            </w:r>
            <w:r>
              <w:rPr>
                <w:rFonts w:ascii="宋体" w:hAnsi="宋体" w:cs="宋体"/>
                <w:highlight w:val="none"/>
              </w:rPr>
              <w:t xml:space="preserve">检修门窗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钢木门窗框松动、门窗扇开关不灵活、脱榫、糟朽、开焊、小五金缺损的应进行修补；质量标准：修后的钢木门窗应开关灵活不松动，框与墙体结合牢固，五金齐全。玻璃装钉牢固，腻子饱满，窗纱绷紧，不露纱头。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4、</w:t>
            </w:r>
            <w:r>
              <w:rPr>
                <w:rFonts w:ascii="宋体" w:hAnsi="宋体" w:cs="宋体"/>
                <w:highlight w:val="none"/>
              </w:rPr>
              <w:t xml:space="preserve">烟道、垃圾道等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小修内容：烟道裂缝、破损、堵塞现象；垃圾道堵塞；垃圾道、出垃圾门及出屋面排气孔损坏的应修复；质量标准：修缮后烟道及垃圾道应畅通，垃圾斗、出垃圾门零件齐全，排气孔不向垃圾道内漏水。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5、</w:t>
            </w:r>
            <w:r>
              <w:rPr>
                <w:rFonts w:ascii="宋体" w:hAnsi="宋体" w:cs="宋体"/>
                <w:highlight w:val="none"/>
              </w:rPr>
              <w:t xml:space="preserve">清扫屋面、采光井、雨落管等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小修内容：每年应将屋面、雨水口及采光井积存的杂物清扫干净；雨落管局部残缺、破损应更换；质量标准：屋面采光井应清扫干净，雨落管修缮后应补齐五金配件。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6、</w:t>
            </w:r>
            <w:r>
              <w:rPr>
                <w:rFonts w:ascii="宋体" w:hAnsi="宋体" w:cs="宋体"/>
                <w:highlight w:val="none"/>
              </w:rPr>
              <w:t xml:space="preserve">屋面补漏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小修内容：屋面局部滴漏</w:t>
            </w:r>
            <w:r>
              <w:rPr>
                <w:rFonts w:hint="eastAsia" w:ascii="宋体" w:hAnsi="宋体" w:cs="宋体"/>
                <w:highlight w:val="none"/>
              </w:rPr>
              <w:t xml:space="preserve">以致</w:t>
            </w:r>
            <w:r>
              <w:rPr>
                <w:rFonts w:ascii="宋体" w:hAnsi="宋体" w:cs="宋体"/>
                <w:highlight w:val="none"/>
              </w:rPr>
              <w:t xml:space="preserve">影响使用的属于屋面局部补漏范围；质量标准：屋面部补漏后应达到不再滴漏。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7、</w:t>
            </w:r>
            <w:r>
              <w:rPr>
                <w:rFonts w:ascii="宋体" w:hAnsi="宋体" w:cs="宋体"/>
                <w:highlight w:val="none"/>
              </w:rPr>
              <w:t xml:space="preserve">外檐装修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小修内容：外檐抹灰及块料面层局部严重空鼓有脱落危险的，应排除险情；质量标准：排除险情后的外檐装修，应不存在危险隐患。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8、</w:t>
            </w:r>
            <w:r>
              <w:rPr>
                <w:rFonts w:ascii="宋体" w:hAnsi="宋体" w:cs="宋体"/>
                <w:highlight w:val="none"/>
              </w:rPr>
              <w:t xml:space="preserve">阳台、雨罩等结构构件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 小修内容：阳台、雨罩、梁等结构构件保护层开裂的，应封堵裂缝，防止钢筋锈蚀：保护层剥落的，应补抹；质量标准：经维修后的结构构件应不再有裂缝及露筋现象。</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二、上下水系统小修标准</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室内给水系统小修、局部换管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楼房户表以内管道锈蚀脱皮的，应清除干净后，做防锈处理，管道锈蚀严重的，应予以更换；给水系统漏水的，应进行修理，严重的，予以更换，零件残缺的应予以补齐；质量标准：经修缮的给水系统畅通，部件应</w:t>
            </w:r>
            <w:r>
              <w:rPr>
                <w:rFonts w:hint="eastAsia" w:ascii="宋体" w:hAnsi="宋体" w:cs="宋体"/>
                <w:highlight w:val="none"/>
              </w:rPr>
              <w:t xml:space="preserve">配备</w:t>
            </w:r>
            <w:r>
              <w:rPr>
                <w:rFonts w:ascii="宋体" w:hAnsi="宋体" w:cs="宋体"/>
                <w:highlight w:val="none"/>
              </w:rPr>
              <w:t xml:space="preserve">齐全，无跑、冒、滴、漏现象，能正常使用。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2、</w:t>
            </w:r>
            <w:r>
              <w:rPr>
                <w:rFonts w:ascii="宋体" w:hAnsi="宋体" w:cs="宋体"/>
                <w:highlight w:val="none"/>
              </w:rPr>
              <w:t xml:space="preserve">卫生设备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小修内容：卫生设备及配件残缺的应配齐，破损的应维修；质量标准：修缮后应做到给排水畅通，各部位零件齐全、灵活、有效，无跑、冒、漏、滴现象，能正常使用。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3、</w:t>
            </w:r>
            <w:r>
              <w:rPr>
                <w:rFonts w:ascii="宋体" w:hAnsi="宋体" w:cs="宋体"/>
                <w:highlight w:val="none"/>
              </w:rPr>
              <w:t xml:space="preserve">排水管道、化粪池，检查井等</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小修内容：楼房排污管道堵塞，排污不畅通的应疏通；化粪池、检查井满溢或积存较多污物影响使用的应疏通或清掏，配件残缺应补齐。 质量标准：楼房排污管道经疏通后，应达到排污管道畅通，不滴水；化粪池检查井满溢的清掏应清除全部污物，化粪池检查井局部损坏的应修好， 达到井体、池体、井圈、井盖、池盖完好。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三、供电设施设备小修标准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配电设施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小修内容：配电柜</w:t>
            </w:r>
            <w:r>
              <w:rPr>
                <w:rFonts w:hint="eastAsia" w:ascii="宋体" w:hAnsi="宋体" w:cs="宋体"/>
                <w:highlight w:val="none"/>
              </w:rPr>
              <w:t xml:space="preserve">、</w:t>
            </w:r>
            <w:r>
              <w:rPr>
                <w:rFonts w:ascii="宋体" w:hAnsi="宋体" w:cs="宋体"/>
                <w:highlight w:val="none"/>
              </w:rPr>
              <w:t xml:space="preserve">配电箱</w:t>
            </w:r>
            <w:r>
              <w:rPr>
                <w:rFonts w:hint="eastAsia" w:ascii="宋体" w:hAnsi="宋体" w:cs="宋体"/>
                <w:highlight w:val="none"/>
              </w:rPr>
              <w:t xml:space="preserve">、</w:t>
            </w:r>
            <w:r>
              <w:rPr>
                <w:rFonts w:ascii="宋体" w:hAnsi="宋体" w:cs="宋体"/>
                <w:highlight w:val="none"/>
              </w:rPr>
              <w:t xml:space="preserve">配电盘</w:t>
            </w:r>
            <w:r>
              <w:rPr>
                <w:rFonts w:hint="eastAsia" w:ascii="宋体" w:hAnsi="宋体" w:cs="宋体"/>
                <w:highlight w:val="none"/>
              </w:rPr>
              <w:t xml:space="preserve">等</w:t>
            </w:r>
            <w:r>
              <w:rPr>
                <w:rFonts w:ascii="宋体" w:hAnsi="宋体" w:cs="宋体"/>
                <w:highlight w:val="none"/>
              </w:rPr>
              <w:t xml:space="preserve"> ；质量标准：元器件齐全，显示正常动作可靠，接地良好 ；时限要求：出现故障</w:t>
            </w:r>
            <w:r>
              <w:rPr>
                <w:rFonts w:hint="eastAsia" w:ascii="宋体" w:hAnsi="宋体" w:cs="宋体"/>
                <w:highlight w:val="none"/>
              </w:rPr>
              <w:t xml:space="preserve">15</w:t>
            </w:r>
            <w:r>
              <w:rPr>
                <w:rFonts w:ascii="宋体" w:hAnsi="宋体" w:cs="宋体"/>
                <w:highlight w:val="none"/>
              </w:rPr>
              <w:t xml:space="preserve">分钟到达现场处理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2、照明系统</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小修内容：闸具</w:t>
            </w:r>
            <w:r>
              <w:rPr>
                <w:rFonts w:hint="eastAsia" w:ascii="宋体" w:hAnsi="宋体" w:cs="宋体"/>
                <w:highlight w:val="none"/>
              </w:rPr>
              <w:t xml:space="preserve">、</w:t>
            </w:r>
            <w:r>
              <w:rPr>
                <w:rFonts w:ascii="宋体" w:hAnsi="宋体" w:cs="宋体"/>
                <w:highlight w:val="none"/>
              </w:rPr>
              <w:t xml:space="preserve">电源插座</w:t>
            </w:r>
            <w:r>
              <w:rPr>
                <w:rFonts w:hint="eastAsia" w:ascii="宋体" w:hAnsi="宋体" w:cs="宋体"/>
                <w:highlight w:val="none"/>
              </w:rPr>
              <w:t xml:space="preserve">、</w:t>
            </w:r>
            <w:r>
              <w:rPr>
                <w:rFonts w:ascii="宋体" w:hAnsi="宋体" w:cs="宋体"/>
                <w:highlight w:val="none"/>
              </w:rPr>
              <w:t xml:space="preserve">开关</w:t>
            </w:r>
            <w:r>
              <w:rPr>
                <w:rFonts w:hint="eastAsia" w:ascii="宋体" w:hAnsi="宋体" w:cs="宋体"/>
                <w:highlight w:val="none"/>
              </w:rPr>
              <w:t xml:space="preserve">、</w:t>
            </w:r>
            <w:r>
              <w:rPr>
                <w:rFonts w:ascii="宋体" w:hAnsi="宋体" w:cs="宋体"/>
                <w:highlight w:val="none"/>
              </w:rPr>
              <w:t xml:space="preserve">灯头</w:t>
            </w:r>
            <w:r>
              <w:rPr>
                <w:rFonts w:hint="eastAsia" w:ascii="宋体" w:hAnsi="宋体" w:cs="宋体"/>
                <w:highlight w:val="none"/>
              </w:rPr>
              <w:t xml:space="preserve">等</w:t>
            </w:r>
            <w:r>
              <w:rPr>
                <w:rFonts w:ascii="宋体" w:hAnsi="宋体" w:cs="宋体"/>
                <w:highlight w:val="none"/>
              </w:rPr>
              <w:t xml:space="preserve"> ；质量标准：正常使用 ；时限要求：报修后</w:t>
            </w:r>
            <w:r>
              <w:rPr>
                <w:rFonts w:hint="eastAsia" w:ascii="宋体" w:hAnsi="宋体" w:cs="宋体"/>
                <w:highlight w:val="none"/>
              </w:rPr>
              <w:t xml:space="preserve">15</w:t>
            </w:r>
            <w:r>
              <w:rPr>
                <w:rFonts w:ascii="宋体" w:hAnsi="宋体" w:cs="宋体"/>
                <w:highlight w:val="none"/>
              </w:rPr>
              <w:t xml:space="preserve">分钟到达现场处理。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3、</w:t>
            </w:r>
            <w:r>
              <w:rPr>
                <w:rFonts w:ascii="宋体" w:hAnsi="宋体" w:cs="宋体"/>
                <w:highlight w:val="none"/>
              </w:rPr>
              <w:t xml:space="preserve">配电线路 </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小修内容：导线、支持物</w:t>
            </w:r>
            <w:r>
              <w:rPr>
                <w:rFonts w:hint="eastAsia" w:ascii="宋体" w:hAnsi="宋体" w:cs="宋体"/>
                <w:highlight w:val="none"/>
              </w:rPr>
              <w:t xml:space="preserve">等</w:t>
            </w:r>
            <w:r>
              <w:rPr>
                <w:rFonts w:ascii="宋体" w:hAnsi="宋体" w:cs="宋体"/>
                <w:highlight w:val="none"/>
              </w:rPr>
              <w:t xml:space="preserve"> ；质量标准：绝缘良好完整可靠 ；时限要求：出现故障</w:t>
            </w:r>
            <w:r>
              <w:rPr>
                <w:rFonts w:hint="eastAsia" w:ascii="宋体" w:hAnsi="宋体" w:cs="宋体"/>
                <w:highlight w:val="none"/>
              </w:rPr>
              <w:t xml:space="preserve">15</w:t>
            </w:r>
            <w:r>
              <w:rPr>
                <w:rFonts w:ascii="宋体" w:hAnsi="宋体" w:cs="宋体"/>
                <w:highlight w:val="none"/>
              </w:rPr>
              <w:t xml:space="preserve">分钟到达现场处理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四、实施设备检修保养标准</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1、水电设备房内要保持整洁，设备房钥匙由服务方专人保管，给水设施设备、蓄水池盖板应保持完好并加锁，溢流管口必须安装金属防护网并完好；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2、保持楼面落水管落水口等正常完好。每月清扫1次以上排水明沟；每2个月对地下管井清理1次，每季度对地下管井疏通1次，做好相关记录，保证通道清洁，排水畅通；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3、熟悉大楼主要水电表、井、阀、管道等的位置、走向、型号、功率、数量等相关参数，并做好统计和相关记录；</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4、避雷接地系统检查。每年雨季来临之前，对整个避雷接地系统进行检查维护；在大雷雨过后也要及时对系统检查，发现严重腐蚀、松脱等立即向委托方报修，做好日常维护管理。检查维护结果及处理措施报委托方物业主管部门备案。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5、电梯运行与管理。每日监督电梯运行状况，配合专业维保单位的维保服务，做好相关记录；确保电梯及安全设施完好、齐全，通风、照明等附属设施完好；在电梯维修时应配合做好临时警示管理；制定紧急救援方案和操作程序，在接到报警信号应尽快设法解救乘客，同时迅速通知校方派人排除设备故障。</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6、水泵房管理。水泵房及地下水池、消防系</w:t>
            </w:r>
            <w:r>
              <w:rPr>
                <w:rFonts w:hint="eastAsia" w:ascii="宋体" w:hAnsi="宋体" w:cs="宋体"/>
                <w:highlight w:val="none"/>
              </w:rPr>
              <w:t xml:space="preserve">统的全部机电设备由机电人员定时进行巡回检查，了解设备的运转情况，及时发现故障苗头并及时处理，认真做好记录，解决不了的问题报告委托方有关职能主管部门或相关维保单位，争取早日解决；生活水泵房、箱须上锁并有专人管理；消防泵、生活泵、恒压泵、污水泵的选择开关位置与自动位置，操作标志都应简单明确；保证供水泵的正常运转，定期检查泵的运转情况做好记录。雨季前的专项检查并做好记录；做好水泵房卫生清洁；定期对泵房、管道进行除锈、油漆保养工作；检修、保养、保洁等管理均有规范的记录（除消防水泵，有专业维保单位负责维保、维修）。 </w:t>
            </w:r>
            <w:r>
              <w:rPr>
                <w:highlight w:val="none"/>
              </w:rPr>
            </w:r>
            <w:r/>
          </w:p>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7、空调设备维护管理。 配合完成专业维保公司一年不少于2次定期维修保养工作，在巡查中发现问题或受理用户报修项目后应及时与空调的维保单位联系，保证空调的正常使用；做好节能减排相关工作，严格按委托方有关空调使用规定执行，杜绝浪费。</w:t>
            </w:r>
            <w:r>
              <w:rPr>
                <w:highlight w:val="none"/>
              </w:rPr>
            </w:r>
            <w:r/>
          </w:p>
          <w:p>
            <w:pPr>
              <w:ind w:firstLine="375"/>
              <w:spacing w:line="360" w:lineRule="auto"/>
              <w:tabs>
                <w:tab w:val="left" w:pos="-21" w:leader="none"/>
              </w:tabs>
              <w:rPr>
                <w:rFonts w:ascii="宋体" w:hAnsi="宋体" w:cs="宋体"/>
                <w:highlight w:val="none"/>
              </w:rPr>
            </w:pPr>
            <w:r>
              <w:rPr>
                <w:rFonts w:ascii="宋体" w:hAnsi="宋体" w:cs="宋体"/>
                <w:highlight w:val="none"/>
              </w:rPr>
            </w:r>
            <w:r>
              <w:rPr>
                <w:highlight w:val="none"/>
              </w:rPr>
            </w:r>
            <w:r/>
          </w:p>
        </w:tc>
      </w:tr>
    </w:tbl>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注：1、</w:t>
      </w:r>
      <w:r>
        <w:rPr>
          <w:rFonts w:hint="eastAsia" w:ascii="宋体" w:hAnsi="宋体" w:cs="宋体"/>
          <w:highlight w:val="none"/>
        </w:rPr>
        <w:t xml:space="preserve">小型维修养护</w:t>
      </w:r>
      <w:r>
        <w:rPr>
          <w:rFonts w:ascii="宋体" w:hAnsi="宋体" w:cs="宋体"/>
          <w:highlight w:val="none"/>
        </w:rPr>
        <w:t xml:space="preserve">指及时修复房屋在使用过程中其构、部件小的损坏，以保持房屋原有完损等级的日常养护；2、房屋及设施设备</w:t>
      </w:r>
      <w:r>
        <w:rPr>
          <w:rFonts w:hint="eastAsia" w:ascii="宋体" w:hAnsi="宋体" w:cs="宋体"/>
          <w:highlight w:val="none"/>
        </w:rPr>
        <w:t xml:space="preserve">小型维修养护</w:t>
      </w:r>
      <w:r>
        <w:rPr>
          <w:rFonts w:ascii="宋体" w:hAnsi="宋体" w:cs="宋体"/>
          <w:highlight w:val="none"/>
        </w:rPr>
        <w:t xml:space="preserve">不含电梯、供暖、空调、电话；3、大修、中修、外线维修（井沟盖、管网、临时管线</w:t>
      </w:r>
      <w:r>
        <w:rPr>
          <w:rFonts w:hint="eastAsia" w:ascii="宋体" w:hAnsi="宋体" w:cs="宋体"/>
          <w:highlight w:val="none"/>
        </w:rPr>
        <w:t xml:space="preserve">等</w:t>
      </w:r>
      <w:r>
        <w:rPr>
          <w:rFonts w:ascii="宋体" w:hAnsi="宋体" w:cs="宋体"/>
          <w:highlight w:val="none"/>
        </w:rPr>
        <w:t xml:space="preserve">）及</w:t>
      </w:r>
      <w:r>
        <w:rPr>
          <w:rFonts w:hint="eastAsia" w:ascii="宋体" w:hAnsi="宋体" w:cs="宋体"/>
          <w:highlight w:val="none"/>
        </w:rPr>
        <w:t xml:space="preserve">单项材料费超过</w:t>
      </w:r>
      <w:r>
        <w:rPr>
          <w:rFonts w:ascii="宋体" w:hAnsi="宋体" w:cs="宋体"/>
          <w:highlight w:val="none"/>
        </w:rPr>
        <w:t xml:space="preserve">500元</w:t>
      </w:r>
      <w:r>
        <w:rPr>
          <w:rFonts w:hint="eastAsia" w:ascii="宋体" w:hAnsi="宋体" w:cs="宋体"/>
          <w:highlight w:val="none"/>
        </w:rPr>
        <w:t xml:space="preserve">的项目单独上报，由校方负责施工</w:t>
      </w:r>
      <w:r>
        <w:rPr>
          <w:rFonts w:ascii="宋体" w:hAnsi="宋体" w:cs="宋体"/>
          <w:highlight w:val="none"/>
        </w:rPr>
        <w:t xml:space="preserve">；4、校园道路、景观、</w:t>
      </w:r>
      <w:r>
        <w:rPr>
          <w:rFonts w:hint="eastAsia" w:ascii="宋体" w:hAnsi="宋体" w:cs="宋体"/>
          <w:highlight w:val="none"/>
        </w:rPr>
        <w:t xml:space="preserve">宣传</w:t>
      </w:r>
      <w:r>
        <w:rPr>
          <w:rFonts w:ascii="宋体" w:hAnsi="宋体" w:cs="宋体"/>
          <w:highlight w:val="none"/>
        </w:rPr>
        <w:t xml:space="preserve">栏、标志牌等设施</w:t>
      </w:r>
      <w:r>
        <w:rPr>
          <w:rFonts w:hint="eastAsia" w:ascii="宋体" w:hAnsi="宋体" w:cs="宋体"/>
          <w:highlight w:val="none"/>
        </w:rPr>
        <w:t xml:space="preserve">维修</w:t>
      </w:r>
      <w:r>
        <w:rPr>
          <w:rFonts w:ascii="宋体" w:hAnsi="宋体" w:cs="宋体"/>
          <w:highlight w:val="none"/>
        </w:rPr>
        <w:t xml:space="preserve">另报专项。</w:t>
      </w:r>
      <w:r>
        <w:rPr>
          <w:highlight w:val="none"/>
        </w:rPr>
      </w:r>
      <w:r/>
    </w:p>
    <w:p>
      <w:pPr>
        <w:spacing w:line="360" w:lineRule="auto"/>
        <w:tabs>
          <w:tab w:val="left" w:pos="-21" w:leader="none"/>
        </w:tabs>
        <w:rPr>
          <w:rFonts w:ascii="宋体" w:hAnsi="宋体" w:cs="宋体"/>
          <w:sz w:val="24"/>
          <w:highlight w:val="none"/>
        </w:rPr>
      </w:pPr>
      <w:r>
        <w:rPr>
          <w:rFonts w:hint="eastAsia" w:ascii="宋体" w:hAnsi="宋体" w:cs="宋体"/>
          <w:sz w:val="24"/>
          <w:highlight w:val="none"/>
        </w:rPr>
        <w:t xml:space="preserve">四、变电所管理</w:t>
      </w:r>
      <w:r>
        <w:rPr>
          <w:highlight w:val="none"/>
        </w:rPr>
      </w:r>
      <w:r/>
    </w:p>
    <w:tbl>
      <w:tblPr>
        <w:tblStyle w:val="935"/>
        <w:tblW w:w="923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32"/>
        <w:gridCol w:w="1985"/>
        <w:gridCol w:w="5721"/>
      </w:tblGrid>
      <w:tr>
        <w:trPr>
          <w:jc w:val="center"/>
          <w:tblCellSpacing w:w="0" w:type="dxa"/>
          <w:tblHeader/>
        </w:trPr>
        <w:tc>
          <w:tcPr>
            <w:tcW w:w="1532" w:type="dxa"/>
            <w:vAlign w:val="center"/>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t xml:space="preserve">项目</w:t>
            </w:r>
            <w:r>
              <w:rPr>
                <w:highlight w:val="none"/>
              </w:rPr>
            </w:r>
            <w:r/>
          </w:p>
        </w:tc>
        <w:tc>
          <w:tcPr>
            <w:tcW w:w="1985" w:type="dxa"/>
            <w:vAlign w:val="center"/>
            <w:textDirection w:val="lrTb"/>
            <w:noWrap w:val="false"/>
          </w:tcPr>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管理类型</w:t>
            </w:r>
            <w:r>
              <w:rPr>
                <w:highlight w:val="none"/>
              </w:rPr>
            </w:r>
            <w:r/>
          </w:p>
        </w:tc>
        <w:tc>
          <w:tcPr>
            <w:tcW w:w="5721" w:type="dxa"/>
            <w:vAlign w:val="center"/>
            <w:textDirection w:val="lrTb"/>
            <w:noWrap w:val="false"/>
          </w:tcPr>
          <w:p>
            <w:pPr>
              <w:ind w:firstLine="375"/>
              <w:jc w:val="center"/>
              <w:spacing w:line="360" w:lineRule="auto"/>
              <w:tabs>
                <w:tab w:val="left" w:pos="-21" w:leader="none"/>
              </w:tabs>
              <w:rPr>
                <w:rFonts w:ascii="宋体" w:hAnsi="宋体" w:cs="宋体"/>
                <w:highlight w:val="none"/>
              </w:rPr>
            </w:pPr>
            <w:r>
              <w:rPr>
                <w:rFonts w:ascii="宋体" w:hAnsi="宋体" w:cs="宋体"/>
                <w:highlight w:val="none"/>
              </w:rPr>
              <w:t xml:space="preserve">服务</w:t>
            </w:r>
            <w:r>
              <w:rPr>
                <w:rFonts w:hint="eastAsia" w:ascii="宋体" w:hAnsi="宋体" w:cs="宋体"/>
                <w:highlight w:val="none"/>
              </w:rPr>
              <w:t xml:space="preserve">质量</w:t>
            </w:r>
            <w:r>
              <w:rPr>
                <w:rFonts w:ascii="宋体" w:hAnsi="宋体" w:cs="宋体"/>
                <w:highlight w:val="none"/>
              </w:rPr>
              <w:t xml:space="preserve">标准</w:t>
            </w:r>
            <w:r>
              <w:rPr>
                <w:highlight w:val="none"/>
              </w:rPr>
            </w:r>
            <w:r/>
          </w:p>
        </w:tc>
      </w:tr>
      <w:tr>
        <w:trPr>
          <w:jc w:val="center"/>
          <w:tblCellSpacing w:w="0" w:type="dxa"/>
          <w:trHeight w:val="2628"/>
        </w:trPr>
        <w:tc>
          <w:tcPr>
            <w:tcW w:w="1532" w:type="dxa"/>
            <w:vAlign w:val="center"/>
            <w:vMerge w:val="restart"/>
            <w:textDirection w:val="lrTb"/>
            <w:noWrap w:val="false"/>
          </w:tcPr>
          <w:p>
            <w:pPr>
              <w:ind w:firstLine="375"/>
              <w:jc w:val="center"/>
              <w:spacing w:line="360" w:lineRule="auto"/>
              <w:tabs>
                <w:tab w:val="left" w:pos="-21" w:leader="none"/>
              </w:tabs>
              <w:rPr>
                <w:rFonts w:ascii="宋体" w:hAnsi="宋体" w:cs="宋体"/>
                <w:highlight w:val="none"/>
              </w:rPr>
            </w:pPr>
            <w:r>
              <w:rPr>
                <w:rFonts w:ascii="宋体" w:hAnsi="宋体" w:cs="宋体"/>
                <w:highlight w:val="none"/>
              </w:rPr>
              <w:t xml:space="preserve">变电所</w:t>
            </w:r>
            <w:r>
              <w:rPr>
                <w:rFonts w:hint="eastAsia" w:ascii="宋体" w:hAnsi="宋体" w:cs="宋体"/>
                <w:highlight w:val="none"/>
              </w:rPr>
              <w:t xml:space="preserve">（高压部分含35KV变电所1个；10KV变电所4个；10KV箱变4个；10KV分接箱1个；10KV第一断路器1个；10KV电缆若干）</w:t>
            </w:r>
            <w:r>
              <w:rPr>
                <w:highlight w:val="none"/>
              </w:rPr>
            </w:r>
            <w:r/>
          </w:p>
        </w:tc>
        <w:tc>
          <w:tcPr>
            <w:tcW w:w="1985" w:type="dxa"/>
            <w:vAlign w:val="center"/>
            <w:textDirection w:val="lrTb"/>
            <w:noWrap w:val="false"/>
          </w:tcPr>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日常维护</w:t>
            </w:r>
            <w:r>
              <w:rPr>
                <w:highlight w:val="none"/>
              </w:rPr>
            </w:r>
            <w:r/>
          </w:p>
        </w:tc>
        <w:tc>
          <w:tcPr>
            <w:tcW w:w="5721" w:type="dxa"/>
            <w:vAlign w:val="center"/>
            <w:textDirection w:val="lrTb"/>
            <w:noWrap w:val="false"/>
          </w:tcPr>
          <w:p>
            <w:pPr>
              <w:ind w:firstLine="375"/>
              <w:tabs>
                <w:tab w:val="left" w:pos="-21" w:leader="none"/>
              </w:tabs>
              <w:rPr>
                <w:rFonts w:ascii="宋体" w:hAnsi="宋体" w:cs="宋体"/>
                <w:highlight w:val="none"/>
              </w:rPr>
            </w:pPr>
            <w:r>
              <w:rPr>
                <w:rFonts w:hint="eastAsia" w:ascii="宋体" w:hAnsi="宋体" w:cs="宋体"/>
                <w:highlight w:val="none"/>
              </w:rPr>
              <w:t xml:space="preserve">1、每2小时进行巡检，记录设备完好情况及运行状态，及时更新记录，注意运行状态的变化，对于新发现的情况及时补充。</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2、每天对后台开关、刀闸位置以及遥测量的正确性进行检查，查看有无异常情况。</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3、建立工作日志制度，与设备相关的维护工作运行日志中详细记录维护情况以及有关数据。</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4、建立交接班制度并严格执行。</w:t>
            </w:r>
            <w:r>
              <w:rPr>
                <w:highlight w:val="none"/>
              </w:rPr>
            </w:r>
            <w:r/>
          </w:p>
        </w:tc>
      </w:tr>
      <w:tr>
        <w:trPr>
          <w:jc w:val="center"/>
          <w:tblCellSpacing w:w="0" w:type="dxa"/>
          <w:trHeight w:val="7633"/>
        </w:trPr>
        <w:tc>
          <w:tcPr>
            <w:tcW w:w="1532" w:type="dxa"/>
            <w:vAlign w:val="center"/>
            <w:vMerge w:val="continue"/>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r>
            <w:r/>
          </w:p>
        </w:tc>
        <w:tc>
          <w:tcPr>
            <w:tcW w:w="1985" w:type="dxa"/>
            <w:vAlign w:val="center"/>
            <w:textDirection w:val="lrTb"/>
            <w:noWrap w:val="false"/>
          </w:tcPr>
          <w:p>
            <w:pPr>
              <w:spacing w:line="360" w:lineRule="auto"/>
              <w:tabs>
                <w:tab w:val="left" w:pos="-21" w:leader="none"/>
              </w:tabs>
              <w:rPr>
                <w:rFonts w:ascii="宋体" w:hAnsi="宋体" w:cs="宋体"/>
                <w:highlight w:val="none"/>
              </w:rPr>
            </w:pPr>
            <w:r>
              <w:rPr>
                <w:rFonts w:hint="eastAsia" w:ascii="宋体" w:hAnsi="宋体" w:cs="宋体"/>
                <w:highlight w:val="none"/>
              </w:rPr>
              <w:t xml:space="preserve">定期维护和定期试验</w:t>
            </w:r>
            <w:r>
              <w:rPr>
                <w:highlight w:val="none"/>
              </w:rPr>
            </w:r>
            <w:r/>
          </w:p>
        </w:tc>
        <w:tc>
          <w:tcPr>
            <w:tcW w:w="5721" w:type="dxa"/>
            <w:vAlign w:val="center"/>
            <w:vMerge w:val="restart"/>
            <w:textDirection w:val="lrTb"/>
            <w:noWrap w:val="false"/>
          </w:tcPr>
          <w:p>
            <w:pPr>
              <w:ind w:firstLine="375"/>
              <w:tabs>
                <w:tab w:val="left" w:pos="-21" w:leader="none"/>
              </w:tabs>
              <w:rPr>
                <w:rFonts w:ascii="宋体" w:hAnsi="宋体" w:cs="宋体"/>
                <w:highlight w:val="none"/>
              </w:rPr>
            </w:pPr>
            <w:r>
              <w:rPr>
                <w:rFonts w:hint="eastAsia" w:ascii="宋体" w:hAnsi="宋体" w:cs="宋体"/>
                <w:highlight w:val="none"/>
              </w:rPr>
              <w:t xml:space="preserve">1、变电站内设备（含配套设施，如10KV电缆等）按甲方要求定期进行维护测试，每两年进行一次预防性试验，以确保设备的正常运行。</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2、每年应对交直流熔断器、空开的容量进行一次全面的核对。</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3、每年应对电缆沟进行一次全面检查，清扫对于进水现象应及时处理，每季度应进行一次防潮检查。</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4、每季度对变电站的二次线、端子箱、机构箱进行一次检查、清扫、并给门轴、机械锁加注润滑油。</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5、每季度应对蓄电池接头进行一次检查，清扫外壳。</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6、每季度应对楼宇、土建设施进行一次全面检查没雷雨季节雷雨过后应对楼宇、土建设施进行检查</w:t>
            </w:r>
            <w:r>
              <w:rPr>
                <w:rFonts w:hint="eastAsia" w:ascii="宋体" w:hAnsi="宋体" w:cs="宋体"/>
                <w:highlight w:val="none"/>
                <w:lang w:eastAsia="zh-CN"/>
              </w:rPr>
              <w:t xml:space="preserve">，</w:t>
            </w:r>
            <w:r>
              <w:rPr>
                <w:rFonts w:hint="eastAsia" w:ascii="宋体" w:hAnsi="宋体" w:cs="宋体"/>
                <w:highlight w:val="none"/>
              </w:rPr>
              <w:t xml:space="preserve">发现缺陷等情况及时进行回填。</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7、每月对设备的检修试验情况进行核查，检查有无临近检修或技术监督周期的设备。</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8、每月对防鼠设施进行检查，内容包括投放鼠药，孔洞封堵、门窗是否严密等。</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9、每月对备品备件进行检查补充。</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10、每月对仪器仪表、安全用具、接地线、低压工具器具进行检查。</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11、每月一日对所有保护压板投退情况进行检查核对。各站必须绘制保护压板投退图，作为检查核对的依据。</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12、每月和每次大风过后全面检查一次断路器等设备的防雨罩应扣好，端子箱，机构箱等室外设备箱门应关闭，密封良好。</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13、每周应测量一次直流系统蓄电池总保险并检查直流保险报警回路是否正常。</w:t>
            </w:r>
            <w:r>
              <w:rPr>
                <w:highlight w:val="none"/>
              </w:rPr>
            </w:r>
            <w:r/>
          </w:p>
          <w:p>
            <w:pPr>
              <w:ind w:firstLine="375"/>
              <w:tabs>
                <w:tab w:val="left" w:pos="-21" w:leader="none"/>
              </w:tabs>
              <w:rPr>
                <w:rFonts w:ascii="宋体" w:hAnsi="宋体" w:cs="宋体"/>
                <w:highlight w:val="none"/>
              </w:rPr>
            </w:pPr>
            <w:r>
              <w:rPr>
                <w:rFonts w:ascii="宋体" w:hAnsi="宋体" w:cs="宋体"/>
                <w:highlight w:val="none"/>
              </w:rPr>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14、每年四月份应该对变压器的冷却装置进行检查试验，检查控制回路的良好，所有风扇、电机运行正常，无异常声音，必要时应添加润滑剂。</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15、每年四月份对电气设备的去潮装置进行一次全面检查，加热后检查装置是否正常。</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16、每半年应对微机防误闭锁装置的闭锁关系编码的正确性进行一次全面的核对，并检查锁具是否卡涩。</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17、每季度对防误闭锁装置进行一次外观检查，其内容包括装置的完好性及灵活性。</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18</w:t>
            </w:r>
            <w:r>
              <w:rPr>
                <w:rFonts w:hint="eastAsia" w:ascii="宋体" w:hAnsi="宋体" w:cs="宋体"/>
                <w:b/>
                <w:bCs/>
                <w:highlight w:val="none"/>
              </w:rPr>
              <w:t xml:space="preserve">、</w:t>
            </w:r>
            <w:r>
              <w:rPr>
                <w:rFonts w:hint="eastAsia" w:ascii="宋体" w:hAnsi="宋体" w:cs="宋体"/>
                <w:highlight w:val="none"/>
              </w:rPr>
              <w:t xml:space="preserve">每月对变电站内低压漏电保护器进行一次试验。</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19、每周对蓄电池的单瓶电压进行一次测试并做好记录，同时应记录母线电压，蓄电池总电压，浮充电流数值。</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20、每次设备停电检修、预试时，应对闭锁和电气回路进行试验。</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21、对于变电站内不经常运行的通风装置每半年应进行一次投入运行的试验。</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22、长时间不投入运行的无功补偿装置（电容器）每季度应在保证电压合格的情况下投入运行一定时间（4小时）对设备状况进行试验。电容器应在负荷高峰时间段进行。</w:t>
            </w:r>
            <w:r>
              <w:rPr>
                <w:highlight w:val="none"/>
              </w:rPr>
            </w:r>
            <w:r/>
          </w:p>
        </w:tc>
      </w:tr>
      <w:tr>
        <w:trPr>
          <w:jc w:val="center"/>
          <w:tblCellSpacing w:w="0" w:type="dxa"/>
          <w:trHeight w:val="5835"/>
        </w:trPr>
        <w:tc>
          <w:tcPr>
            <w:tcW w:w="1532" w:type="dxa"/>
            <w:vAlign w:val="center"/>
            <w:vMerge w:val="restart"/>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r>
            <w:r>
              <w:rPr>
                <w:highlight w:val="none"/>
              </w:rPr>
            </w:r>
            <w:r/>
          </w:p>
        </w:tc>
        <w:tc>
          <w:tcPr>
            <w:tcW w:w="1985" w:type="dxa"/>
            <w:vAlign w:val="center"/>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r>
            <w:r>
              <w:rPr>
                <w:highlight w:val="none"/>
              </w:rPr>
            </w:r>
            <w:r/>
          </w:p>
        </w:tc>
        <w:tc>
          <w:tcPr>
            <w:tcW w:w="5721" w:type="dxa"/>
            <w:vAlign w:val="center"/>
            <w:vMerge w:val="continue"/>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r>
            <w:r/>
          </w:p>
        </w:tc>
      </w:tr>
      <w:tr>
        <w:trPr>
          <w:jc w:val="center"/>
          <w:tblCellSpacing w:w="0" w:type="dxa"/>
          <w:trHeight w:val="1472"/>
        </w:trPr>
        <w:tc>
          <w:tcPr>
            <w:tcW w:w="1532" w:type="dxa"/>
            <w:vAlign w:val="center"/>
            <w:vMerge w:val="continue"/>
            <w:textDirection w:val="lrTb"/>
            <w:noWrap w:val="false"/>
          </w:tcPr>
          <w:p>
            <w:pPr>
              <w:ind w:firstLine="375"/>
              <w:spacing w:line="360" w:lineRule="auto"/>
              <w:tabs>
                <w:tab w:val="left" w:pos="-21" w:leader="none"/>
              </w:tabs>
              <w:rPr>
                <w:rFonts w:ascii="宋体" w:hAnsi="宋体" w:cs="宋体"/>
                <w:highlight w:val="none"/>
              </w:rPr>
            </w:pPr>
            <w:r>
              <w:rPr>
                <w:rFonts w:ascii="宋体" w:hAnsi="宋体" w:cs="宋体"/>
                <w:highlight w:val="none"/>
              </w:rPr>
            </w:r>
            <w:r/>
          </w:p>
        </w:tc>
        <w:tc>
          <w:tcPr>
            <w:tcW w:w="1985" w:type="dxa"/>
            <w:vAlign w:val="center"/>
            <w:textDirection w:val="lrTb"/>
            <w:noWrap w:val="false"/>
          </w:tcPr>
          <w:p>
            <w:pPr>
              <w:ind w:firstLine="375"/>
              <w:spacing w:line="360" w:lineRule="auto"/>
              <w:tabs>
                <w:tab w:val="left" w:pos="-21" w:leader="none"/>
              </w:tabs>
              <w:rPr>
                <w:rFonts w:ascii="宋体" w:hAnsi="宋体" w:cs="宋体"/>
                <w:highlight w:val="none"/>
              </w:rPr>
            </w:pPr>
            <w:r>
              <w:rPr>
                <w:rFonts w:hint="eastAsia" w:ascii="宋体" w:hAnsi="宋体" w:cs="宋体"/>
                <w:highlight w:val="none"/>
              </w:rPr>
              <w:t xml:space="preserve">不定期维护</w:t>
            </w:r>
            <w:r>
              <w:rPr>
                <w:highlight w:val="none"/>
              </w:rPr>
            </w:r>
            <w:r/>
          </w:p>
        </w:tc>
        <w:tc>
          <w:tcPr>
            <w:tcW w:w="5721" w:type="dxa"/>
            <w:vAlign w:val="center"/>
            <w:textDirection w:val="lrTb"/>
            <w:noWrap w:val="false"/>
          </w:tcPr>
          <w:p>
            <w:pPr>
              <w:ind w:firstLine="375"/>
              <w:tabs>
                <w:tab w:val="left" w:pos="-21" w:leader="none"/>
              </w:tabs>
              <w:rPr>
                <w:rFonts w:ascii="宋体" w:hAnsi="宋体" w:cs="宋体"/>
                <w:highlight w:val="none"/>
              </w:rPr>
            </w:pPr>
            <w:r>
              <w:rPr>
                <w:rFonts w:hint="eastAsia" w:ascii="宋体" w:hAnsi="宋体" w:cs="宋体"/>
                <w:highlight w:val="none"/>
              </w:rPr>
              <w:t xml:space="preserve">1、每次大风过后全面检查一次电器设备的防雨罩应扣好，端子箱，机构箱等室外设备箱门应关闭，密封良好。</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2、每年在雷雨季节前对防汛设施进行一次全面检查。内容包括排水渠是否畅通，防汛设施是否齐全地基有无下陷，房屋有无渗水，屋顶及地面排水孔是否通畅，发现问题及时处理。</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3、每次设备停电检修、预试时，应对闭锁和电气回路进行试验。每次合闸后对电磁操作机构的断路器均应测量合闸保险的完好程度。</w:t>
            </w:r>
            <w:r>
              <w:rPr>
                <w:highlight w:val="none"/>
              </w:rPr>
            </w:r>
            <w:r/>
          </w:p>
          <w:p>
            <w:pPr>
              <w:ind w:firstLine="375"/>
              <w:tabs>
                <w:tab w:val="left" w:pos="-21" w:leader="none"/>
              </w:tabs>
              <w:rPr>
                <w:rFonts w:ascii="宋体" w:hAnsi="宋体" w:cs="宋体"/>
                <w:highlight w:val="none"/>
              </w:rPr>
            </w:pPr>
            <w:r>
              <w:rPr>
                <w:rFonts w:hint="eastAsia" w:ascii="宋体" w:hAnsi="宋体" w:cs="宋体"/>
                <w:highlight w:val="none"/>
              </w:rPr>
              <w:t xml:space="preserve">4、成立24小时应急小组，当设备发生故障时</w:t>
            </w:r>
            <w:r>
              <w:rPr>
                <w:rFonts w:hint="eastAsia" w:ascii="宋体" w:hAnsi="宋体" w:cs="宋体"/>
                <w:highlight w:val="none"/>
                <w:lang w:eastAsia="zh-CN"/>
              </w:rPr>
              <w:t xml:space="preserve">，</w:t>
            </w:r>
            <w:r>
              <w:rPr>
                <w:rFonts w:hint="eastAsia" w:ascii="宋体" w:hAnsi="宋体" w:cs="宋体"/>
                <w:highlight w:val="none"/>
              </w:rPr>
              <w:t xml:space="preserve">急</w:t>
            </w:r>
            <w:bookmarkStart w:id="198" w:name="_Hlk44976683"/>
            <w:r>
              <w:rPr>
                <w:rFonts w:hint="eastAsia" w:ascii="宋体" w:hAnsi="宋体" w:cs="宋体"/>
                <w:highlight w:val="none"/>
              </w:rPr>
              <w:t xml:space="preserve">修服务将于15分钟内赶到现场。对于故障设备，在恢复设备运行之前，应急小组人员未经允许不得擅自离场，乙方确保所维护设备的安全平稳长周期运行。</w:t>
            </w:r>
            <w:bookmarkEnd w:id="198"/>
            <w:r>
              <w:rPr>
                <w:highlight w:val="none"/>
              </w:rPr>
            </w:r>
            <w:r/>
          </w:p>
          <w:p>
            <w:pPr>
              <w:spacing w:line="360" w:lineRule="auto"/>
              <w:tabs>
                <w:tab w:val="left" w:pos="-21" w:leader="none"/>
              </w:tabs>
              <w:rPr>
                <w:rFonts w:ascii="宋体" w:hAnsi="宋体" w:cs="宋体"/>
                <w:highlight w:val="none"/>
              </w:rPr>
            </w:pPr>
            <w:r>
              <w:rPr>
                <w:rFonts w:ascii="宋体" w:hAnsi="宋体" w:cs="宋体"/>
                <w:highlight w:val="none"/>
              </w:rPr>
            </w:r>
            <w:r>
              <w:rPr>
                <w:highlight w:val="none"/>
              </w:rPr>
            </w:r>
            <w:r/>
          </w:p>
        </w:tc>
      </w:tr>
    </w:tbl>
    <w:p>
      <w:pPr>
        <w:spacing w:line="360" w:lineRule="auto"/>
        <w:tabs>
          <w:tab w:val="left" w:pos="-21" w:leader="none"/>
        </w:tabs>
        <w:rPr>
          <w:rFonts w:ascii="宋体" w:hAnsi="宋体" w:cs="宋体"/>
          <w:sz w:val="24"/>
          <w:highlight w:val="none"/>
        </w:rPr>
      </w:pPr>
      <w:r>
        <w:rPr>
          <w:rFonts w:ascii="宋体" w:hAnsi="宋体" w:cs="宋体"/>
          <w:sz w:val="24"/>
          <w:highlight w:val="none"/>
        </w:rPr>
      </w:r>
      <w:r>
        <w:rPr>
          <w:highlight w:val="none"/>
        </w:rPr>
      </w:r>
      <w:r/>
    </w:p>
    <w:p>
      <w:pPr>
        <w:spacing w:line="360" w:lineRule="auto"/>
        <w:tabs>
          <w:tab w:val="left" w:pos="-21" w:leader="none"/>
        </w:tabs>
        <w:rPr>
          <w:rFonts w:ascii="宋体" w:hAnsi="宋体" w:cs="宋体"/>
          <w:sz w:val="24"/>
          <w:highlight w:val="none"/>
        </w:rPr>
      </w:pPr>
      <w:r>
        <w:rPr>
          <w:rFonts w:hint="eastAsia" w:ascii="宋体" w:hAnsi="宋体" w:cs="宋体"/>
          <w:sz w:val="24"/>
          <w:highlight w:val="none"/>
        </w:rPr>
        <w:t xml:space="preserve">五、宿舍管理</w:t>
      </w:r>
      <w:r>
        <w:rPr>
          <w:highlight w:val="none"/>
        </w:rPr>
      </w:r>
      <w:r/>
    </w:p>
    <w:tbl>
      <w:tblPr>
        <w:tblStyle w:val="935"/>
        <w:tblW w:w="8859" w:type="dxa"/>
        <w:jc w:val="center"/>
        <w:tblCellSpacing w:w="11" w:type="dxa"/>
        <w:tblBorders>
          <w:top w:val="none" w:color="auto" w:sz="0" w:space="0"/>
          <w:left w:val="none" w:color="auto" w:sz="0" w:space="0"/>
          <w:bottom w:val="none" w:color="auto" w:sz="0" w:space="0"/>
          <w:right w:val="none" w:color="auto" w:sz="0"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2003"/>
        <w:gridCol w:w="6856"/>
      </w:tblGrid>
      <w:tr>
        <w:trPr>
          <w:jc w:val="center"/>
          <w:tblCellSpacing w:w="11" w:type="dxa"/>
        </w:trPr>
        <w:tc>
          <w:tcPr>
            <w:tcW w:w="1970" w:type="dxa"/>
            <w:vAlign w:val="center"/>
            <w:textDirection w:val="lrTb"/>
            <w:noWrap w:val="false"/>
          </w:tcPr>
          <w:p>
            <w:pPr>
              <w:ind w:firstLine="420"/>
              <w:spacing w:line="440" w:lineRule="exact"/>
              <w:tabs>
                <w:tab w:val="left" w:pos="-21" w:leader="none"/>
              </w:tabs>
              <w:rPr>
                <w:rFonts w:ascii="宋体" w:hAnsi="宋体" w:cs="宋体"/>
                <w:highlight w:val="none"/>
              </w:rPr>
            </w:pPr>
            <w:r>
              <w:rPr>
                <w:rFonts w:hint="eastAsia" w:ascii="宋体" w:hAnsi="宋体" w:cs="宋体"/>
                <w:highlight w:val="none"/>
              </w:rPr>
              <w:t xml:space="preserve">管理类型</w:t>
            </w:r>
            <w:r>
              <w:rPr>
                <w:highlight w:val="none"/>
              </w:rPr>
            </w:r>
            <w:r/>
          </w:p>
        </w:tc>
        <w:tc>
          <w:tcPr>
            <w:tcW w:w="6823" w:type="dxa"/>
            <w:vAlign w:val="center"/>
            <w:textDirection w:val="lrTb"/>
            <w:noWrap w:val="false"/>
          </w:tcPr>
          <w:p>
            <w:pPr>
              <w:jc w:val="center"/>
              <w:spacing w:line="440" w:lineRule="exact"/>
              <w:tabs>
                <w:tab w:val="left" w:pos="-21" w:leader="none"/>
              </w:tabs>
              <w:rPr>
                <w:rFonts w:ascii="宋体" w:hAnsi="宋体" w:cs="宋体"/>
                <w:highlight w:val="none"/>
              </w:rPr>
            </w:pPr>
            <w:r>
              <w:rPr>
                <w:rFonts w:hint="eastAsia" w:ascii="宋体" w:hAnsi="宋体" w:cs="宋体"/>
                <w:highlight w:val="none"/>
              </w:rPr>
              <w:t xml:space="preserve">服务质量标准</w:t>
            </w:r>
            <w:r>
              <w:rPr>
                <w:highlight w:val="none"/>
              </w:rPr>
            </w:r>
            <w:r/>
          </w:p>
        </w:tc>
      </w:tr>
      <w:tr>
        <w:trPr>
          <w:jc w:val="center"/>
          <w:tblCellSpacing w:w="11" w:type="dxa"/>
          <w:trHeight w:val="1812"/>
        </w:trPr>
        <w:tc>
          <w:tcPr>
            <w:tcW w:w="1970" w:type="dxa"/>
            <w:textDirection w:val="lrTb"/>
            <w:noWrap w:val="false"/>
          </w:tcPr>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hint="eastAsia" w:ascii="宋体" w:hAnsi="宋体" w:cs="宋体"/>
                <w:highlight w:val="none"/>
              </w:rPr>
              <w:t xml:space="preserve">日常管理</w:t>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tc>
        <w:tc>
          <w:tcPr>
            <w:tcW w:w="6823" w:type="dxa"/>
            <w:textDirection w:val="lrTb"/>
            <w:noWrap w:val="false"/>
          </w:tcPr>
          <w:p>
            <w:pPr>
              <w:spacing w:line="440" w:lineRule="exact"/>
              <w:rPr>
                <w:rFonts w:ascii="宋体" w:hAnsi="宋体"/>
                <w:bCs/>
                <w:highlight w:val="none"/>
              </w:rPr>
            </w:pPr>
            <w:r>
              <w:rPr>
                <w:rFonts w:hint="eastAsia" w:ascii="宋体" w:hAnsi="宋体"/>
                <w:bCs/>
                <w:highlight w:val="none"/>
              </w:rPr>
              <w:t xml:space="preserve">1.设立服务人员公示栏，相关岗位职责悬挂上墙，各类服务人员职责和规范明确；</w:t>
            </w:r>
            <w:r>
              <w:rPr>
                <w:highlight w:val="none"/>
              </w:rPr>
            </w:r>
            <w:r/>
          </w:p>
          <w:p>
            <w:pPr>
              <w:spacing w:line="440" w:lineRule="exact"/>
              <w:rPr>
                <w:rFonts w:ascii="宋体" w:hAnsi="宋体"/>
                <w:bCs/>
                <w:highlight w:val="none"/>
              </w:rPr>
            </w:pPr>
            <w:r>
              <w:rPr>
                <w:rFonts w:hint="eastAsia" w:ascii="宋体" w:hAnsi="宋体"/>
                <w:bCs/>
                <w:highlight w:val="none"/>
              </w:rPr>
              <w:t xml:space="preserve">2.工作人员统一着装，佩戴工作证；</w:t>
            </w:r>
            <w:r>
              <w:rPr>
                <w:highlight w:val="none"/>
              </w:rPr>
            </w:r>
            <w:r/>
          </w:p>
          <w:p>
            <w:pPr>
              <w:spacing w:line="440" w:lineRule="exact"/>
              <w:rPr>
                <w:rFonts w:ascii="宋体" w:hAnsi="宋体"/>
                <w:bCs/>
                <w:highlight w:val="none"/>
              </w:rPr>
            </w:pPr>
            <w:r>
              <w:rPr>
                <w:rFonts w:hint="eastAsia" w:ascii="宋体" w:hAnsi="宋体"/>
                <w:bCs/>
                <w:highlight w:val="none"/>
              </w:rPr>
              <w:t xml:space="preserve">3.配合校方做好新生入住、毕业生退宿工作，做好假期留校学生的住宿管理服务工作。</w:t>
            </w:r>
            <w:r>
              <w:rPr>
                <w:highlight w:val="none"/>
              </w:rPr>
            </w:r>
            <w:r/>
          </w:p>
          <w:p>
            <w:pPr>
              <w:spacing w:line="440" w:lineRule="exact"/>
              <w:rPr>
                <w:rFonts w:ascii="宋体" w:hAnsi="宋体"/>
                <w:bCs/>
                <w:highlight w:val="none"/>
              </w:rPr>
            </w:pPr>
            <w:r>
              <w:rPr>
                <w:rFonts w:hint="eastAsia" w:ascii="宋体" w:hAnsi="宋体"/>
                <w:bCs/>
                <w:highlight w:val="none"/>
              </w:rPr>
              <w:t xml:space="preserve">4.负责检查各个学生宿舍的卫生保洁情况，发现问题及时处理并向管理员（楼长）汇报，督促值班员、保洁员做好本职工作。</w:t>
            </w:r>
            <w:r>
              <w:rPr>
                <w:highlight w:val="none"/>
              </w:rPr>
            </w:r>
            <w:r/>
          </w:p>
          <w:p>
            <w:pPr>
              <w:spacing w:line="440" w:lineRule="exact"/>
              <w:rPr>
                <w:rFonts w:ascii="宋体" w:hAnsi="宋体"/>
                <w:bCs/>
                <w:highlight w:val="none"/>
              </w:rPr>
            </w:pPr>
            <w:r>
              <w:rPr>
                <w:rFonts w:hint="eastAsia" w:ascii="宋体" w:hAnsi="宋体"/>
                <w:bCs/>
                <w:highlight w:val="none"/>
              </w:rPr>
              <w:t xml:space="preserve">5.配合学校相关部门开展宿舍文化节及上级部门针对学生宿舍开展的各项检查评比工作。</w:t>
            </w:r>
            <w:r>
              <w:rPr>
                <w:highlight w:val="none"/>
              </w:rPr>
            </w:r>
            <w:r/>
          </w:p>
          <w:p>
            <w:pPr>
              <w:spacing w:line="440" w:lineRule="exact"/>
              <w:rPr>
                <w:rFonts w:ascii="宋体" w:hAnsi="宋体"/>
                <w:highlight w:val="none"/>
              </w:rPr>
            </w:pPr>
            <w:r>
              <w:rPr>
                <w:rFonts w:hint="eastAsia" w:ascii="宋体" w:hAnsi="宋体"/>
                <w:bCs/>
                <w:highlight w:val="none"/>
              </w:rPr>
              <w:t xml:space="preserve">6.热情周到地为学生提供服务，完成学生宿舍管理中心交办的其他各项临时性任务。</w:t>
            </w:r>
            <w:r>
              <w:rPr>
                <w:highlight w:val="none"/>
              </w:rPr>
            </w:r>
            <w:r/>
          </w:p>
          <w:p>
            <w:pPr>
              <w:spacing w:line="440" w:lineRule="exact"/>
              <w:rPr>
                <w:rFonts w:ascii="宋体" w:hAnsi="宋体" w:cs="宋体"/>
                <w:highlight w:val="none"/>
              </w:rPr>
            </w:pPr>
            <w:r>
              <w:rPr>
                <w:rFonts w:hint="eastAsia" w:ascii="宋体" w:hAnsi="宋体"/>
                <w:bCs/>
                <w:highlight w:val="none"/>
              </w:rPr>
              <w:t xml:space="preserve">7.实行24小时值班，按照校方要求提供服务。</w:t>
            </w:r>
            <w:r>
              <w:rPr>
                <w:highlight w:val="none"/>
              </w:rPr>
            </w:r>
            <w:r/>
          </w:p>
        </w:tc>
      </w:tr>
      <w:tr>
        <w:trPr>
          <w:jc w:val="center"/>
          <w:tblCellSpacing w:w="11" w:type="dxa"/>
          <w:trHeight w:val="1812"/>
        </w:trPr>
        <w:tc>
          <w:tcPr>
            <w:tcW w:w="1970" w:type="dxa"/>
            <w:textDirection w:val="lrTb"/>
            <w:noWrap w:val="false"/>
          </w:tcPr>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jc w:val="center"/>
              <w:spacing w:line="440" w:lineRule="exact"/>
              <w:tabs>
                <w:tab w:val="left" w:pos="-21" w:leader="none"/>
              </w:tabs>
              <w:rPr>
                <w:rFonts w:ascii="宋体" w:hAnsi="宋体" w:cs="宋体"/>
                <w:highlight w:val="none"/>
              </w:rPr>
            </w:pPr>
            <w:r>
              <w:rPr>
                <w:rFonts w:hint="eastAsia" w:ascii="宋体" w:hAnsi="宋体" w:cs="宋体"/>
                <w:highlight w:val="none"/>
              </w:rPr>
              <w:t xml:space="preserve">安全管理</w:t>
            </w:r>
            <w:r>
              <w:rPr>
                <w:highlight w:val="none"/>
              </w:rPr>
            </w:r>
            <w:r/>
          </w:p>
        </w:tc>
        <w:tc>
          <w:tcPr>
            <w:tcW w:w="6823" w:type="dxa"/>
            <w:textDirection w:val="lrTb"/>
            <w:noWrap w:val="false"/>
          </w:tcPr>
          <w:p>
            <w:pPr>
              <w:spacing w:line="440" w:lineRule="exact"/>
              <w:rPr>
                <w:rFonts w:ascii="宋体" w:hAnsi="宋体"/>
                <w:bCs/>
                <w:highlight w:val="none"/>
              </w:rPr>
            </w:pPr>
            <w:r>
              <w:rPr>
                <w:rFonts w:hint="eastAsia" w:ascii="宋体" w:hAnsi="宋体"/>
                <w:bCs/>
                <w:highlight w:val="none"/>
              </w:rPr>
              <w:t xml:space="preserve">1.工作期间负责学生宿舍安全巡视检查工作，每天对学生宿舍不定时进行检查，次数不少于</w:t>
            </w:r>
            <w:r>
              <w:rPr>
                <w:rFonts w:ascii="宋体" w:hAnsi="宋体"/>
                <w:bCs/>
                <w:highlight w:val="none"/>
              </w:rPr>
              <w:t xml:space="preserve">4</w:t>
            </w:r>
            <w:r>
              <w:rPr>
                <w:rFonts w:hint="eastAsia" w:ascii="宋体" w:hAnsi="宋体"/>
                <w:bCs/>
                <w:highlight w:val="none"/>
              </w:rPr>
              <w:t xml:space="preserve">次，发现学生使用的违章电器随时给予没收并上交学工处，认真做好每天安全检查记录。</w:t>
            </w:r>
            <w:r>
              <w:rPr>
                <w:highlight w:val="none"/>
              </w:rPr>
            </w:r>
            <w:r/>
          </w:p>
          <w:p>
            <w:pPr>
              <w:spacing w:line="440" w:lineRule="exact"/>
              <w:rPr>
                <w:rFonts w:ascii="宋体" w:hAnsi="宋体"/>
                <w:bCs/>
                <w:highlight w:val="none"/>
              </w:rPr>
            </w:pPr>
            <w:r>
              <w:rPr>
                <w:rFonts w:hint="eastAsia" w:ascii="宋体" w:hAnsi="宋体"/>
                <w:bCs/>
                <w:highlight w:val="none"/>
              </w:rPr>
              <w:t xml:space="preserve">2.巡视过程中，提醒学生注意防火、防盗，每月走访一遍全体学生宿舍，请同学签字确认并做好记录。</w:t>
            </w:r>
            <w:r>
              <w:rPr>
                <w:highlight w:val="none"/>
              </w:rPr>
            </w:r>
            <w:r/>
          </w:p>
          <w:p>
            <w:pPr>
              <w:spacing w:line="440" w:lineRule="exact"/>
              <w:rPr>
                <w:rFonts w:ascii="宋体" w:hAnsi="宋体"/>
                <w:bCs/>
                <w:highlight w:val="none"/>
              </w:rPr>
            </w:pPr>
            <w:r>
              <w:rPr>
                <w:rFonts w:hint="eastAsia" w:ascii="宋体" w:hAnsi="宋体"/>
                <w:bCs/>
                <w:highlight w:val="none"/>
              </w:rPr>
              <w:t xml:space="preserve">3.巡视过程中，发现安全隐患（门窗未关好，室内无人时未锁门及贵重物品未妥善保管等）及时提醒学生或报告相关人员，并做好记录。</w:t>
            </w:r>
            <w:r>
              <w:rPr>
                <w:highlight w:val="none"/>
              </w:rPr>
            </w:r>
            <w:r/>
          </w:p>
          <w:p>
            <w:pPr>
              <w:spacing w:line="440" w:lineRule="exact"/>
              <w:rPr>
                <w:rFonts w:ascii="宋体" w:hAnsi="宋体"/>
                <w:bCs/>
                <w:highlight w:val="none"/>
              </w:rPr>
            </w:pPr>
            <w:r>
              <w:rPr>
                <w:rFonts w:hint="eastAsia" w:ascii="宋体" w:hAnsi="宋体"/>
                <w:bCs/>
                <w:highlight w:val="none"/>
              </w:rPr>
              <w:t xml:space="preserve">4.重点时间段（</w:t>
            </w:r>
            <w:r>
              <w:rPr>
                <w:rFonts w:ascii="宋体" w:hAnsi="宋体"/>
                <w:bCs/>
                <w:highlight w:val="none"/>
              </w:rPr>
              <w:t xml:space="preserve">8</w:t>
            </w:r>
            <w:r>
              <w:rPr>
                <w:rFonts w:hint="eastAsia" w:ascii="宋体" w:hAnsi="宋体"/>
                <w:bCs/>
                <w:highlight w:val="none"/>
              </w:rPr>
              <w:t xml:space="preserve">：</w:t>
            </w:r>
            <w:r>
              <w:rPr>
                <w:rFonts w:ascii="宋体" w:hAnsi="宋体"/>
                <w:bCs/>
                <w:highlight w:val="none"/>
              </w:rPr>
              <w:t xml:space="preserve">00—11:00,14:00—16</w:t>
            </w:r>
            <w:r>
              <w:rPr>
                <w:rFonts w:hint="eastAsia" w:ascii="宋体" w:hAnsi="宋体"/>
                <w:bCs/>
                <w:highlight w:val="none"/>
              </w:rPr>
              <w:t xml:space="preserve">：</w:t>
            </w:r>
            <w:r>
              <w:rPr>
                <w:rFonts w:ascii="宋体" w:hAnsi="宋体"/>
                <w:bCs/>
                <w:highlight w:val="none"/>
              </w:rPr>
              <w:t xml:space="preserve">00</w:t>
            </w:r>
            <w:r>
              <w:rPr>
                <w:rFonts w:hint="eastAsia" w:ascii="宋体" w:hAnsi="宋体"/>
                <w:bCs/>
                <w:highlight w:val="none"/>
              </w:rPr>
              <w:t xml:space="preserve">），在巡视中对开着门的学生宿舍要查问是否是本学生宿舍成员，并做好记录。</w:t>
            </w:r>
            <w:r>
              <w:rPr>
                <w:highlight w:val="none"/>
              </w:rPr>
            </w:r>
            <w:r/>
          </w:p>
          <w:p>
            <w:pPr>
              <w:spacing w:line="440" w:lineRule="exact"/>
              <w:rPr>
                <w:rFonts w:ascii="宋体" w:hAnsi="宋体" w:cs="宋体"/>
                <w:highlight w:val="none"/>
              </w:rPr>
            </w:pPr>
            <w:r>
              <w:rPr>
                <w:rFonts w:hint="eastAsia" w:ascii="宋体" w:hAnsi="宋体" w:cs="宋体"/>
                <w:bCs/>
                <w:highlight w:val="none"/>
              </w:rPr>
              <w:t xml:space="preserve">5.管理服务人员应熟练使用消防器材，指导学生掌握火灾逃生的方法；</w:t>
            </w:r>
            <w:r>
              <w:rPr>
                <w:highlight w:val="none"/>
              </w:rPr>
            </w:r>
            <w:r/>
          </w:p>
        </w:tc>
      </w:tr>
      <w:tr>
        <w:trPr>
          <w:jc w:val="center"/>
          <w:tblCellSpacing w:w="11" w:type="dxa"/>
          <w:trHeight w:val="3371"/>
        </w:trPr>
        <w:tc>
          <w:tcPr>
            <w:tcW w:w="1970" w:type="dxa"/>
            <w:textDirection w:val="lrTb"/>
            <w:noWrap w:val="false"/>
          </w:tcPr>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ind w:firstLine="315"/>
              <w:spacing w:line="440" w:lineRule="exact"/>
              <w:tabs>
                <w:tab w:val="left" w:pos="-21" w:leader="none"/>
              </w:tabs>
              <w:rPr>
                <w:rFonts w:ascii="宋体" w:hAnsi="宋体" w:cs="宋体"/>
                <w:highlight w:val="none"/>
              </w:rPr>
            </w:pPr>
            <w:r>
              <w:rPr>
                <w:rFonts w:hint="eastAsia" w:ascii="宋体" w:hAnsi="宋体" w:cs="宋体"/>
                <w:highlight w:val="none"/>
              </w:rPr>
              <w:t xml:space="preserve">2、室内卫生</w:t>
            </w:r>
            <w:r>
              <w:rPr>
                <w:highlight w:val="none"/>
              </w:rPr>
            </w:r>
            <w:r/>
          </w:p>
        </w:tc>
        <w:tc>
          <w:tcPr>
            <w:tcW w:w="6823" w:type="dxa"/>
            <w:textDirection w:val="lrTb"/>
            <w:noWrap w:val="false"/>
          </w:tcPr>
          <w:p>
            <w:pPr>
              <w:spacing w:line="440" w:lineRule="exact"/>
              <w:rPr>
                <w:rFonts w:ascii="宋体" w:hAnsi="宋体"/>
                <w:highlight w:val="none"/>
              </w:rPr>
            </w:pPr>
            <w:r>
              <w:rPr>
                <w:rFonts w:hint="eastAsia" w:ascii="宋体" w:hAnsi="宋体"/>
                <w:highlight w:val="none"/>
              </w:rPr>
              <w:t xml:space="preserve">1.走廊、地面、楼梯、扶手、墙体、踢脚线等保持干净，无杂物、无污渍、无灰尘。</w:t>
            </w:r>
            <w:r>
              <w:rPr>
                <w:highlight w:val="none"/>
              </w:rPr>
            </w:r>
            <w:r/>
          </w:p>
          <w:p>
            <w:pPr>
              <w:spacing w:line="440" w:lineRule="exact"/>
              <w:rPr>
                <w:rFonts w:ascii="宋体" w:hAnsi="宋体"/>
                <w:highlight w:val="none"/>
              </w:rPr>
            </w:pPr>
            <w:r>
              <w:rPr>
                <w:rFonts w:hint="eastAsia" w:ascii="宋体" w:hAnsi="宋体"/>
                <w:highlight w:val="none"/>
              </w:rPr>
              <w:t xml:space="preserve">2.门的表面、边框、窗户、窗台、玻璃目视无手印、污渍、灰尘，保持光洁。</w:t>
            </w:r>
            <w:r>
              <w:rPr>
                <w:highlight w:val="none"/>
              </w:rPr>
            </w:r>
            <w:r/>
          </w:p>
          <w:p>
            <w:pPr>
              <w:spacing w:line="440" w:lineRule="exact"/>
              <w:rPr>
                <w:rFonts w:ascii="宋体" w:hAnsi="宋体"/>
                <w:highlight w:val="none"/>
              </w:rPr>
            </w:pPr>
            <w:r>
              <w:rPr>
                <w:rFonts w:hint="eastAsia" w:ascii="宋体" w:hAnsi="宋体"/>
                <w:highlight w:val="none"/>
              </w:rPr>
              <w:t xml:space="preserve">3.废纸篓、烟灰缸、消防栓、配电箱、垃圾箱外观干净、摆放整齐、定位、垃圾日产日清。</w:t>
            </w:r>
            <w:r>
              <w:rPr>
                <w:highlight w:val="none"/>
              </w:rPr>
            </w:r>
            <w:r/>
          </w:p>
          <w:p>
            <w:pPr>
              <w:spacing w:line="440" w:lineRule="exact"/>
              <w:rPr>
                <w:rFonts w:ascii="宋体" w:hAnsi="宋体"/>
                <w:highlight w:val="none"/>
              </w:rPr>
            </w:pPr>
            <w:r>
              <w:rPr>
                <w:rFonts w:hint="eastAsia" w:ascii="宋体" w:hAnsi="宋体"/>
                <w:highlight w:val="none"/>
              </w:rPr>
              <w:t xml:space="preserve">4.便器畅通、无污渍、无污垢、无臭水，无黄渍。洗手盆及台面保持干净无污渍。</w:t>
            </w:r>
            <w:r>
              <w:rPr>
                <w:highlight w:val="none"/>
              </w:rPr>
            </w:r>
            <w:r/>
          </w:p>
          <w:p>
            <w:pPr>
              <w:spacing w:line="440" w:lineRule="exact"/>
              <w:rPr>
                <w:rFonts w:ascii="宋体" w:hAnsi="宋体"/>
                <w:highlight w:val="none"/>
              </w:rPr>
            </w:pPr>
            <w:r>
              <w:rPr>
                <w:rFonts w:hint="eastAsia" w:ascii="宋体" w:hAnsi="宋体"/>
                <w:highlight w:val="none"/>
              </w:rPr>
              <w:t xml:space="preserve">5.墙面无污渍、无灰尘、瓷砖表面光洁。</w:t>
            </w:r>
            <w:r>
              <w:rPr>
                <w:highlight w:val="none"/>
              </w:rPr>
            </w:r>
            <w:r/>
          </w:p>
        </w:tc>
      </w:tr>
      <w:tr>
        <w:trPr>
          <w:jc w:val="center"/>
          <w:tblCellSpacing w:w="11" w:type="dxa"/>
        </w:trPr>
        <w:tc>
          <w:tcPr>
            <w:tcW w:w="1970" w:type="dxa"/>
            <w:textDirection w:val="lrTb"/>
            <w:noWrap w:val="false"/>
          </w:tcPr>
          <w:p>
            <w:pPr>
              <w:pStyle w:val="1012"/>
              <w:ind w:left="380"/>
              <w:spacing w:line="440" w:lineRule="exact"/>
              <w:rPr>
                <w:rFonts w:ascii="宋体" w:hAnsi="宋体"/>
                <w:highlight w:val="none"/>
              </w:rPr>
            </w:pPr>
            <w:r>
              <w:rPr>
                <w:rFonts w:ascii="宋体" w:hAnsi="宋体"/>
                <w:highlight w:val="none"/>
              </w:rPr>
            </w:r>
            <w:r>
              <w:rPr>
                <w:highlight w:val="none"/>
              </w:rPr>
            </w:r>
            <w:r/>
          </w:p>
          <w:p>
            <w:pPr>
              <w:pStyle w:val="1012"/>
              <w:ind w:left="380"/>
              <w:spacing w:line="440" w:lineRule="exact"/>
              <w:rPr>
                <w:rFonts w:ascii="宋体" w:hAnsi="宋体"/>
                <w:highlight w:val="none"/>
              </w:rPr>
            </w:pPr>
            <w:r>
              <w:rPr>
                <w:rFonts w:ascii="宋体" w:hAnsi="宋体"/>
                <w:highlight w:val="none"/>
              </w:rPr>
            </w:r>
            <w:r>
              <w:rPr>
                <w:highlight w:val="none"/>
              </w:rPr>
            </w:r>
            <w:r/>
          </w:p>
          <w:p>
            <w:pPr>
              <w:pStyle w:val="1012"/>
              <w:ind w:left="380"/>
              <w:spacing w:line="440" w:lineRule="exact"/>
              <w:rPr>
                <w:rFonts w:ascii="宋体" w:hAnsi="宋体"/>
                <w:highlight w:val="none"/>
              </w:rPr>
            </w:pPr>
            <w:r>
              <w:rPr>
                <w:rFonts w:ascii="宋体" w:hAnsi="宋体"/>
                <w:highlight w:val="none"/>
              </w:rPr>
            </w:r>
            <w:r>
              <w:rPr>
                <w:highlight w:val="none"/>
              </w:rPr>
            </w:r>
            <w:r/>
          </w:p>
          <w:p>
            <w:pPr>
              <w:pStyle w:val="1012"/>
              <w:ind w:left="380"/>
              <w:spacing w:line="440" w:lineRule="exact"/>
              <w:rPr>
                <w:rFonts w:ascii="宋体" w:hAnsi="宋体"/>
                <w:highlight w:val="none"/>
              </w:rPr>
            </w:pPr>
            <w:r>
              <w:rPr>
                <w:rFonts w:ascii="宋体" w:hAnsi="宋体"/>
                <w:highlight w:val="none"/>
              </w:rPr>
            </w:r>
            <w:r>
              <w:rPr>
                <w:highlight w:val="none"/>
              </w:rPr>
            </w:r>
            <w:r/>
          </w:p>
          <w:p>
            <w:pPr>
              <w:pStyle w:val="1012"/>
              <w:ind w:left="380"/>
              <w:spacing w:line="440" w:lineRule="exact"/>
              <w:rPr>
                <w:rFonts w:ascii="宋体" w:hAnsi="宋体"/>
                <w:highlight w:val="none"/>
              </w:rPr>
            </w:pPr>
            <w:r>
              <w:rPr>
                <w:rFonts w:hint="eastAsia" w:ascii="宋体" w:hAnsi="宋体"/>
                <w:highlight w:val="none"/>
              </w:rPr>
              <w:t xml:space="preserve">3、室外卫生（内庭院）</w:t>
            </w:r>
            <w:r>
              <w:rPr>
                <w:highlight w:val="none"/>
              </w:rPr>
            </w:r>
            <w:r/>
          </w:p>
        </w:tc>
        <w:tc>
          <w:tcPr>
            <w:tcW w:w="6823" w:type="dxa"/>
            <w:textDirection w:val="lrTb"/>
            <w:noWrap w:val="false"/>
          </w:tcPr>
          <w:p>
            <w:pPr>
              <w:pStyle w:val="1012"/>
              <w:spacing w:line="440" w:lineRule="exact"/>
              <w:rPr>
                <w:rFonts w:ascii="宋体" w:hAnsi="宋体"/>
                <w:highlight w:val="none"/>
              </w:rPr>
            </w:pPr>
            <w:r>
              <w:rPr>
                <w:rFonts w:hint="eastAsia" w:ascii="宋体" w:hAnsi="宋体"/>
                <w:highlight w:val="none"/>
              </w:rPr>
              <w:t xml:space="preserve">1、场区、道路随时保洁、无大片树叶、纸屑、垃圾等废弃物。</w:t>
            </w:r>
            <w:r>
              <w:rPr>
                <w:highlight w:val="none"/>
              </w:rPr>
            </w:r>
            <w:r/>
          </w:p>
          <w:p>
            <w:pPr>
              <w:pStyle w:val="1012"/>
              <w:spacing w:line="440" w:lineRule="exact"/>
              <w:rPr>
                <w:rFonts w:ascii="宋体" w:hAnsi="宋体"/>
                <w:highlight w:val="none"/>
              </w:rPr>
            </w:pPr>
            <w:r>
              <w:rPr>
                <w:rFonts w:hint="eastAsia" w:ascii="宋体" w:hAnsi="宋体"/>
                <w:highlight w:val="none"/>
              </w:rPr>
              <w:t xml:space="preserve">2、垃圾箱外观干净、摆放整齐、定位、垃圾日产日清。</w:t>
            </w:r>
            <w:r>
              <w:rPr>
                <w:highlight w:val="none"/>
              </w:rPr>
            </w:r>
            <w:r/>
          </w:p>
          <w:p>
            <w:pPr>
              <w:pStyle w:val="1012"/>
              <w:spacing w:line="440" w:lineRule="exact"/>
              <w:rPr>
                <w:rFonts w:ascii="宋体" w:hAnsi="宋体"/>
                <w:highlight w:val="none"/>
              </w:rPr>
            </w:pPr>
            <w:r>
              <w:rPr>
                <w:rFonts w:hint="eastAsia" w:ascii="宋体" w:hAnsi="宋体"/>
                <w:highlight w:val="none"/>
              </w:rPr>
              <w:t xml:space="preserve">3、宣传栏无污渍、尘渍、无乱贴乱画，保持整洁。</w:t>
            </w:r>
            <w:r>
              <w:rPr>
                <w:highlight w:val="none"/>
              </w:rPr>
            </w:r>
            <w:r/>
          </w:p>
          <w:p>
            <w:pPr>
              <w:pStyle w:val="1012"/>
              <w:spacing w:line="440" w:lineRule="exact"/>
              <w:rPr>
                <w:rFonts w:ascii="宋体" w:hAnsi="宋体"/>
                <w:highlight w:val="none"/>
              </w:rPr>
            </w:pPr>
            <w:r>
              <w:rPr>
                <w:rFonts w:hint="eastAsia" w:ascii="宋体" w:hAnsi="宋体"/>
                <w:highlight w:val="none"/>
              </w:rPr>
              <w:t xml:space="preserve">4、无张贴校园广告及树挂等。</w:t>
            </w:r>
            <w:r>
              <w:rPr>
                <w:highlight w:val="none"/>
              </w:rPr>
            </w:r>
            <w:r/>
          </w:p>
          <w:p>
            <w:pPr>
              <w:pStyle w:val="1012"/>
              <w:spacing w:line="440" w:lineRule="exact"/>
              <w:rPr>
                <w:rFonts w:ascii="宋体" w:hAnsi="宋体"/>
                <w:highlight w:val="none"/>
              </w:rPr>
            </w:pPr>
            <w:r>
              <w:rPr>
                <w:rFonts w:hint="eastAsia" w:ascii="宋体" w:hAnsi="宋体"/>
                <w:highlight w:val="none"/>
              </w:rPr>
              <w:t xml:space="preserve">5、辖区绿化带内随时保洁、无大片树叶、纸屑、垃圾等废弃物。</w:t>
            </w:r>
            <w:r>
              <w:rPr>
                <w:highlight w:val="none"/>
              </w:rPr>
            </w:r>
            <w:r/>
          </w:p>
          <w:p>
            <w:pPr>
              <w:pStyle w:val="1012"/>
              <w:spacing w:line="440" w:lineRule="exact"/>
              <w:rPr>
                <w:rFonts w:ascii="宋体" w:hAnsi="宋体"/>
                <w:highlight w:val="none"/>
              </w:rPr>
            </w:pPr>
            <w:r>
              <w:rPr>
                <w:rFonts w:hint="eastAsia" w:ascii="宋体" w:hAnsi="宋体"/>
                <w:highlight w:val="none"/>
              </w:rPr>
              <w:t xml:space="preserve">6、对沟、井、草地、垃圾房等地方进行消杀，保持无蚊虫、蟑螂、鼠害。</w:t>
            </w:r>
            <w:r>
              <w:rPr>
                <w:highlight w:val="none"/>
              </w:rPr>
            </w:r>
            <w:r/>
          </w:p>
          <w:p>
            <w:pPr>
              <w:pStyle w:val="1012"/>
              <w:spacing w:line="440" w:lineRule="exact"/>
              <w:rPr>
                <w:rFonts w:ascii="宋体" w:hAnsi="宋体"/>
                <w:highlight w:val="none"/>
              </w:rPr>
            </w:pPr>
            <w:r>
              <w:rPr>
                <w:rFonts w:hint="eastAsia" w:ascii="宋体" w:hAnsi="宋体"/>
                <w:highlight w:val="none"/>
              </w:rPr>
              <w:t xml:space="preserve">7、建筑物边线2米内属于保洁范围。</w:t>
            </w:r>
            <w:r>
              <w:rPr>
                <w:highlight w:val="none"/>
              </w:rPr>
            </w:r>
            <w:r/>
          </w:p>
        </w:tc>
      </w:tr>
      <w:tr>
        <w:trPr>
          <w:jc w:val="center"/>
          <w:tblCellSpacing w:w="11" w:type="dxa"/>
          <w:trHeight w:val="537"/>
        </w:trPr>
        <w:tc>
          <w:tcPr>
            <w:tcW w:w="1970" w:type="dxa"/>
            <w:textDirection w:val="lrTb"/>
            <w:noWrap w:val="false"/>
          </w:tcPr>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spacing w:line="440" w:lineRule="exact"/>
              <w:tabs>
                <w:tab w:val="left" w:pos="-21" w:leader="none"/>
              </w:tabs>
              <w:rPr>
                <w:rFonts w:ascii="宋体" w:hAnsi="宋体" w:cs="宋体"/>
                <w:highlight w:val="none"/>
              </w:rPr>
            </w:pPr>
            <w:r>
              <w:rPr>
                <w:rFonts w:ascii="宋体" w:hAnsi="宋体" w:cs="宋体"/>
                <w:highlight w:val="none"/>
              </w:rPr>
            </w:r>
            <w:r>
              <w:rPr>
                <w:highlight w:val="none"/>
              </w:rPr>
            </w:r>
            <w:r/>
          </w:p>
          <w:p>
            <w:pPr>
              <w:ind w:firstLine="315"/>
              <w:spacing w:line="440" w:lineRule="exact"/>
              <w:tabs>
                <w:tab w:val="left" w:pos="-21" w:leader="none"/>
              </w:tabs>
              <w:rPr>
                <w:rFonts w:ascii="宋体" w:hAnsi="宋体" w:cs="宋体"/>
                <w:highlight w:val="none"/>
              </w:rPr>
            </w:pPr>
            <w:r>
              <w:rPr>
                <w:rFonts w:hint="eastAsia" w:ascii="宋体" w:hAnsi="宋体" w:cs="宋体"/>
                <w:highlight w:val="none"/>
              </w:rPr>
              <w:t xml:space="preserve">4、宿舍维修</w:t>
            </w:r>
            <w:r>
              <w:rPr>
                <w:highlight w:val="none"/>
              </w:rPr>
            </w:r>
            <w:r/>
          </w:p>
        </w:tc>
        <w:tc>
          <w:tcPr>
            <w:tcW w:w="6823" w:type="dxa"/>
            <w:textDirection w:val="lrTb"/>
            <w:noWrap w:val="false"/>
          </w:tcPr>
          <w:p>
            <w:pPr>
              <w:spacing w:line="440" w:lineRule="exact"/>
              <w:rPr>
                <w:rFonts w:ascii="宋体" w:hAnsi="宋体"/>
                <w:highlight w:val="none"/>
              </w:rPr>
            </w:pPr>
            <w:r>
              <w:rPr>
                <w:rFonts w:hint="eastAsia" w:ascii="宋体" w:hAnsi="宋体" w:cs="宋体"/>
                <w:highlight w:val="none"/>
              </w:rPr>
              <w:t xml:space="preserve">1</w:t>
            </w:r>
            <w:r>
              <w:rPr>
                <w:rFonts w:hint="eastAsia" w:ascii="宋体" w:hAnsi="宋体"/>
                <w:highlight w:val="none"/>
              </w:rPr>
              <w:t xml:space="preserve">、维修人员应经常巡查、询问，发现门窗框松动、开关不灵活等应及时修复；床、柜等损坏后及时修复，室内给水系统漏水的应立即修理，零件残缺的应予补齐，无跑、冒、漏、滴现象，能正常使用；闸具、电源插头、开关、灯头导线，配电柜、配电箱、配电盘等要求元器件齐全，安全可靠，使用正常，如出现故障，报修后15分钟内到达现场处理；屋面、墙面等小型修理及时。紧急情况下要随报随修。维修人员维修应持派工单，挂牌上岗。</w:t>
            </w:r>
            <w:r>
              <w:rPr>
                <w:highlight w:val="none"/>
              </w:rPr>
            </w:r>
            <w:r/>
          </w:p>
          <w:p>
            <w:pPr>
              <w:spacing w:line="440" w:lineRule="exact"/>
              <w:rPr>
                <w:rFonts w:ascii="宋体" w:hAnsi="宋体"/>
                <w:highlight w:val="none"/>
              </w:rPr>
            </w:pPr>
            <w:r>
              <w:rPr>
                <w:rFonts w:hint="eastAsia" w:ascii="宋体" w:hAnsi="宋体"/>
                <w:highlight w:val="none"/>
              </w:rPr>
              <w:t xml:space="preserve">2、零星维修由各委托单位及时维修，由使用单位验收签字。</w:t>
            </w:r>
            <w:r>
              <w:rPr>
                <w:highlight w:val="none"/>
              </w:rPr>
            </w:r>
            <w:r/>
          </w:p>
          <w:p>
            <w:pPr>
              <w:spacing w:line="440" w:lineRule="exact"/>
              <w:rPr>
                <w:rFonts w:ascii="宋体" w:hAnsi="宋体"/>
                <w:highlight w:val="none"/>
              </w:rPr>
            </w:pPr>
            <w:r>
              <w:rPr>
                <w:rFonts w:hint="eastAsia" w:ascii="宋体" w:hAnsi="宋体"/>
                <w:highlight w:val="none"/>
              </w:rPr>
              <w:t xml:space="preserve">3、维修材料由学校采取自购或招投标方式购买，现场确认，以旧换新，按需供应，做好台账。</w:t>
            </w:r>
            <w:r>
              <w:rPr>
                <w:highlight w:val="none"/>
              </w:rPr>
            </w:r>
            <w:r/>
          </w:p>
          <w:p>
            <w:pPr>
              <w:spacing w:line="440" w:lineRule="exact"/>
              <w:rPr>
                <w:rFonts w:ascii="宋体" w:hAnsi="宋体" w:cs="宋体"/>
                <w:highlight w:val="none"/>
              </w:rPr>
            </w:pPr>
            <w:r>
              <w:rPr>
                <w:rFonts w:hint="eastAsia" w:ascii="宋体" w:hAnsi="宋体"/>
                <w:highlight w:val="none"/>
              </w:rPr>
              <w:t xml:space="preserve">4、房屋维护：门窗、地墙面、水池等建筑物的小修小补。（房屋大修或结构修理由招标方承担，投标方应该注意房屋情况及时与招标方沟通，发现房屋问题及时通报，以得到迅速修理。</w:t>
            </w:r>
            <w:r>
              <w:rPr>
                <w:highlight w:val="none"/>
              </w:rPr>
            </w:r>
            <w:r/>
          </w:p>
        </w:tc>
      </w:tr>
    </w:tbl>
    <w:p>
      <w:pPr>
        <w:spacing w:line="360" w:lineRule="auto"/>
        <w:tabs>
          <w:tab w:val="left" w:pos="0" w:leader="none"/>
          <w:tab w:val="left" w:pos="525" w:leader="none"/>
          <w:tab w:val="left" w:pos="945" w:leader="none"/>
        </w:tabs>
        <w:rPr>
          <w:rFonts w:ascii="宋体" w:hAnsi="宋体"/>
          <w:b/>
          <w:bCs/>
          <w:sz w:val="24"/>
          <w:szCs w:val="24"/>
          <w:highlight w:val="none"/>
        </w:rPr>
      </w:pPr>
      <w:r>
        <w:rPr>
          <w:rFonts w:ascii="宋体" w:hAnsi="宋体"/>
          <w:b/>
          <w:bCs/>
          <w:sz w:val="24"/>
          <w:szCs w:val="24"/>
          <w:highlight w:val="none"/>
        </w:rPr>
      </w:r>
      <w:r>
        <w:rPr>
          <w:highlight w:val="none"/>
        </w:rPr>
      </w:r>
      <w:r/>
    </w:p>
    <w:p>
      <w:pPr>
        <w:numPr>
          <w:ilvl w:val="0"/>
          <w:numId w:val="9"/>
        </w:numPr>
        <w:jc w:val="left"/>
        <w:widowControl/>
        <w:rPr>
          <w:rFonts w:ascii="宋体" w:hAnsi="宋体"/>
          <w:bCs/>
          <w:sz w:val="24"/>
          <w:szCs w:val="24"/>
          <w:highlight w:val="none"/>
        </w:rPr>
      </w:pPr>
      <w:r>
        <w:rPr>
          <w:rFonts w:hint="eastAsia" w:ascii="宋体" w:hAnsi="宋体"/>
          <w:bCs/>
          <w:sz w:val="24"/>
          <w:szCs w:val="24"/>
          <w:highlight w:val="none"/>
        </w:rPr>
        <w:t xml:space="preserve">室外环境保洁</w:t>
      </w:r>
      <w:r>
        <w:rPr>
          <w:highlight w:val="none"/>
        </w:rPr>
      </w:r>
      <w:r/>
    </w:p>
    <w:tbl>
      <w:tblPr>
        <w:tblStyle w:val="9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6"/>
        <w:gridCol w:w="7343"/>
      </w:tblGrid>
      <w:tr>
        <w:trPr/>
        <w:tc>
          <w:tcPr>
            <w:tcW w:w="1876" w:type="dxa"/>
            <w:textDirection w:val="lrTb"/>
            <w:noWrap w:val="false"/>
          </w:tcPr>
          <w:p>
            <w:pPr>
              <w:jc w:val="center"/>
              <w:widowControl/>
              <w:rPr>
                <w:rFonts w:ascii="宋体" w:hAnsi="宋体"/>
                <w:bCs/>
                <w:highlight w:val="none"/>
              </w:rPr>
            </w:pPr>
            <w:r>
              <w:rPr>
                <w:rFonts w:hint="eastAsia" w:ascii="宋体" w:hAnsi="宋体"/>
                <w:bCs/>
                <w:highlight w:val="none"/>
              </w:rPr>
              <w:t xml:space="preserve">服务内容</w:t>
            </w:r>
            <w:r>
              <w:rPr>
                <w:highlight w:val="none"/>
              </w:rPr>
            </w:r>
            <w:r/>
          </w:p>
        </w:tc>
        <w:tc>
          <w:tcPr>
            <w:tcW w:w="7343" w:type="dxa"/>
            <w:textDirection w:val="lrTb"/>
            <w:noWrap w:val="false"/>
          </w:tcPr>
          <w:p>
            <w:pPr>
              <w:jc w:val="center"/>
              <w:widowControl/>
              <w:rPr>
                <w:rFonts w:ascii="宋体" w:hAnsi="宋体"/>
                <w:bCs/>
                <w:highlight w:val="none"/>
              </w:rPr>
            </w:pPr>
            <w:r>
              <w:rPr>
                <w:rFonts w:hint="eastAsia" w:ascii="宋体" w:hAnsi="宋体"/>
                <w:bCs/>
                <w:highlight w:val="none"/>
              </w:rPr>
              <w:t xml:space="preserve">服务质量标准</w:t>
            </w:r>
            <w:r>
              <w:rPr>
                <w:highlight w:val="none"/>
              </w:rPr>
            </w:r>
            <w:r/>
          </w:p>
        </w:tc>
      </w:tr>
      <w:tr>
        <w:trPr/>
        <w:tc>
          <w:tcPr>
            <w:tcW w:w="1876" w:type="dxa"/>
            <w:vAlign w:val="center"/>
            <w:textDirection w:val="lrTb"/>
            <w:noWrap w:val="false"/>
          </w:tcPr>
          <w:p>
            <w:pPr>
              <w:widowControl/>
              <w:rPr>
                <w:rFonts w:ascii="宋体" w:hAnsi="宋体"/>
                <w:bCs/>
                <w:sz w:val="24"/>
                <w:szCs w:val="24"/>
                <w:highlight w:val="none"/>
              </w:rPr>
            </w:pPr>
            <w:r>
              <w:rPr>
                <w:rFonts w:hint="eastAsia" w:ascii="宋体" w:hAnsi="宋体"/>
                <w:bCs/>
                <w:highlight w:val="none"/>
              </w:rPr>
              <w:t xml:space="preserve">室外环境</w:t>
            </w:r>
            <w:r>
              <w:rPr>
                <w:highlight w:val="none"/>
              </w:rPr>
            </w:r>
            <w:r/>
          </w:p>
        </w:tc>
        <w:tc>
          <w:tcPr>
            <w:tcW w:w="7343" w:type="dxa"/>
            <w:textDirection w:val="lrTb"/>
            <w:noWrap w:val="false"/>
          </w:tcPr>
          <w:p>
            <w:pPr>
              <w:spacing w:line="440" w:lineRule="exact"/>
              <w:rPr>
                <w:rFonts w:ascii="宋体" w:hAnsi="宋体"/>
                <w:highlight w:val="none"/>
              </w:rPr>
            </w:pPr>
            <w:r>
              <w:rPr>
                <w:rFonts w:hint="eastAsia" w:ascii="宋体" w:hAnsi="宋体"/>
                <w:highlight w:val="none"/>
              </w:rPr>
              <w:t xml:space="preserve">1.外环境保洁：按照学院作息时间，每天上班前完成各建筑楼宇门前广场和校园各主要道路的卫生保洁工作，随后完成其他保洁和巡回保洁。</w:t>
            </w:r>
            <w:r>
              <w:rPr>
                <w:highlight w:val="none"/>
              </w:rPr>
            </w:r>
            <w:r/>
          </w:p>
          <w:p>
            <w:pPr>
              <w:spacing w:line="440" w:lineRule="exact"/>
              <w:rPr>
                <w:rFonts w:ascii="宋体" w:hAnsi="宋体"/>
                <w:highlight w:val="none"/>
              </w:rPr>
            </w:pPr>
            <w:r>
              <w:rPr>
                <w:rFonts w:hint="eastAsia" w:ascii="宋体" w:hAnsi="宋体"/>
                <w:highlight w:val="none"/>
              </w:rPr>
              <w:t xml:space="preserve">2.乱张贴清理：每天抹擦路牌、宣传栏一次，发现乱张贴现象，随时清理。</w:t>
            </w:r>
            <w:r>
              <w:rPr>
                <w:highlight w:val="none"/>
              </w:rPr>
            </w:r>
            <w:r/>
          </w:p>
          <w:p>
            <w:pPr>
              <w:spacing w:line="440" w:lineRule="exact"/>
              <w:rPr>
                <w:rFonts w:ascii="宋体" w:hAnsi="宋体"/>
                <w:highlight w:val="none"/>
              </w:rPr>
            </w:pPr>
            <w:r>
              <w:rPr>
                <w:rFonts w:hint="eastAsia" w:ascii="宋体" w:hAnsi="宋体"/>
                <w:highlight w:val="none"/>
              </w:rPr>
              <w:t xml:space="preserve">3.人工湖坡地保洁：每天上午、下午绕人工湖坡地集中清理白色垃圾和杂物各一次，其他时间每两小时巡检保洁一次。景观池每学期清理换水一次。</w:t>
            </w:r>
            <w:r>
              <w:rPr>
                <w:highlight w:val="none"/>
              </w:rPr>
            </w:r>
            <w:r/>
          </w:p>
          <w:p>
            <w:pPr>
              <w:spacing w:line="440" w:lineRule="exact"/>
              <w:rPr>
                <w:rFonts w:ascii="宋体" w:hAnsi="宋体"/>
                <w:highlight w:val="none"/>
              </w:rPr>
            </w:pPr>
            <w:r>
              <w:rPr>
                <w:rFonts w:hint="eastAsia" w:ascii="宋体" w:hAnsi="宋体"/>
                <w:highlight w:val="none"/>
              </w:rPr>
              <w:t xml:space="preserve">4.田径场保洁：每天上班前集中对田径场主席台、公共厕所和田径场场内进行一次集中清扫，其他时间每两小时巡检保洁一次。遇学院举办各类活动，协助学院完成主席台布置工作，活动结束后立即完成卫生保洁。</w:t>
            </w:r>
            <w:r>
              <w:rPr>
                <w:highlight w:val="none"/>
              </w:rPr>
            </w:r>
            <w:r/>
          </w:p>
          <w:p>
            <w:pPr>
              <w:spacing w:line="440" w:lineRule="exact"/>
              <w:rPr>
                <w:rFonts w:ascii="宋体" w:hAnsi="宋体"/>
                <w:highlight w:val="none"/>
              </w:rPr>
            </w:pPr>
            <w:r>
              <w:rPr>
                <w:rFonts w:hint="eastAsia" w:ascii="宋体" w:hAnsi="宋体"/>
                <w:highlight w:val="none"/>
              </w:rPr>
              <w:t xml:space="preserve">5.垃圾中转站清理：每天上午、下午各集中进行一次垃圾清理，确保无散落垃圾、无污水、无明显污迹。</w:t>
            </w:r>
            <w:r>
              <w:rPr>
                <w:highlight w:val="none"/>
              </w:rPr>
            </w:r>
            <w:r/>
          </w:p>
          <w:p>
            <w:pPr>
              <w:spacing w:line="440" w:lineRule="exact"/>
              <w:rPr>
                <w:rFonts w:ascii="宋体" w:hAnsi="宋体"/>
                <w:highlight w:val="none"/>
              </w:rPr>
            </w:pPr>
            <w:r>
              <w:rPr>
                <w:rFonts w:hint="eastAsia" w:ascii="宋体" w:hAnsi="宋体"/>
                <w:highlight w:val="none"/>
              </w:rPr>
              <w:t xml:space="preserve">6.除“四害”：每年灭鼠、灭蟑2－4次；4－10月，每天垃圾场、厕所、垃圾桶周边喷药灭蚊、灭蝇。</w:t>
            </w:r>
            <w:r>
              <w:rPr>
                <w:highlight w:val="none"/>
              </w:rPr>
            </w:r>
            <w:r/>
          </w:p>
          <w:p>
            <w:pPr>
              <w:spacing w:line="440" w:lineRule="exact"/>
              <w:rPr>
                <w:rFonts w:ascii="宋体" w:hAnsi="宋体"/>
                <w:highlight w:val="none"/>
              </w:rPr>
            </w:pPr>
            <w:r>
              <w:rPr>
                <w:rFonts w:hint="eastAsia" w:ascii="宋体" w:hAnsi="宋体"/>
                <w:highlight w:val="none"/>
              </w:rPr>
              <w:t xml:space="preserve">7.卫生消毒：在春、秋传染性疾病高发季节、校园出现传染性疾病疫情时，及目前防疫工作常态化情况下，按照学院有关部门要求，配合做好公共区域卫生消毒工作。</w:t>
            </w:r>
            <w:r>
              <w:rPr>
                <w:highlight w:val="none"/>
              </w:rPr>
            </w:r>
            <w:r/>
          </w:p>
          <w:p>
            <w:pPr>
              <w:spacing w:line="440" w:lineRule="exact"/>
              <w:rPr>
                <w:rFonts w:ascii="宋体" w:hAnsi="宋体"/>
                <w:highlight w:val="none"/>
              </w:rPr>
            </w:pPr>
            <w:r>
              <w:rPr>
                <w:rFonts w:hint="eastAsia" w:ascii="宋体" w:hAnsi="宋体"/>
                <w:highlight w:val="none"/>
              </w:rPr>
              <w:t xml:space="preserve">8.防洪沟清理：与外环境卫生保洁同步，对防洪沟内杂草、泥土、石块等杂物进行及时清理。</w:t>
            </w:r>
            <w:r>
              <w:rPr>
                <w:highlight w:val="none"/>
              </w:rPr>
            </w:r>
            <w:r/>
          </w:p>
          <w:p>
            <w:pPr>
              <w:spacing w:line="440" w:lineRule="exact"/>
              <w:rPr>
                <w:rFonts w:ascii="宋体" w:hAnsi="宋体"/>
                <w:highlight w:val="none"/>
              </w:rPr>
            </w:pPr>
            <w:r>
              <w:rPr>
                <w:rFonts w:hint="eastAsia" w:ascii="宋体" w:hAnsi="宋体"/>
                <w:highlight w:val="none"/>
              </w:rPr>
              <w:t xml:space="preserve">9.窖井清理：每周至少对公共区域雨水井、路面集水井等各类窖井杂物集中进行一次清理，遇雨季则全天候巡检清理。井盖损坏或缺失的，应立即维修或更换。</w:t>
            </w:r>
            <w:r>
              <w:rPr>
                <w:highlight w:val="none"/>
              </w:rPr>
            </w:r>
            <w:r/>
          </w:p>
          <w:p>
            <w:pPr>
              <w:spacing w:line="440" w:lineRule="exact"/>
              <w:rPr>
                <w:rFonts w:ascii="宋体" w:hAnsi="宋体"/>
                <w:bCs/>
                <w:sz w:val="24"/>
                <w:szCs w:val="24"/>
                <w:highlight w:val="none"/>
              </w:rPr>
            </w:pPr>
            <w:r>
              <w:rPr>
                <w:rFonts w:hint="eastAsia" w:ascii="宋体" w:hAnsi="宋体"/>
                <w:highlight w:val="none"/>
              </w:rPr>
              <w:t xml:space="preserve">10.管道疏通：每年至少对化粪池、隔油池周边排污管道和雨水管道集中进行两次清理，确保各类管道排污、排水通畅。</w:t>
            </w:r>
            <w:r>
              <w:rPr>
                <w:highlight w:val="none"/>
              </w:rPr>
            </w:r>
            <w:r/>
          </w:p>
        </w:tc>
      </w:tr>
    </w:tbl>
    <w:p>
      <w:pPr>
        <w:jc w:val="left"/>
        <w:widowControl/>
        <w:rPr>
          <w:rFonts w:ascii="宋体" w:hAnsi="宋体"/>
          <w:bCs/>
          <w:sz w:val="24"/>
          <w:szCs w:val="24"/>
          <w:highlight w:val="none"/>
        </w:rPr>
      </w:pPr>
      <w:r>
        <w:rPr>
          <w:rFonts w:ascii="宋体" w:hAnsi="宋体"/>
          <w:bCs/>
          <w:sz w:val="24"/>
          <w:szCs w:val="24"/>
          <w:highlight w:val="none"/>
        </w:rPr>
      </w:r>
      <w:r>
        <w:rPr>
          <w:highlight w:val="none"/>
        </w:rPr>
      </w:r>
      <w:r/>
    </w:p>
    <w:p>
      <w:pPr>
        <w:numPr>
          <w:ilvl w:val="0"/>
          <w:numId w:val="9"/>
        </w:numPr>
        <w:jc w:val="left"/>
        <w:widowControl/>
        <w:rPr>
          <w:rFonts w:ascii="宋体" w:hAnsi="宋体"/>
          <w:bCs/>
          <w:sz w:val="24"/>
          <w:szCs w:val="24"/>
          <w:highlight w:val="none"/>
        </w:rPr>
      </w:pPr>
      <w:r>
        <w:rPr>
          <w:rFonts w:hint="eastAsia" w:ascii="宋体" w:hAnsi="宋体"/>
          <w:bCs/>
          <w:sz w:val="24"/>
          <w:szCs w:val="24"/>
          <w:highlight w:val="none"/>
        </w:rPr>
        <w:t xml:space="preserve">绿化养护</w:t>
      </w:r>
      <w:r>
        <w:rPr>
          <w:highlight w:val="none"/>
        </w:rPr>
      </w:r>
      <w:r/>
    </w:p>
    <w:tbl>
      <w:tblPr>
        <w:tblStyle w:val="9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1"/>
        <w:gridCol w:w="7238"/>
      </w:tblGrid>
      <w:tr>
        <w:trPr>
          <w:trHeight w:val="496"/>
        </w:trPr>
        <w:tc>
          <w:tcPr>
            <w:tcW w:w="1921" w:type="dxa"/>
            <w:vAlign w:val="center"/>
            <w:textDirection w:val="lrTb"/>
            <w:noWrap w:val="false"/>
          </w:tcPr>
          <w:p>
            <w:pPr>
              <w:jc w:val="center"/>
              <w:widowControl/>
              <w:rPr>
                <w:rFonts w:ascii="宋体" w:hAnsi="宋体"/>
                <w:bCs/>
                <w:highlight w:val="none"/>
              </w:rPr>
            </w:pPr>
            <w:r>
              <w:rPr>
                <w:rFonts w:hint="eastAsia" w:ascii="宋体" w:hAnsi="宋体"/>
                <w:bCs/>
                <w:highlight w:val="none"/>
              </w:rPr>
              <w:t xml:space="preserve">服务内容</w:t>
            </w:r>
            <w:r>
              <w:rPr>
                <w:highlight w:val="none"/>
              </w:rPr>
            </w:r>
            <w:r/>
          </w:p>
        </w:tc>
        <w:tc>
          <w:tcPr>
            <w:tcW w:w="7238" w:type="dxa"/>
            <w:vAlign w:val="center"/>
            <w:textDirection w:val="lrTb"/>
            <w:noWrap w:val="false"/>
          </w:tcPr>
          <w:p>
            <w:pPr>
              <w:jc w:val="center"/>
              <w:widowControl/>
              <w:rPr>
                <w:rFonts w:ascii="宋体" w:hAnsi="宋体"/>
                <w:bCs/>
                <w:highlight w:val="none"/>
              </w:rPr>
            </w:pPr>
            <w:r>
              <w:rPr>
                <w:rFonts w:hint="eastAsia" w:ascii="宋体" w:hAnsi="宋体"/>
                <w:bCs/>
                <w:highlight w:val="none"/>
              </w:rPr>
              <w:t xml:space="preserve">服务质量标准</w:t>
            </w:r>
            <w:r>
              <w:rPr>
                <w:highlight w:val="none"/>
              </w:rPr>
            </w:r>
            <w:r/>
          </w:p>
        </w:tc>
      </w:tr>
      <w:tr>
        <w:trPr/>
        <w:tc>
          <w:tcPr>
            <w:tcW w:w="1921" w:type="dxa"/>
            <w:vAlign w:val="center"/>
            <w:textDirection w:val="lrTb"/>
            <w:noWrap w:val="false"/>
          </w:tcPr>
          <w:p>
            <w:pPr>
              <w:widowControl/>
              <w:rPr>
                <w:rFonts w:ascii="宋体" w:hAnsi="宋体"/>
                <w:bCs/>
                <w:highlight w:val="none"/>
              </w:rPr>
            </w:pPr>
            <w:r>
              <w:rPr>
                <w:rFonts w:hint="eastAsia" w:ascii="宋体" w:hAnsi="宋体"/>
                <w:bCs/>
                <w:highlight w:val="none"/>
              </w:rPr>
              <w:t xml:space="preserve">室外绿化养护</w:t>
            </w:r>
            <w:r>
              <w:rPr>
                <w:highlight w:val="none"/>
              </w:rPr>
            </w:r>
            <w:r/>
          </w:p>
        </w:tc>
        <w:tc>
          <w:tcPr>
            <w:tcW w:w="7238" w:type="dxa"/>
            <w:textDirection w:val="lrTb"/>
            <w:noWrap w:val="false"/>
          </w:tcPr>
          <w:p>
            <w:pPr>
              <w:spacing w:line="360" w:lineRule="auto"/>
              <w:rPr>
                <w:rFonts w:ascii="宋体" w:hAnsi="宋体"/>
                <w:bCs/>
                <w:iCs/>
                <w:highlight w:val="none"/>
              </w:rPr>
            </w:pPr>
            <w:r>
              <w:rPr>
                <w:rFonts w:hint="eastAsia" w:ascii="宋体" w:hAnsi="宋体"/>
                <w:bCs/>
                <w:iCs/>
                <w:highlight w:val="none"/>
              </w:rPr>
              <w:t xml:space="preserve">1.移补植绿化：根据甲方基础设施和校园文化建设要求，完成绿化移植和绿化造景工作。对因生长不良造成的残缺花草、树木及时补植恢复，确保在能满足植物生长的条件下无黄土裸露，无明显沟缝。</w:t>
            </w:r>
            <w:r>
              <w:rPr>
                <w:highlight w:val="none"/>
              </w:rPr>
            </w:r>
            <w:r/>
          </w:p>
          <w:p>
            <w:pPr>
              <w:spacing w:line="360" w:lineRule="auto"/>
              <w:rPr>
                <w:rFonts w:ascii="宋体" w:hAnsi="宋体"/>
                <w:bCs/>
                <w:iCs/>
                <w:highlight w:val="none"/>
              </w:rPr>
            </w:pPr>
            <w:r>
              <w:rPr>
                <w:rFonts w:hint="eastAsia" w:ascii="宋体" w:hAnsi="宋体"/>
                <w:bCs/>
                <w:iCs/>
                <w:highlight w:val="none"/>
              </w:rPr>
              <w:t xml:space="preserve">2.植物补水：以绿地、乔灌木为主，根据天气情况进行浇水，保持植物良好长势，不出现枯萎等缺水现象。</w:t>
            </w:r>
            <w:r>
              <w:rPr>
                <w:highlight w:val="none"/>
              </w:rPr>
            </w:r>
            <w:r/>
          </w:p>
          <w:p>
            <w:pPr>
              <w:spacing w:line="360" w:lineRule="auto"/>
              <w:rPr>
                <w:rFonts w:ascii="宋体" w:hAnsi="宋体"/>
                <w:bCs/>
                <w:iCs/>
                <w:highlight w:val="none"/>
              </w:rPr>
            </w:pPr>
            <w:r>
              <w:rPr>
                <w:rFonts w:hint="eastAsia" w:ascii="宋体" w:hAnsi="宋体"/>
                <w:bCs/>
                <w:iCs/>
                <w:highlight w:val="none"/>
              </w:rPr>
              <w:t xml:space="preserve">3.植物施肥：每年至少进行两次集中施肥，要求施肥均匀、充足、适度，保证绿化植物强壮、枝叶茂盛。</w:t>
            </w:r>
            <w:r>
              <w:rPr>
                <w:highlight w:val="none"/>
              </w:rPr>
            </w:r>
            <w:r/>
          </w:p>
          <w:p>
            <w:pPr>
              <w:spacing w:line="360" w:lineRule="auto"/>
              <w:rPr>
                <w:rFonts w:ascii="宋体" w:hAnsi="宋体"/>
                <w:bCs/>
                <w:iCs/>
                <w:highlight w:val="none"/>
              </w:rPr>
            </w:pPr>
            <w:r>
              <w:rPr>
                <w:rFonts w:hint="eastAsia" w:ascii="宋体" w:hAnsi="宋体"/>
                <w:bCs/>
                <w:iCs/>
                <w:highlight w:val="none"/>
              </w:rPr>
              <w:t xml:space="preserve">4.除杂草松土：草坪等杂草及时清除，草坪上不允许有开花杂草，花木丛中不允许有高于花木的杂草。做好冬季树木松土、切边与冬季防冻刷白等工作。</w:t>
            </w:r>
            <w:r>
              <w:rPr>
                <w:highlight w:val="none"/>
              </w:rPr>
            </w:r>
            <w:r/>
          </w:p>
          <w:p>
            <w:pPr>
              <w:spacing w:line="360" w:lineRule="auto"/>
              <w:rPr>
                <w:rFonts w:ascii="宋体" w:hAnsi="宋体"/>
                <w:bCs/>
                <w:iCs/>
                <w:highlight w:val="none"/>
              </w:rPr>
            </w:pPr>
            <w:r>
              <w:rPr>
                <w:rFonts w:hint="eastAsia" w:ascii="宋体" w:hAnsi="宋体"/>
                <w:bCs/>
                <w:iCs/>
                <w:highlight w:val="none"/>
              </w:rPr>
              <w:t xml:space="preserve">5.修剪整形：根据具体情况或甲方要求，对树枝、草地、乔灌木和绿篱等进行修剪，确保草地高度一致，整齐美观，无疯长现象（所产生的垃圾自行处理）；乔灌木主枝分布均匀，通风透气，造型美观；绿篱整齐一致。</w:t>
            </w:r>
            <w:r>
              <w:rPr>
                <w:highlight w:val="none"/>
              </w:rPr>
            </w:r>
            <w:r/>
          </w:p>
          <w:p>
            <w:pPr>
              <w:spacing w:line="360" w:lineRule="auto"/>
              <w:rPr>
                <w:rFonts w:ascii="宋体" w:hAnsi="宋体"/>
                <w:bCs/>
                <w:iCs/>
                <w:highlight w:val="none"/>
              </w:rPr>
            </w:pPr>
            <w:r>
              <w:rPr>
                <w:rFonts w:hint="eastAsia" w:ascii="宋体" w:hAnsi="宋体"/>
                <w:bCs/>
                <w:iCs/>
                <w:highlight w:val="none"/>
              </w:rPr>
              <w:t xml:space="preserve">6.病虫害防治：随时关注病虫害情况并采取必要的防治措施，确保病株、虫害现象不成灾。</w:t>
            </w:r>
            <w:r>
              <w:rPr>
                <w:highlight w:val="none"/>
              </w:rPr>
            </w:r>
            <w:r/>
          </w:p>
          <w:p>
            <w:pPr>
              <w:spacing w:line="360" w:lineRule="auto"/>
              <w:rPr>
                <w:rFonts w:ascii="宋体" w:hAnsi="宋体"/>
                <w:bCs/>
                <w:iCs/>
                <w:highlight w:val="none"/>
              </w:rPr>
            </w:pPr>
            <w:r>
              <w:rPr>
                <w:rFonts w:hint="eastAsia" w:ascii="宋体" w:hAnsi="宋体"/>
                <w:bCs/>
                <w:iCs/>
                <w:highlight w:val="none"/>
              </w:rPr>
              <w:t xml:space="preserve">7.防风防汛：灾前积极预防，对树木加固，灾后及时清除倒树断枝、疏通道路，清理扶植。</w:t>
            </w:r>
            <w:r>
              <w:rPr>
                <w:highlight w:val="none"/>
              </w:rPr>
            </w:r>
            <w:r/>
          </w:p>
          <w:p>
            <w:pPr>
              <w:spacing w:line="360" w:lineRule="auto"/>
              <w:rPr>
                <w:rFonts w:ascii="宋体" w:hAnsi="宋体"/>
                <w:bCs/>
                <w:iCs/>
                <w:highlight w:val="none"/>
              </w:rPr>
            </w:pPr>
            <w:r>
              <w:rPr>
                <w:rFonts w:hint="eastAsia" w:ascii="宋体" w:hAnsi="宋体"/>
                <w:bCs/>
                <w:iCs/>
                <w:highlight w:val="none"/>
              </w:rPr>
              <w:t xml:space="preserve">8.硬质景观养护</w:t>
            </w:r>
            <w:r>
              <w:rPr>
                <w:highlight w:val="none"/>
              </w:rPr>
            </w:r>
            <w:r/>
          </w:p>
          <w:p>
            <w:pPr>
              <w:spacing w:line="360" w:lineRule="auto"/>
              <w:rPr>
                <w:rFonts w:ascii="宋体" w:hAnsi="宋体"/>
                <w:bCs/>
                <w:iCs/>
                <w:highlight w:val="none"/>
              </w:rPr>
            </w:pPr>
            <w:r>
              <w:rPr>
                <w:rFonts w:hint="eastAsia" w:ascii="宋体" w:hAnsi="宋体"/>
                <w:bCs/>
                <w:iCs/>
                <w:highlight w:val="none"/>
              </w:rPr>
              <w:t xml:space="preserve">a.硬质景观包括园路、花台、花架、亭廊、座椅、栏杆、标志牌箱等园林小品等设施。应保持完好无损，发现缺损应及时修补、更换。</w:t>
            </w:r>
            <w:r>
              <w:rPr>
                <w:highlight w:val="none"/>
              </w:rPr>
            </w:r>
            <w:r/>
          </w:p>
          <w:p>
            <w:pPr>
              <w:spacing w:line="360" w:lineRule="auto"/>
              <w:rPr>
                <w:rFonts w:ascii="宋体" w:hAnsi="宋体"/>
                <w:bCs/>
                <w:iCs/>
                <w:highlight w:val="none"/>
              </w:rPr>
            </w:pPr>
            <w:r>
              <w:rPr>
                <w:rFonts w:hint="eastAsia" w:ascii="宋体" w:hAnsi="宋体"/>
                <w:bCs/>
                <w:iCs/>
                <w:highlight w:val="none"/>
              </w:rPr>
              <w:t xml:space="preserve">b.随时保持绿地清洁、美观。亭、廊整洁，无驳落物和痕迹，无垃圾</w:t>
            </w:r>
            <w:r>
              <w:rPr>
                <w:highlight w:val="none"/>
              </w:rPr>
            </w:r>
            <w:r/>
          </w:p>
          <w:p>
            <w:pPr>
              <w:spacing w:line="360" w:lineRule="auto"/>
              <w:rPr>
                <w:rFonts w:ascii="宋体" w:hAnsi="宋体"/>
                <w:bCs/>
                <w:iCs/>
                <w:highlight w:val="none"/>
              </w:rPr>
            </w:pPr>
            <w:r>
              <w:rPr>
                <w:rFonts w:hint="eastAsia" w:ascii="宋体" w:hAnsi="宋体"/>
                <w:bCs/>
                <w:iCs/>
                <w:highlight w:val="none"/>
              </w:rPr>
              <w:t xml:space="preserve">c.花坛、护栏等设施，经常维护，无破损残缺。花盆花篮等园林装饰品完整、清洁，无破损、无丢失。</w:t>
            </w:r>
            <w:r>
              <w:rPr>
                <w:highlight w:val="none"/>
              </w:rPr>
            </w:r>
            <w:r/>
          </w:p>
          <w:p>
            <w:pPr>
              <w:spacing w:line="360" w:lineRule="auto"/>
              <w:rPr>
                <w:rFonts w:ascii="宋体" w:hAnsi="宋体"/>
                <w:bCs/>
                <w:iCs/>
                <w:highlight w:val="none"/>
              </w:rPr>
            </w:pPr>
            <w:r>
              <w:rPr>
                <w:rFonts w:hint="eastAsia" w:ascii="宋体" w:hAnsi="宋体"/>
                <w:bCs/>
                <w:iCs/>
                <w:highlight w:val="none"/>
              </w:rPr>
              <w:t xml:space="preserve">d.绿地内座椅、果屑箱、标志牌等公共设施经常擦洗，及时清除设施上的牛皮癣及乱涂乱画痕迹，园路、广场及时清运草屑、树枝、死树等施工残留物。</w:t>
            </w:r>
            <w:r>
              <w:rPr>
                <w:highlight w:val="none"/>
              </w:rPr>
            </w:r>
            <w:r/>
          </w:p>
          <w:p>
            <w:pPr>
              <w:jc w:val="left"/>
              <w:widowControl/>
              <w:rPr>
                <w:rFonts w:ascii="宋体" w:hAnsi="宋体"/>
                <w:bCs/>
                <w:highlight w:val="none"/>
              </w:rPr>
            </w:pPr>
            <w:r>
              <w:rPr>
                <w:rFonts w:hint="eastAsia" w:ascii="宋体" w:hAnsi="宋体"/>
                <w:bCs/>
                <w:iCs/>
                <w:highlight w:val="none"/>
              </w:rPr>
              <w:t xml:space="preserve">e.绿地内园路、小品等硬质铺装及构筑物按时保养维修，其中木（铁）质每年不少于1次油漆。绿地附属栏杆应保持完好、完整，每年油漆1次。</w:t>
            </w:r>
            <w:r>
              <w:rPr>
                <w:highlight w:val="none"/>
              </w:rPr>
            </w:r>
            <w:r/>
          </w:p>
        </w:tc>
      </w:tr>
    </w:tbl>
    <w:p>
      <w:pPr>
        <w:jc w:val="left"/>
        <w:widowControl/>
        <w:rPr>
          <w:rFonts w:ascii="宋体" w:hAnsi="宋体"/>
          <w:bCs/>
          <w:sz w:val="24"/>
          <w:szCs w:val="24"/>
          <w:highlight w:val="none"/>
        </w:rPr>
      </w:pPr>
      <w:r>
        <w:rPr>
          <w:rFonts w:ascii="宋体" w:hAnsi="宋体"/>
          <w:bCs/>
          <w:sz w:val="24"/>
          <w:szCs w:val="24"/>
          <w:highlight w:val="none"/>
        </w:rPr>
      </w:r>
      <w:r>
        <w:rPr>
          <w:highlight w:val="none"/>
        </w:rPr>
      </w:r>
      <w:r/>
    </w:p>
    <w:p>
      <w:pPr>
        <w:jc w:val="left"/>
        <w:widowControl/>
        <w:rPr>
          <w:rFonts w:ascii="宋体" w:hAnsi="宋体"/>
          <w:bCs/>
          <w:sz w:val="24"/>
          <w:szCs w:val="24"/>
          <w:highlight w:val="none"/>
        </w:rPr>
      </w:pPr>
      <w:r>
        <w:rPr>
          <w:rFonts w:ascii="宋体" w:hAnsi="宋体"/>
          <w:bCs/>
          <w:sz w:val="24"/>
          <w:szCs w:val="24"/>
          <w:highlight w:val="none"/>
        </w:rPr>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sectPr>
          <w:footnotePr/>
          <w:endnotePr/>
          <w:type w:val="nextPage"/>
          <w:pgSz w:w="11906" w:h="16838" w:orient="portrait"/>
          <w:pgMar w:top="1417" w:right="1417" w:bottom="1417" w:left="1417" w:header="851" w:footer="907" w:gutter="0"/>
          <w:cols w:num="1" w:sep="0" w:space="0" w:equalWidth="1"/>
          <w:docGrid w:linePitch="360"/>
          <w:titlePg/>
        </w:sectPr>
      </w:pPr>
      <w:r>
        <w:rPr>
          <w:rFonts w:ascii="宋体" w:hAnsi="宋体"/>
          <w:bCs/>
          <w:sz w:val="24"/>
          <w:szCs w:val="24"/>
          <w:highlight w:val="none"/>
        </w:rPr>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附件3：</w:t>
      </w:r>
      <w:r>
        <w:rPr>
          <w:highlight w:val="none"/>
        </w:rPr>
      </w:r>
      <w:r/>
    </w:p>
    <w:p>
      <w:pPr>
        <w:jc w:val="center"/>
        <w:spacing w:line="360" w:lineRule="auto"/>
        <w:tabs>
          <w:tab w:val="left" w:pos="0" w:leader="none"/>
          <w:tab w:val="left" w:pos="525" w:leader="none"/>
          <w:tab w:val="left" w:pos="945" w:leader="none"/>
        </w:tabs>
        <w:rPr>
          <w:rFonts w:ascii="宋体" w:hAnsi="宋体"/>
          <w:b/>
          <w:bCs/>
          <w:sz w:val="24"/>
          <w:szCs w:val="24"/>
          <w:highlight w:val="none"/>
        </w:rPr>
      </w:pPr>
      <w:r>
        <w:rPr>
          <w:rFonts w:hint="eastAsia" w:ascii="宋体" w:hAnsi="宋体"/>
          <w:b/>
          <w:bCs/>
          <w:sz w:val="24"/>
          <w:szCs w:val="24"/>
          <w:highlight w:val="none"/>
        </w:rPr>
        <w:t xml:space="preserve">无锡商业职业技术学院学生宿舍维修责任范围</w:t>
      </w:r>
      <w:r>
        <w:rPr>
          <w:highlight w:val="none"/>
        </w:rPr>
      </w:r>
      <w:r/>
    </w:p>
    <w:p>
      <w:pPr>
        <w:spacing w:line="360" w:lineRule="auto"/>
        <w:tabs>
          <w:tab w:val="left" w:pos="0" w:leader="none"/>
          <w:tab w:val="left" w:pos="525" w:leader="none"/>
          <w:tab w:val="left" w:pos="945" w:leader="none"/>
        </w:tabs>
        <w:rPr>
          <w:rFonts w:ascii="宋体" w:hAnsi="宋体"/>
          <w:b/>
          <w:bCs/>
          <w:sz w:val="24"/>
          <w:szCs w:val="24"/>
          <w:highlight w:val="none"/>
        </w:rPr>
      </w:pPr>
      <w:r>
        <w:rPr>
          <w:rFonts w:hint="eastAsia" w:ascii="宋体" w:hAnsi="宋体"/>
          <w:b/>
          <w:bCs/>
          <w:sz w:val="24"/>
          <w:szCs w:val="24"/>
          <w:highlight w:val="none"/>
        </w:rPr>
        <w:t xml:space="preserve">（一）学生宿舍物业管理公司维修责任定位</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、依据年度合同的规定，承担相关的维修责任，并承担相关的费用支出。</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、接受甲方对授予学生宿舍维修责任履行情况的督促检查，接受因未能履行委托合同规定的维修责任而进行的处罚。</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、在合同报价中明确用于维修部分的经费预算，承担因实际维修发生金额超出此项预算而产生的风险。</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、接受甲方提供的项目竣工图纸、合同副本、工程设施技术说明、使用说明，施工或供货单位的情况说明等物业资料，建立物业档案。</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、在甲方负责的维修改造项目工程实施过程中，积极配合，履行与此相关的物业管理责任。</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6</w:t>
      </w:r>
      <w:r>
        <w:rPr>
          <w:rFonts w:hint="eastAsia" w:ascii="宋体" w:hAnsi="宋体"/>
          <w:bCs/>
          <w:sz w:val="24"/>
          <w:szCs w:val="24"/>
          <w:highlight w:val="none"/>
        </w:rPr>
        <w:t xml:space="preserve">、坚持维修责任范围内标的原有质量标准，不得以次充好。</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7</w:t>
      </w:r>
      <w:r>
        <w:rPr>
          <w:rFonts w:hint="eastAsia" w:ascii="宋体" w:hAnsi="宋体"/>
          <w:bCs/>
          <w:sz w:val="24"/>
          <w:szCs w:val="24"/>
          <w:highlight w:val="none"/>
        </w:rPr>
        <w:t xml:space="preserve">、坚持按标书承诺及</w:t>
      </w:r>
      <w:r>
        <w:rPr>
          <w:rFonts w:ascii="宋体" w:hAnsi="宋体"/>
          <w:bCs/>
          <w:sz w:val="24"/>
          <w:szCs w:val="24"/>
          <w:highlight w:val="none"/>
        </w:rPr>
        <w:t xml:space="preserve">ISO9002</w:t>
      </w:r>
      <w:r>
        <w:rPr>
          <w:rFonts w:hint="eastAsia" w:ascii="宋体" w:hAnsi="宋体"/>
          <w:bCs/>
          <w:sz w:val="24"/>
          <w:szCs w:val="24"/>
          <w:highlight w:val="none"/>
        </w:rPr>
        <w:t xml:space="preserve">质量标准履行相应的维修服务职责。</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8</w:t>
      </w:r>
      <w:r>
        <w:rPr>
          <w:rFonts w:hint="eastAsia" w:ascii="宋体" w:hAnsi="宋体"/>
          <w:bCs/>
          <w:sz w:val="24"/>
          <w:szCs w:val="24"/>
          <w:highlight w:val="none"/>
        </w:rPr>
        <w:t xml:space="preserve">、妥善做好损坏学生宿舍设施的学生赔偿责任的界定和估价工作。</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9</w:t>
      </w:r>
      <w:r>
        <w:rPr>
          <w:rFonts w:hint="eastAsia" w:ascii="宋体" w:hAnsi="宋体"/>
          <w:bCs/>
          <w:sz w:val="24"/>
          <w:szCs w:val="24"/>
          <w:highlight w:val="none"/>
        </w:rPr>
        <w:t xml:space="preserve">、对于超出维修责任范围的事项及时报告，并做好对学生的解释工作。</w:t>
      </w:r>
      <w:r>
        <w:rPr>
          <w:highlight w:val="none"/>
        </w:rPr>
      </w:r>
      <w:r/>
    </w:p>
    <w:p>
      <w:pPr>
        <w:spacing w:line="360" w:lineRule="auto"/>
        <w:tabs>
          <w:tab w:val="left" w:pos="0" w:leader="none"/>
          <w:tab w:val="left" w:pos="525" w:leader="none"/>
          <w:tab w:val="left" w:pos="945" w:leader="none"/>
        </w:tabs>
        <w:rPr>
          <w:rFonts w:ascii="宋体" w:hAnsi="宋体"/>
          <w:b/>
          <w:bCs/>
          <w:sz w:val="24"/>
          <w:szCs w:val="24"/>
          <w:highlight w:val="none"/>
        </w:rPr>
      </w:pPr>
      <w:r>
        <w:rPr>
          <w:rFonts w:hint="eastAsia" w:ascii="宋体" w:hAnsi="宋体"/>
          <w:b/>
          <w:bCs/>
          <w:sz w:val="24"/>
          <w:szCs w:val="24"/>
          <w:highlight w:val="none"/>
        </w:rPr>
        <w:t xml:space="preserve">（二）物业管理公司维修责任范围</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1.承担单项或单件维修材料低于5</w:t>
      </w:r>
      <w:r>
        <w:rPr>
          <w:rFonts w:ascii="宋体" w:hAnsi="宋体"/>
          <w:bCs/>
          <w:sz w:val="24"/>
          <w:szCs w:val="24"/>
          <w:highlight w:val="none"/>
        </w:rPr>
        <w:t xml:space="preserve">00</w:t>
      </w:r>
      <w:r>
        <w:rPr>
          <w:rFonts w:hint="eastAsia" w:ascii="宋体" w:hAnsi="宋体"/>
          <w:bCs/>
          <w:sz w:val="24"/>
          <w:szCs w:val="24"/>
          <w:highlight w:val="none"/>
        </w:rPr>
        <w:t xml:space="preserve">元的非房屋基建及配套设施类的小项目维修，价格的确定依据市场即期平均价格。</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2.负责对委托管理设备在维保责任内进行督促检查，并及时向甲方汇报；负责对超过维保责任期的小型设备、设施进行检查。</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3.具体维修范围包括以下内容：</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1</w:t>
      </w:r>
      <w:r>
        <w:rPr>
          <w:rFonts w:hint="eastAsia" w:ascii="宋体" w:hAnsi="宋体"/>
          <w:bCs/>
          <w:sz w:val="24"/>
          <w:szCs w:val="24"/>
          <w:highlight w:val="none"/>
        </w:rPr>
        <w:t xml:space="preserve">）寝室内及公共部位的照明灯具、插座、开关的修理与更换；学生使用照明灯具、插座、开关自然损坏的修理与更换。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2</w:t>
      </w:r>
      <w:r>
        <w:rPr>
          <w:rFonts w:hint="eastAsia" w:ascii="宋体" w:hAnsi="宋体"/>
          <w:bCs/>
          <w:sz w:val="24"/>
          <w:szCs w:val="24"/>
          <w:highlight w:val="none"/>
        </w:rPr>
        <w:t xml:space="preserve">）按国家《家用电器安全使用年限细则》规定的正常使用年限内的电风扇的修理。</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3</w:t>
      </w:r>
      <w:r>
        <w:rPr>
          <w:rFonts w:hint="eastAsia" w:ascii="宋体" w:hAnsi="宋体"/>
          <w:bCs/>
          <w:sz w:val="24"/>
          <w:szCs w:val="24"/>
          <w:highlight w:val="none"/>
        </w:rPr>
        <w:t xml:space="preserve">）供水管道、排水管道、水龙头、阀芯、洗脸池、玻璃镜、软管、水阀、总水阀、落水管、三通、内接、外接、堵头、淋浴喷头、淋浴软管、热水器、蹲坑、水箱、水箱内配件包括拉杆、吸皮、浮球等、地漏、厕所及下水疏通等配套设施的修理与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4</w:t>
      </w:r>
      <w:r>
        <w:rPr>
          <w:rFonts w:hint="eastAsia" w:ascii="宋体" w:hAnsi="宋体"/>
          <w:bCs/>
          <w:sz w:val="24"/>
          <w:szCs w:val="24"/>
          <w:highlight w:val="none"/>
        </w:rPr>
        <w:t xml:space="preserve">）房门锁、把手、厕所门、阳台玻璃门（钢化）、天花、窗帘布、室内家具配件如把手，轨道，铰链，搭扣等修理与更换。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5</w:t>
      </w:r>
      <w:r>
        <w:rPr>
          <w:rFonts w:hint="eastAsia" w:ascii="宋体" w:hAnsi="宋体"/>
          <w:bCs/>
          <w:sz w:val="24"/>
          <w:szCs w:val="24"/>
          <w:highlight w:val="none"/>
        </w:rPr>
        <w:t xml:space="preserve">）总电表后端的电路设备的维护、修理，小型零件配件的更换。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6</w:t>
      </w:r>
      <w:r>
        <w:rPr>
          <w:rFonts w:hint="eastAsia" w:ascii="宋体" w:hAnsi="宋体"/>
          <w:bCs/>
          <w:sz w:val="24"/>
          <w:szCs w:val="24"/>
          <w:highlight w:val="none"/>
        </w:rPr>
        <w:t xml:space="preserve">）门、窗及附属配件的修理与更换。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7</w:t>
      </w:r>
      <w:r>
        <w:rPr>
          <w:rFonts w:hint="eastAsia" w:ascii="宋体" w:hAnsi="宋体"/>
          <w:bCs/>
          <w:sz w:val="24"/>
          <w:szCs w:val="24"/>
          <w:highlight w:val="none"/>
        </w:rPr>
        <w:t xml:space="preserve">）防盗门的修理（不含更换）。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8</w:t>
      </w:r>
      <w:r>
        <w:rPr>
          <w:rFonts w:hint="eastAsia" w:ascii="宋体" w:hAnsi="宋体"/>
          <w:bCs/>
          <w:sz w:val="24"/>
          <w:szCs w:val="24"/>
          <w:highlight w:val="none"/>
        </w:rPr>
        <w:t xml:space="preserve">）床具、家具的修理（不含更换）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9</w:t>
      </w:r>
      <w:r>
        <w:rPr>
          <w:rFonts w:hint="eastAsia" w:ascii="宋体" w:hAnsi="宋体"/>
          <w:bCs/>
          <w:sz w:val="24"/>
          <w:szCs w:val="24"/>
          <w:highlight w:val="none"/>
        </w:rPr>
        <w:t xml:space="preserve">）信箱、宣传栏的修理（不含更换）。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10</w:t>
      </w:r>
      <w:r>
        <w:rPr>
          <w:rFonts w:hint="eastAsia" w:ascii="宋体" w:hAnsi="宋体"/>
          <w:bCs/>
          <w:sz w:val="24"/>
          <w:szCs w:val="24"/>
          <w:highlight w:val="none"/>
        </w:rPr>
        <w:t xml:space="preserve">）管理站前台阶及学生宿舍内公共部位地砖脱落、破损的修补与更换。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11</w:t>
      </w:r>
      <w:r>
        <w:rPr>
          <w:rFonts w:hint="eastAsia" w:ascii="宋体" w:hAnsi="宋体"/>
          <w:bCs/>
          <w:sz w:val="24"/>
          <w:szCs w:val="24"/>
          <w:highlight w:val="none"/>
        </w:rPr>
        <w:t xml:space="preserve">）卫生间墙面、地面、吊顶污损的维修与更换。</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（12）其他单项或单件维修材料低于5</w:t>
      </w:r>
      <w:r>
        <w:rPr>
          <w:rFonts w:ascii="宋体" w:hAnsi="宋体"/>
          <w:bCs/>
          <w:sz w:val="24"/>
          <w:szCs w:val="24"/>
          <w:highlight w:val="none"/>
        </w:rPr>
        <w:t xml:space="preserve">00</w:t>
      </w:r>
      <w:r>
        <w:rPr>
          <w:rFonts w:hint="eastAsia" w:ascii="宋体" w:hAnsi="宋体"/>
          <w:bCs/>
          <w:sz w:val="24"/>
          <w:szCs w:val="24"/>
          <w:highlight w:val="none"/>
        </w:rPr>
        <w:t xml:space="preserve">元的小型维修项目。</w:t>
      </w:r>
      <w:r>
        <w:rPr>
          <w:highlight w:val="none"/>
        </w:rPr>
      </w:r>
      <w:r/>
    </w:p>
    <w:p>
      <w:pPr>
        <w:spacing w:line="360" w:lineRule="auto"/>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本维修责任范围检查自合同签订日起实行，未尽事宜，协商解决。</w:t>
      </w:r>
      <w:r>
        <w:rPr>
          <w:highlight w:val="none"/>
        </w:rPr>
      </w:r>
      <w:r/>
    </w:p>
    <w:p>
      <w:pPr>
        <w:jc w:val="left"/>
        <w:widowControl/>
        <w:rPr>
          <w:rFonts w:ascii="宋体" w:hAnsi="宋体" w:cs="宋体"/>
          <w:bCs/>
          <w:sz w:val="24"/>
          <w:highlight w:val="none"/>
        </w:rPr>
      </w:pPr>
      <w:r>
        <w:rPr>
          <w:rFonts w:ascii="宋体" w:hAnsi="宋体" w:cs="宋体"/>
          <w:bCs/>
          <w:sz w:val="24"/>
          <w:highlight w:val="none"/>
        </w:rPr>
        <w:br w:type="page" w:clear="all"/>
      </w:r>
      <w:r>
        <w:rPr>
          <w:highlight w:val="none"/>
        </w:rPr>
      </w:r>
      <w:r/>
    </w:p>
    <w:p>
      <w:pPr>
        <w:spacing w:line="580" w:lineRule="exact"/>
        <w:rPr>
          <w:rFonts w:ascii="宋体" w:hAnsi="宋体" w:cs="宋体"/>
          <w:bCs/>
          <w:sz w:val="24"/>
          <w:highlight w:val="none"/>
        </w:rPr>
      </w:pPr>
      <w:r>
        <w:rPr>
          <w:rFonts w:hint="eastAsia" w:ascii="宋体" w:hAnsi="宋体" w:cs="宋体"/>
          <w:bCs/>
          <w:sz w:val="24"/>
          <w:highlight w:val="none"/>
        </w:rPr>
        <w:t xml:space="preserve">附件4：</w:t>
      </w:r>
      <w:r>
        <w:rPr>
          <w:highlight w:val="none"/>
        </w:rPr>
      </w:r>
      <w:r/>
    </w:p>
    <w:p>
      <w:pPr>
        <w:jc w:val="center"/>
        <w:spacing w:line="580" w:lineRule="exact"/>
        <w:rPr>
          <w:rFonts w:ascii="宋体" w:hAnsi="宋体"/>
          <w:b/>
          <w:spacing w:val="6"/>
          <w:sz w:val="28"/>
          <w:szCs w:val="28"/>
          <w:highlight w:val="none"/>
        </w:rPr>
      </w:pPr>
      <w:r>
        <w:rPr>
          <w:rFonts w:hint="eastAsia" w:ascii="宋体" w:hAnsi="宋体"/>
          <w:b/>
          <w:spacing w:val="6"/>
          <w:sz w:val="28"/>
          <w:szCs w:val="28"/>
          <w:highlight w:val="none"/>
        </w:rPr>
        <w:t xml:space="preserve">变电所及配电房管理制度</w:t>
      </w:r>
      <w:r>
        <w:rPr>
          <w:highlight w:val="none"/>
        </w:rPr>
      </w:r>
      <w:r/>
    </w:p>
    <w:p>
      <w:pPr>
        <w:spacing w:line="480" w:lineRule="exact"/>
        <w:rPr>
          <w:rFonts w:ascii="宋体" w:hAnsi="宋体"/>
          <w:spacing w:val="6"/>
          <w:sz w:val="24"/>
          <w:szCs w:val="24"/>
          <w:highlight w:val="none"/>
        </w:rPr>
      </w:pPr>
      <w:r>
        <w:rPr>
          <w:rFonts w:hint="eastAsia" w:ascii="宋体" w:hAnsi="宋体"/>
          <w:spacing w:val="6"/>
          <w:sz w:val="28"/>
          <w:szCs w:val="28"/>
          <w:highlight w:val="none"/>
        </w:rPr>
        <w:t xml:space="preserve">  </w:t>
      </w:r>
      <w:r>
        <w:rPr>
          <w:rFonts w:hint="eastAsia" w:ascii="宋体" w:hAnsi="宋体"/>
          <w:spacing w:val="6"/>
          <w:sz w:val="24"/>
          <w:szCs w:val="24"/>
          <w:highlight w:val="none"/>
        </w:rPr>
        <w:t xml:space="preserve">  1、保证校区供电系统的正常运行。</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2、变电所、配电房的全部机电设备</w:t>
      </w:r>
      <w:r>
        <w:rPr>
          <w:rFonts w:hint="eastAsia" w:ascii="宋体" w:hAnsi="宋体"/>
          <w:sz w:val="24"/>
          <w:szCs w:val="24"/>
          <w:highlight w:val="none"/>
          <w:shd w:val="clear" w:color="auto" w:fill="ffffff"/>
        </w:rPr>
        <w:t xml:space="preserve">是校区变配电动力中心，</w:t>
      </w:r>
      <w:r>
        <w:rPr>
          <w:rFonts w:hint="eastAsia" w:ascii="宋体" w:hAnsi="宋体"/>
          <w:spacing w:val="6"/>
          <w:sz w:val="24"/>
          <w:szCs w:val="24"/>
          <w:highlight w:val="none"/>
        </w:rPr>
        <w:t xml:space="preserve">执行24小时值班或巡视制度，未经部门领导的许可</w:t>
      </w:r>
      <w:r>
        <w:rPr>
          <w:rFonts w:hint="eastAsia" w:ascii="宋体" w:hAnsi="宋体"/>
          <w:spacing w:val="6"/>
          <w:sz w:val="24"/>
          <w:szCs w:val="24"/>
          <w:highlight w:val="none"/>
          <w:lang w:eastAsia="zh-CN"/>
        </w:rPr>
        <w:t xml:space="preserve">，</w:t>
      </w:r>
      <w:r>
        <w:rPr>
          <w:rFonts w:hint="eastAsia" w:ascii="宋体" w:hAnsi="宋体"/>
          <w:spacing w:val="6"/>
          <w:sz w:val="24"/>
          <w:szCs w:val="24"/>
          <w:highlight w:val="none"/>
        </w:rPr>
        <w:t xml:space="preserve">严禁一切非工作人员</w:t>
      </w:r>
      <w:r>
        <w:rPr>
          <w:rFonts w:hint="eastAsia" w:ascii="宋体" w:hAnsi="宋体"/>
          <w:sz w:val="24"/>
          <w:szCs w:val="24"/>
          <w:highlight w:val="none"/>
          <w:shd w:val="clear" w:color="auto" w:fill="ffffff"/>
        </w:rPr>
        <w:t xml:space="preserve">进入变配电站</w:t>
      </w:r>
      <w:r>
        <w:rPr>
          <w:rFonts w:hint="eastAsia" w:ascii="宋体" w:hAnsi="宋体"/>
          <w:spacing w:val="6"/>
          <w:sz w:val="24"/>
          <w:szCs w:val="24"/>
          <w:highlight w:val="none"/>
        </w:rPr>
        <w:t xml:space="preserve">。如确需进入应得到许可，</w:t>
      </w:r>
      <w:r>
        <w:rPr>
          <w:rFonts w:hint="eastAsia" w:ascii="宋体" w:hAnsi="宋体"/>
          <w:sz w:val="24"/>
          <w:szCs w:val="24"/>
          <w:highlight w:val="none"/>
          <w:shd w:val="clear" w:color="auto" w:fill="ffffff"/>
        </w:rPr>
        <w:t xml:space="preserve">并应有电工跟随、监护，严禁在配电房内吸烟及长时间逗留。</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3、值班人员必须持证上岗，熟悉变配电设备状况、操作方法和安全注意事项。</w:t>
      </w:r>
      <w:r>
        <w:rPr>
          <w:highlight w:val="none"/>
        </w:rPr>
      </w:r>
      <w:r/>
    </w:p>
    <w:p>
      <w:pPr>
        <w:ind w:firstLine="600"/>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4、值班人员应密切注意功率表、电压表、电流表、功率因数表的指示情况，严禁变压器、空气开关超负荷运行。</w:t>
      </w:r>
      <w:r>
        <w:rPr>
          <w:highlight w:val="none"/>
        </w:rPr>
      </w:r>
      <w:r/>
    </w:p>
    <w:p>
      <w:pPr>
        <w:ind w:firstLine="600"/>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5、经常保持变电所、配电房地面及设备外表清洁无尘，</w:t>
      </w:r>
      <w:r>
        <w:rPr>
          <w:rFonts w:hint="eastAsia" w:ascii="宋体" w:hAnsi="宋体"/>
          <w:sz w:val="24"/>
          <w:szCs w:val="24"/>
          <w:highlight w:val="none"/>
          <w:shd w:val="clear" w:color="auto" w:fill="ffffff"/>
        </w:rPr>
        <w:t xml:space="preserve">室内无堆物、积水</w:t>
      </w:r>
      <w:r>
        <w:rPr>
          <w:rFonts w:hint="eastAsia" w:ascii="宋体" w:hAnsi="宋体"/>
          <w:spacing w:val="6"/>
          <w:sz w:val="24"/>
          <w:szCs w:val="24"/>
          <w:highlight w:val="none"/>
        </w:rPr>
        <w:t xml:space="preserve">。</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6、保证变电所、配电房室内照明、通风良好，室温控制在40℃以下。</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7、供电回路操作开关的标志要显著，停电拉闸和检修停电要挂标志牌，没有得到指令，包括值班人员不能随便移动标志牌。</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8、应严格保持开关状态和模拟盘相一致，不能随意更改设备和接线的运行方式及各种开关的整定值。</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9、配电设备的倒闸操作由值班人员单独进行，其他在场人员只做监护、不得插手；严禁两人同时倒闸操作，以免发生错误。</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10、因故须停某部分负荷时，必须提前做好准备工作。对于突发性的停电事故应迅速处理解决，恢复送电。</w:t>
      </w:r>
      <w:r>
        <w:rPr>
          <w:highlight w:val="none"/>
        </w:rPr>
      </w:r>
      <w:r/>
    </w:p>
    <w:p>
      <w:pPr>
        <w:ind w:firstLine="615"/>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11、经常保持变电所、配电房消防设施的完好齐备，保证应急灯在停电状态下能正常使用。</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12、做好变电所、配电房的防水、防潮工作，堵塞漏洞；严防蛇、鼠等小动物进入变电所、配电房。</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13、在恶劣的气候环境下，要加强对设备的巡视。当发生事故时，应保持冷静，按照操作规程及时排除故障，并按规定做好记录。</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14、操作及检修时，必须按规定使用电工绝缘工具、绝缘鞋、绝缘手套等辅助安全用具。</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15、建立巡查制度。值班人员应认真做好值班记录和巡查记录，不能解决的问题要及时上报主管领导。</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16、巡查内容包括：记录电压、功率、电流、温度、电表数据，检查屏上指示、电器运行声音是否正常，房内是否有异味等。</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17、认真执行交接班制度。</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18、严格遵守值班制度和安全、防火、清洁卫生制度。</w:t>
      </w:r>
      <w:r>
        <w:rPr>
          <w:highlight w:val="none"/>
        </w:rPr>
      </w:r>
      <w:r/>
    </w:p>
    <w:p>
      <w:pPr>
        <w:spacing w:line="480" w:lineRule="exact"/>
        <w:rPr>
          <w:rFonts w:ascii="宋体" w:hAnsi="宋体"/>
          <w:spacing w:val="6"/>
          <w:sz w:val="24"/>
          <w:szCs w:val="24"/>
          <w:highlight w:val="none"/>
        </w:rPr>
      </w:pPr>
      <w:r>
        <w:rPr>
          <w:rFonts w:hint="eastAsia" w:ascii="宋体" w:hAnsi="宋体"/>
          <w:spacing w:val="6"/>
          <w:sz w:val="24"/>
          <w:szCs w:val="24"/>
          <w:highlight w:val="none"/>
        </w:rPr>
        <w:t xml:space="preserve">    19、严格执行岗位责任制，遵守有关变配电的各项规程。</w:t>
      </w:r>
      <w:r>
        <w:rPr>
          <w:highlight w:val="none"/>
        </w:rPr>
      </w:r>
      <w:r/>
    </w:p>
    <w:p>
      <w:pPr>
        <w:ind w:firstLine="600"/>
        <w:spacing w:line="480" w:lineRule="exact"/>
        <w:rPr>
          <w:rFonts w:ascii="宋体" w:hAnsi="宋体"/>
          <w:spacing w:val="6"/>
          <w:sz w:val="28"/>
          <w:szCs w:val="28"/>
          <w:highlight w:val="none"/>
        </w:rPr>
      </w:pPr>
      <w:r>
        <w:rPr>
          <w:rFonts w:hint="eastAsia" w:ascii="宋体" w:hAnsi="宋体"/>
          <w:spacing w:val="6"/>
          <w:sz w:val="24"/>
          <w:szCs w:val="24"/>
          <w:highlight w:val="none"/>
        </w:rPr>
        <w:t xml:space="preserve">20、严格执行电气安全操作规程。</w:t>
      </w:r>
      <w:r>
        <w:rPr>
          <w:highlight w:val="none"/>
        </w:rPr>
      </w:r>
      <w:r/>
    </w:p>
    <w:p>
      <w:pPr>
        <w:jc w:val="left"/>
        <w:widowControl/>
        <w:rPr>
          <w:rFonts w:ascii="宋体" w:hAnsi="宋体" w:cs="宋体"/>
          <w:bCs/>
          <w:sz w:val="24"/>
          <w:highlight w:val="none"/>
        </w:rPr>
      </w:pPr>
      <w:r>
        <w:rPr>
          <w:rFonts w:ascii="宋体" w:hAnsi="宋体" w:cs="宋体"/>
          <w:bCs/>
          <w:sz w:val="24"/>
          <w:highlight w:val="none"/>
        </w:rPr>
      </w:r>
      <w:r>
        <w:rPr>
          <w:highlight w:val="none"/>
        </w:rPr>
      </w:r>
      <w:r/>
    </w:p>
    <w:p>
      <w:pPr>
        <w:jc w:val="left"/>
        <w:widowControl/>
        <w:rPr>
          <w:rFonts w:ascii="宋体" w:hAnsi="宋体" w:cs="宋体"/>
          <w:bCs/>
          <w:sz w:val="24"/>
          <w:highlight w:val="none"/>
        </w:rPr>
      </w:pPr>
      <w:r>
        <w:rPr>
          <w:rFonts w:ascii="宋体" w:hAnsi="宋体" w:cs="宋体"/>
          <w:bCs/>
          <w:sz w:val="24"/>
          <w:highlight w:val="none"/>
        </w:rPr>
      </w:r>
      <w:r>
        <w:rPr>
          <w:highlight w:val="none"/>
        </w:rPr>
      </w:r>
      <w:r/>
    </w:p>
    <w:p>
      <w:pPr>
        <w:jc w:val="left"/>
        <w:widowControl/>
        <w:rPr>
          <w:rFonts w:ascii="宋体" w:hAnsi="宋体" w:cs="宋体"/>
          <w:bCs/>
          <w:sz w:val="24"/>
          <w:highlight w:val="none"/>
        </w:rPr>
      </w:pPr>
      <w:r>
        <w:rPr>
          <w:rFonts w:ascii="宋体" w:hAnsi="宋体" w:cs="宋体"/>
          <w:bCs/>
          <w:sz w:val="24"/>
          <w:highlight w:val="none"/>
        </w:rPr>
      </w:r>
      <w:r>
        <w:rPr>
          <w:highlight w:val="none"/>
        </w:rPr>
      </w:r>
      <w:r/>
    </w:p>
    <w:p>
      <w:pPr>
        <w:jc w:val="left"/>
        <w:widowControl/>
        <w:rPr>
          <w:rFonts w:ascii="宋体" w:hAnsi="宋体" w:cs="宋体"/>
          <w:bCs/>
          <w:sz w:val="24"/>
          <w:highlight w:val="none"/>
        </w:rPr>
        <w:sectPr>
          <w:footnotePr/>
          <w:endnotePr/>
          <w:type w:val="nextPage"/>
          <w:pgSz w:w="11906" w:h="16838" w:orient="portrait"/>
          <w:pgMar w:top="1417" w:right="1417" w:bottom="1417" w:left="1417" w:header="851" w:footer="907" w:gutter="0"/>
          <w:cols w:num="1" w:sep="0" w:space="0" w:equalWidth="1"/>
          <w:docGrid w:linePitch="360"/>
          <w:titlePg/>
        </w:sectPr>
      </w:pPr>
      <w:r>
        <w:rPr>
          <w:rFonts w:ascii="宋体" w:hAnsi="宋体" w:cs="宋体"/>
          <w:bCs/>
          <w:sz w:val="24"/>
          <w:highlight w:val="none"/>
        </w:rPr>
      </w:r>
      <w:r>
        <w:rPr>
          <w:highlight w:val="none"/>
        </w:rPr>
      </w:r>
      <w:r/>
    </w:p>
    <w:p>
      <w:pPr>
        <w:jc w:val="left"/>
        <w:widowControl/>
        <w:rPr>
          <w:rFonts w:ascii="宋体" w:hAnsi="宋体" w:cs="宋体"/>
          <w:bCs/>
          <w:sz w:val="24"/>
          <w:highlight w:val="none"/>
        </w:rPr>
      </w:pPr>
      <w:r>
        <w:rPr>
          <w:rFonts w:hint="eastAsia" w:ascii="宋体" w:hAnsi="宋体" w:cs="宋体"/>
          <w:bCs/>
          <w:sz w:val="24"/>
          <w:highlight w:val="none"/>
        </w:rPr>
        <w:t xml:space="preserve">附件5：</w:t>
      </w:r>
      <w:r>
        <w:rPr>
          <w:highlight w:val="none"/>
        </w:rPr>
      </w:r>
      <w:r/>
    </w:p>
    <w:p>
      <w:pPr>
        <w:ind w:left="225"/>
        <w:jc w:val="center"/>
        <w:spacing w:line="360" w:lineRule="auto"/>
        <w:rPr>
          <w:rFonts w:ascii="宋体" w:hAnsi="宋体"/>
          <w:b/>
          <w:sz w:val="32"/>
          <w:szCs w:val="32"/>
          <w:highlight w:val="none"/>
        </w:rPr>
      </w:pPr>
      <w:r>
        <w:rPr>
          <w:rFonts w:hint="eastAsia" w:ascii="宋体" w:hAnsi="宋体"/>
          <w:b/>
          <w:sz w:val="32"/>
          <w:szCs w:val="32"/>
          <w:highlight w:val="none"/>
        </w:rPr>
        <w:t xml:space="preserve">低压配电间巡视检查制度</w:t>
      </w: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1、检查应合闸的开关状态。如有跳闸情况，进一步检查是否有过流、过压、过热，查找原因并进行维修。</w:t>
      </w: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2、导线接头情况。如过热，一般为接头氧化或接触不良，可处理的及时处理；需停电处理的，安排</w:t>
      </w:r>
      <w:r>
        <w:rPr>
          <w:rFonts w:hint="eastAsia" w:ascii="宋体" w:hAnsi="宋体"/>
          <w:sz w:val="24"/>
          <w:szCs w:val="24"/>
          <w:highlight w:val="none"/>
          <w:shd w:val="clear" w:color="auto" w:fill="ffffff"/>
        </w:rPr>
        <w:t xml:space="preserve">在不影响教学、科研、办公及生产的情况下</w:t>
      </w:r>
      <w:r>
        <w:rPr>
          <w:rFonts w:hint="eastAsia" w:ascii="宋体" w:hAnsi="宋体"/>
          <w:sz w:val="24"/>
          <w:szCs w:val="24"/>
          <w:highlight w:val="none"/>
        </w:rPr>
        <w:t xml:space="preserve">维修。</w:t>
      </w: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3、检查电容器运行情况。如电容器过热，详细检查后维修；如电容器膨胀，将其更换。</w:t>
      </w: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4、检查是否有异味。寻找气味来源，确定故障点并进行维修。</w:t>
      </w: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5、按时间段记录有关电压、电流、功率因数等数据于运行表格上。</w:t>
      </w: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6、检查配电房内卫生情况，无堆放物、无蛛网、无积尘。</w:t>
      </w:r>
      <w:r>
        <w:rPr>
          <w:highlight w:val="none"/>
        </w:rPr>
      </w:r>
      <w:r/>
    </w:p>
    <w:p>
      <w:pPr>
        <w:ind w:firstLine="47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sz w:val="24"/>
          <w:szCs w:val="24"/>
          <w:highlight w:val="none"/>
        </w:rPr>
        <w:t xml:space="preserve">7、</w:t>
      </w:r>
      <w:r>
        <w:rPr>
          <w:rFonts w:hint="eastAsia" w:ascii="宋体" w:hAnsi="宋体"/>
          <w:sz w:val="24"/>
          <w:szCs w:val="24"/>
          <w:highlight w:val="none"/>
          <w:shd w:val="clear" w:color="auto" w:fill="ffffff"/>
        </w:rPr>
        <w:t xml:space="preserve">电缆沟进户保护管的密封情况，有无小动物钻入配电室的通道、孔洞等</w:t>
      </w:r>
      <w:r>
        <w:rPr>
          <w:rFonts w:hint="eastAsia" w:ascii="宋体" w:hAnsi="宋体"/>
          <w:sz w:val="24"/>
          <w:szCs w:val="24"/>
          <w:highlight w:val="none"/>
        </w:rPr>
        <w:t xml:space="preserve">。</w:t>
      </w:r>
      <w:bookmarkStart w:id="199" w:name="_Toc120614281"/>
      <w:r>
        <w:rPr>
          <w:highlight w:val="none"/>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lang w:val="en-US" w:eastAsia="zh-CN"/>
          <w14:textFill>
            <w14:solidFill>
              <w14:schemeClr w14:val="tx1"/>
            </w14:solidFill>
          </w14:textFill>
        </w:rPr>
        <w:t xml:space="preserve">七、其他要求</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 xml:space="preserve">项目属性:服务类项目。</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2.进口产品投标</w:t>
      </w:r>
      <w:r>
        <w:rPr>
          <w:highlight w:val="none"/>
        </w:rPr>
      </w:r>
      <w:r/>
    </w:p>
    <w:tbl>
      <w:tblPr>
        <w:tblStyle w:val="935"/>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7"/>
        <w:gridCol w:w="3767"/>
      </w:tblGrid>
      <w:tr>
        <w:trPr/>
        <w:tc>
          <w:tcPr>
            <w:tcW w:w="1777" w:type="dxa"/>
            <w:vAlign w:val="top"/>
            <w:textDirection w:val="lrTb"/>
            <w:noWrap w:val="false"/>
          </w:tcPr>
          <w:p>
            <w:pPr>
              <w:pStyle w:val="1065"/>
              <w:ind w:firstLine="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采购包号</w:t>
            </w:r>
            <w:r>
              <w:rPr>
                <w:highlight w:val="none"/>
              </w:rPr>
            </w:r>
            <w:r/>
          </w:p>
        </w:tc>
        <w:tc>
          <w:tcPr>
            <w:tcW w:w="3767" w:type="dxa"/>
            <w:vAlign w:val="top"/>
            <w:textDirection w:val="lrTb"/>
            <w:noWrap w:val="false"/>
          </w:tcPr>
          <w:p>
            <w:pPr>
              <w:pStyle w:val="1065"/>
              <w:ind w:firstLine="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是否接受进口产品投标（是/否）</w:t>
            </w:r>
            <w:r>
              <w:rPr>
                <w:highlight w:val="none"/>
              </w:rPr>
            </w:r>
            <w:r/>
          </w:p>
        </w:tc>
      </w:tr>
      <w:tr>
        <w:trPr/>
        <w:tc>
          <w:tcPr>
            <w:tcW w:w="1777" w:type="dxa"/>
            <w:vAlign w:val="top"/>
            <w:textDirection w:val="lrTb"/>
            <w:noWrap w:val="false"/>
          </w:tcPr>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w:t>
            </w:r>
            <w:r>
              <w:rPr>
                <w:highlight w:val="none"/>
              </w:rPr>
            </w:r>
            <w:r/>
          </w:p>
        </w:tc>
        <w:tc>
          <w:tcPr>
            <w:tcW w:w="3767" w:type="dxa"/>
            <w:vAlign w:val="top"/>
            <w:textDirection w:val="lrTb"/>
            <w:noWrap w:val="false"/>
          </w:tcPr>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否</w:t>
            </w:r>
            <w:r>
              <w:rPr>
                <w:highlight w:val="none"/>
              </w:rPr>
            </w:r>
            <w:r/>
          </w:p>
        </w:tc>
      </w:tr>
    </w:tbl>
    <w:p>
      <w:pPr>
        <w:rPr>
          <w:rFonts w:hint="default" w:ascii="黑体" w:eastAsia="黑体"/>
          <w:bCs/>
          <w:color w:val="000000" w:themeColor="text1"/>
          <w:sz w:val="44"/>
          <w:highlight w:val="none"/>
          <w14:textFill>
            <w14:solidFill>
              <w14:schemeClr w14:val="tx1"/>
            </w14:solidFill>
          </w14:textFill>
        </w:rPr>
        <w:sectPr>
          <w:headerReference w:type="default" r:id="rId10"/>
          <w:footerReference w:type="default" r:id="rId15"/>
          <w:footerReference w:type="even" r:id="rId16"/>
          <w:footnotePr/>
          <w:endnotePr/>
          <w:type w:val="nextPage"/>
          <w:pgSz w:w="11906" w:h="16838" w:orient="portrait"/>
          <w:pgMar w:top="1418" w:right="1588" w:bottom="1418" w:left="1417" w:header="851" w:footer="907" w:gutter="0"/>
          <w:cols w:num="1" w:sep="0" w:space="720" w:equalWidth="1"/>
          <w:docGrid w:linePitch="360"/>
          <w:titlePg/>
        </w:sectPr>
      </w:pPr>
      <w:r>
        <w:rPr>
          <w:rFonts w:hint="default" w:ascii="黑体" w:eastAsia="黑体"/>
          <w:bCs/>
          <w:color w:val="000000" w:themeColor="text1"/>
          <w:sz w:val="44"/>
          <w:highlight w:val="none"/>
          <w:lang w:val="en-US" w:eastAsia="zh-CN"/>
          <w14:textFill>
            <w14:solidFill>
              <w14:schemeClr w14:val="tx1"/>
            </w14:solidFill>
          </w14:textFill>
        </w:rPr>
      </w:r>
      <w:r>
        <w:rPr>
          <w:highlight w:val="none"/>
        </w:rPr>
      </w:r>
      <w:r/>
    </w:p>
    <w:p>
      <w:pPr>
        <w:pStyle w:val="925"/>
        <w:rPr>
          <w:rFonts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t xml:space="preserve">第五章  </w:t>
      </w:r>
      <w:r>
        <w:rPr>
          <w:rFonts w:hint="eastAsia" w:ascii="黑体" w:eastAsia="黑体"/>
          <w:b/>
          <w:bCs/>
          <w:color w:val="000000" w:themeColor="text1"/>
          <w:sz w:val="44"/>
          <w:highlight w:val="none"/>
          <w14:textFill>
            <w14:solidFill>
              <w14:schemeClr w14:val="tx1"/>
            </w14:solidFill>
          </w14:textFill>
        </w:rPr>
        <w:t xml:space="preserve">评标方法与评标标准</w:t>
      </w:r>
      <w:r>
        <w:rPr>
          <w:highlight w:val="none"/>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w:t>
      </w:r>
      <w:r>
        <w:rPr>
          <w:highlight w:val="none"/>
        </w:rPr>
      </w:r>
      <w:r/>
    </w:p>
    <w:tbl>
      <w:tblPr>
        <w:tblStyle w:val="935"/>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8"/>
        <w:gridCol w:w="1694"/>
        <w:gridCol w:w="5485"/>
      </w:tblGrid>
      <w:tr>
        <w:trPr/>
        <w:tc>
          <w:tcPr>
            <w:tcW w:w="1468" w:type="dxa"/>
            <w:vAlign w:val="center"/>
            <w:textDirection w:val="lrTb"/>
            <w:noWrap w:val="false"/>
          </w:tcPr>
          <w:p>
            <w:pPr>
              <w:pStyle w:val="1065"/>
              <w:ind w:left="0" w:firstLine="0"/>
              <w:jc w:val="center"/>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采购包号</w:t>
            </w:r>
            <w:r>
              <w:rPr>
                <w:highlight w:val="none"/>
              </w:rPr>
            </w:r>
            <w:r/>
          </w:p>
        </w:tc>
        <w:tc>
          <w:tcPr>
            <w:tcBorders>
              <w:bottom w:val="single" w:color="auto" w:sz="4" w:space="0"/>
            </w:tcBorders>
            <w:tcW w:w="1694" w:type="dxa"/>
            <w:vAlign w:val="center"/>
            <w:textDirection w:val="lrTb"/>
            <w:noWrap w:val="false"/>
          </w:tcPr>
          <w:p>
            <w:pPr>
              <w:pStyle w:val="1065"/>
              <w:ind w:left="0" w:firstLine="0"/>
              <w:jc w:val="center"/>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选取中标候选人数量</w:t>
            </w:r>
            <w:r>
              <w:rPr>
                <w:highlight w:val="none"/>
              </w:rPr>
            </w:r>
            <w:r/>
          </w:p>
        </w:tc>
        <w:tc>
          <w:tcPr>
            <w:tcBorders>
              <w:bottom w:val="single" w:color="auto" w:sz="4" w:space="0"/>
            </w:tcBorders>
            <w:tcW w:w="5485" w:type="dxa"/>
            <w:vAlign w:val="center"/>
            <w:textDirection w:val="lrTb"/>
            <w:noWrap w:val="false"/>
          </w:tcPr>
          <w:p>
            <w:pPr>
              <w:pStyle w:val="1065"/>
              <w:ind w:firstLine="560"/>
              <w:jc w:val="center"/>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选取中标候选人的原则</w:t>
            </w:r>
            <w:r>
              <w:rPr>
                <w:highlight w:val="none"/>
              </w:rPr>
            </w:r>
            <w:r/>
          </w:p>
        </w:tc>
      </w:tr>
      <w:tr>
        <w:trPr>
          <w:trHeight w:val="809"/>
        </w:trPr>
        <w:tc>
          <w:tcPr>
            <w:tcBorders>
              <w:right w:val="single" w:color="auto" w:sz="4" w:space="0"/>
            </w:tcBorders>
            <w:tcW w:w="1468" w:type="dxa"/>
            <w:vAlign w:val="center"/>
            <w:textDirection w:val="lrTb"/>
            <w:noWrap w:val="false"/>
          </w:tcPr>
          <w:p>
            <w:pPr>
              <w:pStyle w:val="1065"/>
              <w:ind w:firstLine="560"/>
              <w:jc w:val="left"/>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highlight w:val="none"/>
              </w:rPr>
            </w:r>
            <w:r/>
          </w:p>
        </w:tc>
        <w:tc>
          <w:tcPr>
            <w:tcBorders>
              <w:top w:val="single" w:color="auto" w:sz="4" w:space="0"/>
              <w:left w:val="single" w:color="auto" w:sz="4" w:space="0"/>
              <w:bottom w:val="single" w:color="auto" w:sz="4" w:space="0"/>
            </w:tcBorders>
            <w:tcW w:w="1694" w:type="dxa"/>
            <w:vAlign w:val="center"/>
            <w:textDirection w:val="lrTb"/>
            <w:noWrap w:val="false"/>
          </w:tcPr>
          <w:p>
            <w:pPr>
              <w:pStyle w:val="1065"/>
              <w:ind w:firstLine="560"/>
              <w:jc w:val="left"/>
              <w:spacing w:line="540" w:lineRule="exact"/>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1</w:t>
            </w:r>
            <w:r>
              <w:rPr>
                <w:highlight w:val="none"/>
              </w:rPr>
            </w:r>
            <w:r/>
          </w:p>
        </w:tc>
        <w:tc>
          <w:tcPr>
            <w:tcBorders>
              <w:top w:val="single" w:color="auto" w:sz="4" w:space="0"/>
              <w:bottom w:val="single" w:color="auto" w:sz="4" w:space="0"/>
              <w:right w:val="single" w:color="auto" w:sz="4" w:space="0"/>
            </w:tcBorders>
            <w:tcW w:w="5485" w:type="dxa"/>
            <w:vAlign w:val="center"/>
            <w:textDirection w:val="lrTb"/>
            <w:noWrap w:val="false"/>
          </w:tcPr>
          <w:p>
            <w:pPr>
              <w:pStyle w:val="1065"/>
              <w:ind w:left="0" w:firstLine="0"/>
              <w:jc w:val="left"/>
              <w:spacing w:line="540" w:lineRule="exact"/>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满足招标文件全部实质性要求，且按照评审因素的量化指标评审得分最高的投标人为中标候选人。</w:t>
            </w:r>
            <w:r>
              <w:rPr>
                <w:highlight w:val="none"/>
              </w:rPr>
            </w:r>
            <w:r/>
          </w:p>
        </w:tc>
      </w:tr>
    </w:tbl>
    <w:p>
      <w:pPr>
        <w:pStyle w:val="1065"/>
        <w:ind w:firstLine="441"/>
        <w:spacing w:line="540" w:lineRule="exac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政府采购政策功能落实</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1、小微型企业价格扣除</w:t>
      </w:r>
      <w:r>
        <w:rPr>
          <w:highlight w:val="none"/>
        </w:rPr>
      </w:r>
      <w:r/>
    </w:p>
    <w:p>
      <w:pPr>
        <w:pStyle w:val="1065"/>
        <w:ind w:firstLine="42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（1）本项目对小型和微型企业提供的服务给予10%的扣除价格，用扣除后的价格参与评审。</w:t>
      </w:r>
      <w:r>
        <w:rPr>
          <w:highlight w:val="none"/>
        </w:rPr>
      </w:r>
      <w:r/>
    </w:p>
    <w:p>
      <w:pPr>
        <w:pStyle w:val="1065"/>
        <w:ind w:firstLine="42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（2）供应商需按照采购文件的要求提供相应的《小微企业声明函》。</w:t>
      </w:r>
      <w:r>
        <w:rPr>
          <w:highlight w:val="none"/>
        </w:rPr>
      </w:r>
      <w:r/>
    </w:p>
    <w:p>
      <w:pPr>
        <w:pStyle w:val="1065"/>
        <w:ind w:firstLine="42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（3）企业标准请参照《关于印发中小企业划型标准规定的通知》（工信部联企业</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〔2011〕300号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）文件规定自行填写。</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2、残疾人福利单位价格扣除</w:t>
      </w:r>
      <w:r>
        <w:rPr>
          <w:highlight w:val="none"/>
        </w:rPr>
      </w:r>
      <w:r/>
    </w:p>
    <w:p>
      <w:pPr>
        <w:pStyle w:val="1065"/>
        <w:ind w:left="120" w:firstLine="42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（1）本项目对残疾人福利性单位视同小型、微型企业，给予10%的价格扣除，用扣除后的价格参与评审。</w:t>
      </w:r>
      <w:r>
        <w:rPr>
          <w:highlight w:val="none"/>
        </w:rPr>
      </w:r>
      <w:r/>
    </w:p>
    <w:p>
      <w:pPr>
        <w:pStyle w:val="1065"/>
        <w:ind w:left="120" w:firstLine="42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（2）残疾人福利单位需按照采购文件的要求提供《残疾人福利性单位声明函》。</w:t>
      </w:r>
      <w:r>
        <w:rPr>
          <w:highlight w:val="none"/>
        </w:rPr>
      </w:r>
      <w:r/>
    </w:p>
    <w:p>
      <w:pPr>
        <w:pStyle w:val="1065"/>
        <w:ind w:left="120" w:firstLine="42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3、监狱和戒毒企业价格扣除</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（1）本项目对监狱和戒毒企业（简称监狱企业）视同小型、微型企业，给予10%的价格扣除，用扣除后的价格参与评审。</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（2）监狱企业参加政府采购活动时，需提供由省级以上监狱管理局、戒毒管理局</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含新疆生产建设兵团</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出具的属于监狱企业的证明文件。供应商如不提供上述证明文件，价格将不做相应扣除。</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（3）监狱企业标准请参照《关于政府采购支持监狱企业发展有关问题的通知》（财库</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〔2014〕68号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4、残疾人福利单位、监狱企业属于小型、微型企业的，不重复享受政策。</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5、如果本项目同意联合体投标或同意分包履行合同的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highlight w:val="none"/>
        </w:rPr>
      </w:r>
      <w:r/>
    </w:p>
    <w:p>
      <w:pPr>
        <w:pStyle w:val="1065"/>
        <w:ind w:firstLine="560"/>
        <w:spacing w:line="5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6、联合体各方均为小型、微型企业（残疾人福利单位、监狱企业）的，联合体享受10%价格扣除，用扣除后的价格参与评审。</w:t>
      </w:r>
      <w:r>
        <w:rPr>
          <w:highlight w:val="none"/>
        </w:rPr>
      </w:r>
      <w:r/>
    </w:p>
    <w:p>
      <w:pPr>
        <w:pStyle w:val="1065"/>
        <w:ind w:firstLine="560"/>
        <w:spacing w:line="5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rPr>
          <w:highlight w:val="none"/>
        </w:rPr>
      </w:r>
      <w:r/>
    </w:p>
    <w:p>
      <w:pPr>
        <w:pStyle w:val="1065"/>
        <w:ind w:firstLine="560"/>
        <w:spacing w:line="5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rPr>
          <w:highlight w:val="none"/>
        </w:rPr>
      </w:r>
      <w:r/>
    </w:p>
    <w:p>
      <w:pPr>
        <w:pStyle w:val="1065"/>
        <w:ind w:firstLine="560"/>
        <w:spacing w:line="5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rPr>
          <w:highlight w:val="none"/>
        </w:rPr>
      </w:r>
      <w:r/>
    </w:p>
    <w:p>
      <w:pPr>
        <w:pStyle w:val="1065"/>
        <w:ind w:firstLine="560"/>
        <w:spacing w:line="5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rPr>
          <w:highlight w:val="none"/>
        </w:rPr>
      </w:r>
      <w:r/>
    </w:p>
    <w:p>
      <w:pPr>
        <w:pStyle w:val="1065"/>
        <w:ind w:firstLine="560"/>
        <w:spacing w:line="5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rPr>
          <w:highlight w:val="none"/>
        </w:rPr>
      </w:r>
      <w:r/>
    </w:p>
    <w:p>
      <w:pPr>
        <w:pStyle w:val="1065"/>
        <w:ind w:firstLine="560"/>
        <w:spacing w:line="5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rPr>
          <w:highlight w:val="none"/>
        </w:rPr>
      </w:r>
      <w:r/>
    </w:p>
    <w:p>
      <w:pPr>
        <w:pStyle w:val="1065"/>
        <w:ind w:firstLine="560"/>
        <w:spacing w:line="540" w:lineRule="exac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rPr>
          <w:highlight w:val="none"/>
        </w:rPr>
      </w:r>
      <w:r/>
    </w:p>
    <w:p>
      <w:pPr>
        <w:pStyle w:val="1065"/>
        <w:ind w:firstLine="560"/>
        <w:spacing w:line="540" w:lineRule="exact"/>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评标方法与评标标准</w:t>
      </w:r>
      <w:r>
        <w:rPr>
          <w:highlight w:val="none"/>
        </w:rPr>
      </w:r>
      <w:r/>
    </w:p>
    <w:p>
      <w:pPr>
        <w:numPr>
          <w:ilvl w:val="4"/>
          <w:numId w:val="10"/>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价格（28分）：</w:t>
      </w:r>
      <w:r>
        <w:rPr>
          <w:highlight w:val="none"/>
        </w:rPr>
      </w:r>
      <w:r/>
    </w:p>
    <w:p>
      <w:p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满足招标文件要求且投标价格最低的投标报价为评定的基准价，其价格分为满分。其他投标人的价格分统一按照下列公式计算：</w:t>
      </w:r>
      <w:r>
        <w:rPr>
          <w:highlight w:val="none"/>
        </w:rPr>
      </w:r>
      <w:r/>
    </w:p>
    <w:p>
      <w:pPr>
        <w:numPr>
          <w:ilvl w:val="-1"/>
          <w:numId w:val="0"/>
        </w:numPr>
        <w:ind w:left="482" w:firstLine="0"/>
        <w:spacing w:line="360" w:lineRule="auto"/>
        <w:tabs>
          <w:tab w:val="left" w:pos="525" w:leader="none"/>
          <w:tab w:val="left" w:pos="945" w:leader="none"/>
          <w:tab w:val="left" w:pos="1155" w:leader="none"/>
          <w:tab w:val="left" w:pos="3823" w:leader="none"/>
        </w:tabs>
        <w:rPr>
          <w:rFonts w:hint="default" w:ascii="宋体" w:hAnsi="宋体" w:eastAsia="宋体"/>
          <w:color w:val="000000"/>
          <w:sz w:val="24"/>
          <w:szCs w:val="24"/>
          <w:highlight w:val="none"/>
        </w:rPr>
      </w:pPr>
      <w:r>
        <w:rPr>
          <w:rFonts w:hint="eastAsia" w:ascii="宋体" w:hAnsi="宋体"/>
          <w:bCs/>
          <w:color w:val="000000"/>
          <w:sz w:val="24"/>
          <w:szCs w:val="24"/>
          <w:highlight w:val="none"/>
        </w:rPr>
        <w:t xml:space="preserve">报价得分=（评分基准价/投标报价）×</w:t>
      </w:r>
      <w:r>
        <w:rPr>
          <w:rFonts w:hint="eastAsia" w:ascii="宋体" w:hAnsi="宋体"/>
          <w:bCs/>
          <w:color w:val="000000"/>
          <w:sz w:val="24"/>
          <w:szCs w:val="24"/>
          <w:highlight w:val="none"/>
          <w:lang w:val="en-US" w:eastAsia="zh-CN"/>
        </w:rPr>
        <w:t xml:space="preserve">28</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hint="eastAsia" w:ascii="宋体" w:hAnsi="宋体" w:eastAsia="宋体" w:cs="宋体"/>
          <w:color w:val="000000"/>
          <w:sz w:val="21"/>
          <w:szCs w:val="21"/>
          <w:highlight w:val="none"/>
          <w:lang w:val="en-US" w:eastAsia="zh-CN" w:bidi="ar-SA"/>
        </w:rPr>
        <w:t xml:space="preserve">分值保留小数点后2位。</w:t>
      </w:r>
      <w:r>
        <w:rPr>
          <w:highlight w:val="none"/>
        </w:rPr>
      </w:r>
      <w:r/>
    </w:p>
    <w:p>
      <w:pPr>
        <w:numPr>
          <w:ilvl w:val="4"/>
          <w:numId w:val="10"/>
        </w:numPr>
        <w:ind w:left="0" w:firstLine="482"/>
        <w:spacing w:line="360" w:lineRule="auto"/>
        <w:tabs>
          <w:tab w:val="left" w:pos="525" w:leader="none"/>
          <w:tab w:val="left" w:pos="945" w:leader="none"/>
          <w:tab w:val="left" w:pos="1155" w:leader="none"/>
          <w:tab w:val="left" w:pos="3823" w:leader="none"/>
        </w:tabs>
        <w:rPr>
          <w:rFonts w:ascii="宋体" w:hAnsi="宋体"/>
          <w:color w:val="000000"/>
          <w:sz w:val="24"/>
          <w:szCs w:val="24"/>
          <w:highlight w:val="none"/>
        </w:rPr>
      </w:pPr>
      <w:r>
        <w:rPr>
          <w:rFonts w:hint="eastAsia" w:ascii="宋体" w:hAnsi="宋体"/>
          <w:b/>
          <w:bCs/>
          <w:color w:val="000000"/>
          <w:sz w:val="24"/>
          <w:szCs w:val="24"/>
          <w:highlight w:val="none"/>
        </w:rPr>
        <w:t xml:space="preserve">拟派团队（20分）：</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2.1项目管理团队：投标时提供管理团队①相关证书、对应证明材料</w:t>
      </w:r>
      <w:r>
        <w:rPr>
          <w:rFonts w:hint="eastAsia" w:ascii="宋体" w:hAnsi="宋体"/>
          <w:color w:val="000000"/>
          <w:sz w:val="24"/>
          <w:szCs w:val="24"/>
          <w:highlight w:val="none"/>
          <w:lang w:val="en-US" w:eastAsia="zh-CN"/>
        </w:rPr>
        <w:t xml:space="preserve">复印件</w:t>
      </w:r>
      <w:r>
        <w:rPr>
          <w:rFonts w:hint="eastAsia" w:ascii="宋体" w:hAnsi="宋体"/>
          <w:color w:val="000000"/>
          <w:sz w:val="24"/>
          <w:szCs w:val="24"/>
          <w:highlight w:val="none"/>
        </w:rPr>
        <w:t xml:space="preserve">，②由社保机构出具的近三个月任意一个月份的缴费证明</w:t>
      </w:r>
      <w:r>
        <w:rPr>
          <w:rFonts w:hint="eastAsia" w:ascii="宋体" w:hAnsi="宋体"/>
          <w:color w:val="000000"/>
          <w:sz w:val="24"/>
          <w:szCs w:val="24"/>
          <w:highlight w:val="none"/>
          <w:lang w:val="en-US" w:eastAsia="zh-CN"/>
        </w:rPr>
        <w:t xml:space="preserve">复印件</w:t>
      </w:r>
      <w:r>
        <w:rPr>
          <w:rFonts w:hint="eastAsia" w:ascii="宋体" w:hAnsi="宋体"/>
          <w:color w:val="000000"/>
          <w:sz w:val="24"/>
          <w:szCs w:val="24"/>
          <w:highlight w:val="none"/>
        </w:rPr>
        <w:t xml:space="preserve">；</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①项目经理（驻校正经理）年龄为50周岁（含）以下的，得1分，具有物业管理师（员）职业技能等级证书三级或以上职业技能等级证书得1分（投标时同时提供人社网查询截图），具有中级及以上职称的得1分，具有本科及以上学历的得1分；本项满分4分。</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②驻校副经理年龄在50周岁（含）以下的，得1分。</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③驻校正副经理2人中，持有</w:t>
      </w:r>
      <w:r>
        <w:rPr>
          <w:rFonts w:hint="eastAsia" w:ascii="宋体" w:hAnsi="宋体"/>
          <w:bCs/>
          <w:sz w:val="24"/>
          <w:szCs w:val="24"/>
          <w:highlight w:val="none"/>
        </w:rPr>
        <w:t xml:space="preserve">具备四级/中级及以上消防设施操作员证或建（构）筑物消防员证的</w:t>
      </w:r>
      <w:r>
        <w:rPr>
          <w:rFonts w:hint="eastAsia" w:ascii="宋体" w:hAnsi="宋体"/>
          <w:color w:val="000000"/>
          <w:sz w:val="24"/>
          <w:szCs w:val="24"/>
          <w:highlight w:val="none"/>
        </w:rPr>
        <w:t xml:space="preserve">，得2分。</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④综合组组长、场馆组组长、宿舍组组长具备物业管理师（员）职业技能等级证书三级或以上职业技能等级证书，每个得1分，本项满分3分。（投标时同时提供人社网查询截图）</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⑤维修组组长年龄为45周岁（含）以下，得1分；同时具备特种作业操作证书（高压电工作业）的，得1分；本项满分2分。</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⑥绿化组组长年龄为45周岁（含）以下，得0.5分；具备四级/中级及以上园林绿化工职业技能等级证书或园林（或园艺或绿化或同类）专业中级及以上职称的，得1.5分；本项满分2分。</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2.2项目服务人员（不含项目管理团队）：</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①拟派成员中持有《有害生物防制员职业技能等级证书》的，每个0.5分，本项满分1分。</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②拟派成员中持有</w:t>
      </w:r>
      <w:r>
        <w:rPr>
          <w:rFonts w:hint="eastAsia" w:ascii="宋体" w:hAnsi="宋体"/>
          <w:bCs/>
          <w:sz w:val="24"/>
          <w:szCs w:val="24"/>
          <w:highlight w:val="none"/>
        </w:rPr>
        <w:t xml:space="preserve">具备四级/中级及以上消防设施操作员证或建（构）筑物消防员证的</w:t>
      </w:r>
      <w:r>
        <w:rPr>
          <w:rFonts w:hint="eastAsia" w:ascii="宋体" w:hAnsi="宋体"/>
          <w:color w:val="000000"/>
          <w:sz w:val="24"/>
          <w:szCs w:val="24"/>
          <w:highlight w:val="none"/>
        </w:rPr>
        <w:t xml:space="preserve">，每个得1分，满分2分。</w:t>
      </w:r>
      <w:r>
        <w:rPr>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2.3拟派团队人员配置中55</w:t>
      </w:r>
      <w:r>
        <w:rPr>
          <w:rFonts w:hint="eastAsia" w:ascii="宋体" w:hAnsi="宋体"/>
          <w:bCs/>
          <w:sz w:val="24"/>
          <w:szCs w:val="24"/>
          <w:highlight w:val="none"/>
        </w:rPr>
        <w:t xml:space="preserve">周岁</w:t>
      </w:r>
      <w:r>
        <w:rPr>
          <w:rFonts w:hint="eastAsia" w:ascii="宋体" w:hAnsi="宋体"/>
          <w:color w:val="000000"/>
          <w:sz w:val="24"/>
          <w:szCs w:val="24"/>
          <w:highlight w:val="none"/>
        </w:rPr>
        <w:t xml:space="preserve">及以下的员工人数不少于16个的，得1分；55</w:t>
      </w:r>
      <w:r>
        <w:rPr>
          <w:rFonts w:hint="eastAsia" w:ascii="宋体" w:hAnsi="宋体"/>
          <w:bCs/>
          <w:sz w:val="24"/>
          <w:szCs w:val="24"/>
          <w:highlight w:val="none"/>
        </w:rPr>
        <w:t xml:space="preserve">周岁</w:t>
      </w:r>
      <w:r>
        <w:rPr>
          <w:rFonts w:hint="eastAsia" w:ascii="宋体" w:hAnsi="宋体"/>
          <w:color w:val="000000"/>
          <w:sz w:val="24"/>
          <w:szCs w:val="24"/>
          <w:highlight w:val="none"/>
        </w:rPr>
        <w:t xml:space="preserve">及以下的员工人数不少于18个，得2分；55</w:t>
      </w:r>
      <w:r>
        <w:rPr>
          <w:rFonts w:hint="eastAsia" w:ascii="宋体" w:hAnsi="宋体"/>
          <w:bCs/>
          <w:sz w:val="24"/>
          <w:szCs w:val="24"/>
          <w:highlight w:val="none"/>
        </w:rPr>
        <w:t xml:space="preserve">周岁</w:t>
      </w:r>
      <w:r>
        <w:rPr>
          <w:rFonts w:hint="eastAsia" w:ascii="宋体" w:hAnsi="宋体"/>
          <w:color w:val="000000"/>
          <w:sz w:val="24"/>
          <w:szCs w:val="24"/>
          <w:highlight w:val="none"/>
        </w:rPr>
        <w:t xml:space="preserve">及以下的员工人数不少于20个，得3分。如已有对应拟派团队，投标时提供拟派团队名单（格式自拟，需体现性别及年龄）；如为中标后招聘拟派团队，投标时提供承诺书（不得附加其他条件）。物业公司在服务期间的人员数量、年龄、资质要求等配置未达到投标文件中的承诺，且一周内未整改到位，采购人有权解除合同。</w:t>
      </w:r>
      <w:r>
        <w:rPr>
          <w:highlight w:val="none"/>
        </w:rPr>
      </w:r>
      <w:r/>
    </w:p>
    <w:p>
      <w:pPr>
        <w:numPr>
          <w:ilvl w:val="4"/>
          <w:numId w:val="10"/>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投标人评价（8分）：</w:t>
      </w:r>
      <w:r>
        <w:rPr>
          <w:highlight w:val="none"/>
        </w:rPr>
      </w:r>
      <w:r/>
    </w:p>
    <w:p>
      <w:pPr>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3.1业绩（3分）：投标人近3年以来具有同类</w:t>
      </w:r>
      <w:r>
        <w:rPr>
          <w:rFonts w:hint="eastAsia"/>
          <w:sz w:val="24"/>
          <w:szCs w:val="24"/>
          <w:highlight w:val="none"/>
        </w:rPr>
        <w:t xml:space="preserve">非住宅物业</w:t>
      </w:r>
      <w:r>
        <w:rPr>
          <w:rFonts w:hint="eastAsia" w:ascii="宋体" w:hAnsi="宋体"/>
          <w:sz w:val="24"/>
          <w:szCs w:val="24"/>
          <w:highlight w:val="none"/>
        </w:rPr>
        <w:t xml:space="preserve">项目经验的，每一个类似项目得1.5分，满分3分。近三年是指合同签订时间为2022年9月1日至今，同类项目经验需包括本项目物业服务范围</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①保洁、②宿舍/楼宇管理、③绿化</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。投标时提供合同</w:t>
      </w:r>
      <w:r>
        <w:rPr>
          <w:rFonts w:hint="eastAsia" w:ascii="宋体" w:hAnsi="宋体"/>
          <w:sz w:val="24"/>
          <w:szCs w:val="24"/>
          <w:highlight w:val="none"/>
          <w:lang w:eastAsia="zh-CN"/>
        </w:rPr>
        <w:t xml:space="preserve">复印件或扫描件</w:t>
      </w:r>
      <w:r>
        <w:rPr>
          <w:rFonts w:hint="eastAsia" w:ascii="宋体" w:hAnsi="宋体"/>
          <w:sz w:val="24"/>
          <w:szCs w:val="24"/>
          <w:highlight w:val="none"/>
        </w:rPr>
        <w:t xml:space="preserve">，未按要求提供不得分</w:t>
      </w:r>
      <w:r>
        <w:rPr>
          <w:rFonts w:hint="eastAsia" w:ascii="宋体" w:hAnsi="宋体"/>
          <w:sz w:val="24"/>
          <w:szCs w:val="24"/>
          <w:highlight w:val="none"/>
          <w:lang w:eastAsia="zh-CN"/>
        </w:rPr>
        <w:t xml:space="preserve">。</w:t>
      </w: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3.2体系认证（1.5分）：投标人具有ISO9000系列质量管理体系认证证书（有效期内）、ISO14000系列环境管理体系认证证书（有效期内）、</w:t>
      </w:r>
      <w:r>
        <w:rPr>
          <w:rFonts w:hint="eastAsia" w:ascii="宋体" w:hAnsi="宋体"/>
          <w:sz w:val="24"/>
          <w:szCs w:val="24"/>
          <w:highlight w:val="none"/>
        </w:rPr>
        <w:t xml:space="preserve">ISO45001职业健康安全管理体系</w:t>
      </w:r>
      <w:r>
        <w:rPr>
          <w:rFonts w:hint="eastAsia" w:ascii="宋体" w:hAnsi="宋体"/>
          <w:sz w:val="24"/>
          <w:szCs w:val="24"/>
          <w:highlight w:val="none"/>
        </w:rPr>
        <w:t xml:space="preserve">认证证书</w:t>
      </w:r>
      <w:r>
        <w:rPr>
          <w:rFonts w:hint="eastAsia" w:ascii="宋体" w:hAnsi="宋体"/>
          <w:sz w:val="24"/>
          <w:szCs w:val="24"/>
          <w:highlight w:val="none"/>
        </w:rPr>
        <w:t xml:space="preserve">（有效期内）的，每个得0.5分，满分1.5分，投标时同时提供证书</w:t>
      </w:r>
      <w:r>
        <w:rPr>
          <w:rFonts w:hint="eastAsia" w:ascii="宋体" w:hAnsi="宋体"/>
          <w:sz w:val="24"/>
          <w:szCs w:val="24"/>
          <w:highlight w:val="none"/>
          <w:lang w:eastAsia="zh-CN"/>
        </w:rPr>
        <w:t xml:space="preserve">复印件或扫描件，</w:t>
      </w:r>
      <w:r>
        <w:rPr>
          <w:rFonts w:hint="eastAsia" w:ascii="宋体" w:hAnsi="宋体"/>
          <w:sz w:val="24"/>
          <w:szCs w:val="24"/>
          <w:highlight w:val="none"/>
          <w:lang w:val="en-US" w:eastAsia="zh-CN"/>
        </w:rPr>
        <w:t xml:space="preserve">或</w:t>
      </w:r>
      <w:r>
        <w:rPr>
          <w:rFonts w:hint="eastAsia" w:ascii="宋体" w:hAnsi="宋体"/>
          <w:sz w:val="24"/>
          <w:szCs w:val="24"/>
          <w:highlight w:val="none"/>
        </w:rPr>
        <w:t xml:space="preserve">全国认证认可信息公共服务平台官网认证信息查询截图，不符合要求或未按要求提供不得分。</w:t>
      </w: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3.3信息化管理（1.5分）：投标人具有物业管理信息系统或平台，投标时提供物业管理信息平台的开发或购买或租赁的证明材料；如为开发，提供著作权证书</w:t>
      </w:r>
      <w:r>
        <w:rPr>
          <w:rFonts w:hint="eastAsia" w:ascii="宋体" w:hAnsi="宋体"/>
          <w:sz w:val="24"/>
          <w:szCs w:val="24"/>
          <w:highlight w:val="none"/>
          <w:lang w:val="en-US" w:eastAsia="zh-CN"/>
        </w:rPr>
        <w:t xml:space="preserve">复印件</w:t>
      </w:r>
      <w:r>
        <w:rPr>
          <w:rFonts w:hint="eastAsia" w:ascii="宋体" w:hAnsi="宋体"/>
          <w:sz w:val="24"/>
          <w:szCs w:val="24"/>
          <w:highlight w:val="none"/>
        </w:rPr>
        <w:t xml:space="preserve">；如为购买，提供合同和发票</w:t>
      </w:r>
      <w:r>
        <w:rPr>
          <w:rFonts w:hint="eastAsia" w:ascii="宋体" w:hAnsi="宋体"/>
          <w:sz w:val="24"/>
          <w:szCs w:val="24"/>
          <w:highlight w:val="none"/>
          <w:lang w:val="en-US" w:eastAsia="zh-CN"/>
        </w:rPr>
        <w:t xml:space="preserve">复印件</w:t>
      </w:r>
      <w:r>
        <w:rPr>
          <w:rFonts w:hint="eastAsia" w:ascii="宋体" w:hAnsi="宋体"/>
          <w:sz w:val="24"/>
          <w:szCs w:val="24"/>
          <w:highlight w:val="none"/>
        </w:rPr>
        <w:t xml:space="preserve">；如为租赁获取，剩余租赁期限需涵盖服务期限。不符合要求或未按要求提供不得分。</w:t>
      </w: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3.4承诺免费承担单项或单件维修材料低于600元的非房屋基建及配套设施类的小项目维修，得1分；承诺免费承担单项或单件维修材料低于700元的非房屋基建及配套设施类的小项目维修，得2分。投标时提供承诺书（格式自拟）。不符合要求或未按要求提供不得分。</w:t>
      </w:r>
      <w:r>
        <w:rPr>
          <w:highlight w:val="none"/>
        </w:rPr>
      </w:r>
      <w:r/>
    </w:p>
    <w:p>
      <w:pPr>
        <w:numPr>
          <w:ilvl w:val="4"/>
          <w:numId w:val="10"/>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项目方案（44分）：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项目组织方案：</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 物业管理服务体系、管理规章制度、日常管理标准及措施（4分）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包括①物业管理服务体系（包括但不限于综合管理、公共区域秩序维护、公共区域清洁、公用设施设备日常运行、保养、维修、绿化服务等）；②管理规章制度；③日常管理标准及措施。根据方案进行综合考察。方案优于招标文件要求的得4分，符合招标文件要求的得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.2物业设备及耗材配置工作方案（2分）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根据招标文件中的物业设备及耗材（配置相关要求，制定物业设备及耗材配置工作方案，须重点说明相关物业设备及耗材配置的规格、数量、使用范围及频次等。方案优于招标文件要求的得2分，符合招标文件要求的得1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.3行政楼综合服务方案（2分）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投标人根据招标文件中的行政楼管理的相关要求，制定行政楼综合服务方案。方案优于招标文件要求的得2分，符合招标文件要求的得1分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.4图书馆（含田径场）综合服务方案（2分）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投标人根据招标文件中的图书馆管理的相关要求，制定图书馆（含田径场）综合服务方案。方案优于招标文件要求的得2分，符合招标文件要求的得1分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.5学生宿舍综合服务方案（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投标人根据招标文件中的学生宿舍管理的相关要求，制定学生宿舍综合服务方案（包括但不限于托管区域内的新生入住服务、毕业学生退宿、住宿学生生活服务方案等）。方案优于招标文件要求的得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分，符合招标文件要求的得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.6体育馆综合服务方案（2分）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投标人根据招标文件中的体育馆管理的相关要求，制定体育馆综合服务方案。方案优于招标文件要求的得2分，符合招标文件要求的得1分。不符合招标文件要求或不提供的不得分。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.7变电所服务方案（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投标人根据招标文件中的变电所管理的相关要求，制定变电所综合服务方案。方案优于招标文件要求的得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分，符合招标文件要求的得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.8绿化服务方案（3分）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投标人根据招标文件中的环境绿化管理的相关要求，制定绿化服务方案。方案优于招标文件要求的得3分，符合招标文件要求的得2分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.9保洁服务（含垃圾清运）方案（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投标人根据招标文件中的环境保洁管理的相关要求，制定保洁服务方案。方案优于招标文件要求的得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分，符合招标文件要求的得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学校新生接待、毕业生离校、学校运动会、学校承接的各类考试、大型活动及临时性应急保障工作服务方案（4分）；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根据招标文件中的保障相关要求，制定学校新生接待、毕业生离校、学校运动会、学校承接的各类考试、大型活动及临时性应急保障工作服务方案，方案优于招标文件要求的得4分，符合招标文件要求的得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特殊情况应急预案及措施（4分）：方案包括物业管理服务中应对自然灾害、事故灾害、公共卫生安全事件等突发事件的应急预案及措施等方面进行综合考察。方案优于招标文件要求的得4分，符合招标文件要求的得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物业档案及制度管理（4分）：根据投标人对物业的档案资料管理方案，如：档案资料内容、档案资料的安全措施、档案资料的保密管理、档案资料的移交管理等方面进行综合考察。方案优于招标文件要求的得4分，符合招标文件要求的得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正式接管前具体措施（2分）：①进驻前期计划；②正式接管前具体措施。方案优于招标文件要求的得2分，符合招标文件要求的得1分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节能管理（3分）：根据学校节能减排的方案及措施及文明建设的内容（文明建设：如物业的文明服务，节假日协助业主单位做好形象布置，学校水电气运营维护等）调研分析进行综合考察。方案优于招标文件要求的得3分，符合招标文件要求的得2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不符合招标文件要求或不提供的不得分。</w:t>
      </w:r>
      <w:r>
        <w:rPr>
          <w:highlight w:val="none"/>
        </w:rPr>
      </w:r>
      <w:r/>
    </w:p>
    <w:p>
      <w:pPr>
        <w:spacing w:line="5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highlight w:val="none"/>
        </w:rPr>
      </w:r>
      <w:r/>
    </w:p>
    <w:p>
      <w:pPr>
        <w:spacing w:line="5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25"/>
        <w:rPr>
          <w:rFonts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t xml:space="preserve">第六章  投标</w:t>
      </w:r>
      <w:bookmarkEnd w:id="191"/>
      <w:r>
        <w:rPr>
          <w:highlight w:val="none"/>
        </w:rPr>
      </w:r>
      <w:bookmarkEnd w:id="192"/>
      <w:r>
        <w:rPr>
          <w:highlight w:val="none"/>
        </w:rPr>
      </w:r>
      <w:bookmarkEnd w:id="199"/>
      <w:r>
        <w:rPr>
          <w:rFonts w:hint="eastAsia" w:ascii="黑体" w:eastAsia="黑体"/>
          <w:bCs/>
          <w:color w:val="000000" w:themeColor="text1"/>
          <w:sz w:val="44"/>
          <w:highlight w:val="none"/>
          <w14:textFill>
            <w14:solidFill>
              <w14:schemeClr w14:val="tx1"/>
            </w14:solidFill>
          </w14:textFill>
        </w:rPr>
        <w:t xml:space="preserve">文件格式 </w:t>
      </w:r>
      <w:r>
        <w:rPr>
          <w:highlight w:val="none"/>
        </w:rPr>
      </w:r>
      <w:r/>
    </w:p>
    <w:p>
      <w:pPr>
        <w:jc w:val="center"/>
        <w:rPr>
          <w:rFonts w:ascii="宋体" w:hAnsi="宋体"/>
          <w:b/>
          <w:color w:val="000000" w:themeColor="text1"/>
          <w:sz w:val="72"/>
          <w:highlight w:val="none"/>
          <w14:textFill>
            <w14:solidFill>
              <w14:schemeClr w14:val="tx1"/>
            </w14:solidFill>
          </w14:textFill>
        </w:rPr>
      </w:pPr>
      <w:r>
        <w:rPr>
          <w:highlight w:val="none"/>
        </w:rPr>
      </w:r>
      <w:bookmarkStart w:id="200" w:name="_Hlt26955039"/>
      <w:r>
        <w:rPr>
          <w:highlight w:val="none"/>
        </w:rPr>
      </w:r>
      <w:bookmarkEnd w:id="200"/>
      <w:r>
        <w:rPr>
          <w:highlight w:val="none"/>
        </w:rPr>
      </w:r>
      <w:bookmarkStart w:id="201" w:name="_Hlt26671244"/>
      <w:r>
        <w:rPr>
          <w:highlight w:val="none"/>
        </w:rPr>
      </w:r>
      <w:bookmarkEnd w:id="201"/>
      <w:r>
        <w:rPr>
          <w:highlight w:val="none"/>
        </w:rPr>
      </w:r>
      <w:bookmarkStart w:id="202" w:name="_Toc49090576"/>
      <w:r>
        <w:rPr>
          <w:highlight w:val="none"/>
        </w:rPr>
      </w:r>
      <w:bookmarkStart w:id="203" w:name="_Toc120614282"/>
      <w:r>
        <w:rPr>
          <w:highlight w:val="none"/>
        </w:rPr>
      </w:r>
      <w:bookmarkStart w:id="204" w:name="_Toc26554094"/>
      <w:r>
        <w:rPr>
          <w:highlight w:val="none"/>
        </w:rPr>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rPr>
          <w:highlight w:val="none"/>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rPr>
          <w:highlight w:val="none"/>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rPr>
          <w:highlight w:val="none"/>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rPr>
          <w:highlight w:val="none"/>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rPr>
          <w:highlight w:val="none"/>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rPr>
          <w:highlight w:val="none"/>
        </w:rPr>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rPr>
          <w:highlight w:val="none"/>
        </w:rPr>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rPr>
          <w:highlight w:val="none"/>
        </w:rPr>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（加盖CA电子公章）</w:t>
      </w:r>
      <w:r>
        <w:rPr>
          <w:highlight w:val="none"/>
        </w:rPr>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rPr>
          <w:highlight w:val="none"/>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rPr>
          <w:highlight w:val="none"/>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r/>
    </w:p>
    <w:p>
      <w:pPr>
        <w:ind w:firstLine="1084"/>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r>
        <w:rPr>
          <w:highlight w:val="none"/>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投标文件的</w:t>
      </w:r>
      <w:r>
        <w:rPr>
          <w:rFonts w:ascii="宋体" w:hAnsi="宋体"/>
          <w:b/>
          <w:bCs/>
          <w:color w:val="000000" w:themeColor="text1"/>
          <w:sz w:val="32"/>
          <w:szCs w:val="32"/>
          <w:highlight w:val="none"/>
          <w14:textFill>
            <w14:solidFill>
              <w14:schemeClr w14:val="tx1"/>
            </w14:solidFill>
          </w14:textFill>
        </w:rPr>
        <w:t xml:space="preserve">组成</w:t>
      </w:r>
      <w:r>
        <w:rPr>
          <w:highlight w:val="none"/>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rPr>
          <w:highlight w:val="none"/>
        </w:rPr>
      </w:r>
      <w:r/>
    </w:p>
    <w:p>
      <w:pPr>
        <w:ind w:left="480"/>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一、基本目录</w:t>
      </w:r>
      <w:r>
        <w:rPr>
          <w:highlight w:val="none"/>
        </w:rPr>
      </w:r>
      <w:r/>
    </w:p>
    <w:p>
      <w:pPr>
        <w:ind w:left="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开标一览表（格式见附件</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w:t>
      </w:r>
      <w:r>
        <w:rPr>
          <w:highlight w:val="none"/>
        </w:rPr>
      </w:r>
      <w:r/>
    </w:p>
    <w:p>
      <w:pPr>
        <w:ind w:left="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投标分项报价表（格式见</w:t>
      </w:r>
      <w:r>
        <w:rPr>
          <w:rFonts w:ascii="宋体" w:hAnsi="宋体"/>
          <w:color w:val="000000" w:themeColor="text1"/>
          <w:sz w:val="24"/>
          <w:highlight w:val="none"/>
          <w14:textFill>
            <w14:solidFill>
              <w14:schemeClr w14:val="tx1"/>
            </w14:solidFill>
          </w14:textFill>
        </w:rPr>
        <w:t xml:space="preserve">附件2</w:t>
      </w:r>
      <w:r>
        <w:rPr>
          <w:rFonts w:hint="eastAsia" w:ascii="宋体" w:hAnsi="宋体"/>
          <w:color w:val="000000" w:themeColor="text1"/>
          <w:sz w:val="24"/>
          <w:highlight w:val="none"/>
          <w14:textFill>
            <w14:solidFill>
              <w14:schemeClr w14:val="tx1"/>
            </w14:solidFill>
          </w14:textFill>
        </w:rPr>
        <w:t xml:space="preserve">）</w:t>
      </w:r>
      <w:r>
        <w:rPr>
          <w:highlight w:val="none"/>
        </w:rPr>
      </w:r>
      <w:r/>
    </w:p>
    <w:p>
      <w:pPr>
        <w:ind w:left="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技术要求响应及偏离表（格式见</w:t>
      </w:r>
      <w:r>
        <w:rPr>
          <w:rFonts w:ascii="宋体" w:hAnsi="宋体"/>
          <w:color w:val="000000" w:themeColor="text1"/>
          <w:sz w:val="24"/>
          <w:highlight w:val="none"/>
          <w14:textFill>
            <w14:solidFill>
              <w14:schemeClr w14:val="tx1"/>
            </w14:solidFill>
          </w14:textFill>
        </w:rPr>
        <w:t xml:space="preserve">附件3</w:t>
      </w:r>
      <w:r>
        <w:rPr>
          <w:rFonts w:hint="eastAsia" w:ascii="宋体" w:hAnsi="宋体"/>
          <w:color w:val="000000" w:themeColor="text1"/>
          <w:sz w:val="24"/>
          <w:highlight w:val="none"/>
          <w14:textFill>
            <w14:solidFill>
              <w14:schemeClr w14:val="tx1"/>
            </w14:solidFill>
          </w14:textFill>
        </w:rPr>
        <w:t xml:space="preserve">）</w:t>
      </w:r>
      <w:r>
        <w:rPr>
          <w:highlight w:val="none"/>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商务要求响应及偏离表（格式见</w:t>
      </w:r>
      <w:r>
        <w:rPr>
          <w:rFonts w:ascii="宋体" w:hAnsi="宋体"/>
          <w:color w:val="000000" w:themeColor="text1"/>
          <w:sz w:val="24"/>
          <w:highlight w:val="none"/>
          <w14:textFill>
            <w14:solidFill>
              <w14:schemeClr w14:val="tx1"/>
            </w14:solidFill>
          </w14:textFill>
        </w:rPr>
        <w:t xml:space="preserve">附件4</w:t>
      </w:r>
      <w:r>
        <w:rPr>
          <w:rFonts w:hint="eastAsia" w:ascii="宋体" w:hAnsi="宋体"/>
          <w:color w:val="000000" w:themeColor="text1"/>
          <w:sz w:val="24"/>
          <w:highlight w:val="none"/>
          <w14:textFill>
            <w14:solidFill>
              <w14:schemeClr w14:val="tx1"/>
            </w14:solidFill>
          </w14:textFill>
        </w:rPr>
        <w:t xml:space="preserve">）</w:t>
      </w:r>
      <w:r>
        <w:rPr>
          <w:highlight w:val="none"/>
        </w:rPr>
      </w:r>
      <w:r/>
    </w:p>
    <w:p>
      <w:pPr>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二</w:t>
      </w:r>
      <w:r>
        <w:rPr>
          <w:rFonts w:ascii="宋体" w:hAnsi="宋体"/>
          <w:b/>
          <w:color w:val="000000" w:themeColor="text1"/>
          <w:sz w:val="24"/>
          <w:highlight w:val="none"/>
          <w14:textFill>
            <w14:solidFill>
              <w14:schemeClr w14:val="tx1"/>
            </w14:solidFill>
          </w14:textFill>
        </w:rPr>
        <w:t xml:space="preserve">、资格审查内容</w:t>
      </w:r>
      <w:r>
        <w:rPr>
          <w:highlight w:val="none"/>
        </w:rPr>
      </w:r>
      <w:r/>
    </w:p>
    <w:p>
      <w:pPr>
        <w:ind w:left="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1.法人或者其他组织的营业执照等证明文件，自然人的身份证明</w:t>
      </w:r>
      <w:r>
        <w:rPr>
          <w:highlight w:val="none"/>
        </w:rPr>
      </w:r>
      <w:r/>
    </w:p>
    <w:p>
      <w:pPr>
        <w:ind w:left="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2.上一年度的财务状况报告（投标人成立不满一年无需提供）</w:t>
      </w:r>
      <w:r>
        <w:rPr>
          <w:highlight w:val="none"/>
        </w:rPr>
      </w:r>
      <w:r/>
    </w:p>
    <w:p>
      <w:pPr>
        <w:ind w:left="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3.依法缴纳税收和社会保障资金的相关材料（提供提交投标文件截止时间前一年</w:t>
      </w:r>
      <w:r>
        <w:rPr>
          <w:highlight w:val="none"/>
        </w:rPr>
      </w:r>
      <w:r/>
    </w:p>
    <w:p>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内至少一个月依法缴纳税收及缴纳社会保障资金的证明材料。投标人依法享受缓缴、免缴税收、社会保障资金的提供证明材料。）</w:t>
      </w:r>
      <w:r>
        <w:rPr>
          <w:highlight w:val="none"/>
        </w:rPr>
      </w:r>
      <w:r/>
    </w:p>
    <w:p>
      <w:pPr>
        <w:ind w:left="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4.具备履行合同所必需的设备和专业技术能力的书面声明（格式见附件5）</w:t>
      </w:r>
      <w:r>
        <w:rPr>
          <w:highlight w:val="none"/>
        </w:rPr>
      </w:r>
      <w:r/>
    </w:p>
    <w:p>
      <w:pPr>
        <w:ind w:firstLine="480"/>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5.参加政府采购活动前 3 年内在经营活动中没有重大违法记录的书面声明（格式见附件6）</w:t>
      </w:r>
      <w:r>
        <w:rPr>
          <w:highlight w:val="none"/>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6.特定资格要求的证明文件（如果本项目对投标人做出特定资格要求的，必须提供）</w:t>
      </w:r>
      <w:r>
        <w:rPr>
          <w:highlight w:val="none"/>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8.法人授权书（格式见附件7）</w:t>
      </w:r>
      <w:r>
        <w:rPr>
          <w:highlight w:val="none"/>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9.投标函（格式见附件8）</w:t>
      </w:r>
      <w:r>
        <w:rPr>
          <w:highlight w:val="none"/>
        </w:rPr>
      </w:r>
      <w:r/>
    </w:p>
    <w:p>
      <w:pPr>
        <w:ind w:left="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总备注：上述“资格审查内容”中1-5条、8、9条投标人必须在投标文件中提</w:t>
      </w:r>
      <w:r>
        <w:rPr>
          <w:highlight w:val="none"/>
        </w:rPr>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供相关材料，否则作无效投标处理；6条如招标文件要求必须提供相关材料而未提供的，作无效投标处理。</w:t>
      </w:r>
      <w:r>
        <w:rPr>
          <w:highlight w:val="none"/>
        </w:rPr>
      </w:r>
      <w:r/>
    </w:p>
    <w:p>
      <w:pPr>
        <w:ind w:left="480"/>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三、符合性审查内容</w:t>
      </w:r>
      <w:r>
        <w:rPr>
          <w:highlight w:val="none"/>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投标人必须对技术要求和商务要求中加斜体下划线的实质性要求逐条做出响应，并按照招标文件要求提供证明材料，否则作无效投标处理。（格式见附件11）</w:t>
      </w:r>
      <w:r>
        <w:rPr>
          <w:highlight w:val="none"/>
        </w:rPr>
      </w:r>
      <w:r/>
    </w:p>
    <w:p>
      <w:pPr>
        <w:ind w:firstLine="48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四、价格扣除证明文件</w:t>
      </w:r>
      <w:r>
        <w:rPr>
          <w:highlight w:val="none"/>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1.中小微企业声明函（格式见附件9）</w:t>
      </w:r>
      <w:r>
        <w:rPr>
          <w:highlight w:val="none"/>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2.残疾人福利性单位声明函（格式见附件10）</w:t>
      </w:r>
      <w:r>
        <w:rPr>
          <w:highlight w:val="none"/>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r/>
    </w:p>
    <w:p>
      <w:pPr>
        <w:rPr>
          <w:rFonts w:eastAsia="仿宋_GB2312"/>
          <w:color w:val="000000" w:themeColor="text1"/>
          <w:sz w:val="24"/>
          <w:szCs w:val="20"/>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附件1 开标一览表</w:t>
      </w:r>
      <w:r>
        <w:rPr>
          <w:highlight w:val="none"/>
        </w:rPr>
      </w:r>
      <w:r/>
    </w:p>
    <w:p>
      <w:pPr>
        <w:ind w:firstLine="482"/>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rPr>
          <w:highlight w:val="none"/>
        </w:rPr>
      </w:r>
      <w:r/>
    </w:p>
    <w:p>
      <w:pPr>
        <w:ind w:firstLine="482"/>
        <w:spacing w:line="0" w:lineRule="atLeas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highlight w:val="none"/>
        </w:rPr>
      </w:r>
      <w:r/>
    </w:p>
    <w:p>
      <w:pPr>
        <w:ind w:firstLine="482"/>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w:t>
      </w:r>
      <w:r>
        <w:rPr>
          <w:highlight w:val="none"/>
        </w:rPr>
      </w:r>
      <w:r/>
    </w:p>
    <w:p>
      <w:pPr>
        <w:ind w:firstLine="482"/>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分包号：</w:t>
      </w:r>
      <w:r>
        <w:rPr>
          <w:highlight w:val="none"/>
        </w:rPr>
      </w:r>
      <w:r/>
    </w:p>
    <w:tbl>
      <w:tblPr>
        <w:tblStyle w:val="9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投标总报价（3年）</w:t>
            </w:r>
            <w:r>
              <w:rPr>
                <w:highlight w:val="none"/>
              </w:rPr>
            </w:r>
            <w:r/>
          </w:p>
        </w:tc>
      </w:tr>
      <w:tr>
        <w:trPr>
          <w:cantSplit/>
          <w:trHeight w:val="684"/>
        </w:trPr>
        <w:tc>
          <w:tcPr>
            <w:tcW w:w="8206" w:type="dxa"/>
            <w:vAlign w:val="center"/>
            <w:textDirection w:val="lrTb"/>
            <w:noWrap w:val="false"/>
          </w:tcPr>
          <w:p>
            <w:pPr>
              <w:pStyle w:val="1065"/>
              <w:ind w:firstLine="0"/>
              <w:spacing w:before="0" w:after="0" w:line="5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                             （人民币：元）</w:t>
            </w:r>
            <w:r>
              <w:rPr>
                <w:highlight w:val="none"/>
              </w:rPr>
            </w:r>
            <w:r/>
          </w:p>
        </w:tc>
      </w:tr>
    </w:tbl>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r/>
    </w:p>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附件2 投标分项报价表（表一）</w:t>
      </w:r>
      <w:r>
        <w:rPr>
          <w:highlight w:val="none"/>
        </w:rPr>
      </w: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r/>
    </w:p>
    <w:tbl>
      <w:tblPr>
        <w:tblStyle w:val="935"/>
        <w:tblW w:w="85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008"/>
        <w:gridCol w:w="1246"/>
        <w:gridCol w:w="1267"/>
        <w:gridCol w:w="1001"/>
        <w:gridCol w:w="1483"/>
        <w:gridCol w:w="1778"/>
      </w:tblGrid>
      <w:tr>
        <w:trPr>
          <w:cantSplit/>
          <w:trHeight w:val="544"/>
        </w:trPr>
        <w:tc>
          <w:tcPr>
            <w:tcW w:w="758" w:type="dxa"/>
            <w:vAlign w:val="center"/>
            <w:vMerge w:val="restart"/>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r/>
          </w:p>
        </w:tc>
        <w:tc>
          <w:tcPr>
            <w:tcW w:w="100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r/>
          </w:p>
        </w:tc>
        <w:tc>
          <w:tcPr>
            <w:tcW w:w="1246"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highlight w:val="none"/>
              </w:rPr>
            </w:r>
            <w:r/>
          </w:p>
        </w:tc>
        <w:tc>
          <w:tcPr>
            <w:tcW w:w="1267"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highlight w:val="none"/>
              </w:rPr>
            </w:r>
            <w:r/>
          </w:p>
        </w:tc>
        <w:tc>
          <w:tcPr>
            <w:tcW w:w="100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highlight w:val="none"/>
              </w:rPr>
            </w:r>
            <w:r/>
          </w:p>
        </w:tc>
        <w:tc>
          <w:tcPr>
            <w:tcW w:w="148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highlight w:val="none"/>
              </w:rPr>
            </w:r>
            <w:r/>
          </w:p>
        </w:tc>
        <w:tc>
          <w:tcPr>
            <w:tcW w:w="177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rPr>
                <w:highlight w:val="none"/>
              </w:rPr>
            </w:r>
            <w:r/>
          </w:p>
        </w:tc>
      </w:tr>
      <w:tr>
        <w:trPr>
          <w:cantSplit/>
          <w:trHeight w:val="294"/>
        </w:trPr>
        <w:tc>
          <w:tcPr>
            <w:tcW w:w="758" w:type="dxa"/>
            <w:vAlign w:val="center"/>
            <w:vMerge w:val="continue"/>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分项服务名称</w:t>
            </w:r>
            <w:r>
              <w:rPr>
                <w:highlight w:val="none"/>
              </w:rPr>
            </w:r>
            <w:r/>
          </w:p>
        </w:tc>
        <w:tc>
          <w:tcPr>
            <w:tcW w:w="1246"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rPr>
                <w:highlight w:val="none"/>
              </w:rPr>
            </w:r>
            <w:r/>
          </w:p>
        </w:tc>
        <w:tc>
          <w:tcPr>
            <w:tcW w:w="1267"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分项单位</w:t>
            </w:r>
            <w:r>
              <w:rPr>
                <w:highlight w:val="none"/>
              </w:rPr>
            </w:r>
            <w:r/>
          </w:p>
        </w:tc>
        <w:tc>
          <w:tcPr>
            <w:tcW w:w="100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rPr>
                <w:highlight w:val="none"/>
              </w:rPr>
            </w:r>
            <w:r/>
          </w:p>
        </w:tc>
        <w:tc>
          <w:tcPr>
            <w:tcW w:w="148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rPr>
                <w:highlight w:val="none"/>
              </w:rPr>
            </w: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rPr>
                <w:rFonts w:hint="eastAsia" w:ascii="宋体" w:hAnsi="宋体" w:eastAsia="宋体"/>
                <w:bCs/>
                <w:color w:val="000000"/>
                <w:sz w:val="24"/>
                <w:szCs w:val="24"/>
                <w:highlight w:val="none"/>
                <w:lang w:val="en-US" w:eastAsia="zh-CN" w:bidi="ar-SA"/>
              </w:rPr>
              <w:t xml:space="preserve">（元/年）</w:t>
            </w:r>
            <w:r>
              <w:rPr>
                <w:highlight w:val="none"/>
              </w:rPr>
            </w:r>
            <w:r/>
          </w:p>
        </w:tc>
        <w:tc>
          <w:tcPr>
            <w:tcW w:w="177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rPr>
                <w:highlight w:val="none"/>
              </w:rPr>
            </w: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rPr>
                <w:rFonts w:hint="eastAsia" w:ascii="宋体" w:hAnsi="宋体" w:eastAsia="宋体"/>
                <w:bCs/>
                <w:color w:val="000000"/>
                <w:sz w:val="24"/>
                <w:szCs w:val="24"/>
                <w:highlight w:val="none"/>
                <w:lang w:val="en-US" w:eastAsia="zh-CN" w:bidi="ar-SA"/>
              </w:rPr>
              <w:t xml:space="preserve">（元/</w:t>
            </w:r>
            <w:r>
              <w:rPr>
                <w:rFonts w:ascii="宋体" w:hAnsi="宋体" w:eastAsia="宋体"/>
                <w:bCs/>
                <w:color w:val="000000"/>
                <w:sz w:val="24"/>
                <w:szCs w:val="24"/>
                <w:highlight w:val="none"/>
                <w:lang w:val="en-US" w:eastAsia="zh-CN" w:bidi="ar-SA"/>
              </w:rPr>
              <w:t xml:space="preserve">3</w:t>
            </w:r>
            <w:r>
              <w:rPr>
                <w:rFonts w:hint="eastAsia" w:ascii="宋体" w:hAnsi="宋体" w:eastAsia="宋体"/>
                <w:bCs/>
                <w:color w:val="000000"/>
                <w:sz w:val="24"/>
                <w:szCs w:val="24"/>
                <w:highlight w:val="none"/>
                <w:lang w:val="en-US" w:eastAsia="zh-CN" w:bidi="ar-SA"/>
              </w:rPr>
              <w:t xml:space="preserve">年）</w:t>
            </w:r>
            <w:r>
              <w:rPr>
                <w:highlight w:val="none"/>
              </w:rPr>
            </w:r>
            <w:r/>
          </w:p>
        </w:tc>
      </w:tr>
      <w:tr>
        <w:trPr>
          <w:cantSplit/>
          <w:trHeight w:val="654"/>
        </w:trPr>
        <w:tc>
          <w:tcPr>
            <w:tcW w:w="75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r/>
          </w:p>
        </w:tc>
        <w:tc>
          <w:tcPr>
            <w:tcW w:w="1008" w:type="dxa"/>
            <w:vAlign w:val="center"/>
            <w:textDirection w:val="lrTb"/>
            <w:noWrap w:val="false"/>
          </w:tcPr>
          <w:p>
            <w:pPr>
              <w:jc w:val="center"/>
              <w:spacing w:line="0" w:lineRule="atLeast"/>
              <w:rPr>
                <w:rFonts w:hint="default"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人员费用</w:t>
            </w:r>
            <w:r>
              <w:rPr>
                <w:highlight w:val="none"/>
              </w:rPr>
            </w:r>
            <w:r/>
          </w:p>
        </w:tc>
        <w:tc>
          <w:tcPr>
            <w:tcW w:w="1246" w:type="dxa"/>
            <w:vAlign w:val="center"/>
            <w:textDirection w:val="lrTb"/>
            <w:noWrap w:val="false"/>
          </w:tcPr>
          <w:p>
            <w:pPr>
              <w:jc w:val="center"/>
              <w:spacing w:line="0" w:lineRule="atLeas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合同签订后日</w:t>
            </w:r>
            <w:r>
              <w:rPr>
                <w:highlight w:val="none"/>
              </w:rPr>
            </w:r>
            <w:r/>
          </w:p>
        </w:tc>
        <w:tc>
          <w:tcPr>
            <w:tcW w:w="1267"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00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48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77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r>
      <w:tr>
        <w:trPr>
          <w:cantSplit/>
          <w:trHeight w:val="654"/>
        </w:trPr>
        <w:tc>
          <w:tcPr>
            <w:tcW w:w="758"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highlight w:val="none"/>
              </w:rPr>
            </w:r>
            <w:r/>
          </w:p>
        </w:tc>
        <w:tc>
          <w:tcPr>
            <w:shd w:val="clear" w:color="auto" w:fill="auto"/>
            <w:tcW w:w="1008" w:type="dxa"/>
            <w:vAlign w:val="center"/>
            <w:textDirection w:val="lrTb"/>
            <w:noWrap w:val="false"/>
          </w:tcPr>
          <w:p>
            <w:pPr>
              <w:jc w:val="left"/>
              <w:widowControl w:val="off"/>
              <w:rPr>
                <w:rFonts w:hint="default" w:ascii="Times New Roman" w:hAnsi="Times New Roman" w:eastAsia="宋体" w:cs="Times New Roman"/>
                <w:color w:val="000000"/>
                <w:sz w:val="21"/>
                <w:szCs w:val="21"/>
                <w:highlight w:val="none"/>
              </w:rPr>
            </w:pPr>
            <w:r>
              <w:rPr>
                <w:rFonts w:hint="eastAsia" w:eastAsia="宋体"/>
                <w:color w:val="000000"/>
                <w:sz w:val="21"/>
                <w:szCs w:val="21"/>
                <w:highlight w:val="none"/>
                <w:lang w:val="en-US" w:eastAsia="zh-CN" w:bidi="ar-SA"/>
              </w:rPr>
              <w:t xml:space="preserve">日常保洁耗材</w:t>
            </w:r>
            <w:r>
              <w:rPr>
                <w:highlight w:val="none"/>
              </w:rPr>
            </w:r>
            <w:r/>
          </w:p>
        </w:tc>
        <w:tc>
          <w:tcPr>
            <w:tcW w:w="124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tc>
        <w:tc>
          <w:tcPr>
            <w:tcW w:w="1267"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00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48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77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r>
      <w:tr>
        <w:trPr>
          <w:cantSplit/>
          <w:trHeight w:val="654"/>
        </w:trPr>
        <w:tc>
          <w:tcPr>
            <w:tcW w:w="758"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highlight w:val="none"/>
              </w:rPr>
            </w:r>
            <w:r/>
          </w:p>
        </w:tc>
        <w:tc>
          <w:tcPr>
            <w:shd w:val="clear" w:color="auto" w:fill="auto"/>
            <w:tcW w:w="1008" w:type="dxa"/>
            <w:vAlign w:val="center"/>
            <w:textDirection w:val="lrTb"/>
            <w:noWrap w:val="false"/>
          </w:tcPr>
          <w:p>
            <w:pPr>
              <w:jc w:val="left"/>
              <w:widowControl w:val="off"/>
              <w:rPr>
                <w:rFonts w:hint="default" w:ascii="Times New Roman" w:hAnsi="Times New Roman" w:eastAsia="宋体" w:cs="Times New Roman"/>
                <w:color w:val="000000"/>
                <w:sz w:val="21"/>
                <w:szCs w:val="21"/>
                <w:highlight w:val="none"/>
              </w:rPr>
            </w:pPr>
            <w:r>
              <w:rPr>
                <w:rFonts w:hint="eastAsia" w:eastAsia="宋体"/>
                <w:color w:val="000000"/>
                <w:sz w:val="21"/>
                <w:szCs w:val="21"/>
                <w:highlight w:val="none"/>
                <w:lang w:val="en-US" w:eastAsia="zh-CN" w:bidi="ar-SA"/>
              </w:rPr>
              <w:t xml:space="preserve">设备设施的维保、年检费</w:t>
            </w:r>
            <w:r>
              <w:rPr>
                <w:highlight w:val="none"/>
              </w:rPr>
            </w:r>
            <w:r/>
          </w:p>
        </w:tc>
        <w:tc>
          <w:tcPr>
            <w:tcW w:w="124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tc>
        <w:tc>
          <w:tcPr>
            <w:tcW w:w="1267"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00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48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77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r>
      <w:tr>
        <w:trPr>
          <w:cantSplit/>
          <w:trHeight w:val="654"/>
        </w:trPr>
        <w:tc>
          <w:tcPr>
            <w:tcW w:w="758"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highlight w:val="none"/>
              </w:rPr>
            </w:r>
            <w:r/>
          </w:p>
        </w:tc>
        <w:tc>
          <w:tcPr>
            <w:shd w:val="clear" w:color="auto" w:fill="auto"/>
            <w:tcW w:w="1008" w:type="dxa"/>
            <w:vAlign w:val="center"/>
            <w:textDirection w:val="lrTb"/>
            <w:noWrap w:val="false"/>
          </w:tcPr>
          <w:p>
            <w:pPr>
              <w:jc w:val="left"/>
              <w:widowControl w:val="off"/>
              <w:rPr>
                <w:rFonts w:hint="default" w:ascii="Times New Roman" w:hAnsi="Times New Roman" w:eastAsia="宋体" w:cs="Times New Roman"/>
                <w:color w:val="000000"/>
                <w:sz w:val="21"/>
                <w:szCs w:val="21"/>
                <w:highlight w:val="none"/>
              </w:rPr>
            </w:pPr>
            <w:r>
              <w:rPr>
                <w:rFonts w:hint="eastAsia" w:eastAsia="宋体"/>
                <w:color w:val="000000"/>
                <w:sz w:val="21"/>
                <w:szCs w:val="21"/>
                <w:highlight w:val="none"/>
                <w:lang w:val="en-US" w:eastAsia="zh-CN" w:bidi="ar-SA"/>
              </w:rPr>
              <w:t xml:space="preserve">办公费、固定资产折旧费</w:t>
            </w:r>
            <w:r>
              <w:rPr>
                <w:highlight w:val="none"/>
              </w:rPr>
            </w:r>
            <w:r/>
          </w:p>
        </w:tc>
        <w:tc>
          <w:tcPr>
            <w:tcW w:w="124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tc>
        <w:tc>
          <w:tcPr>
            <w:tcW w:w="1267"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00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48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77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r>
      <w:tr>
        <w:trPr>
          <w:cantSplit/>
          <w:trHeight w:val="654"/>
        </w:trPr>
        <w:tc>
          <w:tcPr>
            <w:tcW w:w="758"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highlight w:val="none"/>
              </w:rPr>
            </w:r>
            <w:r/>
          </w:p>
        </w:tc>
        <w:tc>
          <w:tcPr>
            <w:shd w:val="clear" w:color="auto" w:fill="auto"/>
            <w:tcW w:w="1008" w:type="dxa"/>
            <w:vAlign w:val="center"/>
            <w:textDirection w:val="lrTb"/>
            <w:noWrap w:val="false"/>
          </w:tcPr>
          <w:p>
            <w:pPr>
              <w:jc w:val="left"/>
              <w:widowControl w:val="off"/>
              <w:rPr>
                <w:rFonts w:hint="default" w:ascii="Times New Roman" w:hAnsi="Times New Roman" w:eastAsia="宋体" w:cs="Times New Roman"/>
                <w:color w:val="000000"/>
                <w:sz w:val="21"/>
                <w:szCs w:val="21"/>
                <w:highlight w:val="none"/>
              </w:rPr>
            </w:pPr>
            <w:r>
              <w:rPr>
                <w:rFonts w:hint="eastAsia" w:eastAsia="宋体"/>
                <w:color w:val="000000"/>
                <w:sz w:val="21"/>
                <w:szCs w:val="21"/>
                <w:highlight w:val="none"/>
                <w:lang w:val="en-US" w:eastAsia="zh-CN" w:bidi="ar-SA"/>
              </w:rPr>
              <w:t xml:space="preserve">绿化养护相关费用</w:t>
            </w:r>
            <w:r>
              <w:rPr>
                <w:highlight w:val="none"/>
              </w:rPr>
            </w:r>
            <w:r/>
          </w:p>
        </w:tc>
        <w:tc>
          <w:tcPr>
            <w:tcW w:w="1246"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267"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00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48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77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r>
      <w:tr>
        <w:trPr>
          <w:cantSplit/>
          <w:trHeight w:val="654"/>
        </w:trPr>
        <w:tc>
          <w:tcPr>
            <w:tcW w:w="758" w:type="dxa"/>
            <w:vAlign w:val="center"/>
            <w:textDirection w:val="lrTb"/>
            <w:noWrap w:val="false"/>
          </w:tcPr>
          <w:p>
            <w:pPr>
              <w:jc w:val="center"/>
              <w:spacing w:line="0" w:lineRule="atLeast"/>
              <w:rPr>
                <w:rFonts w:hint="default"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w:t>
            </w:r>
            <w:r>
              <w:rPr>
                <w:highlight w:val="none"/>
              </w:rPr>
            </w:r>
            <w:r/>
          </w:p>
        </w:tc>
        <w:tc>
          <w:tcPr>
            <w:shd w:val="clear" w:color="auto" w:fill="auto"/>
            <w:tcW w:w="1008" w:type="dxa"/>
            <w:vAlign w:val="center"/>
            <w:textDirection w:val="lrTb"/>
            <w:noWrap w:val="false"/>
          </w:tcPr>
          <w:p>
            <w:pPr>
              <w:jc w:val="left"/>
              <w:widowControl w:val="off"/>
              <w:rPr>
                <w:rFonts w:hint="eastAsia" w:eastAsia="宋体"/>
                <w:color w:val="000000"/>
                <w:sz w:val="21"/>
                <w:szCs w:val="21"/>
                <w:highlight w:val="none"/>
              </w:rPr>
            </w:pPr>
            <w:r>
              <w:rPr>
                <w:rFonts w:hint="eastAsia" w:eastAsia="宋体"/>
                <w:color w:val="000000"/>
                <w:sz w:val="21"/>
                <w:szCs w:val="21"/>
                <w:highlight w:val="none"/>
                <w:lang w:val="en-US" w:eastAsia="zh-CN" w:bidi="ar-SA"/>
              </w:rPr>
              <w:t xml:space="preserve">……</w:t>
            </w:r>
            <w:r>
              <w:rPr>
                <w:highlight w:val="none"/>
              </w:rPr>
            </w:r>
            <w:r/>
          </w:p>
        </w:tc>
        <w:tc>
          <w:tcPr>
            <w:tcW w:w="1246"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267"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00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48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77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r>
      <w:tr>
        <w:trPr>
          <w:cantSplit/>
          <w:trHeight w:val="654"/>
        </w:trPr>
        <w:tc>
          <w:tcPr>
            <w:tcW w:w="758"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w:t>
            </w:r>
            <w:r>
              <w:rPr>
                <w:highlight w:val="none"/>
              </w:rPr>
            </w:r>
            <w:r/>
          </w:p>
        </w:tc>
        <w:tc>
          <w:tcPr>
            <w:shd w:val="clear" w:color="auto" w:fill="auto"/>
            <w:tcW w:w="1008" w:type="dxa"/>
            <w:vAlign w:val="center"/>
            <w:textDirection w:val="lrTb"/>
            <w:noWrap w:val="false"/>
          </w:tcPr>
          <w:p>
            <w:pPr>
              <w:jc w:val="left"/>
              <w:widowControl w:val="off"/>
              <w:rPr>
                <w:rFonts w:hint="eastAsia" w:eastAsia="宋体"/>
                <w:color w:val="000000"/>
                <w:sz w:val="21"/>
                <w:szCs w:val="21"/>
                <w:highlight w:val="none"/>
              </w:rPr>
            </w:pPr>
            <w:r>
              <w:rPr>
                <w:rFonts w:hint="eastAsia" w:eastAsia="宋体"/>
                <w:color w:val="000000"/>
                <w:sz w:val="21"/>
                <w:szCs w:val="21"/>
                <w:highlight w:val="none"/>
                <w:lang w:val="en-US" w:eastAsia="zh-CN" w:bidi="ar-SA"/>
              </w:rPr>
              <w:t xml:space="preserve">其它费用</w:t>
            </w:r>
            <w:r>
              <w:rPr>
                <w:highlight w:val="none"/>
              </w:rPr>
            </w:r>
            <w:r/>
          </w:p>
        </w:tc>
        <w:tc>
          <w:tcPr>
            <w:tcW w:w="1246"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267"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00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48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c>
          <w:tcPr>
            <w:tcW w:w="177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r>
      <w:tr>
        <w:trPr>
          <w:cantSplit/>
          <w:trHeight w:val="487"/>
        </w:trPr>
        <w:tc>
          <w:tcPr>
            <w:gridSpan w:val="6"/>
            <w:tcW w:w="676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rPr>
                <w:highlight w:val="none"/>
              </w:rPr>
            </w:r>
            <w:r/>
          </w:p>
        </w:tc>
        <w:tc>
          <w:tcPr>
            <w:tcW w:w="1778" w:type="dxa"/>
            <w:textDirection w:val="lrTb"/>
            <w:noWrap w:val="false"/>
          </w:tcPr>
          <w:p>
            <w:pP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r/>
          </w:p>
        </w:tc>
      </w:tr>
    </w:tbl>
    <w:p>
      <w:pP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highlight w:val="none"/>
        </w:rPr>
      </w:r>
      <w:r/>
    </w:p>
    <w:p>
      <w:pP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报价采用总承包方式，“投标总报价”应包括采购人需求的服务（包含与服务相关的货物）价格、质量保证费用、培训费用等，项目在指定地点、环境交付所需费用和所有相关税金费用及为完成整个项目所产生的</w:t>
      </w:r>
      <w:r>
        <w:rPr>
          <w:rFonts w:hint="eastAsia" w:ascii="宋体" w:hAnsi="宋体"/>
          <w:color w:val="000000" w:themeColor="text1"/>
          <w:sz w:val="24"/>
          <w:szCs w:val="24"/>
          <w:highlight w:val="none"/>
          <w:lang w:eastAsia="zh-CN"/>
          <w14:textFill>
            <w14:solidFill>
              <w14:schemeClr w14:val="tx1"/>
            </w14:solidFill>
          </w14:textFill>
        </w:rPr>
        <w:t xml:space="preserve">其他所有</w:t>
      </w:r>
      <w:r>
        <w:rPr>
          <w:rFonts w:hint="eastAsia" w:ascii="宋体" w:hAnsi="宋体"/>
          <w:color w:val="000000" w:themeColor="text1"/>
          <w:sz w:val="24"/>
          <w:szCs w:val="24"/>
          <w:highlight w:val="none"/>
          <w14:textFill>
            <w14:solidFill>
              <w14:schemeClr w14:val="tx1"/>
            </w14:solidFill>
          </w14:textFill>
        </w:rPr>
        <w:t xml:space="preserve">费用，招标文件另有规定的除外。</w:t>
      </w:r>
      <w:r>
        <w:rPr>
          <w:highlight w:val="none"/>
        </w:rPr>
      </w:r>
      <w:r/>
    </w:p>
    <w:p>
      <w:pPr>
        <w:spacing w:line="0" w:lineRule="atLeast"/>
        <w:rPr>
          <w:rFonts w:ascii="宋体" w:hAnsi="宋体"/>
          <w:color w:val="auto"/>
          <w:sz w:val="24"/>
          <w:szCs w:val="24"/>
          <w:highlight w:val="none"/>
        </w:rPr>
      </w:pPr>
      <w:r>
        <w:rPr>
          <w:rFonts w:hint="eastAsia" w:ascii="宋体" w:hAnsi="宋体"/>
          <w:color w:val="000000" w:themeColor="text1"/>
          <w:sz w:val="24"/>
          <w:szCs w:val="24"/>
          <w:highlight w:val="none"/>
          <w14:textFill>
            <w14:solidFill>
              <w14:schemeClr w14:val="tx1"/>
            </w14:solidFill>
          </w14:textFill>
        </w:rPr>
        <w:t xml:space="preserve">2.“投标分项报价表”中“投标总报价”数额应当与“开标一览表”中“投标总报</w:t>
      </w:r>
      <w:r>
        <w:rPr>
          <w:rFonts w:hint="eastAsia" w:ascii="宋体" w:hAnsi="宋体"/>
          <w:color w:val="auto"/>
          <w:sz w:val="24"/>
          <w:szCs w:val="24"/>
          <w:highlight w:val="none"/>
        </w:rPr>
        <w:t xml:space="preserve">价”数额一致。</w:t>
      </w:r>
      <w:bookmarkEnd w:id="48"/>
      <w:r/>
      <w:bookmarkEnd w:id="49"/>
      <w:r/>
      <w:bookmarkEnd w:id="202"/>
      <w:r/>
      <w:bookmarkEnd w:id="203"/>
      <w:r/>
      <w:bookmarkEnd w:id="204"/>
      <w:r>
        <w:rPr>
          <w:highlight w:val="none"/>
        </w:rPr>
      </w:r>
      <w:r/>
    </w:p>
    <w:p>
      <w:pPr>
        <w:jc w:val="cente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人员工资、社会保险和公积金三项费用报价表（采购包号：**）</w:t>
      </w:r>
      <w:r>
        <w:rPr>
          <w:highlight w:val="none"/>
        </w:rPr>
      </w:r>
      <w:r/>
    </w:p>
    <w:tbl>
      <w:tblPr>
        <w:tblStyle w:val="935"/>
        <w:tblW w:w="4889"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1513"/>
        <w:gridCol w:w="719"/>
        <w:gridCol w:w="961"/>
        <w:gridCol w:w="1117"/>
        <w:gridCol w:w="1130"/>
        <w:gridCol w:w="2863"/>
      </w:tblGrid>
      <w:tr>
        <w:trPr>
          <w:trHeight w:val="369"/>
        </w:trPr>
        <w:tc>
          <w:tcPr>
            <w:tcW w:w="34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序号</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分项名称</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数量</w:t>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分项</w:t>
            </w:r>
            <w:r>
              <w:rPr>
                <w:highlight w:val="none"/>
              </w:rPr>
            </w:r>
            <w:r/>
          </w:p>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单价</w:t>
            </w:r>
            <w:r>
              <w:rPr>
                <w:highlight w:val="none"/>
              </w:rPr>
            </w:r>
            <w:r/>
          </w:p>
        </w:tc>
        <w:tc>
          <w:tcPr>
            <w:tcW w:w="626"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期 限</w:t>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分项</w:t>
            </w:r>
            <w:r>
              <w:rPr>
                <w:highlight w:val="none"/>
              </w:rPr>
            </w:r>
            <w:r/>
          </w:p>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总价1</w:t>
            </w:r>
            <w:r>
              <w:rPr>
                <w:highlight w:val="none"/>
              </w:rPr>
            </w:r>
            <w:r/>
          </w:p>
        </w:tc>
        <w:tc>
          <w:tcPr>
            <w:tcW w:w="1605" w:type="pct"/>
            <w:vAlign w:val="center"/>
            <w:vMerge w:val="restart"/>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要求说明</w:t>
            </w:r>
            <w:r>
              <w:rPr>
                <w:highlight w:val="none"/>
              </w:rPr>
            </w:r>
            <w:r/>
          </w:p>
        </w:tc>
      </w:tr>
      <w:tr>
        <w:trPr>
          <w:trHeight w:val="369"/>
        </w:trPr>
        <w:tc>
          <w:tcPr>
            <w:tcW w:w="34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1</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人员工资</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人数</w:t>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元/月·人</w:t>
            </w:r>
            <w:r>
              <w:rPr>
                <w:highlight w:val="none"/>
              </w:rPr>
            </w:r>
            <w:r/>
          </w:p>
        </w:tc>
        <w:tc>
          <w:tcPr>
            <w:tcW w:w="626"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月</w:t>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元</w:t>
            </w:r>
            <w:r>
              <w:rPr>
                <w:highlight w:val="none"/>
              </w:rPr>
            </w:r>
            <w:r/>
          </w:p>
        </w:tc>
        <w:tc>
          <w:tcPr>
            <w:tcW w:w="1605" w:type="pct"/>
            <w:vAlign w:val="center"/>
            <w:vMerge w:val="continue"/>
            <w:textDirection w:val="lrTb"/>
            <w:noWrap w:val="false"/>
          </w:tcPr>
          <w:p>
            <w:pPr>
              <w:jc w:val="left"/>
              <w:widowControl/>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tc>
      </w:tr>
      <w:tr>
        <w:trPr>
          <w:trHeight w:val="369"/>
        </w:trPr>
        <w:tc>
          <w:tcPr>
            <w:tcW w:w="34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1.1</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岗位1（如：保洁员1）</w:t>
            </w:r>
            <w:r>
              <w:rPr>
                <w:highlight w:val="none"/>
              </w:rPr>
            </w:r>
            <w:r/>
          </w:p>
        </w:tc>
        <w:tc>
          <w:tcPr>
            <w:tcW w:w="403" w:type="pct"/>
            <w:vAlign w:val="center"/>
            <w:textDirection w:val="lrTb"/>
            <w:noWrap w:val="false"/>
          </w:tcPr>
          <w:p>
            <w:pPr>
              <w:jc w:val="center"/>
              <w:rPr>
                <w:rFonts w:hint="eastAsia" w:ascii="方正魏碑_GBK" w:hAnsi="方正魏碑_GBK" w:eastAsia="方正魏碑_GBK" w:cs="方正魏碑_GBK"/>
                <w:bCs/>
                <w:color w:val="auto"/>
                <w:sz w:val="18"/>
                <w:szCs w:val="18"/>
                <w:highlight w:val="none"/>
              </w:rPr>
            </w:pPr>
            <w:r>
              <w:rPr>
                <w:rFonts w:hint="eastAsia" w:ascii="方正魏碑_GBK" w:hAnsi="方正魏碑_GBK" w:eastAsia="方正魏碑_GBK" w:cs="方正魏碑_GBK"/>
                <w:bCs/>
                <w:color w:val="auto"/>
                <w:sz w:val="18"/>
                <w:szCs w:val="18"/>
                <w:highlight w:val="none"/>
              </w:rPr>
            </w:r>
            <w:r>
              <w:rPr>
                <w:highlight w:val="none"/>
              </w:rPr>
            </w:r>
            <w:r/>
          </w:p>
        </w:tc>
        <w:tc>
          <w:tcPr>
            <w:tcW w:w="538"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r>
            <w:r>
              <w:rPr>
                <w:highlight w:val="none"/>
              </w:rPr>
            </w:r>
            <w:r/>
          </w:p>
        </w:tc>
        <w:tc>
          <w:tcPr>
            <w:tcW w:w="626" w:type="pct"/>
            <w:vAlign w:val="top"/>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r>
            <w:r>
              <w:rPr>
                <w:highlight w:val="none"/>
              </w:rPr>
            </w:r>
            <w:r/>
          </w:p>
        </w:tc>
        <w:tc>
          <w:tcPr>
            <w:tcW w:w="633"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r>
            <w:r>
              <w:rPr>
                <w:highlight w:val="none"/>
              </w:rPr>
            </w:r>
            <w:r/>
          </w:p>
        </w:tc>
        <w:tc>
          <w:tcPr>
            <w:tcW w:w="1605" w:type="pct"/>
            <w:vAlign w:val="center"/>
            <w:textDirection w:val="lrTb"/>
            <w:noWrap w:val="false"/>
          </w:tcPr>
          <w:p>
            <w:pPr>
              <w:jc w:val="left"/>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r>
      <w:tr>
        <w:trPr>
          <w:trHeight w:val="369"/>
        </w:trPr>
        <w:tc>
          <w:tcPr>
            <w:tcW w:w="34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1.2</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岗位2（如：保洁员2）</w:t>
            </w:r>
            <w:r>
              <w:rPr>
                <w:highlight w:val="none"/>
              </w:rPr>
            </w:r>
            <w:r/>
          </w:p>
        </w:tc>
        <w:tc>
          <w:tcPr>
            <w:tcW w:w="403" w:type="pct"/>
            <w:vAlign w:val="center"/>
            <w:textDirection w:val="lrTb"/>
            <w:noWrap w:val="false"/>
          </w:tcPr>
          <w:p>
            <w:pPr>
              <w:jc w:val="center"/>
              <w:rPr>
                <w:rFonts w:hint="eastAsia" w:ascii="方正魏碑_GBK" w:hAnsi="方正魏碑_GBK" w:eastAsia="方正魏碑_GBK" w:cs="方正魏碑_GBK"/>
                <w:bCs/>
                <w:color w:val="auto"/>
                <w:sz w:val="18"/>
                <w:szCs w:val="18"/>
                <w:highlight w:val="none"/>
              </w:rPr>
            </w:pPr>
            <w:r>
              <w:rPr>
                <w:rFonts w:hint="eastAsia" w:ascii="方正魏碑_GBK" w:hAnsi="方正魏碑_GBK" w:eastAsia="方正魏碑_GBK" w:cs="方正魏碑_GBK"/>
                <w:bCs/>
                <w:color w:val="auto"/>
                <w:sz w:val="18"/>
                <w:szCs w:val="18"/>
                <w:highlight w:val="none"/>
              </w:rPr>
            </w:r>
            <w:r>
              <w:rPr>
                <w:highlight w:val="none"/>
              </w:rPr>
            </w:r>
            <w:r/>
          </w:p>
        </w:tc>
        <w:tc>
          <w:tcPr>
            <w:tcW w:w="538"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r>
            <w:r>
              <w:rPr>
                <w:highlight w:val="none"/>
              </w:rPr>
            </w:r>
            <w:r/>
          </w:p>
        </w:tc>
        <w:tc>
          <w:tcPr>
            <w:tcW w:w="626" w:type="pct"/>
            <w:vAlign w:val="top"/>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r>
            <w:r>
              <w:rPr>
                <w:highlight w:val="none"/>
              </w:rPr>
            </w:r>
            <w:r/>
          </w:p>
        </w:tc>
        <w:tc>
          <w:tcPr>
            <w:tcW w:w="633"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r>
            <w:r>
              <w:rPr>
                <w:highlight w:val="none"/>
              </w:rPr>
            </w:r>
            <w:r/>
          </w:p>
        </w:tc>
        <w:tc>
          <w:tcPr>
            <w:tcW w:w="1605" w:type="pct"/>
            <w:vAlign w:val="center"/>
            <w:textDirection w:val="lrTb"/>
            <w:noWrap w:val="false"/>
          </w:tcPr>
          <w:p>
            <w:pPr>
              <w:jc w:val="left"/>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r>
      <w:tr>
        <w:trPr>
          <w:trHeight w:val="369"/>
        </w:trPr>
        <w:tc>
          <w:tcPr>
            <w:tcW w:w="34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1.3</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w:t>
            </w:r>
            <w:r>
              <w:rPr>
                <w:highlight w:val="none"/>
              </w:rPr>
            </w:r>
            <w:r/>
          </w:p>
        </w:tc>
        <w:tc>
          <w:tcPr>
            <w:tcW w:w="403" w:type="pct"/>
            <w:vAlign w:val="center"/>
            <w:textDirection w:val="lrTb"/>
            <w:noWrap w:val="false"/>
          </w:tcPr>
          <w:p>
            <w:pPr>
              <w:jc w:val="center"/>
              <w:rPr>
                <w:rFonts w:hint="eastAsia" w:ascii="方正魏碑_GBK" w:hAnsi="方正魏碑_GBK" w:eastAsia="方正魏碑_GBK" w:cs="方正魏碑_GBK"/>
                <w:bCs/>
                <w:color w:val="auto"/>
                <w:sz w:val="18"/>
                <w:szCs w:val="18"/>
                <w:highlight w:val="none"/>
              </w:rPr>
            </w:pPr>
            <w:r>
              <w:rPr>
                <w:rFonts w:hint="eastAsia" w:ascii="方正魏碑_GBK" w:hAnsi="方正魏碑_GBK" w:eastAsia="方正魏碑_GBK" w:cs="方正魏碑_GBK"/>
                <w:bCs/>
                <w:color w:val="auto"/>
                <w:sz w:val="18"/>
                <w:szCs w:val="18"/>
                <w:highlight w:val="none"/>
              </w:rPr>
            </w:r>
            <w:r>
              <w:rPr>
                <w:highlight w:val="none"/>
              </w:rPr>
            </w:r>
            <w:r/>
          </w:p>
        </w:tc>
        <w:tc>
          <w:tcPr>
            <w:tcW w:w="538"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r>
            <w:r>
              <w:rPr>
                <w:highlight w:val="none"/>
              </w:rPr>
            </w:r>
            <w:r/>
          </w:p>
        </w:tc>
        <w:tc>
          <w:tcPr>
            <w:tcW w:w="626" w:type="pct"/>
            <w:vAlign w:val="top"/>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r>
            <w:r>
              <w:rPr>
                <w:highlight w:val="none"/>
              </w:rPr>
            </w:r>
            <w:r/>
          </w:p>
        </w:tc>
        <w:tc>
          <w:tcPr>
            <w:tcW w:w="633"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r>
            <w:r>
              <w:rPr>
                <w:highlight w:val="none"/>
              </w:rPr>
            </w:r>
            <w:r/>
          </w:p>
        </w:tc>
        <w:tc>
          <w:tcPr>
            <w:tcW w:w="1605" w:type="pct"/>
            <w:vAlign w:val="center"/>
            <w:textDirection w:val="lrTb"/>
            <w:noWrap w:val="false"/>
          </w:tcPr>
          <w:p>
            <w:pPr>
              <w:jc w:val="left"/>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r>
      <w:tr>
        <w:trPr>
          <w:trHeight w:val="369"/>
        </w:trPr>
        <w:tc>
          <w:tcPr>
            <w:gridSpan w:val="7"/>
            <w:tcW w:w="5000" w:type="pct"/>
            <w:vAlign w:val="center"/>
            <w:textDirection w:val="lrTb"/>
            <w:noWrap w:val="false"/>
          </w:tcPr>
          <w:p>
            <w:pPr>
              <w:jc w:val="left"/>
              <w:rPr>
                <w:rFonts w:hint="eastAsia" w:ascii="方正魏碑_GBK" w:hAnsi="方正魏碑_GBK" w:eastAsia="方正魏碑_GBK" w:cs="方正魏碑_GBK"/>
                <w:b/>
                <w:color w:val="auto"/>
                <w:sz w:val="18"/>
                <w:szCs w:val="18"/>
                <w:highlight w:val="none"/>
              </w:rPr>
            </w:pPr>
            <w:r>
              <w:rPr>
                <w:rFonts w:hint="eastAsia" w:ascii="方正魏碑_GBK" w:hAnsi="方正魏碑_GBK" w:eastAsia="方正魏碑_GBK" w:cs="方正魏碑_GBK"/>
                <w:b/>
                <w:color w:val="auto"/>
                <w:sz w:val="18"/>
                <w:szCs w:val="18"/>
                <w:highlight w:val="none"/>
              </w:rPr>
              <w:t xml:space="preserve">分项总价1 合计：</w:t>
            </w:r>
            <w:r>
              <w:rPr>
                <w:rFonts w:hint="eastAsia" w:ascii="方正魏碑_GBK" w:hAnsi="方正魏碑_GBK" w:eastAsia="方正魏碑_GBK" w:cs="方正魏碑_GBK"/>
                <w:b/>
                <w:color w:val="auto"/>
                <w:sz w:val="18"/>
                <w:szCs w:val="18"/>
                <w:highlight w:val="none"/>
                <w:u w:val="single"/>
              </w:rPr>
              <w:t xml:space="preserve">         </w:t>
            </w:r>
            <w:r>
              <w:rPr>
                <w:rFonts w:hint="eastAsia" w:ascii="方正魏碑_GBK" w:hAnsi="方正魏碑_GBK" w:eastAsia="方正魏碑_GBK" w:cs="方正魏碑_GBK"/>
                <w:b/>
                <w:color w:val="auto"/>
                <w:sz w:val="18"/>
                <w:szCs w:val="18"/>
                <w:highlight w:val="none"/>
              </w:rPr>
              <w:t xml:space="preserve">人民币（元）</w:t>
            </w:r>
            <w:r>
              <w:rPr>
                <w:highlight w:val="none"/>
              </w:rPr>
            </w:r>
            <w:r/>
          </w:p>
        </w:tc>
      </w:tr>
      <w:tr>
        <w:trPr>
          <w:trHeight w:val="369"/>
        </w:trPr>
        <w:tc>
          <w:tcPr>
            <w:tcW w:w="34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序号</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分项名称</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数量</w:t>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分项</w:t>
            </w:r>
            <w:r>
              <w:rPr>
                <w:highlight w:val="none"/>
              </w:rPr>
            </w:r>
            <w:r/>
          </w:p>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单价</w:t>
            </w:r>
            <w:r>
              <w:rPr>
                <w:highlight w:val="none"/>
              </w:rPr>
            </w:r>
            <w:r/>
          </w:p>
        </w:tc>
        <w:tc>
          <w:tcPr>
            <w:tcW w:w="626"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 期 限</w:t>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分项</w:t>
            </w:r>
            <w:r>
              <w:rPr>
                <w:highlight w:val="none"/>
              </w:rPr>
            </w:r>
            <w:r/>
          </w:p>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总价2</w:t>
            </w:r>
            <w:r>
              <w:rPr>
                <w:highlight w:val="none"/>
              </w:rPr>
            </w:r>
            <w:r/>
          </w:p>
        </w:tc>
        <w:tc>
          <w:tcPr>
            <w:tcW w:w="1605" w:type="pct"/>
            <w:vAlign w:val="center"/>
            <w:vMerge w:val="restart"/>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要求说明</w:t>
            </w:r>
            <w:r>
              <w:rPr>
                <w:highlight w:val="none"/>
              </w:rPr>
            </w:r>
            <w:r/>
          </w:p>
        </w:tc>
      </w:tr>
      <w:tr>
        <w:trPr>
          <w:trHeight w:val="628"/>
        </w:trPr>
        <w:tc>
          <w:tcPr>
            <w:tcW w:w="34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2</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社会保险费用</w:t>
            </w:r>
            <w:r>
              <w:rPr>
                <w:highlight w:val="none"/>
              </w:rPr>
            </w:r>
            <w:r/>
          </w:p>
        </w:tc>
        <w:tc>
          <w:tcPr>
            <w:tcW w:w="403"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人数</w:t>
            </w:r>
            <w:r>
              <w:rPr>
                <w:highlight w:val="none"/>
              </w:rPr>
            </w:r>
            <w:r/>
          </w:p>
        </w:tc>
        <w:tc>
          <w:tcPr>
            <w:tcW w:w="538"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元/月·人</w:t>
            </w:r>
            <w:r>
              <w:rPr>
                <w:highlight w:val="none"/>
              </w:rPr>
            </w:r>
            <w:r/>
          </w:p>
        </w:tc>
        <w:tc>
          <w:tcPr>
            <w:tcW w:w="626"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月</w:t>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元</w:t>
            </w:r>
            <w:r>
              <w:rPr>
                <w:highlight w:val="none"/>
              </w:rPr>
            </w:r>
            <w:r/>
          </w:p>
        </w:tc>
        <w:tc>
          <w:tcPr>
            <w:tcW w:w="1605" w:type="pct"/>
            <w:vAlign w:val="center"/>
            <w:vMerge w:val="continue"/>
            <w:textDirection w:val="lrTb"/>
            <w:noWrap w:val="false"/>
          </w:tcPr>
          <w:p>
            <w:pPr>
              <w:jc w:val="left"/>
              <w:rPr>
                <w:rFonts w:hint="eastAsia" w:ascii="方正魏碑_GBK" w:hAnsi="方正魏碑_GBK" w:eastAsia="方正魏碑_GBK" w:cs="方正魏碑_GBK"/>
                <w:i/>
                <w:color w:val="auto"/>
                <w:sz w:val="18"/>
                <w:szCs w:val="18"/>
                <w:highlight w:val="none"/>
                <w:u w:val="single"/>
              </w:rPr>
            </w:pPr>
            <w:r>
              <w:rPr>
                <w:rFonts w:hint="eastAsia" w:ascii="方正魏碑_GBK" w:hAnsi="方正魏碑_GBK" w:eastAsia="方正魏碑_GBK" w:cs="方正魏碑_GBK"/>
                <w:i/>
                <w:color w:val="auto"/>
                <w:sz w:val="18"/>
                <w:szCs w:val="18"/>
                <w:highlight w:val="none"/>
                <w:u w:val="single"/>
              </w:rPr>
            </w:r>
            <w:r/>
          </w:p>
        </w:tc>
      </w:tr>
      <w:tr>
        <w:trPr>
          <w:trHeight w:val="563"/>
        </w:trPr>
        <w:tc>
          <w:tcPr>
            <w:tcW w:w="34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2.1</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岗位1（如：保洁员1）</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26"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1605" w:type="pct"/>
            <w:vAlign w:val="center"/>
            <w:vMerge w:val="restart"/>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该人员正常缴纳社会保险/</w:t>
            </w:r>
            <w:r>
              <w:rPr>
                <w:highlight w:val="none"/>
              </w:rPr>
            </w:r>
            <w:r/>
          </w:p>
          <w:p>
            <w:pPr>
              <w:jc w:val="left"/>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i w:val="0"/>
                <w:iCs/>
                <w:color w:val="auto"/>
                <w:sz w:val="18"/>
                <w:szCs w:val="18"/>
                <w:highlight w:val="none"/>
                <w:u w:val="none"/>
              </w:rPr>
              <w:t xml:space="preserve">如该人员依法享受社会保险费用缴纳减免政策，请在此框内进行说明</w:t>
            </w:r>
            <w:r>
              <w:rPr>
                <w:highlight w:val="none"/>
              </w:rPr>
            </w:r>
            <w:r/>
          </w:p>
        </w:tc>
      </w:tr>
      <w:tr>
        <w:trPr>
          <w:trHeight w:val="261"/>
        </w:trPr>
        <w:tc>
          <w:tcPr>
            <w:tcW w:w="34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2.2</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岗位2（如：保洁员2）</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26"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1605" w:type="pct"/>
            <w:vAlign w:val="center"/>
            <w:vMerge w:val="continue"/>
            <w:textDirection w:val="lrTb"/>
            <w:noWrap w:val="false"/>
          </w:tcPr>
          <w:p>
            <w:pPr>
              <w:jc w:val="left"/>
              <w:widowControl/>
              <w:rPr>
                <w:rFonts w:hint="eastAsia" w:ascii="方正魏碑_GBK" w:hAnsi="方正魏碑_GBK" w:eastAsia="方正魏碑_GBK" w:cs="方正魏碑_GBK"/>
                <w:i/>
                <w:color w:val="auto"/>
                <w:sz w:val="18"/>
                <w:szCs w:val="18"/>
                <w:highlight w:val="none"/>
                <w:u w:val="single"/>
              </w:rPr>
            </w:pPr>
            <w:r>
              <w:rPr>
                <w:rFonts w:hint="eastAsia" w:ascii="方正魏碑_GBK" w:hAnsi="方正魏碑_GBK" w:eastAsia="方正魏碑_GBK" w:cs="方正魏碑_GBK"/>
                <w:i/>
                <w:color w:val="auto"/>
                <w:sz w:val="18"/>
                <w:szCs w:val="18"/>
                <w:highlight w:val="none"/>
                <w:u w:val="single"/>
              </w:rPr>
            </w:r>
            <w:r/>
          </w:p>
        </w:tc>
      </w:tr>
      <w:tr>
        <w:trPr>
          <w:trHeight w:val="261"/>
        </w:trPr>
        <w:tc>
          <w:tcPr>
            <w:tcW w:w="34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26"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1605" w:type="pct"/>
            <w:vAlign w:val="center"/>
            <w:textDirection w:val="lrTb"/>
            <w:noWrap w:val="false"/>
          </w:tcPr>
          <w:p>
            <w:pPr>
              <w:jc w:val="left"/>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r>
      <w:tr>
        <w:trPr>
          <w:trHeight w:val="261"/>
        </w:trPr>
        <w:tc>
          <w:tcPr>
            <w:gridSpan w:val="7"/>
            <w:tcW w:w="5000" w:type="pct"/>
            <w:vAlign w:val="center"/>
            <w:textDirection w:val="lrTb"/>
            <w:noWrap w:val="false"/>
          </w:tcPr>
          <w:p>
            <w:pPr>
              <w:jc w:val="left"/>
              <w:rPr>
                <w:rFonts w:hint="eastAsia" w:ascii="方正魏碑_GBK" w:hAnsi="方正魏碑_GBK" w:eastAsia="方正魏碑_GBK" w:cs="方正魏碑_GBK"/>
                <w:b/>
                <w:color w:val="auto"/>
                <w:sz w:val="18"/>
                <w:szCs w:val="18"/>
                <w:highlight w:val="none"/>
              </w:rPr>
            </w:pPr>
            <w:r>
              <w:rPr>
                <w:rFonts w:hint="eastAsia" w:ascii="方正魏碑_GBK" w:hAnsi="方正魏碑_GBK" w:eastAsia="方正魏碑_GBK" w:cs="方正魏碑_GBK"/>
                <w:b/>
                <w:color w:val="auto"/>
                <w:sz w:val="18"/>
                <w:szCs w:val="18"/>
                <w:highlight w:val="none"/>
              </w:rPr>
              <w:t xml:space="preserve">分项总价2 合计：</w:t>
            </w:r>
            <w:r>
              <w:rPr>
                <w:rFonts w:hint="eastAsia" w:ascii="方正魏碑_GBK" w:hAnsi="方正魏碑_GBK" w:eastAsia="方正魏碑_GBK" w:cs="方正魏碑_GBK"/>
                <w:b/>
                <w:color w:val="auto"/>
                <w:sz w:val="18"/>
                <w:szCs w:val="18"/>
                <w:highlight w:val="none"/>
                <w:u w:val="single"/>
              </w:rPr>
              <w:t xml:space="preserve">         </w:t>
            </w:r>
            <w:r>
              <w:rPr>
                <w:rFonts w:hint="eastAsia" w:ascii="方正魏碑_GBK" w:hAnsi="方正魏碑_GBK" w:eastAsia="方正魏碑_GBK" w:cs="方正魏碑_GBK"/>
                <w:b/>
                <w:color w:val="auto"/>
                <w:sz w:val="18"/>
                <w:szCs w:val="18"/>
                <w:highlight w:val="none"/>
              </w:rPr>
              <w:t xml:space="preserve">人民币（元）</w:t>
            </w:r>
            <w:r>
              <w:rPr>
                <w:highlight w:val="none"/>
              </w:rPr>
            </w:r>
            <w:r/>
          </w:p>
        </w:tc>
      </w:tr>
      <w:tr>
        <w:trPr>
          <w:trHeight w:val="261"/>
        </w:trPr>
        <w:tc>
          <w:tcPr>
            <w:tcW w:w="34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序号</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分项名称</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数量</w:t>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分项</w:t>
            </w:r>
            <w:r>
              <w:rPr>
                <w:highlight w:val="none"/>
              </w:rPr>
            </w:r>
            <w:r/>
          </w:p>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单价</w:t>
            </w:r>
            <w:r>
              <w:rPr>
                <w:highlight w:val="none"/>
              </w:rPr>
            </w:r>
            <w:r/>
          </w:p>
        </w:tc>
        <w:tc>
          <w:tcPr>
            <w:tcW w:w="626"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期 限</w:t>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分项</w:t>
            </w:r>
            <w:r>
              <w:rPr>
                <w:highlight w:val="none"/>
              </w:rPr>
            </w:r>
            <w:r/>
          </w:p>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总价3</w:t>
            </w:r>
            <w:r>
              <w:rPr>
                <w:highlight w:val="none"/>
              </w:rPr>
            </w:r>
            <w:r/>
          </w:p>
        </w:tc>
        <w:tc>
          <w:tcPr>
            <w:tcW w:w="1605" w:type="pct"/>
            <w:vAlign w:val="center"/>
            <w:vMerge w:val="restart"/>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要求说明</w:t>
            </w:r>
            <w:r>
              <w:rPr>
                <w:highlight w:val="none"/>
              </w:rPr>
            </w:r>
            <w:r/>
          </w:p>
        </w:tc>
      </w:tr>
      <w:tr>
        <w:trPr>
          <w:trHeight w:val="261"/>
        </w:trPr>
        <w:tc>
          <w:tcPr>
            <w:tcW w:w="343" w:type="pct"/>
            <w:vAlign w:val="center"/>
            <w:textDirection w:val="lrTb"/>
            <w:noWrap w:val="false"/>
          </w:tcPr>
          <w:p>
            <w:pPr>
              <w:jc w:val="center"/>
              <w:widowControl/>
              <w:rPr>
                <w:rFonts w:hint="eastAsia" w:ascii="方正魏碑_GBK" w:hAnsi="方正魏碑_GBK" w:eastAsia="方正魏碑_GBK" w:cs="方正魏碑_GBK"/>
                <w:b/>
                <w:color w:val="auto"/>
                <w:sz w:val="18"/>
                <w:szCs w:val="18"/>
                <w:highlight w:val="none"/>
              </w:rPr>
            </w:pPr>
            <w:r>
              <w:rPr>
                <w:rFonts w:hint="eastAsia" w:ascii="方正魏碑_GBK" w:hAnsi="方正魏碑_GBK" w:eastAsia="方正魏碑_GBK" w:cs="方正魏碑_GBK"/>
                <w:b/>
                <w:color w:val="auto"/>
                <w:sz w:val="18"/>
                <w:szCs w:val="18"/>
                <w:highlight w:val="none"/>
              </w:rPr>
              <w:t xml:space="preserve">3</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b/>
                <w:color w:val="auto"/>
                <w:sz w:val="18"/>
                <w:szCs w:val="18"/>
                <w:highlight w:val="none"/>
              </w:rPr>
            </w:pPr>
            <w:r>
              <w:rPr>
                <w:rFonts w:hint="eastAsia" w:ascii="方正魏碑_GBK" w:hAnsi="方正魏碑_GBK" w:eastAsia="方正魏碑_GBK" w:cs="方正魏碑_GBK"/>
                <w:b/>
                <w:color w:val="auto"/>
                <w:sz w:val="18"/>
                <w:szCs w:val="18"/>
                <w:highlight w:val="none"/>
              </w:rPr>
              <w:t xml:space="preserve">住房公积金</w:t>
            </w:r>
            <w:r>
              <w:rPr>
                <w:highlight w:val="none"/>
              </w:rPr>
            </w:r>
            <w:r/>
          </w:p>
        </w:tc>
        <w:tc>
          <w:tcPr>
            <w:tcW w:w="403"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人数</w:t>
            </w:r>
            <w:r>
              <w:rPr>
                <w:highlight w:val="none"/>
              </w:rPr>
            </w:r>
            <w:r/>
          </w:p>
        </w:tc>
        <w:tc>
          <w:tcPr>
            <w:tcW w:w="538" w:type="pct"/>
            <w:vAlign w:val="center"/>
            <w:textDirection w:val="lrTb"/>
            <w:noWrap w:val="false"/>
          </w:tcPr>
          <w:p>
            <w:pPr>
              <w:jc w:val="center"/>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元/月·人</w:t>
            </w:r>
            <w:r>
              <w:rPr>
                <w:highlight w:val="none"/>
              </w:rPr>
            </w:r>
            <w:r/>
          </w:p>
        </w:tc>
        <w:tc>
          <w:tcPr>
            <w:tcW w:w="626"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月</w:t>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b/>
                <w:bCs/>
                <w:color w:val="auto"/>
                <w:sz w:val="18"/>
                <w:szCs w:val="18"/>
                <w:highlight w:val="none"/>
              </w:rPr>
            </w:pPr>
            <w:r>
              <w:rPr>
                <w:rFonts w:hint="eastAsia" w:ascii="方正魏碑_GBK" w:hAnsi="方正魏碑_GBK" w:eastAsia="方正魏碑_GBK" w:cs="方正魏碑_GBK"/>
                <w:b/>
                <w:bCs/>
                <w:color w:val="auto"/>
                <w:sz w:val="18"/>
                <w:szCs w:val="18"/>
                <w:highlight w:val="none"/>
              </w:rPr>
              <w:t xml:space="preserve">元</w:t>
            </w:r>
            <w:r>
              <w:rPr>
                <w:highlight w:val="none"/>
              </w:rPr>
            </w:r>
            <w:r/>
          </w:p>
        </w:tc>
        <w:tc>
          <w:tcPr>
            <w:tcW w:w="1605" w:type="pct"/>
            <w:vAlign w:val="center"/>
            <w:vMerge w:val="continue"/>
            <w:textDirection w:val="lrTb"/>
            <w:noWrap w:val="false"/>
          </w:tcPr>
          <w:p>
            <w:pPr>
              <w:jc w:val="left"/>
              <w:widowControl/>
              <w:rPr>
                <w:rFonts w:hint="eastAsia" w:ascii="方正魏碑_GBK" w:hAnsi="方正魏碑_GBK" w:eastAsia="方正魏碑_GBK" w:cs="方正魏碑_GBK"/>
                <w:i/>
                <w:color w:val="auto"/>
                <w:sz w:val="18"/>
                <w:szCs w:val="18"/>
                <w:highlight w:val="none"/>
                <w:u w:val="single"/>
              </w:rPr>
            </w:pPr>
            <w:r>
              <w:rPr>
                <w:rFonts w:hint="eastAsia" w:ascii="方正魏碑_GBK" w:hAnsi="方正魏碑_GBK" w:eastAsia="方正魏碑_GBK" w:cs="方正魏碑_GBK"/>
                <w:i/>
                <w:color w:val="auto"/>
                <w:sz w:val="18"/>
                <w:szCs w:val="18"/>
                <w:highlight w:val="none"/>
                <w:u w:val="single"/>
              </w:rPr>
            </w:r>
            <w:r/>
          </w:p>
        </w:tc>
      </w:tr>
      <w:tr>
        <w:trPr>
          <w:trHeight w:val="369"/>
        </w:trPr>
        <w:tc>
          <w:tcPr>
            <w:tcW w:w="34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3.1</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岗位1（如：保洁员1）</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26" w:type="pct"/>
            <w:vAlign w:val="top"/>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1605" w:type="pct"/>
            <w:vAlign w:val="center"/>
            <w:vMerge w:val="restart"/>
            <w:textDirection w:val="lrTb"/>
            <w:noWrap w:val="false"/>
          </w:tcPr>
          <w:p>
            <w:pPr>
              <w:jc w:val="center"/>
              <w:widowControl/>
              <w:rPr>
                <w:rFonts w:hint="eastAsia" w:ascii="方正魏碑_GBK" w:hAnsi="方正魏碑_GBK" w:eastAsia="方正魏碑_GBK" w:cs="方正魏碑_GBK"/>
                <w:i/>
                <w:color w:val="auto"/>
                <w:sz w:val="18"/>
                <w:szCs w:val="18"/>
                <w:highlight w:val="none"/>
                <w:u w:val="single"/>
              </w:rPr>
            </w:pPr>
            <w:r>
              <w:rPr>
                <w:rFonts w:hint="eastAsia" w:ascii="方正魏碑_GBK" w:hAnsi="方正魏碑_GBK" w:eastAsia="方正魏碑_GBK" w:cs="方正魏碑_GBK"/>
                <w:color w:val="auto"/>
                <w:sz w:val="18"/>
                <w:szCs w:val="18"/>
                <w:highlight w:val="none"/>
              </w:rPr>
              <w:t xml:space="preserve">该人员正常</w:t>
            </w:r>
            <w:r>
              <w:rPr>
                <w:rFonts w:hint="eastAsia" w:ascii="方正魏碑_GBK" w:hAnsi="方正魏碑_GBK" w:eastAsia="方正魏碑_GBK" w:cs="方正魏碑_GBK"/>
                <w:color w:val="auto"/>
                <w:sz w:val="18"/>
                <w:szCs w:val="18"/>
                <w:highlight w:val="none"/>
                <w:lang w:eastAsia="zh-CN"/>
              </w:rPr>
              <w:t xml:space="preserve">缴存</w:t>
            </w:r>
            <w:r>
              <w:rPr>
                <w:rFonts w:hint="eastAsia" w:ascii="方正魏碑_GBK" w:hAnsi="方正魏碑_GBK" w:eastAsia="方正魏碑_GBK" w:cs="方正魏碑_GBK"/>
                <w:color w:val="auto"/>
                <w:sz w:val="18"/>
                <w:szCs w:val="18"/>
                <w:highlight w:val="none"/>
              </w:rPr>
              <w:t xml:space="preserve">住房公积金/</w:t>
            </w:r>
            <w:r>
              <w:rPr>
                <w:highlight w:val="none"/>
              </w:rPr>
            </w:r>
            <w:r/>
          </w:p>
          <w:p>
            <w:pPr>
              <w:jc w:val="left"/>
              <w:rPr>
                <w:rFonts w:hint="eastAsia" w:ascii="方正魏碑_GBK" w:hAnsi="方正魏碑_GBK" w:eastAsia="方正魏碑_GBK" w:cs="方正魏碑_GBK"/>
                <w:i/>
                <w:color w:val="auto"/>
                <w:sz w:val="18"/>
                <w:szCs w:val="18"/>
                <w:highlight w:val="none"/>
                <w:u w:val="single"/>
              </w:rPr>
            </w:pPr>
            <w:r>
              <w:rPr>
                <w:rFonts w:hint="eastAsia" w:ascii="方正魏碑_GBK" w:hAnsi="方正魏碑_GBK" w:eastAsia="方正魏碑_GBK" w:cs="方正魏碑_GBK"/>
                <w:i w:val="0"/>
                <w:iCs/>
                <w:color w:val="auto"/>
                <w:sz w:val="18"/>
                <w:szCs w:val="18"/>
                <w:highlight w:val="none"/>
                <w:u w:val="none"/>
              </w:rPr>
              <w:t xml:space="preserve">如该人员依法享受住房公积金</w:t>
            </w:r>
            <w:r>
              <w:rPr>
                <w:rFonts w:hint="eastAsia" w:ascii="方正魏碑_GBK" w:hAnsi="方正魏碑_GBK" w:eastAsia="方正魏碑_GBK" w:cs="方正魏碑_GBK"/>
                <w:i w:val="0"/>
                <w:iCs/>
                <w:color w:val="auto"/>
                <w:sz w:val="18"/>
                <w:szCs w:val="18"/>
                <w:highlight w:val="none"/>
                <w:u w:val="none"/>
                <w:lang w:eastAsia="zh-CN"/>
              </w:rPr>
              <w:t xml:space="preserve">缴存</w:t>
            </w:r>
            <w:r>
              <w:rPr>
                <w:rFonts w:hint="eastAsia" w:ascii="方正魏碑_GBK" w:hAnsi="方正魏碑_GBK" w:eastAsia="方正魏碑_GBK" w:cs="方正魏碑_GBK"/>
                <w:i w:val="0"/>
                <w:iCs/>
                <w:color w:val="auto"/>
                <w:sz w:val="18"/>
                <w:szCs w:val="18"/>
                <w:highlight w:val="none"/>
                <w:u w:val="none"/>
              </w:rPr>
              <w:t xml:space="preserve">减免政策，请在此框内进行说明</w:t>
            </w:r>
            <w:r>
              <w:rPr>
                <w:highlight w:val="none"/>
              </w:rPr>
            </w:r>
            <w:r/>
          </w:p>
        </w:tc>
      </w:tr>
      <w:tr>
        <w:trPr>
          <w:trHeight w:val="369"/>
        </w:trPr>
        <w:tc>
          <w:tcPr>
            <w:tcW w:w="34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3.2</w:t>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岗位2（如：保洁员2）</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26" w:type="pct"/>
            <w:vAlign w:val="top"/>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1605" w:type="pct"/>
            <w:vAlign w:val="center"/>
            <w:vMerge w:val="continue"/>
            <w:textDirection w:val="lrTb"/>
            <w:noWrap w:val="false"/>
          </w:tcPr>
          <w:p>
            <w:pPr>
              <w:jc w:val="left"/>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p>
        </w:tc>
      </w:tr>
      <w:tr>
        <w:trPr>
          <w:trHeight w:val="369"/>
        </w:trPr>
        <w:tc>
          <w:tcPr>
            <w:tcW w:w="34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84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t xml:space="preserve">……</w:t>
            </w:r>
            <w:r>
              <w:rPr>
                <w:highlight w:val="none"/>
              </w:rPr>
            </w:r>
            <w:r/>
          </w:p>
        </w:tc>
        <w:tc>
          <w:tcPr>
            <w:tcW w:w="40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538"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26" w:type="pct"/>
            <w:vAlign w:val="top"/>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633" w:type="pct"/>
            <w:vAlign w:val="center"/>
            <w:textDirection w:val="lrTb"/>
            <w:noWrap w:val="false"/>
          </w:tcPr>
          <w:p>
            <w:pPr>
              <w:jc w:val="center"/>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c>
          <w:tcPr>
            <w:tcW w:w="1605" w:type="pct"/>
            <w:vAlign w:val="center"/>
            <w:textDirection w:val="lrTb"/>
            <w:noWrap w:val="false"/>
          </w:tcPr>
          <w:p>
            <w:pPr>
              <w:jc w:val="left"/>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color w:val="auto"/>
                <w:sz w:val="18"/>
                <w:szCs w:val="18"/>
                <w:highlight w:val="none"/>
              </w:rPr>
            </w:r>
            <w:r>
              <w:rPr>
                <w:highlight w:val="none"/>
              </w:rPr>
            </w:r>
            <w:r/>
          </w:p>
        </w:tc>
      </w:tr>
      <w:tr>
        <w:trPr>
          <w:trHeight w:val="369"/>
        </w:trPr>
        <w:tc>
          <w:tcPr>
            <w:gridSpan w:val="7"/>
            <w:tcW w:w="5000" w:type="pct"/>
            <w:vAlign w:val="center"/>
            <w:textDirection w:val="lrTb"/>
            <w:noWrap w:val="false"/>
          </w:tcPr>
          <w:p>
            <w:pPr>
              <w:jc w:val="left"/>
              <w:widowControl/>
              <w:rPr>
                <w:rFonts w:hint="eastAsia" w:ascii="方正魏碑_GBK" w:hAnsi="方正魏碑_GBK" w:eastAsia="方正魏碑_GBK" w:cs="方正魏碑_GBK"/>
                <w:color w:val="auto"/>
                <w:sz w:val="18"/>
                <w:szCs w:val="18"/>
                <w:highlight w:val="none"/>
              </w:rPr>
            </w:pPr>
            <w:r>
              <w:rPr>
                <w:rFonts w:hint="eastAsia" w:ascii="方正魏碑_GBK" w:hAnsi="方正魏碑_GBK" w:eastAsia="方正魏碑_GBK" w:cs="方正魏碑_GBK"/>
                <w:b/>
                <w:color w:val="auto"/>
                <w:sz w:val="18"/>
                <w:szCs w:val="18"/>
                <w:highlight w:val="none"/>
              </w:rPr>
              <w:t xml:space="preserve">分项总价3 合计：</w:t>
            </w:r>
            <w:r>
              <w:rPr>
                <w:rFonts w:hint="eastAsia" w:ascii="方正魏碑_GBK" w:hAnsi="方正魏碑_GBK" w:eastAsia="方正魏碑_GBK" w:cs="方正魏碑_GBK"/>
                <w:b/>
                <w:color w:val="auto"/>
                <w:sz w:val="18"/>
                <w:szCs w:val="18"/>
                <w:highlight w:val="none"/>
                <w:u w:val="single"/>
              </w:rPr>
              <w:t xml:space="preserve">         </w:t>
            </w:r>
            <w:r>
              <w:rPr>
                <w:rFonts w:hint="eastAsia" w:ascii="方正魏碑_GBK" w:hAnsi="方正魏碑_GBK" w:eastAsia="方正魏碑_GBK" w:cs="方正魏碑_GBK"/>
                <w:b/>
                <w:color w:val="auto"/>
                <w:sz w:val="18"/>
                <w:szCs w:val="18"/>
                <w:highlight w:val="none"/>
              </w:rPr>
              <w:t xml:space="preserve">人民币（元）</w:t>
            </w:r>
            <w:r>
              <w:rPr>
                <w:highlight w:val="none"/>
              </w:rPr>
            </w:r>
            <w:r/>
          </w:p>
        </w:tc>
      </w:tr>
    </w:tbl>
    <w:p>
      <w:pPr>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备注：</w:t>
      </w:r>
      <w:r>
        <w:rPr>
          <w:highlight w:val="none"/>
        </w:rPr>
      </w:r>
      <w:r/>
    </w:p>
    <w:p>
      <w:pPr>
        <w:spacing w:line="400" w:lineRule="exact"/>
        <w:rPr>
          <w:rFonts w:hint="eastAsia" w:ascii="方正魏碑_GBK" w:hAnsi="方正魏碑_GBK" w:eastAsia="方正魏碑_GBK" w:cs="方正魏碑_GBK"/>
          <w:i w:val="0"/>
          <w:iCs/>
          <w:color w:val="auto"/>
          <w:sz w:val="24"/>
          <w:szCs w:val="24"/>
          <w:highlight w:val="none"/>
          <w:u w:val="none"/>
        </w:rPr>
      </w:pPr>
      <w:r>
        <w:rPr>
          <w:rFonts w:hint="eastAsia" w:ascii="方正魏碑_GBK" w:hAnsi="方正魏碑_GBK" w:eastAsia="方正魏碑_GBK" w:cs="方正魏碑_GBK"/>
          <w:i w:val="0"/>
          <w:iCs/>
          <w:color w:val="auto"/>
          <w:sz w:val="24"/>
          <w:szCs w:val="24"/>
          <w:highlight w:val="none"/>
          <w:u w:val="none"/>
        </w:rPr>
        <w:t xml:space="preserve">1.本表仅适用物业管理服务品目政府采购项目，供应商</w:t>
      </w:r>
      <w:r>
        <w:rPr>
          <w:rFonts w:hint="eastAsia" w:ascii="方正魏碑_GBK" w:hAnsi="方正魏碑_GBK" w:eastAsia="方正魏碑_GBK" w:cs="方正魏碑_GBK"/>
          <w:i w:val="0"/>
          <w:iCs/>
          <w:color w:val="auto"/>
          <w:sz w:val="24"/>
          <w:szCs w:val="24"/>
          <w:highlight w:val="none"/>
          <w:u w:val="none"/>
          <w:lang w:eastAsia="zh-CN"/>
        </w:rPr>
        <w:t xml:space="preserve">需</w:t>
      </w:r>
      <w:r>
        <w:rPr>
          <w:rFonts w:hint="eastAsia" w:ascii="方正魏碑_GBK" w:hAnsi="方正魏碑_GBK" w:eastAsia="方正魏碑_GBK" w:cs="方正魏碑_GBK"/>
          <w:i w:val="0"/>
          <w:iCs/>
          <w:color w:val="auto"/>
          <w:sz w:val="24"/>
          <w:szCs w:val="24"/>
          <w:highlight w:val="none"/>
          <w:u w:val="none"/>
        </w:rPr>
        <w:t xml:space="preserve">在投标（响应）文件中填报此表。</w:t>
      </w:r>
      <w:r>
        <w:rPr>
          <w:highlight w:val="none"/>
        </w:rPr>
      </w:r>
      <w:r/>
    </w:p>
    <w:p>
      <w:pPr>
        <w:spacing w:line="400" w:lineRule="exact"/>
        <w:rPr>
          <w:rFonts w:hint="eastAsia" w:ascii="方正魏碑_GBK" w:hAnsi="方正魏碑_GBK" w:eastAsia="方正魏碑_GBK" w:cs="方正魏碑_GBK"/>
          <w:i/>
          <w:iCs w:val="0"/>
          <w:color w:val="auto"/>
          <w:sz w:val="24"/>
          <w:szCs w:val="24"/>
          <w:highlight w:val="none"/>
          <w:u w:val="single"/>
        </w:rPr>
      </w:pPr>
      <w:r>
        <w:rPr>
          <w:rFonts w:hint="eastAsia" w:ascii="方正魏碑_GBK" w:hAnsi="方正魏碑_GBK" w:eastAsia="方正魏碑_GBK" w:cs="方正魏碑_GBK"/>
          <w:i/>
          <w:iCs w:val="0"/>
          <w:color w:val="auto"/>
          <w:sz w:val="24"/>
          <w:szCs w:val="24"/>
          <w:highlight w:val="none"/>
          <w:u w:val="single"/>
        </w:rPr>
        <w:t xml:space="preserve">2.供应商在投标（响应）文件中响应的拟投入本项目的服务人员不得是全日制在校学生。</w:t>
      </w:r>
      <w:r>
        <w:rPr>
          <w:highlight w:val="none"/>
        </w:rPr>
      </w:r>
      <w:r/>
    </w:p>
    <w:p>
      <w:pPr>
        <w:spacing w:line="400" w:lineRule="exact"/>
        <w:rPr>
          <w:rFonts w:hint="eastAsia" w:ascii="方正魏碑_GBK" w:hAnsi="方正魏碑_GBK" w:eastAsia="方正魏碑_GBK" w:cs="方正魏碑_GBK"/>
          <w:b/>
          <w:bCs/>
          <w:color w:val="ff0000"/>
          <w:sz w:val="28"/>
          <w:szCs w:val="28"/>
          <w:highlight w:val="none"/>
        </w:rPr>
      </w:pPr>
      <w:r>
        <w:rPr>
          <w:rFonts w:hint="eastAsia" w:ascii="方正魏碑_GBK" w:hAnsi="方正魏碑_GBK" w:eastAsia="方正魏碑_GBK" w:cs="方正魏碑_GBK"/>
          <w:b/>
          <w:bCs/>
          <w:color w:val="ff0000"/>
          <w:sz w:val="28"/>
          <w:szCs w:val="28"/>
          <w:highlight w:val="none"/>
          <w:lang w:eastAsia="zh-CN"/>
        </w:rPr>
      </w:r>
      <w:r>
        <w:rPr>
          <w:highlight w:val="none"/>
        </w:rPr>
      </w:r>
      <w:r/>
    </w:p>
    <w:p>
      <w:pPr>
        <w:rPr>
          <w:highlight w:val="none"/>
        </w:rPr>
      </w:pPr>
      <w:r>
        <w:rPr>
          <w:highlight w:val="none"/>
        </w:rPr>
      </w:r>
      <w:r>
        <w:rPr>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rPr>
          <w:rFonts w:ascii="宋体" w:hAnsi="宋体"/>
          <w:sz w:val="24"/>
          <w:szCs w:val="24"/>
          <w:highlight w:val="none"/>
        </w:rPr>
      </w:pPr>
      <w:r>
        <w:rPr>
          <w:rFonts w:hint="eastAsia" w:ascii="宋体" w:hAnsi="宋体"/>
          <w:sz w:val="24"/>
          <w:szCs w:val="24"/>
          <w:highlight w:val="none"/>
        </w:rPr>
        <w:t xml:space="preserve">                                           </w:t>
      </w:r>
      <w:r>
        <w:rPr>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rPr>
          <w:highlight w:val="none"/>
        </w:rPr>
      </w:r>
      <w:r/>
    </w:p>
    <w:tbl>
      <w:tblPr>
        <w:tblStyle w:val="9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rPr>
                <w:highlight w:val="none"/>
              </w:rPr>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highlight w:val="none"/>
              </w:rPr>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tc>
        <w:tc>
          <w:tcPr>
            <w:tcW w:w="3063"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highlight w:val="none"/>
              </w:rPr>
            </w:r>
            <w:r/>
          </w:p>
        </w:tc>
        <w:tc>
          <w:tcPr>
            <w:tcW w:w="3191"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tc>
        <w:tc>
          <w:tcPr>
            <w:tcW w:w="2128"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tc>
      </w:tr>
    </w:tbl>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附件3-1  证明材料1，证明材料2，……</w:t>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1.投标人需对招标文件技术要求中非实质性要求（</w:t>
      </w:r>
      <w:r>
        <w:rPr>
          <w:rFonts w:hint="eastAsia" w:asciiTheme="minorEastAsia" w:hAnsiTheme="minorEastAsia" w:eastAsiaTheme="minorEastAsia" w:cstheme="minorEastAsia"/>
          <w:b/>
          <w:color w:val="auto"/>
          <w:sz w:val="24"/>
          <w:szCs w:val="24"/>
          <w:highlight w:val="none"/>
        </w:rPr>
        <w:t xml:space="preserve">未加</w:t>
      </w:r>
      <w:r>
        <w:rPr>
          <w:rFonts w:hint="eastAsia" w:asciiTheme="minorEastAsia" w:hAnsiTheme="minorEastAsia" w:eastAsiaTheme="minorEastAsia" w:cstheme="minorEastAsia"/>
          <w:b/>
          <w:i/>
          <w:color w:val="auto"/>
          <w:sz w:val="24"/>
          <w:szCs w:val="24"/>
          <w:highlight w:val="none"/>
          <w:u w:val="single"/>
        </w:rPr>
        <w:t xml:space="preserve">斜体下划线</w:t>
      </w:r>
      <w:r>
        <w:rPr>
          <w:rFonts w:hint="eastAsia" w:asciiTheme="minorEastAsia" w:hAnsiTheme="minorEastAsia" w:eastAsiaTheme="minorEastAsia" w:cstheme="minorEastAsia"/>
          <w:b/>
          <w:iCs/>
          <w:color w:val="auto"/>
          <w:sz w:val="24"/>
          <w:szCs w:val="24"/>
          <w:highlight w:val="none"/>
        </w:rPr>
        <w:t xml:space="preserve">部分</w:t>
      </w:r>
      <w:r>
        <w:rPr>
          <w:rFonts w:hint="eastAsia" w:asciiTheme="minorEastAsia" w:hAnsiTheme="minorEastAsia" w:eastAsiaTheme="minorEastAsia" w:cstheme="minorEastAsia"/>
          <w:b/>
          <w:color w:val="auto"/>
          <w:sz w:val="24"/>
          <w:szCs w:val="24"/>
          <w:highlight w:val="none"/>
        </w:rPr>
        <w:t xml:space="preserve">或未加*号条款</w:t>
      </w:r>
      <w:r>
        <w:rPr>
          <w:rFonts w:hint="eastAsia" w:asciiTheme="minorEastAsia" w:hAnsiTheme="minorEastAsia" w:eastAsiaTheme="minorEastAsia" w:cstheme="minorEastAsia"/>
          <w:color w:val="auto"/>
          <w:sz w:val="24"/>
          <w:szCs w:val="24"/>
          <w:highlight w:val="none"/>
        </w:rPr>
        <w:t xml:space="preserve">）逐条做出明确响应。</w:t>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2.如果招标文件要求提供证明材料，投标人需将证明材料列于该表之下。</w:t>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p>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附件4 商务要求响应及偏离表（采购包号：**）</w:t>
      </w:r>
      <w:r>
        <w:rPr>
          <w:highlight w:val="none"/>
        </w:rPr>
      </w:r>
      <w:r/>
    </w:p>
    <w:tbl>
      <w:tblPr>
        <w:tblStyle w:val="9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rPr>
                <w:highlight w:val="none"/>
              </w:rPr>
            </w:r>
            <w:r/>
          </w:p>
        </w:tc>
        <w:tc>
          <w:tcPr>
            <w:tcW w:w="3063"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商务要求 </w:t>
            </w:r>
            <w:r>
              <w:rPr>
                <w:highlight w:val="none"/>
              </w:rPr>
            </w:r>
            <w:r/>
          </w:p>
        </w:tc>
        <w:tc>
          <w:tcPr>
            <w:tcW w:w="3191"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投标响应情况</w:t>
            </w:r>
            <w:r>
              <w:rPr>
                <w:highlight w:val="none"/>
              </w:rPr>
            </w:r>
            <w:r/>
          </w:p>
        </w:tc>
        <w:tc>
          <w:tcPr>
            <w:tcW w:w="2128"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highlight w:val="none"/>
              </w:rPr>
            </w:r>
            <w:r/>
          </w:p>
        </w:tc>
        <w:tc>
          <w:tcPr>
            <w:tcW w:w="3063"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tc>
        <w:tc>
          <w:tcPr>
            <w:tcW w:w="3191"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tc>
        <w:tc>
          <w:tcPr>
            <w:tcW w:w="2128"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tc>
        <w:tc>
          <w:tcPr>
            <w:tcW w:w="3063"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highlight w:val="none"/>
              </w:rPr>
            </w:r>
            <w:r/>
          </w:p>
        </w:tc>
        <w:tc>
          <w:tcPr>
            <w:tcW w:w="3191"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tc>
        <w:tc>
          <w:tcPr>
            <w:tcW w:w="2128" w:type="dxa"/>
            <w:vAlign w:val="top"/>
            <w:textDirection w:val="lrTb"/>
            <w:noWrap w:val="false"/>
          </w:tcPr>
          <w:p>
            <w:pPr>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tc>
      </w:tr>
    </w:tbl>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附件4-1  证明材料1，证明材料2，……</w:t>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1.投标人需对招标文件商务要求中非实质性要求（</w:t>
      </w:r>
      <w:r>
        <w:rPr>
          <w:rFonts w:hint="eastAsia" w:asciiTheme="minorEastAsia" w:hAnsiTheme="minorEastAsia" w:eastAsiaTheme="minorEastAsia" w:cstheme="minorEastAsia"/>
          <w:b/>
          <w:color w:val="auto"/>
          <w:sz w:val="24"/>
          <w:szCs w:val="24"/>
          <w:highlight w:val="none"/>
        </w:rPr>
        <w:t xml:space="preserve">未加</w:t>
      </w:r>
      <w:r>
        <w:rPr>
          <w:rFonts w:hint="eastAsia" w:asciiTheme="minorEastAsia" w:hAnsiTheme="minorEastAsia" w:eastAsiaTheme="minorEastAsia" w:cstheme="minorEastAsia"/>
          <w:b/>
          <w:i/>
          <w:color w:val="auto"/>
          <w:sz w:val="24"/>
          <w:szCs w:val="24"/>
          <w:highlight w:val="none"/>
          <w:u w:val="single"/>
        </w:rPr>
        <w:t xml:space="preserve">斜体下划线</w:t>
      </w:r>
      <w:r>
        <w:rPr>
          <w:rFonts w:hint="eastAsia" w:asciiTheme="minorEastAsia" w:hAnsiTheme="minorEastAsia" w:eastAsiaTheme="minorEastAsia" w:cstheme="minorEastAsia"/>
          <w:b/>
          <w:iCs/>
          <w:color w:val="auto"/>
          <w:sz w:val="24"/>
          <w:szCs w:val="24"/>
          <w:highlight w:val="none"/>
        </w:rPr>
        <w:t xml:space="preserve">部分</w:t>
      </w:r>
      <w:r>
        <w:rPr>
          <w:rFonts w:hint="eastAsia" w:asciiTheme="minorEastAsia" w:hAnsiTheme="minorEastAsia" w:eastAsiaTheme="minorEastAsia" w:cstheme="minorEastAsia"/>
          <w:b/>
          <w:color w:val="auto"/>
          <w:sz w:val="24"/>
          <w:szCs w:val="24"/>
          <w:highlight w:val="none"/>
        </w:rPr>
        <w:t xml:space="preserve">或未加*号条款</w:t>
      </w:r>
      <w:r>
        <w:rPr>
          <w:rFonts w:hint="eastAsia" w:asciiTheme="minorEastAsia" w:hAnsiTheme="minorEastAsia" w:eastAsiaTheme="minorEastAsia" w:cstheme="minorEastAsia"/>
          <w:color w:val="auto"/>
          <w:sz w:val="24"/>
          <w:szCs w:val="24"/>
          <w:highlight w:val="none"/>
        </w:rPr>
        <w:t xml:space="preserve">）逐条做出明确响应。</w:t>
      </w:r>
      <w:r>
        <w:rPr>
          <w:highlight w:val="none"/>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2.如果招标文件要求提供证明材料，投标人需将证明材料列于该表之下。</w:t>
      </w:r>
      <w:r>
        <w:rPr>
          <w:highlight w:val="none"/>
        </w:rPr>
      </w:r>
      <w:r/>
    </w:p>
    <w:p>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rPr>
          <w:highlight w:val="none"/>
        </w:rPr>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r/>
    </w:p>
    <w:p>
      <w:pPr>
        <w:ind w:left="480"/>
        <w:rPr>
          <w:rFonts w:hint="eastAsia" w:ascii="宋体" w:hAnsi="宋体"/>
          <w:b/>
          <w:color w:val="000000"/>
          <w:sz w:val="24"/>
          <w:highlight w:val="none"/>
        </w:rPr>
      </w:pPr>
      <w:r>
        <w:rPr>
          <w:rFonts w:hint="eastAsia" w:asciiTheme="minorEastAsia" w:hAnsiTheme="minorEastAsia" w:eastAsiaTheme="minorEastAsia" w:cstheme="minorEastAsia"/>
          <w:b/>
          <w:color w:val="auto"/>
          <w:sz w:val="24"/>
          <w:szCs w:val="24"/>
          <w:highlight w:val="none"/>
        </w:rPr>
        <w:t xml:space="preserve">附件5 具备履行合同所必需的设备和专业技术能力的书</w:t>
      </w:r>
      <w:r>
        <w:rPr>
          <w:rFonts w:hint="eastAsia" w:ascii="宋体" w:hAnsi="宋体"/>
          <w:b/>
          <w:color w:val="000000"/>
          <w:sz w:val="24"/>
          <w:highlight w:val="none"/>
        </w:rPr>
        <w:t xml:space="preserve">面声明</w:t>
      </w:r>
      <w:r>
        <w:rPr>
          <w:highlight w:val="none"/>
        </w:rPr>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highlight w:val="none"/>
        </w:rPr>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highlight w:val="none"/>
        </w:rPr>
      </w:r>
      <w:r/>
    </w:p>
    <w:p>
      <w:pPr>
        <w:ind w:left="480"/>
        <w:rPr>
          <w:rFonts w:ascii="宋体" w:hAnsi="宋体"/>
          <w:b/>
          <w:color w:val="000000"/>
          <w:sz w:val="24"/>
          <w:highlight w:val="none"/>
        </w:rPr>
      </w:pPr>
      <w:r>
        <w:rPr>
          <w:rFonts w:ascii="宋体" w:hAnsi="宋体"/>
          <w:b/>
          <w:color w:val="000000"/>
          <w:sz w:val="24"/>
          <w:highlight w:val="none"/>
        </w:rPr>
      </w:r>
      <w:r>
        <w:rPr>
          <w:highlight w:val="none"/>
        </w:rPr>
      </w:r>
      <w:r/>
    </w:p>
    <w:p>
      <w:pPr>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参加政府采购活动前 3 年内在经营活动中没有重大违法记录的书面声明</w:t>
      </w:r>
      <w:r>
        <w:rPr>
          <w:highlight w:val="none"/>
        </w:rPr>
      </w:r>
      <w:r/>
    </w:p>
    <w:p>
      <w:pPr>
        <w:jc w:val="center"/>
        <w:spacing w:line="460" w:lineRule="exact"/>
        <w:rPr>
          <w:rFonts w:ascii="宋体" w:hAnsi="宋体"/>
          <w:b/>
          <w:bCs/>
          <w:color w:val="000000"/>
          <w:sz w:val="24"/>
          <w:highlight w:val="none"/>
        </w:rPr>
      </w:pPr>
      <w:r>
        <w:rPr>
          <w:rFonts w:ascii="宋体" w:hAnsi="宋体"/>
          <w:b/>
          <w:bCs/>
          <w:color w:val="000000"/>
          <w:sz w:val="24"/>
          <w:highlight w:val="none"/>
        </w:rPr>
      </w:r>
      <w:r>
        <w:rPr>
          <w:highlight w:val="none"/>
        </w:rPr>
      </w:r>
      <w:r/>
    </w:p>
    <w:p>
      <w:pPr>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ind w:left="480"/>
        <w:rPr>
          <w:rFonts w:ascii="宋体" w:hAnsi="宋体"/>
          <w:b/>
          <w:color w:val="ff0000"/>
          <w:sz w:val="24"/>
          <w:highlight w:val="none"/>
        </w:rPr>
      </w:pPr>
      <w:r>
        <w:rPr>
          <w:rFonts w:ascii="宋体" w:hAnsi="宋体"/>
          <w:b/>
          <w:color w:val="ff0000"/>
          <w:sz w:val="24"/>
          <w:highlight w:val="none"/>
        </w:rPr>
      </w:r>
      <w:r>
        <w:rPr>
          <w:highlight w:val="none"/>
        </w:rPr>
      </w:r>
      <w:r/>
    </w:p>
    <w:p>
      <w:pPr>
        <w:ind w:firstLine="480"/>
        <w:spacing w:line="460" w:lineRule="exact"/>
        <w:rPr>
          <w:rFonts w:ascii="宋体" w:hAnsi="宋体"/>
          <w:b/>
          <w:color w:val="000000"/>
          <w:sz w:val="24"/>
          <w:highlight w:val="none"/>
        </w:rPr>
      </w:pPr>
      <w:r>
        <w:rPr>
          <w:rFonts w:ascii="宋体" w:hAnsi="宋体"/>
          <w:b/>
          <w:color w:val="000000"/>
          <w:sz w:val="24"/>
          <w:highlight w:val="none"/>
        </w:rPr>
      </w:r>
      <w:r>
        <w:rPr>
          <w:highlight w:val="none"/>
        </w:rPr>
      </w:r>
      <w:r/>
    </w:p>
    <w:p>
      <w:pPr>
        <w:ind w:firstLine="480"/>
        <w:spacing w:line="460" w:lineRule="exact"/>
        <w:rPr>
          <w:rFonts w:hint="eastAsia" w:ascii="宋体" w:hAnsi="宋体"/>
          <w:bCs/>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法人授权书</w:t>
      </w:r>
      <w:r>
        <w:rPr>
          <w:highlight w:val="none"/>
        </w:rPr>
      </w:r>
      <w:r/>
    </w:p>
    <w:p>
      <w:pPr>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rPr>
          <w:highlight w:val="none"/>
        </w:rPr>
      </w:r>
      <w:r/>
    </w:p>
    <w:p>
      <w:pPr>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highlight w:val="none"/>
        </w:rPr>
      </w:r>
      <w:r/>
    </w:p>
    <w:p>
      <w:pPr>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highlight w:val="none"/>
        </w:rPr>
      </w:r>
      <w:r/>
    </w:p>
    <w:p>
      <w:pPr>
        <w:spacing w:line="400" w:lineRule="exact"/>
        <w:tabs>
          <w:tab w:val="left" w:pos="360" w:leader="none"/>
        </w:tabs>
        <w:rPr>
          <w:rFonts w:hint="eastAsia"/>
          <w:sz w:val="24"/>
          <w:szCs w:val="24"/>
          <w:highlight w:val="none"/>
          <w:u w:val="single"/>
        </w:rPr>
      </w:pPr>
      <w:r>
        <w:rPr>
          <w:rFonts w:hint="eastAsia"/>
          <w:color w:val="000000"/>
          <w:sz w:val="24"/>
          <w:szCs w:val="24"/>
          <w:highlight w:val="none"/>
        </w:rPr>
        <w:t xml:space="preserve">     </w:t>
      </w:r>
      <w:r>
        <w:rPr>
          <w:rFonts w:hint="eastAsia"/>
          <w:sz w:val="24"/>
          <w:szCs w:val="24"/>
          <w:highlight w:val="none"/>
        </w:rPr>
        <w:t xml:space="preserve">     被授权人联系电话：（手机）</w:t>
      </w:r>
      <w:r>
        <w:rPr>
          <w:rFonts w:hint="eastAsia"/>
          <w:sz w:val="24"/>
          <w:szCs w:val="24"/>
          <w:highlight w:val="none"/>
          <w:u w:val="single"/>
        </w:rPr>
        <w:t xml:space="preserve">                          </w:t>
      </w:r>
      <w:r>
        <w:rPr>
          <w:highlight w:val="none"/>
        </w:rPr>
      </w:r>
      <w:r/>
    </w:p>
    <w:p>
      <w:pPr>
        <w:ind w:firstLine="1200"/>
        <w:spacing w:line="400" w:lineRule="exact"/>
        <w:tabs>
          <w:tab w:val="left" w:pos="360" w:leader="none"/>
        </w:tabs>
        <w:rPr>
          <w:rFonts w:hint="eastAsia"/>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rPr>
          <w:highlight w:val="none"/>
        </w:rPr>
      </w:r>
      <w:r/>
    </w:p>
    <w:p>
      <w:pPr>
        <w:ind w:firstLine="1200"/>
        <w:spacing w:line="400" w:lineRule="exact"/>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highlight w:val="none"/>
        </w:rPr>
      </w:r>
      <w:r/>
    </w:p>
    <w:p>
      <w:pPr>
        <w:ind w:firstLine="480"/>
        <w:spacing w:line="400" w:lineRule="exact"/>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highlight w:val="none"/>
        </w:rPr>
      </w:r>
      <w:r/>
    </w:p>
    <w:p>
      <w:pPr>
        <w:ind w:firstLine="480"/>
        <w:spacing w:line="400" w:lineRule="exact"/>
        <w:tabs>
          <w:tab w:val="left" w:pos="360" w:leader="none"/>
        </w:tabs>
        <w:rPr>
          <w:rFonts w:hint="eastAsia"/>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r>
        <w:rPr>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highlight w:val="none"/>
        </w:rPr>
        <w:t xml:space="preserve">附件</w:t>
      </w:r>
      <w:r>
        <w:rPr>
          <w:rFonts w:ascii="宋体" w:hAnsi="宋体"/>
          <w:b/>
          <w:color w:val="000000"/>
          <w:sz w:val="24"/>
          <w:highlight w:val="none"/>
        </w:rPr>
        <w:t xml:space="preserve">8</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投标函</w:t>
      </w:r>
      <w:r>
        <w:rPr>
          <w:highlight w:val="none"/>
        </w:rPr>
      </w:r>
      <w:r/>
    </w:p>
    <w:p>
      <w:pPr>
        <w:jc w:val="left"/>
        <w:spacing w:line="420" w:lineRule="exact"/>
        <w:rPr>
          <w:rFonts w:ascii="宋体" w:hAnsi="宋体"/>
          <w:color w:val="000000"/>
          <w:sz w:val="24"/>
          <w:highlight w:val="none"/>
        </w:rPr>
      </w:pPr>
      <w:r>
        <w:rPr>
          <w:rFonts w:hint="eastAsia" w:ascii="宋体" w:hAnsi="宋体"/>
          <w:color w:val="000000"/>
          <w:sz w:val="24"/>
          <w:highlight w:val="none"/>
        </w:rPr>
        <w:t xml:space="preserve">致：江苏省政府采购中心</w:t>
      </w:r>
      <w:r>
        <w:rPr>
          <w:highlight w:val="none"/>
        </w:rPr>
      </w:r>
      <w:r/>
    </w:p>
    <w:p>
      <w:pPr>
        <w:pStyle w:val="1065"/>
        <w:spacing w:before="0" w:after="0" w:line="420" w:lineRule="exact"/>
        <w:rPr>
          <w:rFonts w:hint="eastAsia" w:ascii="宋体" w:hAnsi="宋体"/>
          <w:szCs w:val="21"/>
          <w:highlight w:val="none"/>
        </w:rPr>
      </w:pPr>
      <w:r>
        <w:rPr>
          <w:rFonts w:hint="eastAsia" w:ascii="宋体" w:hAnsi="宋体"/>
          <w:szCs w:val="21"/>
          <w:highlight w:val="none"/>
        </w:rPr>
        <w:t xml:space="preserve">根据贵方的JSZC-</w:t>
      </w:r>
      <w:r>
        <w:rPr>
          <w:rFonts w:ascii="宋体" w:hAnsi="宋体"/>
          <w:szCs w:val="21"/>
          <w:highlight w:val="none"/>
        </w:rPr>
        <w:t xml:space="preserve">320000-***</w:t>
      </w:r>
      <w:r>
        <w:rPr>
          <w:rFonts w:hint="eastAsia" w:ascii="宋体" w:hAnsi="宋体"/>
          <w:szCs w:val="21"/>
          <w:highlight w:val="none"/>
        </w:rPr>
        <w:t xml:space="preserve">号招标文件，正式授权下述签字人______(姓名)代表我方______________（投标人的名称），全权处理本次项目投标的有关事宜。</w:t>
      </w:r>
      <w:r>
        <w:rPr>
          <w:highlight w:val="none"/>
        </w:rPr>
      </w:r>
      <w:r/>
    </w:p>
    <w:p>
      <w:pPr>
        <w:pStyle w:val="1065"/>
        <w:spacing w:before="0" w:after="0"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rPr>
          <w:highlight w:val="none"/>
        </w:rPr>
      </w:r>
      <w:r/>
    </w:p>
    <w:p>
      <w:pPr>
        <w:pStyle w:val="1065"/>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rPr>
          <w:highlight w:val="none"/>
        </w:rPr>
      </w:r>
      <w:r/>
    </w:p>
    <w:p>
      <w:pPr>
        <w:pStyle w:val="1065"/>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highlight w:val="none"/>
        </w:rPr>
      </w:r>
      <w:r/>
    </w:p>
    <w:p>
      <w:pPr>
        <w:pStyle w:val="1065"/>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highlight w:val="none"/>
        </w:rPr>
      </w:r>
      <w:r/>
    </w:p>
    <w:p>
      <w:pPr>
        <w:pStyle w:val="1065"/>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highlight w:val="none"/>
        </w:rPr>
      </w:r>
      <w:r/>
    </w:p>
    <w:p>
      <w:pPr>
        <w:pStyle w:val="1065"/>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highlight w:val="none"/>
        </w:rPr>
      </w:r>
      <w:r/>
    </w:p>
    <w:p>
      <w:pPr>
        <w:pStyle w:val="1065"/>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pStyle w:val="1065"/>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rPr>
          <w:highlight w:val="none"/>
        </w:rPr>
      </w:r>
      <w:r/>
    </w:p>
    <w:p>
      <w:pPr>
        <w:pStyle w:val="1065"/>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highlight w:val="none"/>
        </w:rPr>
      </w:r>
      <w:r/>
    </w:p>
    <w:p>
      <w:pPr>
        <w:pStyle w:val="1065"/>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highlight w:val="none"/>
        </w:rPr>
      </w:r>
      <w:r/>
    </w:p>
    <w:p>
      <w:pPr>
        <w:pStyle w:val="1065"/>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rPr>
          <w:highlight w:val="none"/>
        </w:rPr>
      </w:r>
      <w:r/>
    </w:p>
    <w:p>
      <w:pPr>
        <w:pStyle w:val="1065"/>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rPr>
          <w:highlight w:val="none"/>
        </w:rPr>
      </w:r>
      <w:r/>
    </w:p>
    <w:p>
      <w:pPr>
        <w:pStyle w:val="1065"/>
        <w:ind w:left="42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rPr>
          <w:highlight w:val="none"/>
        </w:rPr>
      </w:r>
      <w:r/>
    </w:p>
    <w:p>
      <w:pPr>
        <w:pStyle w:val="1065"/>
        <w:ind w:left="420"/>
        <w:spacing w:before="0" w:after="0" w:line="420" w:lineRule="exact"/>
        <w:rPr>
          <w:rFonts w:hint="eastAsia" w:ascii="宋体" w:hAnsi="宋体"/>
          <w:szCs w:val="21"/>
          <w:highlight w:val="none"/>
        </w:rPr>
      </w:pPr>
      <w:r>
        <w:rPr>
          <w:rFonts w:hint="eastAsia" w:ascii="宋体" w:hAnsi="宋体"/>
          <w:szCs w:val="21"/>
          <w:highlight w:val="none"/>
        </w:rPr>
        <w:t xml:space="preserve">账          号： </w:t>
      </w:r>
      <w:r>
        <w:rPr>
          <w:highlight w:val="none"/>
        </w:rPr>
      </w:r>
      <w:r/>
    </w:p>
    <w:p>
      <w:pPr>
        <w:pStyle w:val="1065"/>
        <w:ind w:left="420"/>
        <w:spacing w:before="0" w:after="0" w:line="420" w:lineRule="exact"/>
        <w:rPr>
          <w:rFonts w:hint="eastAsia" w:ascii="宋体" w:hAnsi="宋体"/>
          <w:szCs w:val="21"/>
          <w:highlight w:val="none"/>
        </w:rPr>
      </w:pPr>
      <w:r>
        <w:rPr>
          <w:rFonts w:hint="eastAsia" w:ascii="宋体" w:hAnsi="宋体"/>
          <w:szCs w:val="21"/>
          <w:highlight w:val="none"/>
        </w:rPr>
        <w:t xml:space="preserve">日           期：________年____月____日</w:t>
      </w:r>
      <w:r>
        <w:rPr>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ind w:firstLine="480"/>
        <w:spacing w:line="440" w:lineRule="exact"/>
        <w:rPr>
          <w:rFonts w:ascii="宋体" w:hAnsi="宋体"/>
          <w:sz w:val="24"/>
          <w:highlight w:val="none"/>
        </w:rPr>
      </w:pPr>
      <w:r>
        <w:rPr>
          <w:rFonts w:ascii="宋体" w:hAnsi="宋体"/>
          <w:sz w:val="24"/>
          <w:highlight w:val="none"/>
        </w:rPr>
      </w:r>
      <w:r>
        <w:rPr>
          <w:highlight w:val="none"/>
        </w:rPr>
      </w:r>
      <w:r/>
    </w:p>
    <w:p>
      <w:pPr>
        <w:ind w:firstLine="480"/>
        <w:spacing w:line="440" w:lineRule="exact"/>
        <w:rPr>
          <w:rFonts w:ascii="宋体" w:hAnsi="宋体"/>
          <w:sz w:val="24"/>
          <w:highlight w:val="none"/>
        </w:rPr>
      </w:pPr>
      <w:r>
        <w:rPr>
          <w:rFonts w:ascii="宋体" w:hAnsi="宋体"/>
          <w:sz w:val="24"/>
          <w:highlight w:val="none"/>
        </w:rPr>
      </w:r>
      <w:r>
        <w:rPr>
          <w:highlight w:val="none"/>
        </w:rPr>
      </w:r>
      <w:r/>
    </w:p>
    <w:p>
      <w:pPr>
        <w:ind w:firstLine="480"/>
        <w:spacing w:line="440" w:lineRule="exact"/>
        <w:rPr>
          <w:rFonts w:ascii="宋体" w:hAnsi="宋体"/>
          <w:sz w:val="24"/>
          <w:highlight w:val="none"/>
        </w:rPr>
      </w:pPr>
      <w:r>
        <w:rPr>
          <w:rFonts w:ascii="宋体" w:hAnsi="宋体"/>
          <w:sz w:val="24"/>
          <w:highlight w:val="none"/>
        </w:rPr>
      </w:r>
      <w:r>
        <w:rPr>
          <w:highlight w:val="none"/>
        </w:rPr>
      </w:r>
      <w:r/>
    </w:p>
    <w:p>
      <w:pPr>
        <w:ind w:firstLine="480"/>
        <w:spacing w:line="440" w:lineRule="exact"/>
        <w:rPr>
          <w:rFonts w:ascii="宋体" w:hAnsi="宋体"/>
          <w:sz w:val="24"/>
          <w:highlight w:val="none"/>
        </w:rPr>
      </w:pPr>
      <w:r>
        <w:rPr>
          <w:rFonts w:ascii="宋体" w:hAnsi="宋体"/>
          <w:sz w:val="24"/>
          <w:highlight w:val="none"/>
        </w:rPr>
      </w:r>
      <w:r>
        <w:rPr>
          <w:highlight w:val="none"/>
        </w:rPr>
      </w:r>
      <w:r/>
    </w:p>
    <w:p>
      <w:pPr>
        <w:ind w:firstLine="480"/>
        <w:spacing w:line="440" w:lineRule="exact"/>
        <w:rPr>
          <w:rFonts w:ascii="宋体" w:hAnsi="宋体"/>
          <w:sz w:val="24"/>
          <w:highlight w:val="none"/>
        </w:rPr>
      </w:pPr>
      <w:r>
        <w:rPr>
          <w:rFonts w:ascii="宋体" w:hAnsi="宋体"/>
          <w:sz w:val="24"/>
          <w:highlight w:val="none"/>
        </w:rPr>
      </w:r>
      <w:r>
        <w:rPr>
          <w:highlight w:val="none"/>
        </w:rPr>
      </w:r>
      <w:r/>
    </w:p>
    <w:p>
      <w:pPr>
        <w:spacing w:line="460" w:lineRule="exact"/>
        <w:rPr>
          <w:rFonts w:hint="eastAsia" w:ascii="黑体" w:hAnsi="黑体" w:eastAsia="黑体"/>
          <w:b/>
          <w:sz w:val="32"/>
          <w:szCs w:val="32"/>
          <w:highlight w:val="none"/>
        </w:rPr>
      </w:pPr>
      <w:r>
        <w:rPr>
          <w:highlight w:val="none"/>
        </w:rPr>
      </w:r>
      <w:bookmarkStart w:id="205" w:name="_Toc120614284"/>
      <w:r>
        <w:rPr>
          <w:highlight w:val="none"/>
        </w:rPr>
      </w:r>
      <w:r/>
    </w:p>
    <w:p>
      <w:pPr>
        <w:jc w:val="center"/>
        <w:spacing w:line="460" w:lineRule="exact"/>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9</w:t>
      </w:r>
      <w:r>
        <w:rPr>
          <w:rFonts w:hint="eastAsia" w:ascii="宋体" w:hAnsi="宋体"/>
          <w:b/>
          <w:sz w:val="24"/>
          <w:szCs w:val="24"/>
          <w:highlight w:val="none"/>
        </w:rPr>
        <w:t xml:space="preserve"> 中小微企业声明函（服务类项目）（采购包号：**）</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（项目名称）（采购包号：**）</w:t>
      </w:r>
      <w:r>
        <w:rPr>
          <w:rFonts w:hint="eastAsia" w:ascii="宋体" w:hAnsi="宋体"/>
          <w:sz w:val="24"/>
          <w:szCs w:val="24"/>
          <w:highlight w:val="none"/>
        </w:rPr>
        <w:t xml:space="preserve">的采购活动，服务全部由符合政策的中小微企业承接。相关企业（含联合体中的中小微企业、签订采购包意向协议的中小微企业）的具体情况如下：</w:t>
      </w:r>
      <w:r>
        <w:rPr>
          <w:highlight w:val="none"/>
        </w:rPr>
      </w:r>
      <w:r/>
    </w:p>
    <w:p>
      <w:pPr>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highlight w:val="none"/>
        </w:rPr>
      </w:r>
      <w:r/>
    </w:p>
    <w:p>
      <w:pPr>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r/>
    </w:p>
    <w:p>
      <w:pPr>
        <w:ind w:right="72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highlight w:val="none"/>
        </w:rPr>
      </w:r>
      <w:r/>
    </w:p>
    <w:p>
      <w:pPr>
        <w:ind w:right="480" w:firstLine="54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highlight w:val="none"/>
        </w:rPr>
      </w:r>
      <w:r/>
    </w:p>
    <w:p>
      <w:pPr>
        <w:ind w:firstLine="240"/>
        <w:spacing w:line="40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rPr>
          <w:highlight w:val="none"/>
        </w:rPr>
      </w:r>
      <w:r/>
    </w:p>
    <w:p>
      <w:pPr>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3.供应商应对照《工业和信息化部、国家统计局、国家发展和改革委员会、财政部</w:t>
      </w:r>
      <w:r>
        <w:rPr>
          <w:highlight w:val="none"/>
        </w:rPr>
      </w:r>
      <w:r/>
    </w:p>
    <w:p>
      <w:pPr>
        <w:spacing w:line="400" w:lineRule="exact"/>
        <w:rPr>
          <w:rFonts w:hint="eastAsia" w:ascii="宋体" w:hAnsi="宋体"/>
          <w:color w:val="ff0000"/>
          <w:sz w:val="24"/>
          <w:szCs w:val="24"/>
          <w:highlight w:val="none"/>
        </w:rPr>
      </w:pPr>
      <w:r>
        <w:rPr>
          <w:rFonts w:hint="eastAsia" w:ascii="宋体" w:hAnsi="宋体"/>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rPr>
          <w:rFonts w:ascii="黑体" w:hAnsi="黑体" w:eastAsia="黑体"/>
          <w:b/>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 残疾人福利性单位声明函（服务类项目）（采购包号：**）</w:t>
      </w:r>
      <w:r>
        <w:rPr>
          <w:highlight w:val="none"/>
        </w:rPr>
      </w:r>
      <w:r/>
    </w:p>
    <w:p>
      <w:pPr>
        <w:ind w:firstLine="480"/>
        <w:spacing w:line="0" w:lineRule="atLeas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highlight w:val="none"/>
        </w:rPr>
        <w:t xml:space="preserve">的</w:t>
      </w:r>
      <w:r>
        <w:rPr>
          <w:rFonts w:hint="eastAsia" w:ascii="宋体" w:hAnsi="宋体"/>
          <w:sz w:val="24"/>
          <w:highlight w:val="none"/>
          <w:u w:val="single"/>
        </w:rPr>
        <w:t xml:space="preserve">     </w:t>
      </w:r>
      <w:r>
        <w:rPr>
          <w:rFonts w:hint="eastAsia" w:ascii="宋体" w:hAnsi="宋体"/>
          <w:sz w:val="24"/>
          <w:highlight w:val="none"/>
        </w:rPr>
        <w:t xml:space="preserve">项目（采购包号：**）采购活动由本单位提供服务。</w:t>
      </w:r>
      <w:r>
        <w:rPr>
          <w:highlight w:val="none"/>
        </w:rPr>
      </w:r>
      <w:r/>
    </w:p>
    <w:p>
      <w:pPr>
        <w:ind w:firstLine="480"/>
        <w:spacing w:line="0" w:lineRule="atLeas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rPr>
          <w:highlight w:val="none"/>
        </w:rPr>
      </w:r>
      <w:r/>
    </w:p>
    <w:p>
      <w:pPr>
        <w:ind w:firstLine="480"/>
        <w:spacing w:line="0" w:lineRule="atLeast"/>
        <w:rPr>
          <w:rFonts w:hint="eastAsia" w:ascii="宋体" w:hAnsi="宋体"/>
          <w:sz w:val="24"/>
          <w:highlight w:val="none"/>
        </w:rPr>
      </w:pPr>
      <w:r>
        <w:rPr>
          <w:rFonts w:hint="eastAsia" w:ascii="宋体" w:hAnsi="宋体"/>
          <w:sz w:val="24"/>
          <w:highlight w:val="none"/>
        </w:rPr>
      </w:r>
      <w:r>
        <w:rPr>
          <w:highlight w:val="none"/>
        </w:rPr>
      </w:r>
      <w:r/>
    </w:p>
    <w:p>
      <w:pPr>
        <w:ind w:firstLine="480"/>
        <w:spacing w:line="0" w:lineRule="atLeast"/>
        <w:rPr>
          <w:rFonts w:ascii="宋体" w:hAnsi="宋体"/>
          <w:sz w:val="24"/>
          <w:highlight w:val="none"/>
        </w:rPr>
      </w:pPr>
      <w:r>
        <w:rPr>
          <w:rFonts w:hint="eastAsia" w:ascii="宋体" w:hAnsi="宋体"/>
          <w:sz w:val="24"/>
          <w:highlight w:val="none"/>
        </w:rPr>
        <w:t xml:space="preserve">备注：</w:t>
      </w:r>
      <w:r>
        <w:rPr>
          <w:highlight w:val="none"/>
        </w:rPr>
      </w:r>
      <w:r/>
    </w:p>
    <w:p>
      <w:pPr>
        <w:ind w:firstLine="480"/>
        <w:spacing w:line="0" w:lineRule="atLeas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专门面向中小微型企业采购的</w:t>
      </w:r>
      <w:r>
        <w:rPr>
          <w:rFonts w:ascii="宋体" w:hAnsi="宋体"/>
          <w:sz w:val="24"/>
          <w:highlight w:val="none"/>
        </w:rPr>
        <w:t xml:space="preserve">项目</w:t>
      </w:r>
      <w:r>
        <w:rPr>
          <w:rFonts w:hint="eastAsia" w:ascii="宋体" w:hAnsi="宋体"/>
          <w:sz w:val="24"/>
          <w:highlight w:val="none"/>
        </w:rPr>
        <w:t xml:space="preserve">，供应商为残疾人福利性单位并提供服务的必须提供此</w:t>
      </w:r>
      <w:r>
        <w:rPr>
          <w:rFonts w:ascii="宋体" w:hAnsi="宋体"/>
          <w:sz w:val="24"/>
          <w:highlight w:val="none"/>
        </w:rPr>
        <w:t xml:space="preserve">声明函</w:t>
      </w:r>
      <w:r>
        <w:rPr>
          <w:rFonts w:hint="eastAsia" w:ascii="宋体" w:hAnsi="宋体"/>
          <w:sz w:val="24"/>
          <w:highlight w:val="none"/>
        </w:rPr>
        <w:t xml:space="preserve">，</w:t>
      </w:r>
      <w:r>
        <w:rPr>
          <w:rFonts w:ascii="宋体" w:hAnsi="宋体"/>
          <w:sz w:val="24"/>
          <w:highlight w:val="none"/>
        </w:rPr>
        <w:t xml:space="preserve">否则将</w:t>
      </w:r>
      <w:r>
        <w:rPr>
          <w:rFonts w:hint="eastAsia" w:ascii="宋体" w:hAnsi="宋体"/>
          <w:sz w:val="24"/>
          <w:highlight w:val="none"/>
        </w:rPr>
        <w:t xml:space="preserve">不能</w:t>
      </w:r>
      <w:r>
        <w:rPr>
          <w:rFonts w:ascii="宋体" w:hAnsi="宋体"/>
          <w:sz w:val="24"/>
          <w:highlight w:val="none"/>
        </w:rPr>
        <w:t xml:space="preserve">通过资格审查</w:t>
      </w:r>
      <w:r>
        <w:rPr>
          <w:rFonts w:hint="eastAsia" w:ascii="宋体" w:hAnsi="宋体"/>
          <w:sz w:val="24"/>
          <w:highlight w:val="none"/>
        </w:rPr>
        <w:t xml:space="preserve">。</w:t>
      </w:r>
      <w:r>
        <w:rPr>
          <w:highlight w:val="none"/>
        </w:rPr>
      </w:r>
      <w:r/>
    </w:p>
    <w:p>
      <w:pPr>
        <w:ind w:firstLine="480"/>
        <w:spacing w:line="0" w:lineRule="atLeast"/>
        <w:rPr>
          <w:rFonts w:ascii="宋体" w:hAnsi="宋体"/>
          <w:sz w:val="24"/>
          <w:highlight w:val="none"/>
        </w:rPr>
      </w:pPr>
      <w:r>
        <w:rPr>
          <w:rFonts w:hint="eastAsia" w:ascii="宋体" w:hAnsi="宋体"/>
          <w:sz w:val="24"/>
          <w:highlight w:val="none"/>
        </w:rPr>
        <w:t xml:space="preserve">2.非专门面向中小微型企业采购的</w:t>
      </w:r>
      <w:r>
        <w:rPr>
          <w:rFonts w:ascii="宋体" w:hAnsi="宋体"/>
          <w:sz w:val="24"/>
          <w:highlight w:val="none"/>
        </w:rPr>
        <w:t xml:space="preserve">项目</w:t>
      </w:r>
      <w:r>
        <w:rPr>
          <w:rFonts w:hint="eastAsia" w:ascii="宋体" w:hAnsi="宋体"/>
          <w:sz w:val="24"/>
          <w:highlight w:val="none"/>
        </w:rPr>
        <w:t xml:space="preserve">，供应商如不提供此声明函，价格将不做相应扣除。</w:t>
      </w:r>
      <w:r>
        <w:rPr>
          <w:highlight w:val="none"/>
        </w:rPr>
      </w:r>
      <w:r/>
    </w:p>
    <w:p>
      <w:pPr>
        <w:ind w:firstLine="480"/>
        <w:spacing w:line="0" w:lineRule="atLeas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.中标/成交供应商为残疾人福利性单位的，此声明函将随中标/成交结果同时公告，接受社会监督</w:t>
      </w:r>
      <w:r>
        <w:rPr>
          <w:highlight w:val="none"/>
        </w:rPr>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rPr>
          <w:highlight w:val="none"/>
        </w:rPr>
      </w:r>
      <w:r/>
    </w:p>
    <w:p>
      <w:pPr>
        <w:ind w:right="1559" w:firstLine="624"/>
        <w:jc w:val="center"/>
        <w:spacing w:line="0" w:lineRule="atLeast"/>
        <w:tabs>
          <w:tab w:val="left" w:pos="4860" w:leader="none"/>
        </w:tabs>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rPr>
          <w:highlight w:val="none"/>
        </w:rPr>
      </w:r>
      <w:r/>
    </w:p>
    <w:p>
      <w:pPr>
        <w:ind w:right="1559" w:firstLine="480"/>
        <w:jc w:val="center"/>
        <w:spacing w:line="0" w:lineRule="atLeast"/>
        <w:tabs>
          <w:tab w:val="left" w:pos="4860" w:leader="none"/>
        </w:tabs>
        <w:rPr>
          <w:rFonts w:ascii="宋体" w:hAnsi="宋体"/>
          <w:sz w:val="24"/>
          <w:highlight w:val="none"/>
        </w:rPr>
      </w:pPr>
      <w:r>
        <w:rPr>
          <w:rFonts w:hint="eastAsia" w:ascii="宋体" w:hAnsi="宋体"/>
          <w:sz w:val="24"/>
          <w:highlight w:val="none"/>
        </w:rPr>
        <w:t xml:space="preserve">        日  期：</w:t>
      </w:r>
      <w:r>
        <w:rPr>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附件1</w:t>
      </w:r>
      <w:r>
        <w:rPr>
          <w:rFonts w:ascii="宋体" w:hAnsi="宋体"/>
          <w:b/>
          <w:sz w:val="24"/>
          <w:szCs w:val="24"/>
          <w:highlight w:val="none"/>
        </w:rPr>
        <w:t xml:space="preserve">1</w:t>
      </w:r>
      <w:r>
        <w:rPr>
          <w:rFonts w:hint="eastAsia" w:ascii="宋体" w:hAnsi="宋体"/>
          <w:b/>
          <w:sz w:val="24"/>
          <w:szCs w:val="24"/>
          <w:highlight w:val="none"/>
        </w:rPr>
        <w:t xml:space="preserve"> 联合体协议（参考格式）（采购包号：**）</w:t>
      </w:r>
      <w:r>
        <w:rPr>
          <w:highlight w:val="none"/>
        </w:rPr>
      </w:r>
      <w:r/>
    </w:p>
    <w:p>
      <w:pPr>
        <w:spacing w:line="0" w:lineRule="atLeast"/>
        <w:rPr>
          <w:rFonts w:ascii="宋体" w:hAnsi="宋体"/>
          <w:sz w:val="24"/>
          <w:highlight w:val="none"/>
        </w:rPr>
      </w:pPr>
      <w:r>
        <w:rPr>
          <w:rFonts w:hint="eastAsia" w:ascii="宋体" w:hAnsi="宋体"/>
          <w:sz w:val="24"/>
          <w:highlight w:val="none"/>
        </w:rPr>
        <w:t xml:space="preserve">（联合体中各供应商全称）在此达成以下协议：</w:t>
      </w:r>
      <w:r>
        <w:rPr>
          <w:highlight w:val="none"/>
        </w:rPr>
      </w:r>
      <w:r/>
    </w:p>
    <w:p>
      <w:pPr>
        <w:ind w:firstLine="645"/>
        <w:spacing w:line="0" w:lineRule="atLeas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自愿组成联合体，参加江苏省政府采购中心组织的采购编号为</w:t>
      </w:r>
      <w:r>
        <w:rPr>
          <w:rFonts w:hint="eastAsia" w:ascii="宋体" w:hAnsi="宋体"/>
          <w:sz w:val="24"/>
          <w:highlight w:val="none"/>
          <w:u w:val="single"/>
        </w:rPr>
        <w:t xml:space="preserve">（编号全称），（项目全称）</w:t>
      </w:r>
      <w:r>
        <w:rPr>
          <w:rFonts w:hint="eastAsia" w:ascii="宋体" w:hAnsi="宋体"/>
          <w:sz w:val="24"/>
          <w:highlight w:val="none"/>
        </w:rPr>
        <w:t xml:space="preserve">项目（采购包号：**）的政府采购活动，我联合体指定</w:t>
      </w:r>
      <w:r>
        <w:rPr>
          <w:rFonts w:hint="eastAsia" w:ascii="宋体" w:hAnsi="宋体"/>
          <w:sz w:val="24"/>
          <w:highlight w:val="none"/>
          <w:u w:val="single"/>
        </w:rPr>
        <w:t xml:space="preserve">（供应商*）</w:t>
      </w:r>
      <w:r>
        <w:rPr>
          <w:rFonts w:hint="eastAsia" w:ascii="宋体" w:hAnsi="宋体"/>
          <w:sz w:val="24"/>
          <w:highlight w:val="none"/>
        </w:rPr>
        <w:t xml:space="preserve">为牵头单位（牵头单位必须为联合体成员）。</w:t>
      </w:r>
      <w:r>
        <w:rPr>
          <w:highlight w:val="none"/>
        </w:rPr>
      </w:r>
      <w:r/>
    </w:p>
    <w:p>
      <w:pPr>
        <w:ind w:firstLine="645"/>
        <w:spacing w:line="0" w:lineRule="atLeas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、若我们联合中标、成交，（供应商单位</w:t>
      </w:r>
      <w:r>
        <w:rPr>
          <w:rFonts w:ascii="宋体" w:hAnsi="宋体"/>
          <w:sz w:val="24"/>
          <w:highlight w:val="none"/>
        </w:rPr>
        <w:t xml:space="preserve">1</w:t>
      </w:r>
      <w:r>
        <w:rPr>
          <w:rFonts w:hint="eastAsia" w:ascii="宋体" w:hAnsi="宋体"/>
          <w:sz w:val="24"/>
          <w:highlight w:val="none"/>
        </w:rPr>
        <w:t xml:space="preserve">全称）实施项目中（工作内容）部分工作，并承担相应的责任。（供应商单位</w:t>
      </w:r>
      <w:r>
        <w:rPr>
          <w:rFonts w:ascii="宋体" w:hAnsi="宋体"/>
          <w:sz w:val="24"/>
          <w:highlight w:val="none"/>
        </w:rPr>
        <w:t xml:space="preserve">2</w:t>
      </w:r>
      <w:r>
        <w:rPr>
          <w:rFonts w:hint="eastAsia" w:ascii="宋体" w:hAnsi="宋体"/>
          <w:sz w:val="24"/>
          <w:highlight w:val="none"/>
        </w:rPr>
        <w:t xml:space="preserve">全称）实施项目中（工作内容）部分工作，并承担相应的责任……。（注：联合体中各供应商都应明示所承担的工作和相应的责任）。</w:t>
      </w:r>
      <w:r>
        <w:rPr>
          <w:highlight w:val="none"/>
        </w:rPr>
      </w:r>
      <w:r/>
    </w:p>
    <w:p>
      <w:pPr>
        <w:ind w:firstLine="645"/>
        <w:spacing w:line="0" w:lineRule="atLeast"/>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（小型、微型企业/残疾人福利性单位/监狱企业全称）为</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（小型、微型企业/残疾人福利性单位/监狱企业）企业，且我们约定该公司/单位所承担的合同金额将占本项目合同总金额的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w:t>
      </w:r>
      <w:r>
        <w:rPr>
          <w:highlight w:val="none"/>
        </w:rPr>
      </w:r>
      <w:r/>
    </w:p>
    <w:p>
      <w:pPr>
        <w:ind w:firstLine="645"/>
        <w:spacing w:line="0" w:lineRule="atLeast"/>
        <w:rPr>
          <w:rFonts w:hint="eastAsia" w:ascii="宋体" w:hAnsi="宋体"/>
          <w:sz w:val="24"/>
          <w:highlight w:val="none"/>
        </w:rPr>
      </w:pPr>
      <w:r>
        <w:rPr>
          <w:rFonts w:hint="eastAsia" w:ascii="宋体" w:hAnsi="宋体"/>
          <w:sz w:val="24"/>
          <w:highlight w:val="none"/>
        </w:rPr>
      </w:r>
      <w:r>
        <w:rPr>
          <w:highlight w:val="none"/>
        </w:rPr>
      </w:r>
      <w:r/>
    </w:p>
    <w:p>
      <w:pPr>
        <w:ind w:firstLine="645"/>
        <w:spacing w:line="0" w:lineRule="atLeas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highlight w:val="none"/>
        </w:rPr>
      </w:r>
      <w:r/>
    </w:p>
    <w:p>
      <w:pPr>
        <w:ind w:firstLine="645"/>
        <w:jc w:val="right"/>
        <w:spacing w:line="0" w:lineRule="atLeast"/>
        <w:rPr>
          <w:rFonts w:ascii="宋体" w:hAnsi="宋体"/>
          <w:sz w:val="24"/>
          <w:highlight w:val="none"/>
        </w:rPr>
      </w:pPr>
      <w:r>
        <w:rPr>
          <w:rFonts w:hint="eastAsia" w:ascii="宋体" w:hAnsi="宋体"/>
          <w:sz w:val="24"/>
          <w:highlight w:val="none"/>
        </w:rPr>
        <w:t xml:space="preserve">联合体中各供应商全称（公章）：</w:t>
      </w:r>
      <w:r>
        <w:rPr>
          <w:rFonts w:ascii="宋体" w:hAnsi="宋体"/>
          <w:sz w:val="24"/>
          <w:highlight w:val="none"/>
        </w:rPr>
        <w:t xml:space="preserve">     </w:t>
      </w:r>
      <w:r>
        <w:rPr>
          <w:highlight w:val="none"/>
        </w:rPr>
      </w:r>
      <w:r/>
    </w:p>
    <w:p>
      <w:pPr>
        <w:ind w:firstLine="645"/>
        <w:spacing w:line="0" w:lineRule="atLeas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日期：</w:t>
      </w:r>
      <w:r>
        <w:rPr>
          <w:highlight w:val="none"/>
        </w:rPr>
      </w:r>
      <w:r/>
    </w:p>
    <w:p>
      <w:pPr>
        <w:ind w:firstLine="645"/>
        <w:spacing w:line="0" w:lineRule="atLeast"/>
        <w:rPr>
          <w:rFonts w:ascii="宋体" w:hAnsi="宋体"/>
          <w:sz w:val="24"/>
          <w:highlight w:val="none"/>
        </w:rPr>
      </w:pPr>
      <w:r>
        <w:rPr>
          <w:rFonts w:ascii="宋体" w:hAnsi="宋体"/>
          <w:sz w:val="24"/>
          <w:highlight w:val="none"/>
        </w:rPr>
      </w:r>
      <w:r>
        <w:rPr>
          <w:highlight w:val="none"/>
        </w:rPr>
      </w:r>
      <w:r/>
    </w:p>
    <w:p>
      <w:pPr>
        <w:ind w:firstLine="645"/>
        <w:spacing w:line="0" w:lineRule="atLeast"/>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rPr>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rPr>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12</w:t>
      </w:r>
      <w:r>
        <w:rPr>
          <w:rFonts w:hint="eastAsia" w:ascii="宋体" w:hAnsi="宋体"/>
          <w:b/>
          <w:sz w:val="24"/>
          <w:szCs w:val="24"/>
          <w:highlight w:val="none"/>
        </w:rPr>
        <w:t xml:space="preserve"> 实质性要求响应及偏离表（采购包号：**）</w:t>
      </w:r>
      <w:r>
        <w:rPr>
          <w:highlight w:val="none"/>
        </w:rPr>
      </w:r>
      <w:r/>
    </w:p>
    <w:tbl>
      <w:tblPr>
        <w:tblStyle w:val="9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rPr>
                <w:highlight w:val="none"/>
              </w:rPr>
            </w:r>
            <w:r/>
          </w:p>
        </w:tc>
        <w:tc>
          <w:tcPr>
            <w:tcW w:w="36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highlight w:val="none"/>
              </w:rPr>
              <w:t xml:space="preserve">招标文件（含技术</w:t>
            </w:r>
            <w:r>
              <w:rPr>
                <w:rFonts w:ascii="宋体" w:hAnsi="宋体"/>
                <w:color w:val="auto"/>
                <w:sz w:val="24"/>
                <w:highlight w:val="none"/>
              </w:rPr>
              <w:t xml:space="preserve">要求和商务</w:t>
            </w:r>
            <w:r>
              <w:rPr>
                <w:rFonts w:hint="eastAsia" w:ascii="宋体" w:hAnsi="宋体"/>
                <w:color w:val="auto"/>
                <w:sz w:val="24"/>
                <w:highlight w:val="none"/>
              </w:rPr>
              <w:t xml:space="preserve">要求）</w:t>
            </w:r>
            <w:r>
              <w:rPr>
                <w:rFonts w:ascii="宋体" w:hAnsi="宋体"/>
                <w:color w:val="auto"/>
                <w:sz w:val="24"/>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highlight w:val="none"/>
              </w:rPr>
              <w:t xml:space="preserve">（</w:t>
            </w:r>
            <w:r>
              <w:rPr>
                <w:rFonts w:hint="eastAsia" w:ascii="宋体" w:hAnsi="宋体"/>
                <w:b/>
                <w:bCs/>
                <w:i/>
                <w:color w:val="auto"/>
                <w:sz w:val="24"/>
                <w:highlight w:val="none"/>
                <w:u w:val="single"/>
              </w:rPr>
              <w:t xml:space="preserve">斜体且有下划线部分</w:t>
            </w:r>
            <w:r>
              <w:rPr>
                <w:rFonts w:hint="eastAsia" w:ascii="宋体" w:hAnsi="宋体"/>
                <w:b/>
                <w:bCs/>
                <w:color w:val="auto"/>
                <w:sz w:val="24"/>
                <w:highlight w:val="none"/>
              </w:rPr>
              <w:t xml:space="preserve">或加*号条款）</w:t>
            </w:r>
            <w:r>
              <w:rPr>
                <w:highlight w:val="none"/>
              </w:rPr>
            </w:r>
            <w:r/>
          </w:p>
        </w:tc>
        <w:tc>
          <w:tcPr>
            <w:tcW w:w="331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rPr>
                <w:highlight w:val="none"/>
              </w:rPr>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highlight w:val="none"/>
              </w:rPr>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rPr>
                <w:highlight w:val="none"/>
              </w:rPr>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12-1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highlight w:val="none"/>
        </w:rPr>
      </w:r>
      <w:r/>
    </w:p>
    <w:p>
      <w:pPr>
        <w:spacing w:line="400" w:lineRule="exact"/>
        <w:rPr>
          <w:rFonts w:ascii="宋体" w:hAnsi="宋体"/>
          <w:color w:val="auto"/>
          <w:sz w:val="24"/>
          <w:szCs w:val="24"/>
          <w:highlight w:val="none"/>
        </w:rPr>
      </w:pPr>
      <w:r>
        <w:rPr>
          <w:rFonts w:ascii="宋体" w:hAnsi="宋体"/>
          <w:color w:val="auto"/>
          <w:sz w:val="24"/>
          <w:szCs w:val="24"/>
          <w:highlight w:val="none"/>
        </w:rPr>
      </w:r>
      <w:r>
        <w:rPr>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rPr>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highlight w:val="none"/>
        </w:rPr>
        <w:t xml:space="preserve">招标文件（含技术</w:t>
      </w:r>
      <w:r>
        <w:rPr>
          <w:rFonts w:ascii="宋体" w:hAnsi="宋体"/>
          <w:color w:val="auto"/>
          <w:sz w:val="24"/>
          <w:highlight w:val="none"/>
        </w:rPr>
        <w:t xml:space="preserve">要求和商务</w:t>
      </w:r>
      <w:r>
        <w:rPr>
          <w:rFonts w:hint="eastAsia" w:ascii="宋体" w:hAnsi="宋体"/>
          <w:color w:val="auto"/>
          <w:sz w:val="24"/>
          <w:highlight w:val="none"/>
        </w:rPr>
        <w:t xml:space="preserve">要求）</w:t>
      </w:r>
      <w:r>
        <w:rPr>
          <w:rFonts w:ascii="宋体" w:hAnsi="宋体"/>
          <w:color w:val="auto"/>
          <w:sz w:val="24"/>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highlight w:val="none"/>
        </w:rPr>
        <w:t xml:space="preserve">（</w:t>
      </w:r>
      <w:r>
        <w:rPr>
          <w:rFonts w:hint="eastAsia" w:ascii="宋体" w:hAnsi="宋体"/>
          <w:b/>
          <w:bCs/>
          <w:i/>
          <w:color w:val="auto"/>
          <w:sz w:val="24"/>
          <w:highlight w:val="none"/>
          <w:u w:val="single"/>
        </w:rPr>
        <w:t xml:space="preserve">斜体且有下划线部分</w:t>
      </w:r>
      <w:r>
        <w:rPr>
          <w:rFonts w:hint="eastAsia" w:ascii="宋体" w:hAnsi="宋体"/>
          <w:b/>
          <w:bCs/>
          <w:color w:val="auto"/>
          <w:sz w:val="24"/>
          <w:highlight w:val="none"/>
        </w:rPr>
        <w:t xml:space="preserve">或加*号条款为实质性要求）</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ascii="宋体" w:hAnsi="宋体"/>
          <w:color w:val="auto"/>
          <w:sz w:val="24"/>
          <w:highlight w:val="none"/>
        </w:rPr>
        <w:t xml:space="preserve">。</w:t>
      </w:r>
      <w:r>
        <w:rPr>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rPr>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3.投标人未对实质性要求逐条作出明确响应的，或未按招标文件要求提供证明材料的，该采购包作无效投标处理。</w:t>
      </w:r>
      <w:r>
        <w:rPr>
          <w:highlight w:val="none"/>
        </w:rPr>
      </w:r>
      <w:r/>
    </w:p>
    <w:p>
      <w:pPr>
        <w:spacing w:line="400" w:lineRule="exact"/>
        <w:rPr>
          <w:rFonts w:hint="eastAsia" w:ascii="宋体" w:hAnsi="宋体"/>
          <w:color w:val="ff0000"/>
          <w:sz w:val="24"/>
          <w:szCs w:val="24"/>
          <w:highlight w:val="none"/>
        </w:rPr>
      </w:pPr>
      <w:r>
        <w:rPr>
          <w:rFonts w:hint="eastAsia" w:ascii="宋体" w:hAnsi="宋体"/>
          <w:color w:val="ff0000"/>
          <w:sz w:val="24"/>
          <w:szCs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rPr>
          <w:rFonts w:hint="eastAsia"/>
          <w:highlight w:val="none"/>
        </w:rPr>
      </w:pPr>
      <w:r>
        <w:rPr>
          <w:rFonts w:hint="eastAsia"/>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bookmarkEnd w:id="205"/>
      <w:r>
        <w:rPr>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rPr>
          <w:highlight w:val="none"/>
        </w:rPr>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highlight w:val="none"/>
        </w:rPr>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highlight w:val="none"/>
        </w:rPr>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highlight w:val="none"/>
        </w:rPr>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highlight w:val="none"/>
        </w:rPr>
      </w:r>
      <w:r/>
    </w:p>
    <w:p>
      <w:pPr>
        <w:rPr>
          <w:rFonts w:ascii="宋体" w:hAnsi="宋体"/>
          <w:sz w:val="24"/>
          <w:szCs w:val="24"/>
          <w:highlight w:val="none"/>
        </w:rPr>
      </w:pPr>
      <w:r>
        <w:rPr>
          <w:rFonts w:hint="eastAsia" w:ascii="宋体" w:hAnsi="宋体"/>
          <w:sz w:val="24"/>
          <w:szCs w:val="24"/>
          <w:highlight w:val="none"/>
        </w:rPr>
        <w:t xml:space="preserve">签字(签章)：                   公章：                      </w:t>
      </w:r>
      <w:r>
        <w:rPr>
          <w:highlight w:val="none"/>
        </w:rPr>
      </w:r>
      <w:r/>
    </w:p>
    <w:p>
      <w:pPr>
        <w:rPr>
          <w:rFonts w:ascii="宋体" w:hAnsi="宋体"/>
          <w:sz w:val="24"/>
          <w:szCs w:val="24"/>
          <w:highlight w:val="none"/>
        </w:rPr>
      </w:pPr>
      <w:r>
        <w:rPr>
          <w:rFonts w:hint="eastAsia" w:ascii="宋体" w:hAnsi="宋体"/>
          <w:sz w:val="24"/>
          <w:szCs w:val="24"/>
          <w:highlight w:val="none"/>
        </w:rPr>
        <w:t xml:space="preserve">日期：    </w:t>
      </w:r>
      <w:r>
        <w:rPr>
          <w:highlight w:val="none"/>
        </w:rPr>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highlight w:val="none"/>
        </w:rPr>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highlight w:val="none"/>
        </w:rPr>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highlight w:val="none"/>
        </w:rPr>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rPr>
          <w:highlight w:val="none"/>
        </w:rPr>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highlight w:val="none"/>
        </w:rPr>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highlight w:val="none"/>
        </w:rPr>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936"/>
        <w:rPr>
          <w:rFonts w:hint="eastAsia"/>
          <w:sz w:val="24"/>
          <w:szCs w:val="24"/>
          <w:highlight w:val="none"/>
        </w:rPr>
      </w:pPr>
      <w:r>
        <w:rPr>
          <w:rFonts w:hint="eastAsia"/>
          <w:sz w:val="24"/>
          <w:szCs w:val="24"/>
          <w:highlight w:val="none"/>
        </w:rPr>
      </w:r>
      <w:r>
        <w:rPr>
          <w:highlight w:val="none"/>
        </w:rPr>
      </w:r>
      <w:r/>
    </w:p>
    <w:p>
      <w:pPr>
        <w:pStyle w:val="936"/>
        <w:rPr>
          <w:sz w:val="24"/>
          <w:szCs w:val="24"/>
          <w:highlight w:val="none"/>
        </w:rPr>
      </w:pPr>
      <w:r>
        <w:rPr>
          <w:sz w:val="24"/>
          <w:szCs w:val="24"/>
          <w:highlight w:val="none"/>
        </w:rPr>
      </w:r>
      <w:r>
        <w:rPr>
          <w:highlight w:val="none"/>
        </w:rPr>
      </w:r>
      <w:r/>
    </w:p>
    <w:p>
      <w:pPr>
        <w:rPr>
          <w:highlight w:val="none"/>
        </w:rPr>
      </w:pPr>
      <w:r>
        <w:rPr>
          <w:highlight w:val="none"/>
        </w:rPr>
      </w:r>
      <w:r>
        <w:rPr>
          <w:highlight w:val="none"/>
        </w:rPr>
      </w:r>
      <w:r/>
    </w:p>
    <w:p>
      <w:pPr>
        <w:pStyle w:val="936"/>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rPr>
          <w:highlight w:val="none"/>
        </w:rPr>
      </w:r>
      <w:r/>
    </w:p>
    <w:sectPr>
      <w:footerReference w:type="default" r:id="rId17"/>
      <w:footerReference w:type="first" r:id="rId18"/>
      <w:footnotePr/>
      <w:endnotePr/>
      <w:type w:val="nextPage"/>
      <w:pgSz w:w="11906" w:h="16838" w:orient="portrait"/>
      <w:pgMar w:top="1418" w:right="1588" w:bottom="1418" w:left="1417" w:header="851" w:footer="907" w:gutter="0"/>
      <w:pgNumType w:start="59"/>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egoe UI">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rPr>
        <w:rStyle w:val="1229"/>
      </w:rPr>
      <w:framePr w:wrap="around" w:vAnchor="text" w:hAnchor="margin" w:xAlign="center" w:y="1"/>
    </w:pPr>
    <w:r>
      <w:fldChar w:fldCharType="begin"/>
    </w:r>
    <w:r>
      <w:rPr>
        <w:rStyle w:val="1229"/>
      </w:rPr>
      <w:instrText xml:space="preserve">PAGE  </w:instrText>
    </w:r>
    <w:r>
      <w:fldChar w:fldCharType="separate"/>
    </w:r>
    <w:r>
      <w:rPr>
        <w:rStyle w:val="1229"/>
      </w:rPr>
      <w:t xml:space="preserve">1</w:t>
    </w:r>
    <w:r>
      <w:fldChar w:fldCharType="end"/>
    </w:r>
    <w:r/>
  </w:p>
  <w:p>
    <w:pPr>
      <w:pStyle w:val="12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cente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r/>
                  </w:p>
                  <w:p>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p>
  <w:p>
    <w:pPr>
      <w:pStyle w:val="95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60</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0"/>
      <w:isLgl w:val="false"/>
      <w:suff w:val="nothing"/>
      <w:lvlText w:val=""/>
      <w:lvlJc w:val="left"/>
      <w:pPr>
        <w:ind w:left="0" w:firstLine="0"/>
      </w:pPr>
      <w:rPr>
        <w:rFonts w:hint="eastAsia"/>
      </w:rPr>
    </w:lvl>
    <w:lvl w:ilvl="6">
      <w:start w:val="1"/>
      <w:numFmt w:val="decimal"/>
      <w:pStyle w:val="931"/>
      <w:isLgl w:val="false"/>
      <w:suff w:val="nothing"/>
      <w:lvlText w:val=""/>
      <w:lvlJc w:val="left"/>
      <w:pPr>
        <w:ind w:left="0" w:firstLine="0"/>
      </w:pPr>
      <w:rPr>
        <w:rFonts w:hint="eastAsia"/>
      </w:rPr>
    </w:lvl>
    <w:lvl w:ilvl="7">
      <w:start w:val="1"/>
      <w:numFmt w:val="decimal"/>
      <w:pStyle w:val="932"/>
      <w:isLgl w:val="false"/>
      <w:suff w:val="nothing"/>
      <w:lvlText w:val=""/>
      <w:lvlJc w:val="left"/>
      <w:pPr>
        <w:ind w:left="0" w:firstLine="0"/>
      </w:pPr>
      <w:rPr>
        <w:rFonts w:hint="eastAsia"/>
      </w:rPr>
    </w:lvl>
    <w:lvl w:ilvl="8">
      <w:start w:val="1"/>
      <w:numFmt w:val="decimal"/>
      <w:pStyle w:val="933"/>
      <w:isLgl w:val="false"/>
      <w:suff w:val="nothing"/>
      <w:lvlText w:val=""/>
      <w:lvlJc w:val="left"/>
      <w:pPr>
        <w:ind w:left="0" w:firstLine="0"/>
      </w:pPr>
      <w:rPr>
        <w:rFonts w:hint="eastAsia"/>
      </w:rPr>
    </w:lvl>
  </w:abstractNum>
  <w:abstractNum w:abstractNumId="5">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3"/>
  </w:num>
  <w:num w:numId="6">
    <w:abstractNumId w:val="9"/>
  </w:num>
  <w:num w:numId="7">
    <w:abstractNumId w:val="7"/>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4" w:default="1">
    <w:name w:val="Normal"/>
    <w:link w:val="1229"/>
    <w:uiPriority w:val="0"/>
    <w:qFormat/>
    <w:pPr>
      <w:jc w:val="both"/>
      <w:widowControl w:val="off"/>
    </w:pPr>
    <w:rPr>
      <w:rFonts w:hint="default" w:ascii="Times New Roman" w:hAnsi="Times New Roman" w:eastAsia="宋体" w:cs="Times New Roman"/>
      <w:sz w:val="21"/>
      <w:szCs w:val="21"/>
    </w:rPr>
  </w:style>
  <w:style w:type="paragraph" w:styleId="925">
    <w:name w:val="Heading 1"/>
    <w:basedOn w:val="924"/>
    <w:next w:val="924"/>
    <w:link w:val="1025"/>
    <w:uiPriority w:val="0"/>
    <w:qFormat/>
    <w:pPr>
      <w:jc w:val="center"/>
      <w:keepNext/>
      <w:outlineLvl w:val="0"/>
    </w:pPr>
    <w:rPr>
      <w:rFonts w:ascii="楷体_GB2312" w:eastAsia="楷体_GB2312"/>
      <w:sz w:val="28"/>
      <w:szCs w:val="28"/>
    </w:rPr>
  </w:style>
  <w:style w:type="paragraph" w:styleId="926">
    <w:name w:val="Heading 2"/>
    <w:basedOn w:val="924"/>
    <w:next w:val="936"/>
    <w:link w:val="1026"/>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27">
    <w:name w:val="Heading 3"/>
    <w:basedOn w:val="924"/>
    <w:next w:val="936"/>
    <w:link w:val="1028"/>
    <w:uiPriority w:val="9"/>
    <w:qFormat/>
    <w:pPr>
      <w:keepLines/>
      <w:keepNext/>
      <w:spacing w:before="260" w:after="260" w:line="416" w:lineRule="auto"/>
      <w:outlineLvl w:val="2"/>
    </w:pPr>
    <w:rPr>
      <w:b/>
      <w:bCs/>
      <w:sz w:val="32"/>
      <w:szCs w:val="32"/>
    </w:rPr>
  </w:style>
  <w:style w:type="paragraph" w:styleId="928">
    <w:name w:val="Heading 4"/>
    <w:basedOn w:val="924"/>
    <w:next w:val="936"/>
    <w:link w:val="1029"/>
    <w:uiPriority w:val="0"/>
    <w:qFormat/>
    <w:pPr>
      <w:keepLines/>
      <w:keepNext/>
      <w:spacing w:before="280" w:after="290" w:line="376" w:lineRule="auto"/>
      <w:outlineLvl w:val="3"/>
    </w:pPr>
    <w:rPr>
      <w:rFonts w:ascii="Arial" w:hAnsi="Arial" w:eastAsia="黑体" w:cs="Arial"/>
      <w:b/>
      <w:bCs/>
      <w:sz w:val="28"/>
      <w:szCs w:val="28"/>
    </w:rPr>
  </w:style>
  <w:style w:type="paragraph" w:styleId="929">
    <w:name w:val="Heading 5"/>
    <w:basedOn w:val="924"/>
    <w:next w:val="936"/>
    <w:link w:val="1030"/>
    <w:uiPriority w:val="9"/>
    <w:qFormat/>
    <w:pPr>
      <w:keepNext/>
      <w:outlineLvl w:val="4"/>
    </w:pPr>
    <w:rPr>
      <w:rFonts w:ascii="宋体"/>
      <w:color w:val="000000"/>
      <w:sz w:val="28"/>
      <w:szCs w:val="28"/>
    </w:rPr>
  </w:style>
  <w:style w:type="paragraph" w:styleId="930">
    <w:name w:val="Heading 6"/>
    <w:basedOn w:val="924"/>
    <w:next w:val="924"/>
    <w:link w:val="1031"/>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931">
    <w:name w:val="Heading 7"/>
    <w:basedOn w:val="924"/>
    <w:next w:val="924"/>
    <w:link w:val="1032"/>
    <w:uiPriority w:val="9"/>
    <w:qFormat/>
    <w:pPr>
      <w:numPr>
        <w:ilvl w:val="6"/>
        <w:numId w:val="1"/>
      </w:numPr>
      <w:keepLines/>
      <w:keepNext/>
      <w:spacing w:before="240" w:after="64" w:line="320" w:lineRule="auto"/>
      <w:outlineLvl w:val="6"/>
    </w:pPr>
    <w:rPr>
      <w:b/>
      <w:bCs/>
      <w:sz w:val="24"/>
      <w:szCs w:val="24"/>
    </w:rPr>
  </w:style>
  <w:style w:type="paragraph" w:styleId="932">
    <w:name w:val="Heading 8"/>
    <w:basedOn w:val="924"/>
    <w:next w:val="924"/>
    <w:link w:val="1033"/>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933">
    <w:name w:val="Heading 9"/>
    <w:basedOn w:val="924"/>
    <w:next w:val="924"/>
    <w:link w:val="1034"/>
    <w:uiPriority w:val="9"/>
    <w:qFormat/>
    <w:pPr>
      <w:numPr>
        <w:ilvl w:val="8"/>
        <w:numId w:val="1"/>
      </w:numPr>
      <w:keepLines/>
      <w:keepNext/>
      <w:spacing w:before="240" w:after="64" w:line="320" w:lineRule="auto"/>
      <w:outlineLvl w:val="8"/>
    </w:pPr>
    <w:rPr>
      <w:rFonts w:ascii="Arial" w:hAnsi="Arial" w:eastAsia="黑体"/>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Normal Indent"/>
    <w:basedOn w:val="924"/>
    <w:link w:val="1027"/>
    <w:uiPriority w:val="0"/>
    <w:qFormat/>
    <w:pPr>
      <w:ind w:firstLine="420"/>
    </w:pPr>
  </w:style>
  <w:style w:type="paragraph" w:styleId="937">
    <w:name w:val="List 3"/>
    <w:basedOn w:val="924"/>
    <w:uiPriority w:val="0"/>
    <w:qFormat/>
    <w:pPr>
      <w:ind w:left="100" w:hanging="200"/>
    </w:pPr>
  </w:style>
  <w:style w:type="paragraph" w:styleId="938">
    <w:name w:val="toc 7"/>
    <w:basedOn w:val="924"/>
    <w:next w:val="924"/>
    <w:uiPriority w:val="39"/>
    <w:qFormat/>
    <w:pPr>
      <w:ind w:left="1260"/>
      <w:jc w:val="left"/>
    </w:pPr>
  </w:style>
  <w:style w:type="paragraph" w:styleId="939">
    <w:name w:val="Caption"/>
    <w:basedOn w:val="924"/>
    <w:next w:val="9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Document Map"/>
    <w:basedOn w:val="924"/>
    <w:link w:val="1035"/>
    <w:uiPriority w:val="0"/>
    <w:semiHidden/>
    <w:qFormat/>
    <w:pPr>
      <w:shd w:val="clear" w:color="auto" w:fill="000080"/>
    </w:pPr>
  </w:style>
  <w:style w:type="paragraph" w:styleId="941">
    <w:name w:val="annotation text"/>
    <w:basedOn w:val="924"/>
    <w:link w:val="1036"/>
    <w:uiPriority w:val="99"/>
    <w:semiHidden/>
    <w:qFormat/>
    <w:pPr>
      <w:jc w:val="left"/>
    </w:pPr>
  </w:style>
  <w:style w:type="paragraph" w:styleId="942">
    <w:name w:val="Body Text 3"/>
    <w:basedOn w:val="924"/>
    <w:link w:val="1037"/>
    <w:uiPriority w:val="0"/>
    <w:qFormat/>
    <w:rPr>
      <w:rFonts w:ascii="仿宋_GB2312" w:hAnsi="Arial" w:eastAsia="仿宋_GB2312"/>
      <w:sz w:val="32"/>
      <w:szCs w:val="32"/>
    </w:rPr>
  </w:style>
  <w:style w:type="paragraph" w:styleId="943">
    <w:name w:val="Body Text"/>
    <w:basedOn w:val="924"/>
    <w:link w:val="1038"/>
    <w:uiPriority w:val="0"/>
    <w:qFormat/>
    <w:rPr>
      <w:rFonts w:ascii="楷体_GB2312" w:hAnsi="Arial" w:eastAsia="楷体_GB2312"/>
      <w:sz w:val="28"/>
      <w:szCs w:val="28"/>
    </w:rPr>
  </w:style>
  <w:style w:type="paragraph" w:styleId="944">
    <w:name w:val="Body Text Indent"/>
    <w:basedOn w:val="924"/>
    <w:link w:val="1039"/>
    <w:uiPriority w:val="0"/>
    <w:qFormat/>
    <w:pPr>
      <w:ind w:firstLine="645"/>
    </w:pPr>
    <w:rPr>
      <w:rFonts w:ascii="楷体_GB2312" w:eastAsia="楷体_GB2312"/>
      <w:sz w:val="32"/>
      <w:szCs w:val="32"/>
    </w:rPr>
  </w:style>
  <w:style w:type="paragraph" w:styleId="945">
    <w:name w:val="List 2"/>
    <w:basedOn w:val="924"/>
    <w:uiPriority w:val="0"/>
    <w:qFormat/>
    <w:pPr>
      <w:ind w:left="100" w:hanging="200"/>
    </w:pPr>
  </w:style>
  <w:style w:type="paragraph" w:styleId="946">
    <w:name w:val="index 4"/>
    <w:basedOn w:val="924"/>
    <w:next w:val="924"/>
    <w:uiPriority w:val="99"/>
    <w:unhideWhenUsed/>
    <w:qFormat/>
    <w:pPr>
      <w:ind w:left="600"/>
    </w:pPr>
    <w:rPr>
      <w:rFonts w:eastAsia="微软雅黑"/>
    </w:rPr>
  </w:style>
  <w:style w:type="paragraph" w:styleId="947">
    <w:name w:val="toc 5"/>
    <w:basedOn w:val="924"/>
    <w:next w:val="924"/>
    <w:uiPriority w:val="39"/>
    <w:qFormat/>
    <w:pPr>
      <w:ind w:left="840"/>
      <w:jc w:val="left"/>
    </w:pPr>
  </w:style>
  <w:style w:type="paragraph" w:styleId="948">
    <w:name w:val="toc 3"/>
    <w:basedOn w:val="924"/>
    <w:next w:val="924"/>
    <w:uiPriority w:val="39"/>
    <w:qFormat/>
    <w:pPr>
      <w:ind w:left="420"/>
      <w:jc w:val="left"/>
    </w:pPr>
    <w:rPr>
      <w:i/>
      <w:iCs/>
      <w:szCs w:val="24"/>
    </w:rPr>
  </w:style>
  <w:style w:type="paragraph" w:styleId="949">
    <w:name w:val="Plain Text"/>
    <w:basedOn w:val="924"/>
    <w:link w:val="1040"/>
    <w:uiPriority w:val="0"/>
    <w:qFormat/>
    <w:rPr>
      <w:rFonts w:ascii="宋体" w:hAnsi="Courier New" w:cs="Courier New"/>
    </w:rPr>
  </w:style>
  <w:style w:type="paragraph" w:styleId="950">
    <w:name w:val="toc 8"/>
    <w:basedOn w:val="924"/>
    <w:next w:val="924"/>
    <w:uiPriority w:val="39"/>
    <w:qFormat/>
    <w:pPr>
      <w:ind w:left="1470"/>
      <w:jc w:val="left"/>
    </w:pPr>
  </w:style>
  <w:style w:type="paragraph" w:styleId="951">
    <w:name w:val="Date"/>
    <w:basedOn w:val="924"/>
    <w:next w:val="924"/>
    <w:link w:val="1041"/>
    <w:uiPriority w:val="0"/>
    <w:qFormat/>
    <w:rPr>
      <w:sz w:val="24"/>
      <w:szCs w:val="24"/>
    </w:rPr>
  </w:style>
  <w:style w:type="paragraph" w:styleId="952">
    <w:name w:val="Body Text Indent 2"/>
    <w:basedOn w:val="924"/>
    <w:link w:val="1042"/>
    <w:uiPriority w:val="0"/>
    <w:qFormat/>
    <w:pPr>
      <w:ind w:left="630" w:firstLine="645"/>
    </w:pPr>
    <w:rPr>
      <w:rFonts w:ascii="Arial" w:hAnsi="Arial" w:eastAsia="仿宋_GB2312" w:cs="Arial"/>
      <w:sz w:val="32"/>
      <w:szCs w:val="32"/>
    </w:rPr>
  </w:style>
  <w:style w:type="paragraph" w:styleId="953">
    <w:name w:val="endnote text"/>
    <w:basedOn w:val="924"/>
    <w:link w:val="1043"/>
    <w:uiPriority w:val="99"/>
    <w:unhideWhenUsed/>
    <w:qFormat/>
    <w:rPr>
      <w:sz w:val="20"/>
    </w:rPr>
  </w:style>
  <w:style w:type="paragraph" w:styleId="954">
    <w:name w:val="Balloon Text"/>
    <w:basedOn w:val="924"/>
    <w:link w:val="1044"/>
    <w:uiPriority w:val="99"/>
    <w:semiHidden/>
    <w:qFormat/>
    <w:rPr>
      <w:sz w:val="18"/>
      <w:szCs w:val="18"/>
    </w:rPr>
  </w:style>
  <w:style w:type="paragraph" w:styleId="955">
    <w:name w:val="Footer"/>
    <w:basedOn w:val="924"/>
    <w:link w:val="1045"/>
    <w:uiPriority w:val="99"/>
    <w:qFormat/>
    <w:pPr>
      <w:jc w:val="left"/>
      <w:tabs>
        <w:tab w:val="center" w:pos="4153" w:leader="none"/>
        <w:tab w:val="right" w:pos="8306" w:leader="none"/>
      </w:tabs>
    </w:pPr>
    <w:rPr>
      <w:sz w:val="18"/>
      <w:szCs w:val="18"/>
    </w:rPr>
  </w:style>
  <w:style w:type="paragraph" w:styleId="956">
    <w:name w:val="Header"/>
    <w:basedOn w:val="924"/>
    <w:link w:val="1046"/>
    <w:uiPriority w:val="0"/>
    <w:qFormat/>
    <w:pPr>
      <w:jc w:val="center"/>
      <w:tabs>
        <w:tab w:val="center" w:pos="4153" w:leader="none"/>
        <w:tab w:val="right" w:pos="8306" w:leader="none"/>
      </w:tabs>
      <w:pBdr>
        <w:bottom w:val="single" w:color="000000" w:sz="6" w:space="1"/>
      </w:pBdr>
    </w:pPr>
    <w:rPr>
      <w:sz w:val="18"/>
      <w:szCs w:val="18"/>
    </w:rPr>
  </w:style>
  <w:style w:type="paragraph" w:styleId="957">
    <w:name w:val="toc 1"/>
    <w:basedOn w:val="924"/>
    <w:next w:val="924"/>
    <w:uiPriority w:val="39"/>
    <w:qFormat/>
    <w:pPr>
      <w:jc w:val="left"/>
      <w:spacing w:before="120" w:after="120" w:line="400" w:lineRule="exact"/>
      <w:tabs>
        <w:tab w:val="right" w:pos="8720" w:leader="dot"/>
      </w:tabs>
    </w:pPr>
    <w:rPr>
      <w:rFonts w:ascii="宋体" w:hAnsi="宋体"/>
      <w:caps/>
      <w:sz w:val="24"/>
      <w:szCs w:val="24"/>
    </w:rPr>
  </w:style>
  <w:style w:type="paragraph" w:styleId="958">
    <w:name w:val="toc 4"/>
    <w:basedOn w:val="924"/>
    <w:next w:val="924"/>
    <w:uiPriority w:val="39"/>
    <w:qFormat/>
    <w:pPr>
      <w:ind w:left="630"/>
      <w:jc w:val="left"/>
    </w:pPr>
  </w:style>
  <w:style w:type="paragraph" w:styleId="959">
    <w:name w:val="Subtitle"/>
    <w:basedOn w:val="924"/>
    <w:next w:val="924"/>
    <w:link w:val="1047"/>
    <w:uiPriority w:val="11"/>
    <w:qFormat/>
    <w:pPr>
      <w:spacing w:before="200" w:after="200"/>
    </w:pPr>
    <w:rPr>
      <w:sz w:val="24"/>
      <w:szCs w:val="24"/>
    </w:rPr>
  </w:style>
  <w:style w:type="paragraph" w:styleId="960">
    <w:name w:val="List"/>
    <w:basedOn w:val="924"/>
    <w:uiPriority w:val="0"/>
    <w:qFormat/>
    <w:pPr>
      <w:ind w:left="200" w:hanging="200"/>
    </w:pPr>
  </w:style>
  <w:style w:type="paragraph" w:styleId="961">
    <w:name w:val="footnote text"/>
    <w:basedOn w:val="924"/>
    <w:link w:val="1048"/>
    <w:uiPriority w:val="99"/>
    <w:unhideWhenUsed/>
    <w:qFormat/>
    <w:pPr>
      <w:spacing w:after="40"/>
    </w:pPr>
    <w:rPr>
      <w:sz w:val="18"/>
    </w:rPr>
  </w:style>
  <w:style w:type="paragraph" w:styleId="962">
    <w:name w:val="toc 6"/>
    <w:basedOn w:val="924"/>
    <w:next w:val="924"/>
    <w:uiPriority w:val="39"/>
    <w:qFormat/>
    <w:pPr>
      <w:ind w:left="1050"/>
      <w:jc w:val="left"/>
    </w:pPr>
  </w:style>
  <w:style w:type="paragraph" w:styleId="963">
    <w:name w:val="Body Text Indent 3"/>
    <w:basedOn w:val="924"/>
    <w:link w:val="1049"/>
    <w:uiPriority w:val="0"/>
    <w:qFormat/>
    <w:pPr>
      <w:ind w:left="645" w:firstLine="645"/>
    </w:pPr>
    <w:rPr>
      <w:rFonts w:ascii="Arial" w:hAnsi="Arial" w:eastAsia="仿宋_GB2312" w:cs="Arial"/>
      <w:color w:val="ffff00"/>
      <w:sz w:val="32"/>
      <w:szCs w:val="32"/>
    </w:rPr>
  </w:style>
  <w:style w:type="paragraph" w:styleId="964">
    <w:name w:val="table of figures"/>
    <w:basedOn w:val="924"/>
    <w:next w:val="924"/>
    <w:uiPriority w:val="99"/>
    <w:qFormat/>
    <w:pPr>
      <w:ind w:left="840" w:hanging="420"/>
    </w:pPr>
  </w:style>
  <w:style w:type="paragraph" w:styleId="965">
    <w:name w:val="toc 2"/>
    <w:basedOn w:val="924"/>
    <w:next w:val="924"/>
    <w:uiPriority w:val="39"/>
    <w:qFormat/>
    <w:pPr>
      <w:ind w:left="210"/>
      <w:jc w:val="left"/>
    </w:pPr>
    <w:rPr>
      <w:smallCaps/>
      <w:szCs w:val="24"/>
    </w:rPr>
  </w:style>
  <w:style w:type="paragraph" w:styleId="966">
    <w:name w:val="toc 9"/>
    <w:basedOn w:val="924"/>
    <w:next w:val="924"/>
    <w:uiPriority w:val="39"/>
    <w:qFormat/>
    <w:pPr>
      <w:ind w:left="1680"/>
      <w:jc w:val="left"/>
    </w:pPr>
  </w:style>
  <w:style w:type="paragraph" w:styleId="967">
    <w:name w:val="Body Text 2"/>
    <w:basedOn w:val="924"/>
    <w:link w:val="1050"/>
    <w:uiPriority w:val="0"/>
    <w:qFormat/>
    <w:pPr>
      <w:jc w:val="center"/>
      <w:widowControl/>
    </w:pPr>
    <w:rPr>
      <w:rFonts w:ascii="楷体_GB2312" w:eastAsia="楷体_GB2312"/>
      <w:sz w:val="28"/>
      <w:szCs w:val="28"/>
    </w:rPr>
  </w:style>
  <w:style w:type="paragraph" w:styleId="968">
    <w:name w:val="Normal (Web)"/>
    <w:basedOn w:val="924"/>
    <w:uiPriority w:val="99"/>
    <w:qFormat/>
    <w:pPr>
      <w:jc w:val="left"/>
      <w:spacing w:before="100" w:beforeAutospacing="1" w:after="100" w:afterAutospacing="1"/>
      <w:widowControl/>
    </w:pPr>
    <w:rPr>
      <w:rFonts w:ascii="宋体" w:hAnsi="宋体" w:cs="宋体"/>
      <w:sz w:val="24"/>
      <w:szCs w:val="24"/>
    </w:rPr>
  </w:style>
  <w:style w:type="paragraph" w:styleId="969">
    <w:name w:val="index 1"/>
    <w:basedOn w:val="924"/>
    <w:next w:val="924"/>
    <w:uiPriority w:val="0"/>
    <w:semiHidden/>
    <w:qFormat/>
    <w:pPr>
      <w:spacing w:line="240" w:lineRule="atLeast"/>
    </w:pPr>
    <w:rPr>
      <w:b/>
      <w:bCs/>
    </w:rPr>
  </w:style>
  <w:style w:type="paragraph" w:styleId="970">
    <w:name w:val="Title"/>
    <w:basedOn w:val="924"/>
    <w:next w:val="924"/>
    <w:link w:val="1051"/>
    <w:uiPriority w:val="10"/>
    <w:qFormat/>
    <w:pPr>
      <w:contextualSpacing/>
      <w:spacing w:before="300" w:after="200"/>
    </w:pPr>
    <w:rPr>
      <w:sz w:val="48"/>
      <w:szCs w:val="48"/>
    </w:rPr>
  </w:style>
  <w:style w:type="paragraph" w:styleId="971">
    <w:name w:val="annotation subject"/>
    <w:basedOn w:val="941"/>
    <w:next w:val="941"/>
    <w:link w:val="1052"/>
    <w:uiPriority w:val="99"/>
    <w:semiHidden/>
    <w:qFormat/>
    <w:rPr>
      <w:b/>
      <w:bCs/>
    </w:rPr>
  </w:style>
  <w:style w:type="paragraph" w:styleId="972">
    <w:name w:val="Body Text First Indent"/>
    <w:basedOn w:val="924"/>
    <w:link w:val="1053"/>
    <w:uiPriority w:val="0"/>
    <w:qFormat/>
    <w:pPr>
      <w:ind w:firstLine="200"/>
      <w:spacing w:line="360" w:lineRule="auto"/>
    </w:pPr>
    <w:rPr>
      <w:rFonts w:ascii="仿宋_GB2312" w:eastAsia="仿宋_GB2312"/>
      <w:sz w:val="30"/>
      <w:szCs w:val="30"/>
    </w:rPr>
  </w:style>
  <w:style w:type="paragraph" w:styleId="973">
    <w:name w:val="Body Text First Indent 2"/>
    <w:basedOn w:val="944"/>
    <w:link w:val="1054"/>
    <w:uiPriority w:val="0"/>
    <w:qFormat/>
    <w:pPr>
      <w:ind w:firstLine="420"/>
      <w:spacing w:line="360" w:lineRule="auto"/>
    </w:pPr>
    <w:rPr>
      <w:rFonts w:ascii="宋体" w:hAnsi="宋体" w:eastAsia="宋体"/>
      <w:sz w:val="21"/>
      <w:szCs w:val="20"/>
    </w:rPr>
  </w:style>
  <w:style w:type="table" w:styleId="974">
    <w:name w:val="Table Grid"/>
    <w:basedOn w:val="9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uiPriority w:val="0"/>
    <w:qFormat/>
    <w:rPr>
      <w:b/>
      <w:bCs/>
    </w:rPr>
  </w:style>
  <w:style w:type="character" w:styleId="976">
    <w:name w:val="endnote reference"/>
    <w:uiPriority w:val="99"/>
    <w:unhideWhenUsed/>
    <w:qFormat/>
    <w:rPr>
      <w:vertAlign w:val="superscript"/>
    </w:rPr>
  </w:style>
  <w:style w:type="character" w:styleId="977">
    <w:name w:val="page number"/>
    <w:uiPriority w:val="0"/>
    <w:qFormat/>
  </w:style>
  <w:style w:type="character" w:styleId="978">
    <w:name w:val="FollowedHyperlink"/>
    <w:uiPriority w:val="0"/>
    <w:qFormat/>
    <w:rPr>
      <w:color w:val="800080"/>
      <w:u w:val="single"/>
    </w:rPr>
  </w:style>
  <w:style w:type="character" w:styleId="979">
    <w:name w:val="Emphasis"/>
    <w:uiPriority w:val="20"/>
    <w:qFormat/>
    <w:rPr>
      <w:i/>
    </w:rPr>
  </w:style>
  <w:style w:type="character" w:styleId="980">
    <w:name w:val="Hyperlink"/>
    <w:uiPriority w:val="99"/>
    <w:qFormat/>
    <w:rPr>
      <w:color w:val="0000ff"/>
      <w:u w:val="single"/>
    </w:rPr>
  </w:style>
  <w:style w:type="character" w:styleId="981">
    <w:name w:val="annotation reference"/>
    <w:uiPriority w:val="99"/>
    <w:semiHidden/>
    <w:qFormat/>
    <w:rPr>
      <w:sz w:val="21"/>
      <w:szCs w:val="21"/>
    </w:rPr>
  </w:style>
  <w:style w:type="character" w:styleId="982">
    <w:name w:val="footnote reference"/>
    <w:uiPriority w:val="99"/>
    <w:unhideWhenUsed/>
    <w:qFormat/>
    <w:rPr>
      <w:vertAlign w:val="superscript"/>
    </w:rPr>
  </w:style>
  <w:style w:type="table" w:styleId="983" w:customStyle="1">
    <w:name w:val="Plain Table 1"/>
    <w:basedOn w:val="9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2"/>
    <w:basedOn w:val="9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Plain Table 3"/>
    <w:basedOn w:val="9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Plain Table 4"/>
    <w:basedOn w:val="9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Plain Table 5"/>
    <w:basedOn w:val="9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Grid Table 1 Light"/>
    <w:basedOn w:val="9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2"/>
    <w:basedOn w:val="9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0" w:customStyle="1">
    <w:name w:val="Grid Table 3"/>
    <w:basedOn w:val="9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w:basedOn w:val="9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Grid Table 5 Dark"/>
    <w:basedOn w:val="9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6 Colorful"/>
    <w:basedOn w:val="9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7 Colorful"/>
    <w:basedOn w:val="9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1 Light"/>
    <w:basedOn w:val="9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2"/>
    <w:basedOn w:val="9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3"/>
    <w:basedOn w:val="9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w:basedOn w:val="9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5 Dark"/>
    <w:basedOn w:val="9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w:basedOn w:val="9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7 Colorful"/>
    <w:basedOn w:val="9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2" w:customStyle="1">
    <w:name w:val="TOC Heading"/>
    <w:uiPriority w:val="39"/>
    <w:unhideWhenUsed/>
    <w:qFormat/>
    <w:rPr>
      <w:rFonts w:hint="default" w:ascii="Times New Roman" w:hAnsi="Times New Roman" w:eastAsia="宋体" w:cs="Times New Roman"/>
    </w:rPr>
  </w:style>
  <w:style w:type="character" w:styleId="1003" w:customStyle="1">
    <w:name w:val="Heading 1 Char"/>
    <w:uiPriority w:val="9"/>
    <w:qFormat/>
    <w:rPr>
      <w:rFonts w:ascii="Arial" w:hAnsi="Arial" w:eastAsia="Arial" w:cs="Arial"/>
      <w:sz w:val="40"/>
      <w:szCs w:val="40"/>
    </w:rPr>
  </w:style>
  <w:style w:type="character" w:styleId="1004" w:customStyle="1">
    <w:name w:val="Heading 2 Char"/>
    <w:uiPriority w:val="9"/>
    <w:qFormat/>
    <w:rPr>
      <w:rFonts w:ascii="Arial" w:hAnsi="Arial" w:eastAsia="Arial" w:cs="Arial"/>
      <w:sz w:val="34"/>
    </w:rPr>
  </w:style>
  <w:style w:type="character" w:styleId="1005" w:customStyle="1">
    <w:name w:val="Heading 3 Char"/>
    <w:uiPriority w:val="9"/>
    <w:qFormat/>
    <w:rPr>
      <w:rFonts w:ascii="Arial" w:hAnsi="Arial" w:eastAsia="Arial" w:cs="Arial"/>
      <w:sz w:val="30"/>
      <w:szCs w:val="30"/>
    </w:rPr>
  </w:style>
  <w:style w:type="character" w:styleId="1006" w:customStyle="1">
    <w:name w:val="Heading 4 Char"/>
    <w:uiPriority w:val="9"/>
    <w:qFormat/>
    <w:rPr>
      <w:rFonts w:ascii="Arial" w:hAnsi="Arial" w:eastAsia="Arial" w:cs="Arial"/>
      <w:b/>
      <w:bCs/>
      <w:sz w:val="26"/>
      <w:szCs w:val="26"/>
    </w:rPr>
  </w:style>
  <w:style w:type="character" w:styleId="1007" w:customStyle="1">
    <w:name w:val="Heading 5 Char"/>
    <w:uiPriority w:val="9"/>
    <w:qFormat/>
    <w:rPr>
      <w:rFonts w:ascii="Arial" w:hAnsi="Arial" w:eastAsia="Arial" w:cs="Arial"/>
      <w:b/>
      <w:bCs/>
      <w:sz w:val="24"/>
      <w:szCs w:val="24"/>
    </w:rPr>
  </w:style>
  <w:style w:type="character" w:styleId="1008" w:customStyle="1">
    <w:name w:val="Heading 6 Char"/>
    <w:uiPriority w:val="9"/>
    <w:qFormat/>
    <w:rPr>
      <w:rFonts w:ascii="Arial" w:hAnsi="Arial" w:eastAsia="Arial" w:cs="Arial"/>
      <w:b/>
      <w:bCs/>
      <w:sz w:val="22"/>
      <w:szCs w:val="22"/>
    </w:rPr>
  </w:style>
  <w:style w:type="character" w:styleId="1009" w:customStyle="1">
    <w:name w:val="Heading 7 Char"/>
    <w:uiPriority w:val="9"/>
    <w:qFormat/>
    <w:rPr>
      <w:rFonts w:ascii="Arial" w:hAnsi="Arial" w:eastAsia="Arial" w:cs="Arial"/>
      <w:b/>
      <w:bCs/>
      <w:i/>
      <w:iCs/>
      <w:sz w:val="22"/>
      <w:szCs w:val="22"/>
    </w:rPr>
  </w:style>
  <w:style w:type="character" w:styleId="1010" w:customStyle="1">
    <w:name w:val="Heading 8 Char"/>
    <w:uiPriority w:val="9"/>
    <w:qFormat/>
    <w:rPr>
      <w:rFonts w:ascii="Arial" w:hAnsi="Arial" w:eastAsia="Arial" w:cs="Arial"/>
      <w:i/>
      <w:iCs/>
      <w:sz w:val="22"/>
      <w:szCs w:val="22"/>
    </w:rPr>
  </w:style>
  <w:style w:type="character" w:styleId="1011" w:customStyle="1">
    <w:name w:val="Heading 9 Char"/>
    <w:uiPriority w:val="9"/>
    <w:qFormat/>
    <w:rPr>
      <w:rFonts w:ascii="Arial" w:hAnsi="Arial" w:eastAsia="Arial" w:cs="Arial"/>
      <w:i/>
      <w:iCs/>
      <w:sz w:val="21"/>
      <w:szCs w:val="21"/>
    </w:rPr>
  </w:style>
  <w:style w:type="paragraph" w:styleId="1012">
    <w:name w:val="List Paragraph"/>
    <w:basedOn w:val="924"/>
    <w:uiPriority w:val="0"/>
    <w:qFormat/>
    <w:pPr>
      <w:contextualSpacing/>
      <w:ind w:left="720"/>
      <w:jc w:val="left"/>
      <w:widowControl/>
    </w:pPr>
    <w:rPr>
      <w:rFonts w:ascii="Calibri" w:hAnsi="Calibri"/>
      <w:sz w:val="24"/>
      <w:szCs w:val="24"/>
      <w:lang w:eastAsia="en-US" w:bidi="en-US"/>
    </w:rPr>
  </w:style>
  <w:style w:type="paragraph" w:styleId="1013">
    <w:name w:val="No Spacing"/>
    <w:uiPriority w:val="1"/>
    <w:qFormat/>
    <w:pPr>
      <w:jc w:val="both"/>
      <w:widowControl w:val="off"/>
    </w:pPr>
    <w:rPr>
      <w:rFonts w:hint="default" w:ascii="Times New Roman" w:hAnsi="Times New Roman" w:eastAsia="宋体" w:cs="Times New Roman"/>
      <w:sz w:val="21"/>
      <w:szCs w:val="21"/>
    </w:rPr>
  </w:style>
  <w:style w:type="character" w:styleId="1014" w:customStyle="1">
    <w:name w:val="Title Char"/>
    <w:uiPriority w:val="10"/>
    <w:qFormat/>
    <w:rPr>
      <w:sz w:val="48"/>
      <w:szCs w:val="48"/>
    </w:rPr>
  </w:style>
  <w:style w:type="character" w:styleId="1015" w:customStyle="1">
    <w:name w:val="Subtitle Char"/>
    <w:uiPriority w:val="11"/>
    <w:qFormat/>
    <w:rPr>
      <w:sz w:val="24"/>
      <w:szCs w:val="24"/>
    </w:rPr>
  </w:style>
  <w:style w:type="paragraph" w:styleId="1016">
    <w:name w:val="Quote"/>
    <w:basedOn w:val="924"/>
    <w:next w:val="924"/>
    <w:link w:val="1091"/>
    <w:uiPriority w:val="29"/>
    <w:qFormat/>
    <w:pPr>
      <w:ind w:left="720" w:right="720"/>
    </w:pPr>
    <w:rPr>
      <w:i/>
    </w:rPr>
  </w:style>
  <w:style w:type="character" w:styleId="1017" w:customStyle="1">
    <w:name w:val="Quote Char"/>
    <w:uiPriority w:val="29"/>
    <w:qFormat/>
    <w:rPr>
      <w:i/>
    </w:rPr>
  </w:style>
  <w:style w:type="paragraph" w:styleId="1018">
    <w:name w:val="Intense Quote"/>
    <w:basedOn w:val="924"/>
    <w:next w:val="924"/>
    <w:link w:val="10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9" w:customStyle="1">
    <w:name w:val="Intense Quote Char"/>
    <w:uiPriority w:val="30"/>
    <w:qFormat/>
    <w:rPr>
      <w:i/>
    </w:rPr>
  </w:style>
  <w:style w:type="character" w:styleId="1020" w:customStyle="1">
    <w:name w:val="Header Char"/>
    <w:uiPriority w:val="99"/>
    <w:qFormat/>
  </w:style>
  <w:style w:type="character" w:styleId="1021" w:customStyle="1">
    <w:name w:val="Caption Char"/>
    <w:uiPriority w:val="99"/>
    <w:qFormat/>
  </w:style>
  <w:style w:type="character" w:styleId="1022" w:customStyle="1">
    <w:name w:val="Footnote Text Char"/>
    <w:uiPriority w:val="99"/>
    <w:qFormat/>
    <w:rPr>
      <w:sz w:val="18"/>
    </w:rPr>
  </w:style>
  <w:style w:type="character" w:styleId="1023" w:customStyle="1">
    <w:name w:val="Endnote Text Char"/>
    <w:uiPriority w:val="99"/>
    <w:qFormat/>
    <w:rPr>
      <w:sz w:val="20"/>
    </w:rPr>
  </w:style>
  <w:style w:type="paragraph" w:styleId="1024" w:customStyle="1">
    <w:name w:val="TOC 标题1"/>
    <w:uiPriority w:val="39"/>
    <w:unhideWhenUsed/>
    <w:qFormat/>
    <w:rPr>
      <w:rFonts w:hint="default" w:ascii="Times New Roman" w:hAnsi="Times New Roman" w:eastAsia="宋体" w:cs="Times New Roman"/>
    </w:rPr>
  </w:style>
  <w:style w:type="character" w:styleId="1025" w:customStyle="1">
    <w:name w:val="标题 1 Char"/>
    <w:link w:val="925"/>
    <w:uiPriority w:val="9"/>
    <w:qFormat/>
    <w:rPr>
      <w:rFonts w:ascii="楷体_GB2312" w:hAnsi="Times New Roman" w:eastAsia="楷体_GB2312" w:cs="Times New Roman"/>
      <w:sz w:val="28"/>
      <w:szCs w:val="28"/>
    </w:rPr>
  </w:style>
  <w:style w:type="character" w:styleId="1026" w:customStyle="1">
    <w:name w:val="标题 2 Char"/>
    <w:link w:val="926"/>
    <w:uiPriority w:val="9"/>
    <w:qFormat/>
    <w:rPr>
      <w:rFonts w:ascii="Arial" w:hAnsi="Arial" w:eastAsia="幼圆" w:cs="Arial"/>
      <w:b/>
      <w:bCs/>
      <w:sz w:val="44"/>
      <w:szCs w:val="44"/>
    </w:rPr>
  </w:style>
  <w:style w:type="character" w:styleId="1027" w:customStyle="1">
    <w:name w:val="正文缩进 Char"/>
    <w:link w:val="936"/>
    <w:uiPriority w:val="0"/>
    <w:qFormat/>
    <w:rPr>
      <w:rFonts w:ascii="Times New Roman" w:hAnsi="Times New Roman" w:eastAsia="宋体" w:cs="Times New Roman"/>
      <w:szCs w:val="21"/>
    </w:rPr>
  </w:style>
  <w:style w:type="character" w:styleId="1028" w:customStyle="1">
    <w:name w:val="标题 3 Char"/>
    <w:link w:val="927"/>
    <w:uiPriority w:val="9"/>
    <w:qFormat/>
    <w:rPr>
      <w:rFonts w:ascii="Times New Roman" w:hAnsi="Times New Roman" w:eastAsia="宋体" w:cs="Times New Roman"/>
      <w:b/>
      <w:bCs/>
      <w:sz w:val="32"/>
      <w:szCs w:val="32"/>
    </w:rPr>
  </w:style>
  <w:style w:type="character" w:styleId="1029" w:customStyle="1">
    <w:name w:val="标题 4 Char"/>
    <w:link w:val="928"/>
    <w:uiPriority w:val="9"/>
    <w:qFormat/>
    <w:rPr>
      <w:rFonts w:ascii="Arial" w:hAnsi="Arial" w:eastAsia="黑体" w:cs="Arial"/>
      <w:b/>
      <w:bCs/>
      <w:sz w:val="28"/>
      <w:szCs w:val="28"/>
    </w:rPr>
  </w:style>
  <w:style w:type="character" w:styleId="1030" w:customStyle="1">
    <w:name w:val="标题 5 Char"/>
    <w:link w:val="929"/>
    <w:uiPriority w:val="9"/>
    <w:qFormat/>
    <w:rPr>
      <w:rFonts w:ascii="宋体" w:hAnsi="Times New Roman" w:eastAsia="宋体" w:cs="Times New Roman"/>
      <w:color w:val="000000"/>
      <w:sz w:val="28"/>
      <w:szCs w:val="28"/>
    </w:rPr>
  </w:style>
  <w:style w:type="character" w:styleId="1031" w:customStyle="1">
    <w:name w:val="标题 6 Char"/>
    <w:link w:val="930"/>
    <w:uiPriority w:val="9"/>
    <w:qFormat/>
    <w:rPr>
      <w:rFonts w:ascii="Arial" w:hAnsi="Arial" w:eastAsia="黑体" w:cs="Times New Roman"/>
      <w:b/>
      <w:bCs/>
      <w:sz w:val="24"/>
      <w:szCs w:val="24"/>
    </w:rPr>
  </w:style>
  <w:style w:type="character" w:styleId="1032" w:customStyle="1">
    <w:name w:val="标题 7 Char"/>
    <w:link w:val="931"/>
    <w:uiPriority w:val="9"/>
    <w:qFormat/>
    <w:rPr>
      <w:rFonts w:ascii="Times New Roman" w:hAnsi="Times New Roman" w:eastAsia="宋体" w:cs="Times New Roman"/>
      <w:b/>
      <w:bCs/>
      <w:sz w:val="24"/>
      <w:szCs w:val="24"/>
    </w:rPr>
  </w:style>
  <w:style w:type="character" w:styleId="1033" w:customStyle="1">
    <w:name w:val="标题 8 Char"/>
    <w:link w:val="932"/>
    <w:uiPriority w:val="9"/>
    <w:qFormat/>
    <w:rPr>
      <w:rFonts w:ascii="Arial" w:hAnsi="Arial" w:eastAsia="黑体" w:cs="Times New Roman"/>
      <w:sz w:val="24"/>
      <w:szCs w:val="24"/>
    </w:rPr>
  </w:style>
  <w:style w:type="character" w:styleId="1034" w:customStyle="1">
    <w:name w:val="标题 9 Char"/>
    <w:link w:val="933"/>
    <w:uiPriority w:val="9"/>
    <w:qFormat/>
    <w:rPr>
      <w:rFonts w:ascii="Arial" w:hAnsi="Arial" w:eastAsia="黑体" w:cs="Times New Roman"/>
      <w:szCs w:val="21"/>
    </w:rPr>
  </w:style>
  <w:style w:type="character" w:styleId="1035" w:customStyle="1">
    <w:name w:val="文档结构图 Char"/>
    <w:link w:val="940"/>
    <w:uiPriority w:val="0"/>
    <w:semiHidden/>
    <w:qFormat/>
    <w:rPr>
      <w:rFonts w:ascii="Times New Roman" w:hAnsi="Times New Roman" w:eastAsia="宋体" w:cs="Times New Roman"/>
      <w:szCs w:val="21"/>
      <w:shd w:val="clear" w:color="auto" w:fill="000080"/>
    </w:rPr>
  </w:style>
  <w:style w:type="character" w:styleId="1036" w:customStyle="1">
    <w:name w:val="批注文字 Char"/>
    <w:link w:val="941"/>
    <w:uiPriority w:val="99"/>
    <w:semiHidden/>
    <w:qFormat/>
    <w:rPr>
      <w:rFonts w:ascii="Times New Roman" w:hAnsi="Times New Roman" w:eastAsia="宋体" w:cs="Times New Roman"/>
      <w:szCs w:val="21"/>
    </w:rPr>
  </w:style>
  <w:style w:type="character" w:styleId="1037" w:customStyle="1">
    <w:name w:val="正文文本 3 Char"/>
    <w:link w:val="942"/>
    <w:uiPriority w:val="0"/>
    <w:qFormat/>
    <w:rPr>
      <w:rFonts w:ascii="仿宋_GB2312" w:hAnsi="Arial" w:eastAsia="仿宋_GB2312" w:cs="Times New Roman"/>
      <w:sz w:val="32"/>
      <w:szCs w:val="32"/>
    </w:rPr>
  </w:style>
  <w:style w:type="character" w:styleId="1038" w:customStyle="1">
    <w:name w:val="正文文本 Char"/>
    <w:link w:val="943"/>
    <w:uiPriority w:val="0"/>
    <w:qFormat/>
    <w:rPr>
      <w:rFonts w:ascii="楷体_GB2312" w:hAnsi="Arial" w:eastAsia="楷体_GB2312" w:cs="Times New Roman"/>
      <w:sz w:val="28"/>
      <w:szCs w:val="28"/>
    </w:rPr>
  </w:style>
  <w:style w:type="character" w:styleId="1039" w:customStyle="1">
    <w:name w:val="正文文本缩进 Char"/>
    <w:link w:val="944"/>
    <w:uiPriority w:val="0"/>
    <w:qFormat/>
    <w:rPr>
      <w:rFonts w:ascii="楷体_GB2312" w:hAnsi="Times New Roman" w:eastAsia="楷体_GB2312" w:cs="Times New Roman"/>
      <w:sz w:val="32"/>
      <w:szCs w:val="32"/>
    </w:rPr>
  </w:style>
  <w:style w:type="character" w:styleId="1040" w:customStyle="1">
    <w:name w:val="纯文本 Char"/>
    <w:link w:val="949"/>
    <w:uiPriority w:val="0"/>
    <w:qFormat/>
    <w:rPr>
      <w:rFonts w:ascii="宋体" w:hAnsi="Courier New" w:eastAsia="宋体" w:cs="Courier New"/>
      <w:szCs w:val="21"/>
    </w:rPr>
  </w:style>
  <w:style w:type="character" w:styleId="1041" w:customStyle="1">
    <w:name w:val="日期 Char"/>
    <w:link w:val="951"/>
    <w:uiPriority w:val="0"/>
    <w:qFormat/>
    <w:rPr>
      <w:rFonts w:ascii="Times New Roman" w:hAnsi="Times New Roman" w:eastAsia="宋体" w:cs="Times New Roman"/>
      <w:sz w:val="24"/>
      <w:szCs w:val="24"/>
    </w:rPr>
  </w:style>
  <w:style w:type="character" w:styleId="1042" w:customStyle="1">
    <w:name w:val="正文文本缩进 2 Char"/>
    <w:link w:val="952"/>
    <w:uiPriority w:val="0"/>
    <w:qFormat/>
    <w:rPr>
      <w:rFonts w:ascii="Arial" w:hAnsi="Arial" w:eastAsia="仿宋_GB2312" w:cs="Arial"/>
      <w:sz w:val="32"/>
      <w:szCs w:val="32"/>
    </w:rPr>
  </w:style>
  <w:style w:type="character" w:styleId="1043" w:customStyle="1">
    <w:name w:val="尾注文本 Char"/>
    <w:link w:val="953"/>
    <w:uiPriority w:val="99"/>
    <w:semiHidden/>
    <w:qFormat/>
    <w:rPr>
      <w:rFonts w:ascii="Times New Roman" w:hAnsi="Times New Roman"/>
      <w:szCs w:val="21"/>
    </w:rPr>
  </w:style>
  <w:style w:type="character" w:styleId="1044" w:customStyle="1">
    <w:name w:val="批注框文本 Char"/>
    <w:link w:val="954"/>
    <w:uiPriority w:val="99"/>
    <w:semiHidden/>
    <w:qFormat/>
    <w:rPr>
      <w:rFonts w:ascii="Times New Roman" w:hAnsi="Times New Roman" w:eastAsia="宋体" w:cs="Times New Roman"/>
      <w:sz w:val="18"/>
      <w:szCs w:val="18"/>
    </w:rPr>
  </w:style>
  <w:style w:type="character" w:styleId="1045" w:customStyle="1">
    <w:name w:val="页脚 Char"/>
    <w:link w:val="955"/>
    <w:uiPriority w:val="99"/>
    <w:qFormat/>
    <w:rPr>
      <w:rFonts w:ascii="Times New Roman" w:hAnsi="Times New Roman" w:eastAsia="宋体" w:cs="Times New Roman"/>
      <w:sz w:val="18"/>
      <w:szCs w:val="18"/>
    </w:rPr>
  </w:style>
  <w:style w:type="character" w:styleId="1046" w:customStyle="1">
    <w:name w:val="页眉 Char"/>
    <w:link w:val="956"/>
    <w:uiPriority w:val="99"/>
    <w:qFormat/>
    <w:rPr>
      <w:rFonts w:ascii="Times New Roman" w:hAnsi="Times New Roman" w:eastAsia="宋体" w:cs="Times New Roman"/>
      <w:sz w:val="18"/>
      <w:szCs w:val="18"/>
    </w:rPr>
  </w:style>
  <w:style w:type="character" w:styleId="1047" w:customStyle="1">
    <w:name w:val="副标题 Char"/>
    <w:link w:val="959"/>
    <w:uiPriority w:val="11"/>
    <w:qFormat/>
    <w:rPr>
      <w:rFonts w:ascii="Times New Roman" w:hAnsi="Times New Roman"/>
      <w:sz w:val="24"/>
      <w:szCs w:val="24"/>
    </w:rPr>
  </w:style>
  <w:style w:type="character" w:styleId="1048" w:customStyle="1">
    <w:name w:val="脚注文本 Char"/>
    <w:link w:val="961"/>
    <w:uiPriority w:val="99"/>
    <w:semiHidden/>
    <w:qFormat/>
    <w:rPr>
      <w:rFonts w:ascii="Times New Roman" w:hAnsi="Times New Roman"/>
      <w:sz w:val="18"/>
      <w:szCs w:val="21"/>
    </w:rPr>
  </w:style>
  <w:style w:type="character" w:styleId="1049" w:customStyle="1">
    <w:name w:val="正文文本缩进 3 Char"/>
    <w:link w:val="963"/>
    <w:uiPriority w:val="0"/>
    <w:qFormat/>
    <w:rPr>
      <w:rFonts w:ascii="Arial" w:hAnsi="Arial" w:eastAsia="仿宋_GB2312" w:cs="Arial"/>
      <w:color w:val="ffff00"/>
      <w:sz w:val="32"/>
      <w:szCs w:val="32"/>
    </w:rPr>
  </w:style>
  <w:style w:type="character" w:styleId="1050" w:customStyle="1">
    <w:name w:val="正文文本 2 Char"/>
    <w:link w:val="967"/>
    <w:uiPriority w:val="0"/>
    <w:qFormat/>
    <w:rPr>
      <w:rFonts w:ascii="楷体_GB2312" w:hAnsi="Times New Roman" w:eastAsia="楷体_GB2312" w:cs="Times New Roman"/>
      <w:sz w:val="28"/>
      <w:szCs w:val="28"/>
    </w:rPr>
  </w:style>
  <w:style w:type="character" w:styleId="1051" w:customStyle="1">
    <w:name w:val="标题 Char"/>
    <w:link w:val="970"/>
    <w:uiPriority w:val="10"/>
    <w:qFormat/>
    <w:rPr>
      <w:rFonts w:ascii="Times New Roman" w:hAnsi="Times New Roman"/>
      <w:sz w:val="48"/>
      <w:szCs w:val="48"/>
    </w:rPr>
  </w:style>
  <w:style w:type="character" w:styleId="1052" w:customStyle="1">
    <w:name w:val="批注主题 Char"/>
    <w:link w:val="971"/>
    <w:uiPriority w:val="99"/>
    <w:semiHidden/>
    <w:qFormat/>
    <w:rPr>
      <w:rFonts w:ascii="Times New Roman" w:hAnsi="Times New Roman" w:eastAsia="宋体" w:cs="Times New Roman"/>
      <w:b/>
      <w:bCs/>
      <w:szCs w:val="21"/>
    </w:rPr>
  </w:style>
  <w:style w:type="character" w:styleId="1053" w:customStyle="1">
    <w:name w:val="正文首行缩进 Char"/>
    <w:link w:val="972"/>
    <w:uiPriority w:val="0"/>
    <w:qFormat/>
    <w:rPr>
      <w:rFonts w:ascii="仿宋_GB2312" w:hAnsi="Times New Roman" w:eastAsia="仿宋_GB2312" w:cs="Times New Roman"/>
      <w:sz w:val="30"/>
      <w:szCs w:val="30"/>
    </w:rPr>
  </w:style>
  <w:style w:type="character" w:styleId="1054" w:customStyle="1">
    <w:name w:val="正文首行缩进 2 Char"/>
    <w:link w:val="973"/>
    <w:uiPriority w:val="0"/>
    <w:qFormat/>
    <w:rPr>
      <w:rFonts w:ascii="宋体" w:hAnsi="宋体" w:eastAsia="宋体" w:cs="Times New Roman"/>
      <w:sz w:val="32"/>
      <w:szCs w:val="20"/>
    </w:rPr>
  </w:style>
  <w:style w:type="character" w:styleId="1055" w:customStyle="1">
    <w:name w:val="font5 Char"/>
    <w:uiPriority w:val="0"/>
    <w:qFormat/>
    <w:rPr>
      <w:rFonts w:ascii="宋体" w:hAnsi="宋体" w:eastAsia="宋体"/>
      <w:sz w:val="28"/>
      <w:szCs w:val="28"/>
      <w:lang w:val="en-US" w:eastAsia="zh-CN" w:bidi="ar-SA"/>
    </w:rPr>
  </w:style>
  <w:style w:type="character" w:styleId="1056" w:customStyle="1">
    <w:name w:val="二级目录 Char"/>
    <w:link w:val="1057"/>
    <w:uiPriority w:val="0"/>
    <w:qFormat/>
    <w:rPr>
      <w:b/>
      <w:sz w:val="30"/>
      <w:szCs w:val="28"/>
    </w:rPr>
  </w:style>
  <w:style w:type="paragraph" w:styleId="1057" w:customStyle="1">
    <w:name w:val="二级目录"/>
    <w:next w:val="924"/>
    <w:link w:val="1056"/>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1058" w:customStyle="1">
    <w:name w:val="列出段落 Char"/>
    <w:link w:val="1059"/>
    <w:uiPriority w:val="0"/>
    <w:qFormat/>
    <w:rPr>
      <w:rFonts w:ascii="Calibri" w:hAnsi="Calibri"/>
      <w:sz w:val="24"/>
      <w:szCs w:val="24"/>
      <w:lang w:eastAsia="en-US" w:bidi="en-US"/>
    </w:rPr>
  </w:style>
  <w:style w:type="paragraph" w:styleId="1059" w:customStyle="1">
    <w:name w:val="列出段落1"/>
    <w:basedOn w:val="924"/>
    <w:link w:val="1058"/>
    <w:uiPriority w:val="0"/>
    <w:qFormat/>
    <w:pPr>
      <w:contextualSpacing/>
      <w:ind w:left="720"/>
      <w:jc w:val="left"/>
      <w:widowControl/>
    </w:pPr>
    <w:rPr>
      <w:rFonts w:ascii="Calibri" w:hAnsi="Calibri"/>
      <w:sz w:val="24"/>
      <w:szCs w:val="24"/>
      <w:lang w:eastAsia="en-US" w:bidi="en-US"/>
    </w:rPr>
  </w:style>
  <w:style w:type="paragraph" w:styleId="1060" w:customStyle="1">
    <w:name w:val="Body Text(ch)"/>
    <w:basedOn w:val="924"/>
    <w:next w:val="943"/>
    <w:uiPriority w:val="0"/>
    <w:qFormat/>
    <w:pPr>
      <w:spacing w:after="120"/>
    </w:pPr>
    <w:rPr>
      <w:rFonts w:ascii="宋体" w:hAnsi="Arial"/>
      <w:bCs/>
      <w:iCs/>
      <w:szCs w:val="24"/>
    </w:rPr>
  </w:style>
  <w:style w:type="paragraph" w:styleId="1061" w:customStyle="1">
    <w:name w:val="xl27"/>
    <w:basedOn w:val="9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6"/>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3" w:customStyle="1">
    <w:name w:val="Char"/>
    <w:basedOn w:val="924"/>
    <w:uiPriority w:val="0"/>
    <w:qFormat/>
    <w:pPr>
      <w:ind w:firstLine="200"/>
      <w:tabs>
        <w:tab w:val="left" w:pos="360" w:leader="none"/>
      </w:tabs>
    </w:pPr>
    <w:rPr>
      <w:sz w:val="28"/>
      <w:szCs w:val="30"/>
    </w:rPr>
  </w:style>
  <w:style w:type="paragraph" w:styleId="1064" w:customStyle="1">
    <w:name w:val="Char1"/>
    <w:basedOn w:val="940"/>
    <w:uiPriority w:val="0"/>
    <w:qFormat/>
    <w:rPr>
      <w:rFonts w:ascii="Tahoma" w:hAnsi="Tahoma"/>
      <w:sz w:val="24"/>
      <w:szCs w:val="24"/>
    </w:rPr>
  </w:style>
  <w:style w:type="paragraph" w:styleId="1065" w:customStyle="1">
    <w:name w:val="普通正文"/>
    <w:basedOn w:val="924"/>
    <w:uiPriority w:val="0"/>
    <w:qFormat/>
    <w:pPr>
      <w:ind w:firstLine="480"/>
      <w:jc w:val="left"/>
      <w:spacing w:before="120" w:after="120" w:line="360" w:lineRule="auto"/>
    </w:pPr>
    <w:rPr>
      <w:rFonts w:ascii="Arial" w:hAnsi="Arial"/>
      <w:sz w:val="24"/>
      <w:szCs w:val="24"/>
    </w:rPr>
  </w:style>
  <w:style w:type="paragraph" w:styleId="1066" w:customStyle="1">
    <w:name w:val="table_lines"/>
    <w:basedOn w:val="924"/>
    <w:uiPriority w:val="0"/>
    <w:qFormat/>
    <w:pPr>
      <w:jc w:val="left"/>
      <w:widowControl/>
    </w:pPr>
    <w:rPr>
      <w:sz w:val="20"/>
      <w:szCs w:val="20"/>
      <w:lang w:val="de-DE" w:eastAsia="de-DE"/>
    </w:rPr>
  </w:style>
  <w:style w:type="paragraph" w:styleId="106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68" w:customStyle="1">
    <w:name w:val="font7"/>
    <w:basedOn w:val="924"/>
    <w:uiPriority w:val="0"/>
    <w:qFormat/>
    <w:pPr>
      <w:jc w:val="left"/>
      <w:spacing w:before="100" w:beforeAutospacing="1" w:after="100" w:afterAutospacing="1"/>
      <w:widowControl/>
    </w:pPr>
    <w:rPr>
      <w:rFonts w:hint="eastAsia" w:ascii="宋体" w:hAnsi="宋体"/>
      <w:sz w:val="18"/>
      <w:szCs w:val="18"/>
    </w:rPr>
  </w:style>
  <w:style w:type="paragraph" w:styleId="1069" w:customStyle="1">
    <w:name w:val="Char Char Char Char"/>
    <w:basedOn w:val="940"/>
    <w:uiPriority w:val="0"/>
    <w:qFormat/>
    <w:pPr>
      <w:spacing w:line="360" w:lineRule="auto"/>
    </w:pPr>
    <w:rPr>
      <w:rFonts w:ascii="Tahoma" w:hAnsi="Tahoma"/>
      <w:sz w:val="24"/>
      <w:szCs w:val="24"/>
    </w:rPr>
  </w:style>
  <w:style w:type="paragraph" w:styleId="1070" w:customStyle="1">
    <w:name w:val="4"/>
    <w:basedOn w:val="924"/>
    <w:next w:val="963"/>
    <w:uiPriority w:val="0"/>
    <w:qFormat/>
    <w:pPr>
      <w:ind w:firstLine="420"/>
      <w:spacing w:line="360" w:lineRule="auto"/>
    </w:pPr>
    <w:rPr>
      <w:color w:val="ff0000"/>
      <w:sz w:val="24"/>
      <w:szCs w:val="24"/>
    </w:rPr>
  </w:style>
  <w:style w:type="paragraph" w:styleId="1071" w:customStyle="1">
    <w:name w:val="普通 (Web)"/>
    <w:basedOn w:val="924"/>
    <w:uiPriority w:val="0"/>
    <w:qFormat/>
    <w:pPr>
      <w:jc w:val="left"/>
      <w:spacing w:before="100" w:beforeAutospacing="1" w:after="100" w:afterAutospacing="1"/>
      <w:widowControl/>
    </w:pPr>
    <w:rPr>
      <w:rFonts w:ascii="宋体" w:hAnsi="宋体"/>
      <w:sz w:val="24"/>
      <w:szCs w:val="24"/>
    </w:rPr>
  </w:style>
  <w:style w:type="paragraph" w:styleId="1072" w:customStyle="1">
    <w:name w:val="Char Char Char Char Char Char Char Char Char Char"/>
    <w:basedOn w:val="924"/>
    <w:uiPriority w:val="0"/>
    <w:qFormat/>
    <w:pPr>
      <w:spacing w:line="360" w:lineRule="auto"/>
    </w:pPr>
    <w:rPr>
      <w:sz w:val="24"/>
      <w:szCs w:val="20"/>
    </w:rPr>
  </w:style>
  <w:style w:type="paragraph" w:styleId="1073" w:customStyle="1">
    <w:name w:val="样式1"/>
    <w:basedOn w:val="924"/>
    <w:uiPriority w:val="0"/>
    <w:qFormat/>
    <w:pPr>
      <w:numPr>
        <w:ilvl w:val="0"/>
        <w:numId w:val="3"/>
      </w:numPr>
    </w:pPr>
    <w:rPr>
      <w:rFonts w:ascii="宋体" w:hAnsi="宋体"/>
    </w:rPr>
  </w:style>
  <w:style w:type="paragraph" w:styleId="1074" w:customStyle="1">
    <w:name w:val="font6"/>
    <w:basedOn w:val="924"/>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9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图标"/>
    <w:basedOn w:val="924"/>
    <w:next w:val="9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customStyle="1">
    <w:name w:val="标题3"/>
    <w:basedOn w:val="924"/>
    <w:next w:val="924"/>
    <w:uiPriority w:val="0"/>
    <w:qFormat/>
    <w:pPr>
      <w:ind w:firstLine="624"/>
      <w:spacing w:line="590" w:lineRule="atLeast"/>
    </w:pPr>
    <w:rPr>
      <w:rFonts w:ascii="方正黑体_GBK" w:eastAsia="方正黑体_GBK"/>
      <w:sz w:val="32"/>
      <w:szCs w:val="32"/>
    </w:rPr>
  </w:style>
  <w:style w:type="paragraph" w:styleId="1078" w:customStyle="1">
    <w:name w:val="xl24"/>
    <w:basedOn w:val="9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xl29"/>
    <w:basedOn w:val="9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customStyle="1">
    <w:name w:val="Char Char Char Char Char Char Char Char"/>
    <w:basedOn w:val="924"/>
    <w:uiPriority w:val="0"/>
    <w:qFormat/>
    <w:pPr>
      <w:jc w:val="left"/>
      <w:spacing w:after="160" w:line="240" w:lineRule="exact"/>
      <w:widowControl/>
    </w:pPr>
    <w:rPr>
      <w:rFonts w:ascii="Verdana" w:hAnsi="Verdana"/>
      <w:sz w:val="20"/>
      <w:szCs w:val="20"/>
      <w:lang w:eastAsia="en-US"/>
    </w:rPr>
  </w:style>
  <w:style w:type="paragraph" w:styleId="1081" w:customStyle="1">
    <w:name w:val="xl28"/>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2" w:customStyle="1">
    <w:name w:val="Char Char Char Char Char Char Char Char1"/>
    <w:basedOn w:val="924"/>
    <w:uiPriority w:val="0"/>
    <w:qFormat/>
    <w:pPr>
      <w:jc w:val="left"/>
      <w:spacing w:after="160" w:line="240" w:lineRule="exact"/>
      <w:widowControl/>
    </w:pPr>
    <w:rPr>
      <w:rFonts w:ascii="Verdana" w:hAnsi="Verdana"/>
      <w:sz w:val="20"/>
      <w:szCs w:val="20"/>
      <w:lang w:eastAsia="en-US"/>
    </w:rPr>
  </w:style>
  <w:style w:type="paragraph" w:styleId="1083" w:customStyle="1">
    <w:name w:val="xl30"/>
    <w:basedOn w:val="924"/>
    <w:uiPriority w:val="0"/>
    <w:qFormat/>
    <w:pPr>
      <w:jc w:val="center"/>
      <w:spacing w:before="100" w:beforeAutospacing="1" w:after="100" w:afterAutospacing="1"/>
      <w:widowControl/>
    </w:pPr>
    <w:rPr>
      <w:rFonts w:ascii="宋体" w:hAnsi="宋体"/>
      <w:b/>
      <w:bCs/>
      <w:sz w:val="36"/>
      <w:szCs w:val="36"/>
    </w:rPr>
  </w:style>
  <w:style w:type="paragraph" w:styleId="1084" w:customStyle="1">
    <w:name w:val="Char Char Char Char1"/>
    <w:basedOn w:val="940"/>
    <w:uiPriority w:val="0"/>
    <w:qFormat/>
    <w:pPr>
      <w:spacing w:line="360" w:lineRule="auto"/>
    </w:pPr>
    <w:rPr>
      <w:rFonts w:ascii="Tahoma" w:hAnsi="Tahoma"/>
      <w:sz w:val="24"/>
      <w:szCs w:val="24"/>
    </w:rPr>
  </w:style>
  <w:style w:type="paragraph" w:styleId="1085" w:customStyle="1">
    <w:name w:val="table_1stline"/>
    <w:basedOn w:val="924"/>
    <w:uiPriority w:val="0"/>
    <w:qFormat/>
    <w:pPr>
      <w:jc w:val="left"/>
      <w:spacing w:before="120"/>
      <w:widowControl/>
    </w:pPr>
    <w:rPr>
      <w:bCs/>
      <w:sz w:val="20"/>
      <w:szCs w:val="20"/>
      <w:lang w:val="de-DE" w:eastAsia="de-DE"/>
    </w:rPr>
  </w:style>
  <w:style w:type="paragraph" w:styleId="1086" w:customStyle="1">
    <w:name w:val="font5"/>
    <w:basedOn w:val="924"/>
    <w:uiPriority w:val="0"/>
    <w:qFormat/>
    <w:pPr>
      <w:jc w:val="left"/>
      <w:spacing w:before="100" w:beforeAutospacing="1" w:after="100" w:afterAutospacing="1"/>
      <w:widowControl/>
    </w:pPr>
    <w:rPr>
      <w:rFonts w:hint="eastAsia" w:ascii="宋体" w:hAnsi="宋体"/>
      <w:sz w:val="28"/>
      <w:szCs w:val="28"/>
    </w:rPr>
  </w:style>
  <w:style w:type="paragraph" w:styleId="1087" w:customStyle="1">
    <w:name w:val="标题1"/>
    <w:basedOn w:val="924"/>
    <w:next w:val="9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customStyle="1">
    <w:name w:val="修订1"/>
    <w:uiPriority w:val="99"/>
    <w:semiHidden/>
    <w:qFormat/>
    <w:rPr>
      <w:rFonts w:hint="default" w:ascii="Times New Roman" w:hAnsi="Times New Roman" w:eastAsia="宋体" w:cs="Times New Roman"/>
      <w:sz w:val="21"/>
      <w:szCs w:val="21"/>
    </w:rPr>
  </w:style>
  <w:style w:type="paragraph" w:styleId="1089" w:customStyle="1">
    <w:name w:val="题注1"/>
    <w:basedOn w:val="924"/>
    <w:next w:val="924"/>
    <w:uiPriority w:val="35"/>
    <w:unhideWhenUsed/>
    <w:qFormat/>
    <w:pPr>
      <w:spacing w:line="276" w:lineRule="auto"/>
    </w:pPr>
    <w:rPr>
      <w:b/>
      <w:bCs/>
      <w:color w:val="4874cb"/>
      <w:sz w:val="18"/>
      <w:szCs w:val="18"/>
    </w:rPr>
  </w:style>
  <w:style w:type="table" w:styleId="1090" w:customStyle="1">
    <w:name w:val="网格型1"/>
    <w:basedOn w:val="935"/>
    <w:uiPriority w:val="59"/>
    <w:qFormat/>
    <w:rPr>
      <w:rFonts w:ascii="Calibri" w:hAnsi="Calibri"/>
    </w:rPr>
    <w:tblPr/>
  </w:style>
  <w:style w:type="character" w:styleId="1091" w:customStyle="1">
    <w:name w:val="引用 Char"/>
    <w:link w:val="1016"/>
    <w:uiPriority w:val="29"/>
    <w:qFormat/>
    <w:rPr>
      <w:rFonts w:ascii="Times New Roman" w:hAnsi="Times New Roman"/>
      <w:i/>
      <w:sz w:val="21"/>
      <w:szCs w:val="21"/>
    </w:rPr>
  </w:style>
  <w:style w:type="character" w:styleId="1092" w:customStyle="1">
    <w:name w:val="明显引用 Char"/>
    <w:link w:val="1018"/>
    <w:uiPriority w:val="30"/>
    <w:qFormat/>
    <w:rPr>
      <w:rFonts w:ascii="Times New Roman" w:hAnsi="Times New Roman"/>
      <w:i/>
      <w:sz w:val="21"/>
      <w:szCs w:val="21"/>
      <w:shd w:val="clear" w:color="auto" w:fill="f2f2f2"/>
    </w:rPr>
  </w:style>
  <w:style w:type="character" w:styleId="1093" w:customStyle="1">
    <w:name w:val="Footer Char"/>
    <w:uiPriority w:val="99"/>
    <w:qFormat/>
  </w:style>
  <w:style w:type="table" w:styleId="1094" w:customStyle="1">
    <w:name w:val="Table Grid Light"/>
    <w:basedOn w:val="935"/>
    <w:uiPriority w:val="59"/>
    <w:qFormat/>
    <w:rPr>
      <w:rFonts w:ascii="Calibri" w:hAnsi="Calibri"/>
    </w:rPr>
    <w:tblPr/>
  </w:style>
  <w:style w:type="table" w:styleId="1095" w:customStyle="1">
    <w:name w:val="无格式表格 11"/>
    <w:basedOn w:val="935"/>
    <w:uiPriority w:val="59"/>
    <w:qFormat/>
    <w:rPr>
      <w:rFonts w:ascii="Calibri" w:hAnsi="Calibri"/>
    </w:rPr>
    <w:tblPr/>
  </w:style>
  <w:style w:type="table" w:styleId="1096" w:customStyle="1">
    <w:name w:val="无格式表格 21"/>
    <w:basedOn w:val="935"/>
    <w:uiPriority w:val="59"/>
    <w:qFormat/>
    <w:rPr>
      <w:rFonts w:ascii="Calibri" w:hAnsi="Calibri"/>
    </w:rPr>
    <w:tblPr/>
  </w:style>
  <w:style w:type="table" w:styleId="1097" w:customStyle="1">
    <w:name w:val="无格式表格 31"/>
    <w:basedOn w:val="935"/>
    <w:uiPriority w:val="99"/>
    <w:qFormat/>
    <w:rPr>
      <w:rFonts w:ascii="Calibri" w:hAnsi="Calibri"/>
    </w:rPr>
    <w:tblPr/>
  </w:style>
  <w:style w:type="table" w:styleId="1098" w:customStyle="1">
    <w:name w:val="无格式表格 41"/>
    <w:basedOn w:val="935"/>
    <w:uiPriority w:val="99"/>
    <w:qFormat/>
    <w:rPr>
      <w:rFonts w:ascii="Calibri" w:hAnsi="Calibri"/>
    </w:rPr>
    <w:tblPr/>
  </w:style>
  <w:style w:type="table" w:styleId="1099" w:customStyle="1">
    <w:name w:val="无格式表格 51"/>
    <w:basedOn w:val="935"/>
    <w:uiPriority w:val="99"/>
    <w:qFormat/>
    <w:rPr>
      <w:rFonts w:ascii="Calibri" w:hAnsi="Calibri"/>
    </w:rPr>
    <w:tblPr/>
  </w:style>
  <w:style w:type="table" w:styleId="1100" w:customStyle="1">
    <w:name w:val="网格表 1 浅色1"/>
    <w:basedOn w:val="935"/>
    <w:uiPriority w:val="99"/>
    <w:qFormat/>
    <w:rPr>
      <w:rFonts w:ascii="Calibri" w:hAnsi="Calibri"/>
    </w:rPr>
    <w:tblPr/>
  </w:style>
  <w:style w:type="table" w:styleId="1101" w:customStyle="1">
    <w:name w:val="Grid Table 1 Light - Accent 1"/>
    <w:basedOn w:val="935"/>
    <w:uiPriority w:val="99"/>
    <w:qFormat/>
    <w:rPr>
      <w:rFonts w:ascii="Calibri" w:hAnsi="Calibri"/>
    </w:rPr>
    <w:tblPr/>
  </w:style>
  <w:style w:type="table" w:styleId="1102" w:customStyle="1">
    <w:name w:val="Grid Table 1 Light - Accent 2"/>
    <w:basedOn w:val="935"/>
    <w:uiPriority w:val="99"/>
    <w:qFormat/>
    <w:rPr>
      <w:rFonts w:ascii="Calibri" w:hAnsi="Calibri"/>
    </w:rPr>
    <w:tblPr/>
  </w:style>
  <w:style w:type="table" w:styleId="1103" w:customStyle="1">
    <w:name w:val="Grid Table 1 Light - Accent 3"/>
    <w:basedOn w:val="935"/>
    <w:uiPriority w:val="99"/>
    <w:qFormat/>
    <w:rPr>
      <w:rFonts w:ascii="Calibri" w:hAnsi="Calibri"/>
    </w:rPr>
    <w:tblPr/>
  </w:style>
  <w:style w:type="table" w:styleId="1104" w:customStyle="1">
    <w:name w:val="Grid Table 1 Light - Accent 4"/>
    <w:basedOn w:val="935"/>
    <w:uiPriority w:val="99"/>
    <w:qFormat/>
    <w:rPr>
      <w:rFonts w:ascii="Calibri" w:hAnsi="Calibri"/>
    </w:rPr>
    <w:tblPr/>
  </w:style>
  <w:style w:type="table" w:styleId="1105" w:customStyle="1">
    <w:name w:val="Grid Table 1 Light - Accent 5"/>
    <w:basedOn w:val="935"/>
    <w:uiPriority w:val="99"/>
    <w:qFormat/>
    <w:rPr>
      <w:rFonts w:ascii="Calibri" w:hAnsi="Calibri"/>
    </w:rPr>
    <w:tblPr/>
  </w:style>
  <w:style w:type="table" w:styleId="1106" w:customStyle="1">
    <w:name w:val="Grid Table 1 Light - Accent 6"/>
    <w:basedOn w:val="935"/>
    <w:uiPriority w:val="99"/>
    <w:qFormat/>
    <w:rPr>
      <w:rFonts w:ascii="Calibri" w:hAnsi="Calibri"/>
    </w:rPr>
    <w:tblPr/>
  </w:style>
  <w:style w:type="table" w:styleId="1107" w:customStyle="1">
    <w:name w:val="网格表 21"/>
    <w:basedOn w:val="935"/>
    <w:uiPriority w:val="99"/>
    <w:qFormat/>
    <w:rPr>
      <w:rFonts w:ascii="Calibri" w:hAnsi="Calibri"/>
    </w:rPr>
    <w:tblPr/>
  </w:style>
  <w:style w:type="table" w:styleId="1108" w:customStyle="1">
    <w:name w:val="Grid Table 2 - Accent 1"/>
    <w:basedOn w:val="935"/>
    <w:uiPriority w:val="99"/>
    <w:qFormat/>
    <w:rPr>
      <w:rFonts w:ascii="Calibri" w:hAnsi="Calibri"/>
    </w:rPr>
    <w:tblPr/>
  </w:style>
  <w:style w:type="table" w:styleId="1109" w:customStyle="1">
    <w:name w:val="Grid Table 2 - Accent 2"/>
    <w:basedOn w:val="935"/>
    <w:uiPriority w:val="99"/>
    <w:qFormat/>
    <w:rPr>
      <w:rFonts w:ascii="Calibri" w:hAnsi="Calibri"/>
    </w:rPr>
    <w:tblPr/>
  </w:style>
  <w:style w:type="table" w:styleId="1110" w:customStyle="1">
    <w:name w:val="Grid Table 2 - Accent 3"/>
    <w:basedOn w:val="935"/>
    <w:uiPriority w:val="99"/>
    <w:qFormat/>
    <w:rPr>
      <w:rFonts w:ascii="Calibri" w:hAnsi="Calibri"/>
    </w:rPr>
    <w:tblPr/>
  </w:style>
  <w:style w:type="table" w:styleId="1111" w:customStyle="1">
    <w:name w:val="Grid Table 2 - Accent 4"/>
    <w:basedOn w:val="935"/>
    <w:uiPriority w:val="99"/>
    <w:qFormat/>
    <w:rPr>
      <w:rFonts w:ascii="Calibri" w:hAnsi="Calibri"/>
    </w:rPr>
    <w:tblPr/>
  </w:style>
  <w:style w:type="table" w:styleId="1112" w:customStyle="1">
    <w:name w:val="Grid Table 2 - Accent 5"/>
    <w:basedOn w:val="935"/>
    <w:uiPriority w:val="99"/>
    <w:qFormat/>
    <w:rPr>
      <w:rFonts w:ascii="Calibri" w:hAnsi="Calibri"/>
    </w:rPr>
    <w:tblPr/>
  </w:style>
  <w:style w:type="table" w:styleId="1113" w:customStyle="1">
    <w:name w:val="Grid Table 2 - Accent 6"/>
    <w:basedOn w:val="935"/>
    <w:uiPriority w:val="99"/>
    <w:qFormat/>
    <w:rPr>
      <w:rFonts w:ascii="Calibri" w:hAnsi="Calibri"/>
    </w:rPr>
    <w:tblPr/>
  </w:style>
  <w:style w:type="table" w:styleId="1114" w:customStyle="1">
    <w:name w:val="网格表 31"/>
    <w:basedOn w:val="935"/>
    <w:uiPriority w:val="99"/>
    <w:qFormat/>
    <w:rPr>
      <w:rFonts w:ascii="Calibri" w:hAnsi="Calibri"/>
    </w:rPr>
    <w:tblPr/>
  </w:style>
  <w:style w:type="table" w:styleId="1115" w:customStyle="1">
    <w:name w:val="Grid Table 3 - Accent 1"/>
    <w:basedOn w:val="935"/>
    <w:uiPriority w:val="99"/>
    <w:qFormat/>
    <w:rPr>
      <w:rFonts w:ascii="Calibri" w:hAnsi="Calibri"/>
    </w:rPr>
    <w:tblPr/>
  </w:style>
  <w:style w:type="table" w:styleId="1116" w:customStyle="1">
    <w:name w:val="Grid Table 3 - Accent 2"/>
    <w:basedOn w:val="935"/>
    <w:uiPriority w:val="99"/>
    <w:qFormat/>
    <w:rPr>
      <w:rFonts w:ascii="Calibri" w:hAnsi="Calibri"/>
    </w:rPr>
    <w:tblPr/>
  </w:style>
  <w:style w:type="table" w:styleId="1117" w:customStyle="1">
    <w:name w:val="Grid Table 3 - Accent 3"/>
    <w:basedOn w:val="935"/>
    <w:uiPriority w:val="99"/>
    <w:qFormat/>
    <w:rPr>
      <w:rFonts w:ascii="Calibri" w:hAnsi="Calibri"/>
    </w:rPr>
    <w:tblPr/>
  </w:style>
  <w:style w:type="table" w:styleId="1118" w:customStyle="1">
    <w:name w:val="Grid Table 3 - Accent 4"/>
    <w:basedOn w:val="935"/>
    <w:uiPriority w:val="99"/>
    <w:qFormat/>
    <w:rPr>
      <w:rFonts w:ascii="Calibri" w:hAnsi="Calibri"/>
    </w:rPr>
    <w:tblPr/>
  </w:style>
  <w:style w:type="table" w:styleId="1119" w:customStyle="1">
    <w:name w:val="Grid Table 3 - Accent 5"/>
    <w:basedOn w:val="935"/>
    <w:uiPriority w:val="99"/>
    <w:qFormat/>
    <w:rPr>
      <w:rFonts w:ascii="Calibri" w:hAnsi="Calibri"/>
    </w:rPr>
    <w:tblPr/>
  </w:style>
  <w:style w:type="table" w:styleId="1120" w:customStyle="1">
    <w:name w:val="Grid Table 3 - Accent 6"/>
    <w:basedOn w:val="935"/>
    <w:uiPriority w:val="99"/>
    <w:qFormat/>
    <w:rPr>
      <w:rFonts w:ascii="Calibri" w:hAnsi="Calibri"/>
    </w:rPr>
    <w:tblPr/>
  </w:style>
  <w:style w:type="table" w:styleId="1121" w:customStyle="1">
    <w:name w:val="网格表 41"/>
    <w:basedOn w:val="935"/>
    <w:uiPriority w:val="59"/>
    <w:qFormat/>
    <w:rPr>
      <w:rFonts w:ascii="Calibri" w:hAnsi="Calibri"/>
    </w:rPr>
    <w:tblPr/>
  </w:style>
  <w:style w:type="table" w:styleId="1122" w:customStyle="1">
    <w:name w:val="Grid Table 4 - Accent 1"/>
    <w:basedOn w:val="935"/>
    <w:uiPriority w:val="59"/>
    <w:qFormat/>
    <w:rPr>
      <w:rFonts w:ascii="Calibri" w:hAnsi="Calibri"/>
    </w:rPr>
    <w:tblPr/>
  </w:style>
  <w:style w:type="table" w:styleId="1123" w:customStyle="1">
    <w:name w:val="Grid Table 4 - Accent 2"/>
    <w:basedOn w:val="935"/>
    <w:uiPriority w:val="59"/>
    <w:qFormat/>
    <w:rPr>
      <w:rFonts w:ascii="Calibri" w:hAnsi="Calibri"/>
    </w:rPr>
    <w:tblPr/>
  </w:style>
  <w:style w:type="table" w:styleId="1124" w:customStyle="1">
    <w:name w:val="Grid Table 4 - Accent 3"/>
    <w:basedOn w:val="935"/>
    <w:uiPriority w:val="59"/>
    <w:qFormat/>
    <w:rPr>
      <w:rFonts w:ascii="Calibri" w:hAnsi="Calibri"/>
    </w:rPr>
    <w:tblPr/>
  </w:style>
  <w:style w:type="table" w:styleId="1125" w:customStyle="1">
    <w:name w:val="Grid Table 4 - Accent 4"/>
    <w:basedOn w:val="935"/>
    <w:uiPriority w:val="59"/>
    <w:qFormat/>
    <w:rPr>
      <w:rFonts w:ascii="Calibri" w:hAnsi="Calibri"/>
    </w:rPr>
    <w:tblPr/>
  </w:style>
  <w:style w:type="table" w:styleId="1126" w:customStyle="1">
    <w:name w:val="Grid Table 4 - Accent 5"/>
    <w:basedOn w:val="935"/>
    <w:uiPriority w:val="59"/>
    <w:qFormat/>
    <w:rPr>
      <w:rFonts w:ascii="Calibri" w:hAnsi="Calibri"/>
    </w:rPr>
    <w:tblPr/>
  </w:style>
  <w:style w:type="table" w:styleId="1127" w:customStyle="1">
    <w:name w:val="Grid Table 4 - Accent 6"/>
    <w:basedOn w:val="935"/>
    <w:uiPriority w:val="59"/>
    <w:qFormat/>
    <w:rPr>
      <w:rFonts w:ascii="Calibri" w:hAnsi="Calibri"/>
    </w:rPr>
    <w:tblPr/>
  </w:style>
  <w:style w:type="table" w:styleId="1128" w:customStyle="1">
    <w:name w:val="网格表 5 深色1"/>
    <w:basedOn w:val="935"/>
    <w:uiPriority w:val="99"/>
    <w:qFormat/>
    <w:rPr>
      <w:rFonts w:ascii="Calibri" w:hAnsi="Calibri"/>
    </w:rPr>
    <w:tblPr/>
  </w:style>
  <w:style w:type="table" w:styleId="1129" w:customStyle="1">
    <w:name w:val="Grid Table 5 Dark- Accent 1"/>
    <w:basedOn w:val="935"/>
    <w:uiPriority w:val="99"/>
    <w:qFormat/>
    <w:rPr>
      <w:rFonts w:ascii="Calibri" w:hAnsi="Calibri"/>
    </w:rPr>
    <w:tblPr/>
  </w:style>
  <w:style w:type="table" w:styleId="1130" w:customStyle="1">
    <w:name w:val="Grid Table 5 Dark - Accent 2"/>
    <w:basedOn w:val="935"/>
    <w:uiPriority w:val="99"/>
    <w:qFormat/>
    <w:rPr>
      <w:rFonts w:ascii="Calibri" w:hAnsi="Calibri"/>
    </w:rPr>
    <w:tblPr/>
  </w:style>
  <w:style w:type="table" w:styleId="1131" w:customStyle="1">
    <w:name w:val="Grid Table 5 Dark - Accent 3"/>
    <w:basedOn w:val="935"/>
    <w:uiPriority w:val="99"/>
    <w:qFormat/>
    <w:rPr>
      <w:rFonts w:ascii="Calibri" w:hAnsi="Calibri"/>
    </w:rPr>
    <w:tblPr/>
  </w:style>
  <w:style w:type="table" w:styleId="1132" w:customStyle="1">
    <w:name w:val="Grid Table 5 Dark- Accent 4"/>
    <w:basedOn w:val="935"/>
    <w:uiPriority w:val="99"/>
    <w:qFormat/>
    <w:rPr>
      <w:rFonts w:ascii="Calibri" w:hAnsi="Calibri"/>
    </w:rPr>
    <w:tblPr/>
  </w:style>
  <w:style w:type="table" w:styleId="1133" w:customStyle="1">
    <w:name w:val="Grid Table 5 Dark - Accent 5"/>
    <w:basedOn w:val="935"/>
    <w:uiPriority w:val="99"/>
    <w:qFormat/>
    <w:rPr>
      <w:rFonts w:ascii="Calibri" w:hAnsi="Calibri"/>
    </w:rPr>
    <w:tblPr/>
  </w:style>
  <w:style w:type="table" w:styleId="1134" w:customStyle="1">
    <w:name w:val="Grid Table 5 Dark - Accent 6"/>
    <w:basedOn w:val="935"/>
    <w:uiPriority w:val="99"/>
    <w:qFormat/>
    <w:rPr>
      <w:rFonts w:ascii="Calibri" w:hAnsi="Calibri"/>
    </w:rPr>
    <w:tblPr/>
  </w:style>
  <w:style w:type="table" w:styleId="1135" w:customStyle="1">
    <w:name w:val="网格表 6 彩色1"/>
    <w:basedOn w:val="935"/>
    <w:uiPriority w:val="99"/>
    <w:qFormat/>
    <w:rPr>
      <w:rFonts w:ascii="Calibri" w:hAnsi="Calibri"/>
    </w:rPr>
    <w:tblPr/>
  </w:style>
  <w:style w:type="table" w:styleId="1136" w:customStyle="1">
    <w:name w:val="Grid Table 6 Colorful - Accent 1"/>
    <w:basedOn w:val="935"/>
    <w:uiPriority w:val="99"/>
    <w:qFormat/>
    <w:rPr>
      <w:rFonts w:ascii="Calibri" w:hAnsi="Calibri"/>
    </w:rPr>
    <w:tblPr/>
  </w:style>
  <w:style w:type="table" w:styleId="1137" w:customStyle="1">
    <w:name w:val="Grid Table 6 Colorful - Accent 2"/>
    <w:basedOn w:val="935"/>
    <w:uiPriority w:val="99"/>
    <w:qFormat/>
    <w:rPr>
      <w:rFonts w:ascii="Calibri" w:hAnsi="Calibri"/>
    </w:rPr>
    <w:tblPr/>
  </w:style>
  <w:style w:type="table" w:styleId="1138" w:customStyle="1">
    <w:name w:val="Grid Table 6 Colorful - Accent 3"/>
    <w:basedOn w:val="935"/>
    <w:uiPriority w:val="99"/>
    <w:qFormat/>
    <w:rPr>
      <w:rFonts w:ascii="Calibri" w:hAnsi="Calibri"/>
    </w:rPr>
    <w:tblPr/>
  </w:style>
  <w:style w:type="table" w:styleId="1139" w:customStyle="1">
    <w:name w:val="Grid Table 6 Colorful - Accent 4"/>
    <w:basedOn w:val="935"/>
    <w:uiPriority w:val="99"/>
    <w:qFormat/>
    <w:rPr>
      <w:rFonts w:ascii="Calibri" w:hAnsi="Calibri"/>
    </w:rPr>
    <w:tblPr/>
  </w:style>
  <w:style w:type="table" w:styleId="1140" w:customStyle="1">
    <w:name w:val="Grid Table 6 Colorful - Accent 5"/>
    <w:basedOn w:val="935"/>
    <w:uiPriority w:val="99"/>
    <w:qFormat/>
    <w:rPr>
      <w:rFonts w:ascii="Calibri" w:hAnsi="Calibri"/>
    </w:rPr>
    <w:tblPr/>
  </w:style>
  <w:style w:type="table" w:styleId="1141" w:customStyle="1">
    <w:name w:val="Grid Table 6 Colorful - Accent 6"/>
    <w:basedOn w:val="935"/>
    <w:uiPriority w:val="99"/>
    <w:qFormat/>
    <w:rPr>
      <w:rFonts w:ascii="Calibri" w:hAnsi="Calibri"/>
    </w:rPr>
    <w:tblPr/>
  </w:style>
  <w:style w:type="table" w:styleId="1142" w:customStyle="1">
    <w:name w:val="网格表 7 彩色1"/>
    <w:basedOn w:val="935"/>
    <w:uiPriority w:val="99"/>
    <w:qFormat/>
    <w:rPr>
      <w:rFonts w:ascii="Calibri" w:hAnsi="Calibri"/>
    </w:rPr>
    <w:tblPr/>
  </w:style>
  <w:style w:type="table" w:styleId="1143" w:customStyle="1">
    <w:name w:val="Grid Table 7 Colorful - Accent 1"/>
    <w:basedOn w:val="935"/>
    <w:uiPriority w:val="99"/>
    <w:qFormat/>
    <w:rPr>
      <w:rFonts w:ascii="Calibri" w:hAnsi="Calibri"/>
    </w:rPr>
    <w:tblPr/>
  </w:style>
  <w:style w:type="table" w:styleId="1144" w:customStyle="1">
    <w:name w:val="Grid Table 7 Colorful - Accent 2"/>
    <w:basedOn w:val="935"/>
    <w:uiPriority w:val="99"/>
    <w:qFormat/>
    <w:rPr>
      <w:rFonts w:ascii="Calibri" w:hAnsi="Calibri"/>
    </w:rPr>
    <w:tblPr/>
  </w:style>
  <w:style w:type="table" w:styleId="1145" w:customStyle="1">
    <w:name w:val="Grid Table 7 Colorful - Accent 3"/>
    <w:basedOn w:val="935"/>
    <w:uiPriority w:val="99"/>
    <w:qFormat/>
    <w:rPr>
      <w:rFonts w:ascii="Calibri" w:hAnsi="Calibri"/>
    </w:rPr>
    <w:tblPr/>
  </w:style>
  <w:style w:type="table" w:styleId="1146" w:customStyle="1">
    <w:name w:val="Grid Table 7 Colorful - Accent 4"/>
    <w:basedOn w:val="935"/>
    <w:uiPriority w:val="99"/>
    <w:qFormat/>
    <w:rPr>
      <w:rFonts w:ascii="Calibri" w:hAnsi="Calibri"/>
    </w:rPr>
    <w:tblPr/>
  </w:style>
  <w:style w:type="table" w:styleId="1147" w:customStyle="1">
    <w:name w:val="Grid Table 7 Colorful - Accent 5"/>
    <w:basedOn w:val="935"/>
    <w:uiPriority w:val="99"/>
    <w:qFormat/>
    <w:rPr>
      <w:rFonts w:ascii="Calibri" w:hAnsi="Calibri"/>
    </w:rPr>
    <w:tblPr/>
  </w:style>
  <w:style w:type="table" w:styleId="1148" w:customStyle="1">
    <w:name w:val="Grid Table 7 Colorful - Accent 6"/>
    <w:basedOn w:val="935"/>
    <w:uiPriority w:val="99"/>
    <w:qFormat/>
    <w:rPr>
      <w:rFonts w:ascii="Calibri" w:hAnsi="Calibri"/>
    </w:rPr>
    <w:tblPr/>
  </w:style>
  <w:style w:type="table" w:styleId="1149" w:customStyle="1">
    <w:name w:val="清单表 1 浅色1"/>
    <w:basedOn w:val="935"/>
    <w:uiPriority w:val="99"/>
    <w:qFormat/>
    <w:rPr>
      <w:rFonts w:ascii="Calibri" w:hAnsi="Calibri"/>
    </w:rPr>
    <w:tblPr/>
  </w:style>
  <w:style w:type="table" w:styleId="1150" w:customStyle="1">
    <w:name w:val="List Table 1 Light - Accent 1"/>
    <w:basedOn w:val="935"/>
    <w:uiPriority w:val="99"/>
    <w:qFormat/>
    <w:rPr>
      <w:rFonts w:ascii="Calibri" w:hAnsi="Calibri"/>
    </w:rPr>
    <w:tblPr/>
  </w:style>
  <w:style w:type="table" w:styleId="1151" w:customStyle="1">
    <w:name w:val="List Table 1 Light - Accent 2"/>
    <w:basedOn w:val="935"/>
    <w:uiPriority w:val="99"/>
    <w:qFormat/>
    <w:rPr>
      <w:rFonts w:ascii="Calibri" w:hAnsi="Calibri"/>
    </w:rPr>
    <w:tblPr/>
  </w:style>
  <w:style w:type="table" w:styleId="1152" w:customStyle="1">
    <w:name w:val="List Table 1 Light - Accent 3"/>
    <w:basedOn w:val="935"/>
    <w:uiPriority w:val="99"/>
    <w:qFormat/>
    <w:rPr>
      <w:rFonts w:ascii="Calibri" w:hAnsi="Calibri"/>
    </w:rPr>
    <w:tblPr/>
  </w:style>
  <w:style w:type="table" w:styleId="1153" w:customStyle="1">
    <w:name w:val="List Table 1 Light - Accent 4"/>
    <w:basedOn w:val="935"/>
    <w:uiPriority w:val="99"/>
    <w:qFormat/>
    <w:rPr>
      <w:rFonts w:ascii="Calibri" w:hAnsi="Calibri"/>
    </w:rPr>
    <w:tblPr/>
  </w:style>
  <w:style w:type="table" w:styleId="1154" w:customStyle="1">
    <w:name w:val="List Table 1 Light - Accent 5"/>
    <w:basedOn w:val="935"/>
    <w:uiPriority w:val="99"/>
    <w:qFormat/>
    <w:rPr>
      <w:rFonts w:ascii="Calibri" w:hAnsi="Calibri"/>
    </w:rPr>
    <w:tblPr/>
  </w:style>
  <w:style w:type="table" w:styleId="1155" w:customStyle="1">
    <w:name w:val="List Table 1 Light - Accent 6"/>
    <w:basedOn w:val="935"/>
    <w:uiPriority w:val="99"/>
    <w:qFormat/>
    <w:rPr>
      <w:rFonts w:ascii="Calibri" w:hAnsi="Calibri"/>
    </w:rPr>
    <w:tblPr/>
  </w:style>
  <w:style w:type="table" w:styleId="1156" w:customStyle="1">
    <w:name w:val="清单表 21"/>
    <w:basedOn w:val="935"/>
    <w:uiPriority w:val="99"/>
    <w:qFormat/>
    <w:rPr>
      <w:rFonts w:ascii="Calibri" w:hAnsi="Calibri"/>
    </w:rPr>
    <w:tblPr/>
  </w:style>
  <w:style w:type="table" w:styleId="1157" w:customStyle="1">
    <w:name w:val="List Table 2 - Accent 1"/>
    <w:basedOn w:val="935"/>
    <w:uiPriority w:val="99"/>
    <w:qFormat/>
    <w:rPr>
      <w:rFonts w:ascii="Calibri" w:hAnsi="Calibri"/>
    </w:rPr>
    <w:tblPr/>
  </w:style>
  <w:style w:type="table" w:styleId="1158" w:customStyle="1">
    <w:name w:val="List Table 2 - Accent 2"/>
    <w:basedOn w:val="935"/>
    <w:uiPriority w:val="99"/>
    <w:qFormat/>
    <w:rPr>
      <w:rFonts w:ascii="Calibri" w:hAnsi="Calibri"/>
    </w:rPr>
    <w:tblPr/>
  </w:style>
  <w:style w:type="table" w:styleId="1159" w:customStyle="1">
    <w:name w:val="List Table 2 - Accent 3"/>
    <w:basedOn w:val="935"/>
    <w:uiPriority w:val="99"/>
    <w:qFormat/>
    <w:rPr>
      <w:rFonts w:ascii="Calibri" w:hAnsi="Calibri"/>
    </w:rPr>
    <w:tblPr/>
  </w:style>
  <w:style w:type="table" w:styleId="1160" w:customStyle="1">
    <w:name w:val="List Table 2 - Accent 4"/>
    <w:basedOn w:val="935"/>
    <w:uiPriority w:val="99"/>
    <w:qFormat/>
    <w:rPr>
      <w:rFonts w:ascii="Calibri" w:hAnsi="Calibri"/>
    </w:rPr>
    <w:tblPr/>
  </w:style>
  <w:style w:type="table" w:styleId="1161" w:customStyle="1">
    <w:name w:val="List Table 2 - Accent 5"/>
    <w:basedOn w:val="935"/>
    <w:uiPriority w:val="99"/>
    <w:qFormat/>
    <w:rPr>
      <w:rFonts w:ascii="Calibri" w:hAnsi="Calibri"/>
    </w:rPr>
    <w:tblPr/>
  </w:style>
  <w:style w:type="table" w:styleId="1162" w:customStyle="1">
    <w:name w:val="List Table 2 - Accent 6"/>
    <w:basedOn w:val="935"/>
    <w:uiPriority w:val="99"/>
    <w:qFormat/>
    <w:rPr>
      <w:rFonts w:ascii="Calibri" w:hAnsi="Calibri"/>
    </w:rPr>
    <w:tblPr/>
  </w:style>
  <w:style w:type="table" w:styleId="1163" w:customStyle="1">
    <w:name w:val="清单表 31"/>
    <w:basedOn w:val="935"/>
    <w:uiPriority w:val="99"/>
    <w:qFormat/>
    <w:rPr>
      <w:rFonts w:ascii="Calibri" w:hAnsi="Calibri"/>
    </w:rPr>
    <w:tblPr/>
  </w:style>
  <w:style w:type="table" w:styleId="1164" w:customStyle="1">
    <w:name w:val="List Table 3 - Accent 1"/>
    <w:basedOn w:val="935"/>
    <w:uiPriority w:val="99"/>
    <w:qFormat/>
    <w:rPr>
      <w:rFonts w:ascii="Calibri" w:hAnsi="Calibri"/>
    </w:rPr>
    <w:tblPr/>
  </w:style>
  <w:style w:type="table" w:styleId="1165" w:customStyle="1">
    <w:name w:val="List Table 3 - Accent 2"/>
    <w:basedOn w:val="935"/>
    <w:uiPriority w:val="99"/>
    <w:qFormat/>
    <w:rPr>
      <w:rFonts w:ascii="Calibri" w:hAnsi="Calibri"/>
    </w:rPr>
    <w:tblPr/>
  </w:style>
  <w:style w:type="table" w:styleId="1166" w:customStyle="1">
    <w:name w:val="List Table 3 - Accent 3"/>
    <w:basedOn w:val="935"/>
    <w:uiPriority w:val="99"/>
    <w:qFormat/>
    <w:rPr>
      <w:rFonts w:ascii="Calibri" w:hAnsi="Calibri"/>
    </w:rPr>
    <w:tblPr/>
  </w:style>
  <w:style w:type="table" w:styleId="1167" w:customStyle="1">
    <w:name w:val="List Table 3 - Accent 4"/>
    <w:basedOn w:val="935"/>
    <w:uiPriority w:val="99"/>
    <w:qFormat/>
    <w:rPr>
      <w:rFonts w:ascii="Calibri" w:hAnsi="Calibri"/>
    </w:rPr>
    <w:tblPr/>
  </w:style>
  <w:style w:type="table" w:styleId="1168" w:customStyle="1">
    <w:name w:val="List Table 3 - Accent 5"/>
    <w:basedOn w:val="935"/>
    <w:uiPriority w:val="99"/>
    <w:qFormat/>
    <w:rPr>
      <w:rFonts w:ascii="Calibri" w:hAnsi="Calibri"/>
    </w:rPr>
    <w:tblPr/>
  </w:style>
  <w:style w:type="table" w:styleId="1169" w:customStyle="1">
    <w:name w:val="List Table 3 - Accent 6"/>
    <w:basedOn w:val="935"/>
    <w:uiPriority w:val="99"/>
    <w:qFormat/>
    <w:rPr>
      <w:rFonts w:ascii="Calibri" w:hAnsi="Calibri"/>
    </w:rPr>
    <w:tblPr/>
  </w:style>
  <w:style w:type="table" w:styleId="1170" w:customStyle="1">
    <w:name w:val="清单表 41"/>
    <w:basedOn w:val="935"/>
    <w:uiPriority w:val="99"/>
    <w:qFormat/>
    <w:rPr>
      <w:rFonts w:ascii="Calibri" w:hAnsi="Calibri"/>
    </w:rPr>
    <w:tblPr/>
  </w:style>
  <w:style w:type="table" w:styleId="1171" w:customStyle="1">
    <w:name w:val="List Table 4 - Accent 1"/>
    <w:basedOn w:val="935"/>
    <w:uiPriority w:val="99"/>
    <w:qFormat/>
    <w:rPr>
      <w:rFonts w:ascii="Calibri" w:hAnsi="Calibri"/>
    </w:rPr>
    <w:tblPr/>
  </w:style>
  <w:style w:type="table" w:styleId="1172" w:customStyle="1">
    <w:name w:val="List Table 4 - Accent 2"/>
    <w:basedOn w:val="935"/>
    <w:uiPriority w:val="99"/>
    <w:qFormat/>
    <w:rPr>
      <w:rFonts w:ascii="Calibri" w:hAnsi="Calibri"/>
    </w:rPr>
    <w:tblPr/>
  </w:style>
  <w:style w:type="table" w:styleId="1173" w:customStyle="1">
    <w:name w:val="List Table 4 - Accent 3"/>
    <w:basedOn w:val="935"/>
    <w:uiPriority w:val="99"/>
    <w:qFormat/>
    <w:rPr>
      <w:rFonts w:ascii="Calibri" w:hAnsi="Calibri"/>
    </w:rPr>
    <w:tblPr/>
  </w:style>
  <w:style w:type="table" w:styleId="1174" w:customStyle="1">
    <w:name w:val="List Table 4 - Accent 4"/>
    <w:basedOn w:val="935"/>
    <w:uiPriority w:val="99"/>
    <w:qFormat/>
    <w:rPr>
      <w:rFonts w:ascii="Calibri" w:hAnsi="Calibri"/>
    </w:rPr>
    <w:tblPr/>
  </w:style>
  <w:style w:type="table" w:styleId="1175" w:customStyle="1">
    <w:name w:val="List Table 4 - Accent 5"/>
    <w:basedOn w:val="935"/>
    <w:uiPriority w:val="99"/>
    <w:qFormat/>
    <w:rPr>
      <w:rFonts w:ascii="Calibri" w:hAnsi="Calibri"/>
    </w:rPr>
    <w:tblPr/>
  </w:style>
  <w:style w:type="table" w:styleId="1176" w:customStyle="1">
    <w:name w:val="List Table 4 - Accent 6"/>
    <w:basedOn w:val="935"/>
    <w:uiPriority w:val="99"/>
    <w:qFormat/>
    <w:rPr>
      <w:rFonts w:ascii="Calibri" w:hAnsi="Calibri"/>
    </w:rPr>
    <w:tblPr/>
  </w:style>
  <w:style w:type="table" w:styleId="1177" w:customStyle="1">
    <w:name w:val="清单表 5 深色1"/>
    <w:basedOn w:val="935"/>
    <w:uiPriority w:val="99"/>
    <w:qFormat/>
    <w:rPr>
      <w:rFonts w:ascii="Calibri" w:hAnsi="Calibri"/>
    </w:rPr>
    <w:tblPr/>
  </w:style>
  <w:style w:type="table" w:styleId="1178" w:customStyle="1">
    <w:name w:val="List Table 5 Dark - Accent 1"/>
    <w:basedOn w:val="935"/>
    <w:uiPriority w:val="99"/>
    <w:qFormat/>
    <w:rPr>
      <w:rFonts w:ascii="Calibri" w:hAnsi="Calibri"/>
    </w:rPr>
    <w:tblPr/>
  </w:style>
  <w:style w:type="table" w:styleId="1179" w:customStyle="1">
    <w:name w:val="List Table 5 Dark - Accent 2"/>
    <w:basedOn w:val="935"/>
    <w:uiPriority w:val="99"/>
    <w:qFormat/>
    <w:rPr>
      <w:rFonts w:ascii="Calibri" w:hAnsi="Calibri"/>
    </w:rPr>
    <w:tblPr/>
  </w:style>
  <w:style w:type="table" w:styleId="1180" w:customStyle="1">
    <w:name w:val="List Table 5 Dark - Accent 3"/>
    <w:basedOn w:val="935"/>
    <w:uiPriority w:val="99"/>
    <w:qFormat/>
    <w:rPr>
      <w:rFonts w:ascii="Calibri" w:hAnsi="Calibri"/>
    </w:rPr>
    <w:tblPr/>
  </w:style>
  <w:style w:type="table" w:styleId="1181" w:customStyle="1">
    <w:name w:val="List Table 5 Dark - Accent 4"/>
    <w:basedOn w:val="935"/>
    <w:uiPriority w:val="99"/>
    <w:qFormat/>
    <w:rPr>
      <w:rFonts w:ascii="Calibri" w:hAnsi="Calibri"/>
    </w:rPr>
    <w:tblPr/>
  </w:style>
  <w:style w:type="table" w:styleId="1182" w:customStyle="1">
    <w:name w:val="List Table 5 Dark - Accent 5"/>
    <w:basedOn w:val="935"/>
    <w:uiPriority w:val="99"/>
    <w:qFormat/>
    <w:rPr>
      <w:rFonts w:ascii="Calibri" w:hAnsi="Calibri"/>
    </w:rPr>
    <w:tblPr/>
  </w:style>
  <w:style w:type="table" w:styleId="1183" w:customStyle="1">
    <w:name w:val="List Table 5 Dark - Accent 6"/>
    <w:basedOn w:val="935"/>
    <w:uiPriority w:val="99"/>
    <w:qFormat/>
    <w:rPr>
      <w:rFonts w:ascii="Calibri" w:hAnsi="Calibri"/>
    </w:rPr>
    <w:tblPr/>
  </w:style>
  <w:style w:type="table" w:styleId="1184" w:customStyle="1">
    <w:name w:val="清单表 6 彩色1"/>
    <w:basedOn w:val="935"/>
    <w:uiPriority w:val="99"/>
    <w:qFormat/>
    <w:rPr>
      <w:rFonts w:ascii="Calibri" w:hAnsi="Calibri"/>
    </w:rPr>
    <w:tblPr/>
  </w:style>
  <w:style w:type="table" w:styleId="1185" w:customStyle="1">
    <w:name w:val="List Table 6 Colorful - Accent 1"/>
    <w:basedOn w:val="935"/>
    <w:uiPriority w:val="99"/>
    <w:qFormat/>
    <w:rPr>
      <w:rFonts w:ascii="Calibri" w:hAnsi="Calibri"/>
    </w:rPr>
    <w:tblPr/>
  </w:style>
  <w:style w:type="table" w:styleId="1186" w:customStyle="1">
    <w:name w:val="List Table 6 Colorful - Accent 2"/>
    <w:basedOn w:val="935"/>
    <w:uiPriority w:val="99"/>
    <w:qFormat/>
    <w:rPr>
      <w:rFonts w:ascii="Calibri" w:hAnsi="Calibri"/>
    </w:rPr>
    <w:tblPr/>
  </w:style>
  <w:style w:type="table" w:styleId="1187" w:customStyle="1">
    <w:name w:val="List Table 6 Colorful - Accent 3"/>
    <w:basedOn w:val="935"/>
    <w:uiPriority w:val="99"/>
    <w:qFormat/>
    <w:rPr>
      <w:rFonts w:ascii="Calibri" w:hAnsi="Calibri"/>
    </w:rPr>
    <w:tblPr/>
  </w:style>
  <w:style w:type="table" w:styleId="1188" w:customStyle="1">
    <w:name w:val="List Table 6 Colorful - Accent 4"/>
    <w:basedOn w:val="935"/>
    <w:uiPriority w:val="99"/>
    <w:qFormat/>
    <w:rPr>
      <w:rFonts w:ascii="Calibri" w:hAnsi="Calibri"/>
    </w:rPr>
    <w:tblPr/>
  </w:style>
  <w:style w:type="table" w:styleId="1189" w:customStyle="1">
    <w:name w:val="List Table 6 Colorful - Accent 5"/>
    <w:basedOn w:val="935"/>
    <w:uiPriority w:val="99"/>
    <w:qFormat/>
    <w:rPr>
      <w:rFonts w:ascii="Calibri" w:hAnsi="Calibri"/>
    </w:rPr>
    <w:tblPr/>
  </w:style>
  <w:style w:type="table" w:styleId="1190" w:customStyle="1">
    <w:name w:val="List Table 6 Colorful - Accent 6"/>
    <w:basedOn w:val="935"/>
    <w:uiPriority w:val="99"/>
    <w:qFormat/>
    <w:rPr>
      <w:rFonts w:ascii="Calibri" w:hAnsi="Calibri"/>
    </w:rPr>
    <w:tblPr/>
  </w:style>
  <w:style w:type="table" w:styleId="1191" w:customStyle="1">
    <w:name w:val="清单表 7 彩色1"/>
    <w:basedOn w:val="935"/>
    <w:uiPriority w:val="99"/>
    <w:qFormat/>
    <w:rPr>
      <w:rFonts w:ascii="Calibri" w:hAnsi="Calibri"/>
    </w:rPr>
    <w:tblPr/>
  </w:style>
  <w:style w:type="table" w:styleId="1192" w:customStyle="1">
    <w:name w:val="List Table 7 Colorful - Accent 1"/>
    <w:basedOn w:val="935"/>
    <w:uiPriority w:val="99"/>
    <w:qFormat/>
    <w:rPr>
      <w:rFonts w:ascii="Calibri" w:hAnsi="Calibri"/>
    </w:rPr>
    <w:tblPr/>
  </w:style>
  <w:style w:type="table" w:styleId="1193" w:customStyle="1">
    <w:name w:val="List Table 7 Colorful - Accent 2"/>
    <w:basedOn w:val="935"/>
    <w:uiPriority w:val="99"/>
    <w:qFormat/>
    <w:rPr>
      <w:rFonts w:ascii="Calibri" w:hAnsi="Calibri"/>
    </w:rPr>
    <w:tblPr/>
  </w:style>
  <w:style w:type="table" w:styleId="1194" w:customStyle="1">
    <w:name w:val="List Table 7 Colorful - Accent 3"/>
    <w:basedOn w:val="935"/>
    <w:uiPriority w:val="99"/>
    <w:qFormat/>
    <w:rPr>
      <w:rFonts w:ascii="Calibri" w:hAnsi="Calibri"/>
    </w:rPr>
    <w:tblPr/>
  </w:style>
  <w:style w:type="table" w:styleId="1195" w:customStyle="1">
    <w:name w:val="List Table 7 Colorful - Accent 4"/>
    <w:basedOn w:val="935"/>
    <w:uiPriority w:val="99"/>
    <w:qFormat/>
    <w:rPr>
      <w:rFonts w:ascii="Calibri" w:hAnsi="Calibri"/>
    </w:rPr>
    <w:tblPr/>
  </w:style>
  <w:style w:type="table" w:styleId="1196" w:customStyle="1">
    <w:name w:val="List Table 7 Colorful - Accent 5"/>
    <w:basedOn w:val="935"/>
    <w:uiPriority w:val="99"/>
    <w:qFormat/>
    <w:rPr>
      <w:rFonts w:ascii="Calibri" w:hAnsi="Calibri"/>
    </w:rPr>
    <w:tblPr/>
  </w:style>
  <w:style w:type="table" w:styleId="1197" w:customStyle="1">
    <w:name w:val="List Table 7 Colorful - Accent 6"/>
    <w:basedOn w:val="935"/>
    <w:uiPriority w:val="99"/>
    <w:qFormat/>
    <w:rPr>
      <w:rFonts w:ascii="Calibri" w:hAnsi="Calibri"/>
    </w:rPr>
    <w:tblPr/>
  </w:style>
  <w:style w:type="table" w:styleId="1198" w:customStyle="1">
    <w:name w:val="Lined - Accent"/>
    <w:basedOn w:val="935"/>
    <w:uiPriority w:val="99"/>
    <w:qFormat/>
    <w:rPr>
      <w:rFonts w:ascii="Calibri" w:hAnsi="Calibri"/>
      <w:color w:val="404040"/>
    </w:rPr>
    <w:tblPr/>
  </w:style>
  <w:style w:type="table" w:styleId="1199" w:customStyle="1">
    <w:name w:val="Lined - Accent 1"/>
    <w:basedOn w:val="935"/>
    <w:uiPriority w:val="99"/>
    <w:qFormat/>
    <w:rPr>
      <w:rFonts w:ascii="Calibri" w:hAnsi="Calibri"/>
      <w:color w:val="404040"/>
    </w:rPr>
    <w:tblPr/>
  </w:style>
  <w:style w:type="table" w:styleId="1200" w:customStyle="1">
    <w:name w:val="Lined - Accent 2"/>
    <w:basedOn w:val="935"/>
    <w:uiPriority w:val="99"/>
    <w:qFormat/>
    <w:rPr>
      <w:rFonts w:ascii="Calibri" w:hAnsi="Calibri"/>
      <w:color w:val="404040"/>
    </w:rPr>
    <w:tblPr/>
  </w:style>
  <w:style w:type="table" w:styleId="1201" w:customStyle="1">
    <w:name w:val="Lined - Accent 3"/>
    <w:basedOn w:val="935"/>
    <w:uiPriority w:val="99"/>
    <w:qFormat/>
    <w:rPr>
      <w:rFonts w:ascii="Calibri" w:hAnsi="Calibri"/>
      <w:color w:val="404040"/>
    </w:rPr>
    <w:tblPr/>
  </w:style>
  <w:style w:type="table" w:styleId="1202" w:customStyle="1">
    <w:name w:val="Lined - Accent 4"/>
    <w:basedOn w:val="935"/>
    <w:uiPriority w:val="99"/>
    <w:qFormat/>
    <w:rPr>
      <w:rFonts w:ascii="Calibri" w:hAnsi="Calibri"/>
      <w:color w:val="404040"/>
    </w:rPr>
    <w:tblPr/>
  </w:style>
  <w:style w:type="table" w:styleId="1203" w:customStyle="1">
    <w:name w:val="Lined - Accent 5"/>
    <w:basedOn w:val="935"/>
    <w:uiPriority w:val="99"/>
    <w:qFormat/>
    <w:rPr>
      <w:rFonts w:ascii="Calibri" w:hAnsi="Calibri"/>
      <w:color w:val="404040"/>
    </w:rPr>
    <w:tblPr/>
  </w:style>
  <w:style w:type="table" w:styleId="1204" w:customStyle="1">
    <w:name w:val="Lined - Accent 6"/>
    <w:basedOn w:val="935"/>
    <w:uiPriority w:val="99"/>
    <w:qFormat/>
    <w:rPr>
      <w:rFonts w:ascii="Calibri" w:hAnsi="Calibri"/>
      <w:color w:val="404040"/>
    </w:rPr>
    <w:tblPr/>
  </w:style>
  <w:style w:type="table" w:styleId="1205" w:customStyle="1">
    <w:name w:val="Bordered &amp; Lined - Accent"/>
    <w:basedOn w:val="935"/>
    <w:uiPriority w:val="99"/>
    <w:qFormat/>
    <w:rPr>
      <w:rFonts w:ascii="Calibri" w:hAnsi="Calibri"/>
      <w:color w:val="404040"/>
    </w:rPr>
    <w:tblPr/>
  </w:style>
  <w:style w:type="table" w:styleId="1206" w:customStyle="1">
    <w:name w:val="Bordered &amp; Lined - Accent 1"/>
    <w:basedOn w:val="935"/>
    <w:uiPriority w:val="99"/>
    <w:qFormat/>
    <w:rPr>
      <w:rFonts w:ascii="Calibri" w:hAnsi="Calibri"/>
      <w:color w:val="404040"/>
    </w:rPr>
    <w:tblPr/>
  </w:style>
  <w:style w:type="table" w:styleId="1207" w:customStyle="1">
    <w:name w:val="Bordered &amp; Lined - Accent 2"/>
    <w:basedOn w:val="935"/>
    <w:uiPriority w:val="99"/>
    <w:qFormat/>
    <w:rPr>
      <w:rFonts w:ascii="Calibri" w:hAnsi="Calibri"/>
      <w:color w:val="404040"/>
    </w:rPr>
    <w:tblPr/>
  </w:style>
  <w:style w:type="table" w:styleId="1208" w:customStyle="1">
    <w:name w:val="Bordered &amp; Lined - Accent 3"/>
    <w:basedOn w:val="935"/>
    <w:uiPriority w:val="99"/>
    <w:qFormat/>
    <w:rPr>
      <w:rFonts w:ascii="Calibri" w:hAnsi="Calibri"/>
      <w:color w:val="404040"/>
    </w:rPr>
    <w:tblPr/>
  </w:style>
  <w:style w:type="table" w:styleId="1209" w:customStyle="1">
    <w:name w:val="Bordered &amp; Lined - Accent 4"/>
    <w:basedOn w:val="935"/>
    <w:uiPriority w:val="99"/>
    <w:qFormat/>
    <w:rPr>
      <w:rFonts w:ascii="Calibri" w:hAnsi="Calibri"/>
      <w:color w:val="404040"/>
    </w:rPr>
    <w:tblPr/>
  </w:style>
  <w:style w:type="table" w:styleId="1210" w:customStyle="1">
    <w:name w:val="Bordered &amp; Lined - Accent 5"/>
    <w:basedOn w:val="935"/>
    <w:uiPriority w:val="99"/>
    <w:qFormat/>
    <w:rPr>
      <w:rFonts w:ascii="Calibri" w:hAnsi="Calibri"/>
      <w:color w:val="404040"/>
    </w:rPr>
    <w:tblPr/>
  </w:style>
  <w:style w:type="table" w:styleId="1211" w:customStyle="1">
    <w:name w:val="Bordered &amp; Lined - Accent 6"/>
    <w:basedOn w:val="935"/>
    <w:uiPriority w:val="99"/>
    <w:qFormat/>
    <w:rPr>
      <w:rFonts w:ascii="Calibri" w:hAnsi="Calibri"/>
      <w:color w:val="404040"/>
    </w:rPr>
    <w:tblPr/>
  </w:style>
  <w:style w:type="table" w:styleId="1212" w:customStyle="1">
    <w:name w:val="Bordered"/>
    <w:basedOn w:val="935"/>
    <w:uiPriority w:val="99"/>
    <w:qFormat/>
    <w:rPr>
      <w:rFonts w:ascii="Calibri" w:hAnsi="Calibri"/>
    </w:rPr>
    <w:tblPr/>
  </w:style>
  <w:style w:type="table" w:styleId="1213" w:customStyle="1">
    <w:name w:val="Bordered - Accent 1"/>
    <w:basedOn w:val="935"/>
    <w:uiPriority w:val="99"/>
    <w:qFormat/>
    <w:rPr>
      <w:rFonts w:ascii="Calibri" w:hAnsi="Calibri"/>
    </w:rPr>
    <w:tblPr/>
  </w:style>
  <w:style w:type="table" w:styleId="1214" w:customStyle="1">
    <w:name w:val="Bordered - Accent 2"/>
    <w:basedOn w:val="935"/>
    <w:uiPriority w:val="99"/>
    <w:qFormat/>
    <w:rPr>
      <w:rFonts w:ascii="Calibri" w:hAnsi="Calibri"/>
    </w:rPr>
    <w:tblPr/>
  </w:style>
  <w:style w:type="table" w:styleId="1215" w:customStyle="1">
    <w:name w:val="Bordered - Accent 3"/>
    <w:basedOn w:val="935"/>
    <w:uiPriority w:val="99"/>
    <w:qFormat/>
    <w:rPr>
      <w:rFonts w:ascii="Calibri" w:hAnsi="Calibri"/>
    </w:rPr>
    <w:tblPr/>
  </w:style>
  <w:style w:type="table" w:styleId="1216" w:customStyle="1">
    <w:name w:val="Bordered - Accent 4"/>
    <w:basedOn w:val="935"/>
    <w:uiPriority w:val="99"/>
    <w:qFormat/>
    <w:rPr>
      <w:rFonts w:ascii="Calibri" w:hAnsi="Calibri"/>
    </w:rPr>
    <w:tblPr/>
  </w:style>
  <w:style w:type="table" w:styleId="1217" w:customStyle="1">
    <w:name w:val="Bordered - Accent 5"/>
    <w:basedOn w:val="935"/>
    <w:uiPriority w:val="99"/>
    <w:qFormat/>
    <w:rPr>
      <w:rFonts w:ascii="Calibri" w:hAnsi="Calibri"/>
    </w:rPr>
    <w:tblPr/>
  </w:style>
  <w:style w:type="table" w:styleId="1218" w:customStyle="1">
    <w:name w:val="Bordered - Accent 6"/>
    <w:basedOn w:val="935"/>
    <w:uiPriority w:val="99"/>
    <w:qFormat/>
    <w:rPr>
      <w:rFonts w:ascii="Calibri" w:hAnsi="Calibri"/>
    </w:rPr>
    <w:tblPr/>
  </w:style>
  <w:style w:type="paragraph" w:styleId="1219" w:customStyle="1">
    <w:name w:val="TOC 标题11"/>
    <w:uiPriority w:val="39"/>
    <w:unhideWhenUsed/>
    <w:qFormat/>
    <w:rPr>
      <w:rFonts w:hint="default" w:ascii="Times New Roman" w:hAnsi="Times New Roman" w:eastAsia="宋体" w:cs="Times New Roman"/>
    </w:rPr>
  </w:style>
  <w:style w:type="paragraph" w:styleId="1220" w:customStyle="1">
    <w:name w:val="普通(网站)1"/>
    <w:basedOn w:val="924"/>
    <w:uiPriority w:val="99"/>
    <w:qFormat/>
    <w:pPr>
      <w:jc w:val="left"/>
      <w:spacing w:before="100" w:beforeAutospacing="1" w:after="100" w:afterAutospacing="1"/>
      <w:widowControl/>
    </w:pPr>
    <w:rPr>
      <w:rFonts w:ascii="宋体" w:hAnsi="宋体" w:cs="宋体"/>
      <w:sz w:val="24"/>
      <w:szCs w:val="24"/>
    </w:rPr>
  </w:style>
  <w:style w:type="paragraph" w:styleId="1221"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222" w:customStyle="1">
    <w:name w:val="标题 61"/>
    <w:next w:val="924"/>
    <w:uiPriority w:val="0"/>
    <w:unhideWhenUsed/>
    <w:qFormat/>
    <w:pPr>
      <w:spacing w:after="120" w:line="360" w:lineRule="auto"/>
      <w:widowControl w:val="off"/>
      <w:outlineLvl w:val="5"/>
    </w:pPr>
    <w:rPr>
      <w:rFonts w:hint="default" w:ascii="Times New Roman" w:hAnsi="Times New Roman" w:eastAsia="宋体" w:cs="Times New Roman"/>
      <w:sz w:val="24"/>
    </w:rPr>
  </w:style>
  <w:style w:type="paragraph" w:styleId="1223" w:customStyle="1">
    <w:name w:val="_Style 92"/>
    <w:basedOn w:val="924"/>
    <w:next w:val="1012"/>
    <w:uiPriority w:val="34"/>
    <w:qFormat/>
    <w:pPr>
      <w:ind w:firstLine="420"/>
    </w:pPr>
    <w:rPr>
      <w:szCs w:val="20"/>
    </w:rPr>
  </w:style>
  <w:style w:type="paragraph" w:styleId="1224" w:customStyle="1">
    <w:name w:val="标题 11"/>
    <w:basedOn w:val="924"/>
    <w:next w:val="924"/>
    <w:uiPriority w:val="0"/>
    <w:qFormat/>
    <w:pPr>
      <w:jc w:val="center"/>
      <w:keepNext/>
      <w:outlineLvl w:val="0"/>
    </w:pPr>
    <w:rPr>
      <w:rFonts w:ascii="楷体_GB2312" w:eastAsia="楷体_GB2312"/>
      <w:sz w:val="28"/>
      <w:szCs w:val="28"/>
    </w:rPr>
  </w:style>
  <w:style w:type="paragraph" w:styleId="1225" w:customStyle="1">
    <w:name w:val="标题 31"/>
    <w:basedOn w:val="924"/>
    <w:next w:val="1226"/>
    <w:uiPriority w:val="0"/>
    <w:qFormat/>
    <w:pPr>
      <w:keepLines/>
      <w:keepNext/>
      <w:spacing w:before="260" w:after="260" w:line="416" w:lineRule="auto"/>
      <w:outlineLvl w:val="2"/>
    </w:pPr>
    <w:rPr>
      <w:b/>
      <w:bCs/>
      <w:sz w:val="32"/>
      <w:szCs w:val="32"/>
    </w:rPr>
  </w:style>
  <w:style w:type="paragraph" w:styleId="1226" w:customStyle="1">
    <w:name w:val="正文缩进1"/>
    <w:basedOn w:val="924"/>
    <w:uiPriority w:val="0"/>
    <w:qFormat/>
    <w:pPr>
      <w:ind w:firstLine="420"/>
    </w:pPr>
  </w:style>
  <w:style w:type="paragraph" w:styleId="1227" w:customStyle="1">
    <w:name w:val="页眉1"/>
    <w:basedOn w:val="924"/>
    <w:uiPriority w:val="0"/>
    <w:qFormat/>
    <w:pPr>
      <w:jc w:val="center"/>
      <w:tabs>
        <w:tab w:val="center" w:pos="4153" w:leader="none"/>
        <w:tab w:val="right" w:pos="8306" w:leader="none"/>
      </w:tabs>
      <w:pBdr>
        <w:bottom w:val="single" w:color="000000" w:sz="6" w:space="1"/>
      </w:pBdr>
    </w:pPr>
    <w:rPr>
      <w:sz w:val="18"/>
      <w:szCs w:val="18"/>
    </w:rPr>
  </w:style>
  <w:style w:type="paragraph" w:styleId="1228" w:customStyle="1">
    <w:name w:val="页脚1"/>
    <w:basedOn w:val="924"/>
    <w:uiPriority w:val="99"/>
    <w:qFormat/>
    <w:pPr>
      <w:jc w:val="left"/>
      <w:tabs>
        <w:tab w:val="center" w:pos="4153" w:leader="none"/>
        <w:tab w:val="right" w:pos="8306" w:leader="none"/>
      </w:tabs>
    </w:pPr>
    <w:rPr>
      <w:sz w:val="18"/>
      <w:szCs w:val="18"/>
    </w:rPr>
  </w:style>
  <w:style w:type="character" w:styleId="1229" w:customStyle="1">
    <w:name w:val="页码1"/>
    <w:link w:val="924"/>
    <w:uiPriority w:val="0"/>
    <w:qFormat/>
    <w:rPr>
      <w:rFonts w:hint="default" w:ascii="Times New Roman" w:hAnsi="Times New Roman" w:eastAsia="宋体" w:cs="Times New Roman"/>
      <w:sz w:val="21"/>
      <w:szCs w:val="21"/>
    </w:rPr>
  </w:style>
  <w:style w:type="paragraph" w:styleId="1230" w:customStyle="1">
    <w:name w:val="无间隔11"/>
    <w:uiPriority w:val="0"/>
    <w:qFormat/>
    <w:pPr>
      <w:jc w:val="both"/>
      <w:widowControl w:val="off"/>
    </w:pPr>
    <w:rPr>
      <w:rFonts w:ascii="Times New Roman" w:hAnsi="Times New Roman" w:eastAsia="宋体" w:cs="Times New Roman"/>
      <w:sz w:val="21"/>
      <w:szCs w:val="21"/>
      <w:lang w:val="en-US" w:eastAsia="zh-CN" w:bidi="ar-SA"/>
    </w:rPr>
  </w:style>
  <w:style w:type="numbering" w:styleId="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savior</dc:creator>
  <cp:lastModifiedBy>唐雪菲</cp:lastModifiedBy>
  <cp:revision>48</cp:revision>
  <dcterms:created xsi:type="dcterms:W3CDTF">2025-07-10T09:14:00Z</dcterms:created>
  <dcterms:modified xsi:type="dcterms:W3CDTF">2025-09-25T06:10:31Z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eyJoZGlkIjoiNTFlNDIwMTA0NGJlZjkxODQ4Njc3ZjAwNjFmYzk5OTAiLCJ1c2VySWQiOiIyOTYyNTQzOTMifQ==</vt:lpwstr>
  </property>
  <property fmtid="{D5CDD505-2E9C-101B-9397-08002B2CF9AE}" pid="3" name="KSOProductBuildVer">
    <vt:lpwstr>2052-12.1.0.22529</vt:lpwstr>
  </property>
  <property fmtid="{D5CDD505-2E9C-101B-9397-08002B2CF9AE}" pid="4" name="ICV">
    <vt:lpwstr>CEF0EBC3F6DA4F0ABD547DD88AAEABAF_13</vt:lpwstr>
  </property>
</Properties>
</file>