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3"/>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r/>
    </w:p>
    <w:p>
      <w:pPr>
        <w:pStyle w:val="973"/>
        <w:ind w:firstLine="0"/>
        <w:jc w:val="both"/>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r/>
    </w:p>
    <w:p>
      <w:pPr>
        <w:pStyle w:val="973"/>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r/>
    </w:p>
    <w:p>
      <w:pPr>
        <w:pStyle w:val="97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7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97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85"/>
        <w:ind w:firstLine="1920"/>
        <w:jc w:val="left"/>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rPr>
        <w:t xml:space="preserve">JSZC-320200-JZCG-G2025-0052</w:t>
      </w:r>
      <w:r>
        <w:rPr>
          <w:color w:val="000000" w:themeColor="text1"/>
          <w:highlight w:val="none"/>
        </w:rPr>
      </w:r>
      <w:r/>
    </w:p>
    <w:p>
      <w:pPr>
        <w:pStyle w:val="885"/>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rPr>
        <w:t xml:space="preserve">智慧市场监管（二期）（扩续建2024）</w:t>
      </w:r>
      <w:r>
        <w:rPr>
          <w:color w:val="000000" w:themeColor="text1"/>
          <w:highlight w:val="none"/>
        </w:rPr>
      </w:r>
      <w:r/>
    </w:p>
    <w:p>
      <w:pPr>
        <w:pStyle w:val="885"/>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rPr>
        <w:t xml:space="preserve">无锡市市场监督管理局（本级）</w:t>
      </w:r>
      <w:r>
        <w:rPr>
          <w:color w:val="000000" w:themeColor="text1"/>
          <w:highlight w:val="none"/>
        </w:rPr>
      </w:r>
      <w:r/>
    </w:p>
    <w:p>
      <w:pPr>
        <w:pStyle w:val="885"/>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r/>
    </w:p>
    <w:p>
      <w:pPr>
        <w:pStyle w:val="97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973"/>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r/>
    </w:p>
    <w:p>
      <w:pPr>
        <w:pStyle w:val="973"/>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rPr>
        <w:t xml:space="preserve">五</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五</w:t>
      </w:r>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973"/>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513029200"/>
      <w:r>
        <w:rPr>
          <w:color w:val="000000" w:themeColor="text1"/>
          <w:highlight w:val="none"/>
        </w:rPr>
      </w:r>
      <w:bookmarkStart w:id="2" w:name="_Toc523127445"/>
      <w:r>
        <w:rPr>
          <w:color w:val="000000" w:themeColor="text1"/>
          <w:highlight w:val="none"/>
        </w:rPr>
      </w:r>
      <w:bookmarkStart w:id="3" w:name="_Toc20823272"/>
      <w:r>
        <w:rPr>
          <w:color w:val="000000" w:themeColor="text1"/>
          <w:highlight w:val="none"/>
        </w:rPr>
      </w:r>
      <w:bookmarkStart w:id="4" w:name="_Toc16938516"/>
      <w:r>
        <w:rPr>
          <w:color w:val="000000" w:themeColor="text1"/>
          <w:highlight w:val="none"/>
        </w:rPr>
      </w:r>
      <w:bookmarkStart w:id="5" w:name="_Toc479757206"/>
      <w:r>
        <w:rPr>
          <w:rFonts w:hint="eastAsia" w:ascii="黑体" w:hAnsi="黑体" w:eastAsia="黑体"/>
          <w:color w:val="000000" w:themeColor="text1"/>
          <w:sz w:val="36"/>
          <w:szCs w:val="36"/>
          <w:highlight w:val="none"/>
        </w:rPr>
        <w:t xml:space="preserve">总  目  录</w:t>
      </w:r>
      <w:r>
        <w:rPr>
          <w:color w:val="000000" w:themeColor="text1"/>
          <w:highlight w:val="none"/>
        </w:rPr>
      </w:r>
      <w:r/>
    </w:p>
    <w:p>
      <w:pPr>
        <w:pStyle w:val="885"/>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r/>
    </w:p>
    <w:p>
      <w:pPr>
        <w:pStyle w:val="885"/>
        <w:numPr>
          <w:ilvl w:val="0"/>
          <w:numId w:val="5"/>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color w:val="000000" w:themeColor="text1"/>
          <w:highlight w:val="none"/>
        </w:rPr>
      </w:r>
      <w:r/>
    </w:p>
    <w:p>
      <w:pPr>
        <w:pStyle w:val="885"/>
        <w:numPr>
          <w:ilvl w:val="0"/>
          <w:numId w:val="5"/>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color w:val="000000" w:themeColor="text1"/>
          <w:highlight w:val="none"/>
        </w:rPr>
      </w:r>
      <w:r/>
    </w:p>
    <w:p>
      <w:pPr>
        <w:pStyle w:val="885"/>
        <w:numPr>
          <w:ilvl w:val="0"/>
          <w:numId w:val="5"/>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color w:val="000000" w:themeColor="text1"/>
          <w:highlight w:val="none"/>
        </w:rPr>
      </w:r>
      <w:r/>
    </w:p>
    <w:p>
      <w:pPr>
        <w:pStyle w:val="885"/>
        <w:numPr>
          <w:ilvl w:val="0"/>
          <w:numId w:val="5"/>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color w:val="000000" w:themeColor="text1"/>
          <w:highlight w:val="none"/>
        </w:rPr>
      </w:r>
      <w:r/>
    </w:p>
    <w:p>
      <w:pPr>
        <w:pStyle w:val="885"/>
        <w:numPr>
          <w:ilvl w:val="0"/>
          <w:numId w:val="5"/>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color w:val="000000" w:themeColor="text1"/>
          <w:highlight w:val="none"/>
        </w:rPr>
      </w:r>
      <w:r/>
    </w:p>
    <w:p>
      <w:pPr>
        <w:pStyle w:val="885"/>
        <w:numPr>
          <w:ilvl w:val="0"/>
          <w:numId w:val="5"/>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color w:val="000000" w:themeColor="text1"/>
          <w:highlight w:val="none"/>
        </w:rPr>
      </w:r>
      <w:r/>
    </w:p>
    <w:p>
      <w:pPr>
        <w:pStyle w:val="885"/>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color w:val="000000" w:themeColor="text1"/>
          <w:highlight w:val="none"/>
        </w:rPr>
      </w:r>
      <w:r/>
    </w:p>
    <w:p>
      <w:pPr>
        <w:pStyle w:val="885"/>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rPr>
        <w:t xml:space="preserve">无锡市市场监督管理局（本级）</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rPr>
        <w:t xml:space="preserve">智慧市场监管（二期）（扩续建2024）</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JSZC-320200-JZCG-G2025-0052</w:t>
      </w:r>
      <w:r>
        <w:rPr>
          <w:rFonts w:hint="eastAsia" w:ascii="宋体" w:hAnsi="宋体"/>
          <w:color w:val="000000" w:themeColor="text1"/>
          <w:sz w:val="24"/>
          <w:szCs w:val="24"/>
          <w:highlight w:val="none"/>
        </w:rPr>
        <w:t xml:space="preserve">）进行公开招标采购，欢迎符合条件的供应商投标。</w:t>
      </w:r>
      <w:r>
        <w:rPr>
          <w:color w:val="000000" w:themeColor="text1"/>
          <w:highlight w:val="none"/>
        </w:rPr>
      </w:r>
      <w:r/>
    </w:p>
    <w:p>
      <w:pPr>
        <w:pStyle w:val="885"/>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color w:val="000000" w:themeColor="text1"/>
          <w:highlight w:val="none"/>
        </w:rPr>
      </w:r>
      <w:r/>
    </w:p>
    <w:p>
      <w:pPr>
        <w:pStyle w:val="885"/>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智慧市场监管（二期）（扩续建2024）</w:t>
      </w:r>
      <w:r>
        <w:rPr>
          <w:rFonts w:hint="eastAsia" w:ascii="宋体" w:hAnsi="宋体"/>
          <w:color w:val="000000" w:themeColor="text1"/>
          <w:sz w:val="24"/>
          <w:szCs w:val="24"/>
          <w:highlight w:val="none"/>
        </w:rPr>
        <w:t xml:space="preserve">采购项目的潜在投标人应在“无锡政府采购网”“江苏政府采购网”自行浏览招标文件，如有投标意向须在本招标文件有效获取期内通过登录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5年6月5日09点30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8985263"/>
      <w:r>
        <w:rPr>
          <w:color w:val="000000" w:themeColor="text1"/>
          <w:highlight w:val="none"/>
        </w:rPr>
      </w:r>
      <w:bookmarkStart w:id="7" w:name="_Toc28359079"/>
      <w:r>
        <w:rPr>
          <w:color w:val="000000" w:themeColor="text1"/>
          <w:highlight w:val="none"/>
        </w:rPr>
      </w:r>
      <w:bookmarkStart w:id="8" w:name="_Toc35393790"/>
      <w:r>
        <w:rPr>
          <w:color w:val="000000" w:themeColor="text1"/>
          <w:highlight w:val="none"/>
        </w:rPr>
      </w:r>
      <w:bookmarkStart w:id="9" w:name="_Toc28359002"/>
      <w:r>
        <w:rPr>
          <w:color w:val="000000" w:themeColor="text1"/>
          <w:highlight w:val="none"/>
        </w:rPr>
      </w:r>
      <w:bookmarkStart w:id="10" w:name="_Toc35393621"/>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rPr>
        <w:t xml:space="preserve">JSZC-320200-JZCG-G2025-0052</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rPr>
        <w:t xml:space="preserve">智慧市场监管（二期）（扩续建2024）</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rPr>
        <w:t xml:space="preserve">312.3万元</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：312.3万元</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8985264"/>
      <w:r>
        <w:rPr>
          <w:color w:val="000000" w:themeColor="text1"/>
          <w:highlight w:val="none"/>
        </w:rPr>
      </w:r>
      <w:bookmarkStart w:id="13" w:name="_Toc28359003"/>
      <w:r>
        <w:rPr>
          <w:color w:val="000000" w:themeColor="text1"/>
          <w:highlight w:val="none"/>
        </w:rPr>
      </w:r>
      <w:bookmarkStart w:id="14" w:name="_Toc35393791"/>
      <w:r>
        <w:rPr>
          <w:color w:val="000000" w:themeColor="text1"/>
          <w:highlight w:val="none"/>
        </w:rPr>
      </w:r>
      <w:bookmarkStart w:id="15" w:name="_Toc35393622"/>
      <w:r>
        <w:rPr>
          <w:color w:val="000000" w:themeColor="text1"/>
          <w:highlight w:val="none"/>
        </w:rPr>
      </w:r>
      <w:bookmarkStart w:id="16" w:name="_Toc28359080"/>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792"/>
      <w:r>
        <w:rPr>
          <w:color w:val="000000" w:themeColor="text1"/>
          <w:highlight w:val="none"/>
        </w:rPr>
      </w:r>
      <w:bookmarkStart w:id="18" w:name="_Toc28359081"/>
      <w:r>
        <w:rPr>
          <w:color w:val="000000" w:themeColor="text1"/>
          <w:highlight w:val="none"/>
        </w:rPr>
      </w:r>
      <w:bookmarkStart w:id="19" w:name="_Toc38985265"/>
      <w:r>
        <w:rPr>
          <w:color w:val="000000" w:themeColor="text1"/>
          <w:highlight w:val="none"/>
        </w:rPr>
      </w:r>
      <w:bookmarkStart w:id="20" w:name="_Toc35393623"/>
      <w:r>
        <w:rPr>
          <w:color w:val="000000" w:themeColor="text1"/>
          <w:highlight w:val="none"/>
        </w:rPr>
      </w:r>
      <w:bookmarkStart w:id="21" w:name="_Toc28359004"/>
      <w:r>
        <w:rPr>
          <w:rFonts w:hint="eastAsia" w:ascii="宋体" w:hAnsi="宋体"/>
          <w:color w:val="000000" w:themeColor="text1"/>
          <w:sz w:val="24"/>
          <w:szCs w:val="24"/>
          <w:highlight w:val="none"/>
        </w:rPr>
        <w:t xml:space="preserve">1.满足《中华人民共和国政府采购法》第二十二条规定；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本项目专门面向中小企业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pStyle w:val="885"/>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82"/>
      <w:r>
        <w:rPr>
          <w:color w:val="000000" w:themeColor="text1"/>
          <w:highlight w:val="none"/>
        </w:rPr>
      </w:r>
      <w:bookmarkStart w:id="23" w:name="_Toc28359005"/>
      <w:r>
        <w:rPr>
          <w:color w:val="000000" w:themeColor="text1"/>
          <w:highlight w:val="none"/>
        </w:rPr>
      </w:r>
      <w:bookmarkStart w:id="24" w:name="_Toc35393793"/>
      <w:r>
        <w:rPr>
          <w:color w:val="000000" w:themeColor="text1"/>
          <w:highlight w:val="none"/>
        </w:rPr>
      </w:r>
      <w:bookmarkStart w:id="25" w:name="_Toc38985266"/>
      <w:r>
        <w:rPr>
          <w:color w:val="000000" w:themeColor="text1"/>
          <w:highlight w:val="none"/>
        </w:rPr>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color w:val="000000" w:themeColor="text1"/>
          <w:highlight w:val="none"/>
        </w:rPr>
      </w:r>
      <w:r/>
    </w:p>
    <w:p>
      <w:pPr>
        <w:pStyle w:val="885"/>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color w:val="000000" w:themeColor="text1"/>
          <w:highlight w:val="none"/>
        </w:rPr>
      </w:r>
      <w:r/>
    </w:p>
    <w:p>
      <w:pPr>
        <w:pStyle w:val="885"/>
        <w:ind w:firstLine="540"/>
        <w:spacing w:line="500" w:lineRule="exact"/>
        <w:rPr>
          <w:rStyle w:val="962"/>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color w:val="000000" w:themeColor="text1"/>
          <w:highlight w:val="none"/>
        </w:rPr>
      </w:r>
      <w:r/>
    </w:p>
    <w:p>
      <w:pPr>
        <w:pStyle w:val="885"/>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5年6月5日09点30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28359007"/>
      <w:r>
        <w:rPr>
          <w:color w:val="000000" w:themeColor="text1"/>
          <w:highlight w:val="none"/>
        </w:rPr>
      </w:r>
      <w:bookmarkStart w:id="28" w:name="_Toc28359084"/>
      <w:r>
        <w:rPr>
          <w:color w:val="000000" w:themeColor="text1"/>
          <w:highlight w:val="none"/>
        </w:rPr>
      </w:r>
      <w:bookmarkStart w:id="29" w:name="_Toc35393625"/>
      <w:r>
        <w:rPr>
          <w:color w:val="000000" w:themeColor="text1"/>
          <w:highlight w:val="none"/>
        </w:rPr>
      </w:r>
      <w:bookmarkStart w:id="30" w:name="_Toc35393794"/>
      <w:r>
        <w:rPr>
          <w:color w:val="000000" w:themeColor="text1"/>
          <w:highlight w:val="none"/>
        </w:rPr>
      </w:r>
      <w:bookmarkStart w:id="31" w:name="_Toc38985267"/>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795"/>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8985269"/>
      <w:r>
        <w:rPr>
          <w:color w:val="000000" w:themeColor="text1"/>
          <w:highlight w:val="none"/>
        </w:rPr>
      </w:r>
      <w:bookmarkStart w:id="36" w:name="_Toc28359008"/>
      <w:r>
        <w:rPr>
          <w:color w:val="000000" w:themeColor="text1"/>
          <w:highlight w:val="none"/>
        </w:rPr>
      </w:r>
      <w:bookmarkStart w:id="37" w:name="_Toc35393796"/>
      <w:r>
        <w:rPr>
          <w:color w:val="000000" w:themeColor="text1"/>
          <w:highlight w:val="none"/>
        </w:rPr>
      </w:r>
      <w:bookmarkStart w:id="38" w:name="_Toc35393627"/>
      <w:r>
        <w:rPr>
          <w:color w:val="000000" w:themeColor="text1"/>
          <w:highlight w:val="none"/>
        </w:rPr>
      </w:r>
      <w:bookmarkStart w:id="39" w:name="_Toc28359085"/>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称：无锡市市场监督管理局（本级）</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址：无锡市梁溪区永和路</w:t>
      </w:r>
      <w:r>
        <w:rPr>
          <w:rFonts w:ascii="宋体" w:hAnsi="宋体" w:cs="宋体"/>
          <w:color w:val="000000" w:themeColor="text1"/>
          <w:sz w:val="24"/>
          <w:szCs w:val="24"/>
          <w:highlight w:val="none"/>
        </w:rPr>
        <w:t xml:space="preserve">28</w:t>
      </w:r>
      <w:r>
        <w:rPr>
          <w:rFonts w:hint="eastAsia" w:ascii="宋体" w:hAnsi="宋体" w:cs="宋体"/>
          <w:color w:val="000000" w:themeColor="text1"/>
          <w:sz w:val="24"/>
          <w:szCs w:val="24"/>
          <w:highlight w:val="none"/>
        </w:rPr>
        <w:t xml:space="preserve">号</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09"/>
      <w:r>
        <w:rPr>
          <w:color w:val="000000" w:themeColor="text1"/>
          <w:highlight w:val="none"/>
        </w:rPr>
      </w:r>
      <w:bookmarkStart w:id="41" w:name="_Toc28359086"/>
      <w:r>
        <w:rPr>
          <w:rFonts w:hint="eastAsia" w:ascii="宋体" w:hAnsi="宋体" w:cs="宋体"/>
          <w:color w:val="000000" w:themeColor="text1"/>
          <w:sz w:val="24"/>
          <w:szCs w:val="24"/>
          <w:highlight w:val="none"/>
        </w:rPr>
        <w:t xml:space="preserve">见“项目联系方式”</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color w:val="000000" w:themeColor="text1"/>
          <w:highlight w:val="none"/>
        </w:rPr>
      </w:r>
      <w:r/>
    </w:p>
    <w:p>
      <w:pPr>
        <w:pStyle w:val="885"/>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采购人项目咨询联系人：赵莉；电话：</w:t>
      </w:r>
      <w:r>
        <w:rPr>
          <w:rFonts w:ascii="宋体" w:hAnsi="宋体" w:cs="宋体"/>
          <w:color w:val="000000" w:themeColor="text1"/>
          <w:sz w:val="24"/>
          <w:szCs w:val="24"/>
          <w:highlight w:val="none"/>
        </w:rPr>
        <w:t xml:space="preserve">0510-</w:t>
      </w:r>
      <w:r>
        <w:rPr>
          <w:rFonts w:hint="eastAsia" w:ascii="宋体" w:hAnsi="宋体" w:cs="宋体"/>
          <w:color w:val="000000" w:themeColor="text1"/>
          <w:sz w:val="24"/>
          <w:szCs w:val="24"/>
          <w:highlight w:val="none"/>
        </w:rPr>
        <w:t xml:space="preserve">81009113</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采购人质疑受理联系人：赵莉；电话：</w:t>
      </w:r>
      <w:r>
        <w:rPr>
          <w:rFonts w:ascii="宋体" w:hAnsi="宋体" w:cs="宋体"/>
          <w:color w:val="000000" w:themeColor="text1"/>
          <w:sz w:val="24"/>
          <w:szCs w:val="24"/>
          <w:highlight w:val="none"/>
        </w:rPr>
        <w:t xml:space="preserve">0510-</w:t>
      </w:r>
      <w:r>
        <w:rPr>
          <w:rFonts w:hint="eastAsia" w:ascii="宋体" w:hAnsi="宋体" w:cs="宋体"/>
          <w:color w:val="000000" w:themeColor="text1"/>
          <w:sz w:val="24"/>
          <w:szCs w:val="24"/>
          <w:highlight w:val="none"/>
        </w:rPr>
        <w:t xml:space="preserve">81009113</w:t>
      </w:r>
      <w:r>
        <w:rPr>
          <w:color w:val="000000" w:themeColor="text1"/>
          <w:highlight w:val="none"/>
        </w:rPr>
      </w:r>
      <w:r/>
    </w:p>
    <w:p>
      <w:pPr>
        <w:pStyle w:val="885"/>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交易中心项目联系人：邰云祥；电话：0510-81827764</w:t>
      </w:r>
      <w:r>
        <w:rPr>
          <w:color w:val="000000" w:themeColor="text1"/>
          <w:highlight w:val="none"/>
        </w:rPr>
      </w:r>
      <w:r/>
    </w:p>
    <w:p>
      <w:pPr>
        <w:pStyle w:val="888"/>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highlight w:val="none"/>
        </w:rPr>
      </w:r>
      <w:r/>
    </w:p>
    <w:p>
      <w:pPr>
        <w:pStyle w:val="885"/>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号楼二楼</w:t>
      </w:r>
      <w:r>
        <w:rPr>
          <w:rFonts w:ascii="宋体" w:hAnsi="宋体"/>
          <w:color w:val="000000" w:themeColor="text1"/>
          <w:sz w:val="24"/>
          <w:szCs w:val="24"/>
          <w:highlight w:val="none"/>
        </w:rPr>
        <w:t xml:space="preserve">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10</w:t>
      </w:r>
      <w:r>
        <w:rPr>
          <w:rFonts w:hint="eastAsia" w:ascii="宋体" w:hAnsi="宋体"/>
          <w:color w:val="000000" w:themeColor="text1"/>
          <w:sz w:val="24"/>
          <w:szCs w:val="24"/>
          <w:highlight w:val="none"/>
        </w:rPr>
        <w:t xml:space="preserve">号窗口</w:t>
      </w:r>
      <w:r>
        <w:rPr>
          <w:rFonts w:ascii="宋体" w:hAnsi="宋体"/>
          <w:color w:val="000000" w:themeColor="text1"/>
          <w:sz w:val="24"/>
          <w:szCs w:val="24"/>
          <w:highlight w:val="none"/>
        </w:rPr>
        <w:t xml:space="preserve">），办理指南链接：http://jsxcmm.com/help/help.html。</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color w:val="000000" w:themeColor="text1"/>
          <w:highlight w:val="none"/>
        </w:rPr>
      </w:r>
      <w:r/>
    </w:p>
    <w:p>
      <w:pPr>
        <w:pStyle w:val="885"/>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color w:val="000000" w:themeColor="text1"/>
          <w:highlight w:val="none"/>
        </w:rPr>
      </w:r>
      <w:r/>
    </w:p>
    <w:p>
      <w:pPr>
        <w:pStyle w:val="885"/>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（三）有关本次采购的事项若存在变动或修改，敬请及时关注无锡市公共资源交易中心在“无锡政府采购网”“江苏政府采购网”发布的更正公告。</w:t>
      </w:r>
      <w:r>
        <w:rPr>
          <w:color w:val="000000" w:themeColor="text1"/>
          <w:highlight w:val="none"/>
        </w:rPr>
      </w:r>
      <w:r/>
    </w:p>
    <w:p>
      <w:pPr>
        <w:pStyle w:val="885"/>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（四）本次采购不收取投标保证金。</w:t>
      </w:r>
      <w:r>
        <w:rPr>
          <w:color w:val="000000" w:themeColor="text1"/>
          <w:highlight w:val="none"/>
        </w:rPr>
      </w:r>
      <w:r/>
    </w:p>
    <w:p>
      <w:pPr>
        <w:pStyle w:val="885"/>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20823274"/>
      <w:r>
        <w:rPr>
          <w:color w:val="000000" w:themeColor="text1"/>
          <w:highlight w:val="none"/>
        </w:rPr>
      </w:r>
      <w:bookmarkStart w:id="44" w:name="_Toc120614213"/>
      <w:r>
        <w:rPr>
          <w:color w:val="000000" w:themeColor="text1"/>
          <w:highlight w:val="none"/>
        </w:rPr>
      </w:r>
      <w:bookmarkStart w:id="45" w:name="_Toc16938518"/>
      <w:r>
        <w:rPr>
          <w:color w:val="000000" w:themeColor="text1"/>
          <w:highlight w:val="none"/>
        </w:rPr>
      </w:r>
      <w:bookmarkStart w:id="46" w:name="_Toc513029202"/>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120614214"/>
      <w:r>
        <w:rPr>
          <w:color w:val="000000" w:themeColor="text1"/>
          <w:highlight w:val="none"/>
        </w:rPr>
      </w:r>
      <w:bookmarkStart w:id="48" w:name="_Toc20823275"/>
      <w:r>
        <w:rPr>
          <w:color w:val="000000" w:themeColor="text1"/>
          <w:highlight w:val="none"/>
        </w:rPr>
      </w:r>
      <w:bookmarkStart w:id="49" w:name="_Toc513029203"/>
      <w:r>
        <w:rPr>
          <w:color w:val="000000" w:themeColor="text1"/>
          <w:highlight w:val="none"/>
        </w:rPr>
      </w:r>
      <w:bookmarkStart w:id="50" w:name="_Toc16938519"/>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513029204"/>
      <w:r>
        <w:rPr>
          <w:color w:val="000000" w:themeColor="text1"/>
          <w:highlight w:val="none"/>
        </w:rPr>
      </w:r>
      <w:bookmarkStart w:id="53" w:name="_Toc16938520"/>
      <w:r>
        <w:rPr>
          <w:color w:val="000000" w:themeColor="text1"/>
          <w:highlight w:val="none"/>
        </w:rPr>
      </w:r>
      <w:bookmarkStart w:id="54" w:name="_Toc20823276"/>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16938521"/>
      <w:r>
        <w:rPr>
          <w:color w:val="000000" w:themeColor="text1"/>
          <w:highlight w:val="none"/>
        </w:rPr>
      </w:r>
      <w:bookmarkStart w:id="56" w:name="_Toc513029205"/>
      <w:r>
        <w:rPr>
          <w:color w:val="000000" w:themeColor="text1"/>
          <w:highlight w:val="none"/>
        </w:rPr>
      </w:r>
      <w:bookmarkStart w:id="57" w:name="_Toc20823277"/>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513029206"/>
      <w:r>
        <w:rPr>
          <w:color w:val="000000" w:themeColor="text1"/>
          <w:highlight w:val="none"/>
        </w:rPr>
      </w:r>
      <w:bookmarkStart w:id="59" w:name="_Toc20823278"/>
      <w:r>
        <w:rPr>
          <w:color w:val="000000" w:themeColor="text1"/>
          <w:highlight w:val="none"/>
        </w:rPr>
      </w:r>
      <w:bookmarkStart w:id="60" w:name="_Toc16938522"/>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462564067"/>
      <w:r>
        <w:rPr>
          <w:color w:val="000000" w:themeColor="text1"/>
          <w:highlight w:val="none"/>
        </w:rPr>
      </w:r>
      <w:bookmarkStart w:id="62" w:name="_Toc16938523"/>
      <w:r>
        <w:rPr>
          <w:color w:val="000000" w:themeColor="text1"/>
          <w:highlight w:val="none"/>
        </w:rPr>
      </w:r>
      <w:bookmarkStart w:id="63" w:name="_Toc513029207"/>
      <w:r>
        <w:rPr>
          <w:color w:val="000000" w:themeColor="text1"/>
          <w:highlight w:val="none"/>
        </w:rPr>
      </w:r>
      <w:bookmarkStart w:id="64" w:name="_Toc20823279"/>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16938525"/>
      <w:r>
        <w:rPr>
          <w:color w:val="000000" w:themeColor="text1"/>
          <w:highlight w:val="none"/>
        </w:rPr>
      </w:r>
      <w:bookmarkStart w:id="66" w:name="_Toc513029209"/>
      <w:r>
        <w:rPr>
          <w:color w:val="000000" w:themeColor="text1"/>
          <w:highlight w:val="none"/>
        </w:rPr>
      </w:r>
      <w:bookmarkStart w:id="67" w:name="_Toc120614215"/>
      <w:r>
        <w:rPr>
          <w:color w:val="000000" w:themeColor="text1"/>
          <w:highlight w:val="none"/>
        </w:rPr>
      </w:r>
      <w:bookmarkStart w:id="68" w:name="_Toc20823281"/>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20823282"/>
      <w:r>
        <w:rPr>
          <w:color w:val="000000" w:themeColor="text1"/>
          <w:highlight w:val="none"/>
        </w:rPr>
      </w:r>
      <w:bookmarkStart w:id="70" w:name="_Toc16938526"/>
      <w:r>
        <w:rPr>
          <w:color w:val="000000" w:themeColor="text1"/>
          <w:highlight w:val="none"/>
        </w:rPr>
      </w:r>
      <w:bookmarkStart w:id="71" w:name="_Toc513029210"/>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color w:val="000000" w:themeColor="text1"/>
          <w:highlight w:val="none"/>
        </w:rPr>
      </w:r>
      <w:r/>
    </w:p>
    <w:p>
      <w:pPr>
        <w:pStyle w:val="885"/>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462564070"/>
      <w:r>
        <w:rPr>
          <w:color w:val="000000" w:themeColor="text1"/>
          <w:highlight w:val="none"/>
        </w:rPr>
      </w:r>
      <w:bookmarkStart w:id="73" w:name="_Toc513029211"/>
      <w:r>
        <w:rPr>
          <w:color w:val="000000" w:themeColor="text1"/>
          <w:highlight w:val="none"/>
        </w:rPr>
      </w:r>
      <w:bookmarkStart w:id="74" w:name="_Toc20823283"/>
      <w:r>
        <w:rPr>
          <w:color w:val="000000" w:themeColor="text1"/>
          <w:highlight w:val="none"/>
        </w:rPr>
      </w:r>
      <w:bookmarkStart w:id="75" w:name="_Toc16938527"/>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r/>
    </w:p>
    <w:p>
      <w:pPr>
        <w:pStyle w:val="885"/>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20823284"/>
      <w:r>
        <w:rPr>
          <w:color w:val="000000" w:themeColor="text1"/>
          <w:highlight w:val="none"/>
        </w:rPr>
      </w:r>
      <w:bookmarkStart w:id="77" w:name="_Toc462564071"/>
      <w:r>
        <w:rPr>
          <w:color w:val="000000" w:themeColor="text1"/>
          <w:highlight w:val="none"/>
        </w:rPr>
      </w:r>
      <w:bookmarkStart w:id="78" w:name="_Toc16938528"/>
      <w:r>
        <w:rPr>
          <w:color w:val="000000" w:themeColor="text1"/>
          <w:highlight w:val="none"/>
        </w:rPr>
      </w:r>
      <w:bookmarkStart w:id="79" w:name="_Toc513029212"/>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120614216"/>
      <w:r>
        <w:rPr>
          <w:color w:val="000000" w:themeColor="text1"/>
          <w:highlight w:val="none"/>
        </w:rPr>
      </w:r>
      <w:bookmarkStart w:id="81" w:name="_Toc16938529"/>
      <w:r>
        <w:rPr>
          <w:color w:val="000000" w:themeColor="text1"/>
          <w:highlight w:val="none"/>
        </w:rPr>
      </w:r>
      <w:bookmarkStart w:id="82" w:name="_Toc462564072"/>
      <w:r>
        <w:rPr>
          <w:color w:val="000000" w:themeColor="text1"/>
          <w:highlight w:val="none"/>
        </w:rPr>
      </w:r>
      <w:bookmarkStart w:id="83" w:name="_Toc20823285"/>
      <w:r>
        <w:rPr>
          <w:color w:val="000000" w:themeColor="text1"/>
          <w:highlight w:val="none"/>
        </w:rPr>
      </w:r>
      <w:bookmarkStart w:id="84" w:name="_Toc513029213"/>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513029214"/>
      <w:r>
        <w:rPr>
          <w:color w:val="000000" w:themeColor="text1"/>
          <w:highlight w:val="none"/>
        </w:rPr>
      </w:r>
      <w:bookmarkStart w:id="86" w:name="_Toc16938530"/>
      <w:r>
        <w:rPr>
          <w:color w:val="000000" w:themeColor="text1"/>
          <w:highlight w:val="none"/>
        </w:rPr>
      </w:r>
      <w:bookmarkStart w:id="87" w:name="_Toc462564073"/>
      <w:r>
        <w:rPr>
          <w:color w:val="000000" w:themeColor="text1"/>
          <w:highlight w:val="none"/>
        </w:rPr>
      </w:r>
      <w:bookmarkStart w:id="88" w:name="_Toc20823286"/>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20823287"/>
      <w:r>
        <w:rPr>
          <w:color w:val="000000" w:themeColor="text1"/>
          <w:highlight w:val="none"/>
        </w:rPr>
      </w:r>
      <w:bookmarkStart w:id="90" w:name="_Toc16938531"/>
      <w:r>
        <w:rPr>
          <w:color w:val="000000" w:themeColor="text1"/>
          <w:highlight w:val="none"/>
        </w:rPr>
      </w:r>
      <w:bookmarkStart w:id="91" w:name="_Toc513029215"/>
      <w:r>
        <w:rPr>
          <w:color w:val="000000" w:themeColor="text1"/>
          <w:highlight w:val="none"/>
        </w:rPr>
      </w:r>
      <w:bookmarkStart w:id="92" w:name="_Toc462564074"/>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r/>
    </w:p>
    <w:p>
      <w:pPr>
        <w:pStyle w:val="885"/>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70360"/>
      <w:r>
        <w:rPr>
          <w:color w:val="000000" w:themeColor="text1"/>
          <w:highlight w:val="none"/>
        </w:rPr>
      </w:r>
      <w:bookmarkEnd w:id="93"/>
      <w:r>
        <w:rPr>
          <w:color w:val="000000" w:themeColor="text1"/>
          <w:highlight w:val="none"/>
        </w:rPr>
      </w:r>
      <w:bookmarkStart w:id="94" w:name="_Hlt26668975"/>
      <w:r>
        <w:rPr>
          <w:color w:val="000000" w:themeColor="text1"/>
          <w:highlight w:val="none"/>
        </w:rPr>
      </w:r>
      <w:bookmarkEnd w:id="94"/>
      <w:r>
        <w:rPr>
          <w:color w:val="000000" w:themeColor="text1"/>
          <w:highlight w:val="none"/>
        </w:rPr>
      </w:r>
      <w:bookmarkStart w:id="95" w:name="_Hlt26954838"/>
      <w:r>
        <w:rPr>
          <w:color w:val="000000" w:themeColor="text1"/>
          <w:highlight w:val="none"/>
        </w:rPr>
      </w:r>
      <w:bookmarkEnd w:id="95"/>
      <w:r>
        <w:rPr>
          <w:color w:val="000000" w:themeColor="text1"/>
          <w:highlight w:val="none"/>
        </w:rPr>
      </w:r>
      <w:bookmarkStart w:id="96" w:name="_Toc49090509"/>
      <w:r>
        <w:rPr>
          <w:color w:val="000000" w:themeColor="text1"/>
          <w:highlight w:val="none"/>
        </w:rPr>
      </w:r>
      <w:bookmarkStart w:id="97" w:name="_Toc14577357"/>
      <w:r>
        <w:rPr>
          <w:color w:val="000000" w:themeColor="text1"/>
          <w:highlight w:val="none"/>
        </w:rPr>
      </w:r>
      <w:bookmarkStart w:id="98" w:name="_Toc513029219"/>
      <w:r>
        <w:rPr>
          <w:color w:val="000000" w:themeColor="text1"/>
          <w:highlight w:val="none"/>
        </w:rPr>
      </w:r>
      <w:bookmarkStart w:id="99" w:name="_Toc49090507"/>
      <w:r>
        <w:rPr>
          <w:color w:val="000000" w:themeColor="text1"/>
          <w:highlight w:val="none"/>
        </w:rPr>
      </w:r>
      <w:bookmarkStart w:id="100" w:name="_Toc513029216"/>
      <w:r>
        <w:rPr>
          <w:color w:val="000000" w:themeColor="text1"/>
          <w:highlight w:val="none"/>
        </w:rPr>
      </w:r>
      <w:bookmarkStart w:id="101" w:name="_Toc14577354"/>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49090508"/>
      <w:r>
        <w:rPr>
          <w:color w:val="000000" w:themeColor="text1"/>
          <w:highlight w:val="none"/>
        </w:rPr>
      </w:r>
      <w:bookmarkStart w:id="103" w:name="_Toc14577355"/>
      <w:r>
        <w:rPr>
          <w:rFonts w:hint="eastAsia" w:ascii="宋体" w:hAnsi="宋体"/>
          <w:bCs/>
          <w:color w:val="000000" w:themeColor="text1"/>
          <w:sz w:val="24"/>
          <w:highlight w:val="none"/>
        </w:rPr>
        <w:t xml:space="preserve">11.1投标人应按照法律、法规、规章和规范性文件以及招标文件要求提交证明文件，证明其及投标标的符合招标文件规定。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14577359"/>
      <w:r>
        <w:rPr>
          <w:color w:val="000000" w:themeColor="text1"/>
          <w:highlight w:val="none"/>
        </w:rPr>
      </w:r>
      <w:bookmarkStart w:id="105" w:name="_Toc49090510"/>
      <w:r>
        <w:rPr>
          <w:rFonts w:hint="eastAsia" w:ascii="宋体" w:hAnsi="宋体" w:eastAsia="宋体"/>
          <w:bCs w:val="0"/>
          <w:color w:val="000000" w:themeColor="text1"/>
          <w:highlight w:val="none"/>
        </w:rPr>
        <w:t xml:space="preserve">12.投标函、承诺书和开标一览表</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954731"/>
      <w:r>
        <w:rPr>
          <w:color w:val="000000" w:themeColor="text1"/>
          <w:highlight w:val="none"/>
        </w:rPr>
      </w:r>
      <w:bookmarkEnd w:id="108"/>
      <w:r>
        <w:rPr>
          <w:color w:val="000000" w:themeColor="text1"/>
          <w:highlight w:val="none"/>
        </w:rPr>
      </w:r>
      <w:bookmarkStart w:id="109" w:name="_Hlt26670403"/>
      <w:r>
        <w:rPr>
          <w:color w:val="000000" w:themeColor="text1"/>
          <w:highlight w:val="none"/>
        </w:rPr>
      </w:r>
      <w:bookmarkEnd w:id="109"/>
      <w:r>
        <w:rPr>
          <w:color w:val="000000" w:themeColor="text1"/>
          <w:highlight w:val="none"/>
        </w:rPr>
      </w:r>
      <w:bookmarkStart w:id="110" w:name="_Hlt26954846"/>
      <w:r>
        <w:rPr>
          <w:color w:val="000000" w:themeColor="text1"/>
          <w:highlight w:val="none"/>
        </w:rPr>
      </w:r>
      <w:bookmarkEnd w:id="110"/>
      <w:r>
        <w:rPr>
          <w:color w:val="000000" w:themeColor="text1"/>
          <w:highlight w:val="none"/>
        </w:rPr>
      </w:r>
      <w:bookmarkStart w:id="111" w:name="_Hlt26670486"/>
      <w:r>
        <w:rPr>
          <w:color w:val="000000" w:themeColor="text1"/>
          <w:highlight w:val="none"/>
        </w:rPr>
      </w:r>
      <w:bookmarkEnd w:id="111"/>
      <w:r>
        <w:rPr>
          <w:color w:val="000000" w:themeColor="text1"/>
          <w:highlight w:val="none"/>
        </w:rPr>
      </w:r>
      <w:bookmarkStart w:id="112" w:name="_Hlt26954842"/>
      <w:r>
        <w:rPr>
          <w:color w:val="000000" w:themeColor="text1"/>
          <w:highlight w:val="none"/>
        </w:rPr>
      </w:r>
      <w:bookmarkEnd w:id="112"/>
      <w:r>
        <w:rPr>
          <w:color w:val="000000" w:themeColor="text1"/>
          <w:highlight w:val="none"/>
        </w:rPr>
      </w:r>
      <w:bookmarkStart w:id="113" w:name="_Hlt26954848"/>
      <w:r>
        <w:rPr>
          <w:color w:val="000000" w:themeColor="text1"/>
          <w:highlight w:val="none"/>
        </w:rPr>
      </w:r>
      <w:bookmarkEnd w:id="113"/>
      <w:r>
        <w:rPr>
          <w:color w:val="000000" w:themeColor="text1"/>
          <w:highlight w:val="none"/>
        </w:rPr>
      </w:r>
      <w:bookmarkStart w:id="114" w:name="_Hlt26668983"/>
      <w:r>
        <w:rPr>
          <w:color w:val="000000" w:themeColor="text1"/>
          <w:highlight w:val="none"/>
        </w:rPr>
      </w:r>
      <w:bookmarkEnd w:id="114"/>
      <w:r>
        <w:rPr>
          <w:color w:val="000000" w:themeColor="text1"/>
          <w:highlight w:val="none"/>
        </w:rPr>
      </w:r>
      <w:bookmarkStart w:id="115" w:name="_Hlt26670425"/>
      <w:r>
        <w:rPr>
          <w:color w:val="000000" w:themeColor="text1"/>
          <w:highlight w:val="none"/>
        </w:rPr>
      </w:r>
      <w:bookmarkEnd w:id="115"/>
      <w:r>
        <w:rPr>
          <w:color w:val="000000" w:themeColor="text1"/>
          <w:highlight w:val="none"/>
        </w:rPr>
      </w:r>
      <w:bookmarkStart w:id="116" w:name="_Hlt26954844"/>
      <w:r>
        <w:rPr>
          <w:color w:val="000000" w:themeColor="text1"/>
          <w:highlight w:val="none"/>
        </w:rPr>
      </w:r>
      <w:bookmarkEnd w:id="116"/>
      <w:r>
        <w:rPr>
          <w:color w:val="000000" w:themeColor="text1"/>
          <w:highlight w:val="none"/>
        </w:rPr>
      </w:r>
      <w:bookmarkStart w:id="117" w:name="_Hlt26670482"/>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color w:val="000000" w:themeColor="text1"/>
          <w:highlight w:val="none"/>
        </w:rPr>
      </w:r>
      <w:r/>
    </w:p>
    <w:p>
      <w:pPr>
        <w:pStyle w:val="885"/>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954850"/>
      <w:r>
        <w:rPr>
          <w:color w:val="000000" w:themeColor="text1"/>
          <w:highlight w:val="none"/>
        </w:rPr>
      </w:r>
      <w:bookmarkEnd w:id="118"/>
      <w:r>
        <w:rPr>
          <w:color w:val="000000" w:themeColor="text1"/>
          <w:highlight w:val="none"/>
        </w:rPr>
      </w:r>
      <w:bookmarkStart w:id="119" w:name="_Hlt26954734"/>
      <w:r>
        <w:rPr>
          <w:color w:val="000000" w:themeColor="text1"/>
          <w:highlight w:val="none"/>
        </w:rPr>
      </w:r>
      <w:bookmarkEnd w:id="119"/>
      <w:r>
        <w:rPr>
          <w:color w:val="000000" w:themeColor="text1"/>
          <w:highlight w:val="none"/>
        </w:rPr>
      </w:r>
      <w:bookmarkStart w:id="120" w:name="_Hlt26670489"/>
      <w:r>
        <w:rPr>
          <w:color w:val="000000" w:themeColor="text1"/>
          <w:highlight w:val="none"/>
        </w:rPr>
      </w:r>
      <w:bookmarkEnd w:id="120"/>
      <w:r>
        <w:rPr>
          <w:color w:val="000000" w:themeColor="text1"/>
          <w:highlight w:val="none"/>
        </w:rPr>
      </w:r>
      <w:bookmarkStart w:id="121" w:name="_Toc49090511"/>
      <w:r>
        <w:rPr>
          <w:color w:val="000000" w:themeColor="text1"/>
          <w:highlight w:val="none"/>
        </w:rPr>
      </w:r>
      <w:bookmarkStart w:id="122" w:name="_Toc14577360"/>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852"/>
      <w:r>
        <w:rPr>
          <w:color w:val="000000" w:themeColor="text1"/>
          <w:highlight w:val="none"/>
        </w:rPr>
      </w:r>
      <w:bookmarkEnd w:id="123"/>
      <w:r>
        <w:rPr>
          <w:color w:val="000000" w:themeColor="text1"/>
          <w:highlight w:val="none"/>
        </w:rPr>
      </w:r>
      <w:bookmarkStart w:id="124" w:name="_Hlt26954739"/>
      <w:r>
        <w:rPr>
          <w:color w:val="000000" w:themeColor="text1"/>
          <w:highlight w:val="none"/>
        </w:rPr>
      </w:r>
      <w:bookmarkEnd w:id="124"/>
      <w:r>
        <w:rPr>
          <w:color w:val="000000" w:themeColor="text1"/>
          <w:highlight w:val="none"/>
        </w:rPr>
      </w:r>
      <w:bookmarkStart w:id="125" w:name="_Toc16938540"/>
      <w:r>
        <w:rPr>
          <w:color w:val="000000" w:themeColor="text1"/>
          <w:highlight w:val="none"/>
        </w:rPr>
      </w:r>
      <w:bookmarkStart w:id="126" w:name="_Toc20823296"/>
      <w:r>
        <w:rPr>
          <w:color w:val="000000" w:themeColor="text1"/>
          <w:highlight w:val="none"/>
        </w:rPr>
      </w:r>
      <w:bookmarkStart w:id="127" w:name="_Toc120614217"/>
      <w:r>
        <w:rPr>
          <w:color w:val="000000" w:themeColor="text1"/>
          <w:highlight w:val="none"/>
        </w:rPr>
      </w:r>
      <w:bookmarkStart w:id="128" w:name="_Toc513029224"/>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513029225"/>
      <w:r>
        <w:rPr>
          <w:color w:val="000000" w:themeColor="text1"/>
          <w:highlight w:val="none"/>
        </w:rPr>
      </w:r>
      <w:bookmarkStart w:id="130" w:name="_Toc462564084"/>
      <w:r>
        <w:rPr>
          <w:color w:val="000000" w:themeColor="text1"/>
          <w:highlight w:val="none"/>
        </w:rPr>
      </w:r>
      <w:bookmarkStart w:id="131" w:name="_Toc16938541"/>
      <w:r>
        <w:rPr>
          <w:color w:val="000000" w:themeColor="text1"/>
          <w:highlight w:val="none"/>
        </w:rPr>
      </w:r>
      <w:bookmarkStart w:id="132" w:name="_Toc20823297"/>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color w:val="000000" w:themeColor="text1"/>
          <w:highlight w:val="none"/>
        </w:rPr>
      </w:r>
      <w:r/>
    </w:p>
    <w:p>
      <w:pPr>
        <w:pStyle w:val="998"/>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16938542"/>
      <w:r>
        <w:rPr>
          <w:color w:val="000000" w:themeColor="text1"/>
          <w:highlight w:val="none"/>
        </w:rPr>
      </w:r>
      <w:bookmarkStart w:id="134" w:name="_Toc20823298"/>
      <w:r>
        <w:rPr>
          <w:color w:val="000000" w:themeColor="text1"/>
          <w:highlight w:val="none"/>
        </w:rPr>
      </w:r>
      <w:bookmarkStart w:id="135" w:name="_Toc513029226"/>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513029227"/>
      <w:r>
        <w:rPr>
          <w:color w:val="000000" w:themeColor="text1"/>
          <w:highlight w:val="none"/>
        </w:rPr>
      </w:r>
      <w:bookmarkStart w:id="137" w:name="_Toc20823299"/>
      <w:r>
        <w:rPr>
          <w:color w:val="000000" w:themeColor="text1"/>
          <w:highlight w:val="none"/>
        </w:rPr>
      </w:r>
      <w:bookmarkStart w:id="138" w:name="_Toc16938543"/>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20823300"/>
      <w:r>
        <w:rPr>
          <w:color w:val="000000" w:themeColor="text1"/>
          <w:highlight w:val="none"/>
        </w:rPr>
      </w:r>
      <w:bookmarkStart w:id="140" w:name="_Toc16938544"/>
      <w:r>
        <w:rPr>
          <w:color w:val="000000" w:themeColor="text1"/>
          <w:highlight w:val="none"/>
        </w:rPr>
      </w:r>
      <w:bookmarkStart w:id="141" w:name="_Toc513029228"/>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120614218"/>
      <w:r>
        <w:rPr>
          <w:color w:val="000000" w:themeColor="text1"/>
          <w:highlight w:val="none"/>
        </w:rPr>
      </w:r>
      <w:bookmarkStart w:id="143" w:name="_Toc16938545"/>
      <w:r>
        <w:rPr>
          <w:color w:val="000000" w:themeColor="text1"/>
          <w:highlight w:val="none"/>
        </w:rPr>
      </w:r>
      <w:bookmarkStart w:id="144" w:name="_Toc513029229"/>
      <w:r>
        <w:rPr>
          <w:color w:val="000000" w:themeColor="text1"/>
          <w:highlight w:val="none"/>
        </w:rPr>
      </w:r>
      <w:bookmarkStart w:id="145" w:name="_Toc20823301"/>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20823302"/>
      <w:r>
        <w:rPr>
          <w:color w:val="000000" w:themeColor="text1"/>
          <w:highlight w:val="none"/>
        </w:rPr>
      </w:r>
      <w:bookmarkStart w:id="147" w:name="_Toc16938546"/>
      <w:r>
        <w:rPr>
          <w:color w:val="000000" w:themeColor="text1"/>
          <w:highlight w:val="none"/>
        </w:rPr>
      </w:r>
      <w:bookmarkStart w:id="148" w:name="_Toc513029230"/>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p>
    <w:p>
      <w:pPr>
        <w:pStyle w:val="885"/>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color w:val="000000" w:themeColor="text1"/>
          <w:highlight w:val="none"/>
        </w:rPr>
      </w:r>
      <w:r/>
    </w:p>
    <w:p>
      <w:pPr>
        <w:pStyle w:val="885"/>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16938547"/>
      <w:r>
        <w:rPr>
          <w:color w:val="000000" w:themeColor="text1"/>
          <w:highlight w:val="none"/>
        </w:rPr>
      </w:r>
      <w:bookmarkStart w:id="150" w:name="_Toc20823303"/>
      <w:r>
        <w:rPr>
          <w:color w:val="000000" w:themeColor="text1"/>
          <w:highlight w:val="none"/>
        </w:rPr>
      </w:r>
      <w:bookmarkStart w:id="151" w:name="_Toc513029231"/>
      <w:r>
        <w:rPr>
          <w:rFonts w:hint="eastAsia" w:ascii="宋体" w:hAnsi="宋体" w:eastAsia="宋体"/>
          <w:bCs w:val="0"/>
          <w:color w:val="000000" w:themeColor="text1"/>
          <w:highlight w:val="none"/>
        </w:rPr>
        <w:t xml:space="preserve">22.评标委员会</w:t>
      </w:r>
      <w:r>
        <w:rPr>
          <w:color w:val="000000" w:themeColor="text1"/>
          <w:highlight w:val="none"/>
        </w:rPr>
      </w:r>
      <w:r/>
    </w:p>
    <w:p>
      <w:pPr>
        <w:pStyle w:val="885"/>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22.3评委会独立工作，负责评审所有投标文件并确定中标候选人。</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16938548"/>
      <w:r>
        <w:rPr>
          <w:color w:val="000000" w:themeColor="text1"/>
          <w:highlight w:val="none"/>
        </w:rPr>
      </w:r>
      <w:bookmarkStart w:id="153" w:name="_Toc20823304"/>
      <w:r>
        <w:rPr>
          <w:color w:val="000000" w:themeColor="text1"/>
          <w:highlight w:val="none"/>
        </w:rPr>
      </w:r>
      <w:bookmarkStart w:id="154" w:name="_Toc513029232"/>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16938549"/>
      <w:r>
        <w:rPr>
          <w:color w:val="000000" w:themeColor="text1"/>
          <w:highlight w:val="none"/>
        </w:rPr>
      </w:r>
      <w:bookmarkStart w:id="156" w:name="_Toc513029233"/>
      <w:r>
        <w:rPr>
          <w:color w:val="000000" w:themeColor="text1"/>
          <w:highlight w:val="none"/>
        </w:rPr>
      </w:r>
      <w:bookmarkStart w:id="157" w:name="_Toc20823305"/>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color w:val="000000" w:themeColor="text1"/>
          <w:highlight w:val="none"/>
        </w:rPr>
      </w:r>
      <w:r/>
    </w:p>
    <w:p>
      <w:pPr>
        <w:pStyle w:val="885"/>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pStyle w:val="885"/>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highlight w:val="none"/>
        </w:rPr>
      </w:r>
      <w:r/>
    </w:p>
    <w:p>
      <w:pPr>
        <w:pStyle w:val="885"/>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color w:val="000000" w:themeColor="text1"/>
          <w:highlight w:val="none"/>
        </w:rPr>
      </w:r>
      <w:r/>
    </w:p>
    <w:p>
      <w:pPr>
        <w:pStyle w:val="885"/>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color w:val="000000" w:themeColor="text1"/>
          <w:highlight w:val="none"/>
        </w:rPr>
      </w:r>
      <w:r/>
    </w:p>
    <w:p>
      <w:pPr>
        <w:pStyle w:val="885"/>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color w:val="000000" w:themeColor="text1"/>
          <w:highlight w:val="none"/>
        </w:rPr>
      </w:r>
      <w:r/>
    </w:p>
    <w:p>
      <w:pPr>
        <w:pStyle w:val="885"/>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color w:val="000000" w:themeColor="text1"/>
          <w:highlight w:val="none"/>
        </w:rPr>
      </w:r>
      <w:r/>
    </w:p>
    <w:p>
      <w:pPr>
        <w:pStyle w:val="885"/>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color w:val="000000" w:themeColor="text1"/>
          <w:highlight w:val="none"/>
        </w:rPr>
      </w:r>
      <w:r/>
    </w:p>
    <w:p>
      <w:pPr>
        <w:pStyle w:val="885"/>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20823306"/>
      <w:r>
        <w:rPr>
          <w:color w:val="000000" w:themeColor="text1"/>
          <w:highlight w:val="none"/>
        </w:rPr>
      </w:r>
      <w:bookmarkStart w:id="159" w:name="_Toc16938550"/>
      <w:r>
        <w:rPr>
          <w:color w:val="000000" w:themeColor="text1"/>
          <w:highlight w:val="none"/>
        </w:rPr>
      </w:r>
      <w:bookmarkStart w:id="160" w:name="_Toc513029234"/>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513029235"/>
      <w:r>
        <w:rPr>
          <w:color w:val="000000" w:themeColor="text1"/>
          <w:highlight w:val="none"/>
        </w:rPr>
      </w:r>
      <w:bookmarkStart w:id="162" w:name="_Toc20823307"/>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shd w:val="clear" w:color="ffffff" w:fill="d9d9d9"/>
        </w:rPr>
      </w:pPr>
      <w:r>
        <w:rPr>
          <w:rFonts w:hint="eastAsia" w:ascii="宋体" w:hAnsi="宋体"/>
          <w:bCs/>
          <w:color w:val="000000" w:themeColor="text1"/>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在评标现场</w:t>
      </w:r>
      <w:r>
        <w:rPr>
          <w:rFonts w:hint="eastAsia" w:ascii="宋体" w:hAnsi="宋体"/>
          <w:color w:val="000000" w:themeColor="text1"/>
          <w:sz w:val="24"/>
          <w:szCs w:val="24"/>
          <w:highlight w:val="none"/>
        </w:rPr>
        <w:t xml:space="preserve">）在给定的</w:t>
      </w:r>
      <w:r>
        <w:rPr>
          <w:rFonts w:hint="eastAsia" w:ascii="宋体" w:hAnsi="宋体"/>
          <w:bCs/>
          <w:color w:val="000000" w:themeColor="text1"/>
          <w:sz w:val="24"/>
          <w:szCs w:val="24"/>
          <w:highlight w:val="none"/>
        </w:rPr>
        <w:t xml:space="preserve">合理时间内提供说明（必要时评标委员会可要求投标人提交相关证明材料）证明其报价合理性的</w:t>
      </w:r>
      <w:r>
        <w:rPr>
          <w:rFonts w:hint="eastAsia" w:ascii="宋体" w:hAnsi="宋体"/>
          <w:bCs/>
          <w:color w:val="000000" w:themeColor="text1"/>
          <w:sz w:val="24"/>
          <w:highlight w:val="none"/>
        </w:rPr>
        <w:t xml:space="preserve">，评标委员会应当将其作为无效投标处理。</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26.1.24其他法律、法规及本招标文件规定的属无效投标的情形。</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color w:val="000000" w:themeColor="text1"/>
          <w:highlight w:val="none"/>
        </w:rPr>
      </w:r>
      <w:r/>
    </w:p>
    <w:p>
      <w:pPr>
        <w:pStyle w:val="885"/>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color w:val="000000" w:themeColor="text1"/>
          <w:highlight w:val="none"/>
        </w:rPr>
      </w:r>
      <w:r/>
    </w:p>
    <w:p>
      <w:pPr>
        <w:pStyle w:val="885"/>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20823310"/>
      <w:r>
        <w:rPr>
          <w:color w:val="000000" w:themeColor="text1"/>
          <w:highlight w:val="none"/>
        </w:rPr>
      </w:r>
      <w:bookmarkStart w:id="167" w:name="_Toc16938554"/>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000000" w:themeColor="text1"/>
          <w:highlight w:val="none"/>
        </w:rPr>
      </w:r>
      <w:r/>
    </w:p>
    <w:p>
      <w:pPr>
        <w:pStyle w:val="885"/>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交易中心将在“无锡政府采购网”“江苏政府采购网”发布中标公告，公告期限为1个工作日。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color w:val="000000" w:themeColor="text1"/>
          <w:highlight w:val="none"/>
        </w:rPr>
      </w:r>
      <w:r/>
    </w:p>
    <w:p>
      <w:pPr>
        <w:pStyle w:val="885"/>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color w:val="000000" w:themeColor="text1"/>
          <w:highlight w:val="none"/>
        </w:rPr>
      </w:r>
      <w:r/>
    </w:p>
    <w:p>
      <w:pPr>
        <w:pStyle w:val="885"/>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highlight w:val="none"/>
        </w:rPr>
      </w:r>
      <w:r/>
    </w:p>
    <w:p>
      <w:pPr>
        <w:pStyle w:val="888"/>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16938552"/>
      <w:r>
        <w:rPr>
          <w:color w:val="000000" w:themeColor="text1"/>
          <w:highlight w:val="none"/>
        </w:rPr>
      </w:r>
      <w:bookmarkStart w:id="171" w:name="_Toc20823308"/>
      <w:r>
        <w:rPr>
          <w:color w:val="000000" w:themeColor="text1"/>
          <w:highlight w:val="none"/>
        </w:rPr>
      </w:r>
      <w:bookmarkStart w:id="172" w:name="_Toc513029236"/>
      <w:r>
        <w:rPr>
          <w:rFonts w:hint="eastAsia"/>
          <w:color w:val="000000" w:themeColor="text1"/>
          <w:sz w:val="30"/>
          <w:szCs w:val="30"/>
          <w:highlight w:val="none"/>
        </w:rPr>
        <w:t xml:space="preserve">七、授予合同</w:t>
      </w:r>
      <w:bookmarkEnd w:id="169"/>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16938553"/>
      <w:r>
        <w:rPr>
          <w:color w:val="000000" w:themeColor="text1"/>
          <w:highlight w:val="none"/>
        </w:rPr>
      </w:r>
      <w:bookmarkStart w:id="174" w:name="_Toc20823309"/>
      <w:r>
        <w:rPr>
          <w:color w:val="000000" w:themeColor="text1"/>
          <w:highlight w:val="none"/>
        </w:rPr>
      </w:r>
      <w:bookmarkStart w:id="175" w:name="_Toc513029237"/>
      <w:r>
        <w:rPr>
          <w:rFonts w:hint="eastAsia" w:ascii="宋体" w:hAnsi="宋体" w:eastAsia="宋体"/>
          <w:bCs w:val="0"/>
          <w:color w:val="000000" w:themeColor="text1"/>
          <w:highlight w:val="none"/>
        </w:rPr>
        <w:t xml:space="preserve">30.签订合同</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000000" w:themeColor="text1"/>
          <w:highlight w:val="none"/>
        </w:rPr>
      </w:r>
      <w:r/>
    </w:p>
    <w:p>
      <w:pPr>
        <w:pStyle w:val="889"/>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000000" w:themeColor="text1"/>
          <w:highlight w:val="none"/>
        </w:rPr>
      </w:r>
      <w:r/>
    </w:p>
    <w:p>
      <w:pPr>
        <w:pStyle w:val="900"/>
        <w:jc w:val="center"/>
        <w:spacing w:line="500" w:lineRule="exact"/>
        <w:rPr>
          <w:rFonts w:hint="eastAsia" w:ascii="黑体" w:eastAsia="黑体"/>
          <w:bCs/>
          <w:color w:val="000000" w:themeColor="text1"/>
          <w:sz w:val="36"/>
          <w:szCs w:val="36"/>
          <w:highlight w:val="none"/>
        </w:rPr>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479757207"/>
      <w:r>
        <w:rPr>
          <w:color w:val="000000" w:themeColor="text1"/>
          <w:highlight w:val="none"/>
        </w:rPr>
      </w:r>
      <w:bookmarkStart w:id="177" w:name="_Toc120614221"/>
      <w:r>
        <w:rPr>
          <w:color w:val="000000" w:themeColor="text1"/>
          <w:highlight w:val="none"/>
        </w:rPr>
      </w:r>
      <w:bookmarkStart w:id="178" w:name="_Toc16938558"/>
      <w:r>
        <w:rPr>
          <w:color w:val="000000" w:themeColor="text1"/>
          <w:highlight w:val="none"/>
        </w:rPr>
      </w:r>
      <w:bookmarkStart w:id="179" w:name="_Toc513029242"/>
      <w:r>
        <w:rPr>
          <w:color w:val="000000" w:themeColor="text1"/>
          <w:highlight w:val="none"/>
        </w:rPr>
      </w:r>
      <w:bookmarkStart w:id="180" w:name="_Toc20823314"/>
      <w:r>
        <w:rPr>
          <w:rFonts w:ascii="宋体" w:hAnsi="宋体"/>
          <w:bCs/>
          <w:color w:val="000000" w:themeColor="text1"/>
          <w:sz w:val="24"/>
          <w:highlight w:val="none"/>
          <w:shd w:val="clear" w:color="ffffff" w:fill="d9d9d9"/>
        </w:rPr>
        <w:br w:type="page" w:clear="all"/>
      </w:r>
      <w:r>
        <w:rPr>
          <w:rFonts w:hint="eastAsia" w:ascii="黑体" w:eastAsia="黑体"/>
          <w:bCs/>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eastAsia="黑体"/>
          <w:bCs/>
          <w:color w:val="000000" w:themeColor="text1"/>
          <w:sz w:val="36"/>
          <w:szCs w:val="36"/>
          <w:highlight w:val="none"/>
        </w:rPr>
        <w:t xml:space="preserve">文本</w:t>
      </w:r>
      <w:r>
        <w:rPr>
          <w:color w:val="000000" w:themeColor="text1"/>
          <w:highlight w:val="none"/>
        </w:rPr>
      </w:r>
      <w:r/>
    </w:p>
    <w:p>
      <w:pPr>
        <w:pStyle w:val="885"/>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513029243"/>
      <w:r>
        <w:rPr>
          <w:color w:val="000000" w:themeColor="text1"/>
          <w:highlight w:val="none"/>
        </w:rPr>
      </w:r>
      <w:bookmarkStart w:id="182" w:name="_Toc20823315"/>
      <w:r>
        <w:rPr>
          <w:color w:val="000000" w:themeColor="text1"/>
          <w:highlight w:val="none"/>
        </w:rPr>
      </w:r>
      <w:bookmarkStart w:id="183" w:name="_Toc16938559"/>
      <w:r>
        <w:rPr>
          <w:rFonts w:hint="eastAsia" w:ascii="宋体" w:hAnsi="宋体"/>
          <w:bCs/>
          <w:color w:val="000000" w:themeColor="text1"/>
          <w:sz w:val="24"/>
          <w:highlight w:val="none"/>
        </w:rPr>
        <w:t xml:space="preserve">以下为中标后签订本项目合同的通用条款，中标人不得提出实质性的修改。</w:t>
      </w:r>
      <w:r>
        <w:rPr>
          <w:color w:val="000000" w:themeColor="text1"/>
          <w:highlight w:val="none"/>
        </w:rPr>
      </w:r>
      <w:r/>
    </w:p>
    <w:p>
      <w:pPr>
        <w:pStyle w:val="885"/>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color w:val="000000" w:themeColor="text1"/>
          <w:highlight w:val="none"/>
        </w:rPr>
      </w:r>
      <w:r/>
    </w:p>
    <w:p>
      <w:pPr>
        <w:pStyle w:val="924"/>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color w:val="000000" w:themeColor="text1"/>
          <w:highlight w:val="none"/>
        </w:rPr>
      </w:r>
      <w:r/>
    </w:p>
    <w:p>
      <w:pPr>
        <w:pStyle w:val="924"/>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color w:val="000000" w:themeColor="text1"/>
          <w:highlight w:val="none"/>
        </w:rPr>
      </w:r>
      <w:r/>
    </w:p>
    <w:p>
      <w:pPr>
        <w:pStyle w:val="924"/>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color w:val="000000" w:themeColor="text1"/>
          <w:highlight w:val="none"/>
        </w:rPr>
      </w:r>
      <w:r/>
    </w:p>
    <w:p>
      <w:pPr>
        <w:pStyle w:val="924"/>
        <w:ind w:firstLine="480"/>
        <w:spacing w:line="400" w:lineRule="exact"/>
        <w:rPr>
          <w:rFonts w:hAnsi="宋体"/>
          <w:b/>
          <w:color w:val="000000" w:themeColor="text1"/>
          <w:sz w:val="24"/>
          <w:szCs w:val="24"/>
          <w:highlight w:val="none"/>
        </w:rPr>
      </w:pP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rPr>
        <w:t xml:space="preserve">标的质量：</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6履行方式：</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2.1 本合同金额为（大写）： 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3.1乙方应按招标文件规定的时间向甲方提供服务</w:t>
      </w:r>
      <w:r>
        <w:rPr>
          <w:rFonts w:hint="eastAsia" w:hAnsi="宋体"/>
          <w:color w:val="000000" w:themeColor="text1"/>
          <w:sz w:val="24"/>
          <w:szCs w:val="24"/>
          <w:highlight w:val="none"/>
        </w:rPr>
        <w:t xml:space="preserve">（包含与服务相关的货物）</w:t>
      </w:r>
      <w:r>
        <w:rPr>
          <w:rFonts w:hAnsi="宋体"/>
          <w:color w:val="000000" w:themeColor="text1"/>
          <w:sz w:val="24"/>
          <w:szCs w:val="24"/>
          <w:highlight w:val="none"/>
        </w:rPr>
        <w:t xml:space="preserve">的有关技术资料。</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4.1乙</w:t>
      </w:r>
      <w:r>
        <w:rPr>
          <w:rFonts w:hint="eastAsia" w:hAnsi="宋体"/>
          <w:color w:val="000000" w:themeColor="text1"/>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highlight w:val="none"/>
        </w:rPr>
      </w:r>
      <w:r/>
    </w:p>
    <w:p>
      <w:pPr>
        <w:pStyle w:val="924"/>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color w:val="000000" w:themeColor="text1"/>
          <w:highlight w:val="none"/>
        </w:rPr>
      </w:r>
      <w:r/>
    </w:p>
    <w:p>
      <w:pPr>
        <w:pStyle w:val="924"/>
        <w:ind w:firstLine="482"/>
        <w:spacing w:line="400" w:lineRule="exact"/>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color w:val="000000" w:themeColor="text1"/>
          <w:highlight w:val="none"/>
        </w:rPr>
      </w:r>
      <w:r/>
    </w:p>
    <w:p>
      <w:pPr>
        <w:pStyle w:val="924"/>
        <w:ind w:firstLine="480"/>
        <w:spacing w:line="400" w:lineRule="exact"/>
        <w:rPr>
          <w:rFonts w:hAnsi="宋体"/>
          <w:color w:val="000000" w:themeColor="text1"/>
          <w:sz w:val="24"/>
          <w:szCs w:val="24"/>
          <w:highlight w:val="none"/>
          <w:u w:val="single"/>
        </w:rPr>
      </w:pPr>
      <w:r>
        <w:rPr>
          <w:rFonts w:hAnsi="宋体"/>
          <w:color w:val="000000" w:themeColor="text1"/>
          <w:sz w:val="24"/>
          <w:szCs w:val="24"/>
          <w:highlight w:val="none"/>
        </w:rPr>
        <w:t xml:space="preserve">5.1 乙方保证所交付的</w:t>
      </w:r>
      <w:r>
        <w:rPr>
          <w:rFonts w:hint="eastAsia" w:hAnsi="宋体"/>
          <w:color w:val="000000" w:themeColor="text1"/>
          <w:sz w:val="24"/>
          <w:szCs w:val="24"/>
          <w:highlight w:val="none"/>
        </w:rPr>
        <w:t xml:space="preserve">服务（包含与服务相关的货物）</w:t>
      </w:r>
      <w:r>
        <w:rPr>
          <w:rFonts w:hAnsi="宋体"/>
          <w:color w:val="000000" w:themeColor="text1"/>
          <w:sz w:val="24"/>
          <w:szCs w:val="24"/>
          <w:highlight w:val="none"/>
        </w:rPr>
        <w:t xml:space="preserve">的所有权完全属于乙方且无任何抵押、查封等产权瑕疵。</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六、履约保证金</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6.1 乙方交纳人民币__元作为本合同的履约保证金。</w:t>
      </w:r>
      <w:r>
        <w:rPr>
          <w:rFonts w:hint="eastAsia" w:hAnsi="宋体"/>
          <w:color w:val="000000" w:themeColor="text1"/>
          <w:sz w:val="24"/>
          <w:szCs w:val="24"/>
          <w:highlight w:val="none"/>
        </w:rPr>
        <w:t xml:space="preserve">（不得超过合同金额的10%）</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6.2合同履行结束后，甲方应及时退还交纳的履约保证金。</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6.2.1履约保证金退还方式：</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6.2.2履约保证金退还时间：</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6.2.3履约保证金退还条件：</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6.2.4履约保证金不予退还的情形：</w:t>
      </w:r>
      <w:r>
        <w:rPr>
          <w:color w:val="000000" w:themeColor="text1"/>
          <w:highlight w:val="none"/>
        </w:rPr>
      </w:r>
      <w:r/>
    </w:p>
    <w:p>
      <w:pPr>
        <w:pStyle w:val="885"/>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color w:val="000000" w:themeColor="text1"/>
          <w:highlight w:val="none"/>
        </w:rPr>
      </w:r>
      <w:r/>
    </w:p>
    <w:p>
      <w:pPr>
        <w:pStyle w:val="885"/>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color w:val="000000" w:themeColor="text1"/>
          <w:highlight w:val="none"/>
        </w:rPr>
      </w:r>
      <w:r/>
    </w:p>
    <w:p>
      <w:pPr>
        <w:pStyle w:val="885"/>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color w:val="000000" w:themeColor="text1"/>
          <w:highlight w:val="none"/>
        </w:rPr>
      </w:r>
      <w:r/>
    </w:p>
    <w:p>
      <w:pPr>
        <w:pStyle w:val="885"/>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color w:val="000000" w:themeColor="text1"/>
          <w:highlight w:val="none"/>
        </w:rPr>
      </w:r>
      <w:r/>
    </w:p>
    <w:p>
      <w:pPr>
        <w:pStyle w:val="924"/>
        <w:ind w:firstLine="480"/>
        <w:spacing w:line="400" w:lineRule="exact"/>
        <w:rPr>
          <w:rFonts w:hint="eastAsia" w:hAnsi="宋体"/>
          <w:bCs/>
          <w:color w:val="000000" w:themeColor="text1"/>
          <w:sz w:val="24"/>
          <w:szCs w:val="24"/>
          <w:highlight w:val="none"/>
        </w:rPr>
      </w:pPr>
      <w:r>
        <w:rPr>
          <w:rFonts w:hint="eastAsia" w:hAnsi="宋体"/>
          <w:bCs/>
          <w:color w:val="000000" w:themeColor="text1"/>
          <w:sz w:val="24"/>
          <w:szCs w:val="24"/>
          <w:highlight w:val="none"/>
        </w:rPr>
        <w:t xml:space="preserve">8</w:t>
      </w:r>
      <w:r>
        <w:rPr>
          <w:rFonts w:hAnsi="宋体"/>
          <w:bCs/>
          <w:color w:val="000000" w:themeColor="text1"/>
          <w:sz w:val="24"/>
          <w:szCs w:val="24"/>
          <w:highlight w:val="none"/>
        </w:rPr>
        <w:t xml:space="preserve">.1</w:t>
      </w:r>
      <w:r>
        <w:rPr>
          <w:rFonts w:hint="eastAsia" w:hAnsi="宋体"/>
          <w:bCs/>
          <w:color w:val="000000" w:themeColor="text1"/>
          <w:sz w:val="24"/>
          <w:szCs w:val="24"/>
          <w:highlight w:val="none"/>
        </w:rPr>
        <w:t xml:space="preserve">合同款项的支付方式及进度安排</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8.1.1 预付款支付时间：合同签订后</w:t>
      </w:r>
      <w:r>
        <w:rPr>
          <w:rFonts w:hint="eastAsia" w:hAnsi="宋体"/>
          <w:color w:val="000000" w:themeColor="text1"/>
          <w:sz w:val="24"/>
          <w:szCs w:val="24"/>
          <w:highlight w:val="none"/>
          <w:u w:val="single"/>
        </w:rPr>
        <w:t xml:space="preserve">  </w:t>
      </w:r>
      <w:r>
        <w:rPr>
          <w:rFonts w:hint="eastAsia" w:hAnsi="宋体"/>
          <w:color w:val="000000" w:themeColor="text1"/>
          <w:sz w:val="24"/>
          <w:szCs w:val="24"/>
          <w:highlight w:val="none"/>
        </w:rPr>
        <w:t xml:space="preserve">日内，预付款支付比例：合同金额的</w:t>
      </w:r>
      <w:r>
        <w:rPr>
          <w:rFonts w:hint="eastAsia" w:hAnsi="宋体"/>
          <w:color w:val="000000" w:themeColor="text1"/>
          <w:sz w:val="24"/>
          <w:szCs w:val="24"/>
          <w:highlight w:val="none"/>
          <w:u w:val="single"/>
        </w:rPr>
        <w:t xml:space="preserve">  </w:t>
      </w:r>
      <w:r>
        <w:rPr>
          <w:rFonts w:hint="eastAsia" w:hAnsi="宋体"/>
          <w:color w:val="000000" w:themeColor="text1"/>
          <w:sz w:val="24"/>
          <w:szCs w:val="24"/>
          <w:highlight w:val="none"/>
        </w:rPr>
        <w:t xml:space="preserve">%。</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8.1.2 尾款支付时间：服务结束并验收合格,采购人收到发票后10个工作日内，尾款支付比例：合同金额的</w:t>
      </w:r>
      <w:r>
        <w:rPr>
          <w:rFonts w:hint="eastAsia" w:hAnsi="宋体"/>
          <w:color w:val="000000" w:themeColor="text1"/>
          <w:sz w:val="24"/>
          <w:szCs w:val="24"/>
          <w:highlight w:val="none"/>
          <w:u w:val="single"/>
        </w:rPr>
        <w:t xml:space="preserve">  </w:t>
      </w:r>
      <w:r>
        <w:rPr>
          <w:rFonts w:hint="eastAsia" w:hAnsi="宋体"/>
          <w:color w:val="000000" w:themeColor="text1"/>
          <w:sz w:val="24"/>
          <w:szCs w:val="24"/>
          <w:highlight w:val="none"/>
        </w:rPr>
        <w:t xml:space="preserve">%。</w:t>
      </w:r>
      <w:r>
        <w:rPr>
          <w:color w:val="000000" w:themeColor="text1"/>
          <w:highlight w:val="none"/>
        </w:rPr>
      </w:r>
      <w:r/>
    </w:p>
    <w:p>
      <w:pPr>
        <w:pStyle w:val="924"/>
        <w:spacing w:line="400" w:lineRule="exact"/>
        <w:rPr>
          <w:rFonts w:hint="eastAsia" w:hAnsi="宋体"/>
          <w:bCs/>
          <w:color w:val="000000" w:themeColor="text1"/>
          <w:sz w:val="24"/>
          <w:szCs w:val="24"/>
          <w:highlight w:val="none"/>
        </w:rPr>
      </w:pPr>
      <w:r>
        <w:rPr>
          <w:rFonts w:hint="eastAsia" w:hAnsi="宋体"/>
          <w:bCs/>
          <w:color w:val="000000" w:themeColor="text1"/>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color w:val="000000" w:themeColor="text1"/>
          <w:highlight w:val="none"/>
        </w:rPr>
      </w:r>
      <w:r/>
    </w:p>
    <w:p>
      <w:pPr>
        <w:pStyle w:val="885"/>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color w:val="000000" w:themeColor="text1"/>
          <w:highlight w:val="none"/>
        </w:rPr>
      </w:r>
      <w:r/>
    </w:p>
    <w:p>
      <w:pPr>
        <w:pStyle w:val="885"/>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10.3 对于实际使用人和甲方分离的项目，甲方邀请实际使用人参与验收。</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10.4 如有必要，甲方邀请参加本项目的其他供应商或第三方专业机构及专家参与验收，相关意见将作为验收书的参考资料。</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.1 甲方无正当理由</w:t>
      </w:r>
      <w:r>
        <w:rPr>
          <w:rFonts w:hint="eastAsia" w:hAnsi="宋体"/>
          <w:color w:val="000000" w:themeColor="text1"/>
          <w:sz w:val="24"/>
          <w:szCs w:val="24"/>
          <w:highlight w:val="none"/>
        </w:rPr>
        <w:t xml:space="preserve">拒绝接受乙方提供服务</w:t>
      </w:r>
      <w:r>
        <w:rPr>
          <w:rFonts w:hAnsi="宋体"/>
          <w:color w:val="000000" w:themeColor="text1"/>
          <w:sz w:val="24"/>
          <w:szCs w:val="24"/>
          <w:highlight w:val="none"/>
        </w:rPr>
        <w:t xml:space="preserve">的，甲方向乙方偿付</w:t>
      </w:r>
      <w:r>
        <w:rPr>
          <w:rFonts w:hint="eastAsia" w:hAnsi="宋体"/>
          <w:color w:val="000000" w:themeColor="text1"/>
          <w:sz w:val="24"/>
          <w:szCs w:val="24"/>
          <w:highlight w:val="none"/>
        </w:rPr>
        <w:t xml:space="preserve">拒绝接受服务合同价款</w:t>
      </w:r>
      <w:r>
        <w:rPr>
          <w:rFonts w:hAnsi="宋体"/>
          <w:color w:val="000000" w:themeColor="text1"/>
          <w:sz w:val="24"/>
          <w:szCs w:val="24"/>
          <w:highlight w:val="none"/>
        </w:rPr>
        <w:t xml:space="preserve">总值</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.2 甲方无故逾期验收和办理</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支付手续的,甲方应按逾期付款总额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每日向乙方支付违约金。</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.3 乙方逾期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的，乙方应按逾期</w:t>
      </w:r>
      <w:r>
        <w:rPr>
          <w:rFonts w:hint="eastAsia" w:hAnsi="宋体"/>
          <w:color w:val="000000" w:themeColor="text1"/>
          <w:sz w:val="24"/>
          <w:szCs w:val="24"/>
          <w:highlight w:val="none"/>
        </w:rPr>
        <w:t xml:space="preserve">提供服务合同</w:t>
      </w:r>
      <w:r>
        <w:rPr>
          <w:rFonts w:hAnsi="宋体"/>
          <w:color w:val="000000" w:themeColor="text1"/>
          <w:sz w:val="24"/>
          <w:szCs w:val="24"/>
          <w:highlight w:val="none"/>
        </w:rPr>
        <w:t xml:space="preserve">总额每日千分之六向甲方支付违约金，由甲方从待付</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中扣除。逾期超过约定日期10个工作日不能</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的，甲方可解除本合同。乙方因逾期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或因其他违约行为导致甲方解除合同的，乙方应向甲方支付合同</w:t>
      </w:r>
      <w:r>
        <w:rPr>
          <w:rFonts w:hint="eastAsia" w:hAnsi="宋体"/>
          <w:color w:val="000000" w:themeColor="text1"/>
          <w:sz w:val="24"/>
          <w:szCs w:val="24"/>
          <w:highlight w:val="none"/>
        </w:rPr>
        <w:t xml:space="preserve">价款总额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的违约金，如造成甲方损失超过违约金的，超出部分由乙方继续承担赔偿责任。 </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.4 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二</w:t>
      </w:r>
      <w:r>
        <w:rPr>
          <w:rFonts w:hAnsi="宋体"/>
          <w:b/>
          <w:color w:val="000000" w:themeColor="text1"/>
          <w:sz w:val="24"/>
          <w:szCs w:val="24"/>
          <w:highlight w:val="none"/>
        </w:rPr>
        <w:t xml:space="preserve">、不可抗力事件处理</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期相同。</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.2 不可抗力事件发生后，应立即通知对方，并寄送有关权威机构出具的证明。</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.3 不可抗力事件延续120天以上，双方应通过友好协商，确定是否继续履行合同。</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三</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color w:val="000000" w:themeColor="text1"/>
          <w:highlight w:val="none"/>
        </w:rPr>
      </w:r>
      <w:r/>
    </w:p>
    <w:p>
      <w:pPr>
        <w:pStyle w:val="924"/>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13.1双方在签订、履行合同中所发生的一切争议，应通过友好协商解决。如协商不成，由甲方住所地人民法院管辖。</w:t>
      </w:r>
      <w:r>
        <w:rPr>
          <w:color w:val="000000" w:themeColor="text1"/>
          <w:highlight w:val="none"/>
        </w:rPr>
      </w:r>
      <w:r/>
    </w:p>
    <w:p>
      <w:pPr>
        <w:pStyle w:val="924"/>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四</w:t>
      </w:r>
      <w:r>
        <w:rPr>
          <w:rFonts w:hAnsi="宋体"/>
          <w:b/>
          <w:color w:val="000000" w:themeColor="text1"/>
          <w:sz w:val="24"/>
          <w:szCs w:val="24"/>
          <w:highlight w:val="none"/>
        </w:rPr>
        <w:t xml:space="preserve">、合同生效及其它</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《中华人民共和国民法典》、《中华人民共和国政府采购法》</w:t>
      </w:r>
      <w:r>
        <w:rPr>
          <w:rFonts w:hAnsi="宋体"/>
          <w:color w:val="000000" w:themeColor="text1"/>
          <w:sz w:val="24"/>
          <w:szCs w:val="24"/>
          <w:highlight w:val="none"/>
        </w:rPr>
        <w:t xml:space="preserve">有关条文执行。</w:t>
      </w:r>
      <w:r>
        <w:rPr>
          <w:color w:val="000000" w:themeColor="text1"/>
          <w:highlight w:val="none"/>
        </w:rPr>
      </w:r>
      <w:r/>
    </w:p>
    <w:p>
      <w:pPr>
        <w:pStyle w:val="924"/>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本合同正本一式</w:t>
      </w:r>
      <w:r>
        <w:rPr>
          <w:rFonts w:hint="eastAsia" w:hAnsi="宋体"/>
          <w:color w:val="000000" w:themeColor="text1"/>
          <w:sz w:val="24"/>
          <w:szCs w:val="24"/>
          <w:highlight w:val="none"/>
        </w:rPr>
        <w:t xml:space="preserve">两</w:t>
      </w:r>
      <w:r>
        <w:rPr>
          <w:rFonts w:hAnsi="宋体"/>
          <w:color w:val="000000" w:themeColor="text1"/>
          <w:sz w:val="24"/>
          <w:szCs w:val="24"/>
          <w:highlight w:val="none"/>
        </w:rPr>
        <w:t xml:space="preserve">份，具有同等法律效力，甲</w:t>
      </w:r>
      <w:r>
        <w:rPr>
          <w:rFonts w:hint="eastAsia" w:hAnsi="宋体"/>
          <w:color w:val="000000" w:themeColor="text1"/>
          <w:sz w:val="24"/>
          <w:szCs w:val="24"/>
          <w:highlight w:val="none"/>
        </w:rPr>
        <w:t xml:space="preserve">方、</w:t>
      </w:r>
      <w:r>
        <w:rPr>
          <w:rFonts w:hAnsi="宋体"/>
          <w:color w:val="000000" w:themeColor="text1"/>
          <w:sz w:val="24"/>
          <w:szCs w:val="24"/>
          <w:highlight w:val="none"/>
        </w:rPr>
        <w:t xml:space="preserve">乙方各执一份。</w:t>
      </w:r>
      <w:r>
        <w:rPr>
          <w:color w:val="000000" w:themeColor="text1"/>
          <w:highlight w:val="none"/>
        </w:rPr>
      </w:r>
      <w:r/>
    </w:p>
    <w:p>
      <w:pPr>
        <w:pStyle w:val="924"/>
        <w:ind w:left="480" w:hanging="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甲方：                        乙方： </w:t>
      </w:r>
      <w:r>
        <w:rPr>
          <w:color w:val="000000" w:themeColor="text1"/>
          <w:highlight w:val="none"/>
        </w:rPr>
      </w:r>
      <w:r/>
    </w:p>
    <w:p>
      <w:pPr>
        <w:pStyle w:val="924"/>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color w:val="000000" w:themeColor="text1"/>
          <w:highlight w:val="none"/>
        </w:rPr>
      </w:r>
      <w:r/>
    </w:p>
    <w:p>
      <w:pPr>
        <w:pStyle w:val="924"/>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color w:val="000000" w:themeColor="text1"/>
          <w:highlight w:val="none"/>
        </w:rPr>
      </w:r>
      <w:r/>
    </w:p>
    <w:p>
      <w:pPr>
        <w:pStyle w:val="924"/>
        <w:ind w:firstLine="240"/>
        <w:spacing w:line="400" w:lineRule="exac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color w:val="000000" w:themeColor="text1"/>
          <w:highlight w:val="none"/>
        </w:rPr>
      </w:r>
      <w:r/>
    </w:p>
    <w:p>
      <w:pPr>
        <w:pStyle w:val="885"/>
        <w:ind w:firstLine="480"/>
        <w:spacing w:line="400" w:lineRule="exact"/>
        <w:rPr>
          <w:color w:val="000000" w:themeColor="text1"/>
          <w:sz w:val="24"/>
          <w:szCs w:val="24"/>
          <w:highlight w:val="none"/>
        </w:rPr>
      </w:pPr>
      <w:r>
        <w:rPr>
          <w:rFonts w:hint="eastAsia"/>
          <w:color w:val="000000" w:themeColor="text1"/>
          <w:sz w:val="24"/>
          <w:szCs w:val="24"/>
          <w:highlight w:val="none"/>
        </w:rPr>
        <w:t xml:space="preserve">                                </w:t>
      </w:r>
      <w:r>
        <w:rPr>
          <w:color w:val="000000" w:themeColor="text1"/>
          <w:sz w:val="24"/>
          <w:szCs w:val="24"/>
          <w:highlight w:val="none"/>
        </w:rPr>
        <w:t xml:space="preserve">签订日期：      年  </w:t>
      </w:r>
      <w:r>
        <w:rPr>
          <w:rFonts w:hint="eastAsia"/>
          <w:color w:val="000000" w:themeColor="text1"/>
          <w:sz w:val="24"/>
          <w:szCs w:val="24"/>
          <w:highlight w:val="none"/>
        </w:rPr>
        <w:t xml:space="preserve">  </w:t>
      </w:r>
      <w:r>
        <w:rPr>
          <w:color w:val="000000" w:themeColor="text1"/>
          <w:sz w:val="24"/>
          <w:szCs w:val="24"/>
          <w:highlight w:val="none"/>
        </w:rPr>
        <w:t xml:space="preserve">月  </w:t>
      </w:r>
      <w:r>
        <w:rPr>
          <w:rFonts w:hint="eastAsia"/>
          <w:color w:val="000000" w:themeColor="text1"/>
          <w:sz w:val="24"/>
          <w:szCs w:val="24"/>
          <w:highlight w:val="none"/>
        </w:rPr>
        <w:t xml:space="preserve"> </w:t>
      </w:r>
      <w:r>
        <w:rPr>
          <w:color w:val="000000" w:themeColor="text1"/>
          <w:sz w:val="24"/>
          <w:szCs w:val="24"/>
          <w:highlight w:val="none"/>
        </w:rPr>
        <w:t xml:space="preserve">日</w:t>
      </w:r>
      <w:r>
        <w:rPr>
          <w:color w:val="000000" w:themeColor="text1"/>
          <w:highlight w:val="none"/>
        </w:rPr>
      </w:r>
      <w:r/>
    </w:p>
    <w:p>
      <w:pPr>
        <w:pStyle w:val="885"/>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t xml:space="preserve"> </w:t>
      </w:r>
      <w:r>
        <w:rPr>
          <w:color w:val="000000" w:themeColor="text1"/>
          <w:highlight w:val="none"/>
        </w:rPr>
      </w:r>
      <w:r/>
    </w:p>
    <w:p>
      <w:pPr>
        <w:pStyle w:val="885"/>
        <w:ind w:firstLine="480"/>
        <w:spacing w:line="40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pStyle w:val="885"/>
        <w:ind w:firstLine="480"/>
        <w:jc w:val="center"/>
        <w:spacing w:line="288" w:lineRule="auto"/>
        <w:rPr>
          <w:rFonts w:hint="eastAsia" w:hAnsi="宋体"/>
          <w:color w:val="000000" w:themeColor="text1"/>
          <w:sz w:val="36"/>
          <w:szCs w:val="36"/>
          <w:highlight w:val="none"/>
        </w:rPr>
      </w:pPr>
      <w:r>
        <w:rPr>
          <w:rFonts w:ascii="宋体" w:hAnsi="宋体"/>
          <w:bCs/>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120614244"/>
      <w:r>
        <w:rPr>
          <w:color w:val="000000" w:themeColor="text1"/>
          <w:highlight w:val="none"/>
        </w:rPr>
      </w:r>
      <w:bookmarkStart w:id="187" w:name="_Toc16938590"/>
      <w:r>
        <w:rPr>
          <w:color w:val="000000" w:themeColor="text1"/>
          <w:highlight w:val="none"/>
        </w:rPr>
      </w:r>
      <w:bookmarkStart w:id="188" w:name="_Toc20823346"/>
      <w:r>
        <w:rPr>
          <w:color w:val="000000" w:themeColor="text1"/>
          <w:highlight w:val="none"/>
        </w:rPr>
      </w:r>
      <w:bookmarkStart w:id="189" w:name="_Toc479757211"/>
      <w:r>
        <w:rPr>
          <w:color w:val="000000" w:themeColor="text1"/>
          <w:highlight w:val="none"/>
        </w:rPr>
      </w:r>
      <w:bookmarkStart w:id="190" w:name="_Toc462564139"/>
      <w:r>
        <w:rPr>
          <w:rFonts w:hint="eastAsia" w:ascii="黑体" w:eastAsia="黑体"/>
          <w:bCs/>
          <w:color w:val="000000" w:themeColor="text1"/>
          <w:sz w:val="36"/>
          <w:szCs w:val="36"/>
          <w:highlight w:val="none"/>
        </w:rPr>
        <w:t xml:space="preserve">第</w:t>
      </w:r>
      <w:bookmarkEnd w:id="185"/>
      <w:r>
        <w:rPr>
          <w:rFonts w:hint="eastAsia" w:ascii="黑体" w:eastAsia="黑体"/>
          <w:bCs/>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color w:val="000000" w:themeColor="text1"/>
          <w:highlight w:val="none"/>
        </w:rPr>
      </w:r>
      <w:r/>
    </w:p>
    <w:p>
      <w:pPr>
        <w:pStyle w:val="885"/>
        <w:ind w:firstLine="60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26554093"/>
      <w:r>
        <w:rPr>
          <w:color w:val="000000" w:themeColor="text1"/>
          <w:highlight w:val="none"/>
        </w:rPr>
      </w:r>
      <w:bookmarkStart w:id="192" w:name="_Toc49090575"/>
      <w:r>
        <w:rPr>
          <w:rFonts w:hint="eastAsia" w:ascii="黑体" w:hAnsi="黑体" w:eastAsia="黑体"/>
          <w:color w:val="000000" w:themeColor="text1"/>
          <w:sz w:val="30"/>
          <w:szCs w:val="30"/>
          <w:highlight w:val="none"/>
        </w:rPr>
        <w:t xml:space="preserve">本项目属性：</w:t>
      </w:r>
      <w:r>
        <w:rPr>
          <w:rFonts w:hint="eastAsia" w:ascii="黑体" w:hAnsi="黑体" w:eastAsia="黑体"/>
          <w:color w:val="000000" w:themeColor="text1"/>
          <w:sz w:val="30"/>
          <w:szCs w:val="30"/>
          <w:highlight w:val="none"/>
        </w:rPr>
        <w:t xml:space="preserve">服务类项目</w:t>
      </w:r>
      <w:r>
        <w:rPr>
          <w:rFonts w:hint="eastAsia" w:ascii="黑体" w:hAnsi="黑体" w:eastAsia="黑体"/>
          <w:color w:val="000000" w:themeColor="text1"/>
          <w:sz w:val="30"/>
          <w:szCs w:val="30"/>
          <w:highlight w:val="none"/>
        </w:rPr>
        <w:t xml:space="preserve"> </w:t>
      </w:r>
      <w:r>
        <w:rPr>
          <w:color w:val="000000" w:themeColor="text1"/>
          <w:highlight w:val="none"/>
        </w:rPr>
      </w:r>
      <w:r/>
    </w:p>
    <w:p>
      <w:pPr>
        <w:pStyle w:val="885"/>
        <w:ind w:firstLine="480"/>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投标人所投内容必须满足以下要求，不得有负偏离。</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软件和信息技术服务业</w:t>
      </w:r>
      <w:r>
        <w:rPr>
          <w:color w:val="000000" w:themeColor="text1"/>
          <w:highlight w:val="none"/>
        </w:rPr>
      </w:r>
      <w:r/>
    </w:p>
    <w:p>
      <w:pPr>
        <w:pStyle w:val="885"/>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color w:val="000000" w:themeColor="text1"/>
          <w:highlight w:val="none"/>
        </w:rPr>
      </w:r>
      <w:r/>
    </w:p>
    <w:p>
      <w:pPr>
        <w:pStyle w:val="888"/>
        <w:ind w:firstLine="482"/>
        <w:rPr>
          <w:color w:val="000000" w:themeColor="text1"/>
          <w:sz w:val="24"/>
          <w:szCs w:val="24"/>
          <w:highlight w:val="none"/>
        </w:rPr>
      </w:pPr>
      <w:r>
        <w:rPr>
          <w:rFonts w:hint="eastAsia"/>
          <w:color w:val="000000" w:themeColor="text1"/>
          <w:sz w:val="24"/>
          <w:szCs w:val="24"/>
          <w:highlight w:val="none"/>
        </w:rPr>
        <w:t xml:space="preserve">（一）项目建设目标</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1.项目建设背景</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以习近平新时代中国特色社会主义思想为指导，深入贯彻党的二十大</w:t>
      </w:r>
      <w:r>
        <w:rPr>
          <w:rFonts w:hint="eastAsia" w:ascii="宋体" w:hAnsi="宋体"/>
          <w:color w:val="000000" w:themeColor="text1"/>
          <w:sz w:val="24"/>
          <w:szCs w:val="24"/>
          <w:highlight w:val="none"/>
        </w:rPr>
        <w:t xml:space="preserve">和二十届二中、三中全会</w:t>
      </w:r>
      <w:r>
        <w:rPr>
          <w:rFonts w:ascii="宋体" w:hAnsi="宋体"/>
          <w:color w:val="000000" w:themeColor="text1"/>
          <w:sz w:val="24"/>
          <w:szCs w:val="24"/>
          <w:highlight w:val="none"/>
          <w:lang w:eastAsia="en-US"/>
        </w:rPr>
        <w:t xml:space="preserve">精神，坚持统筹发展和安全，秉持“无事不扰、有呼必应”监管理念，统筹各类监管资源，完善监管制度机制，创新监管方式方法，强化条块结合、区域联动，不断提升监管的精准性和有效性，全力维护公平竞争、秩序规范的市场环境，</w:t>
      </w:r>
      <w:r>
        <w:rPr>
          <w:rFonts w:hint="eastAsia" w:ascii="宋体" w:hAnsi="宋体"/>
          <w:color w:val="000000" w:themeColor="text1"/>
          <w:sz w:val="24"/>
          <w:szCs w:val="24"/>
          <w:highlight w:val="none"/>
        </w:rPr>
        <w:t xml:space="preserve">减轻企业负担，</w:t>
      </w:r>
      <w:r>
        <w:rPr>
          <w:rFonts w:ascii="宋体" w:hAnsi="宋体"/>
          <w:color w:val="000000" w:themeColor="text1"/>
          <w:sz w:val="24"/>
          <w:szCs w:val="24"/>
          <w:highlight w:val="none"/>
          <w:lang w:eastAsia="en-US"/>
        </w:rPr>
        <w:t xml:space="preserve">不断激发经营主体发展活力，为推动全市高质量发展提供</w:t>
      </w:r>
      <w:r>
        <w:rPr>
          <w:rFonts w:hint="eastAsia" w:ascii="宋体" w:hAnsi="宋体"/>
          <w:color w:val="000000" w:themeColor="text1"/>
          <w:sz w:val="24"/>
          <w:szCs w:val="24"/>
          <w:highlight w:val="none"/>
        </w:rPr>
        <w:t xml:space="preserve">有</w:t>
      </w:r>
      <w:r>
        <w:rPr>
          <w:rFonts w:ascii="宋体" w:hAnsi="宋体"/>
          <w:color w:val="000000" w:themeColor="text1"/>
          <w:sz w:val="24"/>
          <w:szCs w:val="24"/>
          <w:highlight w:val="none"/>
          <w:lang w:eastAsia="en-US"/>
        </w:rPr>
        <w:t xml:space="preserve">力支撑。</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2.</w:t>
      </w:r>
      <w:r>
        <w:rPr>
          <w:color w:val="000000" w:themeColor="text1"/>
          <w:sz w:val="24"/>
          <w:szCs w:val="24"/>
          <w:highlight w:val="none"/>
        </w:rPr>
        <w:t xml:space="preserve">项目建设目标</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（一）强化风险研判和风险预警，提升风险防控和应急处置能力</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市场监管部门</w:t>
      </w:r>
      <w:r>
        <w:rPr>
          <w:color w:val="000000" w:themeColor="text1"/>
          <w:sz w:val="24"/>
          <w:szCs w:val="24"/>
          <w:highlight w:val="none"/>
        </w:rPr>
        <w:t xml:space="preserve">需从</w:t>
      </w:r>
      <w:r>
        <w:rPr>
          <w:rFonts w:hint="eastAsia"/>
          <w:color w:val="000000" w:themeColor="text1"/>
          <w:sz w:val="24"/>
          <w:szCs w:val="24"/>
          <w:highlight w:val="none"/>
        </w:rPr>
        <w:t xml:space="preserve">多</w:t>
      </w:r>
      <w:r>
        <w:rPr>
          <w:color w:val="000000" w:themeColor="text1"/>
          <w:sz w:val="24"/>
          <w:szCs w:val="24"/>
          <w:highlight w:val="none"/>
        </w:rPr>
        <w:t xml:space="preserve">渠道获取线索信息，包括</w:t>
      </w:r>
      <w:r>
        <w:rPr>
          <w:rFonts w:hint="eastAsia"/>
          <w:color w:val="000000" w:themeColor="text1"/>
          <w:sz w:val="24"/>
          <w:szCs w:val="24"/>
          <w:highlight w:val="none"/>
        </w:rPr>
        <w:t xml:space="preserve">投诉举报数据</w:t>
      </w:r>
      <w:r>
        <w:rPr>
          <w:color w:val="000000" w:themeColor="text1"/>
          <w:sz w:val="24"/>
          <w:szCs w:val="24"/>
          <w:highlight w:val="none"/>
        </w:rPr>
        <w:t xml:space="preserve">、监测数据、</w:t>
      </w:r>
      <w:r>
        <w:rPr>
          <w:rFonts w:hint="eastAsia"/>
          <w:color w:val="000000" w:themeColor="text1"/>
          <w:sz w:val="24"/>
          <w:szCs w:val="24"/>
          <w:highlight w:val="none"/>
        </w:rPr>
        <w:t xml:space="preserve">抽检数据</w:t>
      </w:r>
      <w:r>
        <w:rPr>
          <w:color w:val="000000" w:themeColor="text1"/>
          <w:sz w:val="24"/>
          <w:szCs w:val="24"/>
          <w:highlight w:val="none"/>
        </w:rPr>
        <w:t xml:space="preserve">等，但线索往往分散在不同的部门和系统中，缺乏集中管理能力</w:t>
      </w:r>
      <w:r>
        <w:rPr>
          <w:rFonts w:hint="eastAsia"/>
          <w:color w:val="000000" w:themeColor="text1"/>
          <w:sz w:val="24"/>
          <w:szCs w:val="24"/>
          <w:highlight w:val="none"/>
        </w:rPr>
        <w:t xml:space="preserve">，</w:t>
      </w:r>
      <w:r>
        <w:rPr>
          <w:color w:val="000000" w:themeColor="text1"/>
          <w:sz w:val="24"/>
          <w:szCs w:val="24"/>
          <w:highlight w:val="none"/>
        </w:rPr>
        <w:t xml:space="preserve">从而</w:t>
      </w:r>
      <w:r>
        <w:rPr>
          <w:rFonts w:hint="eastAsia"/>
          <w:color w:val="000000" w:themeColor="text1"/>
          <w:sz w:val="24"/>
          <w:szCs w:val="24"/>
          <w:highlight w:val="none"/>
        </w:rPr>
        <w:t xml:space="preserve">影响</w:t>
      </w:r>
      <w:r>
        <w:rPr>
          <w:color w:val="000000" w:themeColor="text1"/>
          <w:sz w:val="24"/>
          <w:szCs w:val="24"/>
          <w:highlight w:val="none"/>
        </w:rPr>
        <w:t xml:space="preserve">快速响应和</w:t>
      </w:r>
      <w:r>
        <w:rPr>
          <w:rFonts w:hint="eastAsia"/>
          <w:color w:val="000000" w:themeColor="text1"/>
          <w:sz w:val="24"/>
          <w:szCs w:val="24"/>
          <w:highlight w:val="none"/>
        </w:rPr>
        <w:t xml:space="preserve">处置能力</w:t>
      </w:r>
      <w:r>
        <w:rPr>
          <w:color w:val="000000" w:themeColor="text1"/>
          <w:sz w:val="24"/>
          <w:szCs w:val="24"/>
          <w:highlight w:val="none"/>
        </w:rPr>
        <w:t xml:space="preserve">。</w:t>
      </w:r>
      <w:r>
        <w:rPr>
          <w:rFonts w:hint="eastAsia"/>
          <w:color w:val="000000" w:themeColor="text1"/>
          <w:sz w:val="24"/>
          <w:szCs w:val="24"/>
          <w:highlight w:val="none"/>
        </w:rPr>
        <w:t xml:space="preserve">通过建设一体化风险预警管理平台，归集多头分散的市场监管领域线索，及时发现问题。同时，</w:t>
      </w:r>
      <w:r>
        <w:rPr>
          <w:color w:val="000000" w:themeColor="text1"/>
          <w:sz w:val="24"/>
          <w:szCs w:val="24"/>
          <w:highlight w:val="none"/>
        </w:rPr>
        <w:t xml:space="preserve">对收集到的线索进行分析和研判，以确定问题的性质、范围和紧急程度，</w:t>
      </w:r>
      <w:r>
        <w:rPr>
          <w:rFonts w:hint="eastAsia"/>
          <w:color w:val="000000" w:themeColor="text1"/>
          <w:sz w:val="24"/>
          <w:szCs w:val="24"/>
          <w:highlight w:val="none"/>
        </w:rPr>
        <w:t xml:space="preserve">发现潜在的风险点和问题，将线索分发到各级市场监管部门进行核查处置，及时解决问题，防止风险扩大化，做到精准预判、靶向监管，提升监管效能，加强风险防控和应急处置能力。</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（二）持续优化企业信用风险分类管理体系，推动监管高质量发展</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通过建设企业信用风险分类管理指标体系，合理开展分级分类监管。通过广泛归集涉企数据，合力确定指标权重，拓展指标“广度”“精度”和“效度”，推进信用分类结果在各专业领域应用，支持通过共享研判数据、分类结果、指标权重等多种方式开展分类监管，有效缓解日益繁重的监管任务与紧缺的监管力量之间的矛盾，推动信用监管高质量发展。</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（三）持续优化涉企服务数字化应用场景，提升信息服务的便利性</w:t>
      </w:r>
      <w:r>
        <w:rPr>
          <w:color w:val="000000" w:themeColor="text1"/>
          <w:highlight w:val="none"/>
        </w:rPr>
      </w:r>
      <w:r/>
    </w:p>
    <w:p>
      <w:pPr>
        <w:pStyle w:val="885"/>
        <w:ind w:firstLine="420"/>
        <w:rPr>
          <w:color w:val="000000" w:themeColor="text1"/>
          <w:sz w:val="24"/>
          <w:szCs w:val="24"/>
          <w:highlight w:val="none"/>
        </w:rPr>
      </w:pPr>
      <w:r>
        <w:rPr>
          <w:rFonts w:hint="eastAsia"/>
          <w:color w:val="000000" w:themeColor="text1"/>
          <w:sz w:val="24"/>
          <w:szCs w:val="24"/>
          <w:highlight w:val="none"/>
        </w:rPr>
        <w:t xml:space="preserve">整合已有信息系统资源，升级改造统一身份认证平台，与江苏省市场监管统一身份认证平台实现互联互通。依托电子营业执照加强涉企信息关联，支持电子营业执照在法人门户服务平台的应用，支持电子印章在市场监管一体化综合监管平台的应用。拓展法人服务线上服务类型，为其提供便捷的注册登记、信息查询、信用评价等服务。</w:t>
      </w:r>
      <w:r>
        <w:rPr>
          <w:color w:val="000000" w:themeColor="text1"/>
          <w:highlight w:val="none"/>
        </w:rPr>
      </w:r>
      <w:r/>
    </w:p>
    <w:p>
      <w:pPr>
        <w:pStyle w:val="888"/>
        <w:ind w:firstLine="482"/>
        <w:rPr>
          <w:color w:val="000000" w:themeColor="text1"/>
          <w:sz w:val="24"/>
          <w:szCs w:val="24"/>
          <w:highlight w:val="none"/>
        </w:rPr>
      </w:pPr>
      <w:r>
        <w:rPr>
          <w:rFonts w:hint="eastAsia"/>
          <w:color w:val="000000" w:themeColor="text1"/>
          <w:sz w:val="24"/>
          <w:szCs w:val="24"/>
          <w:highlight w:val="none"/>
        </w:rPr>
        <w:t xml:space="preserve">（二）项目建设要求</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1 一体化风险预警管理平台</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建设一体化风险预警管理平台，实现从风险数据归集、风险模型建立、风险线索计算、风险线索甄别分派、风险线索处置流转的闭环体系。</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通过深度分析建立风险模型，自动识别风险线索，并接入第三方线索和人工录入，形成风险线索库。建立甄别、核查、处置机制，进行闭环管理。事后评估风险线索价值和效能，为领导决策提供支持。</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1.1风险线索管理中心</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风险线索管理中心包含模型管理、大数据分析、第三方线索接入、数据推送、提醒、处置流程管理等功能模块。</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模型管理可新增、修改、停用、删除模型；大数据分析支持建模、数据管理、清洗和加工；第三方线索接入归集多源风险线索数据；数据推送管理支持设置推送对象、频率和时间；提醒功能支持设置提醒对象、方式、频率、时间和内容；处置流程管理支持自定义流程和参与对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1.2风险线索处置流程</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风险线索处置流程涵盖线索登记、代办、综合管理、协查、提调、催办督办、专项任务等功能模块。</w:t>
      </w:r>
      <w:r>
        <w:rPr>
          <w:color w:val="000000" w:themeColor="text1"/>
          <w:highlight w:val="none"/>
        </w:rPr>
      </w:r>
      <w:r/>
    </w:p>
    <w:p>
      <w:pPr>
        <w:pStyle w:val="885"/>
        <w:ind w:firstLine="480"/>
        <w:rPr>
          <w:rFonts w:hint="eastAsia"/>
          <w:color w:val="000000" w:themeColor="text1"/>
          <w:sz w:val="24"/>
          <w:szCs w:val="24"/>
          <w:highlight w:val="none"/>
        </w:rPr>
      </w:pPr>
      <w:r>
        <w:rPr>
          <w:rFonts w:hint="eastAsia"/>
          <w:color w:val="000000" w:themeColor="text1"/>
          <w:sz w:val="24"/>
          <w:szCs w:val="24"/>
          <w:highlight w:val="none"/>
        </w:rPr>
        <w:t xml:space="preserve">线索登记支持人工录入和批量导入；线索代办支持初审、研判、核查、指派等操作，并支持查询待办；线索综合管理支持撤回、督办、催办及转专项任务；协查办理支持新增申请和反馈；提调线索支持新增和查询；催办督办支持新增、发起催办及查询反馈；专项任务支持新增和查询。</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1.3案件线索处置对接</w:t>
      </w:r>
      <w:r>
        <w:rPr>
          <w:color w:val="000000" w:themeColor="text1"/>
          <w:highlight w:val="none"/>
        </w:rPr>
      </w:r>
      <w:r/>
    </w:p>
    <w:p>
      <w:pPr>
        <w:pStyle w:val="900"/>
        <w:rPr>
          <w:color w:val="000000" w:themeColor="text1"/>
          <w:highlight w:val="none"/>
        </w:rPr>
      </w:pPr>
      <w:r>
        <w:rPr>
          <w:rFonts w:hint="eastAsia"/>
          <w:color w:val="000000" w:themeColor="text1"/>
          <w:sz w:val="24"/>
          <w:szCs w:val="24"/>
          <w:highlight w:val="none"/>
        </w:rPr>
        <w:t xml:space="preserve">风险预警管理平台中核查确认形成的案件线索，对接推送至无锡市市场监管一体化综合监管平台，并在该平台的案件线索内完成移交确认以及核查闭环。</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1.4案件线索关联分析</w:t>
      </w:r>
      <w:r>
        <w:rPr>
          <w:color w:val="000000" w:themeColor="text1"/>
          <w:highlight w:val="none"/>
        </w:rPr>
      </w:r>
      <w:r/>
    </w:p>
    <w:p>
      <w:pPr>
        <w:pStyle w:val="885"/>
        <w:ind w:firstLine="480"/>
        <w:rPr>
          <w:color w:val="000000" w:themeColor="text1"/>
          <w:highlight w:val="none"/>
        </w:rPr>
      </w:pPr>
      <w:r>
        <w:rPr>
          <w:rFonts w:hint="eastAsia"/>
          <w:color w:val="000000" w:themeColor="text1"/>
          <w:sz w:val="24"/>
          <w:szCs w:val="24"/>
          <w:highlight w:val="none"/>
        </w:rPr>
        <w:t xml:space="preserve">对接江苏省市场监管综合执法平台，实现案件办理全过程数据实时回传至一体化风险预警管理平台。对于由风险线索演化而成的案件，与风险线索源头形成关联分析。</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1.5综合查询</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建设综合查询模块，可查询全局所有线索信息，包括线索来源、涉及主体、发生时间、情况描述、处理状态、线索详情、相关文件等。同时，支持查看线索标签信息，钻取操作可查看主体全景画像信息。</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1.6效能分析</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效能分析模块，通过各个维度对线索进行分析，制作成统计报表和可视化界面。通过地区、业务类别、时间、处置结果等维度去分析当前线索的分配情况，也可查看当前初审、复审、待确认线索的数量、并给出临期、超期的提示，按时间年度、月度等维度查看线索接收情况以及进度。</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2.专业领域信用风险分级分类系统</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建设以市场主体信用风险评级体系为基础的分类系统，结合无锡监管实际，从食品及工业产品领域出发，经风险指标、建模、评定与动态调整等手段生成企业风险量化结果，并研判分析，警示监测高风险企业。</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2.1食品生产领域</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食品生产领域功能涵盖指标模型建设、风险评定、查询分析及分级分类应用。</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管理员可自定义指标体系，系统自动计算风险等级并动态更新。支持多条件查询、数据导出及汇总展示，分析信用分布及检查结果，应用上合理确定监督检查频次等内容，科学制订并实施日常监督检查计划。</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2.2食品经营领域</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食品经营领域功能涵盖指标模型建设、风险评定、查询分析及分级分类应用。</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管理员可自定义指标体系，系统自动计算风险等级并动态更新。支持多条件查询、数据导出及汇总展示，分析信用分布及检查结果，应用上合理确定监督检查频次等内容，科学制订并实施日常监督检查计划。</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2.3工业产品生产领域</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工业产品生产领域功能涵盖指标模型建设、风险评定、查询分析及分级分类应用。</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管理员可自定义指标体系，系统自动计算风险等级并动态更新。支持多条件查询、数据导出及汇总展示，分析信用分布及检查结果，应用上合理确定监督检查频次等内容，科学制订并实施日常监督检查计划。</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2.4工业产品经营领域</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工业产品经营领域功能涵盖指标模型建设、风险评定、查询分析及分级分类应用。</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管理员可自定义指标体系，系统自动计算风险等级并动态更新。支持多条件查询、数据导出及汇总展示，分析信用分布及检查结果，应用上合理确定监督检查频次等内容，科学制订并实施日常监督检查计划。</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3.移动端数智驾驶舱</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移动端驾驶舱，为领导层提供分析，辅助决策，推送业务信息，提升效能；为基层构建画像，解决数据需求；为业务层提供支持。建设总览、分析、画像、预警、统计、检索等板块，强化预警，实现舆情推送。</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3.1驾驶舱门户</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建设移动端驾驶舱门户，根据当前登录用户所属的监管机构进行权限分级，区分为三类：市级用户、区县级用户、分局级用户，为不同层级的用户提供个性化的驾驶舱门户展示。</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3.2业务总览</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业务总览模块基于准入环境、行政许可、消费环境、知识产权、信用监管、质量提升、食品安全、药品安全、特种设备安全、产品质量安全及执法稽查案件线索处置办理情况等多领域数据，通过多角度多指标对无锡市不同方面情况进行统计分析，以助监管部门直观了解相关信息。</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3.3数据分析</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数据分析模块，基于多领域数据进行市场主体、信用监管、执法办案、食品安全、药品安全、特种设备安全、重点产品安全、质量基础设施及知识产权等方面的分析，并通过各类统计图表展示结果。旨在全面掌握各领域的经营、监管、办案、安全及发展等情况，为相关决策提供直观的数据支持，以促进各领域的规范与发展。</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3.4多维画像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建设多维画像模块，基于PC端企业画像、行业画像、区域画像等内容，建设移动端企业画像、行业画像、区域画像模块，数据实时与PC端同步。</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3.5数智快报</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数智快报模块，根据局领导、业务处室等关注的重点业务重点指标，通过大数据模型进行指标自动计算。达到阈值的指标自动生成数智快报，主动推送到局长、分管局长、业务处长等的手机上，每天将重要信息推送到领导指尖，彻底改变大数据分析研判模式。</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3.6智能统计</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智能统计模块，运用人工智能和自然语言处理技术，支持语音及文字输入，理解用户查询意图，在海量数据中找到匹配的统计信息并展现给用户。查询条件有语音或文本录入，系统分析问题后给出精准结果，若问题不准确会提示关联指令。其旨在提升用户查询体验，更高效地获取所需统计信息。</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4.一体化综合监管平台升级</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升级一体化监管平台，针对多业务场景建专项应用，以信息化手段处置工作，完善协作机制提效率，并将法律法规库与平台融合，经移动端为监管人员监督检查提供法律指引。</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4.1工业产品生产销售企业监管子系统</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工业产品生产销售企业监管子系统支持工业产品生产销售企业档案管理、日常监督管理、专项检查管理、飞行检查管理、移动端检查对象管理、产品质量安全日报送等功能模块。</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4.1.1工业产品生产销售企业档案管理</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工业产品生产销售企业档案管理模块支持多方面功能，涵盖信息查询（精确搜索、组合搜索、保存常用条件）、记录导出；GIS地图定位查询（地址定位显示）；信息修改（动态维护企业基本信息）；检查记录查询（精确与组合搜索及结果钻取查询），且各查询结果均可导出为excel。</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4.1.2日常监督管理</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日常监督管理功能支持展示工业产品生产销售企业监管任务检查流程，开发移动端反馈表单，方便用户检查。页面呈现多类检查信息，支持下载检查材料，配置检查事项表、生成电子文书、签名签章及查询反馈结果与下载文书。</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4.1.3专项检查管理</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专项检查管理功能支持展示工业产品生产销售企业监管任务检查流程，开发移动端反馈表单，方便用户检查。页面呈现多类检查信息，支持下载检查材料，配置检查事项表、生成电子文书、签名签章及查询反馈结果与下载文书。</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4.1.4飞行检查管理</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飞行检查管理功能支持展示工业产品生产销售企业监管任务检查流程，开发移动端反馈表单，方便用户检查。页面呈现多类检查信息，支持下载检查材料，配置检查事项表、生成电子文书、签名签章及查询反馈结果与下载文书。</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4.1.5移动端检查对象管理</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移动端检查对象管理支持以列表形式展示监管人员相关待检查对象，涵盖分派的、所属机构下的及其不同状态（即将到期、已逾期未检查）的检查对象。</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4.1.6产品质量安全日报送</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建设产品质量安全日报送功能，以天为单位展示本月填报清单，区分报表状态并差异化显示，同时自动汇总下级机构数据，提供明细查询分析功能以督办工作。</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4.2案件线索处置子系统</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案件线索处置子系统需要建设案件线索等级、查询、流转、办理、统计分析等功能模块。</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登记模块用于录入线索信息，查询模块可以过滤查找线索；分派模块支持指定线索去向及流转人员，支持线索多层级自由流转交办及协同调查；线索办理模块涵盖预警、催办等处置功能；统计分析模块从成案、处置状态、超期类型统计线索。</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4.3食品检验共享子系统</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食品检验共享子系统需要建设基础信息管理、检验报告管理、统计分析三个模块。</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4.3.1基础信息管理</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基础信息管理模块需要建设产品类别、检测项目、价格标段、项目价格管理模块，各模块均支持信息自定义及增删改操作。</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4.3.2检验报告管理</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检验报告管理模块需要支持上传（录入、Excel导入），上传时进行合规性校验，通过则入库，不通过则退还并提示原因；建设审核发布功能，委托单位用户能审核报告，确认发布或退回。</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4.3.3统计分析</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统计分析模块，比对抽检结果与在营食品生产、销售企业名录，分析企业隐患；以区县、抽检环节、任务发布单位、承检机构为颗粒度，分析食品抽检校验情况，研判异常；根据费用标准和折扣费率，统计检验报告总价、明细及检测项目投入。</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4.4行风问题排查整治模块</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行风排查整治模块需建设业务权限管理模块，以无锡市市场监管局架构为基础授权用户；建设行风问题登记模块，支持监管人员录入问题；建设行风问题交办模块，市级人员登记后可分派给区级核查；建设处置办结反馈模块，区级人员核查后可填报处置结果。</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4.5直销企业会议报备模块</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建设直销企业会议报备模块，为监管人员提供针对商务部直销企业在无锡市内面向社会召开会议的预备报备管理功能，以满足对直销企业的监督管理需要。</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支持管理直销企业名单，比对信息正确性。市级用户可登记会议详情并上传申报表，实现三级流转共享。各级用户可反馈办理情况。对未及时处理或反馈的流程，提供短信提醒，避免工作过失。</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4.6反垄断守护行动管理模块</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建设反垄断守护行动管理模块，通过系统实现反垄断守护行动工作的数据填报、信息共享、情况统计，将以往通过线下处理的工作转移至线上，大大降低信息传递成本，为各级监管用户带来工作便利。</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该模块支持各级机构按月填报总览月报，数据自动汇总至上级，支持查阅明细。系统内可定制涉企、教育收费月报及守护行动半年报、年报格式。支持按月度/半年度/年度展示待填报清单，管理填报状态（已提交、暂存、待填报），差异化展示。上级机构可自动汇总下级数据，作为参考，并提供下级填报明细查询，督办工作。</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4.7产品质量安全主体责任落实管理模块</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为监管人员提供对无锡市产品质量安全主体的全面查询分析服务，以许可、认证、企业生产销售信息、主体责任落实情况多方面对企业进行分析画像，精准识别主体责任落实不到位企业风险，为监管人员提供分析预警。</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4.7.1产品质量安全主体管理</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产品质量安全主体管理模块，自动形成无锡市企业名录并提供查询。通过身份识别号，关联比较许可证、强制性认证数据，为持证、认证企业打标签并关联产品。分析企业备案信息（人员、产品、制度），根据备案情况自动打标签。分析企业日管控、周排查、月调度记录，根据记录情况自动打标签。若企业信息全面且记录正常，则自动标记。</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4.7.2人员信息查询</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支持对企业在法人服务门户备案的质量安全人员信息进行查询展示，同时提供多种条件组合搜索功能，支持对查询出的记录导出成excel。</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4.7.3产品信息查询</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支持对企业在法人服务门户备案的生产销售产品信息进行查询展示，同时提供多种条件组合搜索功能，支持对查询出的记录导出成excel。</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4.7.4制度信息查询</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支持对企业在法人服务门户上传的制度信息进行查询展示，同时提供多种条件组合搜索功能，支持对查询出的记录导出成excel。</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4.7.5工业产品生产许可查询</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提供工业产品生产许可信息查询功能，用户可以通过统一社会信用代码/企业名称、许可证编号、发证机关、发证日期、产品类型、行政区划、产品名称、许可证状态、地址等精确搜索功能，同时提供多种条件组合搜索功能，查询出工业产品生产许可信息。系统支持对查询出的记录导出成excel。</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4.7.6强制性认证查询</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提供强制性认证信息查询功能，用户可以通过统一社会信用代码/企业名称、认证编号、认证机关、认证日期、产品类型、行政区划、产品名称、认证状态等精确搜索功能，同时提供多种条件组合搜索功能，查询出强制性认证信息。系统支持对查询出的记录导出成excel。</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4.7.7落实主体责任分析查询</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以工业产品生产许可证、强制性认证数据为主，同时关联无锡市市场经营主体本地数据，以及企业在法人服务门户的注册入驻信息，分析出我市目前已领证、已有强制性认证的企业主体责任落实的情况，对于未进行主体责任落实的企业进行重点提醒关注。</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4.8特殊购药需求报告管理模块</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建设特殊购药需求报告管理模块，支持监管人员对企业上传的特殊购药需求报告进行审核接收或分派，同时允许监管人员代企业进行报告的上传。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4.9监管事权法律法规库</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建设监管事权法律法规库，为监管部门提供法律法规的查询、解读、更新等一站式服务，确保监管事权的依法行使。</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5法人服务门户升级</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升级市场监管法人服务门户，增加信息公示、线上服务、主体责任落实、风险提醒功能。提供无锡市企业信息、信用承诺公示及多类线上服务，包括特殊购药、药品销售、医疗器械自查上报等。便利工业产品产销企业落实主体责任，核准信息，排查隐患。为企业提供许可临期、信用降级等风险预警，避免经营风险。</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5.1门户升级</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为优化我市营商环境，秉持为企业提供更加开放、更加简便的线上服务理念，对已经建成法人服务门户进行改造升级，增设信息公示、线上服务、主体责任落实、风险提醒功能，将实际应用区分为“所有人可见可用、所有人可见、登录后可用”三个等级，最大限度开放信息服务，为企业提供易用、便捷、省事的线上办事渠道。重设PC及移动端门户，全量展示服务，提供引导，点击服务后直接访问。</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5.2用户注册认证方式升级</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在原有登录模式基础上，新增手机号绑定市场经营主体登录，减轻用户负担，提升易用性。支持手机号+验证码+关键信息绑定多家主体。新增登录方式：PC端可用手机+验证码选主体登录；移动端小程序自动获取手机号选主体登录。</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5.3信息公示</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信息公示模块，支持在免登录状态下为企业提供信息公示服务，以走马灯的形式展示监管部门发布的要闻、政策、讯息，以及无锡市企业自主信用承诺信息；支持监管人员对公示信息进行自主管理，提供对公示信息的新增、编辑、删除等管理功能。</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5.4企业信箱</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通过法人服务平台建设信箱功能，监管人员可通过一体化综合监管平台在无需了解企业联系方式的情况下向企业所属用户发送邮件，解决以往线下信息传递慢、介质少的困难。</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5.5线上服务</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线上服务模块，提供特殊购药报告、药品销售申请、医疗器械自查、工业产品自查、食品生产隐患上报服务，自动生成报告编号和PDF，支持企业填写上传至监管部门审核。为连锁企业总公司提供分公司年报上传情况查询，高亮标记未报送分公司。</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5.6主体责任落实</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主体责任落实模块，为无锡市工业产品产销企业提供便利，核准信息，排查隐患，推动企业落实责任。支持企业备案管理生产销售、质量安全人员、产品、制度信息，系统自动关联数据减轻压力。提供日管控、周排查、月调度记录服务，自动生成上报模板，减轻管理压力。</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5.7证照临期提醒服务</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通过政务短信的方式，为各类企业提供自定义期限内各类许可即将过期的提醒服务，避免过期、无证经营，减少异常情况。涵盖营业执照、食品生产、小作坊、经营许可，药品、化妆品生产许可，工业产品生产许可及特种设备生产许可等。</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6.统一身份认证平台升级</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于已建成的应用支撑平台，升级改造为统一身份认证平台，并与省统一身份认证平台实现用户体系的互联互通、单点登录。与省统一身份认证平台同步，实现应用架构、应用界面的全面升级，并支持为其他业务系统提供用户登录身份认证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6.1统一机构用户管理升级</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本项目将升级无锡市市场监管局全数据归集平台的部分功能，统一管理各单位机构部门及用户信息。统一机构用户管理实现集中化服务，涵盖机构、部门、用户等一体化管理，统一配置基础资源，各软件使用系统权限控制。支持接口导入成员单位内部组织信息，实现实时同步。组织机构、岗位、用户组属性可灵活配置扩展，支持多种控件类型。</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6.2统一权限管理升级</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于无锡市市场监管局全数据归集平台，升级角色、权限管理功能，支持各应用系统角色权限定义。统一授权管理含功能、角色、分层/精确/复制授权等，统一管理业务应用权限。权限管理功能实现访问控制，创建角色权限，分配用户角色。应用系统定义资源，创建角色集并赋予资源，进行鉴权。</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6.3统一登录入口开发</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提供统一登录入口：页面嵌入式整合新系统，外部链接式链接遗留系统。新系统用OAuth2认证协议登录，可“挂接”到统一门户。预留系统采用“无侵入”集成，降低改造成本，实现0改造统一入口，避免重复登录。</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6.4统一身份认证升级</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于无锡市市场监管局全数据归集平台，升级内部用户身份认证，支持各单位用户一套账号访问各应用系统。使用统一身份认证服务支撑法人主体登录。提供业务系统单点登录登出，实现用户一次登录访问各系统资源。</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6.5江苏省统一身份认证平台对接</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无锡市统一身份认证平台与江苏省统一身份认证平台进行对接，实现两个平台间机构信息、用户信息的实时无缝同步。</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7.一体化智慧应用门户</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建设无锡市市场监管局一体化智慧门户，整合三级业务系统，统一登录入口。支持用户收藏常用系统于“我的应用”，实现快速访问，减轻使用负担。</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7.1应用门户建设</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建设无锡市市场监管局统一的一体化智慧应用门户，归集整合市场监管领域国家、省、市三个层级的业务系统，由一个门口入口统管所有业务系统的登录。</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7.2我的应用</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支持每个用户通过门户对常用系统进行收藏，收藏过的系统会出现在“我的应用”中，用户通过“我的应用”即可实现对常用系统的快速访问，切实减轻使用负担。</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8与省局政务通实现互联互通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的互联互通，针对食品生产、食品经营、药品与化妆品、医疗器械经营、疫苗监管、特种设备监督、工业产品等各类监管任务数据，实现任务信息、检查结果等信息的互联互通。</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8.1检查任务数据互联互通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实现一体化综合监管平台与省局政务通之间检查任务数据的互联互通，相关数据以每分钟/次的速度进行双向交互，为监管人员提供无感式的数据服务。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8.2食品生产企业检查数据合规性校验</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根据食品生产企业的业务数据规范，对一体化综合监管平台推送给省局政务通的数据进行合规性校验，保证推送的数据符合规范，对不符合合规要求的数据进行校验，并判断展示不合规原因。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8.3食品生产企业检查事项数据互联互通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实现一体化综合监管平台与省局政务通之间食品生产企业检查事项数据的互联互通，相关数据以每分钟/次的速度进行双向交互，为监管人员提供无感式的数据服务。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8.4食品生产企业检查结果数据互联互通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实现一体化综合监管平台与省局政务通之间食品生产企业检查结果数据的互联互通，相关数据以每分钟/次的速度进行双向交互，为监管人员提供无感式的数据服务。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8.5食品经营企业检查数据合规性校验</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根据食品经营企业的业务数据规范，对一体化综合监管平台推送给省局政务通的数据进行合规性校验，保证推送的数据符合规范，对不符合合规要求的数据进行校验，并判断展示不合规原因。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8.6食品经营企业检查事项数据互联互通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实现一体化综合监管平台与省局政务通之间食品经营企业检查事项数据的互联互通，相关数据以每分钟/次的速度进行双向交互，为监管人员提供无感式的数</w:t>
      </w:r>
      <w:r>
        <w:rPr>
          <w:rFonts w:hint="eastAsia"/>
          <w:color w:val="000000" w:themeColor="text1"/>
          <w:sz w:val="24"/>
          <w:szCs w:val="24"/>
          <w:highlight w:val="none"/>
        </w:rPr>
        <w:t xml:space="preserve">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8.7食品经营企业检查结果数据互联互通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实现一体化综合监管平台与省局政务通之间食品经营企业检查结果数据的互联互通，相关数据以每分钟/次的速度进行双向交互，为监管人员提供无感式的数据服务。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8.8药化企业检查数据合规性校验</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根据药化企业的业务数据规范，对一体化综合监管平台推送给省局政务通的数据进行合规性校验，保证推送的数据符合规范，对不符合合规要求的数据进行校验，并判断展示不合规原因。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8.9药化企业检查事项数据互联互通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实现一体化综合监管平台与省局政务通之间药化企业检查事项数据的互联互通，相关数据以每分钟/次的速度进行双向交互，为监管人员提供无感式的数据服务。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8.10药化企业检查结果数据互联互通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实现一体化综合监管平台与省局政务通之间药化企业检查结果数据的互联互通，相关数据以每分钟/次的速度进行双向交互，为监管人员提供无感式的数据服务。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8.11医疗器械经营企业检查数据合规性校验</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根据医疗器械经营企业的业务数据规范，对一体化综合监管平台推送给省局政务通的数据进行合规性校验，保证推送的数据符合规范，对不符合合规要求的数据进行校验，并判断展示不合规原因。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8.12医疗器械经营企业检查事项数据互联互通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实现一体化综合监管平台与省局政务通之间医疗器械经营企业检查事项数据的互联互通，相关数据以每分钟/次的速度进行双向交互，为监管人员提供无感式的数据服务。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8.13医疗器械经营企业检查结果数据互联互通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实现一体化综合监管平台与省局政务通之间医疗器械经营企业检查事项数据的互联互通，相关数据以每分钟/次的速度进行双向交互，为监管人员提供无感式的数据服务。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8.14疫苗使用及接种单位检查数据合规性校验</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根据疫苗使用及接种单位的业务数据规范，对一体化综合监管平台推送给省局政务通的数据进行合规性校验，保证推送的数据符合规范，对不符合合规要求的数据进行校验，并判断展示不合规原因。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8.15疫苗使用及接种单位检查事项数据互联互通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实现一体化综合监管平台与省局政务通之间疫苗使用及接种单位检查事项数据的互联互通，相关数据以每分钟/次的速度进行双向交互，为监管人员提供无感式的数据服务。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8.16疫苗使用及接种单位检查结果数据互联互通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实现一体化综合监管平台与省局政务通之间疫苗使用及接种单位检查结果数据的互联互通，相关数据以每分钟/次的速度进行双向交互，为监管人员提供无感式的数据服务。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8.17特种设备安全企业检查数据合规性校验</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根据特种设备安全企业的业务数据规范，对一体化综合监管平台推送给省局政务通的数据进行合规性校验，保证推送的数据符合规范，对不符合合规要求的数据进行校验，并判断展示不合规原因。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8.18特种设备安全企业检查事项数据互联互通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实现一体化综合监管平台与省局政务通之间特种设备安全企业检查事项数据的互联互通，相关数据以每分钟/次的速度进行双向交互，为监管人员提供无感式的数据服务。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8.19特种设备安全企业检查结果数据互联互通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实现一体化综合监管平台与省局政务通之间特种设备安全企业检查事项数据的互联互通，相关数据以每分钟/次的速度进行双向交互，为监管人员提供无感式的数据服务。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8.20重点工业产品生产企业检查数据合规性校验</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根据重点工业产品生产企业的业务数据规范，对一体化综合监管平台推送给省局政务通的数据进行合规性校验，保证推送的数据符合规范，对不符合合规要求的数据进行校验，并判断展示不合规原因。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8.21重点工业产品生产企业检查事项数据互联互通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实现一体化综合监管平台与省局政务通之间重点工业产品生产企业检查事项数据的互联互通，相关数据以每分钟/次的速度进行双向交互，为监管人员提供无感式的数据服务。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8.22重点工业产品生产企业检查结果数据互联互通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实现一体化综合监管平台与省局政务通之间重点工业产品生产企业检查结果数据的互联互通，相关数据以每分钟/次的速度进行双向交互，为监管人员提供无感式的数据服务。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8.23工业产品生产销售企业检查数据合规性校验</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根据工业产品生产销售企业的业务数据规范，对一体化综合监管平台推送给省局政务通的数据进行合规性校验，保证推送的数据符合规范，对不符合合规要求的数据进行校验，并判断展示不合规原因。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8.24工业产品生产销售企业检查事项数据互联互通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实现一体化综合监管平台与省局政务通之间工业产品生产销售企业检查事项数据的互联互通，相关数据以每分钟/次的速度进行双向交互，为监管人员提供无感式的数据服务。</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8.25工业产品生产销售企业检查结果数据互联互通</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实现一体化综合监管平台与省局政务通之间工业产品生产销售企业检查结果数据的互联互通，相关数据以每分钟/次的速度进行双向交互，为监管人员提供无感式的数据服务。</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9.驾驶舱升级</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升级市场监管大数据中心驾驶舱，从营商环境、市场秩序、安全监管、质量提升、执法稽查等多个角度分析建设精细专项数据模型，可视化展示分析结果，帮助领导决策。建立市、区县、分局三层业务、进度、风险预警一屏展示系统，实时反映市场监管动态、监管工作和风险研判。</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9.1新登记经营主体分析大屏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于市场监管大数据，对新登记经营主体进行多维度可视化分析，帮助监管部门决策。分析包括：总体及企业、个体工商户、农民专业合作社数量；类型结构；行业分布及热点、新兴行业趋势；地域分布及区域发展差异；增长趋势及影响因素。</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9.2退出经营主体分析大屏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基于市场监管大数据，对退出经营主体进行多维度可视化分析，帮助监管部门决策。分析包括：退出数量与趋势、类型与原因、行业分布与特点、地域分布与差异。</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9.3迁入迁出经营主体分析大屏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于市场监管大数据，对迁入迁出经营主体进行多维度可视化分析，帮助监管部门决策。分析涵盖：迁入数量与趋势、行业分布与特点、来源地与目的地、规模与类型；迁出数量与趋势、行业分布与特点、目的地与原因、规模与类型。</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9.4企业生命周期分析大屏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基于市场监管大数据，对经营主体生命周期进行多维度可视化分析，帮助监管部门决策。分析包括平均生命年限和生命年限分布，评估市场成熟度、企业存活能力及生存状态。</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9.5重点产业经营主体监测大屏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基于市场监管大数据，对重点产业经营主体进行多维度可视化分析，帮助监管部门决策。分析涵盖规模结构、经营状况与财务指标，评估产业发展态势、竞争格局及经营主体竞争力。</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9.6高成长高衰减行业监测大屏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基于市场监管大数据，对高成长高衰减行业经营主体进行多维度可视化分析，帮助监管部门决策。分析包括行业增长率与波动性、技术创新与迭代速度，评估扩张趋势、稳定性及创新影响。</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9.7市级一屏览全局</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市级需建业务总览、工作进度、风险预警三张屏。业务总览帮助市级监管人员全面了解市场情况，快速决策处置；工作进度屏帮助三级监管人员掌握工作进展，优化资源配置；风险预警屏帮助市级监管人员全面了解风险，及时应对，降低市场冲击。</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9.7.1 业务总览一张屏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业务总览一张屏，以可视化大屏的形式，让市级监管人员能够全面了解全市市场监管的各项业务情况，通过对市场监管数据的实时监控和分析，及时发现市场中的异常情况，如违法违规行为、食品安全问题等。实现快速决策和高效处置，提升市场监管的透明度和公正性，促进市场的健康发展。</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9.7.2工作进度一张屏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工作进度一张屏，以可视化大屏的形式，让市三级监管人员都能够全面了解全市市场监管的各项工作进度情况，帮助监管人员实时掌握进展情况，提高监管效率。其次，通过直观的数据展示和进度分析，可以帮助监管人员及时发现问题、调整策略、优化资源配置，确保市场监管工作的顺利进行。</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9.7.3风险预警一张屏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风险预警一张屏，以可视化大屏的形式，让市级监管人员都能够全面了解全市市场监管的风险预警情况，如企业信用风险、产品质量监督风险、消费者投诉风险、舆情监测风险等，帮助监管人员及时发现、评估并应对市场风险，降低市场风险对市场的冲击和损失。</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9.8区县级一屏览全局</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立业务总览、工作进度、风险预警三张可视化大屏，帮助各区县监管人员全面了解业务、掌握进度、预警风险。实时监控数据，快速决策处置，提升透明度公正性；直观展示进度，优化资源配置；及时发现评估风险，降低市场冲击损失。</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9.8.1业务总览一张屏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业务总览一张屏，以可视化大屏的形式，让各区县级的监管人员能够全面了解本辖区市场监管的各项业务情况，通过对市场监管数据的实时监控和分析，及时发现市场中的异常情况，如违法违规行为、食品安全问题等。实现快速决策和高效处置，提升市场监管的透明度和公正性，促进市场的健康发展。</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9.8.2工作进度一张屏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工作进度一张屏，以可视化大屏的形式，让各区县级监管人员都能够全面了解本辖区市场监管的各项工作进度情况，帮助监管人员实时掌握进展情况，提高监管效率。其次，通过直观的数据展示和进度分析，可以帮助监管人员及时发现问题、调整策略、优化资源配置，确保市场监管工作的顺利进行。</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9.8.3风险预警一张屏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风险预警一张屏，以可视化大屏的形式，让各区县级监管人员都能够全面了解本辖区市场监管的风险预警情况，如企业信用风险、产品质量监督风险、消费者投诉风险、舆情监测风险等，帮助监管人员及时发现、评估并应对市场风险，降低市场风险对市场的冲击和损失。</w:t>
      </w:r>
      <w:r>
        <w:rPr>
          <w:color w:val="000000" w:themeColor="text1"/>
          <w:highlight w:val="none"/>
        </w:rPr>
      </w:r>
      <w:r/>
    </w:p>
    <w:p>
      <w:pPr>
        <w:pStyle w:val="890"/>
        <w:ind w:firstLine="482"/>
        <w:rPr>
          <w:color w:val="000000" w:themeColor="text1"/>
          <w:sz w:val="24"/>
          <w:szCs w:val="24"/>
          <w:highlight w:val="none"/>
        </w:rPr>
      </w:pPr>
      <w:r>
        <w:rPr>
          <w:rFonts w:hint="eastAsia"/>
          <w:color w:val="000000" w:themeColor="text1"/>
          <w:sz w:val="24"/>
          <w:szCs w:val="24"/>
          <w:highlight w:val="none"/>
        </w:rPr>
        <w:t xml:space="preserve">9.9分局级一屏览全局</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业务总览、工作进度、风险预警三张可视化大屏，帮助各分局监管人员全面了解业务、掌握进度、预警风险。实时监控数据，快速决策处置，提升透明度公正性；直观展示进度，优化资源配置；预警市场风险，降低冲击损失。</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9.9.1业务总览一张屏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业务总览一张屏，以可视化大屏的形式，让各分局的监管人员能够全面了解本辖区市场监管的各项业务情况，通过对市场监管数据的实时监控和分析，及时发现市场中的异常情况，如违法违规行为、食品安全问题等。实现快速决策和高效处置，提升市场监管的透明度和公正性，促进市场的健康发展。</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9.9.2工作进度一张屏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工作进度一张屏，以可视化大屏的形式，让各分局监管人员都能够全面了解本辖区市场监管的各项工作进度情况，帮助监管人员实时掌握进展情况，提高监管效率。其次，通过直观的数据展示和进度分析，可以帮助监管人员及时发现问题、调整策略、优化资源配置，确保市场监管工作的顺利进行。</w:t>
      </w:r>
      <w:r>
        <w:rPr>
          <w:color w:val="000000" w:themeColor="text1"/>
          <w:highlight w:val="none"/>
        </w:rPr>
      </w:r>
      <w:r/>
    </w:p>
    <w:p>
      <w:pPr>
        <w:pStyle w:val="891"/>
        <w:ind w:firstLine="482"/>
        <w:rPr>
          <w:color w:val="000000" w:themeColor="text1"/>
          <w:highlight w:val="none"/>
        </w:rPr>
      </w:pPr>
      <w:r>
        <w:rPr>
          <w:rFonts w:hint="eastAsia"/>
          <w:color w:val="000000" w:themeColor="text1"/>
          <w:highlight w:val="none"/>
        </w:rPr>
        <w:t xml:space="preserve">9.9.3风险预警一张屏</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建设风险预警一张屏，以可视化大屏的形式，让各分局监管人员都能够全面了解本辖区市场监管的风险预警情况，如企业信用风险、产品质量监督风险、消费者投诉风险、舆情监测风险等，帮助监管人员及时发现、评估并应对市场风险，降低市场风险对市场的冲击和损失。</w:t>
      </w:r>
      <w:r>
        <w:rPr>
          <w:color w:val="000000" w:themeColor="text1"/>
          <w:highlight w:val="none"/>
        </w:rPr>
      </w:r>
      <w:r/>
    </w:p>
    <w:p>
      <w:pPr>
        <w:pStyle w:val="888"/>
        <w:ind w:firstLine="482"/>
        <w:rPr>
          <w:color w:val="000000" w:themeColor="text1"/>
          <w:sz w:val="24"/>
          <w:szCs w:val="24"/>
          <w:highlight w:val="none"/>
        </w:rPr>
      </w:pPr>
      <w:r>
        <w:rPr>
          <w:rFonts w:hint="eastAsia"/>
          <w:color w:val="000000" w:themeColor="text1"/>
          <w:sz w:val="24"/>
          <w:szCs w:val="24"/>
          <w:highlight w:val="none"/>
        </w:rPr>
        <w:t xml:space="preserve">（三）密码安全应用建设要求</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1.密码应用技术框架</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需要</w:t>
      </w:r>
      <w:r>
        <w:rPr>
          <w:color w:val="000000" w:themeColor="text1"/>
          <w:sz w:val="24"/>
          <w:szCs w:val="24"/>
          <w:highlight w:val="none"/>
        </w:rPr>
        <w:t xml:space="preserve">覆盖授权用户身份鉴别，业务访问通道和运维管理通道的数据传输机密性与完整性保护，运维人员身份鉴别，数据存储的机密性与完整性保护。从物理和环境安全、网络和通信安全、设备和计算安全、应用和数据安全层面，进行密码应用</w:t>
      </w:r>
      <w:r>
        <w:rPr>
          <w:rFonts w:hint="eastAsia"/>
          <w:color w:val="000000" w:themeColor="text1"/>
          <w:sz w:val="24"/>
          <w:szCs w:val="24"/>
          <w:highlight w:val="none"/>
        </w:rPr>
        <w:t xml:space="preserve">框架建设</w:t>
      </w:r>
      <w:r>
        <w:rPr>
          <w:color w:val="000000" w:themeColor="text1"/>
          <w:sz w:val="24"/>
          <w:szCs w:val="24"/>
          <w:highlight w:val="none"/>
        </w:rPr>
        <w:t xml:space="preserve">。</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2.计算平台密码安全保障</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需要从物理和环境安全、网络和通信安全、设备和计算安全三个方面保证计算平台的密码安全。</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3.密码支撑平台</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在无锡市政务云环境下部署建设密码支撑平台，平台需要从部署方式、接入方式、接入计算平台的方式、密码支撑方式、密钥管理方式、安全性设计、密码功能、密码算法、接口和功能遵循标准上符合国家、省、市相关安全标准与要求。</w:t>
      </w:r>
      <w:r>
        <w:rPr>
          <w:color w:val="000000" w:themeColor="text1"/>
          <w:highlight w:val="none"/>
        </w:rPr>
      </w:r>
      <w:r/>
    </w:p>
    <w:p>
      <w:pPr>
        <w:pStyle w:val="889"/>
        <w:ind w:firstLine="482"/>
        <w:rPr>
          <w:color w:val="000000" w:themeColor="text1"/>
          <w:sz w:val="24"/>
          <w:szCs w:val="24"/>
          <w:highlight w:val="none"/>
        </w:rPr>
      </w:pPr>
      <w:r>
        <w:rPr>
          <w:rFonts w:hint="eastAsia"/>
          <w:color w:val="000000" w:themeColor="text1"/>
          <w:sz w:val="24"/>
          <w:szCs w:val="24"/>
          <w:highlight w:val="none"/>
        </w:rPr>
        <w:t xml:space="preserve">4.业务系统应用的密码应用方案</w:t>
      </w:r>
      <w:r>
        <w:rPr>
          <w:color w:val="000000" w:themeColor="text1"/>
          <w:highlight w:val="none"/>
        </w:rPr>
      </w:r>
      <w:r/>
    </w:p>
    <w:p>
      <w:pPr>
        <w:pStyle w:val="885"/>
        <w:ind w:firstLine="480"/>
        <w:rPr>
          <w:color w:val="000000" w:themeColor="text1"/>
          <w:sz w:val="24"/>
          <w:szCs w:val="24"/>
          <w:highlight w:val="none"/>
        </w:rPr>
      </w:pPr>
      <w:r>
        <w:rPr>
          <w:rFonts w:hint="eastAsia"/>
          <w:color w:val="000000" w:themeColor="text1"/>
          <w:sz w:val="24"/>
          <w:szCs w:val="24"/>
          <w:highlight w:val="none"/>
        </w:rPr>
        <w:t xml:space="preserve">密码应用在业务系统中时，需要从业务对象保护、身份鉴别、访问控制信息完整性保护、审计日志保护、</w:t>
      </w:r>
      <w:bookmarkStart w:id="193" w:name="_Toc28921"/>
      <w:r>
        <w:rPr>
          <w:rFonts w:hint="eastAsia"/>
          <w:color w:val="000000" w:themeColor="text1"/>
          <w:sz w:val="24"/>
          <w:szCs w:val="24"/>
          <w:highlight w:val="none"/>
        </w:rPr>
        <w:t xml:space="preserve">数据传输机密性及完整性保护</w:t>
      </w:r>
      <w:bookmarkEnd w:id="193"/>
      <w:r>
        <w:rPr>
          <w:rFonts w:hint="eastAsia"/>
          <w:color w:val="000000" w:themeColor="text1"/>
          <w:sz w:val="24"/>
          <w:szCs w:val="24"/>
          <w:highlight w:val="none"/>
        </w:rPr>
        <w:t xml:space="preserve">、数据传输机密性及完整性保护角度出发，确保业务系统应用的密码安全。</w:t>
      </w:r>
      <w:r>
        <w:rPr>
          <w:color w:val="000000" w:themeColor="text1"/>
          <w:highlight w:val="none"/>
        </w:rPr>
      </w:r>
      <w:r/>
    </w:p>
    <w:p>
      <w:pPr>
        <w:pStyle w:val="888"/>
        <w:ind w:firstLine="482"/>
        <w:rPr>
          <w:color w:val="000000" w:themeColor="text1"/>
          <w:sz w:val="24"/>
          <w:szCs w:val="24"/>
          <w:highlight w:val="none"/>
        </w:rPr>
      </w:pPr>
      <w:r>
        <w:rPr>
          <w:rFonts w:hint="eastAsia"/>
          <w:color w:val="000000" w:themeColor="text1"/>
          <w:sz w:val="24"/>
          <w:szCs w:val="24"/>
          <w:highlight w:val="none"/>
        </w:rPr>
        <w:t xml:space="preserve">（四）系统安全要求</w:t>
      </w:r>
      <w:r>
        <w:rPr>
          <w:color w:val="000000" w:themeColor="text1"/>
          <w:highlight w:val="none"/>
        </w:rPr>
      </w:r>
      <w:r/>
    </w:p>
    <w:p>
      <w:pPr>
        <w:pStyle w:val="885"/>
        <w:ind w:firstLine="480"/>
        <w:spacing w:line="580" w:lineRule="exact"/>
        <w:rPr>
          <w:rFonts w:cs="仿宋_GB2312"/>
          <w:color w:val="000000" w:themeColor="text1"/>
          <w:sz w:val="24"/>
          <w:szCs w:val="24"/>
          <w:highlight w:val="none"/>
        </w:rPr>
      </w:pPr>
      <w:r>
        <w:rPr>
          <w:rFonts w:hint="eastAsia" w:cs="仿宋_GB2312"/>
          <w:color w:val="000000" w:themeColor="text1"/>
          <w:sz w:val="24"/>
          <w:szCs w:val="24"/>
          <w:highlight w:val="none"/>
        </w:rPr>
        <w:t xml:space="preserve">系统平台应符合网络安全保障体系相关标准规范和市场监管有关安全管理要求，系统应符合国家信息化系统相关标准规范和市场监管领域数据规范要求，保证系统数据的完整性。根据国家标准，要求整体平台网络安全能通过网络安全二级以上等保要求。</w:t>
      </w:r>
      <w:r>
        <w:rPr>
          <w:color w:val="000000" w:themeColor="text1"/>
          <w:highlight w:val="none"/>
        </w:rPr>
      </w:r>
      <w:r/>
    </w:p>
    <w:p>
      <w:pPr>
        <w:pStyle w:val="888"/>
        <w:ind w:firstLine="482"/>
        <w:rPr>
          <w:color w:val="000000" w:themeColor="text1"/>
          <w:sz w:val="24"/>
          <w:szCs w:val="24"/>
          <w:highlight w:val="none"/>
        </w:rPr>
      </w:pPr>
      <w:r>
        <w:rPr>
          <w:rFonts w:hint="eastAsia"/>
          <w:color w:val="000000" w:themeColor="text1"/>
          <w:sz w:val="24"/>
          <w:szCs w:val="24"/>
          <w:highlight w:val="none"/>
        </w:rPr>
        <w:t xml:space="preserve">（五）系统安全要求</w:t>
      </w:r>
      <w:r>
        <w:rPr>
          <w:color w:val="000000" w:themeColor="text1"/>
          <w:highlight w:val="none"/>
        </w:rPr>
      </w:r>
      <w:r/>
    </w:p>
    <w:p>
      <w:pPr>
        <w:pStyle w:val="888"/>
        <w:ind w:firstLine="480"/>
        <w:spacing w:before="0" w:after="0" w:line="360" w:lineRule="auto"/>
        <w:rPr>
          <w:rFonts w:ascii="宋体" w:hAnsi="宋体" w:cs="方正楷体_GBK"/>
          <w:b w:val="0"/>
          <w:bCs w:val="0"/>
          <w:color w:val="000000" w:themeColor="text1"/>
          <w:sz w:val="24"/>
          <w:szCs w:val="24"/>
          <w:highlight w:val="none"/>
        </w:rPr>
      </w:pPr>
      <w:r>
        <w:rPr>
          <w:rFonts w:hint="eastAsia" w:ascii="宋体" w:hAnsi="宋体" w:cs="方正楷体_GBK"/>
          <w:b w:val="0"/>
          <w:bCs w:val="0"/>
          <w:color w:val="000000" w:themeColor="text1"/>
          <w:sz w:val="24"/>
          <w:szCs w:val="24"/>
          <w:highlight w:val="none"/>
          <w:lang w:eastAsia="en-US"/>
        </w:rPr>
        <w:t xml:space="preserve">（</w:t>
      </w:r>
      <w:r>
        <w:rPr>
          <w:rFonts w:hint="eastAsia" w:ascii="宋体" w:hAnsi="宋体" w:cs="方正楷体_GBK"/>
          <w:b w:val="0"/>
          <w:bCs w:val="0"/>
          <w:color w:val="000000" w:themeColor="text1"/>
          <w:sz w:val="24"/>
          <w:szCs w:val="24"/>
          <w:highlight w:val="none"/>
        </w:rPr>
        <w:t xml:space="preserve">六</w:t>
      </w:r>
      <w:r>
        <w:rPr>
          <w:rFonts w:hint="eastAsia" w:ascii="宋体" w:hAnsi="宋体" w:cs="方正楷体_GBK"/>
          <w:b w:val="0"/>
          <w:bCs w:val="0"/>
          <w:color w:val="000000" w:themeColor="text1"/>
          <w:sz w:val="24"/>
          <w:szCs w:val="24"/>
          <w:highlight w:val="none"/>
          <w:lang w:eastAsia="en-US"/>
        </w:rPr>
        <w:t xml:space="preserve">）性能要求</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考虑到系统的整体规范、方便易用、稳定可靠等特性，在项目建设上对系统提出如下需求：</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1.可用性</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系统能使用IE浏览器、360浏览器等当前国内用户常用浏览器。系统能够完成所要求的所有功能操作，同时具有良好的运行速度</w:t>
      </w:r>
      <w:r>
        <w:rPr>
          <w:rFonts w:hint="eastAsia" w:ascii="宋体" w:hAnsi="宋体"/>
          <w:color w:val="000000" w:themeColor="text1"/>
          <w:sz w:val="24"/>
          <w:szCs w:val="24"/>
          <w:highlight w:val="none"/>
        </w:rPr>
        <w:t xml:space="preserve">，具</w:t>
      </w:r>
      <w:r>
        <w:rPr>
          <w:rFonts w:ascii="宋体" w:hAnsi="宋体"/>
          <w:color w:val="000000" w:themeColor="text1"/>
          <w:sz w:val="24"/>
          <w:szCs w:val="24"/>
          <w:highlight w:val="none"/>
          <w:lang w:eastAsia="en-US"/>
        </w:rPr>
        <w:t xml:space="preserve">有较高的数据承载能力，在网络稳定的环境下</w:t>
      </w:r>
      <w:r>
        <w:rPr>
          <w:rFonts w:hint="eastAsia" w:ascii="宋体" w:hAnsi="宋体"/>
          <w:color w:val="000000" w:themeColor="text1"/>
          <w:sz w:val="24"/>
          <w:szCs w:val="24"/>
          <w:highlight w:val="none"/>
        </w:rPr>
        <w:t xml:space="preserve">操作</w:t>
      </w:r>
      <w:r>
        <w:rPr>
          <w:rFonts w:ascii="宋体" w:hAnsi="宋体"/>
          <w:color w:val="000000" w:themeColor="text1"/>
          <w:sz w:val="24"/>
          <w:szCs w:val="24"/>
          <w:highlight w:val="none"/>
          <w:lang w:eastAsia="en-US"/>
        </w:rPr>
        <w:t xml:space="preserve">界面单一操作（500用户）的系统响应时间小于2秒，复杂操作（500用户）的系统响应时间小于5秒；整个系统平均年故障时间应控制在8小时以内，即可用性达到99.9%，操作平均响应时间不超过3秒。</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2.稳定（可靠）性</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数据的定期安全备份，防止误操作，权限设置合理，网络、数据安全，有完善的灾难应急功能和恢复能力，系统应提供7×24小时的连续运行，平均故障修复时间：&lt;30分钟；各业务系统对用户的操作顺序、输入的数据进行正确性检查，并以显著方式提示错误信息。系统需有出错处理机制，当系统运行过程中发生错误时，系统将明确提示错误信息并指导用户按照系统错误处理手册进行处理。系统应提供运行监视和故障恢复机制，建立系统运行日志文件，能跟踪系统的所有操作。系统配备软件异常处理措施。</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3.易用性</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系统用户界面友好，主页满足个性化设置，功能模块可根据用户角色不同、用户的工作任务不同而实现自由定制。系统使用操作简便。操作人员对照使用说明书就可操作，或者略经培训就可方便操作；通过提供下拉菜单、弹出页面等多种展现方式的快捷方式，减少用户机械操作。对于常用不变的数据项、重复数据项、可枚举的数据项、自动产生的数据项，设置为缺省值或自动提供，以减少用户录入。</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4.可维护性</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易于管理，系统维护方便，能够方便快速</w:t>
      </w:r>
      <w:r>
        <w:rPr>
          <w:rFonts w:hint="eastAsia" w:ascii="宋体" w:hAnsi="宋体"/>
          <w:color w:val="000000" w:themeColor="text1"/>
          <w:sz w:val="24"/>
          <w:szCs w:val="24"/>
          <w:highlight w:val="none"/>
        </w:rPr>
        <w:t xml:space="preserve">地</w:t>
      </w:r>
      <w:r>
        <w:rPr>
          <w:rFonts w:ascii="宋体" w:hAnsi="宋体"/>
          <w:color w:val="000000" w:themeColor="text1"/>
          <w:sz w:val="24"/>
          <w:szCs w:val="24"/>
          <w:highlight w:val="none"/>
          <w:lang w:eastAsia="en-US"/>
        </w:rPr>
        <w:t xml:space="preserve">将</w:t>
      </w:r>
      <w:r>
        <w:rPr>
          <w:rFonts w:hint="eastAsia" w:ascii="宋体" w:hAnsi="宋体"/>
          <w:color w:val="000000" w:themeColor="text1"/>
          <w:sz w:val="24"/>
          <w:szCs w:val="24"/>
          <w:highlight w:val="none"/>
        </w:rPr>
        <w:t xml:space="preserve">数据传入</w:t>
      </w:r>
      <w:r>
        <w:rPr>
          <w:rFonts w:ascii="宋体" w:hAnsi="宋体"/>
          <w:color w:val="000000" w:themeColor="text1"/>
          <w:sz w:val="24"/>
          <w:szCs w:val="24"/>
          <w:highlight w:val="none"/>
          <w:lang w:eastAsia="en-US"/>
        </w:rPr>
        <w:t xml:space="preserve">系统，系统必须是构件化、面向对象的，可做到灵活扩展。提供服务器系统管理与维护、操作系统管理与维护、应用系统软件管理与维护、数据库管理与维护以及数据库备份、应用系统备份、灾难事件处理与解决实施方案等。为系统中多个功能平台提供可视化的管理界面，允许部分用户进行设置。</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5.可扩展性</w:t>
      </w:r>
      <w:r>
        <w:rPr>
          <w:color w:val="000000" w:themeColor="text1"/>
          <w:highlight w:val="none"/>
        </w:rPr>
      </w:r>
      <w:r/>
    </w:p>
    <w:p>
      <w:pPr>
        <w:pStyle w:val="885"/>
        <w:ind w:firstLine="480"/>
        <w:rPr>
          <w:color w:val="000000" w:themeColor="text1"/>
          <w:sz w:val="24"/>
          <w:szCs w:val="24"/>
          <w:highlight w:val="none"/>
        </w:rPr>
      </w:pPr>
      <w:r>
        <w:rPr>
          <w:rFonts w:ascii="宋体" w:hAnsi="宋体"/>
          <w:color w:val="000000" w:themeColor="text1"/>
          <w:sz w:val="24"/>
          <w:szCs w:val="24"/>
          <w:highlight w:val="none"/>
          <w:lang w:eastAsia="en-US"/>
        </w:rPr>
        <w:t xml:space="preserve">系统在设计过程中充分考虑可扩充性，能根据技术发展和业务需求增加不断升级扩展。系统充分考虑可能的扩展内容，为其提供接口。</w:t>
      </w:r>
      <w:r>
        <w:rPr>
          <w:color w:val="000000" w:themeColor="text1"/>
          <w:highlight w:val="none"/>
        </w:rPr>
      </w:r>
      <w:r/>
    </w:p>
    <w:p>
      <w:pPr>
        <w:pStyle w:val="888"/>
        <w:ind w:firstLine="482"/>
        <w:rPr>
          <w:color w:val="000000" w:themeColor="text1"/>
          <w:sz w:val="24"/>
          <w:szCs w:val="24"/>
          <w:highlight w:val="none"/>
        </w:rPr>
      </w:pPr>
      <w:r>
        <w:rPr>
          <w:rFonts w:hint="eastAsia"/>
          <w:color w:val="000000" w:themeColor="text1"/>
          <w:sz w:val="24"/>
          <w:szCs w:val="24"/>
          <w:highlight w:val="none"/>
        </w:rPr>
        <w:t xml:space="preserve">（七）服务期限、标准及要求</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本项目建设周期要求为</w:t>
      </w:r>
      <w:r>
        <w:rPr>
          <w:rFonts w:hint="eastAsia" w:ascii="宋体" w:hAnsi="宋体"/>
          <w:color w:val="000000" w:themeColor="text1"/>
          <w:sz w:val="24"/>
          <w:szCs w:val="24"/>
          <w:highlight w:val="none"/>
        </w:rPr>
        <w:t xml:space="preserve">12</w:t>
      </w:r>
      <w:r>
        <w:rPr>
          <w:rFonts w:ascii="宋体" w:hAnsi="宋体"/>
          <w:color w:val="000000" w:themeColor="text1"/>
          <w:sz w:val="24"/>
          <w:szCs w:val="24"/>
          <w:highlight w:val="none"/>
          <w:lang w:eastAsia="en-US"/>
        </w:rPr>
        <w:t xml:space="preserve">个月，包含项目开发实施、试运行、竣工验收等。</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1</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lang w:eastAsia="en-US"/>
        </w:rPr>
        <w:t xml:space="preserve">项目实施要求</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项目软件质保期（免费运维服务期）为验收合格后三年，运维期间现场需配备</w:t>
      </w:r>
      <w:r>
        <w:rPr>
          <w:rFonts w:hint="eastAsia" w:ascii="宋体" w:hAnsi="宋体"/>
          <w:color w:val="000000" w:themeColor="text1"/>
          <w:sz w:val="24"/>
          <w:szCs w:val="24"/>
          <w:highlight w:val="none"/>
        </w:rPr>
        <w:t xml:space="preserve">6</w:t>
      </w:r>
      <w:r>
        <w:rPr>
          <w:rFonts w:ascii="宋体" w:hAnsi="宋体"/>
          <w:color w:val="000000" w:themeColor="text1"/>
          <w:sz w:val="24"/>
          <w:szCs w:val="24"/>
          <w:highlight w:val="none"/>
          <w:lang w:eastAsia="en-US"/>
        </w:rPr>
        <w:t xml:space="preserve">人运维团队，按照</w:t>
      </w:r>
      <w:r>
        <w:rPr>
          <w:rFonts w:hint="eastAsia" w:ascii="宋体" w:hAnsi="宋体"/>
          <w:color w:val="000000" w:themeColor="text1"/>
          <w:sz w:val="24"/>
          <w:szCs w:val="24"/>
          <w:highlight w:val="none"/>
        </w:rPr>
        <w:t xml:space="preserve">要求</w:t>
      </w:r>
      <w:r>
        <w:rPr>
          <w:rFonts w:ascii="宋体" w:hAnsi="宋体"/>
          <w:color w:val="000000" w:themeColor="text1"/>
          <w:sz w:val="24"/>
          <w:szCs w:val="24"/>
          <w:highlight w:val="none"/>
          <w:lang w:eastAsia="en-US"/>
        </w:rPr>
        <w:t xml:space="preserve">开展运维服务工作。</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质保期间的维护服务不收取任何额外费用，由成交供应商提供免费的软件维护服务、技术服务支持，包括系统维护、性能提升、故障检测等，并保证系统正常运行，如果软件功能变更超出项目范围的</w:t>
      </w:r>
      <w:r>
        <w:rPr>
          <w:rFonts w:hint="eastAsia" w:ascii="宋体" w:hAnsi="宋体"/>
          <w:color w:val="000000" w:themeColor="text1"/>
          <w:sz w:val="24"/>
          <w:szCs w:val="24"/>
          <w:highlight w:val="none"/>
        </w:rPr>
        <w:t xml:space="preserve">20%</w:t>
      </w:r>
      <w:r>
        <w:rPr>
          <w:rFonts w:ascii="宋体" w:hAnsi="宋体"/>
          <w:color w:val="000000" w:themeColor="text1"/>
          <w:sz w:val="24"/>
          <w:szCs w:val="24"/>
          <w:highlight w:val="none"/>
          <w:lang w:eastAsia="en-US"/>
        </w:rPr>
        <w:t xml:space="preserve">，按照工作量测算结果增加相应的服务费用。</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在项目验收后的服务期内，如因需要增加系统功能而产生的费用，双方另议；如果是软件设计漏洞或偏差，成交供应商必须及时修正，且不另收费用。</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成交供应商应提供实时在线的客户服务和现场服务。除驻场服务外，应具备灵活多样的通讯手段，提供7×24小时响应服务。实时解决常见问题。</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故障响应：成交供应商在接到系统故障报修要求时，半小时内做出明确响应和维护安排，在2小时内为建设单位提供维护服务，并做出故障诊断报告，3小时内恢复正常。</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热线服务：成交供应商应提供热线电话、E-mail、传真、网站等途径，随时接受建设单位提出的各种技术和使用问题，不能即时解决的问题要在1小时内提出解决方案。</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系统巡检：每月至少提供4次对系统进行巡检服务，及时发现和排除潜在问题或故障隐患，保证系统的稳定运行。</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系统升级：质保期内成交供应商应提供免费的系统软件升级服务。升级内容包括</w:t>
      </w:r>
      <w:r>
        <w:rPr>
          <w:rFonts w:hint="eastAsia" w:ascii="宋体" w:hAnsi="宋体"/>
          <w:color w:val="000000" w:themeColor="text1"/>
          <w:sz w:val="24"/>
          <w:szCs w:val="24"/>
          <w:highlight w:val="none"/>
        </w:rPr>
        <w:t xml:space="preserve">解决</w:t>
      </w:r>
      <w:r>
        <w:rPr>
          <w:rFonts w:ascii="宋体" w:hAnsi="宋体"/>
          <w:color w:val="000000" w:themeColor="text1"/>
          <w:sz w:val="24"/>
          <w:szCs w:val="24"/>
          <w:highlight w:val="none"/>
          <w:lang w:eastAsia="en-US"/>
        </w:rPr>
        <w:t xml:space="preserve">BUG、采纳用户建议以及业务需求调整实现的功能和其他内容。</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供应商应具备相关的售后服务体系，在承诺服务期内提供完善、及时、无推诿的应用软件等项目实施范围内的服务保障。</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2</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lang w:eastAsia="en-US"/>
        </w:rPr>
        <w:t xml:space="preserve">培训要求</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成交供应商必须提供相应的应用软件技术和系统操作等方面的培训内容。有关应用软件的操作培训课程，培训应该在本期项目验收完成前进行。</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成交供应商应提供面向系统管理员的应用软件系统结构、设计等方面的培训。项目实施入场，成交供应商将详细的培训课程以及时间表交给采购人，最后以采购人认可为准。</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成交供应商派出的培训教员应具有丰富的同类课程的教学经验和应用经验；所有的培训教员必须用中文授课；成交供应商必须为所有被培训人员提供培训用文字资料和讲义等相关材料。</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成交供应商须提供详细的培训计划，包括培训方案的设计、培训制度的制定、在系统运行（含试运行）的各个阶段相应的培训内容描述，培训效果评估，保证培训课程符合采购人实际的需要。需针对用户按照不同的角色安排不同的培训课程，如系统管理员、普通用户、领导等角色，同时成交供应商应考虑到市县两级用户的相应培训方案。</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培训方式包括课堂讲解、上机操作和实际工作的参与。</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3</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lang w:eastAsia="en-US"/>
        </w:rPr>
        <w:t xml:space="preserve">知识产权和保密要求 </w:t>
      </w:r>
      <w:r>
        <w:rPr>
          <w:color w:val="000000" w:themeColor="text1"/>
          <w:highlight w:val="none"/>
        </w:rPr>
      </w:r>
      <w:r/>
    </w:p>
    <w:p>
      <w:pPr>
        <w:pStyle w:val="885"/>
        <w:ind w:firstLine="480"/>
        <w:rPr>
          <w:rFonts w:ascii="宋体" w:hAnsi="宋体"/>
          <w:color w:val="000000" w:themeColor="text1"/>
          <w:sz w:val="24"/>
          <w:szCs w:val="24"/>
          <w:highlight w:val="none"/>
        </w:rPr>
      </w:pPr>
      <w:r>
        <w:rPr>
          <w:rFonts w:ascii="宋体" w:hAnsi="宋体"/>
          <w:color w:val="000000" w:themeColor="text1"/>
          <w:sz w:val="24"/>
          <w:szCs w:val="24"/>
          <w:highlight w:val="none"/>
          <w:lang w:eastAsia="en-US"/>
        </w:rPr>
        <w:t xml:space="preserve">本项目的最终用户为采购人，本项目所产生的知识产权归采购人独享，成交供应商必须提供项目的所有开发和技术文档。本</w:t>
      </w:r>
      <w:r>
        <w:rPr>
          <w:rFonts w:hint="eastAsia" w:ascii="宋体" w:hAnsi="宋体"/>
          <w:color w:val="000000" w:themeColor="text1"/>
          <w:sz w:val="24"/>
          <w:szCs w:val="24"/>
          <w:highlight w:val="none"/>
        </w:rPr>
        <w:t xml:space="preserve">项目</w:t>
      </w:r>
      <w:r>
        <w:rPr>
          <w:rFonts w:ascii="宋体" w:hAnsi="宋体"/>
          <w:color w:val="000000" w:themeColor="text1"/>
          <w:sz w:val="24"/>
          <w:szCs w:val="24"/>
          <w:highlight w:val="none"/>
          <w:lang w:eastAsia="en-US"/>
        </w:rPr>
        <w:t xml:space="preserve">采购的商业软件（含自主品牌），最终许可用户名为采购人。</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ascii="宋体" w:hAnsi="宋体"/>
          <w:color w:val="000000" w:themeColor="text1"/>
          <w:sz w:val="24"/>
          <w:szCs w:val="24"/>
          <w:highlight w:val="none"/>
          <w:lang w:eastAsia="en-US"/>
        </w:rPr>
        <w:t xml:space="preserve">供应商须承诺所提供的系统（含平台）不依赖于任何第三方商业平台或商业收费软件的支持和环境。</w:t>
      </w:r>
      <w:r>
        <w:rPr>
          <w:color w:val="000000" w:themeColor="text1"/>
          <w:highlight w:val="none"/>
        </w:rPr>
      </w:r>
      <w:r/>
    </w:p>
    <w:p>
      <w:pPr>
        <w:pStyle w:val="885"/>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5"/>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885"/>
        <w:ind w:firstLine="480"/>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color w:val="000000" w:themeColor="text1"/>
          <w:highlight w:val="none"/>
        </w:rPr>
      </w:r>
      <w:r/>
    </w:p>
    <w:p>
      <w:pPr>
        <w:pStyle w:val="885"/>
        <w:numPr>
          <w:ilvl w:val="1"/>
          <w:numId w:val="6"/>
        </w:numPr>
        <w:ind w:left="0" w:firstLine="480"/>
        <w:spacing w:line="360" w:lineRule="auto"/>
        <w:tabs>
          <w:tab w:val="left" w:pos="52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投标总报价包括满足本项目服务要求的从项目中标起到项目正式交付以及服务期内所发生的一切费用</w:t>
      </w:r>
      <w:r>
        <w:rPr>
          <w:color w:val="000000" w:themeColor="text1"/>
          <w:highlight w:val="none"/>
        </w:rPr>
      </w:r>
      <w:r/>
    </w:p>
    <w:p>
      <w:pPr>
        <w:pStyle w:val="885"/>
        <w:numPr>
          <w:ilvl w:val="1"/>
          <w:numId w:val="6"/>
        </w:numPr>
        <w:ind w:left="0" w:firstLine="480"/>
        <w:spacing w:line="360" w:lineRule="auto"/>
        <w:tabs>
          <w:tab w:val="left" w:pos="52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通过中国海关报关验放进入中国境内且产自中国境外的产品不在本项目的报价范围。</w:t>
      </w:r>
      <w:r>
        <w:rPr>
          <w:color w:val="000000" w:themeColor="text1"/>
          <w:highlight w:val="none"/>
        </w:rPr>
      </w:r>
      <w:r/>
    </w:p>
    <w:p>
      <w:pPr>
        <w:pStyle w:val="885"/>
        <w:numPr>
          <w:ilvl w:val="1"/>
          <w:numId w:val="6"/>
        </w:numPr>
        <w:ind w:left="0" w:firstLine="480"/>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color w:val="000000" w:themeColor="text1"/>
          <w:highlight w:val="none"/>
        </w:rPr>
      </w:r>
      <w:r/>
    </w:p>
    <w:p>
      <w:pPr>
        <w:pStyle w:val="885"/>
        <w:numPr>
          <w:ilvl w:val="1"/>
          <w:numId w:val="6"/>
        </w:numPr>
        <w:ind w:left="0" w:firstLine="480"/>
        <w:spacing w:line="360" w:lineRule="auto"/>
        <w:tabs>
          <w:tab w:val="left" w:pos="52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付款方式：自合同签订生效后一个月内支付30%合同款；项目验收合格后一个月内支付60%合同款；项目验收合格一年后支付10%合同款；</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本项目合同履行地点：无锡市，具体地点以合同书约定为准。中标方必须按采购人要求将本项目中货物送到指定地点</w:t>
      </w: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包括可能的分布范围</w:t>
      </w: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，并分地实施安装调试。</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pStyle w:val="885"/>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color w:val="000000" w:themeColor="text1"/>
          <w:highlight w:val="none"/>
        </w:rPr>
      </w:r>
      <w:r/>
    </w:p>
    <w:p>
      <w:pPr>
        <w:pStyle w:val="885"/>
        <w:spacing w:line="360" w:lineRule="auto"/>
        <w:rPr>
          <w:rFonts w:ascii="宋体"/>
          <w:bCs/>
          <w:color w:val="000000" w:themeColor="text1"/>
          <w:sz w:val="24"/>
          <w:szCs w:val="24"/>
          <w:highlight w:val="none"/>
        </w:rPr>
      </w:pPr>
      <w:r>
        <w:rPr>
          <w:rFonts w:ascii="宋体"/>
          <w:bCs/>
          <w:color w:val="000000" w:themeColor="text1"/>
          <w:sz w:val="24"/>
          <w:szCs w:val="24"/>
          <w:highlight w:val="none"/>
        </w:rPr>
        <w:t xml:space="preserve"> </w:t>
      </w:r>
      <w:r>
        <w:rPr>
          <w:color w:val="000000" w:themeColor="text1"/>
          <w:highlight w:val="none"/>
        </w:rPr>
      </w:r>
      <w:r/>
    </w:p>
    <w:p>
      <w:pPr>
        <w:pStyle w:val="885"/>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color w:val="000000" w:themeColor="text1"/>
          <w:highlight w:val="none"/>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highlight w:val="none"/>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color w:val="000000" w:themeColor="text1"/>
          <w:highlight w:val="none"/>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highlight w:val="none"/>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color w:val="000000" w:themeColor="text1"/>
          <w:highlight w:val="none"/>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color w:val="000000" w:themeColor="text1"/>
          <w:highlight w:val="none"/>
        </w:rPr>
      </w:r>
      <w:r/>
    </w:p>
    <w:p>
      <w:pPr>
        <w:pStyle w:val="885"/>
        <w:numPr>
          <w:ilvl w:val="1"/>
          <w:numId w:val="7"/>
        </w:numPr>
        <w:ind w:left="0" w:firstLine="525"/>
        <w:spacing w:line="360" w:lineRule="auto"/>
        <w:tabs>
          <w:tab w:val="left" w:pos="525" w:leader="none"/>
          <w:tab w:val="clear" w:pos="780"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color w:val="000000" w:themeColor="text1"/>
          <w:highlight w:val="none"/>
        </w:rPr>
      </w:r>
      <w:r/>
    </w:p>
    <w:p>
      <w:pPr>
        <w:pStyle w:val="885"/>
        <w:numPr>
          <w:ilvl w:val="1"/>
          <w:numId w:val="7"/>
        </w:numPr>
        <w:ind w:left="0" w:firstLine="480"/>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color w:val="000000" w:themeColor="text1"/>
          <w:highlight w:val="none"/>
        </w:rPr>
      </w:r>
      <w:r/>
    </w:p>
    <w:p>
      <w:pPr>
        <w:pStyle w:val="885"/>
        <w:numPr>
          <w:ilvl w:val="1"/>
          <w:numId w:val="7"/>
        </w:numPr>
        <w:ind w:left="0" w:firstLine="480"/>
        <w:spacing w:line="360" w:lineRule="auto"/>
        <w:tabs>
          <w:tab w:val="left" w:pos="525" w:leader="none"/>
          <w:tab w:val="clear" w:pos="780"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color w:val="000000" w:themeColor="text1"/>
          <w:highlight w:val="none"/>
        </w:rPr>
      </w:r>
      <w:r/>
    </w:p>
    <w:p>
      <w:pPr>
        <w:pStyle w:val="88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color w:val="000000" w:themeColor="text1"/>
          <w:highlight w:val="none"/>
        </w:rPr>
      </w:r>
      <w:r/>
    </w:p>
    <w:p>
      <w:pPr>
        <w:pStyle w:val="885"/>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rPr>
      </w:pPr>
      <w:r>
        <w:rPr>
          <w:rFonts w:ascii="宋体"/>
          <w:bCs/>
          <w:color w:val="000000" w:themeColor="text1"/>
          <w:sz w:val="24"/>
          <w:szCs w:val="24"/>
          <w:highlight w:val="none"/>
        </w:rPr>
        <w:br w:type="page" w:clear="all"/>
      </w:r>
      <w:bookmarkStart w:id="194" w:name="_Toc120614281"/>
      <w:r>
        <w:rPr>
          <w:rFonts w:hint="eastAsia" w:ascii="黑体" w:hAnsi="黑体" w:eastAsia="黑体"/>
          <w:bCs/>
          <w:color w:val="000000" w:themeColor="text1"/>
          <w:sz w:val="36"/>
          <w:szCs w:val="36"/>
          <w:highlight w:val="none"/>
        </w:rPr>
        <w:t xml:space="preserve">第五章  </w:t>
      </w:r>
      <w:r>
        <w:rPr>
          <w:rFonts w:hint="eastAsia" w:ascii="黑体" w:hAnsi="黑体" w:eastAsia="黑体"/>
          <w:b/>
          <w:bCs/>
          <w:color w:val="000000" w:themeColor="text1"/>
          <w:sz w:val="36"/>
          <w:szCs w:val="36"/>
          <w:highlight w:val="none"/>
        </w:rPr>
        <w:t xml:space="preserve">评标方法与评标标准</w:t>
      </w:r>
      <w:r>
        <w:rPr>
          <w:color w:val="000000" w:themeColor="text1"/>
          <w:highlight w:val="none"/>
        </w:rPr>
      </w:r>
      <w:r/>
    </w:p>
    <w:p>
      <w:pPr>
        <w:pStyle w:val="973"/>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color w:val="000000" w:themeColor="text1"/>
          <w:highlight w:val="none"/>
        </w:rPr>
      </w:r>
      <w:r/>
    </w:p>
    <w:p>
      <w:pPr>
        <w:pStyle w:val="973"/>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color w:val="000000" w:themeColor="text1"/>
          <w:highlight w:val="none"/>
        </w:rPr>
      </w:r>
      <w:r/>
    </w:p>
    <w:p>
      <w:pPr>
        <w:pStyle w:val="973"/>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color w:val="000000" w:themeColor="text1"/>
          <w:highlight w:val="none"/>
        </w:rPr>
      </w:r>
      <w:r/>
    </w:p>
    <w:p>
      <w:pPr>
        <w:pStyle w:val="973"/>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color w:val="000000" w:themeColor="text1"/>
          <w:highlight w:val="none"/>
        </w:rPr>
      </w:r>
      <w:r/>
    </w:p>
    <w:p>
      <w:pPr>
        <w:pStyle w:val="973"/>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000000" w:themeColor="text1"/>
          <w:highlight w:val="none"/>
        </w:rPr>
      </w:r>
      <w:r/>
    </w:p>
    <w:p>
      <w:pPr>
        <w:pStyle w:val="973"/>
        <w:spacing w:before="0" w:after="0" w:line="500" w:lineRule="exact"/>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rPr>
          <w:color w:val="000000" w:themeColor="text1"/>
          <w:highlight w:val="none"/>
        </w:rPr>
      </w:r>
      <w:r/>
    </w:p>
    <w:p>
      <w:pPr>
        <w:pStyle w:val="973"/>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color w:val="000000" w:themeColor="text1"/>
          <w:highlight w:val="none"/>
        </w:rPr>
      </w:r>
      <w:r/>
    </w:p>
    <w:p>
      <w:pPr>
        <w:pStyle w:val="885"/>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小微型企业价格扣除：专门面向中小/小微企业的项目不做价格扣除。</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highlight w:val="none"/>
        </w:rPr>
      </w:r>
      <w:r/>
    </w:p>
    <w:p>
      <w:pPr>
        <w:pStyle w:val="885"/>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color w:val="000000" w:themeColor="text1"/>
          <w:highlight w:val="none"/>
        </w:rPr>
      </w:r>
      <w:r/>
    </w:p>
    <w:p>
      <w:pPr>
        <w:pStyle w:val="885"/>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jc w:val="left"/>
        <w:spacing w:line="500" w:lineRule="exact"/>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color w:val="000000" w:themeColor="text1"/>
          <w:highlight w:val="none"/>
        </w:rPr>
      </w:r>
      <w:r/>
    </w:p>
    <w:p>
      <w:pPr>
        <w:pStyle w:val="973"/>
        <w:ind w:firstLine="360"/>
        <w:spacing w:before="0" w:after="0" w:line="500" w:lineRule="exact"/>
        <w:rPr>
          <w:rFonts w:hint="eastAsia" w:ascii="宋体" w:hAnsi="宋体"/>
          <w:color w:val="000000" w:themeColor="text1"/>
          <w:highlight w:val="none"/>
          <w:shd w:val="clear" w:color="ffffff" w:fill="d9d9d9"/>
        </w:rPr>
      </w:pPr>
      <w:r>
        <w:rPr>
          <w:rFonts w:ascii="宋体" w:hAnsi="宋体"/>
          <w:color w:val="000000" w:themeColor="text1"/>
          <w:highlight w:val="none"/>
          <w:shd w:val="clear" w:color="ffffff" w:fill="d9d9d9"/>
        </w:rPr>
        <w:br w:type="page" w:clear="all"/>
      </w:r>
      <w:r>
        <w:rPr>
          <w:rFonts w:hint="eastAsia" w:ascii="宋体" w:hAnsi="宋体"/>
          <w:b/>
          <w:color w:val="000000" w:themeColor="text1"/>
          <w:sz w:val="28"/>
          <w:szCs w:val="28"/>
          <w:highlight w:val="none"/>
        </w:rPr>
        <w:t xml:space="preserve">二、评分标准</w:t>
      </w:r>
      <w:r>
        <w:rPr>
          <w:color w:val="000000" w:themeColor="text1"/>
          <w:highlight w:val="none"/>
        </w:rPr>
      </w:r>
      <w:r/>
    </w:p>
    <w:p>
      <w:pPr>
        <w:pStyle w:val="885"/>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价格（18分）：</w:t>
      </w:r>
      <w:r>
        <w:rPr>
          <w:color w:val="000000" w:themeColor="text1"/>
          <w:highlight w:val="none"/>
        </w:rPr>
      </w:r>
      <w:r/>
    </w:p>
    <w:p>
      <w:pPr>
        <w:pStyle w:val="885"/>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themeColor="text1"/>
          <w:highlight w:val="none"/>
        </w:rPr>
      </w:r>
      <w:r/>
    </w:p>
    <w:p>
      <w:pPr>
        <w:pStyle w:val="885"/>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关于价格扣除详见本章第二部分“一、落实政府采购政策的价格调整”。</w:t>
      </w:r>
      <w:r>
        <w:rPr>
          <w:color w:val="000000" w:themeColor="text1"/>
          <w:highlight w:val="none"/>
        </w:rPr>
      </w:r>
      <w:r/>
    </w:p>
    <w:p>
      <w:pPr>
        <w:pStyle w:val="885"/>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项目人员配置情况（4分）：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color w:val="000000" w:themeColor="text1"/>
          <w:highlight w:val="none"/>
        </w:rPr>
      </w:r>
      <w:r/>
    </w:p>
    <w:p>
      <w:pPr>
        <w:pStyle w:val="885"/>
        <w:ind w:firstLine="480"/>
        <w:spacing w:line="500" w:lineRule="exact"/>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2.1  项目经理（1分）：</w:t>
      </w:r>
      <w:r>
        <w:rPr>
          <w:rFonts w:ascii="宋体" w:hAnsi="宋体"/>
          <w:bCs/>
          <w:color w:val="000000" w:themeColor="text1"/>
          <w:sz w:val="24"/>
          <w:szCs w:val="24"/>
          <w:highlight w:val="none"/>
        </w:rPr>
        <w:t xml:space="preserve">具</w:t>
      </w:r>
      <w:r>
        <w:rPr>
          <w:rFonts w:hint="eastAsia" w:ascii="宋体" w:hAnsi="宋体"/>
          <w:bCs/>
          <w:color w:val="000000" w:themeColor="text1"/>
          <w:sz w:val="24"/>
          <w:szCs w:val="24"/>
          <w:highlight w:val="none"/>
        </w:rPr>
        <w:t xml:space="preserve">有</w:t>
      </w:r>
      <w:r>
        <w:rPr>
          <w:rFonts w:ascii="宋体" w:hAnsi="宋体"/>
          <w:bCs/>
          <w:color w:val="000000" w:themeColor="text1"/>
          <w:sz w:val="24"/>
          <w:szCs w:val="24"/>
          <w:highlight w:val="none"/>
        </w:rPr>
        <w:t xml:space="preserve">信息系统项目管理师</w:t>
      </w:r>
      <w:r>
        <w:rPr>
          <w:rFonts w:hint="eastAsia" w:ascii="宋体" w:hAnsi="宋体"/>
          <w:bCs/>
          <w:color w:val="000000" w:themeColor="text1"/>
          <w:sz w:val="24"/>
          <w:szCs w:val="24"/>
          <w:highlight w:val="none"/>
        </w:rPr>
        <w:t xml:space="preserve">证书的得0.5分，具有</w:t>
      </w:r>
      <w:r>
        <w:rPr>
          <w:rFonts w:ascii="宋体" w:hAnsi="宋体"/>
          <w:bCs/>
          <w:color w:val="000000" w:themeColor="text1"/>
          <w:sz w:val="24"/>
          <w:szCs w:val="24"/>
          <w:highlight w:val="none"/>
        </w:rPr>
        <w:t xml:space="preserve">数据库系统工程师</w:t>
      </w:r>
      <w:r>
        <w:rPr>
          <w:rFonts w:hint="eastAsia" w:ascii="宋体" w:hAnsi="宋体"/>
          <w:bCs/>
          <w:color w:val="000000" w:themeColor="text1"/>
          <w:sz w:val="24"/>
          <w:szCs w:val="24"/>
          <w:highlight w:val="none"/>
        </w:rPr>
        <w:t xml:space="preserve">的得0.5分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本项最高</w:t>
      </w:r>
      <w:r>
        <w:rPr>
          <w:rFonts w:ascii="宋体" w:hAnsi="宋体"/>
          <w:bCs/>
          <w:color w:val="000000" w:themeColor="text1"/>
          <w:sz w:val="24"/>
          <w:szCs w:val="24"/>
          <w:highlight w:val="none"/>
        </w:rPr>
        <w:t xml:space="preserve">得1分。</w:t>
      </w:r>
      <w:r>
        <w:rPr>
          <w:color w:val="000000" w:themeColor="text1"/>
          <w:highlight w:val="none"/>
        </w:rPr>
      </w:r>
      <w:r/>
    </w:p>
    <w:p>
      <w:pPr>
        <w:pStyle w:val="885"/>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2.2  项目团队成员（1分）：具有</w:t>
      </w:r>
      <w:r>
        <w:rPr>
          <w:rFonts w:ascii="宋体" w:hAnsi="宋体"/>
          <w:bCs/>
          <w:color w:val="000000" w:themeColor="text1"/>
          <w:sz w:val="24"/>
          <w:szCs w:val="24"/>
          <w:highlight w:val="none"/>
        </w:rPr>
        <w:t xml:space="preserve">系统集成项目管理工程师</w:t>
      </w:r>
      <w:bookmarkStart w:id="195" w:name="OLE_LINK6"/>
      <w:r>
        <w:rPr>
          <w:rFonts w:hint="eastAsia" w:ascii="宋体" w:hAnsi="宋体"/>
          <w:bCs/>
          <w:color w:val="000000" w:themeColor="text1"/>
          <w:sz w:val="24"/>
          <w:szCs w:val="24"/>
          <w:highlight w:val="none"/>
        </w:rPr>
        <w:t xml:space="preserve">的得0.5分，具有</w:t>
      </w:r>
      <w:r>
        <w:rPr>
          <w:rFonts w:ascii="宋体" w:hAnsi="宋体"/>
          <w:bCs/>
          <w:color w:val="000000" w:themeColor="text1"/>
          <w:sz w:val="24"/>
          <w:szCs w:val="24"/>
          <w:highlight w:val="none"/>
        </w:rPr>
        <w:t xml:space="preserve">系统分析师</w:t>
      </w:r>
      <w:bookmarkEnd w:id="195"/>
      <w:r>
        <w:rPr>
          <w:rFonts w:hint="eastAsia" w:ascii="宋体" w:hAnsi="宋体"/>
          <w:bCs/>
          <w:color w:val="000000" w:themeColor="text1"/>
          <w:sz w:val="24"/>
          <w:szCs w:val="24"/>
          <w:highlight w:val="none"/>
        </w:rPr>
        <w:t xml:space="preserve">的得0.5分，本项最高</w:t>
      </w:r>
      <w:r>
        <w:rPr>
          <w:rFonts w:ascii="宋体" w:hAnsi="宋体"/>
          <w:bCs/>
          <w:color w:val="000000" w:themeColor="text1"/>
          <w:sz w:val="24"/>
          <w:szCs w:val="24"/>
          <w:highlight w:val="none"/>
        </w:rPr>
        <w:t xml:space="preserve">得1分，单人多证仅算一证。</w:t>
      </w:r>
      <w:r>
        <w:rPr>
          <w:color w:val="000000" w:themeColor="text1"/>
          <w:highlight w:val="none"/>
        </w:rPr>
      </w:r>
      <w:r/>
    </w:p>
    <w:p>
      <w:pPr>
        <w:pStyle w:val="885"/>
        <w:ind w:firstLine="480"/>
        <w:spacing w:line="500" w:lineRule="exact"/>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2.3  人员荣誉（2分）：</w:t>
      </w:r>
      <w:r>
        <w:rPr>
          <w:rFonts w:ascii="宋体" w:hAnsi="宋体"/>
          <w:bCs/>
          <w:color w:val="000000" w:themeColor="text1"/>
          <w:sz w:val="24"/>
          <w:szCs w:val="24"/>
          <w:highlight w:val="none"/>
        </w:rPr>
        <w:t xml:space="preserve">项目组成员中每获得过一次</w:t>
      </w:r>
      <w:r>
        <w:rPr>
          <w:rFonts w:hint="eastAsia" w:ascii="宋体" w:hAnsi="宋体"/>
          <w:bCs/>
          <w:color w:val="000000" w:themeColor="text1"/>
          <w:sz w:val="24"/>
          <w:szCs w:val="24"/>
          <w:highlight w:val="none"/>
        </w:rPr>
        <w:t xml:space="preserve">政府部门颁发的信息化建设有关的荣誉的得1分，最多</w:t>
      </w:r>
      <w:r>
        <w:rPr>
          <w:rFonts w:ascii="宋体" w:hAnsi="宋体"/>
          <w:bCs/>
          <w:color w:val="000000" w:themeColor="text1"/>
          <w:sz w:val="24"/>
          <w:szCs w:val="24"/>
          <w:highlight w:val="none"/>
        </w:rPr>
        <w:t xml:space="preserve">得2分。</w:t>
      </w:r>
      <w:r>
        <w:rPr>
          <w:rFonts w:ascii="宋体" w:hAnsi="宋体"/>
          <w:bCs/>
          <w:color w:val="000000" w:themeColor="text1"/>
          <w:sz w:val="24"/>
          <w:szCs w:val="24"/>
          <w:highlight w:val="none"/>
        </w:rPr>
        <w:t xml:space="preserve">。</w:t>
      </w:r>
      <w:r>
        <w:rPr>
          <w:color w:val="000000" w:themeColor="text1"/>
          <w:highlight w:val="none"/>
        </w:rPr>
      </w:r>
      <w:r/>
    </w:p>
    <w:p>
      <w:pPr>
        <w:pStyle w:val="885"/>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投标人综合情况（7分）：</w:t>
      </w:r>
      <w:r>
        <w:rPr>
          <w:color w:val="000000" w:themeColor="text1"/>
          <w:highlight w:val="none"/>
        </w:rPr>
      </w:r>
      <w:r/>
    </w:p>
    <w:p>
      <w:pPr>
        <w:pStyle w:val="885"/>
        <w:ind w:firstLine="480"/>
        <w:spacing w:line="500" w:lineRule="exact"/>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3.1  </w:t>
      </w:r>
      <w:r>
        <w:rPr>
          <w:rFonts w:ascii="宋体" w:hAnsi="宋体"/>
          <w:bCs/>
          <w:color w:val="000000" w:themeColor="text1"/>
          <w:sz w:val="24"/>
          <w:szCs w:val="24"/>
          <w:highlight w:val="none"/>
        </w:rPr>
        <w:t xml:space="preserve">业绩（</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投标人具有与本项目类似的成功案例，如</w:t>
      </w:r>
      <w:r>
        <w:rPr>
          <w:rFonts w:hint="eastAsia" w:ascii="宋体" w:hAnsi="宋体"/>
          <w:bCs/>
          <w:color w:val="000000" w:themeColor="text1"/>
          <w:sz w:val="24"/>
          <w:szCs w:val="24"/>
          <w:highlight w:val="none"/>
        </w:rPr>
        <w:t xml:space="preserve">驾驶舱</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一体化</w:t>
      </w:r>
      <w:r>
        <w:rPr>
          <w:rFonts w:ascii="宋体" w:hAnsi="宋体"/>
          <w:bCs/>
          <w:color w:val="000000" w:themeColor="text1"/>
          <w:sz w:val="24"/>
          <w:szCs w:val="24"/>
          <w:highlight w:val="none"/>
        </w:rPr>
        <w:t xml:space="preserve">等，每提供一类有效合同复印件得0.5分，最高不超过</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tabs>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3.2  </w:t>
      </w:r>
      <w:r>
        <w:rPr>
          <w:rFonts w:ascii="宋体" w:hAnsi="宋体"/>
          <w:bCs/>
          <w:color w:val="000000" w:themeColor="text1"/>
          <w:sz w:val="24"/>
          <w:szCs w:val="24"/>
          <w:highlight w:val="none"/>
        </w:rPr>
        <w:t xml:space="preserve">认证证书（</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投标人具有数据治理符合性评价证书、云服务信息安全管理体系认证证书、数据存储安全管理体系认证证书、隐私信息安全管理体系认证证书，每一项得</w:t>
      </w:r>
      <w:r>
        <w:rPr>
          <w:rFonts w:hint="eastAsia" w:ascii="宋体" w:hAnsi="宋体"/>
          <w:bCs/>
          <w:color w:val="000000" w:themeColor="text1"/>
          <w:sz w:val="24"/>
          <w:szCs w:val="24"/>
          <w:highlight w:val="none"/>
        </w:rPr>
        <w:t xml:space="preserve">0.5</w:t>
      </w:r>
      <w:r>
        <w:rPr>
          <w:rFonts w:ascii="宋体" w:hAnsi="宋体"/>
          <w:bCs/>
          <w:color w:val="000000" w:themeColor="text1"/>
          <w:sz w:val="24"/>
          <w:szCs w:val="24"/>
          <w:highlight w:val="none"/>
        </w:rPr>
        <w:t xml:space="preserve">分，合计最高得</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分。上传证书扫描件至系统。同时还须提供该证书在“国家市场监督管理总局</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全国认证认可信息公共服务平台”网站查询到的有效认证截图。</w:t>
      </w:r>
      <w:r>
        <w:rPr>
          <w:color w:val="000000" w:themeColor="text1"/>
          <w:highlight w:val="none"/>
        </w:rPr>
      </w:r>
      <w:r/>
    </w:p>
    <w:p>
      <w:pPr>
        <w:pStyle w:val="885"/>
        <w:ind w:firstLine="480"/>
        <w:spacing w:line="500" w:lineRule="exact"/>
        <w:tabs>
          <w:tab w:val="left" w:pos="945" w:leader="none"/>
          <w:tab w:val="left" w:pos="1155"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3.3  </w:t>
      </w:r>
      <w:r>
        <w:rPr>
          <w:rFonts w:ascii="宋体" w:hAnsi="宋体"/>
          <w:bCs/>
          <w:color w:val="000000" w:themeColor="text1"/>
          <w:sz w:val="24"/>
          <w:szCs w:val="24"/>
          <w:highlight w:val="none"/>
        </w:rPr>
        <w:t xml:space="preserve">软著（4分）</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投标人拥有</w:t>
      </w:r>
      <w:r>
        <w:rPr>
          <w:rFonts w:hint="eastAsia" w:ascii="宋体" w:hAnsi="宋体"/>
          <w:bCs/>
          <w:color w:val="000000" w:themeColor="text1"/>
          <w:sz w:val="24"/>
          <w:szCs w:val="24"/>
          <w:highlight w:val="none"/>
        </w:rPr>
        <w:t xml:space="preserve">一体化风险预警处置类，移动监管执法类，食品安全追溯与监管类，跨部门综合监管类</w:t>
      </w:r>
      <w:r>
        <w:rPr>
          <w:rFonts w:ascii="宋体" w:hAnsi="宋体"/>
          <w:bCs/>
          <w:color w:val="000000" w:themeColor="text1"/>
          <w:sz w:val="24"/>
          <w:szCs w:val="24"/>
          <w:highlight w:val="none"/>
        </w:rPr>
        <w:t xml:space="preserve">等相关软件著作权，每个证书得1分，最多得4分</w:t>
      </w:r>
      <w:r>
        <w:rPr>
          <w:rFonts w:ascii="宋体" w:hAnsi="宋体"/>
          <w:bCs/>
          <w:color w:val="000000" w:themeColor="text1"/>
          <w:sz w:val="24"/>
          <w:szCs w:val="24"/>
          <w:highlight w:val="none"/>
        </w:rPr>
        <w:t xml:space="preserve">。</w:t>
      </w:r>
      <w:r>
        <w:rPr>
          <w:color w:val="000000" w:themeColor="text1"/>
          <w:highlight w:val="none"/>
        </w:rPr>
      </w:r>
      <w:r/>
    </w:p>
    <w:p>
      <w:pPr>
        <w:pStyle w:val="885"/>
        <w:numPr>
          <w:ilvl w:val="4"/>
          <w:numId w:val="8"/>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项目方案（64分）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4.1  </w:t>
      </w:r>
      <w:r>
        <w:rPr>
          <w:rFonts w:ascii="宋体" w:hAnsi="宋体"/>
          <w:bCs/>
          <w:color w:val="000000" w:themeColor="text1"/>
          <w:sz w:val="24"/>
          <w:szCs w:val="24"/>
          <w:highlight w:val="none"/>
        </w:rPr>
        <w:t xml:space="preserve">项目总体方案（</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，内容</w:t>
      </w:r>
      <w:r>
        <w:rPr>
          <w:rFonts w:ascii="宋体" w:hAnsi="宋体"/>
          <w:bCs/>
          <w:color w:val="000000" w:themeColor="text1"/>
          <w:sz w:val="24"/>
          <w:szCs w:val="24"/>
          <w:highlight w:val="none"/>
        </w:rPr>
        <w:t xml:space="preserve">包括</w:t>
      </w:r>
      <w:r>
        <w:rPr>
          <w:rFonts w:hint="eastAsia" w:ascii="宋体" w:hAnsi="宋体"/>
          <w:bCs/>
          <w:color w:val="000000" w:themeColor="text1"/>
          <w:sz w:val="24"/>
          <w:szCs w:val="24"/>
          <w:highlight w:val="none"/>
        </w:rPr>
        <w:t xml:space="preserve">①</w:t>
      </w:r>
      <w:r>
        <w:rPr>
          <w:rFonts w:ascii="宋体" w:hAnsi="宋体"/>
          <w:bCs/>
          <w:color w:val="000000" w:themeColor="text1"/>
          <w:sz w:val="24"/>
          <w:szCs w:val="24"/>
          <w:highlight w:val="none"/>
        </w:rPr>
        <w:t xml:space="preserve">总体架构、</w:t>
      </w:r>
      <w:r>
        <w:rPr>
          <w:rFonts w:hint="eastAsia" w:ascii="宋体" w:hAnsi="宋体"/>
          <w:bCs/>
          <w:color w:val="000000" w:themeColor="text1"/>
          <w:sz w:val="24"/>
          <w:szCs w:val="24"/>
          <w:highlight w:val="none"/>
        </w:rPr>
        <w:t xml:space="preserve">②</w:t>
      </w:r>
      <w:r>
        <w:rPr>
          <w:rFonts w:ascii="宋体" w:hAnsi="宋体"/>
          <w:bCs/>
          <w:color w:val="000000" w:themeColor="text1"/>
          <w:sz w:val="24"/>
          <w:szCs w:val="24"/>
          <w:highlight w:val="none"/>
        </w:rPr>
        <w:t xml:space="preserve">技术路线、</w:t>
      </w:r>
      <w:r>
        <w:rPr>
          <w:rFonts w:hint="eastAsia" w:ascii="宋体" w:hAnsi="宋体"/>
          <w:bCs/>
          <w:color w:val="000000" w:themeColor="text1"/>
          <w:sz w:val="24"/>
          <w:szCs w:val="24"/>
          <w:highlight w:val="none"/>
        </w:rPr>
        <w:t xml:space="preserve">③</w:t>
      </w:r>
      <w:r>
        <w:rPr>
          <w:rFonts w:ascii="宋体" w:hAnsi="宋体"/>
          <w:bCs/>
          <w:color w:val="000000" w:themeColor="text1"/>
          <w:sz w:val="24"/>
          <w:szCs w:val="24"/>
          <w:highlight w:val="none"/>
        </w:rPr>
        <w:t xml:space="preserve">系统功能详细设计。</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方案完整性、科学合理性、设计的清晰详细程度等只能基本满足要求，能够提供上述</w:t>
      </w: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4.2  一体化风险预警管理平台</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，内容</w:t>
      </w:r>
      <w:r>
        <w:rPr>
          <w:rFonts w:hint="eastAsia" w:ascii="宋体" w:hAnsi="宋体"/>
          <w:bCs/>
          <w:color w:val="000000" w:themeColor="text1"/>
          <w:sz w:val="24"/>
          <w:szCs w:val="24"/>
          <w:highlight w:val="none"/>
        </w:rPr>
        <w:t xml:space="preserve">包括①风险线索管理中心、②风险线索处置流程、③案件线索关联分析、④案件线索关联分析、⑤综合查询、⑥效能分析。</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color w:val="000000" w:themeColor="text1"/>
          <w:highlight w:val="none"/>
        </w:rPr>
      </w:r>
      <w:bookmarkStart w:id="196" w:name="OLE_LINK1"/>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ascii="宋体" w:hAnsi="宋体"/>
          <w:bCs/>
          <w:color w:val="000000" w:themeColor="text1"/>
          <w:sz w:val="24"/>
          <w:szCs w:val="24"/>
          <w:highlight w:val="none"/>
        </w:rPr>
        <w:t xml:space="preserve">4-5</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方案完整性一般，科学合理性一般，设计清晰详细程度一般，能够符合本项目需求，能够提供上述</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方案完整性、科学合理性、设计的清晰详细程度等只能基本满足要求，能够提供上述</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color w:val="000000" w:themeColor="text1"/>
          <w:highlight w:val="none"/>
        </w:rPr>
      </w:r>
      <w:bookmarkEnd w:id="196"/>
      <w:r>
        <w:rPr>
          <w:rFonts w:hint="eastAsia" w:ascii="宋体" w:hAnsi="宋体"/>
          <w:bCs/>
          <w:color w:val="000000" w:themeColor="text1"/>
          <w:sz w:val="24"/>
          <w:szCs w:val="24"/>
          <w:highlight w:val="none"/>
        </w:rPr>
        <w:t xml:space="preserve">4.3  专业领域信用风险分级分类系统</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，内容</w:t>
      </w:r>
      <w:r>
        <w:rPr>
          <w:rFonts w:hint="eastAsia" w:ascii="宋体" w:hAnsi="宋体"/>
          <w:bCs/>
          <w:color w:val="000000" w:themeColor="text1"/>
          <w:sz w:val="24"/>
          <w:szCs w:val="24"/>
          <w:highlight w:val="none"/>
        </w:rPr>
        <w:t xml:space="preserve">包括①风</w:t>
      </w:r>
      <w:r>
        <w:rPr>
          <w:rFonts w:hint="eastAsia"/>
          <w:color w:val="000000" w:themeColor="text1"/>
          <w:sz w:val="24"/>
          <w:szCs w:val="24"/>
          <w:highlight w:val="none"/>
        </w:rPr>
        <w:t xml:space="preserve">食品生产领域</w:t>
      </w:r>
      <w:r>
        <w:rPr>
          <w:rFonts w:hint="eastAsia" w:ascii="宋体" w:hAnsi="宋体"/>
          <w:bCs/>
          <w:color w:val="000000" w:themeColor="text1"/>
          <w:sz w:val="24"/>
          <w:szCs w:val="24"/>
          <w:highlight w:val="none"/>
        </w:rPr>
        <w:t xml:space="preserve">、②</w:t>
      </w:r>
      <w:r>
        <w:rPr>
          <w:rFonts w:hint="eastAsia"/>
          <w:color w:val="000000" w:themeColor="text1"/>
          <w:sz w:val="24"/>
          <w:szCs w:val="24"/>
          <w:highlight w:val="none"/>
        </w:rPr>
        <w:t xml:space="preserve">食品经营领域</w:t>
      </w:r>
      <w:r>
        <w:rPr>
          <w:rFonts w:hint="eastAsia" w:ascii="宋体" w:hAnsi="宋体"/>
          <w:bCs/>
          <w:color w:val="000000" w:themeColor="text1"/>
          <w:sz w:val="24"/>
          <w:szCs w:val="24"/>
          <w:highlight w:val="none"/>
        </w:rPr>
        <w:t xml:space="preserve">、③</w:t>
      </w:r>
      <w:r>
        <w:rPr>
          <w:rFonts w:hint="eastAsia"/>
          <w:color w:val="000000" w:themeColor="text1"/>
          <w:sz w:val="24"/>
          <w:szCs w:val="24"/>
          <w:highlight w:val="none"/>
        </w:rPr>
        <w:t xml:space="preserve">工业产品生产领域</w:t>
      </w:r>
      <w:r>
        <w:rPr>
          <w:rFonts w:hint="eastAsia" w:ascii="宋体" w:hAnsi="宋体"/>
          <w:bCs/>
          <w:color w:val="000000" w:themeColor="text1"/>
          <w:sz w:val="24"/>
          <w:szCs w:val="24"/>
          <w:highlight w:val="none"/>
        </w:rPr>
        <w:t xml:space="preserve">、④</w:t>
      </w:r>
      <w:r>
        <w:rPr>
          <w:rFonts w:hint="eastAsia"/>
          <w:color w:val="000000" w:themeColor="text1"/>
          <w:sz w:val="24"/>
          <w:szCs w:val="24"/>
          <w:highlight w:val="none"/>
        </w:rPr>
        <w:t xml:space="preserve">工业产品经营领域</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color w:val="000000" w:themeColor="text1"/>
          <w:highlight w:val="none"/>
        </w:rPr>
      </w:r>
      <w:bookmarkStart w:id="197" w:name="OLE_LINK4"/>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方案完整性一般，科学合理性一般，设计清晰详细程度一般，能够符合本项目需求，能够提供上述</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color w:val="000000" w:themeColor="text1"/>
          <w:highlight w:val="none"/>
        </w:rPr>
      </w:r>
      <w:bookmarkEnd w:id="197"/>
      <w:r>
        <w:rPr>
          <w:rFonts w:hint="eastAsia" w:ascii="宋体" w:hAnsi="宋体"/>
          <w:bCs/>
          <w:color w:val="000000" w:themeColor="text1"/>
          <w:sz w:val="24"/>
          <w:szCs w:val="24"/>
          <w:highlight w:val="none"/>
        </w:rPr>
        <w:t xml:space="preserve">4.4  移动端数智驾驶舱</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w:t>
      </w:r>
      <w:bookmarkStart w:id="198" w:name="OLE_LINK2"/>
      <w:r>
        <w:rPr>
          <w:rFonts w:hint="eastAsia" w:ascii="宋体" w:hAnsi="宋体"/>
          <w:bCs/>
          <w:color w:val="000000" w:themeColor="text1"/>
          <w:sz w:val="24"/>
          <w:szCs w:val="24"/>
          <w:highlight w:val="none"/>
        </w:rPr>
        <w:t xml:space="preserve">内容</w:t>
      </w:r>
      <w:r>
        <w:rPr>
          <w:rFonts w:hint="eastAsia" w:ascii="宋体" w:hAnsi="宋体"/>
          <w:bCs/>
          <w:color w:val="000000" w:themeColor="text1"/>
          <w:sz w:val="24"/>
          <w:szCs w:val="24"/>
          <w:highlight w:val="none"/>
        </w:rPr>
        <w:t xml:space="preserve">包括①</w:t>
      </w:r>
      <w:r>
        <w:rPr>
          <w:rFonts w:hint="eastAsia"/>
          <w:color w:val="000000" w:themeColor="text1"/>
          <w:sz w:val="24"/>
          <w:szCs w:val="24"/>
          <w:highlight w:val="none"/>
        </w:rPr>
        <w:t xml:space="preserve">驾驶舱门户</w:t>
      </w:r>
      <w:r>
        <w:rPr>
          <w:rFonts w:hint="eastAsia" w:ascii="宋体" w:hAnsi="宋体"/>
          <w:bCs/>
          <w:color w:val="000000" w:themeColor="text1"/>
          <w:sz w:val="24"/>
          <w:szCs w:val="24"/>
          <w:highlight w:val="none"/>
        </w:rPr>
        <w:t xml:space="preserve">、②</w:t>
      </w:r>
      <w:r>
        <w:rPr>
          <w:rFonts w:hint="eastAsia"/>
          <w:color w:val="000000" w:themeColor="text1"/>
          <w:sz w:val="24"/>
          <w:szCs w:val="24"/>
          <w:highlight w:val="none"/>
        </w:rPr>
        <w:t xml:space="preserve">业务总览</w:t>
      </w:r>
      <w:r>
        <w:rPr>
          <w:rFonts w:hint="eastAsia" w:ascii="宋体" w:hAnsi="宋体"/>
          <w:bCs/>
          <w:color w:val="000000" w:themeColor="text1"/>
          <w:sz w:val="24"/>
          <w:szCs w:val="24"/>
          <w:highlight w:val="none"/>
        </w:rPr>
        <w:t xml:space="preserve">、③</w:t>
      </w:r>
      <w:r>
        <w:rPr>
          <w:rFonts w:hint="eastAsia"/>
          <w:color w:val="000000" w:themeColor="text1"/>
          <w:sz w:val="24"/>
          <w:szCs w:val="24"/>
          <w:highlight w:val="none"/>
        </w:rPr>
        <w:t xml:space="preserve">数据分析</w:t>
      </w:r>
      <w:r>
        <w:rPr>
          <w:rFonts w:hint="eastAsia" w:ascii="宋体" w:hAnsi="宋体"/>
          <w:bCs/>
          <w:color w:val="000000" w:themeColor="text1"/>
          <w:sz w:val="24"/>
          <w:szCs w:val="24"/>
          <w:highlight w:val="none"/>
        </w:rPr>
        <w:t xml:space="preserve">、④</w:t>
      </w:r>
      <w:r>
        <w:rPr>
          <w:rFonts w:hint="eastAsia"/>
          <w:color w:val="000000" w:themeColor="text1"/>
          <w:sz w:val="24"/>
          <w:szCs w:val="24"/>
          <w:highlight w:val="none"/>
        </w:rPr>
        <w:t xml:space="preserve">多维画像</w:t>
      </w:r>
      <w:r>
        <w:rPr>
          <w:rFonts w:hint="eastAsia" w:ascii="宋体" w:hAnsi="宋体"/>
          <w:bCs/>
          <w:color w:val="000000" w:themeColor="text1"/>
          <w:sz w:val="24"/>
          <w:szCs w:val="24"/>
          <w:highlight w:val="none"/>
        </w:rPr>
        <w:t xml:space="preserve">、⑤</w:t>
      </w:r>
      <w:r>
        <w:rPr>
          <w:rFonts w:hint="eastAsia"/>
          <w:color w:val="000000" w:themeColor="text1"/>
          <w:sz w:val="24"/>
          <w:szCs w:val="24"/>
          <w:highlight w:val="none"/>
        </w:rPr>
        <w:t xml:space="preserve">数智快报</w:t>
      </w:r>
      <w:r>
        <w:rPr>
          <w:rFonts w:hint="eastAsia" w:ascii="宋体" w:hAnsi="宋体"/>
          <w:bCs/>
          <w:color w:val="000000" w:themeColor="text1"/>
          <w:sz w:val="24"/>
          <w:szCs w:val="24"/>
          <w:highlight w:val="none"/>
        </w:rPr>
        <w:t xml:space="preserve">、⑥</w:t>
      </w:r>
      <w:r>
        <w:rPr>
          <w:rFonts w:hint="eastAsia"/>
          <w:color w:val="000000" w:themeColor="text1"/>
          <w:sz w:val="24"/>
          <w:szCs w:val="24"/>
          <w:highlight w:val="none"/>
        </w:rPr>
        <w:t xml:space="preserve">智能统计</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ascii="宋体" w:hAnsi="宋体"/>
          <w:bCs/>
          <w:color w:val="000000" w:themeColor="text1"/>
          <w:sz w:val="24"/>
          <w:szCs w:val="24"/>
          <w:highlight w:val="none"/>
        </w:rPr>
        <w:t xml:space="preserve">4-5</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方案完整性一般，科学合理性一般，设计清晰详细程度一般，能够符合本项目需求，能够提供上述</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方案完整性、科学合理性、设计的清晰详细程度等只能基本满足要求，能够提供上述</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color w:val="000000" w:themeColor="text1"/>
          <w:highlight w:val="none"/>
        </w:rPr>
      </w:r>
      <w:bookmarkEnd w:id="198"/>
      <w:r>
        <w:rPr>
          <w:rFonts w:hint="eastAsia" w:ascii="宋体" w:hAnsi="宋体"/>
          <w:bCs/>
          <w:color w:val="000000" w:themeColor="text1"/>
          <w:sz w:val="24"/>
          <w:szCs w:val="24"/>
          <w:highlight w:val="none"/>
        </w:rPr>
        <w:t xml:space="preserve">4.5  一体化综合监管平台升级</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，内容</w:t>
      </w:r>
      <w:r>
        <w:rPr>
          <w:rFonts w:hint="eastAsia" w:ascii="宋体" w:hAnsi="宋体"/>
          <w:bCs/>
          <w:color w:val="000000" w:themeColor="text1"/>
          <w:sz w:val="24"/>
          <w:szCs w:val="24"/>
          <w:highlight w:val="none"/>
        </w:rPr>
        <w:t xml:space="preserve">包括①</w:t>
      </w:r>
      <w:r>
        <w:rPr>
          <w:rFonts w:hint="eastAsia"/>
          <w:color w:val="000000" w:themeColor="text1"/>
          <w:sz w:val="24"/>
          <w:szCs w:val="24"/>
          <w:highlight w:val="none"/>
        </w:rPr>
        <w:t xml:space="preserve">工业产品生产销售企业监管子系统</w:t>
      </w:r>
      <w:r>
        <w:rPr>
          <w:rFonts w:hint="eastAsia" w:ascii="宋体" w:hAnsi="宋体"/>
          <w:bCs/>
          <w:color w:val="000000" w:themeColor="text1"/>
          <w:sz w:val="24"/>
          <w:szCs w:val="24"/>
          <w:highlight w:val="none"/>
        </w:rPr>
        <w:t xml:space="preserve">、②</w:t>
      </w:r>
      <w:r>
        <w:rPr>
          <w:rFonts w:hint="eastAsia"/>
          <w:color w:val="000000" w:themeColor="text1"/>
          <w:sz w:val="24"/>
          <w:szCs w:val="24"/>
          <w:highlight w:val="none"/>
        </w:rPr>
        <w:t xml:space="preserve">案件线索处置子系统</w:t>
      </w:r>
      <w:r>
        <w:rPr>
          <w:rFonts w:hint="eastAsia" w:ascii="宋体" w:hAnsi="宋体"/>
          <w:bCs/>
          <w:color w:val="000000" w:themeColor="text1"/>
          <w:sz w:val="24"/>
          <w:szCs w:val="24"/>
          <w:highlight w:val="none"/>
        </w:rPr>
        <w:t xml:space="preserve">、③</w:t>
      </w:r>
      <w:r>
        <w:rPr>
          <w:rFonts w:hint="eastAsia"/>
          <w:color w:val="000000" w:themeColor="text1"/>
          <w:sz w:val="24"/>
          <w:szCs w:val="24"/>
          <w:highlight w:val="none"/>
        </w:rPr>
        <w:t xml:space="preserve">食品检验共享子系统</w:t>
      </w:r>
      <w:r>
        <w:rPr>
          <w:rFonts w:hint="eastAsia" w:ascii="宋体" w:hAnsi="宋体"/>
          <w:bCs/>
          <w:color w:val="000000" w:themeColor="text1"/>
          <w:sz w:val="24"/>
          <w:szCs w:val="24"/>
          <w:highlight w:val="none"/>
        </w:rPr>
        <w:t xml:space="preserve">、④</w:t>
      </w:r>
      <w:r>
        <w:rPr>
          <w:rFonts w:hint="eastAsia"/>
          <w:color w:val="000000" w:themeColor="text1"/>
          <w:sz w:val="24"/>
          <w:szCs w:val="24"/>
          <w:highlight w:val="none"/>
        </w:rPr>
        <w:t xml:space="preserve">行风问题排查整治模块</w:t>
      </w:r>
      <w:r>
        <w:rPr>
          <w:rFonts w:hint="eastAsia" w:ascii="宋体" w:hAnsi="宋体"/>
          <w:bCs/>
          <w:color w:val="000000" w:themeColor="text1"/>
          <w:sz w:val="24"/>
          <w:szCs w:val="24"/>
          <w:highlight w:val="none"/>
        </w:rPr>
        <w:t xml:space="preserve">、⑤</w:t>
      </w:r>
      <w:r>
        <w:rPr>
          <w:rFonts w:hint="eastAsia"/>
          <w:color w:val="000000" w:themeColor="text1"/>
          <w:sz w:val="24"/>
          <w:szCs w:val="24"/>
          <w:highlight w:val="none"/>
        </w:rPr>
        <w:t xml:space="preserve">直销企业会议报备模块</w:t>
      </w:r>
      <w:r>
        <w:rPr>
          <w:rFonts w:hint="eastAsia" w:ascii="宋体" w:hAnsi="宋体"/>
          <w:bCs/>
          <w:color w:val="000000" w:themeColor="text1"/>
          <w:sz w:val="24"/>
          <w:szCs w:val="24"/>
          <w:highlight w:val="none"/>
        </w:rPr>
        <w:t xml:space="preserve">、⑥</w:t>
      </w:r>
      <w:r>
        <w:rPr>
          <w:rFonts w:hint="eastAsia"/>
          <w:color w:val="000000" w:themeColor="text1"/>
          <w:sz w:val="24"/>
          <w:szCs w:val="24"/>
          <w:highlight w:val="none"/>
        </w:rPr>
        <w:t xml:space="preserve">反垄断守护行动管理模块</w:t>
      </w:r>
      <w:r>
        <w:rPr>
          <w:rFonts w:hint="eastAsia" w:ascii="宋体" w:hAnsi="宋体"/>
          <w:bCs/>
          <w:color w:val="000000" w:themeColor="text1"/>
          <w:sz w:val="24"/>
          <w:szCs w:val="24"/>
          <w:highlight w:val="none"/>
        </w:rPr>
        <w:t xml:space="preserve">、⑦</w:t>
      </w:r>
      <w:r>
        <w:rPr>
          <w:rFonts w:hint="eastAsia"/>
          <w:color w:val="000000" w:themeColor="text1"/>
          <w:sz w:val="24"/>
          <w:szCs w:val="24"/>
          <w:highlight w:val="none"/>
        </w:rPr>
        <w:t xml:space="preserve">产品质量安全主体责任落实管理模块</w:t>
      </w:r>
      <w:r>
        <w:rPr>
          <w:rFonts w:hint="eastAsia" w:ascii="宋体" w:hAnsi="宋体"/>
          <w:bCs/>
          <w:color w:val="000000" w:themeColor="text1"/>
          <w:sz w:val="24"/>
          <w:szCs w:val="24"/>
          <w:highlight w:val="none"/>
        </w:rPr>
        <w:t xml:space="preserve">、⑧</w:t>
      </w:r>
      <w:r>
        <w:rPr>
          <w:rFonts w:hint="eastAsia"/>
          <w:color w:val="000000" w:themeColor="text1"/>
          <w:sz w:val="24"/>
          <w:szCs w:val="24"/>
          <w:highlight w:val="none"/>
        </w:rPr>
        <w:t xml:space="preserve">特殊购药需求报告管理模块</w:t>
      </w:r>
      <w:r>
        <w:rPr>
          <w:rFonts w:hint="eastAsia" w:ascii="宋体" w:hAnsi="宋体"/>
          <w:bCs/>
          <w:color w:val="000000" w:themeColor="text1"/>
          <w:sz w:val="24"/>
          <w:szCs w:val="24"/>
          <w:highlight w:val="none"/>
        </w:rPr>
        <w:t xml:space="preserve">、⑨</w:t>
      </w:r>
      <w:r>
        <w:rPr>
          <w:rFonts w:hint="eastAsia"/>
          <w:color w:val="000000" w:themeColor="text1"/>
          <w:sz w:val="24"/>
          <w:szCs w:val="24"/>
          <w:highlight w:val="none"/>
        </w:rPr>
        <w:t xml:space="preserve">监管事权法律法规库</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color w:val="000000" w:themeColor="text1"/>
          <w:highlight w:val="none"/>
        </w:rPr>
      </w:r>
      <w:bookmarkStart w:id="199" w:name="OLE_LINK3"/>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hint="eastAsia" w:ascii="宋体" w:hAnsi="宋体"/>
          <w:bCs/>
          <w:color w:val="000000" w:themeColor="text1"/>
          <w:sz w:val="24"/>
          <w:szCs w:val="24"/>
          <w:highlight w:val="none"/>
        </w:rPr>
        <w:t xml:space="preserve">7-8</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方案完整性一般，科学合理性一般，设计清晰详细程度一般，能够符合本项目需求，能够提供上述</w:t>
      </w:r>
      <w:r>
        <w:rPr>
          <w:rFonts w:hint="eastAsia" w:ascii="宋体" w:hAnsi="宋体"/>
          <w:bCs/>
          <w:color w:val="000000" w:themeColor="text1"/>
          <w:sz w:val="24"/>
          <w:szCs w:val="24"/>
          <w:highlight w:val="none"/>
        </w:rPr>
        <w:t xml:space="preserve">5-6</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方案完整性、科学合理性、设计的清晰详细程度等只能基本满足要求，能够提供上述</w:t>
      </w:r>
      <w:r>
        <w:rPr>
          <w:rFonts w:hint="eastAsia" w:ascii="宋体" w:hAnsi="宋体"/>
          <w:bCs/>
          <w:color w:val="000000" w:themeColor="text1"/>
          <w:sz w:val="24"/>
          <w:szCs w:val="24"/>
          <w:highlight w:val="none"/>
        </w:rPr>
        <w:t xml:space="preserve">3-4</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color w:val="000000" w:themeColor="text1"/>
          <w:highlight w:val="none"/>
        </w:rPr>
      </w:r>
      <w:bookmarkEnd w:id="199"/>
      <w:r>
        <w:rPr>
          <w:rFonts w:hint="eastAsia" w:ascii="宋体" w:hAnsi="宋体"/>
          <w:bCs/>
          <w:color w:val="000000" w:themeColor="text1"/>
          <w:sz w:val="24"/>
          <w:szCs w:val="24"/>
          <w:highlight w:val="none"/>
        </w:rPr>
        <w:t xml:space="preserve">4.6  法人服务门户升级</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，内容</w:t>
      </w:r>
      <w:r>
        <w:rPr>
          <w:rFonts w:hint="eastAsia" w:ascii="宋体" w:hAnsi="宋体"/>
          <w:bCs/>
          <w:color w:val="000000" w:themeColor="text1"/>
          <w:sz w:val="24"/>
          <w:szCs w:val="24"/>
          <w:highlight w:val="none"/>
        </w:rPr>
        <w:t xml:space="preserve">包括①</w:t>
      </w:r>
      <w:r>
        <w:rPr>
          <w:rFonts w:hint="eastAsia"/>
          <w:color w:val="000000" w:themeColor="text1"/>
          <w:sz w:val="24"/>
          <w:szCs w:val="24"/>
          <w:highlight w:val="none"/>
        </w:rPr>
        <w:t xml:space="preserve">门户升级</w:t>
      </w:r>
      <w:r>
        <w:rPr>
          <w:rFonts w:hint="eastAsia" w:ascii="宋体" w:hAnsi="宋体"/>
          <w:bCs/>
          <w:color w:val="000000" w:themeColor="text1"/>
          <w:sz w:val="24"/>
          <w:szCs w:val="24"/>
          <w:highlight w:val="none"/>
        </w:rPr>
        <w:t xml:space="preserve">、②</w:t>
      </w:r>
      <w:r>
        <w:rPr>
          <w:rFonts w:hint="eastAsia"/>
          <w:color w:val="000000" w:themeColor="text1"/>
          <w:sz w:val="24"/>
          <w:szCs w:val="24"/>
          <w:highlight w:val="none"/>
        </w:rPr>
        <w:t xml:space="preserve">用户注册认证方式升级</w:t>
      </w:r>
      <w:r>
        <w:rPr>
          <w:rFonts w:hint="eastAsia" w:ascii="宋体" w:hAnsi="宋体"/>
          <w:bCs/>
          <w:color w:val="000000" w:themeColor="text1"/>
          <w:sz w:val="24"/>
          <w:szCs w:val="24"/>
          <w:highlight w:val="none"/>
        </w:rPr>
        <w:t xml:space="preserve">、③</w:t>
      </w:r>
      <w:r>
        <w:rPr>
          <w:rFonts w:hint="eastAsia"/>
          <w:color w:val="000000" w:themeColor="text1"/>
          <w:sz w:val="24"/>
          <w:szCs w:val="24"/>
          <w:highlight w:val="none"/>
        </w:rPr>
        <w:t xml:space="preserve">信息公示</w:t>
      </w:r>
      <w:r>
        <w:rPr>
          <w:rFonts w:hint="eastAsia" w:ascii="宋体" w:hAnsi="宋体"/>
          <w:bCs/>
          <w:color w:val="000000" w:themeColor="text1"/>
          <w:sz w:val="24"/>
          <w:szCs w:val="24"/>
          <w:highlight w:val="none"/>
        </w:rPr>
        <w:t xml:space="preserve">、④</w:t>
      </w:r>
      <w:r>
        <w:rPr>
          <w:rFonts w:hint="eastAsia"/>
          <w:color w:val="000000" w:themeColor="text1"/>
          <w:sz w:val="24"/>
          <w:szCs w:val="24"/>
          <w:highlight w:val="none"/>
        </w:rPr>
        <w:t xml:space="preserve">企业信箱</w:t>
      </w:r>
      <w:r>
        <w:rPr>
          <w:rFonts w:hint="eastAsia" w:ascii="宋体" w:hAnsi="宋体"/>
          <w:bCs/>
          <w:color w:val="000000" w:themeColor="text1"/>
          <w:sz w:val="24"/>
          <w:szCs w:val="24"/>
          <w:highlight w:val="none"/>
        </w:rPr>
        <w:t xml:space="preserve">、⑤</w:t>
      </w:r>
      <w:r>
        <w:rPr>
          <w:rFonts w:hint="eastAsia"/>
          <w:color w:val="000000" w:themeColor="text1"/>
          <w:sz w:val="24"/>
          <w:szCs w:val="24"/>
          <w:highlight w:val="none"/>
        </w:rPr>
        <w:t xml:space="preserve">线上服务</w:t>
      </w:r>
      <w:r>
        <w:rPr>
          <w:rFonts w:hint="eastAsia" w:ascii="宋体" w:hAnsi="宋体"/>
          <w:bCs/>
          <w:color w:val="000000" w:themeColor="text1"/>
          <w:sz w:val="24"/>
          <w:szCs w:val="24"/>
          <w:highlight w:val="none"/>
        </w:rPr>
        <w:t xml:space="preserve">、⑥</w:t>
      </w:r>
      <w:r>
        <w:rPr>
          <w:rFonts w:hint="eastAsia"/>
          <w:color w:val="000000" w:themeColor="text1"/>
          <w:sz w:val="24"/>
          <w:szCs w:val="24"/>
          <w:highlight w:val="none"/>
        </w:rPr>
        <w:t xml:space="preserve">主体责任落实</w:t>
      </w:r>
      <w:r>
        <w:rPr>
          <w:rFonts w:hint="eastAsia" w:ascii="宋体" w:hAnsi="宋体"/>
          <w:bCs/>
          <w:color w:val="000000" w:themeColor="text1"/>
          <w:sz w:val="24"/>
          <w:szCs w:val="24"/>
          <w:highlight w:val="none"/>
        </w:rPr>
        <w:t xml:space="preserve">、⑦</w:t>
      </w:r>
      <w:r>
        <w:rPr>
          <w:rFonts w:hint="eastAsia"/>
          <w:color w:val="000000" w:themeColor="text1"/>
          <w:sz w:val="24"/>
          <w:szCs w:val="24"/>
          <w:highlight w:val="none"/>
        </w:rPr>
        <w:t xml:space="preserve">证照临期提醒服务</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7</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方案完整性一般，科学合理性一般，设计清晰详细程度一般，能够符合本项目需求，能够提供上述</w:t>
      </w:r>
      <w:r>
        <w:rPr>
          <w:rFonts w:hint="eastAsia" w:ascii="宋体" w:hAnsi="宋体"/>
          <w:bCs/>
          <w:color w:val="000000" w:themeColor="text1"/>
          <w:sz w:val="24"/>
          <w:szCs w:val="24"/>
          <w:highlight w:val="none"/>
        </w:rPr>
        <w:t xml:space="preserve">3-4</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方案完整性、科学合理性、设计的清晰详细程度等只能基本满足要求，能够提供上述</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4.7  统一身份认证平台升级</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，内容</w:t>
      </w:r>
      <w:r>
        <w:rPr>
          <w:rFonts w:hint="eastAsia" w:ascii="宋体" w:hAnsi="宋体"/>
          <w:bCs/>
          <w:color w:val="000000" w:themeColor="text1"/>
          <w:sz w:val="24"/>
          <w:szCs w:val="24"/>
          <w:highlight w:val="none"/>
        </w:rPr>
        <w:t xml:space="preserve">包括①</w:t>
      </w:r>
      <w:r>
        <w:rPr>
          <w:rFonts w:hint="eastAsia"/>
          <w:color w:val="000000" w:themeColor="text1"/>
          <w:sz w:val="24"/>
          <w:szCs w:val="24"/>
          <w:highlight w:val="none"/>
        </w:rPr>
        <w:t xml:space="preserve">统一机构用户管理升级</w:t>
      </w:r>
      <w:r>
        <w:rPr>
          <w:rFonts w:hint="eastAsia" w:ascii="宋体" w:hAnsi="宋体"/>
          <w:bCs/>
          <w:color w:val="000000" w:themeColor="text1"/>
          <w:sz w:val="24"/>
          <w:szCs w:val="24"/>
          <w:highlight w:val="none"/>
        </w:rPr>
        <w:t xml:space="preserve">、②</w:t>
      </w:r>
      <w:r>
        <w:rPr>
          <w:rFonts w:hint="eastAsia"/>
          <w:color w:val="000000" w:themeColor="text1"/>
          <w:sz w:val="24"/>
          <w:szCs w:val="24"/>
          <w:highlight w:val="none"/>
        </w:rPr>
        <w:t xml:space="preserve">统一权限管理升级</w:t>
      </w:r>
      <w:r>
        <w:rPr>
          <w:rFonts w:hint="eastAsia" w:ascii="宋体" w:hAnsi="宋体"/>
          <w:bCs/>
          <w:color w:val="000000" w:themeColor="text1"/>
          <w:sz w:val="24"/>
          <w:szCs w:val="24"/>
          <w:highlight w:val="none"/>
        </w:rPr>
        <w:t xml:space="preserve">、③</w:t>
      </w:r>
      <w:r>
        <w:rPr>
          <w:rFonts w:hint="eastAsia"/>
          <w:color w:val="000000" w:themeColor="text1"/>
          <w:sz w:val="24"/>
          <w:szCs w:val="24"/>
          <w:highlight w:val="none"/>
        </w:rPr>
        <w:t xml:space="preserve">统一登录入口开发</w:t>
      </w:r>
      <w:r>
        <w:rPr>
          <w:rFonts w:hint="eastAsia" w:ascii="宋体" w:hAnsi="宋体"/>
          <w:bCs/>
          <w:color w:val="000000" w:themeColor="text1"/>
          <w:sz w:val="24"/>
          <w:szCs w:val="24"/>
          <w:highlight w:val="none"/>
        </w:rPr>
        <w:t xml:space="preserve">、④</w:t>
      </w:r>
      <w:r>
        <w:rPr>
          <w:rFonts w:hint="eastAsia"/>
          <w:color w:val="000000" w:themeColor="text1"/>
          <w:sz w:val="24"/>
          <w:szCs w:val="24"/>
          <w:highlight w:val="none"/>
        </w:rPr>
        <w:t xml:space="preserve">统一身份认证升级</w:t>
      </w:r>
      <w:r>
        <w:rPr>
          <w:rFonts w:hint="eastAsia" w:ascii="宋体" w:hAnsi="宋体"/>
          <w:bCs/>
          <w:color w:val="000000" w:themeColor="text1"/>
          <w:sz w:val="24"/>
          <w:szCs w:val="24"/>
          <w:highlight w:val="none"/>
        </w:rPr>
        <w:t xml:space="preserve">、⑤</w:t>
      </w:r>
      <w:r>
        <w:rPr>
          <w:rFonts w:hint="eastAsia"/>
          <w:color w:val="000000" w:themeColor="text1"/>
          <w:sz w:val="24"/>
          <w:szCs w:val="24"/>
          <w:highlight w:val="none"/>
        </w:rPr>
        <w:t xml:space="preserve">江苏省统一身份认证平台对接</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方案完整性一般，科学合理性一般，设计清晰详细程度一般，能够符合本项目需求，能够提供上述</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方案完整性、科学合理性、设计的清晰详细程度等只能基本满足要求，能够提供上述</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4.8  一体化智慧应用门户</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，内容</w:t>
      </w:r>
      <w:r>
        <w:rPr>
          <w:rFonts w:hint="eastAsia" w:ascii="宋体" w:hAnsi="宋体"/>
          <w:bCs/>
          <w:color w:val="000000" w:themeColor="text1"/>
          <w:sz w:val="24"/>
          <w:szCs w:val="24"/>
          <w:highlight w:val="none"/>
        </w:rPr>
        <w:t xml:space="preserve">包括①</w:t>
      </w:r>
      <w:r>
        <w:rPr>
          <w:rFonts w:hint="eastAsia"/>
          <w:color w:val="000000" w:themeColor="text1"/>
          <w:sz w:val="24"/>
          <w:szCs w:val="24"/>
          <w:highlight w:val="none"/>
        </w:rPr>
        <w:t xml:space="preserve">应用门户建设</w:t>
      </w:r>
      <w:r>
        <w:rPr>
          <w:rFonts w:hint="eastAsia" w:ascii="宋体" w:hAnsi="宋体"/>
          <w:bCs/>
          <w:color w:val="000000" w:themeColor="text1"/>
          <w:sz w:val="24"/>
          <w:szCs w:val="24"/>
          <w:highlight w:val="none"/>
        </w:rPr>
        <w:t xml:space="preserve">、②</w:t>
      </w:r>
      <w:r>
        <w:rPr>
          <w:rFonts w:hint="eastAsia"/>
          <w:color w:val="000000" w:themeColor="text1"/>
          <w:sz w:val="24"/>
          <w:szCs w:val="24"/>
          <w:highlight w:val="none"/>
        </w:rPr>
        <w:t xml:space="preserve">我的应用</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hint="eastAsia"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4.9  与省局政务通实现互联互通</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，内容</w:t>
      </w:r>
      <w:r>
        <w:rPr>
          <w:rFonts w:hint="eastAsia" w:ascii="宋体" w:hAnsi="宋体"/>
          <w:bCs/>
          <w:color w:val="000000" w:themeColor="text1"/>
          <w:sz w:val="24"/>
          <w:szCs w:val="24"/>
          <w:highlight w:val="none"/>
        </w:rPr>
        <w:t xml:space="preserve">包括①</w:t>
      </w:r>
      <w:r>
        <w:rPr>
          <w:rFonts w:hint="eastAsia"/>
          <w:color w:val="000000" w:themeColor="text1"/>
          <w:sz w:val="24"/>
          <w:szCs w:val="24"/>
          <w:highlight w:val="none"/>
        </w:rPr>
        <w:t xml:space="preserve">检查任务数据互联互通</w:t>
      </w:r>
      <w:r>
        <w:rPr>
          <w:rFonts w:hint="eastAsia" w:ascii="宋体" w:hAnsi="宋体"/>
          <w:bCs/>
          <w:color w:val="000000" w:themeColor="text1"/>
          <w:sz w:val="24"/>
          <w:szCs w:val="24"/>
          <w:highlight w:val="none"/>
        </w:rPr>
        <w:t xml:space="preserve">、②</w:t>
      </w:r>
      <w:r>
        <w:rPr>
          <w:rFonts w:hint="eastAsia"/>
          <w:color w:val="000000" w:themeColor="text1"/>
          <w:sz w:val="24"/>
          <w:szCs w:val="24"/>
          <w:highlight w:val="none"/>
        </w:rPr>
        <w:t xml:space="preserve">食品生产企业检查校验及互联互通</w:t>
      </w:r>
      <w:r>
        <w:rPr>
          <w:rFonts w:hint="eastAsia" w:ascii="宋体" w:hAnsi="宋体"/>
          <w:bCs/>
          <w:color w:val="000000" w:themeColor="text1"/>
          <w:sz w:val="24"/>
          <w:szCs w:val="24"/>
          <w:highlight w:val="none"/>
        </w:rPr>
        <w:t xml:space="preserve">、③</w:t>
      </w:r>
      <w:r>
        <w:rPr>
          <w:rFonts w:hint="eastAsia"/>
          <w:color w:val="000000" w:themeColor="text1"/>
          <w:sz w:val="24"/>
          <w:szCs w:val="24"/>
          <w:highlight w:val="none"/>
        </w:rPr>
        <w:t xml:space="preserve">食品经营企业检查校验及互联互通</w:t>
      </w:r>
      <w:r>
        <w:rPr>
          <w:rFonts w:hint="eastAsia" w:ascii="宋体" w:hAnsi="宋体"/>
          <w:bCs/>
          <w:color w:val="000000" w:themeColor="text1"/>
          <w:sz w:val="24"/>
          <w:szCs w:val="24"/>
          <w:highlight w:val="none"/>
        </w:rPr>
        <w:t xml:space="preserve">、④</w:t>
      </w:r>
      <w:r>
        <w:rPr>
          <w:rFonts w:hint="eastAsia"/>
          <w:color w:val="000000" w:themeColor="text1"/>
          <w:sz w:val="24"/>
          <w:szCs w:val="24"/>
          <w:highlight w:val="none"/>
        </w:rPr>
        <w:t xml:space="preserve">药化企业检查校验及互联互通</w:t>
      </w:r>
      <w:r>
        <w:rPr>
          <w:rFonts w:hint="eastAsia" w:ascii="宋体" w:hAnsi="宋体"/>
          <w:bCs/>
          <w:color w:val="000000" w:themeColor="text1"/>
          <w:sz w:val="24"/>
          <w:szCs w:val="24"/>
          <w:highlight w:val="none"/>
        </w:rPr>
        <w:t xml:space="preserve">、⑤</w:t>
      </w:r>
      <w:r>
        <w:rPr>
          <w:rFonts w:hint="eastAsia"/>
          <w:color w:val="000000" w:themeColor="text1"/>
          <w:sz w:val="24"/>
          <w:szCs w:val="24"/>
          <w:highlight w:val="none"/>
        </w:rPr>
        <w:t xml:space="preserve">医疗器械经营企业检查校验及互联互通</w:t>
      </w:r>
      <w:r>
        <w:rPr>
          <w:rFonts w:hint="eastAsia" w:ascii="宋体" w:hAnsi="宋体"/>
          <w:bCs/>
          <w:color w:val="000000" w:themeColor="text1"/>
          <w:sz w:val="24"/>
          <w:szCs w:val="24"/>
          <w:highlight w:val="none"/>
        </w:rPr>
        <w:t xml:space="preserve">、⑥</w:t>
      </w:r>
      <w:r>
        <w:rPr>
          <w:rFonts w:hint="eastAsia"/>
          <w:color w:val="000000" w:themeColor="text1"/>
          <w:sz w:val="24"/>
          <w:szCs w:val="24"/>
          <w:highlight w:val="none"/>
        </w:rPr>
        <w:t xml:space="preserve">疫苗使用及接种单位检查校验及互联互通</w:t>
      </w:r>
      <w:r>
        <w:rPr>
          <w:rFonts w:hint="eastAsia" w:ascii="宋体" w:hAnsi="宋体"/>
          <w:bCs/>
          <w:color w:val="000000" w:themeColor="text1"/>
          <w:sz w:val="24"/>
          <w:szCs w:val="24"/>
          <w:highlight w:val="none"/>
        </w:rPr>
        <w:t xml:space="preserve">、⑦</w:t>
      </w:r>
      <w:r>
        <w:rPr>
          <w:rFonts w:hint="eastAsia"/>
          <w:color w:val="000000" w:themeColor="text1"/>
          <w:sz w:val="24"/>
          <w:szCs w:val="24"/>
          <w:highlight w:val="none"/>
        </w:rPr>
        <w:t xml:space="preserve">特种设备安全企业检查校验及互联互通</w:t>
      </w:r>
      <w:r>
        <w:rPr>
          <w:rFonts w:hint="eastAsia" w:ascii="宋体" w:hAnsi="宋体"/>
          <w:bCs/>
          <w:color w:val="000000" w:themeColor="text1"/>
          <w:sz w:val="24"/>
          <w:szCs w:val="24"/>
          <w:highlight w:val="none"/>
        </w:rPr>
        <w:t xml:space="preserve">、⑧</w:t>
      </w:r>
      <w:r>
        <w:rPr>
          <w:rFonts w:hint="eastAsia"/>
          <w:color w:val="000000" w:themeColor="text1"/>
          <w:sz w:val="24"/>
          <w:szCs w:val="24"/>
          <w:highlight w:val="none"/>
        </w:rPr>
        <w:t xml:space="preserve">重点工业产品生产企业检查校验及互联互通</w:t>
      </w:r>
      <w:r>
        <w:rPr>
          <w:rFonts w:hint="eastAsia" w:ascii="宋体" w:hAnsi="宋体"/>
          <w:bCs/>
          <w:color w:val="000000" w:themeColor="text1"/>
          <w:sz w:val="24"/>
          <w:szCs w:val="24"/>
          <w:highlight w:val="none"/>
        </w:rPr>
        <w:t xml:space="preserve">、⑨</w:t>
      </w:r>
      <w:r>
        <w:rPr>
          <w:rFonts w:hint="eastAsia"/>
          <w:color w:val="000000" w:themeColor="text1"/>
          <w:sz w:val="24"/>
          <w:szCs w:val="24"/>
          <w:highlight w:val="none"/>
        </w:rPr>
        <w:t xml:space="preserve">工业产品生产销售企业检查校验及互联互通</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hint="eastAsia" w:ascii="宋体" w:hAnsi="宋体"/>
          <w:bCs/>
          <w:color w:val="000000" w:themeColor="text1"/>
          <w:sz w:val="24"/>
          <w:szCs w:val="24"/>
          <w:highlight w:val="none"/>
        </w:rPr>
        <w:t xml:space="preserve">7-8</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方案完整性一般，科学合理性一般，设计清晰详细程度一般，能够符合本项目需求，能够提供上述</w:t>
      </w:r>
      <w:r>
        <w:rPr>
          <w:rFonts w:hint="eastAsia" w:ascii="宋体" w:hAnsi="宋体"/>
          <w:bCs/>
          <w:color w:val="000000" w:themeColor="text1"/>
          <w:sz w:val="24"/>
          <w:szCs w:val="24"/>
          <w:highlight w:val="none"/>
        </w:rPr>
        <w:t xml:space="preserve">5-6</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方案完整性、科学合理性、设计的清晰详细程度等只能基本满足要求，能够提供上述</w:t>
      </w:r>
      <w:r>
        <w:rPr>
          <w:rFonts w:hint="eastAsia" w:ascii="宋体" w:hAnsi="宋体"/>
          <w:bCs/>
          <w:color w:val="000000" w:themeColor="text1"/>
          <w:sz w:val="24"/>
          <w:szCs w:val="24"/>
          <w:highlight w:val="none"/>
        </w:rPr>
        <w:t xml:space="preserve">3-4</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color w:val="000000" w:themeColor="text1"/>
          <w:highlight w:val="none"/>
        </w:rPr>
      </w:r>
      <w:bookmarkStart w:id="200" w:name="OLE_LINK5"/>
      <w:r>
        <w:rPr>
          <w:rFonts w:hint="eastAsia" w:ascii="宋体" w:hAnsi="宋体"/>
          <w:bCs/>
          <w:color w:val="000000" w:themeColor="text1"/>
          <w:sz w:val="24"/>
          <w:szCs w:val="24"/>
          <w:highlight w:val="none"/>
        </w:rPr>
        <w:t xml:space="preserve">4.10  </w:t>
      </w:r>
      <w:bookmarkEnd w:id="200"/>
      <w:r>
        <w:rPr>
          <w:rFonts w:hint="eastAsia" w:ascii="宋体" w:hAnsi="宋体"/>
          <w:bCs/>
          <w:color w:val="000000" w:themeColor="text1"/>
          <w:sz w:val="24"/>
          <w:szCs w:val="24"/>
          <w:highlight w:val="none"/>
        </w:rPr>
        <w:t xml:space="preserve">驾驶舱升级</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根据招标文件中对“</w:t>
      </w:r>
      <w:r>
        <w:rPr>
          <w:rFonts w:hint="eastAsia" w:ascii="宋体" w:hAnsi="宋体"/>
          <w:bCs/>
          <w:color w:val="000000" w:themeColor="text1"/>
          <w:sz w:val="24"/>
          <w:szCs w:val="24"/>
          <w:highlight w:val="none"/>
        </w:rPr>
        <w:t xml:space="preserve">驾驶舱升级</w:t>
      </w:r>
      <w:r>
        <w:rPr>
          <w:rFonts w:ascii="宋体" w:hAnsi="宋体"/>
          <w:bCs/>
          <w:color w:val="000000" w:themeColor="text1"/>
          <w:sz w:val="24"/>
          <w:szCs w:val="24"/>
          <w:highlight w:val="none"/>
        </w:rPr>
        <w:t xml:space="preserve">”的建设要求</w:t>
      </w:r>
      <w:r>
        <w:rPr>
          <w:rFonts w:hint="eastAsia" w:ascii="宋体" w:hAnsi="宋体"/>
          <w:bCs/>
          <w:color w:val="000000" w:themeColor="text1"/>
          <w:sz w:val="24"/>
          <w:szCs w:val="24"/>
          <w:highlight w:val="none"/>
        </w:rPr>
        <w:t xml:space="preserve">，能详细说明所有模块的业务含义，包括①</w:t>
      </w:r>
      <w:r>
        <w:rPr>
          <w:rFonts w:hint="eastAsia"/>
          <w:color w:val="000000" w:themeColor="text1"/>
          <w:sz w:val="24"/>
          <w:szCs w:val="24"/>
          <w:highlight w:val="none"/>
        </w:rPr>
        <w:t xml:space="preserve">新登记经营主体分析大屏</w:t>
      </w:r>
      <w:r>
        <w:rPr>
          <w:rFonts w:hint="eastAsia" w:ascii="宋体" w:hAnsi="宋体"/>
          <w:bCs/>
          <w:color w:val="000000" w:themeColor="text1"/>
          <w:sz w:val="24"/>
          <w:szCs w:val="24"/>
          <w:highlight w:val="none"/>
        </w:rPr>
        <w:t xml:space="preserve">、②</w:t>
      </w:r>
      <w:r>
        <w:rPr>
          <w:rFonts w:hint="eastAsia"/>
          <w:color w:val="000000" w:themeColor="text1"/>
          <w:sz w:val="24"/>
          <w:szCs w:val="24"/>
          <w:highlight w:val="none"/>
        </w:rPr>
        <w:t xml:space="preserve">退出经营主体分析大屏</w:t>
      </w:r>
      <w:r>
        <w:rPr>
          <w:rFonts w:hint="eastAsia" w:ascii="宋体" w:hAnsi="宋体"/>
          <w:bCs/>
          <w:color w:val="000000" w:themeColor="text1"/>
          <w:sz w:val="24"/>
          <w:szCs w:val="24"/>
          <w:highlight w:val="none"/>
        </w:rPr>
        <w:t xml:space="preserve">、③</w:t>
      </w:r>
      <w:r>
        <w:rPr>
          <w:rFonts w:hint="eastAsia"/>
          <w:color w:val="000000" w:themeColor="text1"/>
          <w:sz w:val="24"/>
          <w:szCs w:val="24"/>
          <w:highlight w:val="none"/>
        </w:rPr>
        <w:t xml:space="preserve">迁入迁出经营主体分析大屏</w:t>
      </w:r>
      <w:r>
        <w:rPr>
          <w:rFonts w:hint="eastAsia" w:ascii="宋体" w:hAnsi="宋体"/>
          <w:bCs/>
          <w:color w:val="000000" w:themeColor="text1"/>
          <w:sz w:val="24"/>
          <w:szCs w:val="24"/>
          <w:highlight w:val="none"/>
        </w:rPr>
        <w:t xml:space="preserve">、④</w:t>
      </w:r>
      <w:r>
        <w:rPr>
          <w:rFonts w:hint="eastAsia"/>
          <w:color w:val="000000" w:themeColor="text1"/>
          <w:sz w:val="24"/>
          <w:szCs w:val="24"/>
          <w:highlight w:val="none"/>
        </w:rPr>
        <w:t xml:space="preserve">企业生命周期分析大屏</w:t>
      </w:r>
      <w:r>
        <w:rPr>
          <w:rFonts w:hint="eastAsia" w:ascii="宋体" w:hAnsi="宋体"/>
          <w:bCs/>
          <w:color w:val="000000" w:themeColor="text1"/>
          <w:sz w:val="24"/>
          <w:szCs w:val="24"/>
          <w:highlight w:val="none"/>
        </w:rPr>
        <w:t xml:space="preserve">、⑤</w:t>
      </w:r>
      <w:r>
        <w:rPr>
          <w:rFonts w:hint="eastAsia"/>
          <w:color w:val="000000" w:themeColor="text1"/>
          <w:sz w:val="24"/>
          <w:szCs w:val="24"/>
          <w:highlight w:val="none"/>
        </w:rPr>
        <w:t xml:space="preserve">重点产业经营主体监测大屏</w:t>
      </w:r>
      <w:r>
        <w:rPr>
          <w:rFonts w:hint="eastAsia" w:ascii="宋体" w:hAnsi="宋体"/>
          <w:bCs/>
          <w:color w:val="000000" w:themeColor="text1"/>
          <w:sz w:val="24"/>
          <w:szCs w:val="24"/>
          <w:highlight w:val="none"/>
        </w:rPr>
        <w:t xml:space="preserve">、⑥</w:t>
      </w:r>
      <w:r>
        <w:rPr>
          <w:rFonts w:hint="eastAsia"/>
          <w:color w:val="000000" w:themeColor="text1"/>
          <w:sz w:val="24"/>
          <w:szCs w:val="24"/>
          <w:highlight w:val="none"/>
        </w:rPr>
        <w:t xml:space="preserve">高成长高衰减行业监测大屏</w:t>
      </w:r>
      <w:r>
        <w:rPr>
          <w:rFonts w:hint="eastAsia" w:ascii="宋体" w:hAnsi="宋体"/>
          <w:bCs/>
          <w:color w:val="000000" w:themeColor="text1"/>
          <w:sz w:val="24"/>
          <w:szCs w:val="24"/>
          <w:highlight w:val="none"/>
        </w:rPr>
        <w:t xml:space="preserve">、⑦</w:t>
      </w:r>
      <w:r>
        <w:rPr>
          <w:rFonts w:hint="eastAsia"/>
          <w:color w:val="000000" w:themeColor="text1"/>
          <w:sz w:val="24"/>
          <w:szCs w:val="24"/>
          <w:highlight w:val="none"/>
        </w:rPr>
        <w:t xml:space="preserve">市级一屏览全局</w:t>
      </w:r>
      <w:r>
        <w:rPr>
          <w:rFonts w:hint="eastAsia" w:ascii="宋体" w:hAnsi="宋体"/>
          <w:bCs/>
          <w:color w:val="000000" w:themeColor="text1"/>
          <w:sz w:val="24"/>
          <w:szCs w:val="24"/>
          <w:highlight w:val="none"/>
        </w:rPr>
        <w:t xml:space="preserve">、⑧</w:t>
      </w:r>
      <w:r>
        <w:rPr>
          <w:rFonts w:hint="eastAsia"/>
          <w:color w:val="000000" w:themeColor="text1"/>
          <w:sz w:val="24"/>
          <w:szCs w:val="24"/>
          <w:highlight w:val="none"/>
        </w:rPr>
        <w:t xml:space="preserve">区县级一屏览全局</w:t>
      </w:r>
      <w:r>
        <w:rPr>
          <w:rFonts w:hint="eastAsia" w:ascii="宋体" w:hAnsi="宋体"/>
          <w:bCs/>
          <w:color w:val="000000" w:themeColor="text1"/>
          <w:sz w:val="24"/>
          <w:szCs w:val="24"/>
          <w:highlight w:val="none"/>
        </w:rPr>
        <w:t xml:space="preserve">、⑨</w:t>
      </w:r>
      <w:r>
        <w:rPr>
          <w:rFonts w:hint="eastAsia"/>
          <w:color w:val="000000" w:themeColor="text1"/>
          <w:sz w:val="24"/>
          <w:szCs w:val="24"/>
          <w:highlight w:val="none"/>
        </w:rPr>
        <w:t xml:space="preserve">分局级一屏览全局</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hint="eastAsia" w:ascii="宋体" w:hAnsi="宋体"/>
          <w:bCs/>
          <w:color w:val="000000" w:themeColor="text1"/>
          <w:sz w:val="24"/>
          <w:szCs w:val="24"/>
          <w:highlight w:val="none"/>
        </w:rPr>
        <w:t xml:space="preserve">7-8</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方案完整性一般，科学合理性一般，设计清晰详细程度一般，能够符合本项目需求，能够提供上述</w:t>
      </w:r>
      <w:r>
        <w:rPr>
          <w:rFonts w:hint="eastAsia" w:ascii="宋体" w:hAnsi="宋体"/>
          <w:bCs/>
          <w:color w:val="000000" w:themeColor="text1"/>
          <w:sz w:val="24"/>
          <w:szCs w:val="24"/>
          <w:highlight w:val="none"/>
        </w:rPr>
        <w:t xml:space="preserve">5-6</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方案完整性、科学合理性、设计的清晰详细程度等只能基本满足要求，能够提供上述</w:t>
      </w:r>
      <w:r>
        <w:rPr>
          <w:rFonts w:hint="eastAsia" w:ascii="宋体" w:hAnsi="宋体"/>
          <w:bCs/>
          <w:color w:val="000000" w:themeColor="text1"/>
          <w:sz w:val="24"/>
          <w:szCs w:val="24"/>
          <w:highlight w:val="none"/>
        </w:rPr>
        <w:t xml:space="preserve">3-4</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ind w:firstLine="480"/>
        <w:spacing w:line="500" w:lineRule="exact"/>
        <w:tabs>
          <w:tab w:val="left" w:pos="945" w:leader="none"/>
          <w:tab w:val="left" w:pos="1155" w:leader="none"/>
          <w:tab w:val="left" w:pos="3823"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4.11  </w:t>
      </w:r>
      <w:r>
        <w:rPr>
          <w:rFonts w:hint="eastAsia" w:ascii="宋体" w:hAnsi="宋体"/>
          <w:bCs/>
          <w:color w:val="000000" w:themeColor="text1"/>
          <w:sz w:val="24"/>
          <w:szCs w:val="24"/>
          <w:highlight w:val="none"/>
        </w:rPr>
        <w:t xml:space="preserve">售后服务方案（5分）:内容包括：①售后服务承诺、②售后服务措施、③项目实施进度、④项目实施方案、⑤实施人员等内容。</w:t>
      </w:r>
      <w:r>
        <w:rPr>
          <w:color w:val="000000" w:themeColor="text1"/>
          <w:highlight w:val="none"/>
        </w:rPr>
      </w:r>
      <w:r/>
    </w:p>
    <w:p>
      <w:pPr>
        <w:pStyle w:val="885"/>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方案完整，科学合理，设计清晰详细，完全符合本项目需求，且能够提供上述</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项全部方案的，得</w:t>
      </w:r>
      <w:r>
        <w:rPr>
          <w:rFonts w:hint="eastAsia"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方案较完整，科学合理性较强，设计较清晰详细，能够符合本项目需求，能够提供上述</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方案完整性一般，科学合理性一般，设计清晰详细程度一般，能够符合本项目需求，能够提供上述</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方案完整性、科学合理性、设计的清晰详细程度等只能基本满足要求，能够提供上述</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项方案的，得</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提供方案不足</w:t>
      </w:r>
      <w:r>
        <w:rPr>
          <w:rFonts w:hint="eastAsia"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项或无方案的，不得分</w:t>
      </w:r>
      <w:r>
        <w:rPr>
          <w:rFonts w:hint="eastAsia" w:ascii="宋体" w:hAnsi="宋体"/>
          <w:bCs/>
          <w:color w:val="000000" w:themeColor="text1"/>
          <w:sz w:val="24"/>
          <w:szCs w:val="24"/>
          <w:highlight w:val="none"/>
        </w:rPr>
        <w:t xml:space="preserve">。</w:t>
      </w:r>
      <w:r>
        <w:rPr>
          <w:color w:val="000000" w:themeColor="text1"/>
          <w:highlight w:val="none"/>
        </w:rPr>
      </w:r>
      <w:r/>
    </w:p>
    <w:p>
      <w:pPr>
        <w:pStyle w:val="885"/>
        <w:numPr>
          <w:ilvl w:val="4"/>
          <w:numId w:val="8"/>
        </w:numPr>
        <w:ind w:left="0" w:firstLine="482"/>
        <w:spacing w:line="500" w:lineRule="exact"/>
        <w:tabs>
          <w:tab w:val="left" w:pos="525" w:leader="none"/>
          <w:tab w:val="left" w:pos="945" w:leader="none"/>
          <w:tab w:val="left" w:pos="1155" w:leader="none"/>
          <w:tab w:val="clear" w:pos="2250" w:leader="none"/>
        </w:tabs>
        <w:rPr>
          <w:rFonts w:ascii="宋体" w:hAnsi="宋体"/>
          <w:color w:val="000000" w:themeColor="text1"/>
          <w:sz w:val="24"/>
          <w:highlight w:val="none"/>
        </w:rPr>
      </w:pPr>
      <w:r>
        <w:rPr>
          <w:rFonts w:hint="eastAsia" w:ascii="宋体" w:hAnsi="宋体"/>
          <w:b/>
          <w:bCs/>
          <w:color w:val="000000" w:themeColor="text1"/>
          <w:sz w:val="24"/>
          <w:szCs w:val="24"/>
          <w:highlight w:val="none"/>
        </w:rPr>
        <w:t xml:space="preserve">演示（7分）：</w:t>
      </w:r>
      <w:r>
        <w:rPr>
          <w:rFonts w:hint="eastAsia" w:ascii="宋体" w:hAnsi="宋体"/>
          <w:bCs/>
          <w:color w:val="000000" w:themeColor="text1"/>
          <w:sz w:val="24"/>
          <w:szCs w:val="24"/>
          <w:highlight w:val="none"/>
        </w:rPr>
        <w:t xml:space="preserve">演示必须是目前正在运行的真实环境或模拟环境，不得使用PPT演示稿或录屏、截图等其他方式演示。演示时间不超过</w:t>
      </w:r>
      <w:r>
        <w:rPr>
          <w:rFonts w:hint="eastAsia" w:ascii="宋体" w:hAnsi="宋体"/>
          <w:bCs/>
          <w:color w:val="000000" w:themeColor="text1"/>
          <w:sz w:val="24"/>
          <w:szCs w:val="24"/>
          <w:highlight w:val="none"/>
        </w:rPr>
        <w:t xml:space="preserve">15分钟</w:t>
      </w:r>
      <w:r>
        <w:rPr>
          <w:rFonts w:hint="eastAsia" w:ascii="宋体" w:hAnsi="宋体"/>
          <w:bCs/>
          <w:color w:val="000000" w:themeColor="text1"/>
          <w:sz w:val="24"/>
          <w:szCs w:val="24"/>
          <w:highlight w:val="none"/>
        </w:rPr>
        <w:t xml:space="preserve">，无演示不得分。本项目演示为投标人在线提供演示，投标人无需到现场，关于在线演示操作，详见《操作手册》。投标人提供演示的须自行配备好演示所需设备（包括：电脑、摄像头、耳机、麦克风、网络环境等），并确保有人随时响应演示请求以及演示时网络的通畅，不能按时响应演示请求的视为无演示，不得分。</w:t>
      </w:r>
      <w:r>
        <w:rPr>
          <w:rFonts w:hint="eastAsia" w:ascii="宋体" w:hAnsi="宋体"/>
          <w:color w:val="000000" w:themeColor="text1"/>
          <w:sz w:val="24"/>
          <w:highlight w:val="none"/>
        </w:rPr>
        <w:t xml:space="preserve"> </w:t>
      </w:r>
      <w:r>
        <w:rPr>
          <w:color w:val="000000" w:themeColor="text1"/>
          <w:highlight w:val="none"/>
        </w:rPr>
      </w:r>
      <w:r/>
    </w:p>
    <w:p>
      <w:pPr>
        <w:pStyle w:val="885"/>
        <w:ind w:firstLine="482"/>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5.1  企业风险预警演示（1.5分）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(1)展示企业风险预警清单，可以根据不同条件查询对应条件下的风险清单。（0.5分）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(2)设计企业风险预警模型，指标项应包括一地多企、变更频繁、异常名录等，支持调整模型的指标、权重以及阈值，模型调整后企业风险指数实时变化。（0.5分）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3）生成风险企业、风险等级、风险类别等测算结果，并支持调整前后数据的对比。（0.5分）</w:t>
      </w:r>
      <w:r>
        <w:rPr>
          <w:color w:val="000000" w:themeColor="text1"/>
          <w:highlight w:val="none"/>
        </w:rPr>
      </w:r>
      <w:r/>
    </w:p>
    <w:p>
      <w:pPr>
        <w:pStyle w:val="885"/>
        <w:ind w:firstLine="482"/>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5.2  针对专业领域信用风险等级分级分类系统中查询分析引用数据处理功能的演示（1.5分）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(1)数据采集：支持通过图形化拖、拉、拽的操作方式将市场主体、工业产品生产主体等</w:t>
      </w:r>
      <w:r>
        <w:rPr>
          <w:rFonts w:ascii="宋体" w:hAnsi="宋体"/>
          <w:bCs/>
          <w:color w:val="000000" w:themeColor="text1"/>
          <w:sz w:val="24"/>
          <w:szCs w:val="24"/>
          <w:highlight w:val="none"/>
        </w:rPr>
        <w:t xml:space="preserve">excel</w:t>
      </w:r>
      <w:r>
        <w:rPr>
          <w:rFonts w:hint="eastAsia" w:ascii="宋体" w:hAnsi="宋体"/>
          <w:bCs/>
          <w:color w:val="000000" w:themeColor="text1"/>
          <w:sz w:val="24"/>
          <w:szCs w:val="24"/>
          <w:highlight w:val="none"/>
        </w:rPr>
        <w:t xml:space="preserve">样例数据导入数据库。（0.5分）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(2)数据关联加工：支持通过可视化拖、拉、拽的操作方式实现将导入工业产品生产主体与市场主体数据进行关联，至少包括文件或数据库表关联、行列转换、文字转换成</w:t>
      </w:r>
      <w:r>
        <w:rPr>
          <w:rFonts w:ascii="宋体" w:hAnsi="宋体"/>
          <w:bCs/>
          <w:color w:val="000000" w:themeColor="text1"/>
          <w:sz w:val="24"/>
          <w:szCs w:val="24"/>
          <w:highlight w:val="none"/>
        </w:rPr>
        <w:t xml:space="preserve">id</w:t>
      </w:r>
      <w:r>
        <w:rPr>
          <w:rFonts w:hint="eastAsia" w:ascii="宋体" w:hAnsi="宋体"/>
          <w:bCs/>
          <w:color w:val="000000" w:themeColor="text1"/>
          <w:sz w:val="24"/>
          <w:szCs w:val="24"/>
          <w:highlight w:val="none"/>
        </w:rPr>
        <w:t xml:space="preserve">、显示隐藏字段、大小写转换、过滤、排序等操作，数据加工每一步操作都有对应节点进行记录，支持任意回退、重做操作，对上述关联的结果数据按任意维度进行分组统计（对应数据库聚合操作〉，对结果数据点击任意字段，可在加工流程图上查看该字段的加工路径。（0.5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(3)数据加工计划任务：可定制数据加工任务，根据各任务的前后流程依赖关系，自动生成任务调度作业计划，生成的作业计划中应智能确定串行或并行作业顺序。（0.5分）</w:t>
      </w:r>
      <w:r>
        <w:rPr>
          <w:color w:val="000000" w:themeColor="text1"/>
          <w:highlight w:val="none"/>
        </w:rPr>
      </w:r>
      <w:r/>
    </w:p>
    <w:p>
      <w:pPr>
        <w:pStyle w:val="885"/>
        <w:ind w:firstLine="482"/>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5.3  数据分析能力演示（1.5分）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(1)数据分析应用工具：通过拖、拉、拽的可视化操作方式制作一张反映无锡市市场主体监管工作总体情况的可视化图表，要求页面中包含柱状图、线状图、面积图、无锡市地图、表格等。（0.5分）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(2)页面展示风格多样化：为满足不同用户喜好需求，制作完成的可视化图表支持一键切换展示风格，支持在线设计成适合移动端展示的页面（0.5分）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(3)可复用导出：支持将在业市场主体情况分析页面一键无失真导出成非图片格式的</w:t>
      </w:r>
      <w:r>
        <w:rPr>
          <w:rFonts w:ascii="宋体" w:hAnsi="宋体"/>
          <w:bCs/>
          <w:color w:val="000000" w:themeColor="text1"/>
          <w:sz w:val="24"/>
          <w:szCs w:val="24"/>
          <w:highlight w:val="none"/>
        </w:rPr>
        <w:t xml:space="preserve">PPT</w:t>
      </w:r>
      <w:r>
        <w:rPr>
          <w:rFonts w:hint="eastAsia" w:ascii="宋体" w:hAnsi="宋体"/>
          <w:bCs/>
          <w:color w:val="000000" w:themeColor="text1"/>
          <w:sz w:val="24"/>
          <w:szCs w:val="24"/>
          <w:highlight w:val="none"/>
        </w:rPr>
        <w:t xml:space="preserve">文件，导出的</w:t>
      </w:r>
      <w:r>
        <w:rPr>
          <w:rFonts w:ascii="宋体" w:hAnsi="宋体"/>
          <w:bCs/>
          <w:color w:val="000000" w:themeColor="text1"/>
          <w:sz w:val="24"/>
          <w:szCs w:val="24"/>
          <w:highlight w:val="none"/>
        </w:rPr>
        <w:t xml:space="preserve">PPT</w:t>
      </w:r>
      <w:r>
        <w:rPr>
          <w:rFonts w:hint="eastAsia" w:ascii="宋体" w:hAnsi="宋体"/>
          <w:bCs/>
          <w:color w:val="000000" w:themeColor="text1"/>
          <w:sz w:val="24"/>
          <w:szCs w:val="24"/>
          <w:highlight w:val="none"/>
        </w:rPr>
        <w:t xml:space="preserve">可以继续编辑，支持修改地图颜色。（0.5分）</w:t>
      </w:r>
      <w:r>
        <w:rPr>
          <w:color w:val="000000" w:themeColor="text1"/>
          <w:highlight w:val="none"/>
        </w:rPr>
      </w:r>
      <w:r/>
    </w:p>
    <w:p>
      <w:pPr>
        <w:pStyle w:val="885"/>
        <w:ind w:firstLine="482"/>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5.4  综合查询演示（1分）</w:t>
      </w:r>
      <w:r>
        <w:rPr>
          <w:color w:val="000000" w:themeColor="text1"/>
          <w:highlight w:val="none"/>
        </w:rPr>
      </w:r>
      <w:r/>
    </w:p>
    <w:p>
      <w:pPr>
        <w:pStyle w:val="885"/>
        <w:ind w:firstLine="480"/>
        <w:rPr>
          <w:rFonts w:ascii="宋体" w:hAnsi="宋体"/>
          <w:bCs/>
          <w:color w:val="000000" w:themeColor="text1"/>
          <w:sz w:val="24"/>
          <w:szCs w:val="24"/>
          <w:highlight w:val="none"/>
        </w:rPr>
      </w:pPr>
      <w:r>
        <w:rPr>
          <w:color w:val="000000" w:themeColor="text1"/>
          <w:highlight w:val="none"/>
        </w:rPr>
      </w:r>
      <w:bookmarkStart w:id="201" w:name="OLE_LINK7"/>
      <w:r>
        <w:rPr>
          <w:rFonts w:hint="eastAsia" w:ascii="宋体" w:hAnsi="宋体"/>
          <w:bCs/>
          <w:color w:val="000000" w:themeColor="text1"/>
          <w:sz w:val="24"/>
          <w:szCs w:val="24"/>
          <w:highlight w:val="none"/>
        </w:rPr>
        <w:t xml:space="preserve">(1)</w:t>
      </w:r>
      <w:bookmarkEnd w:id="201"/>
      <w:r>
        <w:rPr>
          <w:rFonts w:hint="eastAsia" w:ascii="宋体" w:hAnsi="宋体"/>
          <w:bCs/>
          <w:color w:val="000000" w:themeColor="text1"/>
          <w:sz w:val="24"/>
          <w:szCs w:val="24"/>
          <w:highlight w:val="none"/>
        </w:rPr>
        <w:t xml:space="preserve">演示市场主体登记信息的综合查询功能，可根据条件参数灵活查询市场主体登记信息，能支持丰富的查询模型，可以任意添加查询条件，可配置不同的查询模式，如等于、大于、小于、包含、不包含、开头是等，并支持同时使用数据标签组合查询。（0.5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(2)综合查询功能支持自由选择查询输出项；支持回溯到任意历史时点进行数据查询；支持保存常用的查询条件模板；查询结果支持在</w:t>
      </w:r>
      <w:r>
        <w:rPr>
          <w:rFonts w:ascii="宋体" w:hAnsi="宋体"/>
          <w:bCs/>
          <w:color w:val="000000" w:themeColor="text1"/>
          <w:sz w:val="24"/>
          <w:szCs w:val="24"/>
          <w:highlight w:val="none"/>
        </w:rPr>
        <w:t xml:space="preserve">GIS</w:t>
      </w:r>
      <w:r>
        <w:rPr>
          <w:rFonts w:hint="eastAsia" w:ascii="宋体" w:hAnsi="宋体"/>
          <w:bCs/>
          <w:color w:val="000000" w:themeColor="text1"/>
          <w:sz w:val="24"/>
          <w:szCs w:val="24"/>
          <w:highlight w:val="none"/>
        </w:rPr>
        <w:t xml:space="preserve">上展示，并支持以散点图、热力图等</w:t>
      </w:r>
      <w:r>
        <w:rPr>
          <w:rFonts w:ascii="宋体" w:hAnsi="宋体"/>
          <w:bCs/>
          <w:color w:val="000000" w:themeColor="text1"/>
          <w:sz w:val="24"/>
          <w:szCs w:val="24"/>
          <w:highlight w:val="none"/>
        </w:rPr>
        <w:t xml:space="preserve">GIS</w:t>
      </w:r>
      <w:r>
        <w:rPr>
          <w:rFonts w:hint="eastAsia" w:ascii="宋体" w:hAnsi="宋体"/>
          <w:bCs/>
          <w:color w:val="000000" w:themeColor="text1"/>
          <w:sz w:val="24"/>
          <w:szCs w:val="24"/>
          <w:highlight w:val="none"/>
        </w:rPr>
        <w:t xml:space="preserve">展示方式，可点击任意</w:t>
      </w:r>
      <w:r>
        <w:rPr>
          <w:rFonts w:ascii="宋体" w:hAnsi="宋体"/>
          <w:bCs/>
          <w:color w:val="000000" w:themeColor="text1"/>
          <w:sz w:val="24"/>
          <w:szCs w:val="24"/>
          <w:highlight w:val="none"/>
        </w:rPr>
        <w:t xml:space="preserve">GIS</w:t>
      </w:r>
      <w:r>
        <w:rPr>
          <w:rFonts w:hint="eastAsia" w:ascii="宋体" w:hAnsi="宋体"/>
          <w:bCs/>
          <w:color w:val="000000" w:themeColor="text1"/>
          <w:sz w:val="24"/>
          <w:szCs w:val="24"/>
          <w:highlight w:val="none"/>
        </w:rPr>
        <w:t xml:space="preserve">坐标点查看相关主体的全景画像信息。（0.5分）</w:t>
      </w:r>
      <w:r>
        <w:rPr>
          <w:color w:val="000000" w:themeColor="text1"/>
          <w:highlight w:val="none"/>
        </w:rPr>
      </w:r>
      <w:r/>
    </w:p>
    <w:p>
      <w:pPr>
        <w:pStyle w:val="885"/>
        <w:ind w:firstLine="482"/>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5.5  针对工业产品生产销售企业监管子系统中关于日常监督管理的移动执法功能演示（1.5分）</w:t>
      </w:r>
      <w:r>
        <w:rPr>
          <w:color w:val="000000" w:themeColor="text1"/>
          <w:highlight w:val="none"/>
        </w:rPr>
      </w:r>
      <w:r/>
    </w:p>
    <w:p>
      <w:pPr>
        <w:pStyle w:val="885"/>
        <w:ind w:firstLine="480"/>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演示检查人员在</w:t>
      </w:r>
      <w:r>
        <w:rPr>
          <w:rFonts w:hint="eastAsia" w:ascii="宋体" w:hAnsi="宋体"/>
          <w:bCs/>
          <w:color w:val="000000" w:themeColor="text1"/>
          <w:sz w:val="24"/>
          <w:szCs w:val="24"/>
          <w:highlight w:val="none"/>
        </w:rPr>
        <w:t xml:space="preserve">工业产品销售</w:t>
      </w:r>
      <w:r>
        <w:rPr>
          <w:rFonts w:ascii="宋体" w:hAnsi="宋体"/>
          <w:bCs/>
          <w:color w:val="000000" w:themeColor="text1"/>
          <w:sz w:val="24"/>
          <w:szCs w:val="24"/>
          <w:highlight w:val="none"/>
        </w:rPr>
        <w:t xml:space="preserve">企业现场实地检查，检查完成后直接通过移动端录入检查结果，</w:t>
      </w:r>
      <w:r>
        <w:rPr>
          <w:rFonts w:hint="eastAsia" w:ascii="宋体" w:hAnsi="宋体"/>
          <w:bCs/>
          <w:color w:val="000000" w:themeColor="text1"/>
          <w:sz w:val="24"/>
          <w:szCs w:val="24"/>
          <w:highlight w:val="none"/>
        </w:rPr>
        <w:t xml:space="preserve">支持同时录入多个检查事项的检查情况，支持对单个检查事项上传视频、图片等证据</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0.5</w:t>
      </w:r>
      <w:r>
        <w:rPr>
          <w:rFonts w:ascii="宋体" w:hAnsi="宋体"/>
          <w:bCs/>
          <w:color w:val="000000" w:themeColor="text1"/>
          <w:sz w:val="24"/>
          <w:szCs w:val="24"/>
          <w:highlight w:val="none"/>
        </w:rPr>
        <w:t xml:space="preserve">分）</w:t>
      </w:r>
      <w:r>
        <w:rPr>
          <w:color w:val="000000" w:themeColor="text1"/>
          <w:highlight w:val="none"/>
        </w:rPr>
      </w:r>
      <w:r/>
    </w:p>
    <w:p>
      <w:pPr>
        <w:pStyle w:val="885"/>
        <w:ind w:firstLine="48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(2)检查完毕后，支持生成电子版《现场检查记录表》，并支持根据检查人员的所属县区加盖区县一级市场监督管理局电子印章，同时支持执法文书电子化送达。（1分）</w:t>
      </w:r>
      <w:r>
        <w:rPr>
          <w:color w:val="000000" w:themeColor="text1"/>
          <w:highlight w:val="none"/>
        </w:rPr>
      </w:r>
      <w:r/>
    </w:p>
    <w:p>
      <w:pPr>
        <w:pStyle w:val="973"/>
        <w:ind w:firstLine="0"/>
        <w:spacing w:before="0" w:after="0" w:line="500" w:lineRule="exact"/>
        <w:rPr>
          <w:rFonts w:hint="eastAsia" w:ascii="宋体" w:hAnsi="宋体"/>
          <w:color w:val="000000" w:themeColor="text1"/>
          <w:highlight w:val="none"/>
        </w:rPr>
      </w:pPr>
      <w:r>
        <w:rPr>
          <w:rFonts w:ascii="宋体" w:hAnsi="宋体"/>
          <w:color w:val="000000" w:themeColor="text1"/>
          <w:highlight w:val="none"/>
        </w:rPr>
        <w:br w:type="page" w:clear="all"/>
      </w:r>
      <w:r>
        <w:rPr>
          <w:rFonts w:hint="eastAsia" w:ascii="黑体" w:eastAsia="黑体"/>
          <w:bCs/>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4"/>
      <w:r>
        <w:rPr>
          <w:rFonts w:hint="eastAsia" w:ascii="黑体" w:eastAsia="黑体"/>
          <w:bCs/>
          <w:color w:val="000000" w:themeColor="text1"/>
          <w:sz w:val="36"/>
          <w:szCs w:val="36"/>
          <w:highlight w:val="none"/>
        </w:rPr>
        <w:t xml:space="preserve">投标文件内容与格式</w:t>
      </w:r>
      <w:r>
        <w:rPr>
          <w:color w:val="000000" w:themeColor="text1"/>
          <w:highlight w:val="none"/>
        </w:rPr>
      </w:r>
      <w:r/>
    </w:p>
    <w:p>
      <w:pPr>
        <w:pStyle w:val="973"/>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202" w:name="_Hlt26671244"/>
      <w:r>
        <w:rPr>
          <w:color w:val="000000" w:themeColor="text1"/>
          <w:highlight w:val="none"/>
        </w:rPr>
      </w:r>
      <w:bookmarkEnd w:id="202"/>
      <w:r>
        <w:rPr>
          <w:color w:val="000000" w:themeColor="text1"/>
          <w:highlight w:val="none"/>
        </w:rPr>
      </w:r>
      <w:bookmarkStart w:id="203" w:name="_Toc49090576"/>
      <w:r>
        <w:rPr>
          <w:color w:val="000000" w:themeColor="text1"/>
          <w:highlight w:val="none"/>
        </w:rPr>
      </w:r>
      <w:bookmarkStart w:id="204" w:name="_Toc120614282"/>
      <w:r>
        <w:rPr>
          <w:color w:val="000000" w:themeColor="text1"/>
          <w:highlight w:val="none"/>
        </w:rPr>
      </w:r>
      <w:bookmarkStart w:id="205" w:name="_Toc26554094"/>
      <w:r>
        <w:rPr>
          <w:color w:val="000000" w:themeColor="text1"/>
          <w:highlight w:val="none"/>
        </w:rPr>
      </w:r>
      <w:bookmarkStart w:id="206" w:name="_Hlt26955039"/>
      <w:r>
        <w:rPr>
          <w:color w:val="000000" w:themeColor="text1"/>
          <w:highlight w:val="none"/>
        </w:rPr>
      </w:r>
      <w:bookmarkEnd w:id="206"/>
      <w:r>
        <w:rPr>
          <w:rFonts w:hint="eastAsia" w:cs="Arial"/>
          <w:b/>
          <w:color w:val="000000" w:themeColor="text1"/>
          <w:sz w:val="30"/>
          <w:szCs w:val="30"/>
          <w:highlight w:val="none"/>
        </w:rPr>
        <w:t xml:space="preserve">第一部分  投标文件内容</w:t>
      </w:r>
      <w:r>
        <w:rPr>
          <w:color w:val="000000" w:themeColor="text1"/>
          <w:highlight w:val="none"/>
        </w:rPr>
      </w:r>
      <w:r/>
    </w:p>
    <w:p>
      <w:pPr>
        <w:pStyle w:val="973"/>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color w:val="000000" w:themeColor="text1"/>
          <w:highlight w:val="none"/>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3"/>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color w:val="000000" w:themeColor="text1"/>
                <w:highlight w:val="none"/>
              </w:rPr>
            </w:r>
            <w:r/>
          </w:p>
        </w:tc>
        <w:tc>
          <w:tcPr>
            <w:tcW w:w="6104" w:type="dxa"/>
            <w:vAlign w:val="center"/>
            <w:textDirection w:val="lrTb"/>
            <w:noWrap w:val="false"/>
          </w:tcPr>
          <w:p>
            <w:pPr>
              <w:pStyle w:val="973"/>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2449" w:type="dxa"/>
            <w:vAlign w:val="center"/>
            <w:textDirection w:val="lrTb"/>
            <w:noWrap w:val="false"/>
          </w:tcPr>
          <w:p>
            <w:pPr>
              <w:pStyle w:val="973"/>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color w:val="000000" w:themeColor="text1"/>
                <w:highlight w:val="none"/>
              </w:rPr>
            </w:r>
            <w:r/>
          </w:p>
        </w:tc>
      </w:tr>
      <w:tr>
        <w:trPr>
          <w:cantSplit/>
          <w:trHeight w:val="1335"/>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000000" w:themeColor="text1"/>
                <w:highlight w:val="none"/>
              </w:rPr>
            </w:r>
            <w:r/>
          </w:p>
        </w:tc>
        <w:tc>
          <w:tcPr>
            <w:tcW w:w="2449" w:type="dxa"/>
            <w:vAlign w:val="center"/>
            <w:vMerge w:val="restart"/>
            <w:textDirection w:val="lrTb"/>
            <w:noWrap w:val="false"/>
          </w:tcPr>
          <w:p>
            <w:pPr>
              <w:pStyle w:val="973"/>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color w:val="000000" w:themeColor="text1"/>
                <w:highlight w:val="none"/>
              </w:rPr>
            </w:r>
            <w:r/>
          </w:p>
        </w:tc>
      </w:tr>
      <w:tr>
        <w:trPr>
          <w:cantSplit/>
          <w:trHeight w:val="812"/>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color w:val="000000" w:themeColor="text1"/>
                <w:highlight w:val="none"/>
              </w:rPr>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2"/>
                <w:rFonts w:hint="eastAsia" w:ascii="宋体" w:hAnsi="宋体" w:cs="宋体"/>
                <w:color w:val="000000" w:themeColor="text1"/>
                <w:sz w:val="24"/>
                <w:szCs w:val="24"/>
                <w:highlight w:val="none"/>
              </w:rPr>
              <w:t xml:space="preserve">。</w:t>
            </w:r>
            <w:r>
              <w:rPr>
                <w:color w:val="000000" w:themeColor="text1"/>
                <w:highlight w:val="none"/>
              </w:rPr>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color w:val="000000" w:themeColor="text1"/>
                <w:highlight w:val="none"/>
              </w:rPr>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Borders>
              <w:bottom w:val="single" w:color="000000" w:sz="4" w:space="0"/>
            </w:tcBorders>
            <w:tcW w:w="6104" w:type="dxa"/>
            <w:vAlign w:val="center"/>
            <w:textDirection w:val="lrTb"/>
            <w:noWrap w:val="false"/>
          </w:tcPr>
          <w:p>
            <w:pPr>
              <w:pStyle w:val="973"/>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color w:val="000000" w:themeColor="text1"/>
                <w:highlight w:val="none"/>
              </w:rPr>
            </w:r>
            <w:r/>
          </w:p>
        </w:tc>
        <w:tc>
          <w:tcPr>
            <w:tcW w:w="2449" w:type="dxa"/>
            <w:vAlign w:val="center"/>
            <w:vMerge w:val="continue"/>
            <w:textDirection w:val="lrTb"/>
            <w:noWrap w:val="false"/>
          </w:tcPr>
          <w:p>
            <w:pPr>
              <w:pStyle w:val="97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3"/>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color w:val="000000" w:themeColor="text1"/>
                <w:highlight w:val="none"/>
              </w:rPr>
            </w:r>
            <w:r/>
          </w:p>
        </w:tc>
        <w:tc>
          <w:tcPr>
            <w:tcW w:w="6104" w:type="dxa"/>
            <w:vAlign w:val="center"/>
            <w:textDirection w:val="lrTb"/>
            <w:noWrap w:val="false"/>
          </w:tcPr>
          <w:p>
            <w:pPr>
              <w:pStyle w:val="973"/>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color w:val="000000" w:themeColor="text1"/>
                <w:highlight w:val="none"/>
              </w:rPr>
            </w:r>
            <w:r/>
          </w:p>
        </w:tc>
        <w:tc>
          <w:tcPr>
            <w:tcW w:w="2449" w:type="dxa"/>
            <w:vAlign w:val="center"/>
            <w:textDirection w:val="lrTb"/>
            <w:noWrap w:val="false"/>
          </w:tcPr>
          <w:p>
            <w:pPr>
              <w:pStyle w:val="973"/>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color w:val="000000" w:themeColor="text1"/>
                <w:highlight w:val="none"/>
              </w:rPr>
            </w:r>
            <w:r/>
          </w:p>
        </w:tc>
      </w:tr>
      <w:tr>
        <w:trPr>
          <w:trHeight w:val="726"/>
        </w:trPr>
        <w:tc>
          <w:tcPr>
            <w:tcW w:w="719" w:type="dxa"/>
            <w:vAlign w:val="center"/>
            <w:textDirection w:val="lrTb"/>
            <w:noWrap w:val="false"/>
          </w:tcPr>
          <w:p>
            <w:pPr>
              <w:pStyle w:val="973"/>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color w:val="000000" w:themeColor="text1"/>
                <w:highlight w:val="none"/>
              </w:rPr>
            </w:r>
            <w:r/>
          </w:p>
        </w:tc>
        <w:tc>
          <w:tcPr>
            <w:tcW w:w="6104" w:type="dxa"/>
            <w:vAlign w:val="center"/>
            <w:textDirection w:val="lrTb"/>
            <w:noWrap w:val="false"/>
          </w:tcPr>
          <w:p>
            <w:pPr>
              <w:pStyle w:val="973"/>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color w:val="000000" w:themeColor="text1"/>
                <w:highlight w:val="none"/>
              </w:rPr>
            </w:r>
            <w:r/>
          </w:p>
        </w:tc>
        <w:tc>
          <w:tcPr>
            <w:tcW w:w="2449" w:type="dxa"/>
            <w:vAlign w:val="center"/>
            <w:textDirection w:val="lrTb"/>
            <w:noWrap w:val="false"/>
          </w:tcPr>
          <w:p>
            <w:pPr>
              <w:pStyle w:val="973"/>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color w:val="000000" w:themeColor="text1"/>
                <w:highlight w:val="none"/>
              </w:rPr>
            </w:r>
            <w:r/>
          </w:p>
        </w:tc>
      </w:tr>
      <w:tr>
        <w:trPr>
          <w:trHeight w:val="632"/>
        </w:trPr>
        <w:tc>
          <w:tcPr>
            <w:tcW w:w="719" w:type="dxa"/>
            <w:vAlign w:val="center"/>
            <w:textDirection w:val="lrTb"/>
            <w:noWrap w:val="false"/>
          </w:tcPr>
          <w:p>
            <w:pPr>
              <w:pStyle w:val="973"/>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color w:val="000000" w:themeColor="text1"/>
                <w:highlight w:val="none"/>
              </w:rPr>
            </w:r>
            <w:r/>
          </w:p>
        </w:tc>
        <w:tc>
          <w:tcPr>
            <w:gridSpan w:val="2"/>
            <w:tcW w:w="8553" w:type="dxa"/>
            <w:vAlign w:val="center"/>
            <w:textDirection w:val="lrTb"/>
            <w:noWrap w:val="false"/>
          </w:tcPr>
          <w:p>
            <w:pPr>
              <w:pStyle w:val="973"/>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color w:val="000000" w:themeColor="text1"/>
                <w:highlight w:val="none"/>
              </w:rPr>
            </w:r>
            <w:r/>
          </w:p>
        </w:tc>
      </w:tr>
    </w:tbl>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85"/>
        <w:numPr>
          <w:ilvl w:val="0"/>
          <w:numId w:val="9"/>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r/>
    </w:p>
    <w:p>
      <w:pPr>
        <w:pStyle w:val="885"/>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color w:val="000000" w:themeColor="text1"/>
          <w:highlight w:val="none"/>
        </w:rPr>
      </w:r>
      <w:r/>
    </w:p>
    <w:p>
      <w:pPr>
        <w:pStyle w:val="885"/>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color w:val="000000" w:themeColor="text1"/>
          <w:highlight w:val="none"/>
        </w:rPr>
      </w:r>
      <w:r/>
    </w:p>
    <w:p>
      <w:pPr>
        <w:pStyle w:val="885"/>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000000" w:themeColor="text1"/>
          <w:highlight w:val="none"/>
        </w:rPr>
      </w:r>
      <w:r/>
    </w:p>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color w:val="000000" w:themeColor="text1"/>
          <w:highlight w:val="none"/>
        </w:rPr>
      </w:r>
      <w:r/>
    </w:p>
    <w:p>
      <w:pPr>
        <w:pStyle w:val="885"/>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color w:val="000000" w:themeColor="text1"/>
          <w:highlight w:val="none"/>
        </w:rPr>
      </w:r>
      <w:r/>
    </w:p>
    <w:p>
      <w:pPr>
        <w:pStyle w:val="885"/>
        <w:rPr>
          <w:b/>
          <w:color w:val="000000" w:themeColor="text1"/>
          <w:sz w:val="28"/>
          <w:szCs w:val="28"/>
          <w:highlight w:val="none"/>
        </w:rPr>
      </w:pPr>
      <w:r>
        <w:rPr>
          <w:rFonts w:hint="eastAsia"/>
          <w:b/>
          <w:color w:val="000000" w:themeColor="text1"/>
          <w:sz w:val="28"/>
          <w:szCs w:val="28"/>
          <w:highlight w:val="none"/>
        </w:rPr>
        <w:t xml:space="preserve">（一）符合性证明文件</w:t>
      </w:r>
      <w:r>
        <w:rPr>
          <w:color w:val="000000" w:themeColor="text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color w:val="000000" w:themeColor="text1"/>
                <w:highlight w:val="none"/>
              </w:rPr>
            </w:r>
            <w:r/>
          </w:p>
        </w:tc>
        <w:tc>
          <w:tcPr>
            <w:tcW w:w="6095"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color w:val="000000" w:themeColor="text1"/>
                <w:highlight w:val="none"/>
              </w:rPr>
            </w:r>
            <w:r/>
          </w:p>
        </w:tc>
        <w:tc>
          <w:tcPr>
            <w:tcW w:w="1979" w:type="dxa"/>
            <w:vAlign w:val="center"/>
            <w:textDirection w:val="lrTb"/>
            <w:noWrap w:val="false"/>
          </w:tcPr>
          <w:p>
            <w:pPr>
              <w:pStyle w:val="973"/>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color w:val="000000" w:themeColor="text1"/>
                <w:highlight w:val="none"/>
              </w:rPr>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color w:val="000000" w:themeColor="text1"/>
                <w:highlight w:val="none"/>
              </w:rPr>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color w:val="000000" w:themeColor="text1"/>
                <w:highlight w:val="none"/>
              </w:rPr>
            </w: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color w:val="000000" w:themeColor="text1"/>
                <w:highlight w:val="none"/>
              </w:rPr>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color w:val="000000" w:themeColor="text1"/>
                <w:highlight w:val="none"/>
              </w:rPr>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color w:val="000000" w:themeColor="text1"/>
                <w:highlight w:val="none"/>
              </w:rPr>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color w:val="000000" w:themeColor="text1"/>
                <w:highlight w:val="none"/>
              </w:rPr>
            </w: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color w:val="000000" w:themeColor="text1"/>
                <w:highlight w:val="none"/>
              </w:rPr>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r/>
          </w:p>
        </w:tc>
        <w:tc>
          <w:tcPr>
            <w:tcW w:w="6095" w:type="dxa"/>
            <w:vAlign w:val="center"/>
            <w:textDirection w:val="lrTb"/>
            <w:noWrap w:val="false"/>
          </w:tcPr>
          <w:p>
            <w:pPr>
              <w:pStyle w:val="973"/>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color w:val="000000" w:themeColor="text1"/>
                <w:highlight w:val="none"/>
              </w:rPr>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r/>
          </w:p>
        </w:tc>
        <w:tc>
          <w:tcPr>
            <w:tcW w:w="6095" w:type="dxa"/>
            <w:vAlign w:val="center"/>
            <w:textDirection w:val="lrTb"/>
            <w:noWrap w:val="false"/>
          </w:tcPr>
          <w:p>
            <w:pPr>
              <w:pStyle w:val="973"/>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color w:val="000000" w:themeColor="text1"/>
                <w:highlight w:val="none"/>
              </w:rPr>
            </w:r>
            <w:r/>
          </w:p>
        </w:tc>
        <w:tc>
          <w:tcPr>
            <w:tcW w:w="1979" w:type="dxa"/>
            <w:vAlign w:val="center"/>
            <w:vMerge w:val="restart"/>
            <w:textDirection w:val="lrTb"/>
            <w:noWrap w:val="false"/>
          </w:tcPr>
          <w:p>
            <w:pPr>
              <w:pStyle w:val="973"/>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color w:val="000000" w:themeColor="text1"/>
                <w:highlight w:val="none"/>
              </w:rPr>
            </w:r>
            <w:r/>
          </w:p>
        </w:tc>
      </w:tr>
      <w:tr>
        <w:trPr>
          <w:cantSplit/>
          <w:trHeight w:val="567"/>
        </w:trPr>
        <w:tc>
          <w:tcPr>
            <w:tcW w:w="823" w:type="dxa"/>
            <w:vAlign w:val="center"/>
            <w:textDirection w:val="lrTb"/>
            <w:noWrap w:val="false"/>
          </w:tcPr>
          <w:p>
            <w:pPr>
              <w:pStyle w:val="973"/>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r/>
          </w:p>
        </w:tc>
        <w:tc>
          <w:tcPr>
            <w:tcW w:w="6095" w:type="dxa"/>
            <w:vAlign w:val="center"/>
            <w:textDirection w:val="lrTb"/>
            <w:noWrap w:val="false"/>
          </w:tcPr>
          <w:p>
            <w:pPr>
              <w:pStyle w:val="973"/>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color w:val="000000" w:themeColor="text1"/>
                <w:highlight w:val="none"/>
              </w:rPr>
            </w:r>
            <w:r/>
          </w:p>
        </w:tc>
        <w:tc>
          <w:tcPr>
            <w:tcW w:w="1979" w:type="dxa"/>
            <w:vAlign w:val="center"/>
            <w:vMerge w:val="continue"/>
            <w:textDirection w:val="lrTb"/>
            <w:noWrap w:val="false"/>
          </w:tcPr>
          <w:p>
            <w:pPr>
              <w:pStyle w:val="973"/>
              <w:ind w:firstLine="0"/>
              <w:jc w:val="center"/>
              <w:spacing w:before="0" w:after="0" w:line="240" w:lineRule="auto"/>
              <w:rPr>
                <w:rFonts w:hint="eastAsia" w:cs="Arial"/>
              </w:rPr>
            </w:pPr>
            <w:r>
              <w:rPr>
                <w:rFonts w:hint="eastAsia" w:cs="Arial"/>
              </w:rPr>
            </w:r>
            <w:r/>
          </w:p>
        </w:tc>
      </w:tr>
    </w:tbl>
    <w:p>
      <w:pPr>
        <w:pStyle w:val="885"/>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color w:val="000000" w:themeColor="text1"/>
          <w:highlight w:val="none"/>
        </w:rPr>
      </w:r>
      <w:r/>
    </w:p>
    <w:p>
      <w:pPr>
        <w:pStyle w:val="885"/>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color w:val="000000" w:themeColor="text1"/>
          <w:highlight w:val="none"/>
        </w:rPr>
      </w:r>
      <w:r/>
    </w:p>
    <w:p>
      <w:pPr>
        <w:pStyle w:val="885"/>
        <w:numPr>
          <w:ilvl w:val="0"/>
          <w:numId w:val="10"/>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color w:val="000000" w:themeColor="text1"/>
          <w:highlight w:val="none"/>
        </w:rPr>
      </w:r>
      <w:r/>
    </w:p>
    <w:p>
      <w:pPr>
        <w:pStyle w:val="885"/>
        <w:numPr>
          <w:ilvl w:val="0"/>
          <w:numId w:val="10"/>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color w:val="000000" w:themeColor="text1"/>
          <w:highlight w:val="none"/>
        </w:rPr>
      </w:r>
      <w:r/>
    </w:p>
    <w:p>
      <w:pPr>
        <w:pStyle w:val="885"/>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r/>
    </w:p>
    <w:p>
      <w:pPr>
        <w:pStyle w:val="885"/>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color w:val="000000" w:themeColor="text1"/>
          <w:highlight w:val="none"/>
        </w:rPr>
      </w:r>
      <w:r/>
    </w:p>
    <w:p>
      <w:pPr>
        <w:pStyle w:val="885"/>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color w:val="000000" w:themeColor="text1"/>
          <w:highlight w:val="none"/>
        </w:rPr>
      </w:r>
      <w:r/>
    </w:p>
    <w:p>
      <w:pPr>
        <w:pStyle w:val="885"/>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color w:val="000000" w:themeColor="text1"/>
          <w:highlight w:val="none"/>
        </w:rPr>
      </w:r>
      <w:r/>
    </w:p>
    <w:p>
      <w:pPr>
        <w:pStyle w:val="885"/>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color w:val="000000" w:themeColor="text1"/>
          <w:highlight w:val="none"/>
        </w:rPr>
      </w:r>
      <w:r/>
    </w:p>
    <w:p>
      <w:pPr>
        <w:pStyle w:val="973"/>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r/>
    </w:p>
    <w:p>
      <w:pPr>
        <w:pStyle w:val="885"/>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rPr>
        <w:t xml:space="preserve">JSZC-320200-JZCG-G2025-0052</w:t>
      </w:r>
      <w:r>
        <w:rPr>
          <w:color w:val="000000" w:themeColor="text1"/>
          <w:highlight w:val="none"/>
        </w:rPr>
      </w:r>
      <w:r/>
    </w:p>
    <w:p>
      <w:pPr>
        <w:pStyle w:val="885"/>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rPr>
        <w:t xml:space="preserve">智慧市场监管（二期）（扩续建2024）</w:t>
      </w:r>
      <w:r>
        <w:rPr>
          <w:color w:val="000000" w:themeColor="text1"/>
          <w:highlight w:val="none"/>
        </w:rPr>
      </w:r>
      <w:r/>
    </w:p>
    <w:p>
      <w:pPr>
        <w:pStyle w:val="885"/>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color w:val="000000" w:themeColor="text1"/>
          <w:highlight w:val="none"/>
        </w:rPr>
      </w:r>
      <w:r/>
    </w:p>
    <w:p>
      <w:pPr>
        <w:pStyle w:val="885"/>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color w:val="000000" w:themeColor="text1"/>
          <w:highlight w:val="none"/>
        </w:rPr>
      </w:r>
      <w:r/>
    </w:p>
    <w:p>
      <w:pPr>
        <w:pStyle w:val="885"/>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color w:val="000000" w:themeColor="text1"/>
          <w:highlight w:val="none"/>
        </w:rPr>
      </w:r>
      <w:r/>
    </w:p>
    <w:p>
      <w:pPr>
        <w:pStyle w:val="885"/>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color w:val="000000" w:themeColor="text1"/>
          <w:highlight w:val="none"/>
        </w:rPr>
      </w:r>
      <w:r/>
    </w:p>
    <w:p>
      <w:pPr>
        <w:pStyle w:val="971"/>
        <w:ind w:firstLine="480"/>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rPr>
        <w:t xml:space="preserve">JSZC-320200-JZCG-G2025-0052</w:t>
      </w:r>
      <w:r>
        <w:rPr>
          <w:rFonts w:hint="eastAsia" w:ascii="宋体" w:hAnsi="宋体"/>
          <w:bCs/>
          <w:color w:val="000000" w:themeColor="text1"/>
          <w:sz w:val="24"/>
          <w:szCs w:val="24"/>
          <w:highlight w:val="none"/>
        </w:rPr>
        <w:t xml:space="preserve">项目，兹授权：</w:t>
      </w:r>
      <w:r>
        <w:rPr>
          <w:color w:val="000000" w:themeColor="text1"/>
          <w:highlight w:val="none"/>
        </w:rPr>
      </w:r>
      <w:r/>
    </w:p>
    <w:p>
      <w:pPr>
        <w:pStyle w:val="971"/>
        <w:ind w:firstLine="480"/>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71"/>
        <w:ind w:firstLine="480"/>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color w:val="000000" w:themeColor="text1"/>
          <w:highlight w:val="none"/>
        </w:rPr>
      </w:r>
      <w:r/>
    </w:p>
    <w:p>
      <w:pPr>
        <w:pStyle w:val="971"/>
        <w:ind w:firstLine="480"/>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color w:val="000000" w:themeColor="text1"/>
          <w:highlight w:val="none"/>
        </w:rPr>
      </w:r>
      <w:r/>
    </w:p>
    <w:p>
      <w:pPr>
        <w:pStyle w:val="971"/>
        <w:ind w:firstLine="480"/>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color w:val="000000" w:themeColor="text1"/>
          <w:highlight w:val="none"/>
        </w:rPr>
      </w:r>
      <w:r/>
    </w:p>
    <w:p>
      <w:pPr>
        <w:pStyle w:val="971"/>
        <w:ind w:firstLine="480"/>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color w:val="000000" w:themeColor="text1"/>
          <w:highlight w:val="none"/>
        </w:rPr>
      </w:r>
      <w:r/>
    </w:p>
    <w:p>
      <w:pPr>
        <w:pStyle w:val="971"/>
        <w:ind w:firstLine="0"/>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color w:val="000000" w:themeColor="text1"/>
          <w:highlight w:val="none"/>
        </w:rPr>
      </w:r>
      <w:r/>
    </w:p>
    <w:p>
      <w:pPr>
        <w:pStyle w:val="971"/>
        <w:ind w:firstLine="0"/>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color w:val="000000" w:themeColor="text1"/>
          <w:highlight w:val="none"/>
        </w:rPr>
      </w:r>
      <w:r/>
    </w:p>
    <w:p>
      <w:pPr>
        <w:pStyle w:val="971"/>
        <w:ind w:firstLine="0"/>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color w:val="000000" w:themeColor="text1"/>
          <w:highlight w:val="none"/>
        </w:rPr>
      </w:r>
      <w:r/>
    </w:p>
    <w:p>
      <w:pPr>
        <w:pStyle w:val="971"/>
        <w:ind w:firstLine="0"/>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r/>
    </w:p>
    <w:p>
      <w:pPr>
        <w:pStyle w:val="971"/>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rPr>
          <w:color w:val="000000" w:themeColor="text1"/>
          <w:highlight w:val="none"/>
        </w:rPr>
      </w:r>
      <w:r/>
    </w:p>
    <w:p>
      <w:pPr>
        <w:pStyle w:val="971"/>
        <w:numPr>
          <w:ilvl w:val="0"/>
          <w:numId w:val="11"/>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color w:val="000000" w:themeColor="text1"/>
          <w:highlight w:val="none"/>
        </w:rPr>
      </w:r>
      <w:r/>
    </w:p>
    <w:p>
      <w:pPr>
        <w:pStyle w:val="971"/>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color w:val="000000" w:themeColor="text1"/>
          <w:highlight w:val="none"/>
        </w:rPr>
      </w:r>
      <w:r/>
    </w:p>
    <w:p>
      <w:pPr>
        <w:pStyle w:val="971"/>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color w:val="000000" w:themeColor="text1"/>
          <w:highlight w:val="none"/>
        </w:rPr>
      </w:r>
      <w:r/>
    </w:p>
    <w:p>
      <w:pPr>
        <w:pStyle w:val="971"/>
        <w:numPr>
          <w:ilvl w:val="0"/>
          <w:numId w:val="11"/>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被授权人为外籍、港、澳、台地区人士的，其身份证明须提供有效的护照或港澳同胞来往内地通行证、台湾同胞来往大陆通行证，或其它可在中国大陆有效居留的许可证明。</w:t>
      </w:r>
      <w:r>
        <w:rPr>
          <w:color w:val="000000" w:themeColor="text1"/>
          <w:highlight w:val="none"/>
        </w:rPr>
      </w:r>
      <w:r/>
    </w:p>
    <w:p>
      <w:pPr>
        <w:pStyle w:val="971"/>
        <w:ind w:firstLine="0"/>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color w:val="000000" w:themeColor="text1"/>
          <w:highlight w:val="none"/>
        </w:rPr>
      </w:r>
      <w:r/>
    </w:p>
    <w:p>
      <w:pPr>
        <w:pStyle w:val="885"/>
        <w:jc w:val="center"/>
        <w:rPr>
          <w:rFonts w:ascii="黑体" w:eastAsia="黑体"/>
          <w:bCs/>
          <w:color w:val="000000" w:themeColor="text1"/>
          <w:sz w:val="28"/>
          <w:szCs w:val="28"/>
          <w:highlight w:val="none"/>
        </w:rPr>
        <w:outlineLvl w:val="0"/>
      </w:pPr>
      <w:r>
        <w:rPr>
          <w:color w:val="000000" w:themeColor="text1"/>
          <w:highlight w:val="none"/>
        </w:rPr>
      </w:r>
      <w:bookmarkStart w:id="207" w:name="报价方关于资格的声明函（格式）"/>
      <w:r>
        <w:rPr>
          <w:color w:val="000000" w:themeColor="text1"/>
          <w:highlight w:val="none"/>
        </w:rPr>
      </w:r>
      <w:bookmarkEnd w:id="207"/>
      <w:r>
        <w:rPr>
          <w:rFonts w:hint="eastAsia" w:ascii="黑体" w:eastAsia="黑体"/>
          <w:bCs/>
          <w:color w:val="000000" w:themeColor="text1"/>
          <w:sz w:val="28"/>
          <w:szCs w:val="28"/>
          <w:highlight w:val="none"/>
        </w:rPr>
        <w:t xml:space="preserve">资格声明函</w:t>
      </w:r>
      <w:r>
        <w:rPr>
          <w:color w:val="000000" w:themeColor="text1"/>
          <w:highlight w:val="none"/>
        </w:rPr>
      </w:r>
      <w:r/>
    </w:p>
    <w:p>
      <w:pPr>
        <w:pStyle w:val="885"/>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5"/>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color w:val="000000" w:themeColor="text1"/>
          <w:highlight w:val="none"/>
        </w:rPr>
      </w:r>
      <w:r/>
    </w:p>
    <w:p>
      <w:pPr>
        <w:pStyle w:val="885"/>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rPr>
        <w:t xml:space="preserve">JSZC-320200-JZCG-G2025-0052</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color w:val="000000" w:themeColor="text1"/>
          <w:highlight w:val="none"/>
        </w:rPr>
      </w:r>
      <w:r/>
    </w:p>
    <w:p>
      <w:pPr>
        <w:pStyle w:val="885"/>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color w:val="000000" w:themeColor="text1"/>
          <w:highlight w:val="none"/>
        </w:rPr>
      </w:r>
      <w:r/>
    </w:p>
    <w:p>
      <w:pPr>
        <w:pStyle w:val="885"/>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color w:val="000000" w:themeColor="text1"/>
          <w:highlight w:val="none"/>
        </w:rPr>
      </w:r>
      <w:r/>
    </w:p>
    <w:p>
      <w:pPr>
        <w:pStyle w:val="885"/>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000000" w:themeColor="text1"/>
          <w:highlight w:val="none"/>
        </w:rPr>
      </w:r>
      <w:r/>
    </w:p>
    <w:p>
      <w:pPr>
        <w:pStyle w:val="885"/>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color w:val="000000" w:themeColor="text1"/>
          <w:highlight w:val="none"/>
        </w:rPr>
      </w:r>
      <w:r/>
    </w:p>
    <w:p>
      <w:pPr>
        <w:pStyle w:val="885"/>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5"/>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5"/>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 </w:t>
      </w:r>
      <w:r>
        <w:rPr>
          <w:color w:val="000000" w:themeColor="text1"/>
          <w:highlight w:val="none"/>
        </w:rPr>
      </w:r>
      <w:r/>
    </w:p>
    <w:p>
      <w:pPr>
        <w:pStyle w:val="885"/>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r/>
    </w:p>
    <w:p>
      <w:pPr>
        <w:pStyle w:val="885"/>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000000" w:themeColor="text1"/>
          <w:highlight w:val="none"/>
        </w:rPr>
      </w:r>
      <w:r/>
    </w:p>
    <w:p>
      <w:pPr>
        <w:pStyle w:val="885"/>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color w:val="000000" w:themeColor="text1"/>
          <w:highlight w:val="none"/>
        </w:rPr>
      </w:r>
      <w:r/>
    </w:p>
    <w:p>
      <w:pPr>
        <w:pStyle w:val="885"/>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85"/>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r/>
    </w:p>
    <w:p>
      <w:pPr>
        <w:pStyle w:val="885"/>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r/>
    </w:p>
    <w:p>
      <w:pPr>
        <w:pStyle w:val="885"/>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p>
    <w:p>
      <w:pPr>
        <w:pStyle w:val="885"/>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r/>
    </w:p>
    <w:p>
      <w:pPr>
        <w:pStyle w:val="885"/>
        <w:spacing w:line="360" w:lineRule="auto"/>
        <w:rPr>
          <w:color w:val="000000" w:themeColor="text1"/>
          <w:highlight w:val="none"/>
        </w:rPr>
      </w:pPr>
      <w:r>
        <w:rPr>
          <w:color w:val="000000" w:themeColor="text1"/>
          <w:highlight w:val="none"/>
        </w:rPr>
        <w:t xml:space="preserve"> </w:t>
      </w:r>
      <w:r>
        <w:rPr>
          <w:color w:val="000000" w:themeColor="text1"/>
          <w:highlight w:val="none"/>
        </w:rPr>
      </w:r>
      <w:r/>
    </w:p>
    <w:p>
      <w:pPr>
        <w:pStyle w:val="885"/>
        <w:spacing w:line="360" w:lineRule="auto"/>
        <w:rPr>
          <w:rFonts w:hint="eastAsia" w:ascii="宋体" w:hAnsi="宋体" w:cs="宋体"/>
          <w:b/>
          <w:color w:val="000000" w:themeColor="text1"/>
          <w:sz w:val="28"/>
          <w:szCs w:val="28"/>
          <w:highlight w:val="none"/>
        </w:rPr>
      </w:pPr>
      <w:r>
        <w:rPr>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color w:val="000000" w:themeColor="text1"/>
          <w:highlight w:val="none"/>
        </w:rPr>
      </w:r>
      <w:r/>
    </w:p>
    <w:p>
      <w:pPr>
        <w:pStyle w:val="885"/>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r/>
    </w:p>
    <w:p>
      <w:pPr>
        <w:pStyle w:val="885"/>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r/>
    </w:p>
    <w:p>
      <w:pPr>
        <w:pStyle w:val="885"/>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r/>
    </w:p>
    <w:p>
      <w:pPr>
        <w:pStyle w:val="885"/>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885"/>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color w:val="000000" w:themeColor="text1"/>
          <w:highlight w:val="none"/>
        </w:rPr>
      </w:r>
      <w:r/>
    </w:p>
    <w:p>
      <w:pPr>
        <w:pStyle w:val="885"/>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r/>
    </w:p>
    <w:p>
      <w:pPr>
        <w:pStyle w:val="885"/>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r/>
    </w:p>
    <w:p>
      <w:pPr>
        <w:pStyle w:val="885"/>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color w:val="000000" w:themeColor="text1"/>
          <w:highlight w:val="none"/>
        </w:rPr>
      </w:r>
      <w:r/>
    </w:p>
    <w:p>
      <w:pPr>
        <w:pStyle w:val="885"/>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5"/>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rPr>
        <w:t xml:space="preserve">JSZC-320200-JZCG-G2025-0052</w:t>
      </w:r>
      <w:r>
        <w:rPr>
          <w:rFonts w:hint="eastAsia" w:ascii="宋体" w:hAnsi="宋体"/>
          <w:bCs/>
          <w:color w:val="000000" w:themeColor="text1"/>
          <w:sz w:val="24"/>
          <w:szCs w:val="24"/>
          <w:highlight w:val="none"/>
        </w:rPr>
        <w:t xml:space="preserve">招标文件，经仔细阅读和研究，我方决定参加此项目的投标。</w:t>
      </w:r>
      <w:r>
        <w:rPr>
          <w:color w:val="000000" w:themeColor="text1"/>
          <w:highlight w:val="none"/>
        </w:rPr>
      </w:r>
      <w:r/>
    </w:p>
    <w:p>
      <w:pPr>
        <w:pStyle w:val="885"/>
        <w:numPr>
          <w:ilvl w:val="0"/>
          <w:numId w:val="12"/>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60"/>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r/>
    </w:p>
    <w:p>
      <w:pPr>
        <w:pStyle w:val="885"/>
        <w:numPr>
          <w:ilvl w:val="0"/>
          <w:numId w:val="12"/>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pStyle w:val="885"/>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885"/>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85"/>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color w:val="000000" w:themeColor="text1"/>
          <w:highlight w:val="none"/>
        </w:rPr>
      </w:r>
      <w:r/>
    </w:p>
    <w:p>
      <w:pPr>
        <w:pStyle w:val="885"/>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5"/>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color w:val="000000" w:themeColor="text1"/>
          <w:highlight w:val="none"/>
        </w:rPr>
      </w:r>
      <w:r/>
    </w:p>
    <w:p>
      <w:pPr>
        <w:pStyle w:val="885"/>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r/>
    </w:p>
    <w:p>
      <w:pPr>
        <w:pStyle w:val="885"/>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rPr>
        <w:t xml:space="preserve">JSZC-320200-JZCG-G2025-0052</w:t>
      </w:r>
      <w:r>
        <w:rPr>
          <w:rFonts w:hint="eastAsia" w:ascii="宋体" w:hAnsi="宋体"/>
          <w:color w:val="000000" w:themeColor="text1"/>
          <w:sz w:val="24"/>
          <w:szCs w:val="24"/>
          <w:highlight w:val="none"/>
        </w:rPr>
        <w:t xml:space="preserve">在此承诺：</w:t>
      </w:r>
      <w:r>
        <w:rPr>
          <w:color w:val="000000" w:themeColor="text1"/>
          <w:highlight w:val="none"/>
        </w:rPr>
      </w:r>
      <w:r/>
    </w:p>
    <w:p>
      <w:pPr>
        <w:pStyle w:val="885"/>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对本项目所提供的货物均为原厂全新合格品，提供的服务符合招标文件要求。</w:t>
      </w:r>
      <w:r>
        <w:rPr>
          <w:color w:val="000000" w:themeColor="text1"/>
          <w:highlight w:val="none"/>
        </w:rPr>
      </w:r>
      <w:r/>
    </w:p>
    <w:p>
      <w:pPr>
        <w:pStyle w:val="885"/>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color w:val="000000" w:themeColor="text1"/>
          <w:highlight w:val="none"/>
        </w:rPr>
      </w:r>
      <w:r/>
    </w:p>
    <w:p>
      <w:pPr>
        <w:pStyle w:val="885"/>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000000" w:themeColor="text1"/>
          <w:highlight w:val="none"/>
        </w:rPr>
      </w:r>
      <w:r/>
    </w:p>
    <w:p>
      <w:pPr>
        <w:pStyle w:val="885"/>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color w:val="000000" w:themeColor="text1"/>
          <w:highlight w:val="none"/>
        </w:rPr>
      </w:r>
      <w:r/>
    </w:p>
    <w:p>
      <w:pPr>
        <w:pStyle w:val="885"/>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color w:val="000000" w:themeColor="text1"/>
          <w:highlight w:val="none"/>
        </w:rPr>
      </w:r>
      <w:r/>
    </w:p>
    <w:p>
      <w:pPr>
        <w:pStyle w:val="885"/>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r/>
    </w:p>
    <w:p>
      <w:pPr>
        <w:pStyle w:val="885"/>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color w:val="000000" w:themeColor="text1"/>
          <w:highlight w:val="none"/>
        </w:rPr>
      </w:r>
      <w:r/>
    </w:p>
    <w:p>
      <w:pPr>
        <w:pStyle w:val="885"/>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r/>
    </w:p>
    <w:p>
      <w:pPr>
        <w:pStyle w:val="885"/>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color w:val="000000" w:themeColor="text1"/>
          <w:highlight w:val="none"/>
        </w:rPr>
      </w:r>
      <w:r/>
    </w:p>
    <w:p>
      <w:pPr>
        <w:pStyle w:val="885"/>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r/>
    </w:p>
    <w:p>
      <w:pPr>
        <w:pStyle w:val="885"/>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color w:val="000000" w:themeColor="text1"/>
          <w:highlight w:val="none"/>
        </w:rPr>
      </w:r>
      <w:r/>
    </w:p>
    <w:p>
      <w:pPr>
        <w:pStyle w:val="885"/>
        <w:rPr>
          <w:rFonts w:ascii="宋体"/>
          <w:bCs/>
          <w:color w:val="000000" w:themeColor="text1"/>
          <w:sz w:val="24"/>
          <w:szCs w:val="24"/>
          <w:highlight w:val="none"/>
        </w:rPr>
        <w:outlineLvl w:val="0"/>
      </w:pPr>
      <w:r>
        <w:rPr>
          <w:rFonts w:ascii="宋体"/>
          <w:bCs/>
          <w:color w:val="000000" w:themeColor="text1"/>
          <w:sz w:val="24"/>
          <w:szCs w:val="24"/>
          <w:highlight w:val="none"/>
        </w:rPr>
        <w:t xml:space="preserve"> </w:t>
      </w:r>
      <w:r>
        <w:rPr>
          <w:color w:val="000000" w:themeColor="text1"/>
          <w:highlight w:val="none"/>
        </w:rPr>
      </w:r>
      <w:r/>
    </w:p>
    <w:p>
      <w:pPr>
        <w:pStyle w:val="885"/>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color w:val="000000" w:themeColor="text1"/>
          <w:highlight w:val="none"/>
        </w:rPr>
      </w:r>
      <w:r/>
    </w:p>
    <w:p>
      <w:pPr>
        <w:pStyle w:val="885"/>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r/>
    </w:p>
    <w:p>
      <w:pPr>
        <w:pStyle w:val="885"/>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color w:val="000000" w:themeColor="text1"/>
          <w:highlight w:val="none"/>
        </w:rPr>
      </w:r>
      <w:r/>
    </w:p>
    <w:p>
      <w:pPr>
        <w:pStyle w:val="885"/>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5"/>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color w:val="000000" w:themeColor="text1"/>
          <w:highlight w:val="none"/>
        </w:rPr>
      </w:r>
      <w:r/>
    </w:p>
    <w:p>
      <w:pPr>
        <w:pStyle w:val="885"/>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5"/>
        <w:spacing w:line="360" w:lineRule="auto"/>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JSZC-320200-JZCG-G2025-0052</w:t>
      </w:r>
      <w:r>
        <w:rPr>
          <w:color w:val="000000" w:themeColor="text1"/>
          <w:highlight w:val="none"/>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color w:val="000000" w:themeColor="text1"/>
                <w:highlight w:val="none"/>
              </w:rPr>
            </w:r>
            <w:r/>
          </w:p>
        </w:tc>
        <w:tc>
          <w:tcPr>
            <w:tcW w:w="3188"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小写</w:t>
            </w:r>
            <w:r>
              <w:rPr>
                <w:rFonts w:ascii="宋体" w:hAnsi="宋体"/>
                <w:b/>
                <w:bCs/>
                <w:color w:val="000000" w:themeColor="text1"/>
                <w:sz w:val="24"/>
                <w:szCs w:val="24"/>
                <w:highlight w:val="none"/>
              </w:rPr>
              <w:t xml:space="preserve">)</w:t>
            </w:r>
            <w:r>
              <w:rPr>
                <w:color w:val="000000" w:themeColor="text1"/>
                <w:highlight w:val="none"/>
              </w:rPr>
            </w:r>
            <w:r/>
          </w:p>
        </w:tc>
      </w:tr>
      <w:tr>
        <w:trPr>
          <w:cantSplit/>
          <w:trHeight w:val="1630"/>
        </w:trPr>
        <w:tc>
          <w:tcPr>
            <w:tcW w:w="5697" w:type="dxa"/>
            <w:vAlign w:val="center"/>
            <w:textDirection w:val="lrTb"/>
            <w:noWrap w:val="false"/>
          </w:tcPr>
          <w:p>
            <w:pPr>
              <w:pStyle w:val="999"/>
              <w:jc w:val="center"/>
              <w:spacing w:line="400" w:lineRule="exact"/>
              <w:rPr>
                <w:rFonts w:hAnsi="宋体"/>
                <w:bCs/>
                <w:color w:val="000000" w:themeColor="text1"/>
                <w:szCs w:val="24"/>
                <w:highlight w:val="none"/>
              </w:rPr>
            </w:pPr>
            <w:r>
              <w:rPr>
                <w:rFonts w:hint="eastAsia" w:hAnsi="宋体"/>
                <w:bCs/>
                <w:color w:val="000000" w:themeColor="text1"/>
                <w:szCs w:val="24"/>
                <w:highlight w:val="none"/>
              </w:rPr>
              <w:t xml:space="preserve">智慧市场监管（二期）（扩续建2024）</w:t>
            </w:r>
            <w:r>
              <w:rPr>
                <w:color w:val="000000" w:themeColor="text1"/>
                <w:highlight w:val="none"/>
              </w:rPr>
            </w:r>
            <w:r/>
          </w:p>
        </w:tc>
        <w:tc>
          <w:tcPr>
            <w:tcW w:w="3188" w:type="dxa"/>
            <w:vAlign w:val="center"/>
            <w:textDirection w:val="lrTb"/>
            <w:noWrap w:val="false"/>
          </w:tcPr>
          <w:p>
            <w:pPr>
              <w:pStyle w:val="999"/>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r/>
          </w:p>
        </w:tc>
      </w:tr>
      <w:tr>
        <w:trPr>
          <w:cantSplit/>
          <w:trHeight w:val="780"/>
        </w:trPr>
        <w:tc>
          <w:tcPr>
            <w:gridSpan w:val="2"/>
            <w:tcW w:w="8885" w:type="dxa"/>
            <w:vAlign w:val="center"/>
            <w:textDirection w:val="lrTb"/>
            <w:noWrap w:val="false"/>
          </w:tcPr>
          <w:p>
            <w:pPr>
              <w:pStyle w:val="885"/>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color w:val="000000" w:themeColor="text1"/>
                <w:highlight w:val="none"/>
              </w:rPr>
            </w:r>
            <w:r/>
          </w:p>
        </w:tc>
      </w:tr>
    </w:tbl>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r/>
    </w:p>
    <w:p>
      <w:pPr>
        <w:pStyle w:val="885"/>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color w:val="000000" w:themeColor="text1"/>
          <w:highlight w:val="none"/>
        </w:rPr>
      </w:r>
      <w:r/>
    </w:p>
    <w:p>
      <w:pPr>
        <w:pStyle w:val="885"/>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rPr>
          <w:color w:val="000000" w:themeColor="text1"/>
          <w:highlight w:val="none"/>
        </w:rPr>
      </w:r>
      <w:r/>
    </w:p>
    <w:p>
      <w:pPr>
        <w:pStyle w:val="885"/>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r/>
    </w:p>
    <w:p>
      <w:pPr>
        <w:pStyle w:val="885"/>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color w:val="000000" w:themeColor="text1"/>
          <w:highlight w:val="none"/>
        </w:rPr>
      </w:r>
      <w:r/>
    </w:p>
    <w:p>
      <w:pPr>
        <w:pStyle w:val="885"/>
        <w:spacing w:line="400" w:lineRule="exact"/>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JSZC-320200-JZCG-G2025-0052</w:t>
      </w:r>
      <w:r>
        <w:rPr>
          <w:color w:val="000000" w:themeColor="text1"/>
          <w:highlight w:val="none"/>
        </w:rPr>
      </w: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5"/>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5"/>
              <w:jc w:val="center"/>
              <w:spacing w:before="5"/>
              <w:rPr>
                <w:color w:val="000000" w:themeColor="text1"/>
                <w:sz w:val="18"/>
                <w:highlight w:val="none"/>
              </w:rPr>
            </w:pPr>
            <w:r>
              <w:rPr>
                <w:color w:val="000000" w:themeColor="text1"/>
                <w:sz w:val="18"/>
                <w:highlight w:val="none"/>
              </w:rPr>
              <w:t xml:space="preserve">服务内容</w:t>
            </w:r>
            <w:r>
              <w:rPr>
                <w:color w:val="000000" w:themeColor="text1"/>
                <w:highlight w:val="none"/>
              </w:rPr>
            </w:r>
            <w:r/>
          </w:p>
        </w:tc>
        <w:tc>
          <w:tcPr>
            <w:tcW w:w="851" w:type="dxa"/>
            <w:vAlign w:val="center"/>
            <w:textDirection w:val="lrTb"/>
            <w:noWrap w:val="false"/>
          </w:tcPr>
          <w:p>
            <w:pPr>
              <w:pStyle w:val="885"/>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5"/>
              <w:jc w:val="center"/>
              <w:spacing w:before="5"/>
              <w:rPr>
                <w:color w:val="000000" w:themeColor="text1"/>
                <w:sz w:val="18"/>
                <w:highlight w:val="none"/>
              </w:rPr>
            </w:pPr>
            <w:r>
              <w:rPr>
                <w:rFonts w:hint="eastAsia"/>
                <w:color w:val="000000" w:themeColor="text1"/>
                <w:sz w:val="18"/>
                <w:highlight w:val="none"/>
              </w:rPr>
              <w:t xml:space="preserve">单位</w:t>
            </w:r>
            <w:r>
              <w:rPr>
                <w:color w:val="000000" w:themeColor="text1"/>
                <w:highlight w:val="none"/>
              </w:rPr>
            </w:r>
            <w:r/>
          </w:p>
        </w:tc>
        <w:tc>
          <w:tcPr>
            <w:tcW w:w="1134" w:type="dxa"/>
            <w:vAlign w:val="center"/>
            <w:textDirection w:val="lrTb"/>
            <w:noWrap w:val="false"/>
          </w:tcPr>
          <w:p>
            <w:pPr>
              <w:pStyle w:val="885"/>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highlight w:val="none"/>
              </w:rPr>
            </w:r>
            <w:r/>
          </w:p>
        </w:tc>
        <w:tc>
          <w:tcPr>
            <w:tcW w:w="1276" w:type="dxa"/>
            <w:vAlign w:val="center"/>
            <w:textDirection w:val="lrTb"/>
            <w:noWrap w:val="false"/>
          </w:tcPr>
          <w:p>
            <w:pPr>
              <w:pStyle w:val="885"/>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highlight w:val="none"/>
              </w:rPr>
            </w:r>
            <w:r/>
          </w:p>
        </w:tc>
      </w:tr>
      <w:tr>
        <w:trPr>
          <w:cantSplit/>
          <w:trHeight w:val="717"/>
        </w:trPr>
        <w:tc>
          <w:tcPr>
            <w:tcMar>
              <w:left w:w="15" w:type="dxa"/>
              <w:top w:w="15" w:type="dxa"/>
              <w:right w:w="15" w:type="dxa"/>
              <w:bottom w:w="0" w:type="dxa"/>
            </w:tcMar>
            <w:tcW w:w="420" w:type="dxa"/>
            <w:vAlign w:val="center"/>
            <w:textDirection w:val="lrTb"/>
            <w:noWrap/>
          </w:tcPr>
          <w:p>
            <w:pPr>
              <w:pStyle w:val="935"/>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rPr>
              <w:t xml:space="preserve">1</w:t>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5"/>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851"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5"/>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134"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5"/>
              <w:jc w:val="center"/>
              <w:rPr>
                <w:rFonts w:ascii="宋体"/>
                <w:color w:val="000000" w:themeColor="text1"/>
                <w:sz w:val="18"/>
                <w:highlight w:val="none"/>
              </w:rPr>
            </w:pPr>
            <w:r>
              <w:rPr>
                <w:rFonts w:hint="eastAsia" w:ascii="宋体"/>
                <w:color w:val="000000" w:themeColor="text1"/>
                <w:sz w:val="18"/>
                <w:highlight w:val="none"/>
              </w:rPr>
              <w:t xml:space="preserve">2</w:t>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5"/>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851"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5"/>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color w:val="000000" w:themeColor="text1"/>
                <w:highlight w:val="none"/>
              </w:rPr>
            </w:r>
            <w:r/>
          </w:p>
        </w:tc>
        <w:tc>
          <w:tcPr>
            <w:tcW w:w="1134"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r>
        <w:trPr>
          <w:cantSplit/>
          <w:trHeight w:val="898"/>
        </w:trPr>
        <w:tc>
          <w:tcPr>
            <w:tcMar>
              <w:left w:w="15" w:type="dxa"/>
              <w:top w:w="15" w:type="dxa"/>
              <w:right w:w="15" w:type="dxa"/>
              <w:bottom w:w="0" w:type="dxa"/>
            </w:tcMar>
            <w:tcW w:w="420" w:type="dxa"/>
            <w:vAlign w:val="center"/>
            <w:textDirection w:val="lrTb"/>
            <w:noWrap/>
          </w:tcPr>
          <w:p>
            <w:pPr>
              <w:pStyle w:val="885"/>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r/>
          </w:p>
        </w:tc>
        <w:tc>
          <w:tcPr>
            <w:tcMar>
              <w:left w:w="15" w:type="dxa"/>
              <w:top w:w="15" w:type="dxa"/>
              <w:right w:w="15" w:type="dxa"/>
              <w:bottom w:w="0" w:type="dxa"/>
            </w:tcMar>
            <w:tcW w:w="4930" w:type="dxa"/>
            <w:vAlign w:val="center"/>
            <w:textDirection w:val="lrTb"/>
            <w:noWrap/>
          </w:tcPr>
          <w:p>
            <w:pPr>
              <w:pStyle w:val="885"/>
              <w:jc w:val="center"/>
              <w:rPr>
                <w:rFonts w:hint="eastAsia" w:ascii="黑体" w:eastAsia="黑体"/>
                <w:b/>
                <w:bCs/>
                <w:color w:val="000000" w:themeColor="text1"/>
                <w:highlight w:val="none"/>
              </w:rPr>
            </w:pPr>
            <w:r>
              <w:rPr>
                <w:rFonts w:ascii="黑体" w:eastAsia="黑体"/>
                <w:b/>
                <w:bCs/>
                <w:color w:val="000000" w:themeColor="text1"/>
                <w:highlight w:val="none"/>
              </w:rPr>
              <w:t xml:space="preserve">……</w:t>
            </w:r>
            <w:r>
              <w:rPr>
                <w:color w:val="000000" w:themeColor="text1"/>
                <w:highlight w:val="none"/>
              </w:rPr>
            </w:r>
            <w:r/>
          </w:p>
        </w:tc>
        <w:tc>
          <w:tcPr>
            <w:tcW w:w="851"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Mar>
              <w:left w:w="15" w:type="dxa"/>
              <w:top w:w="15" w:type="dxa"/>
              <w:right w:w="15" w:type="dxa"/>
              <w:bottom w:w="0" w:type="dxa"/>
            </w:tcMar>
            <w:tcW w:w="850" w:type="dxa"/>
            <w:vAlign w:val="center"/>
            <w:textDirection w:val="lrTb"/>
            <w:noWrap/>
          </w:tcPr>
          <w:p>
            <w:pPr>
              <w:pStyle w:val="885"/>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r/>
          </w:p>
        </w:tc>
        <w:tc>
          <w:tcPr>
            <w:tcW w:w="1134"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c>
          <w:tcPr>
            <w:tcW w:w="1276" w:type="dxa"/>
            <w:vAlign w:val="center"/>
            <w:textDirection w:val="lrTb"/>
            <w:noWrap w:val="false"/>
          </w:tcPr>
          <w:p>
            <w:pPr>
              <w:pStyle w:val="885"/>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r/>
          </w:p>
        </w:tc>
      </w:tr>
    </w:tbl>
    <w:p>
      <w:pPr>
        <w:pStyle w:val="885"/>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color w:val="000000" w:themeColor="text1"/>
          <w:highlight w:val="none"/>
        </w:rPr>
      </w:r>
      <w:r/>
    </w:p>
    <w:p>
      <w:pPr>
        <w:pStyle w:val="885"/>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r/>
    </w:p>
    <w:p>
      <w:pPr>
        <w:pStyle w:val="885"/>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color w:val="000000" w:themeColor="text1"/>
          <w:highlight w:val="none"/>
        </w:rPr>
      </w:r>
      <w:r/>
    </w:p>
    <w:p>
      <w:pPr>
        <w:pStyle w:val="885"/>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2</w:t>
      </w:r>
      <w:r>
        <w:rPr>
          <w:rFonts w:hint="eastAsia" w:ascii="宋体" w:hAnsi="宋体"/>
          <w:bCs/>
          <w:color w:val="000000" w:themeColor="text1"/>
          <w:highlight w:val="none"/>
        </w:rPr>
        <w:t xml:space="preserve">）投标人应当根据“采购需求”的内容在上表中详细填写；</w:t>
      </w:r>
      <w:r>
        <w:rPr>
          <w:color w:val="000000" w:themeColor="text1"/>
          <w:highlight w:val="none"/>
        </w:rPr>
      </w:r>
      <w:r/>
    </w:p>
    <w:p>
      <w:pPr>
        <w:pStyle w:val="885"/>
        <w:ind w:firstLine="315"/>
        <w:spacing w:line="400" w:lineRule="exact"/>
        <w:rPr>
          <w:rFonts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r>
        <w:rPr>
          <w:color w:val="000000" w:themeColor="text1"/>
          <w:highlight w:val="none"/>
        </w:rPr>
      </w:r>
      <w:r/>
    </w:p>
    <w:p>
      <w:pPr>
        <w:pStyle w:val="885"/>
        <w:spacing w:line="400" w:lineRule="exact"/>
        <w:rPr>
          <w:rFonts w:ascii="宋体"/>
          <w:bCs/>
          <w:color w:val="000000" w:themeColor="text1"/>
          <w:highlight w:val="none"/>
        </w:rPr>
        <w:outlineLvl w:val="0"/>
      </w:pPr>
      <w:r>
        <w:rPr>
          <w:color w:val="000000" w:themeColor="text1"/>
          <w:highlight w:val="none"/>
        </w:rPr>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Start w:id="208" w:name="_Toc120614284"/>
      <w:r>
        <w:rPr>
          <w:color w:val="000000" w:themeColor="text1"/>
          <w:highlight w:val="none"/>
        </w:rPr>
      </w:r>
      <w:r/>
    </w:p>
    <w:p>
      <w:pPr>
        <w:pStyle w:val="885"/>
        <w:spacing w:line="400" w:lineRule="exact"/>
        <w:rPr>
          <w:rFonts w:ascii="宋体" w:hAnsi="宋体" w:cs="宋体"/>
          <w:color w:val="000000" w:themeColor="text1"/>
          <w:highlight w:val="none"/>
        </w:rPr>
        <w:outlineLvl w:val="0"/>
      </w:pPr>
      <w:r>
        <w:rPr>
          <w:rFonts w:ascii="宋体" w:hAnsi="宋体" w:cs="宋体"/>
          <w:color w:val="000000" w:themeColor="text1"/>
          <w:highlight w:val="none"/>
          <w:lang w:val="zh-CN"/>
        </w:rPr>
        <w:t xml:space="preserve"> </w:t>
      </w:r>
      <w:r>
        <w:rPr>
          <w:color w:val="000000" w:themeColor="text1"/>
          <w:highlight w:val="none"/>
        </w:rPr>
      </w:r>
      <w:r/>
    </w:p>
    <w:p>
      <w:pPr>
        <w:pStyle w:val="885"/>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color w:val="000000" w:themeColor="text1"/>
          <w:highlight w:val="none"/>
        </w:rPr>
      </w:r>
      <w:r/>
    </w:p>
    <w:p>
      <w:pPr>
        <w:pStyle w:val="885"/>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5"/>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color w:val="000000" w:themeColor="text1"/>
          <w:highlight w:val="none"/>
        </w:rPr>
      </w:r>
      <w:r/>
    </w:p>
    <w:p>
      <w:pPr>
        <w:pStyle w:val="885"/>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5"/>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r/>
    </w:p>
    <w:p>
      <w:pPr>
        <w:pStyle w:val="885"/>
        <w:spacing w:line="400" w:lineRule="exact"/>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JSZC-320200-JZCG-G2025-0052</w:t>
      </w:r>
      <w:r>
        <w:rPr>
          <w:color w:val="000000" w:themeColor="text1"/>
          <w:highlight w:val="none"/>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5"/>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5"/>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5"/>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bl>
    <w:p>
      <w:pPr>
        <w:pStyle w:val="885"/>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5"/>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r/>
    </w:p>
    <w:p>
      <w:pPr>
        <w:pStyle w:val="885"/>
        <w:ind w:firstLine="420"/>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highlight w:val="none"/>
        </w:rPr>
      </w:r>
      <w:r/>
    </w:p>
    <w:p>
      <w:pPr>
        <w:pStyle w:val="885"/>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）如无任何技术偏离，请于本表 “偏离说明”中注明“无偏离”；</w:t>
      </w:r>
      <w:r>
        <w:rPr>
          <w:color w:val="000000" w:themeColor="text1"/>
          <w:highlight w:val="none"/>
        </w:rPr>
      </w:r>
      <w:r/>
    </w:p>
    <w:p>
      <w:pPr>
        <w:pStyle w:val="885"/>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（3）如有技术偏离项，请于本表中列明偏离内容，如需要可自行延长，其余无偏离内容不须赘述。</w:t>
      </w:r>
      <w:bookmarkEnd w:id="189"/>
      <w:r>
        <w:rPr>
          <w:color w:val="000000" w:themeColor="text1"/>
          <w:highlight w:val="none"/>
        </w:rPr>
      </w:r>
      <w:bookmarkEnd w:id="190"/>
      <w:r>
        <w:rPr>
          <w:color w:val="000000" w:themeColor="text1"/>
          <w:highlight w:val="none"/>
        </w:rPr>
      </w:r>
      <w:bookmarkEnd w:id="208"/>
      <w:r>
        <w:rPr>
          <w:color w:val="000000" w:themeColor="text1"/>
          <w:highlight w:val="none"/>
        </w:rPr>
      </w:r>
      <w:bookmarkStart w:id="209" w:name="_Hlt26609389"/>
      <w:r>
        <w:rPr>
          <w:color w:val="000000" w:themeColor="text1"/>
          <w:highlight w:val="none"/>
        </w:rPr>
      </w:r>
      <w:bookmarkEnd w:id="209"/>
      <w:r>
        <w:rPr>
          <w:color w:val="000000" w:themeColor="text1"/>
          <w:highlight w:val="none"/>
        </w:rPr>
      </w:r>
      <w:bookmarkStart w:id="210" w:name="_Hlt26671374"/>
      <w:r>
        <w:rPr>
          <w:color w:val="000000" w:themeColor="text1"/>
          <w:highlight w:val="none"/>
        </w:rPr>
      </w:r>
      <w:bookmarkEnd w:id="210"/>
      <w:r>
        <w:rPr>
          <w:color w:val="000000" w:themeColor="text1"/>
          <w:highlight w:val="none"/>
        </w:rPr>
      </w:r>
      <w:bookmarkStart w:id="211" w:name="_格式2__法定代表人授权书"/>
      <w:r>
        <w:rPr>
          <w:color w:val="000000" w:themeColor="text1"/>
          <w:highlight w:val="none"/>
        </w:rPr>
      </w:r>
      <w:bookmarkEnd w:id="211"/>
      <w:r>
        <w:rPr>
          <w:color w:val="000000" w:themeColor="text1"/>
          <w:highlight w:val="none"/>
        </w:rPr>
      </w:r>
      <w:bookmarkStart w:id="212" w:name="_Hlt26955066"/>
      <w:r>
        <w:rPr>
          <w:color w:val="000000" w:themeColor="text1"/>
          <w:highlight w:val="none"/>
        </w:rPr>
      </w:r>
      <w:bookmarkEnd w:id="212"/>
      <w:r>
        <w:rPr>
          <w:color w:val="000000" w:themeColor="text1"/>
          <w:highlight w:val="none"/>
        </w:rPr>
      </w:r>
      <w:r/>
    </w:p>
    <w:p>
      <w:pPr>
        <w:pStyle w:val="885"/>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r/>
    </w:p>
    <w:p>
      <w:pPr>
        <w:pStyle w:val="885"/>
        <w:ind w:firstLine="420"/>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rPr>
          <w:color w:val="000000" w:themeColor="text1"/>
          <w:highlight w:val="none"/>
        </w:rPr>
      </w:r>
      <w:r/>
    </w:p>
    <w:p>
      <w:pPr>
        <w:pStyle w:val="885"/>
        <w:spacing w:line="360" w:lineRule="auto"/>
        <w:rPr>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十一、项目人员配置清单（格式）</w:t>
      </w:r>
      <w:r>
        <w:rPr>
          <w:color w:val="000000" w:themeColor="text1"/>
          <w:highlight w:val="none"/>
        </w:rPr>
      </w:r>
      <w:r/>
    </w:p>
    <w:p>
      <w:pPr>
        <w:pStyle w:val="885"/>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5"/>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color w:val="000000" w:themeColor="text1"/>
          <w:highlight w:val="none"/>
        </w:rPr>
      </w:r>
      <w:r/>
    </w:p>
    <w:p>
      <w:pPr>
        <w:pStyle w:val="885"/>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885"/>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rPr>
        <w:t xml:space="preserve">JSZC-320200-JZCG-G2025-0052</w:t>
      </w:r>
      <w:r>
        <w:rPr>
          <w:color w:val="000000" w:themeColor="text1"/>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序号</w:t>
            </w:r>
            <w:r>
              <w:rPr>
                <w:color w:val="000000" w:themeColor="text1"/>
                <w:highlight w:val="none"/>
              </w:rPr>
            </w:r>
            <w:r/>
          </w:p>
        </w:tc>
        <w:tc>
          <w:tcPr>
            <w:tcW w:w="1476"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姓名</w:t>
            </w:r>
            <w:r>
              <w:rPr>
                <w:color w:val="000000" w:themeColor="text1"/>
                <w:highlight w:val="none"/>
              </w:rPr>
            </w:r>
            <w:r/>
          </w:p>
        </w:tc>
        <w:tc>
          <w:tcPr>
            <w:tcW w:w="720"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年龄</w:t>
            </w:r>
            <w:r>
              <w:rPr>
                <w:color w:val="000000" w:themeColor="text1"/>
                <w:highlight w:val="none"/>
              </w:rPr>
            </w:r>
            <w:r/>
          </w:p>
        </w:tc>
        <w:tc>
          <w:tcPr>
            <w:tcW w:w="2520"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本项目职责</w:t>
            </w:r>
            <w:r>
              <w:rPr>
                <w:color w:val="000000" w:themeColor="text1"/>
                <w:highlight w:val="none"/>
              </w:rPr>
            </w:r>
            <w:r/>
          </w:p>
        </w:tc>
        <w:tc>
          <w:tcPr>
            <w:tcW w:w="3274" w:type="dxa"/>
            <w:vAlign w:val="center"/>
            <w:textDirection w:val="lrTb"/>
            <w:noWrap w:val="false"/>
          </w:tcPr>
          <w:p>
            <w:pPr>
              <w:pStyle w:val="885"/>
              <w:jc w:val="center"/>
              <w:rPr>
                <w:b/>
                <w:color w:val="000000" w:themeColor="text1"/>
                <w:sz w:val="24"/>
                <w:highlight w:val="none"/>
              </w:rPr>
            </w:pPr>
            <w:r>
              <w:rPr>
                <w:rFonts w:hint="eastAsia"/>
                <w:b/>
                <w:color w:val="000000" w:themeColor="text1"/>
                <w:sz w:val="24"/>
                <w:highlight w:val="none"/>
              </w:rPr>
              <w:t xml:space="preserve">人员证书名称</w:t>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r>
        <w:trPr>
          <w:trHeight w:val="680"/>
        </w:trPr>
        <w:tc>
          <w:tcPr>
            <w:tcW w:w="70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1476"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7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2520"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c>
          <w:tcPr>
            <w:tcW w:w="3274" w:type="dxa"/>
            <w:vAlign w:val="top"/>
            <w:textDirection w:val="lrTb"/>
            <w:noWrap w:val="false"/>
          </w:tcPr>
          <w:p>
            <w:pPr>
              <w:pStyle w:val="885"/>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r/>
          </w:p>
        </w:tc>
      </w:tr>
    </w:tbl>
    <w:p>
      <w:pPr>
        <w:pStyle w:val="885"/>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5"/>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r/>
    </w:p>
    <w:p>
      <w:pPr>
        <w:pStyle w:val="885"/>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color w:val="000000" w:themeColor="text1"/>
          <w:highlight w:val="none"/>
        </w:rPr>
      </w:r>
      <w:r/>
    </w:p>
    <w:p>
      <w:pPr>
        <w:pStyle w:val="885"/>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r/>
    </w:p>
    <w:p>
      <w:pPr>
        <w:pStyle w:val="885"/>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8"/>
        <w:rFonts w:ascii="宋体" w:hAnsi="宋体"/>
      </w:rPr>
      <w:framePr w:wrap="around" w:vAnchor="text" w:hAnchor="margin" w:xAlign="center" w:y="1"/>
    </w:pPr>
    <w:r>
      <w:rPr>
        <w:rFonts w:ascii="宋体" w:hAnsi="宋体"/>
      </w:rPr>
      <w:fldChar w:fldCharType="begin"/>
    </w:r>
    <w:r>
      <w:rPr>
        <w:rStyle w:val="958"/>
        <w:rFonts w:ascii="宋体" w:hAnsi="宋体"/>
      </w:rPr>
      <w:instrText xml:space="preserve">PAGE  </w:instrText>
    </w:r>
    <w:r>
      <w:rPr>
        <w:rFonts w:ascii="宋体" w:hAnsi="宋体"/>
      </w:rPr>
      <w:fldChar w:fldCharType="separate"/>
    </w:r>
    <w:r>
      <w:rPr>
        <w:rStyle w:val="958"/>
        <w:rFonts w:ascii="宋体" w:hAnsi="宋体"/>
      </w:rPr>
      <w:t xml:space="preserve">６３</w:t>
    </w:r>
    <w:r>
      <w:rPr>
        <w:rFonts w:ascii="宋体" w:hAnsi="宋体"/>
      </w:rPr>
      <w:fldChar w:fldCharType="end"/>
    </w:r>
    <w:r>
      <w:rPr>
        <w:rStyle w:val="958"/>
        <w:rFonts w:ascii="宋体" w:hAnsi="宋体"/>
      </w:rPr>
    </w:r>
    <w:r/>
  </w:p>
  <w:p>
    <w:pPr>
      <w:pStyle w:val="933"/>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58"/>
      </w:rPr>
      <w:framePr w:wrap="around" w:vAnchor="text" w:hAnchor="margin" w:xAlign="center" w:y="1"/>
    </w:pPr>
    <w:r>
      <w:fldChar w:fldCharType="begin"/>
    </w:r>
    <w:r>
      <w:rPr>
        <w:rStyle w:val="958"/>
      </w:rPr>
      <w:instrText xml:space="preserve">PAGE  </w:instrText>
    </w:r>
    <w:r>
      <w:fldChar w:fldCharType="separate"/>
    </w:r>
    <w:r>
      <w:rPr>
        <w:rStyle w:val="958"/>
      </w:rPr>
      <w:t xml:space="preserve">1</w:t>
    </w:r>
    <w:r>
      <w:fldChar w:fldCharType="end"/>
    </w:r>
    <w:r>
      <w:rPr>
        <w:rStyle w:val="958"/>
      </w:rPr>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5"/>
      <w:isLgl w:val="false"/>
      <w:suff w:val="tab"/>
      <w:lvlText w:val="附录%1."/>
      <w:lvlJc w:val="left"/>
      <w:pPr>
        <w:pStyle w:val="88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885"/>
        <w:ind w:left="1080" w:hanging="1080"/>
        <w:tabs>
          <w:tab w:val="num" w:pos="1080" w:leader="none"/>
        </w:tabs>
      </w:pPr>
      <w:rPr>
        <w:rFonts w:hint="eastAsia" w:cs="Times New Roman"/>
      </w:rPr>
    </w:lvl>
    <w:lvl w:ilvl="1">
      <w:start w:val="1"/>
      <w:numFmt w:val="decimal"/>
      <w:isLgl w:val="false"/>
      <w:suff w:val="tab"/>
      <w:lvlText w:val="%2."/>
      <w:lvlJc w:val="left"/>
      <w:pPr>
        <w:pStyle w:val="88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5"/>
        <w:ind w:left="1260" w:hanging="420"/>
        <w:tabs>
          <w:tab w:val="num" w:pos="126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6">
    <w:multiLevelType w:val="hybridMultilevel"/>
    <w:lvl w:ilvl="0">
      <w:start w:val="1"/>
      <w:numFmt w:val="decimal"/>
      <w:pStyle w:val="982"/>
      <w:isLgl w:val="false"/>
      <w:suff w:val="tab"/>
      <w:lvlText w:val="%1."/>
      <w:lvlJc w:val="left"/>
      <w:pPr>
        <w:pStyle w:val="885"/>
        <w:ind w:left="709" w:hanging="709"/>
        <w:tabs>
          <w:tab w:val="num" w:pos="709" w:leader="none"/>
        </w:tabs>
      </w:pPr>
      <w:rPr>
        <w:rFonts w:hint="eastAsia"/>
      </w:rPr>
    </w:lvl>
    <w:lvl w:ilvl="1">
      <w:start w:val="1"/>
      <w:numFmt w:val="decimal"/>
      <w:isLgl w:val="false"/>
      <w:suff w:val="tab"/>
      <w:lvlText w:val="%1.%2"/>
      <w:lvlJc w:val="left"/>
      <w:pPr>
        <w:pStyle w:val="885"/>
        <w:ind w:left="709" w:hanging="709"/>
        <w:tabs>
          <w:tab w:val="num" w:pos="709" w:leader="none"/>
        </w:tabs>
      </w:pPr>
      <w:rPr>
        <w:rFonts w:hint="eastAsia"/>
      </w:rPr>
    </w:lvl>
    <w:lvl w:ilvl="2">
      <w:start w:val="1"/>
      <w:numFmt w:val="decimal"/>
      <w:isLgl w:val="false"/>
      <w:suff w:val="tab"/>
      <w:lvlText w:val="%1.%2.%3."/>
      <w:lvlJc w:val="left"/>
      <w:pPr>
        <w:pStyle w:val="885"/>
        <w:ind w:left="425" w:hanging="425"/>
        <w:tabs>
          <w:tab w:val="num" w:pos="425"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85"/>
        <w:ind w:left="0" w:firstLine="0"/>
      </w:pPr>
      <w:rPr>
        <w:rFonts w:hint="eastAsia"/>
      </w:rPr>
    </w:lvl>
    <w:lvl w:ilvl="1">
      <w:start w:val="1"/>
      <w:numFmt w:val="decimal"/>
      <w:isLgl w:val="false"/>
      <w:suff w:val="nothing"/>
      <w:lvlText w:val="%2、"/>
      <w:lvlJc w:val="left"/>
      <w:pPr>
        <w:pStyle w:val="885"/>
        <w:ind w:left="0" w:firstLine="0"/>
      </w:pPr>
      <w:rPr>
        <w:rFonts w:hint="eastAsia"/>
      </w:rPr>
    </w:lvl>
    <w:lvl w:ilvl="2">
      <w:start w:val="1"/>
      <w:numFmt w:val="decimal"/>
      <w:isLgl w:val="false"/>
      <w:suff w:val="nothing"/>
      <w:lvlText w:val="%2.%3 "/>
      <w:lvlJc w:val="left"/>
      <w:pPr>
        <w:pStyle w:val="885"/>
        <w:ind w:left="0" w:firstLine="0"/>
      </w:pPr>
      <w:rPr>
        <w:rFonts w:hint="eastAsia"/>
      </w:rPr>
    </w:lvl>
    <w:lvl w:ilvl="3">
      <w:start w:val="1"/>
      <w:numFmt w:val="decimal"/>
      <w:isLgl w:val="false"/>
      <w:suff w:val="nothing"/>
      <w:lvlText w:val="%2.%3.%4 "/>
      <w:lvlJc w:val="left"/>
      <w:pPr>
        <w:pStyle w:val="885"/>
        <w:ind w:left="0" w:firstLine="0"/>
      </w:pPr>
      <w:rPr>
        <w:rFonts w:hint="eastAsia"/>
      </w:rPr>
    </w:lvl>
    <w:lvl w:ilvl="4">
      <w:start w:val="1"/>
      <w:numFmt w:val="decimal"/>
      <w:isLgl w:val="false"/>
      <w:suff w:val="nothing"/>
      <w:lvlText w:val="%2.%3.%4.%5 "/>
      <w:lvlJc w:val="left"/>
      <w:pPr>
        <w:pStyle w:val="885"/>
        <w:ind w:left="0" w:firstLine="0"/>
      </w:pPr>
      <w:rPr>
        <w:rFonts w:hint="eastAsia"/>
      </w:rPr>
    </w:lvl>
    <w:lvl w:ilvl="5">
      <w:start w:val="1"/>
      <w:numFmt w:val="decimal"/>
      <w:pStyle w:val="891"/>
      <w:isLgl w:val="false"/>
      <w:suff w:val="nothing"/>
      <w:lvlText w:val=""/>
      <w:lvlJc w:val="left"/>
      <w:pPr>
        <w:pStyle w:val="885"/>
        <w:ind w:left="0" w:firstLine="0"/>
      </w:pPr>
      <w:rPr>
        <w:rFonts w:hint="eastAsia"/>
      </w:rPr>
    </w:lvl>
    <w:lvl w:ilvl="6">
      <w:start w:val="1"/>
      <w:numFmt w:val="decimal"/>
      <w:pStyle w:val="892"/>
      <w:isLgl w:val="false"/>
      <w:suff w:val="nothing"/>
      <w:lvlText w:val=""/>
      <w:lvlJc w:val="left"/>
      <w:pPr>
        <w:pStyle w:val="885"/>
        <w:ind w:left="0" w:firstLine="0"/>
      </w:pPr>
      <w:rPr>
        <w:rFonts w:hint="eastAsia"/>
      </w:rPr>
    </w:lvl>
    <w:lvl w:ilvl="7">
      <w:start w:val="1"/>
      <w:numFmt w:val="decimal"/>
      <w:pStyle w:val="893"/>
      <w:isLgl w:val="false"/>
      <w:suff w:val="nothing"/>
      <w:lvlText w:val=""/>
      <w:lvlJc w:val="left"/>
      <w:pPr>
        <w:pStyle w:val="885"/>
        <w:ind w:left="0" w:firstLine="0"/>
      </w:pPr>
      <w:rPr>
        <w:rFonts w:hint="eastAsia"/>
      </w:rPr>
    </w:lvl>
    <w:lvl w:ilvl="8">
      <w:start w:val="1"/>
      <w:numFmt w:val="decimal"/>
      <w:pStyle w:val="894"/>
      <w:isLgl w:val="false"/>
      <w:suff w:val="nothing"/>
      <w:lvlText w:val=""/>
      <w:lvlJc w:val="left"/>
      <w:pPr>
        <w:pStyle w:val="885"/>
        <w:ind w:left="0" w:firstLine="0"/>
      </w:pPr>
      <w:rPr>
        <w:rFonts w:hint="eastAsia"/>
      </w:rPr>
    </w:lvl>
  </w:abstractNum>
  <w:abstractNum w:abstractNumId="8">
    <w:multiLevelType w:val="hybridMultilevel"/>
    <w:lvl w:ilvl="0">
      <w:start w:val="1"/>
      <w:numFmt w:val="decimal"/>
      <w:isLgl w:val="false"/>
      <w:suff w:val="tab"/>
      <w:lvlText w:val="%1."/>
      <w:lvlJc w:val="left"/>
      <w:pPr>
        <w:pStyle w:val="885"/>
        <w:ind w:left="510" w:hanging="360"/>
        <w:tabs>
          <w:tab w:val="num" w:pos="510" w:leader="none"/>
        </w:tabs>
      </w:pPr>
      <w:rPr>
        <w:rFonts w:hint="eastAsia" w:cs="Times New Roman"/>
      </w:rPr>
    </w:lvl>
    <w:lvl w:ilvl="1">
      <w:start w:val="1"/>
      <w:numFmt w:val="decimal"/>
      <w:isLgl w:val="false"/>
      <w:suff w:val="tab"/>
      <w:lvlText w:val="%2．"/>
      <w:lvlJc w:val="left"/>
      <w:pPr>
        <w:pStyle w:val="885"/>
        <w:ind w:left="1290" w:hanging="720"/>
        <w:tabs>
          <w:tab w:val="num" w:pos="1290" w:leader="none"/>
        </w:tabs>
      </w:pPr>
      <w:rPr>
        <w:rFonts w:hint="eastAsia" w:cs="Times New Roman"/>
      </w:rPr>
    </w:lvl>
    <w:lvl w:ilvl="2">
      <w:start w:val="3"/>
      <w:numFmt w:val="decimal"/>
      <w:isLgl w:val="false"/>
      <w:suff w:val="tab"/>
      <w:lvlText w:val="（%3）"/>
      <w:lvlJc w:val="left"/>
      <w:pPr>
        <w:pStyle w:val="885"/>
        <w:ind w:left="1140" w:hanging="720"/>
        <w:tabs>
          <w:tab w:val="num" w:pos="1140" w:leader="none"/>
        </w:tabs>
      </w:pPr>
      <w:rPr>
        <w:rFonts w:hint="eastAsia" w:cs="Times New Roman"/>
      </w:rPr>
    </w:lvl>
    <w:lvl w:ilvl="3">
      <w:start w:val="1"/>
      <w:numFmt w:val="decimal"/>
      <w:isLgl w:val="false"/>
      <w:suff w:val="tab"/>
      <w:lvlText w:val="（%4）"/>
      <w:lvlJc w:val="left"/>
      <w:pPr>
        <w:pStyle w:val="88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5"/>
        <w:ind w:left="2250" w:hanging="420"/>
        <w:tabs>
          <w:tab w:val="num" w:pos="2250" w:leader="none"/>
        </w:tabs>
      </w:pPr>
      <w:rPr>
        <w:rFonts w:hint="eastAsia"/>
        <w:b/>
        <w:lang w:val="en-US"/>
      </w:rPr>
    </w:lvl>
    <w:lvl w:ilvl="5">
      <w:start w:val="10"/>
      <w:numFmt w:val="japaneseCounting"/>
      <w:isLgl w:val="false"/>
      <w:suff w:val="tab"/>
      <w:lvlText w:val="（%6）"/>
      <w:lvlJc w:val="left"/>
      <w:pPr>
        <w:pStyle w:val="885"/>
        <w:ind w:left="2970" w:hanging="720"/>
      </w:pPr>
      <w:rPr>
        <w:rFonts w:cs="Times New Roman"/>
      </w:rPr>
    </w:lvl>
    <w:lvl w:ilvl="6">
      <w:start w:val="1"/>
      <w:numFmt w:val="decimal"/>
      <w:isLgl w:val="false"/>
      <w:suff w:val="tab"/>
      <w:lvlText w:val="（%7）"/>
      <w:lvlJc w:val="left"/>
      <w:pPr>
        <w:pStyle w:val="88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5"/>
        <w:ind w:left="3510" w:hanging="420"/>
        <w:tabs>
          <w:tab w:val="num" w:pos="3510" w:leader="none"/>
        </w:tabs>
      </w:pPr>
      <w:rPr>
        <w:rFonts w:cs="Times New Roman"/>
      </w:rPr>
    </w:lvl>
    <w:lvl w:ilvl="8">
      <w:start w:val="1"/>
      <w:numFmt w:val="lowerRoman"/>
      <w:isLgl w:val="false"/>
      <w:suff w:val="tab"/>
      <w:lvlText w:val="%9."/>
      <w:lvlJc w:val="right"/>
      <w:pPr>
        <w:pStyle w:val="885"/>
        <w:ind w:left="3930" w:hanging="420"/>
        <w:tabs>
          <w:tab w:val="num" w:pos="3930" w:leader="none"/>
        </w:tabs>
      </w:pPr>
      <w:rPr>
        <w:rFonts w:cs="Times New Roman"/>
      </w:rPr>
    </w:lvl>
  </w:abstractNum>
  <w:abstractNum w:abstractNumId="9">
    <w:multiLevelType w:val="hybridMultilevel"/>
    <w:lvl w:ilvl="0">
      <w:start w:val="1"/>
      <w:numFmt w:val="japaneseCounting"/>
      <w:isLgl w:val="false"/>
      <w:suff w:val="tab"/>
      <w:lvlText w:val="%1、"/>
      <w:lvlJc w:val="left"/>
      <w:pPr>
        <w:pStyle w:val="88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5"/>
        <w:ind w:left="840" w:hanging="420"/>
        <w:tabs>
          <w:tab w:val="num" w:pos="840" w:leader="none"/>
        </w:tabs>
      </w:pPr>
      <w:rPr>
        <w:rFonts w:cs="Times New Roman"/>
      </w:rPr>
    </w:lvl>
    <w:lvl w:ilvl="2">
      <w:start w:val="10"/>
      <w:numFmt w:val="decimal"/>
      <w:isLgl w:val="false"/>
      <w:suff w:val="tab"/>
      <w:lvlText w:val="%3."/>
      <w:lvlJc w:val="left"/>
      <w:pPr>
        <w:pStyle w:val="885"/>
        <w:ind w:left="1200" w:hanging="360"/>
        <w:tabs>
          <w:tab w:val="num" w:pos="1200" w:leader="none"/>
        </w:tabs>
      </w:pPr>
      <w:rPr>
        <w:rFonts w:cs="Times New Roman"/>
      </w:rPr>
    </w:lvl>
    <w:lvl w:ilvl="3">
      <w:start w:val="1"/>
      <w:numFmt w:val="decimal"/>
      <w:isLgl w:val="false"/>
      <w:suff w:val="tab"/>
      <w:lvlText w:val="%4."/>
      <w:lvlJc w:val="left"/>
      <w:pPr>
        <w:pStyle w:val="885"/>
        <w:ind w:left="1680" w:hanging="420"/>
        <w:tabs>
          <w:tab w:val="num" w:pos="1680" w:leader="none"/>
        </w:tabs>
      </w:pPr>
      <w:rPr>
        <w:rFonts w:cs="Times New Roman"/>
      </w:rPr>
    </w:lvl>
    <w:lvl w:ilvl="4">
      <w:start w:val="1"/>
      <w:numFmt w:val="lowerLetter"/>
      <w:isLgl w:val="false"/>
      <w:suff w:val="tab"/>
      <w:lvlText w:val="%5)"/>
      <w:lvlJc w:val="left"/>
      <w:pPr>
        <w:pStyle w:val="885"/>
        <w:ind w:left="2100" w:hanging="420"/>
        <w:tabs>
          <w:tab w:val="num" w:pos="2100" w:leader="none"/>
        </w:tabs>
      </w:pPr>
      <w:rPr>
        <w:rFonts w:cs="Times New Roman"/>
      </w:rPr>
    </w:lvl>
    <w:lvl w:ilvl="5">
      <w:start w:val="1"/>
      <w:numFmt w:val="lowerRoman"/>
      <w:isLgl w:val="false"/>
      <w:suff w:val="tab"/>
      <w:lvlText w:val="%6."/>
      <w:lvlJc w:val="right"/>
      <w:pPr>
        <w:pStyle w:val="885"/>
        <w:ind w:left="2520" w:hanging="420"/>
        <w:tabs>
          <w:tab w:val="num" w:pos="2520" w:leader="none"/>
        </w:tabs>
      </w:pPr>
      <w:rPr>
        <w:rFonts w:cs="Times New Roman"/>
      </w:rPr>
    </w:lvl>
    <w:lvl w:ilvl="6">
      <w:start w:val="1"/>
      <w:numFmt w:val="decimal"/>
      <w:isLgl w:val="false"/>
      <w:suff w:val="tab"/>
      <w:lvlText w:val="%7."/>
      <w:lvlJc w:val="left"/>
      <w:pPr>
        <w:pStyle w:val="885"/>
        <w:ind w:left="2940" w:hanging="420"/>
        <w:tabs>
          <w:tab w:val="num" w:pos="2940" w:leader="none"/>
        </w:tabs>
      </w:pPr>
      <w:rPr>
        <w:rFonts w:cs="Times New Roman"/>
      </w:rPr>
    </w:lvl>
    <w:lvl w:ilvl="7">
      <w:start w:val="1"/>
      <w:numFmt w:val="lowerLetter"/>
      <w:isLgl w:val="false"/>
      <w:suff w:val="tab"/>
      <w:lvlText w:val="%8)"/>
      <w:lvlJc w:val="left"/>
      <w:pPr>
        <w:pStyle w:val="885"/>
        <w:ind w:left="3360" w:hanging="420"/>
        <w:tabs>
          <w:tab w:val="num" w:pos="3360" w:leader="none"/>
        </w:tabs>
      </w:pPr>
      <w:rPr>
        <w:rFonts w:cs="Times New Roman"/>
      </w:rPr>
    </w:lvl>
    <w:lvl w:ilvl="8">
      <w:start w:val="1"/>
      <w:numFmt w:val="lowerRoman"/>
      <w:isLgl w:val="false"/>
      <w:suff w:val="tab"/>
      <w:lvlText w:val="%9."/>
      <w:lvlJc w:val="right"/>
      <w:pPr>
        <w:pStyle w:val="885"/>
        <w:ind w:left="3780" w:hanging="420"/>
        <w:tabs>
          <w:tab w:val="num" w:pos="3780" w:leader="none"/>
        </w:tabs>
      </w:pPr>
      <w:rPr>
        <w:rFonts w:cs="Times New Roman"/>
      </w:rPr>
    </w:lvl>
  </w:abstractNum>
  <w:abstractNum w:abstractNumId="10">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88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6"/>
  </w:num>
  <w:num w:numId="4">
    <w:abstractNumId w:val="2"/>
  </w:num>
  <w:num w:numId="5">
    <w:abstractNumId w:val="11"/>
  </w:num>
  <w:num w:numId="6">
    <w:abstractNumId w:val="5"/>
  </w:num>
  <w:num w:numId="7">
    <w:abstractNumId w:val="1"/>
  </w:num>
  <w:num w:numId="8">
    <w:abstractNumId w:val="8"/>
  </w:num>
  <w:num w:numId="9">
    <w:abstractNumId w:val="3"/>
  </w:num>
  <w:num w:numId="10">
    <w:abstractNumId w:val="10"/>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85"/>
    <w:next w:val="885"/>
    <w:link w:val="708"/>
    <w:uiPriority w:val="9"/>
    <w:qFormat/>
    <w:pPr>
      <w:keepLines/>
      <w:keepNext/>
      <w:spacing w:before="480" w:after="200"/>
      <w:outlineLvl w:val="0"/>
    </w:pPr>
    <w:rPr>
      <w:rFonts w:ascii="Arial" w:hAnsi="Arial" w:eastAsia="Arial" w:cs="Arial"/>
      <w:sz w:val="40"/>
      <w:szCs w:val="40"/>
    </w:rPr>
  </w:style>
  <w:style w:type="character" w:styleId="708">
    <w:name w:val="Heading 1 Char"/>
    <w:link w:val="707"/>
    <w:uiPriority w:val="9"/>
    <w:rPr>
      <w:rFonts w:ascii="Arial" w:hAnsi="Arial" w:eastAsia="Arial" w:cs="Arial"/>
      <w:sz w:val="40"/>
      <w:szCs w:val="40"/>
    </w:rPr>
  </w:style>
  <w:style w:type="paragraph" w:styleId="709">
    <w:name w:val="Heading 2"/>
    <w:basedOn w:val="885"/>
    <w:next w:val="885"/>
    <w:link w:val="710"/>
    <w:uiPriority w:val="9"/>
    <w:unhideWhenUsed/>
    <w:qFormat/>
    <w:pPr>
      <w:keepLines/>
      <w:keepNext/>
      <w:spacing w:before="360" w:after="200"/>
      <w:outlineLvl w:val="1"/>
    </w:pPr>
    <w:rPr>
      <w:rFonts w:ascii="Arial" w:hAnsi="Arial" w:eastAsia="Arial" w:cs="Arial"/>
      <w:sz w:val="34"/>
    </w:rPr>
  </w:style>
  <w:style w:type="character" w:styleId="710">
    <w:name w:val="Heading 2 Char"/>
    <w:link w:val="709"/>
    <w:uiPriority w:val="9"/>
    <w:rPr>
      <w:rFonts w:ascii="Arial" w:hAnsi="Arial" w:eastAsia="Arial" w:cs="Arial"/>
      <w:sz w:val="34"/>
    </w:rPr>
  </w:style>
  <w:style w:type="paragraph" w:styleId="711">
    <w:name w:val="Heading 3"/>
    <w:basedOn w:val="885"/>
    <w:next w:val="885"/>
    <w:link w:val="712"/>
    <w:uiPriority w:val="9"/>
    <w:unhideWhenUsed/>
    <w:qFormat/>
    <w:pPr>
      <w:keepLines/>
      <w:keepNext/>
      <w:spacing w:before="320" w:after="200"/>
      <w:outlineLvl w:val="2"/>
    </w:pPr>
    <w:rPr>
      <w:rFonts w:ascii="Arial" w:hAnsi="Arial" w:eastAsia="Arial" w:cs="Arial"/>
      <w:sz w:val="30"/>
      <w:szCs w:val="30"/>
    </w:rPr>
  </w:style>
  <w:style w:type="character" w:styleId="712">
    <w:name w:val="Heading 3 Char"/>
    <w:link w:val="711"/>
    <w:uiPriority w:val="9"/>
    <w:rPr>
      <w:rFonts w:ascii="Arial" w:hAnsi="Arial" w:eastAsia="Arial" w:cs="Arial"/>
      <w:sz w:val="30"/>
      <w:szCs w:val="30"/>
    </w:rPr>
  </w:style>
  <w:style w:type="paragraph" w:styleId="713">
    <w:name w:val="Heading 4"/>
    <w:basedOn w:val="885"/>
    <w:next w:val="885"/>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link w:val="713"/>
    <w:uiPriority w:val="9"/>
    <w:rPr>
      <w:rFonts w:ascii="Arial" w:hAnsi="Arial" w:eastAsia="Arial" w:cs="Arial"/>
      <w:b/>
      <w:bCs/>
      <w:sz w:val="26"/>
      <w:szCs w:val="26"/>
    </w:rPr>
  </w:style>
  <w:style w:type="paragraph" w:styleId="715">
    <w:name w:val="Heading 5"/>
    <w:basedOn w:val="885"/>
    <w:next w:val="885"/>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link w:val="715"/>
    <w:uiPriority w:val="9"/>
    <w:rPr>
      <w:rFonts w:ascii="Arial" w:hAnsi="Arial" w:eastAsia="Arial" w:cs="Arial"/>
      <w:b/>
      <w:bCs/>
      <w:sz w:val="24"/>
      <w:szCs w:val="24"/>
    </w:rPr>
  </w:style>
  <w:style w:type="paragraph" w:styleId="717">
    <w:name w:val="Heading 6"/>
    <w:basedOn w:val="885"/>
    <w:next w:val="885"/>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link w:val="717"/>
    <w:uiPriority w:val="9"/>
    <w:rPr>
      <w:rFonts w:ascii="Arial" w:hAnsi="Arial" w:eastAsia="Arial" w:cs="Arial"/>
      <w:b/>
      <w:bCs/>
      <w:sz w:val="22"/>
      <w:szCs w:val="22"/>
    </w:rPr>
  </w:style>
  <w:style w:type="paragraph" w:styleId="719">
    <w:name w:val="Heading 7"/>
    <w:basedOn w:val="885"/>
    <w:next w:val="885"/>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link w:val="719"/>
    <w:uiPriority w:val="9"/>
    <w:rPr>
      <w:rFonts w:ascii="Arial" w:hAnsi="Arial" w:eastAsia="Arial" w:cs="Arial"/>
      <w:b/>
      <w:bCs/>
      <w:i/>
      <w:iCs/>
      <w:sz w:val="22"/>
      <w:szCs w:val="22"/>
    </w:rPr>
  </w:style>
  <w:style w:type="paragraph" w:styleId="721">
    <w:name w:val="Heading 8"/>
    <w:basedOn w:val="885"/>
    <w:next w:val="885"/>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link w:val="721"/>
    <w:uiPriority w:val="9"/>
    <w:rPr>
      <w:rFonts w:ascii="Arial" w:hAnsi="Arial" w:eastAsia="Arial" w:cs="Arial"/>
      <w:i/>
      <w:iCs/>
      <w:sz w:val="22"/>
      <w:szCs w:val="22"/>
    </w:rPr>
  </w:style>
  <w:style w:type="paragraph" w:styleId="723">
    <w:name w:val="Heading 9"/>
    <w:basedOn w:val="885"/>
    <w:next w:val="885"/>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link w:val="723"/>
    <w:uiPriority w:val="9"/>
    <w:rPr>
      <w:rFonts w:ascii="Arial" w:hAnsi="Arial" w:eastAsia="Arial" w:cs="Arial"/>
      <w:i/>
      <w:iCs/>
      <w:sz w:val="21"/>
      <w:szCs w:val="21"/>
    </w:rPr>
  </w:style>
  <w:style w:type="paragraph" w:styleId="725">
    <w:name w:val="List Paragraph"/>
    <w:basedOn w:val="885"/>
    <w:uiPriority w:val="34"/>
    <w:qFormat/>
    <w:pPr>
      <w:contextualSpacing/>
      <w:ind w:left="720"/>
    </w:pPr>
  </w:style>
  <w:style w:type="paragraph" w:styleId="726">
    <w:name w:val="No Spacing"/>
    <w:uiPriority w:val="1"/>
    <w:qFormat/>
    <w:pPr>
      <w:spacing w:before="0" w:after="0" w:line="240" w:lineRule="auto"/>
    </w:pPr>
  </w:style>
  <w:style w:type="paragraph" w:styleId="727">
    <w:name w:val="Title"/>
    <w:basedOn w:val="885"/>
    <w:next w:val="885"/>
    <w:link w:val="728"/>
    <w:uiPriority w:val="10"/>
    <w:qFormat/>
    <w:pPr>
      <w:contextualSpacing/>
      <w:spacing w:before="300" w:after="200"/>
    </w:pPr>
    <w:rPr>
      <w:sz w:val="48"/>
      <w:szCs w:val="48"/>
    </w:rPr>
  </w:style>
  <w:style w:type="character" w:styleId="728">
    <w:name w:val="Title Char"/>
    <w:link w:val="727"/>
    <w:uiPriority w:val="10"/>
    <w:rPr>
      <w:sz w:val="48"/>
      <w:szCs w:val="48"/>
    </w:rPr>
  </w:style>
  <w:style w:type="paragraph" w:styleId="729">
    <w:name w:val="Subtitle"/>
    <w:basedOn w:val="885"/>
    <w:next w:val="885"/>
    <w:link w:val="730"/>
    <w:uiPriority w:val="11"/>
    <w:qFormat/>
    <w:pPr>
      <w:spacing w:before="200" w:after="200"/>
    </w:pPr>
    <w:rPr>
      <w:sz w:val="24"/>
      <w:szCs w:val="24"/>
    </w:rPr>
  </w:style>
  <w:style w:type="character" w:styleId="730">
    <w:name w:val="Subtitle Char"/>
    <w:link w:val="729"/>
    <w:uiPriority w:val="11"/>
    <w:rPr>
      <w:sz w:val="24"/>
      <w:szCs w:val="24"/>
    </w:rPr>
  </w:style>
  <w:style w:type="paragraph" w:styleId="731">
    <w:name w:val="Quote"/>
    <w:basedOn w:val="885"/>
    <w:next w:val="885"/>
    <w:link w:val="732"/>
    <w:uiPriority w:val="29"/>
    <w:qFormat/>
    <w:pPr>
      <w:ind w:left="720" w:right="720"/>
    </w:pPr>
    <w:rPr>
      <w:i/>
    </w:rPr>
  </w:style>
  <w:style w:type="character" w:styleId="732">
    <w:name w:val="Quote Char"/>
    <w:link w:val="731"/>
    <w:uiPriority w:val="29"/>
    <w:rPr>
      <w:i/>
    </w:rPr>
  </w:style>
  <w:style w:type="paragraph" w:styleId="733">
    <w:name w:val="Intense Quote"/>
    <w:basedOn w:val="885"/>
    <w:next w:val="885"/>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paragraph" w:styleId="735">
    <w:name w:val="Header"/>
    <w:basedOn w:val="885"/>
    <w:link w:val="736"/>
    <w:uiPriority w:val="99"/>
    <w:unhideWhenUsed/>
    <w:pPr>
      <w:spacing w:after="0" w:line="240" w:lineRule="auto"/>
      <w:tabs>
        <w:tab w:val="center" w:pos="7143" w:leader="none"/>
        <w:tab w:val="right" w:pos="14287" w:leader="none"/>
      </w:tabs>
    </w:pPr>
  </w:style>
  <w:style w:type="character" w:styleId="736">
    <w:name w:val="Header Char"/>
    <w:link w:val="735"/>
    <w:uiPriority w:val="99"/>
  </w:style>
  <w:style w:type="paragraph" w:styleId="737">
    <w:name w:val="Footer"/>
    <w:basedOn w:val="885"/>
    <w:link w:val="740"/>
    <w:uiPriority w:val="99"/>
    <w:unhideWhenUsed/>
    <w:pPr>
      <w:spacing w:after="0" w:line="240" w:lineRule="auto"/>
      <w:tabs>
        <w:tab w:val="center" w:pos="7143" w:leader="none"/>
        <w:tab w:val="right" w:pos="14287" w:leader="none"/>
      </w:tabs>
    </w:pPr>
  </w:style>
  <w:style w:type="character" w:styleId="738">
    <w:name w:val="Footer Char"/>
    <w:link w:val="737"/>
    <w:uiPriority w:val="99"/>
  </w:style>
  <w:style w:type="paragraph" w:styleId="739">
    <w:name w:val="Caption"/>
    <w:basedOn w:val="885"/>
    <w:next w:val="885"/>
    <w:uiPriority w:val="35"/>
    <w:semiHidden/>
    <w:unhideWhenUsed/>
    <w:qFormat/>
    <w:pPr>
      <w:spacing w:line="276" w:lineRule="auto"/>
    </w:pPr>
    <w:rPr>
      <w:b/>
      <w:bCs/>
      <w:color w:val="4f81bd" w:themeColor="accent1"/>
      <w:sz w:val="18"/>
      <w:szCs w:val="18"/>
    </w:rPr>
  </w:style>
  <w:style w:type="character" w:styleId="740">
    <w:name w:val="Caption Char"/>
    <w:basedOn w:val="739"/>
    <w:link w:val="737"/>
    <w:uiPriority w:val="99"/>
  </w:style>
  <w:style w:type="table" w:styleId="74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7">
    <w:name w:val="Hyperlink"/>
    <w:uiPriority w:val="99"/>
    <w:unhideWhenUsed/>
    <w:rPr>
      <w:color w:val="0000ff" w:themeColor="hyperlink"/>
      <w:u w:val="single"/>
    </w:rPr>
  </w:style>
  <w:style w:type="paragraph" w:styleId="868">
    <w:name w:val="footnote text"/>
    <w:basedOn w:val="885"/>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uiPriority w:val="99"/>
    <w:unhideWhenUsed/>
    <w:rPr>
      <w:vertAlign w:val="superscript"/>
    </w:rPr>
  </w:style>
  <w:style w:type="paragraph" w:styleId="871">
    <w:name w:val="endnote text"/>
    <w:basedOn w:val="885"/>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uiPriority w:val="99"/>
    <w:semiHidden/>
    <w:unhideWhenUsed/>
    <w:rPr>
      <w:vertAlign w:val="superscript"/>
    </w:rPr>
  </w:style>
  <w:style w:type="paragraph" w:styleId="874">
    <w:name w:val="toc 1"/>
    <w:basedOn w:val="885"/>
    <w:next w:val="885"/>
    <w:uiPriority w:val="39"/>
    <w:unhideWhenUsed/>
    <w:pPr>
      <w:ind w:left="0" w:right="0" w:firstLine="0"/>
      <w:spacing w:after="57"/>
    </w:pPr>
  </w:style>
  <w:style w:type="paragraph" w:styleId="875">
    <w:name w:val="toc 2"/>
    <w:basedOn w:val="885"/>
    <w:next w:val="885"/>
    <w:uiPriority w:val="39"/>
    <w:unhideWhenUsed/>
    <w:pPr>
      <w:ind w:left="283" w:right="0" w:firstLine="0"/>
      <w:spacing w:after="57"/>
    </w:pPr>
  </w:style>
  <w:style w:type="paragraph" w:styleId="876">
    <w:name w:val="toc 3"/>
    <w:basedOn w:val="885"/>
    <w:next w:val="885"/>
    <w:uiPriority w:val="39"/>
    <w:unhideWhenUsed/>
    <w:pPr>
      <w:ind w:left="567" w:right="0" w:firstLine="0"/>
      <w:spacing w:after="57"/>
    </w:p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ascii="Times New Roman" w:hAnsi="Times New Roman"/>
      <w:sz w:val="21"/>
      <w:szCs w:val="21"/>
      <w:lang w:val="en-US" w:eastAsia="zh-CN" w:bidi="ar-SA"/>
    </w:rPr>
  </w:style>
  <w:style w:type="paragraph" w:styleId="886">
    <w:name w:val="标题 1"/>
    <w:basedOn w:val="885"/>
    <w:next w:val="885"/>
    <w:link w:val="898"/>
    <w:qFormat/>
    <w:pPr>
      <w:jc w:val="center"/>
      <w:keepNext/>
      <w:outlineLvl w:val="0"/>
    </w:pPr>
    <w:rPr>
      <w:rFonts w:ascii="楷体_GB2312" w:eastAsia="楷体_GB2312"/>
      <w:sz w:val="28"/>
      <w:szCs w:val="28"/>
    </w:rPr>
  </w:style>
  <w:style w:type="paragraph" w:styleId="887">
    <w:name w:val="标题 2"/>
    <w:basedOn w:val="885"/>
    <w:next w:val="900"/>
    <w:link w:val="899"/>
    <w:qFormat/>
    <w:pPr>
      <w:jc w:val="center"/>
      <w:keepLines/>
      <w:keepNext/>
      <w:spacing w:before="260" w:after="260" w:line="416" w:lineRule="auto"/>
      <w:outlineLvl w:val="1"/>
    </w:pPr>
    <w:rPr>
      <w:rFonts w:ascii="Arial" w:hAnsi="Arial" w:eastAsia="幼圆"/>
      <w:b/>
      <w:bCs/>
      <w:sz w:val="44"/>
      <w:szCs w:val="44"/>
    </w:rPr>
  </w:style>
  <w:style w:type="paragraph" w:styleId="888">
    <w:name w:val="标题 3"/>
    <w:basedOn w:val="885"/>
    <w:next w:val="900"/>
    <w:link w:val="902"/>
    <w:qFormat/>
    <w:pPr>
      <w:keepLines/>
      <w:keepNext/>
      <w:spacing w:before="260" w:after="260" w:line="416" w:lineRule="auto"/>
      <w:outlineLvl w:val="2"/>
    </w:pPr>
    <w:rPr>
      <w:b/>
      <w:bCs/>
      <w:sz w:val="32"/>
      <w:szCs w:val="32"/>
    </w:rPr>
  </w:style>
  <w:style w:type="paragraph" w:styleId="889">
    <w:name w:val="标题 4"/>
    <w:basedOn w:val="885"/>
    <w:next w:val="900"/>
    <w:link w:val="903"/>
    <w:qFormat/>
    <w:pPr>
      <w:keepLines/>
      <w:keepNext/>
      <w:spacing w:before="280" w:after="290" w:line="376" w:lineRule="auto"/>
      <w:outlineLvl w:val="3"/>
    </w:pPr>
    <w:rPr>
      <w:rFonts w:ascii="Arial" w:hAnsi="Arial" w:eastAsia="黑体"/>
      <w:b/>
      <w:bCs/>
      <w:sz w:val="28"/>
      <w:szCs w:val="28"/>
    </w:rPr>
  </w:style>
  <w:style w:type="paragraph" w:styleId="890">
    <w:name w:val="标题 5"/>
    <w:basedOn w:val="885"/>
    <w:next w:val="900"/>
    <w:link w:val="904"/>
    <w:qFormat/>
    <w:pPr>
      <w:keepNext/>
      <w:outlineLvl w:val="4"/>
    </w:pPr>
    <w:rPr>
      <w:rFonts w:ascii="宋体"/>
      <w:color w:val="000000"/>
      <w:sz w:val="28"/>
      <w:szCs w:val="28"/>
    </w:rPr>
  </w:style>
  <w:style w:type="paragraph" w:styleId="891">
    <w:name w:val="标题 6"/>
    <w:basedOn w:val="885"/>
    <w:next w:val="885"/>
    <w:link w:val="905"/>
    <w:qFormat/>
    <w:pPr>
      <w:numPr>
        <w:ilvl w:val="5"/>
        <w:numId w:val="1"/>
      </w:numPr>
      <w:keepLines/>
      <w:keepNext/>
      <w:spacing w:before="240" w:after="64" w:line="320" w:lineRule="auto"/>
      <w:outlineLvl w:val="5"/>
    </w:pPr>
    <w:rPr>
      <w:rFonts w:ascii="Arial" w:hAnsi="Arial" w:eastAsia="黑体"/>
      <w:b/>
      <w:bCs/>
      <w:sz w:val="24"/>
      <w:szCs w:val="24"/>
    </w:rPr>
  </w:style>
  <w:style w:type="paragraph" w:styleId="892">
    <w:name w:val="标题 7"/>
    <w:basedOn w:val="885"/>
    <w:next w:val="885"/>
    <w:link w:val="906"/>
    <w:qFormat/>
    <w:pPr>
      <w:numPr>
        <w:ilvl w:val="6"/>
        <w:numId w:val="1"/>
      </w:numPr>
      <w:keepLines/>
      <w:keepNext/>
      <w:spacing w:before="240" w:after="64" w:line="320" w:lineRule="auto"/>
      <w:outlineLvl w:val="6"/>
    </w:pPr>
    <w:rPr>
      <w:b/>
      <w:bCs/>
      <w:sz w:val="24"/>
      <w:szCs w:val="24"/>
    </w:rPr>
  </w:style>
  <w:style w:type="paragraph" w:styleId="893">
    <w:name w:val="标题 8"/>
    <w:basedOn w:val="885"/>
    <w:next w:val="885"/>
    <w:link w:val="907"/>
    <w:qFormat/>
    <w:pPr>
      <w:numPr>
        <w:ilvl w:val="7"/>
        <w:numId w:val="1"/>
      </w:numPr>
      <w:keepLines/>
      <w:keepNext/>
      <w:spacing w:before="240" w:after="64" w:line="320" w:lineRule="auto"/>
      <w:outlineLvl w:val="7"/>
    </w:pPr>
    <w:rPr>
      <w:rFonts w:ascii="Arial" w:hAnsi="Arial" w:eastAsia="黑体"/>
      <w:sz w:val="24"/>
      <w:szCs w:val="24"/>
    </w:rPr>
  </w:style>
  <w:style w:type="paragraph" w:styleId="894">
    <w:name w:val="标题 9"/>
    <w:basedOn w:val="885"/>
    <w:next w:val="885"/>
    <w:link w:val="908"/>
    <w:qFormat/>
    <w:pPr>
      <w:numPr>
        <w:ilvl w:val="8"/>
        <w:numId w:val="1"/>
      </w:numPr>
      <w:keepLines/>
      <w:keepNext/>
      <w:spacing w:before="240" w:after="64" w:line="320" w:lineRule="auto"/>
      <w:outlineLvl w:val="8"/>
    </w:pPr>
    <w:rPr>
      <w:rFonts w:ascii="Arial" w:hAnsi="Arial" w:eastAsia="黑体"/>
      <w:sz w:val="20"/>
    </w:rPr>
  </w:style>
  <w:style w:type="character" w:styleId="895">
    <w:name w:val="默认段落字体"/>
    <w:next w:val="895"/>
    <w:link w:val="885"/>
    <w:uiPriority w:val="1"/>
    <w:unhideWhenUsed/>
  </w:style>
  <w:style w:type="table" w:styleId="896">
    <w:name w:val="普通表格"/>
    <w:next w:val="896"/>
    <w:link w:val="885"/>
    <w:uiPriority w:val="99"/>
    <w:unhideWhenUsed/>
    <w:tblPr/>
  </w:style>
  <w:style w:type="numbering" w:styleId="897">
    <w:name w:val="无列表"/>
    <w:next w:val="897"/>
    <w:link w:val="885"/>
    <w:uiPriority w:val="99"/>
    <w:semiHidden/>
    <w:unhideWhenUsed/>
  </w:style>
  <w:style w:type="character" w:styleId="898">
    <w:name w:val="标题 1 Char"/>
    <w:next w:val="898"/>
    <w:link w:val="886"/>
    <w:rPr>
      <w:rFonts w:ascii="楷体_GB2312" w:hAnsi="Times New Roman" w:eastAsia="楷体_GB2312" w:cs="Times New Roman"/>
      <w:sz w:val="28"/>
      <w:szCs w:val="28"/>
    </w:rPr>
  </w:style>
  <w:style w:type="character" w:styleId="899">
    <w:name w:val="标题 2 Char"/>
    <w:next w:val="899"/>
    <w:link w:val="887"/>
    <w:rPr>
      <w:rFonts w:ascii="Arial" w:hAnsi="Arial" w:eastAsia="幼圆" w:cs="Arial"/>
      <w:b/>
      <w:bCs/>
      <w:sz w:val="44"/>
      <w:szCs w:val="44"/>
    </w:rPr>
  </w:style>
  <w:style w:type="paragraph" w:styleId="900">
    <w:name w:val="正文缩进"/>
    <w:basedOn w:val="885"/>
    <w:next w:val="900"/>
    <w:link w:val="901"/>
    <w:pPr>
      <w:ind w:firstLine="420"/>
    </w:pPr>
    <w:rPr>
      <w:sz w:val="20"/>
    </w:rPr>
  </w:style>
  <w:style w:type="character" w:styleId="901">
    <w:name w:val="正文缩进 Char"/>
    <w:next w:val="901"/>
    <w:link w:val="900"/>
    <w:rPr>
      <w:rFonts w:ascii="Times New Roman" w:hAnsi="Times New Roman" w:eastAsia="宋体" w:cs="Times New Roman"/>
      <w:szCs w:val="21"/>
    </w:rPr>
  </w:style>
  <w:style w:type="character" w:styleId="902">
    <w:name w:val="标题 3 Char"/>
    <w:next w:val="902"/>
    <w:link w:val="888"/>
    <w:rPr>
      <w:rFonts w:ascii="Times New Roman" w:hAnsi="Times New Roman" w:eastAsia="宋体" w:cs="Times New Roman"/>
      <w:b/>
      <w:bCs/>
      <w:sz w:val="32"/>
      <w:szCs w:val="32"/>
    </w:rPr>
  </w:style>
  <w:style w:type="character" w:styleId="903">
    <w:name w:val="标题 4 Char"/>
    <w:next w:val="903"/>
    <w:link w:val="889"/>
    <w:rPr>
      <w:rFonts w:ascii="Arial" w:hAnsi="Arial" w:eastAsia="黑体" w:cs="Arial"/>
      <w:b/>
      <w:bCs/>
      <w:sz w:val="28"/>
      <w:szCs w:val="28"/>
    </w:rPr>
  </w:style>
  <w:style w:type="character" w:styleId="904">
    <w:name w:val="标题 5 Char"/>
    <w:next w:val="904"/>
    <w:link w:val="890"/>
    <w:rPr>
      <w:rFonts w:ascii="宋体" w:hAnsi="Times New Roman" w:eastAsia="宋体" w:cs="Times New Roman"/>
      <w:color w:val="000000"/>
      <w:sz w:val="28"/>
      <w:szCs w:val="28"/>
    </w:rPr>
  </w:style>
  <w:style w:type="character" w:styleId="905">
    <w:name w:val="标题 6 Char"/>
    <w:next w:val="905"/>
    <w:link w:val="891"/>
    <w:rPr>
      <w:rFonts w:ascii="Arial" w:hAnsi="Arial" w:eastAsia="黑体" w:cs="Times New Roman"/>
      <w:b/>
      <w:bCs/>
      <w:sz w:val="24"/>
      <w:szCs w:val="24"/>
    </w:rPr>
  </w:style>
  <w:style w:type="character" w:styleId="906">
    <w:name w:val="标题 7 Char"/>
    <w:next w:val="906"/>
    <w:link w:val="892"/>
    <w:rPr>
      <w:rFonts w:ascii="Times New Roman" w:hAnsi="Times New Roman" w:eastAsia="宋体" w:cs="Times New Roman"/>
      <w:b/>
      <w:bCs/>
      <w:sz w:val="24"/>
      <w:szCs w:val="24"/>
    </w:rPr>
  </w:style>
  <w:style w:type="character" w:styleId="907">
    <w:name w:val="标题 8 Char"/>
    <w:next w:val="907"/>
    <w:link w:val="893"/>
    <w:rPr>
      <w:rFonts w:ascii="Arial" w:hAnsi="Arial" w:eastAsia="黑体" w:cs="Times New Roman"/>
      <w:sz w:val="24"/>
      <w:szCs w:val="24"/>
    </w:rPr>
  </w:style>
  <w:style w:type="character" w:styleId="908">
    <w:name w:val="标题 9 Char"/>
    <w:next w:val="908"/>
    <w:link w:val="894"/>
    <w:rPr>
      <w:rFonts w:ascii="Arial" w:hAnsi="Arial" w:eastAsia="黑体" w:cs="Times New Roman"/>
      <w:szCs w:val="21"/>
    </w:rPr>
  </w:style>
  <w:style w:type="paragraph" w:styleId="909">
    <w:name w:val="列表 3"/>
    <w:basedOn w:val="885"/>
    <w:next w:val="909"/>
    <w:link w:val="885"/>
    <w:pPr>
      <w:ind w:left="100" w:hanging="200"/>
    </w:pPr>
  </w:style>
  <w:style w:type="paragraph" w:styleId="910">
    <w:name w:val="目录 7"/>
    <w:basedOn w:val="885"/>
    <w:next w:val="885"/>
    <w:link w:val="885"/>
    <w:semiHidden/>
    <w:pPr>
      <w:ind w:left="1260"/>
      <w:jc w:val="left"/>
    </w:pPr>
  </w:style>
  <w:style w:type="paragraph" w:styleId="911">
    <w:name w:val="文档结构图"/>
    <w:basedOn w:val="885"/>
    <w:next w:val="911"/>
    <w:link w:val="912"/>
    <w:semiHidden/>
    <w:pPr>
      <w:shd w:val="clear" w:color="auto" w:fill="000080"/>
    </w:pPr>
    <w:rPr>
      <w:sz w:val="20"/>
    </w:rPr>
  </w:style>
  <w:style w:type="character" w:styleId="912">
    <w:name w:val="文档结构图 Char"/>
    <w:next w:val="912"/>
    <w:link w:val="911"/>
    <w:semiHidden/>
    <w:rPr>
      <w:rFonts w:ascii="Times New Roman" w:hAnsi="Times New Roman" w:eastAsia="宋体" w:cs="Times New Roman"/>
      <w:szCs w:val="21"/>
      <w:shd w:val="clear" w:color="auto" w:fill="000080"/>
    </w:rPr>
  </w:style>
  <w:style w:type="paragraph" w:styleId="913">
    <w:name w:val="批注文字"/>
    <w:basedOn w:val="885"/>
    <w:next w:val="913"/>
    <w:link w:val="914"/>
    <w:semiHidden/>
    <w:pPr>
      <w:jc w:val="left"/>
    </w:pPr>
    <w:rPr>
      <w:sz w:val="20"/>
    </w:rPr>
  </w:style>
  <w:style w:type="character" w:styleId="914">
    <w:name w:val="批注文字 Char"/>
    <w:next w:val="914"/>
    <w:link w:val="913"/>
    <w:semiHidden/>
    <w:rPr>
      <w:rFonts w:ascii="Times New Roman" w:hAnsi="Times New Roman" w:eastAsia="宋体" w:cs="Times New Roman"/>
      <w:szCs w:val="21"/>
    </w:rPr>
  </w:style>
  <w:style w:type="paragraph" w:styleId="915">
    <w:name w:val="正文文本 3"/>
    <w:basedOn w:val="885"/>
    <w:next w:val="915"/>
    <w:link w:val="916"/>
    <w:rPr>
      <w:rFonts w:ascii="仿宋_GB2312" w:hAnsi="Arial" w:eastAsia="仿宋_GB2312"/>
      <w:sz w:val="32"/>
      <w:szCs w:val="32"/>
    </w:rPr>
  </w:style>
  <w:style w:type="character" w:styleId="916">
    <w:name w:val="正文文本 3 Char"/>
    <w:next w:val="916"/>
    <w:link w:val="915"/>
    <w:rPr>
      <w:rFonts w:ascii="仿宋_GB2312" w:hAnsi="Arial" w:eastAsia="仿宋_GB2312" w:cs="Times New Roman"/>
      <w:sz w:val="32"/>
      <w:szCs w:val="32"/>
    </w:rPr>
  </w:style>
  <w:style w:type="paragraph" w:styleId="917">
    <w:name w:val="正文文本"/>
    <w:basedOn w:val="885"/>
    <w:next w:val="917"/>
    <w:link w:val="918"/>
    <w:rPr>
      <w:rFonts w:ascii="楷体_GB2312" w:hAnsi="Arial" w:eastAsia="楷体_GB2312"/>
      <w:sz w:val="28"/>
      <w:szCs w:val="28"/>
    </w:rPr>
  </w:style>
  <w:style w:type="character" w:styleId="918">
    <w:name w:val="正文文本 Char"/>
    <w:next w:val="918"/>
    <w:link w:val="917"/>
    <w:rPr>
      <w:rFonts w:ascii="楷体_GB2312" w:hAnsi="Arial" w:eastAsia="楷体_GB2312" w:cs="Times New Roman"/>
      <w:sz w:val="28"/>
      <w:szCs w:val="28"/>
    </w:rPr>
  </w:style>
  <w:style w:type="paragraph" w:styleId="919">
    <w:name w:val="正文文本缩进"/>
    <w:basedOn w:val="885"/>
    <w:next w:val="919"/>
    <w:link w:val="920"/>
    <w:pPr>
      <w:ind w:firstLine="645"/>
    </w:pPr>
    <w:rPr>
      <w:rFonts w:ascii="楷体_GB2312" w:eastAsia="楷体_GB2312"/>
      <w:sz w:val="32"/>
      <w:szCs w:val="32"/>
    </w:rPr>
  </w:style>
  <w:style w:type="character" w:styleId="920">
    <w:name w:val="正文文本缩进 Char"/>
    <w:next w:val="920"/>
    <w:link w:val="919"/>
    <w:rPr>
      <w:rFonts w:ascii="楷体_GB2312" w:hAnsi="Times New Roman" w:eastAsia="楷体_GB2312" w:cs="Times New Roman"/>
      <w:sz w:val="32"/>
      <w:szCs w:val="32"/>
    </w:rPr>
  </w:style>
  <w:style w:type="paragraph" w:styleId="921">
    <w:name w:val="列表 2"/>
    <w:basedOn w:val="885"/>
    <w:next w:val="921"/>
    <w:link w:val="885"/>
    <w:pPr>
      <w:ind w:left="100" w:hanging="200"/>
    </w:pPr>
  </w:style>
  <w:style w:type="paragraph" w:styleId="922">
    <w:name w:val="目录 5"/>
    <w:basedOn w:val="885"/>
    <w:next w:val="885"/>
    <w:link w:val="885"/>
    <w:semiHidden/>
    <w:pPr>
      <w:ind w:left="840"/>
      <w:jc w:val="left"/>
    </w:pPr>
  </w:style>
  <w:style w:type="paragraph" w:styleId="923">
    <w:name w:val="目录 3"/>
    <w:basedOn w:val="885"/>
    <w:next w:val="885"/>
    <w:link w:val="885"/>
    <w:semiHidden/>
    <w:pPr>
      <w:ind w:left="420"/>
      <w:jc w:val="left"/>
    </w:pPr>
    <w:rPr>
      <w:i/>
      <w:iCs/>
      <w:szCs w:val="24"/>
    </w:rPr>
  </w:style>
  <w:style w:type="paragraph" w:styleId="924">
    <w:name w:val="纯文本"/>
    <w:basedOn w:val="885"/>
    <w:next w:val="924"/>
    <w:link w:val="925"/>
    <w:rPr>
      <w:rFonts w:ascii="宋体" w:hAnsi="Courier New"/>
      <w:sz w:val="20"/>
    </w:rPr>
  </w:style>
  <w:style w:type="character" w:styleId="925">
    <w:name w:val="纯文本 Char"/>
    <w:next w:val="925"/>
    <w:link w:val="924"/>
    <w:rPr>
      <w:rFonts w:ascii="宋体" w:hAnsi="Courier New" w:eastAsia="宋体" w:cs="Courier New"/>
      <w:szCs w:val="21"/>
    </w:rPr>
  </w:style>
  <w:style w:type="paragraph" w:styleId="926">
    <w:name w:val="目录 8"/>
    <w:basedOn w:val="885"/>
    <w:next w:val="885"/>
    <w:link w:val="885"/>
    <w:semiHidden/>
    <w:pPr>
      <w:ind w:left="1470"/>
      <w:jc w:val="left"/>
    </w:pPr>
  </w:style>
  <w:style w:type="paragraph" w:styleId="927">
    <w:name w:val="日期"/>
    <w:basedOn w:val="885"/>
    <w:next w:val="885"/>
    <w:link w:val="928"/>
    <w:rPr>
      <w:sz w:val="24"/>
      <w:szCs w:val="24"/>
    </w:rPr>
  </w:style>
  <w:style w:type="character" w:styleId="928">
    <w:name w:val="日期 Char"/>
    <w:next w:val="928"/>
    <w:link w:val="927"/>
    <w:rPr>
      <w:rFonts w:ascii="Times New Roman" w:hAnsi="Times New Roman" w:eastAsia="宋体" w:cs="Times New Roman"/>
      <w:sz w:val="24"/>
      <w:szCs w:val="24"/>
    </w:rPr>
  </w:style>
  <w:style w:type="paragraph" w:styleId="929">
    <w:name w:val="正文文本缩进 2"/>
    <w:basedOn w:val="885"/>
    <w:next w:val="929"/>
    <w:link w:val="930"/>
    <w:pPr>
      <w:ind w:left="630" w:firstLine="645"/>
    </w:pPr>
    <w:rPr>
      <w:rFonts w:ascii="Arial" w:hAnsi="Arial" w:eastAsia="仿宋_GB2312"/>
      <w:sz w:val="32"/>
      <w:szCs w:val="32"/>
    </w:rPr>
  </w:style>
  <w:style w:type="character" w:styleId="930">
    <w:name w:val="正文文本缩进 2 Char"/>
    <w:next w:val="930"/>
    <w:link w:val="929"/>
    <w:rPr>
      <w:rFonts w:ascii="Arial" w:hAnsi="Arial" w:eastAsia="仿宋_GB2312" w:cs="Arial"/>
      <w:sz w:val="32"/>
      <w:szCs w:val="32"/>
    </w:rPr>
  </w:style>
  <w:style w:type="paragraph" w:styleId="931">
    <w:name w:val="批注框文本"/>
    <w:basedOn w:val="885"/>
    <w:next w:val="931"/>
    <w:link w:val="932"/>
    <w:semiHidden/>
    <w:rPr>
      <w:sz w:val="18"/>
      <w:szCs w:val="18"/>
    </w:rPr>
  </w:style>
  <w:style w:type="character" w:styleId="932">
    <w:name w:val="批注框文本 Char"/>
    <w:next w:val="932"/>
    <w:link w:val="931"/>
    <w:semiHidden/>
    <w:rPr>
      <w:rFonts w:ascii="Times New Roman" w:hAnsi="Times New Roman" w:eastAsia="宋体" w:cs="Times New Roman"/>
      <w:sz w:val="18"/>
      <w:szCs w:val="18"/>
    </w:rPr>
  </w:style>
  <w:style w:type="paragraph" w:styleId="933">
    <w:name w:val="页脚"/>
    <w:basedOn w:val="885"/>
    <w:next w:val="933"/>
    <w:link w:val="934"/>
    <w:pPr>
      <w:jc w:val="left"/>
      <w:tabs>
        <w:tab w:val="center" w:pos="4153" w:leader="none"/>
        <w:tab w:val="right" w:pos="8306" w:leader="none"/>
      </w:tabs>
    </w:pPr>
    <w:rPr>
      <w:sz w:val="18"/>
      <w:szCs w:val="18"/>
    </w:rPr>
  </w:style>
  <w:style w:type="character" w:styleId="934">
    <w:name w:val="页脚 Char"/>
    <w:next w:val="934"/>
    <w:link w:val="933"/>
    <w:rPr>
      <w:rFonts w:ascii="Times New Roman" w:hAnsi="Times New Roman" w:eastAsia="宋体" w:cs="Times New Roman"/>
      <w:sz w:val="18"/>
      <w:szCs w:val="18"/>
    </w:rPr>
  </w:style>
  <w:style w:type="paragraph" w:styleId="935">
    <w:name w:val="页眉"/>
    <w:basedOn w:val="885"/>
    <w:next w:val="935"/>
    <w:link w:val="936"/>
    <w:uiPriority w:val="99"/>
    <w:qFormat/>
    <w:pPr>
      <w:jc w:val="center"/>
      <w:tabs>
        <w:tab w:val="center" w:pos="4153" w:leader="none"/>
        <w:tab w:val="right" w:pos="8306" w:leader="none"/>
      </w:tabs>
      <w:pBdr>
        <w:bottom w:val="single" w:color="000000" w:sz="6" w:space="1"/>
      </w:pBdr>
    </w:pPr>
    <w:rPr>
      <w:sz w:val="18"/>
      <w:szCs w:val="18"/>
    </w:rPr>
  </w:style>
  <w:style w:type="character" w:styleId="936">
    <w:name w:val="页眉 Char"/>
    <w:next w:val="936"/>
    <w:link w:val="935"/>
    <w:uiPriority w:val="99"/>
    <w:qFormat/>
    <w:rPr>
      <w:rFonts w:ascii="Times New Roman" w:hAnsi="Times New Roman" w:eastAsia="宋体" w:cs="Times New Roman"/>
      <w:sz w:val="18"/>
      <w:szCs w:val="18"/>
    </w:rPr>
  </w:style>
  <w:style w:type="paragraph" w:styleId="937">
    <w:name w:val="目录 1"/>
    <w:basedOn w:val="885"/>
    <w:next w:val="885"/>
    <w:link w:val="885"/>
    <w:semiHidden/>
    <w:pPr>
      <w:jc w:val="left"/>
      <w:spacing w:before="120" w:after="120" w:line="400" w:lineRule="exact"/>
      <w:tabs>
        <w:tab w:val="right" w:pos="8720" w:leader="dot"/>
      </w:tabs>
    </w:pPr>
    <w:rPr>
      <w:rFonts w:ascii="宋体" w:hAnsi="宋体"/>
      <w:caps/>
      <w:sz w:val="24"/>
      <w:szCs w:val="24"/>
    </w:rPr>
  </w:style>
  <w:style w:type="paragraph" w:styleId="938">
    <w:name w:val="目录 4"/>
    <w:basedOn w:val="885"/>
    <w:next w:val="885"/>
    <w:link w:val="885"/>
    <w:semiHidden/>
    <w:pPr>
      <w:ind w:left="630"/>
      <w:jc w:val="left"/>
    </w:pPr>
  </w:style>
  <w:style w:type="paragraph" w:styleId="939">
    <w:name w:val="列表"/>
    <w:basedOn w:val="885"/>
    <w:next w:val="939"/>
    <w:link w:val="885"/>
    <w:pPr>
      <w:ind w:left="200" w:hanging="200"/>
    </w:pPr>
  </w:style>
  <w:style w:type="paragraph" w:styleId="940">
    <w:name w:val="目录 6"/>
    <w:basedOn w:val="885"/>
    <w:next w:val="885"/>
    <w:link w:val="885"/>
    <w:semiHidden/>
    <w:pPr>
      <w:ind w:left="1050"/>
      <w:jc w:val="left"/>
    </w:pPr>
  </w:style>
  <w:style w:type="paragraph" w:styleId="941">
    <w:name w:val="正文文本缩进 3"/>
    <w:basedOn w:val="885"/>
    <w:next w:val="941"/>
    <w:link w:val="942"/>
    <w:pPr>
      <w:ind w:left="645" w:firstLine="645"/>
    </w:pPr>
    <w:rPr>
      <w:rFonts w:ascii="Arial" w:hAnsi="Arial" w:eastAsia="仿宋_GB2312"/>
      <w:color w:val="ffff00"/>
      <w:sz w:val="32"/>
      <w:szCs w:val="32"/>
    </w:rPr>
  </w:style>
  <w:style w:type="character" w:styleId="942">
    <w:name w:val="正文文本缩进 3 Char"/>
    <w:next w:val="942"/>
    <w:link w:val="941"/>
    <w:rPr>
      <w:rFonts w:ascii="Arial" w:hAnsi="Arial" w:eastAsia="仿宋_GB2312" w:cs="Arial"/>
      <w:color w:val="ffff00"/>
      <w:sz w:val="32"/>
      <w:szCs w:val="32"/>
    </w:rPr>
  </w:style>
  <w:style w:type="paragraph" w:styleId="943">
    <w:name w:val="图表目录"/>
    <w:basedOn w:val="885"/>
    <w:next w:val="885"/>
    <w:link w:val="885"/>
    <w:semiHidden/>
    <w:pPr>
      <w:ind w:left="840" w:hanging="420"/>
    </w:pPr>
  </w:style>
  <w:style w:type="paragraph" w:styleId="944">
    <w:name w:val="目录 2"/>
    <w:basedOn w:val="885"/>
    <w:next w:val="885"/>
    <w:link w:val="885"/>
    <w:semiHidden/>
    <w:pPr>
      <w:ind w:left="210"/>
      <w:jc w:val="left"/>
    </w:pPr>
    <w:rPr>
      <w:smallCaps/>
      <w:szCs w:val="24"/>
    </w:rPr>
  </w:style>
  <w:style w:type="paragraph" w:styleId="945">
    <w:name w:val="目录 9"/>
    <w:basedOn w:val="885"/>
    <w:next w:val="885"/>
    <w:link w:val="885"/>
    <w:semiHidden/>
    <w:pPr>
      <w:ind w:left="1680"/>
      <w:jc w:val="left"/>
    </w:pPr>
  </w:style>
  <w:style w:type="paragraph" w:styleId="946">
    <w:name w:val="正文文本 2"/>
    <w:basedOn w:val="885"/>
    <w:next w:val="946"/>
    <w:link w:val="947"/>
    <w:pPr>
      <w:jc w:val="center"/>
      <w:widowControl/>
    </w:pPr>
    <w:rPr>
      <w:rFonts w:ascii="楷体_GB2312" w:eastAsia="楷体_GB2312"/>
      <w:sz w:val="28"/>
      <w:szCs w:val="28"/>
    </w:rPr>
  </w:style>
  <w:style w:type="character" w:styleId="947">
    <w:name w:val="正文文本 2 Char"/>
    <w:next w:val="947"/>
    <w:link w:val="946"/>
    <w:rPr>
      <w:rFonts w:ascii="楷体_GB2312" w:hAnsi="Times New Roman" w:eastAsia="楷体_GB2312" w:cs="Times New Roman"/>
      <w:sz w:val="28"/>
      <w:szCs w:val="28"/>
    </w:rPr>
  </w:style>
  <w:style w:type="paragraph" w:styleId="948">
    <w:name w:val="普通(网站)"/>
    <w:basedOn w:val="885"/>
    <w:next w:val="948"/>
    <w:link w:val="885"/>
    <w:uiPriority w:val="99"/>
    <w:pPr>
      <w:jc w:val="left"/>
      <w:spacing w:before="100" w:beforeAutospacing="1" w:after="100" w:afterAutospacing="1"/>
      <w:widowControl/>
    </w:pPr>
    <w:rPr>
      <w:rFonts w:ascii="宋体" w:hAnsi="宋体" w:cs="宋体"/>
      <w:sz w:val="24"/>
      <w:szCs w:val="24"/>
    </w:rPr>
  </w:style>
  <w:style w:type="paragraph" w:styleId="949">
    <w:name w:val="索引 1"/>
    <w:basedOn w:val="885"/>
    <w:next w:val="885"/>
    <w:link w:val="885"/>
    <w:semiHidden/>
    <w:pPr>
      <w:spacing w:line="240" w:lineRule="atLeast"/>
    </w:pPr>
    <w:rPr>
      <w:b/>
      <w:bCs/>
    </w:rPr>
  </w:style>
  <w:style w:type="paragraph" w:styleId="950">
    <w:name w:val="批注主题"/>
    <w:basedOn w:val="913"/>
    <w:next w:val="913"/>
    <w:link w:val="951"/>
    <w:semiHidden/>
    <w:rPr>
      <w:b/>
      <w:bCs/>
    </w:rPr>
  </w:style>
  <w:style w:type="character" w:styleId="951">
    <w:name w:val="批注主题 Char"/>
    <w:next w:val="951"/>
    <w:link w:val="950"/>
    <w:semiHidden/>
    <w:rPr>
      <w:rFonts w:ascii="Times New Roman" w:hAnsi="Times New Roman" w:eastAsia="宋体" w:cs="Times New Roman"/>
      <w:b/>
      <w:bCs/>
      <w:szCs w:val="21"/>
    </w:rPr>
  </w:style>
  <w:style w:type="paragraph" w:styleId="952">
    <w:name w:val="正文首行缩进"/>
    <w:basedOn w:val="885"/>
    <w:next w:val="952"/>
    <w:link w:val="953"/>
    <w:pPr>
      <w:ind w:firstLine="200"/>
      <w:spacing w:line="360" w:lineRule="auto"/>
    </w:pPr>
    <w:rPr>
      <w:rFonts w:ascii="仿宋_GB2312" w:eastAsia="仿宋_GB2312"/>
      <w:sz w:val="30"/>
      <w:szCs w:val="30"/>
    </w:rPr>
  </w:style>
  <w:style w:type="character" w:styleId="953">
    <w:name w:val="正文首行缩进 Char"/>
    <w:next w:val="953"/>
    <w:link w:val="952"/>
    <w:rPr>
      <w:rFonts w:ascii="仿宋_GB2312" w:hAnsi="Times New Roman" w:eastAsia="仿宋_GB2312" w:cs="Times New Roman"/>
      <w:sz w:val="30"/>
      <w:szCs w:val="30"/>
    </w:rPr>
  </w:style>
  <w:style w:type="paragraph" w:styleId="954">
    <w:name w:val="正文首行缩进 2"/>
    <w:basedOn w:val="919"/>
    <w:next w:val="954"/>
    <w:link w:val="955"/>
    <w:pPr>
      <w:ind w:firstLine="420"/>
      <w:spacing w:line="360" w:lineRule="auto"/>
    </w:pPr>
    <w:rPr>
      <w:rFonts w:ascii="宋体" w:hAnsi="宋体" w:eastAsia="宋体"/>
      <w:szCs w:val="20"/>
    </w:rPr>
  </w:style>
  <w:style w:type="character" w:styleId="955">
    <w:name w:val="正文首行缩进 2 Char"/>
    <w:next w:val="955"/>
    <w:link w:val="954"/>
    <w:rPr>
      <w:rFonts w:ascii="宋体" w:hAnsi="宋体" w:eastAsia="宋体" w:cs="Times New Roman"/>
      <w:sz w:val="32"/>
      <w:szCs w:val="20"/>
    </w:rPr>
  </w:style>
  <w:style w:type="table" w:styleId="956">
    <w:name w:val="网格型"/>
    <w:basedOn w:val="896"/>
    <w:next w:val="956"/>
    <w:link w:val="885"/>
    <w:pPr>
      <w:jc w:val="both"/>
      <w:widowControl w:val="off"/>
    </w:pPr>
    <w:rPr>
      <w:rFonts w:ascii="Times New Roman" w:hAnsi="Times New Roman" w:eastAsia="宋体" w:cs="Times New Roman"/>
      <w:sz w:val="20"/>
      <w:szCs w:val="20"/>
    </w:rPr>
    <w:tblPr/>
  </w:style>
  <w:style w:type="character" w:styleId="957">
    <w:name w:val="要点"/>
    <w:next w:val="957"/>
    <w:link w:val="885"/>
    <w:qFormat/>
    <w:rPr>
      <w:b/>
      <w:bCs/>
    </w:rPr>
  </w:style>
  <w:style w:type="character" w:styleId="958">
    <w:name w:val="页码"/>
    <w:next w:val="958"/>
    <w:link w:val="885"/>
  </w:style>
  <w:style w:type="character" w:styleId="959">
    <w:name w:val="访问过的超链接"/>
    <w:next w:val="959"/>
    <w:link w:val="885"/>
    <w:rPr>
      <w:color w:val="800080"/>
      <w:u w:val="single"/>
    </w:rPr>
  </w:style>
  <w:style w:type="character" w:styleId="960">
    <w:name w:val="HTML 打字机"/>
    <w:next w:val="960"/>
    <w:link w:val="885"/>
    <w:uiPriority w:val="99"/>
    <w:rPr>
      <w:rFonts w:ascii="宋体" w:hAnsi="宋体" w:eastAsia="宋体" w:cs="宋体"/>
      <w:sz w:val="24"/>
      <w:szCs w:val="24"/>
    </w:rPr>
  </w:style>
  <w:style w:type="character" w:styleId="961">
    <w:name w:val="超链接"/>
    <w:next w:val="961"/>
    <w:link w:val="885"/>
    <w:rPr>
      <w:color w:val="0000ff"/>
      <w:u w:val="single"/>
    </w:rPr>
  </w:style>
  <w:style w:type="character" w:styleId="962">
    <w:name w:val="批注引用"/>
    <w:next w:val="962"/>
    <w:link w:val="885"/>
    <w:semiHidden/>
    <w:rPr>
      <w:sz w:val="21"/>
      <w:szCs w:val="21"/>
    </w:rPr>
  </w:style>
  <w:style w:type="character" w:styleId="963">
    <w:name w:val="font5 Char"/>
    <w:next w:val="963"/>
    <w:link w:val="885"/>
    <w:rPr>
      <w:rFonts w:ascii="宋体" w:hAnsi="宋体" w:eastAsia="宋体"/>
      <w:sz w:val="28"/>
      <w:szCs w:val="28"/>
      <w:lang w:val="en-US" w:eastAsia="zh-CN" w:bidi="ar-SA"/>
    </w:rPr>
  </w:style>
  <w:style w:type="character" w:styleId="964">
    <w:name w:val="二级目录 Char"/>
    <w:next w:val="964"/>
    <w:link w:val="965"/>
    <w:rPr>
      <w:b/>
      <w:sz w:val="30"/>
      <w:szCs w:val="28"/>
      <w:lang w:val="en-US" w:eastAsia="zh-CN" w:bidi="ar-SA"/>
    </w:rPr>
  </w:style>
  <w:style w:type="paragraph" w:styleId="965">
    <w:name w:val="二级目录"/>
    <w:next w:val="885"/>
    <w:link w:val="964"/>
    <w:pPr>
      <w:numPr>
        <w:ilvl w:val="0"/>
        <w:numId w:val="2"/>
      </w:numPr>
      <w:tabs>
        <w:tab w:val="left" w:pos="907" w:leader="none"/>
        <w:tab w:val="left" w:pos="1145" w:leader="none"/>
      </w:tabs>
      <w:outlineLvl w:val="1"/>
    </w:pPr>
    <w:rPr>
      <w:b/>
      <w:sz w:val="30"/>
      <w:szCs w:val="28"/>
      <w:lang w:val="en-US" w:eastAsia="zh-CN" w:bidi="ar-SA"/>
    </w:rPr>
  </w:style>
  <w:style w:type="character" w:styleId="966">
    <w:name w:val="列出段落 Char,Bullet List Char,numbered Char,FooterText Char,List Paragraph1 Char,Paragraphe de liste1 Char"/>
    <w:next w:val="966"/>
    <w:link w:val="967"/>
    <w:rPr>
      <w:rFonts w:ascii="Calibri" w:hAnsi="Calibri"/>
      <w:sz w:val="24"/>
      <w:szCs w:val="24"/>
      <w:lang w:eastAsia="en-US" w:bidi="en-US"/>
    </w:rPr>
  </w:style>
  <w:style w:type="paragraph" w:styleId="967">
    <w:name w:val="列出段落1"/>
    <w:basedOn w:val="885"/>
    <w:next w:val="967"/>
    <w:link w:val="966"/>
    <w:qFormat/>
    <w:pPr>
      <w:contextualSpacing/>
      <w:ind w:left="720"/>
      <w:jc w:val="left"/>
      <w:widowControl/>
    </w:pPr>
    <w:rPr>
      <w:rFonts w:ascii="Calibri" w:hAnsi="Calibri"/>
      <w:sz w:val="24"/>
      <w:szCs w:val="24"/>
      <w:lang w:eastAsia="en-US" w:bidi="en-US"/>
    </w:rPr>
  </w:style>
  <w:style w:type="paragraph" w:styleId="968">
    <w:name w:val="Body Text(ch)"/>
    <w:basedOn w:val="885"/>
    <w:next w:val="917"/>
    <w:link w:val="885"/>
    <w:pPr>
      <w:spacing w:after="120"/>
    </w:pPr>
    <w:rPr>
      <w:rFonts w:ascii="宋体" w:hAnsi="Arial"/>
      <w:bCs/>
      <w:iCs/>
      <w:szCs w:val="24"/>
    </w:rPr>
  </w:style>
  <w:style w:type="paragraph" w:styleId="969">
    <w:name w:val="xl27"/>
    <w:basedOn w:val="885"/>
    <w:next w:val="969"/>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0">
    <w:name w:val="xl26"/>
    <w:basedOn w:val="885"/>
    <w:next w:val="970"/>
    <w:link w:val="8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1">
    <w:name w:val="Char"/>
    <w:basedOn w:val="885"/>
    <w:next w:val="971"/>
    <w:link w:val="885"/>
    <w:pPr>
      <w:ind w:firstLine="200"/>
      <w:tabs>
        <w:tab w:val="left" w:pos="360" w:leader="none"/>
      </w:tabs>
    </w:pPr>
    <w:rPr>
      <w:sz w:val="28"/>
      <w:szCs w:val="30"/>
    </w:rPr>
  </w:style>
  <w:style w:type="paragraph" w:styleId="972">
    <w:name w:val=" Char"/>
    <w:basedOn w:val="911"/>
    <w:next w:val="972"/>
    <w:link w:val="885"/>
    <w:rPr>
      <w:rFonts w:ascii="Tahoma" w:hAnsi="Tahoma"/>
      <w:sz w:val="24"/>
      <w:szCs w:val="24"/>
    </w:rPr>
  </w:style>
  <w:style w:type="paragraph" w:styleId="973">
    <w:name w:val="普通正文"/>
    <w:basedOn w:val="885"/>
    <w:next w:val="973"/>
    <w:link w:val="885"/>
    <w:pPr>
      <w:ind w:firstLine="480"/>
      <w:jc w:val="left"/>
      <w:spacing w:before="120" w:after="120" w:line="360" w:lineRule="auto"/>
    </w:pPr>
    <w:rPr>
      <w:rFonts w:ascii="Arial" w:hAnsi="Arial"/>
      <w:sz w:val="24"/>
      <w:szCs w:val="24"/>
    </w:rPr>
  </w:style>
  <w:style w:type="paragraph" w:styleId="974">
    <w:name w:val="table_lines"/>
    <w:basedOn w:val="885"/>
    <w:next w:val="974"/>
    <w:link w:val="885"/>
    <w:pPr>
      <w:jc w:val="left"/>
      <w:widowControl/>
    </w:pPr>
    <w:rPr>
      <w:sz w:val="20"/>
      <w:szCs w:val="20"/>
      <w:lang w:val="de-DE" w:eastAsia="de-DE"/>
    </w:rPr>
  </w:style>
  <w:style w:type="paragraph" w:styleId="975">
    <w:name w:val="附录1"/>
    <w:next w:val="975"/>
    <w:link w:val="88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6">
    <w:name w:val="font7"/>
    <w:basedOn w:val="885"/>
    <w:next w:val="976"/>
    <w:link w:val="885"/>
    <w:pPr>
      <w:jc w:val="left"/>
      <w:spacing w:before="100" w:beforeAutospacing="1" w:after="100" w:afterAutospacing="1"/>
      <w:widowControl/>
    </w:pPr>
    <w:rPr>
      <w:rFonts w:hint="eastAsia" w:ascii="宋体" w:hAnsi="宋体"/>
      <w:sz w:val="18"/>
      <w:szCs w:val="18"/>
    </w:rPr>
  </w:style>
  <w:style w:type="paragraph" w:styleId="977">
    <w:name w:val=" Char Char Char Char"/>
    <w:basedOn w:val="911"/>
    <w:next w:val="977"/>
    <w:link w:val="885"/>
    <w:pPr>
      <w:spacing w:line="360" w:lineRule="auto"/>
    </w:pPr>
    <w:rPr>
      <w:rFonts w:ascii="Tahoma" w:hAnsi="Tahoma"/>
      <w:sz w:val="24"/>
      <w:szCs w:val="24"/>
    </w:rPr>
  </w:style>
  <w:style w:type="paragraph" w:styleId="978">
    <w:name w:val="列出段落"/>
    <w:basedOn w:val="885"/>
    <w:next w:val="978"/>
    <w:link w:val="885"/>
    <w:uiPriority w:val="99"/>
    <w:qFormat/>
    <w:pPr>
      <w:contextualSpacing/>
      <w:ind w:left="720"/>
      <w:jc w:val="left"/>
      <w:widowControl/>
    </w:pPr>
    <w:rPr>
      <w:rFonts w:ascii="Calibri" w:hAnsi="Calibri"/>
      <w:sz w:val="24"/>
      <w:szCs w:val="24"/>
      <w:lang w:eastAsia="en-US" w:bidi="en-US"/>
    </w:rPr>
  </w:style>
  <w:style w:type="paragraph" w:styleId="979">
    <w:name w:val="4"/>
    <w:basedOn w:val="885"/>
    <w:next w:val="941"/>
    <w:link w:val="885"/>
    <w:pPr>
      <w:ind w:firstLine="420"/>
      <w:spacing w:line="360" w:lineRule="auto"/>
    </w:pPr>
    <w:rPr>
      <w:color w:val="ff0000"/>
      <w:sz w:val="24"/>
      <w:szCs w:val="24"/>
    </w:rPr>
  </w:style>
  <w:style w:type="paragraph" w:styleId="980">
    <w:name w:val="普通 (Web)"/>
    <w:basedOn w:val="885"/>
    <w:next w:val="980"/>
    <w:link w:val="885"/>
    <w:pPr>
      <w:jc w:val="left"/>
      <w:spacing w:before="100" w:beforeAutospacing="1" w:after="100" w:afterAutospacing="1"/>
      <w:widowControl/>
    </w:pPr>
    <w:rPr>
      <w:rFonts w:ascii="宋体" w:hAnsi="宋体"/>
      <w:sz w:val="24"/>
      <w:szCs w:val="24"/>
    </w:rPr>
  </w:style>
  <w:style w:type="paragraph" w:styleId="981">
    <w:name w:val=" Char Char Char Char Char Char Char Char Char Char"/>
    <w:basedOn w:val="885"/>
    <w:next w:val="981"/>
    <w:link w:val="885"/>
    <w:pPr>
      <w:spacing w:line="360" w:lineRule="auto"/>
    </w:pPr>
    <w:rPr>
      <w:sz w:val="24"/>
      <w:szCs w:val="20"/>
    </w:rPr>
  </w:style>
  <w:style w:type="paragraph" w:styleId="982">
    <w:name w:val="样式1"/>
    <w:basedOn w:val="885"/>
    <w:next w:val="982"/>
    <w:link w:val="885"/>
    <w:pPr>
      <w:numPr>
        <w:ilvl w:val="0"/>
        <w:numId w:val="3"/>
      </w:numPr>
      <w:tabs>
        <w:tab w:val="left" w:pos="709" w:leader="none"/>
      </w:tabs>
    </w:pPr>
    <w:rPr>
      <w:rFonts w:ascii="宋体" w:hAnsi="宋体"/>
    </w:rPr>
  </w:style>
  <w:style w:type="paragraph" w:styleId="983">
    <w:name w:val="font6"/>
    <w:basedOn w:val="885"/>
    <w:next w:val="983"/>
    <w:link w:val="885"/>
    <w:pPr>
      <w:jc w:val="left"/>
      <w:spacing w:before="100" w:beforeAutospacing="1" w:after="100" w:afterAutospacing="1"/>
      <w:widowControl/>
    </w:pPr>
    <w:rPr>
      <w:rFonts w:hint="eastAsia" w:ascii="宋体" w:hAnsi="宋体"/>
      <w:sz w:val="28"/>
      <w:szCs w:val="28"/>
      <w:u w:val="single"/>
    </w:rPr>
  </w:style>
  <w:style w:type="paragraph" w:styleId="984">
    <w:name w:val="xl25"/>
    <w:basedOn w:val="885"/>
    <w:next w:val="984"/>
    <w:link w:val="88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图标"/>
    <w:basedOn w:val="885"/>
    <w:next w:val="885"/>
    <w:link w:val="88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name w:val="标题3"/>
    <w:basedOn w:val="885"/>
    <w:next w:val="885"/>
    <w:link w:val="885"/>
    <w:pPr>
      <w:ind w:firstLine="624"/>
      <w:spacing w:line="590" w:lineRule="atLeast"/>
    </w:pPr>
    <w:rPr>
      <w:rFonts w:ascii="方正黑体_GBK" w:eastAsia="方正黑体_GBK"/>
      <w:sz w:val="32"/>
      <w:szCs w:val="32"/>
    </w:rPr>
  </w:style>
  <w:style w:type="paragraph" w:styleId="987">
    <w:name w:val="xl24"/>
    <w:basedOn w:val="885"/>
    <w:next w:val="987"/>
    <w:link w:val="8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8">
    <w:name w:val="xl29"/>
    <w:basedOn w:val="885"/>
    <w:next w:val="988"/>
    <w:link w:val="88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9">
    <w:name w:val="Char Char Char Char Char Char Char Char"/>
    <w:basedOn w:val="885"/>
    <w:next w:val="989"/>
    <w:link w:val="885"/>
    <w:pPr>
      <w:jc w:val="left"/>
      <w:spacing w:after="160" w:line="240" w:lineRule="exact"/>
      <w:widowControl/>
    </w:pPr>
    <w:rPr>
      <w:rFonts w:ascii="Verdana" w:hAnsi="Verdana"/>
      <w:sz w:val="20"/>
      <w:szCs w:val="20"/>
      <w:lang w:eastAsia="en-US"/>
    </w:rPr>
  </w:style>
  <w:style w:type="paragraph" w:styleId="990">
    <w:name w:val="xl28"/>
    <w:basedOn w:val="885"/>
    <w:next w:val="990"/>
    <w:link w:val="8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name w:val=" Char Char Char Char Char Char Char Char"/>
    <w:basedOn w:val="885"/>
    <w:next w:val="991"/>
    <w:link w:val="885"/>
    <w:pPr>
      <w:jc w:val="left"/>
      <w:spacing w:after="160" w:line="240" w:lineRule="exact"/>
      <w:widowControl/>
    </w:pPr>
    <w:rPr>
      <w:rFonts w:ascii="Verdana" w:hAnsi="Verdana"/>
      <w:sz w:val="20"/>
      <w:szCs w:val="20"/>
      <w:lang w:eastAsia="en-US"/>
    </w:rPr>
  </w:style>
  <w:style w:type="paragraph" w:styleId="992">
    <w:name w:val="xl30"/>
    <w:basedOn w:val="885"/>
    <w:next w:val="992"/>
    <w:link w:val="885"/>
    <w:pPr>
      <w:jc w:val="center"/>
      <w:spacing w:before="100" w:beforeAutospacing="1" w:after="100" w:afterAutospacing="1"/>
      <w:widowControl/>
    </w:pPr>
    <w:rPr>
      <w:rFonts w:ascii="宋体" w:hAnsi="宋体"/>
      <w:b/>
      <w:bCs/>
      <w:sz w:val="36"/>
      <w:szCs w:val="36"/>
    </w:rPr>
  </w:style>
  <w:style w:type="paragraph" w:styleId="993">
    <w:name w:val="Char Char Char Char"/>
    <w:basedOn w:val="911"/>
    <w:next w:val="993"/>
    <w:link w:val="885"/>
    <w:pPr>
      <w:spacing w:line="360" w:lineRule="auto"/>
    </w:pPr>
    <w:rPr>
      <w:rFonts w:ascii="Tahoma" w:hAnsi="Tahoma"/>
      <w:sz w:val="24"/>
      <w:szCs w:val="24"/>
    </w:rPr>
  </w:style>
  <w:style w:type="paragraph" w:styleId="994">
    <w:name w:val="table_1stline"/>
    <w:basedOn w:val="885"/>
    <w:next w:val="994"/>
    <w:link w:val="885"/>
    <w:pPr>
      <w:jc w:val="left"/>
      <w:spacing w:before="120"/>
      <w:widowControl/>
    </w:pPr>
    <w:rPr>
      <w:bCs/>
      <w:sz w:val="20"/>
      <w:szCs w:val="20"/>
      <w:lang w:val="de-DE" w:eastAsia="de-DE"/>
    </w:rPr>
  </w:style>
  <w:style w:type="paragraph" w:styleId="995">
    <w:name w:val="font5"/>
    <w:basedOn w:val="885"/>
    <w:next w:val="995"/>
    <w:link w:val="885"/>
    <w:pPr>
      <w:jc w:val="left"/>
      <w:spacing w:before="100" w:beforeAutospacing="1" w:after="100" w:afterAutospacing="1"/>
      <w:widowControl/>
    </w:pPr>
    <w:rPr>
      <w:rFonts w:hint="eastAsia" w:ascii="宋体" w:hAnsi="宋体"/>
      <w:sz w:val="28"/>
      <w:szCs w:val="28"/>
    </w:rPr>
  </w:style>
  <w:style w:type="paragraph" w:styleId="996">
    <w:name w:val="标题1"/>
    <w:basedOn w:val="885"/>
    <w:next w:val="885"/>
    <w:link w:val="885"/>
    <w:pPr>
      <w:jc w:val="center"/>
      <w:spacing w:line="700" w:lineRule="atLeast"/>
      <w:tabs>
        <w:tab w:val="left" w:pos="9193" w:leader="none"/>
        <w:tab w:val="left" w:pos="9827" w:leader="none"/>
      </w:tabs>
    </w:pPr>
    <w:rPr>
      <w:rFonts w:ascii="方正小标宋_GBK" w:eastAsia="方正小标宋_GBK"/>
      <w:sz w:val="44"/>
      <w:szCs w:val="20"/>
    </w:rPr>
  </w:style>
  <w:style w:type="paragraph" w:styleId="997">
    <w:name w:val="修订"/>
    <w:next w:val="997"/>
    <w:link w:val="885"/>
    <w:uiPriority w:val="99"/>
    <w:semiHidden/>
    <w:rPr>
      <w:rFonts w:ascii="Times New Roman" w:hAnsi="Times New Roman"/>
      <w:sz w:val="21"/>
      <w:szCs w:val="21"/>
      <w:lang w:val="en-US" w:eastAsia="zh-CN" w:bidi="ar-SA"/>
    </w:rPr>
  </w:style>
  <w:style w:type="paragraph" w:styleId="998">
    <w:name w:val="无间隔"/>
    <w:next w:val="998"/>
    <w:link w:val="885"/>
    <w:uiPriority w:val="99"/>
    <w:qFormat/>
    <w:pPr>
      <w:jc w:val="both"/>
      <w:widowControl w:val="off"/>
    </w:pPr>
    <w:rPr>
      <w:rFonts w:ascii="Times New Roman" w:hAnsi="Times New Roman"/>
      <w:sz w:val="21"/>
      <w:szCs w:val="21"/>
      <w:lang w:val="en-US" w:eastAsia="zh-CN" w:bidi="ar-SA"/>
    </w:rPr>
  </w:style>
  <w:style w:type="paragraph" w:styleId="999">
    <w:name w:val="普通文字"/>
    <w:basedOn w:val="885"/>
    <w:next w:val="885"/>
    <w:link w:val="885"/>
    <w:uiPriority w:val="99"/>
    <w:rPr>
      <w:rFonts w:ascii="宋体" w:hAnsi="Times New Roman" w:eastAsia="宋体" w:cs="Times New Roman"/>
      <w:sz w:val="24"/>
      <w:szCs w:val="20"/>
      <w:u w:val="none"/>
    </w:rPr>
  </w:style>
  <w:style w:type="paragraph" w:styleId="1000">
    <w:name w:val="目录 111"/>
    <w:basedOn w:val="885"/>
    <w:next w:val="885"/>
    <w:link w:val="885"/>
    <w:uiPriority w:val="39"/>
    <w:unhideWhenUsed/>
    <w:qFormat/>
    <w:pPr>
      <w:jc w:val="left"/>
      <w:spacing w:after="100" w:line="259" w:lineRule="auto"/>
      <w:widowControl/>
    </w:pPr>
    <w:rPr>
      <w:rFonts w:ascii="Calibri" w:hAnsi="Calibri" w:eastAsia="宋体"/>
      <w:sz w:val="22"/>
      <w:szCs w:val="22"/>
    </w:rPr>
  </w:style>
  <w:style w:type="character" w:styleId="1001">
    <w:name w:val="正文缩进 字符"/>
    <w:next w:val="1001"/>
    <w:link w:val="885"/>
    <w:rPr>
      <w:rFonts w:ascii="Times New Roman" w:hAnsi="Times New Roman" w:eastAsia="宋体" w:cs="Times New Roman"/>
      <w:szCs w:val="21"/>
    </w:rPr>
  </w:style>
  <w:style w:type="character" w:styleId="1002">
    <w:name w:val="标题 3 字符"/>
    <w:next w:val="1002"/>
    <w:link w:val="885"/>
    <w:rPr>
      <w:rFonts w:ascii="Times New Roman" w:hAnsi="Times New Roman" w:eastAsia="宋体" w:cs="Times New Roman"/>
      <w:b/>
      <w:bCs/>
      <w:sz w:val="32"/>
      <w:szCs w:val="32"/>
    </w:rPr>
  </w:style>
  <w:style w:type="character" w:styleId="1003">
    <w:name w:val="标题 4 字符"/>
    <w:next w:val="1003"/>
    <w:link w:val="885"/>
    <w:rPr>
      <w:rFonts w:ascii="Arial" w:hAnsi="Arial" w:eastAsia="黑体" w:cs="Arial"/>
      <w:b/>
      <w:bCs/>
      <w:sz w:val="28"/>
      <w:szCs w:val="28"/>
    </w:rPr>
  </w:style>
  <w:style w:type="character" w:styleId="1004">
    <w:name w:val="标题 5 字符"/>
    <w:next w:val="1004"/>
    <w:link w:val="885"/>
    <w:rPr>
      <w:rFonts w:ascii="宋体" w:hAnsi="Times New Roman" w:eastAsia="宋体" w:cs="Times New Roman"/>
      <w:color w:val="000000"/>
      <w:sz w:val="28"/>
      <w:szCs w:val="28"/>
    </w:rPr>
  </w:style>
  <w:style w:type="character" w:styleId="1005">
    <w:name w:val="标题 6 字符"/>
    <w:next w:val="1005"/>
    <w:link w:val="885"/>
    <w:rPr>
      <w:rFonts w:ascii="Arial" w:hAnsi="Arial" w:eastAsia="黑体" w:cs="Times New Roman"/>
      <w:b/>
      <w:bCs/>
      <w:sz w:val="24"/>
      <w:szCs w:val="24"/>
    </w:rPr>
  </w:style>
  <w:style w:type="character" w:styleId="1006">
    <w:name w:val="批注文字 字符"/>
    <w:next w:val="1006"/>
    <w:link w:val="885"/>
    <w:semiHidden/>
    <w:rPr>
      <w:rFonts w:ascii="Times New Roman" w:hAnsi="Times New Roman" w:eastAsia="宋体" w:cs="Times New Roman"/>
      <w:szCs w:val="21"/>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乔凡本</dc:creator>
  <cp:lastModifiedBy>邰云祥</cp:lastModifiedBy>
  <cp:revision>5</cp:revision>
  <dcterms:created xsi:type="dcterms:W3CDTF">2023-03-16T02:16:00Z</dcterms:created>
  <dcterms:modified xsi:type="dcterms:W3CDTF">2025-05-13T02:56:43Z</dcterms:modified>
  <cp:version>917504</cp:version>
</cp:coreProperties>
</file>